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宋体" w:hAnsi="宋体" w:cs="宋体"/>
          <w:color w:val="000000" w:themeColor="text1"/>
          <w:sz w:val="32"/>
          <w:szCs w:val="32"/>
          <w14:textFill>
            <w14:solidFill>
              <w14:schemeClr w14:val="tx1"/>
            </w14:solidFill>
          </w14:textFill>
        </w:rPr>
      </w:pPr>
    </w:p>
    <w:p>
      <w:pPr>
        <w:spacing w:line="600" w:lineRule="exact"/>
        <w:jc w:val="center"/>
        <w:rPr>
          <w:rFonts w:ascii="宋体" w:hAnsi="宋体" w:cs="宋体"/>
          <w:color w:val="000000" w:themeColor="text1"/>
          <w:sz w:val="32"/>
          <w:szCs w:val="32"/>
          <w14:textFill>
            <w14:solidFill>
              <w14:schemeClr w14:val="tx1"/>
            </w14:solidFill>
          </w14:textFill>
        </w:rPr>
      </w:pPr>
    </w:p>
    <w:p>
      <w:pPr>
        <w:spacing w:line="600" w:lineRule="exact"/>
        <w:jc w:val="center"/>
        <w:rPr>
          <w:rFonts w:ascii="宋体" w:hAnsi="宋体" w:cs="宋体"/>
          <w:color w:val="000000" w:themeColor="text1"/>
          <w:sz w:val="44"/>
          <w14:textFill>
            <w14:solidFill>
              <w14:schemeClr w14:val="tx1"/>
            </w14:solidFill>
          </w14:textFill>
        </w:rPr>
      </w:pPr>
    </w:p>
    <w:p>
      <w:pPr>
        <w:jc w:val="center"/>
        <w:rPr>
          <w:rFonts w:ascii="宋体" w:hAnsi="宋体" w:cs="宋体"/>
          <w:color w:val="000000" w:themeColor="text1"/>
          <w:sz w:val="44"/>
          <w:szCs w:val="20"/>
          <w14:textFill>
            <w14:solidFill>
              <w14:schemeClr w14:val="tx1"/>
            </w14:solidFill>
          </w14:textFill>
        </w:rPr>
      </w:pPr>
    </w:p>
    <w:p>
      <w:pPr>
        <w:spacing w:before="156" w:beforeLines="50"/>
        <w:jc w:val="center"/>
        <w:rPr>
          <w:rFonts w:ascii="宋体" w:hAnsi="宋体" w:cs="宋体"/>
          <w:color w:val="000000" w:themeColor="text1"/>
          <w:sz w:val="72"/>
          <w:szCs w:val="72"/>
          <w14:textFill>
            <w14:solidFill>
              <w14:schemeClr w14:val="tx1"/>
            </w14:solidFill>
          </w14:textFill>
        </w:rPr>
      </w:pPr>
      <w:r>
        <w:rPr>
          <w:rFonts w:hint="eastAsia" w:ascii="宋体" w:hAnsi="宋体" w:cs="宋体"/>
          <w:color w:val="000000" w:themeColor="text1"/>
          <w:sz w:val="72"/>
          <w:szCs w:val="72"/>
          <w14:textFill>
            <w14:solidFill>
              <w14:schemeClr w14:val="tx1"/>
            </w14:solidFill>
          </w14:textFill>
        </w:rPr>
        <w:t>公开招标招标文件</w:t>
      </w:r>
    </w:p>
    <w:p>
      <w:pPr>
        <w:snapToGrid w:val="0"/>
        <w:spacing w:before="156" w:beforeLines="50" w:line="360" w:lineRule="auto"/>
        <w:rPr>
          <w:rFonts w:ascii="宋体" w:hAnsi="宋体" w:cs="宋体"/>
          <w:color w:val="000000" w:themeColor="text1"/>
          <w:sz w:val="30"/>
          <w:szCs w:val="72"/>
          <w14:textFill>
            <w14:solidFill>
              <w14:schemeClr w14:val="tx1"/>
            </w14:solidFill>
          </w14:textFill>
        </w:rPr>
      </w:pPr>
    </w:p>
    <w:p>
      <w:pPr>
        <w:snapToGrid w:val="0"/>
        <w:spacing w:before="156" w:beforeLines="50" w:line="360" w:lineRule="auto"/>
        <w:rPr>
          <w:rFonts w:ascii="宋体" w:hAnsi="宋体" w:cs="宋体"/>
          <w:color w:val="000000" w:themeColor="text1"/>
          <w:sz w:val="30"/>
          <w:szCs w:val="72"/>
          <w14:textFill>
            <w14:solidFill>
              <w14:schemeClr w14:val="tx1"/>
            </w14:solidFill>
          </w14:textFill>
        </w:rPr>
      </w:pPr>
    </w:p>
    <w:p>
      <w:pPr>
        <w:snapToGrid w:val="0"/>
        <w:spacing w:before="156" w:beforeLines="50" w:line="360" w:lineRule="auto"/>
        <w:rPr>
          <w:rFonts w:ascii="宋体" w:hAnsi="宋体" w:cs="宋体"/>
          <w:color w:val="000000" w:themeColor="text1"/>
          <w:sz w:val="30"/>
          <w:szCs w:val="72"/>
          <w14:textFill>
            <w14:solidFill>
              <w14:schemeClr w14:val="tx1"/>
            </w14:solidFill>
          </w14:textFill>
        </w:rPr>
      </w:pPr>
    </w:p>
    <w:p>
      <w:pPr>
        <w:snapToGrid w:val="0"/>
        <w:spacing w:before="156" w:beforeLines="50" w:line="360" w:lineRule="auto"/>
        <w:rPr>
          <w:rFonts w:ascii="宋体" w:hAnsi="宋体" w:cs="宋体"/>
          <w:color w:val="000000" w:themeColor="text1"/>
          <w:sz w:val="30"/>
          <w:szCs w:val="72"/>
          <w14:textFill>
            <w14:solidFill>
              <w14:schemeClr w14:val="tx1"/>
            </w14:solidFill>
          </w14:textFill>
        </w:rPr>
      </w:pPr>
    </w:p>
    <w:p>
      <w:pPr>
        <w:snapToGrid w:val="0"/>
        <w:spacing w:before="120" w:after="120" w:line="360" w:lineRule="auto"/>
        <w:rPr>
          <w:rFonts w:hint="eastAsia" w:ascii="宋体" w:hAnsi="宋体" w:eastAsia="宋体" w:cs="宋体"/>
          <w:b/>
          <w:color w:val="000000" w:themeColor="text1"/>
          <w:sz w:val="32"/>
          <w:szCs w:val="32"/>
          <w:lang w:eastAsia="zh-CN"/>
          <w14:textFill>
            <w14:solidFill>
              <w14:schemeClr w14:val="tx1"/>
            </w14:solidFill>
          </w14:textFill>
        </w:rPr>
      </w:pPr>
      <w:r>
        <w:rPr>
          <w:rFonts w:hint="eastAsia" w:ascii="宋体" w:hAnsi="宋体" w:cs="宋体"/>
          <w:b/>
          <w:bCs/>
          <w:color w:val="000000" w:themeColor="text1"/>
          <w:sz w:val="30"/>
          <w:szCs w:val="30"/>
          <w14:textFill>
            <w14:solidFill>
              <w14:schemeClr w14:val="tx1"/>
            </w14:solidFill>
          </w14:textFill>
        </w:rPr>
        <w:t>项目编号：</w:t>
      </w:r>
      <w:r>
        <w:rPr>
          <w:rFonts w:hint="eastAsia" w:ascii="宋体" w:hAnsi="宋体" w:cs="宋体"/>
          <w:b/>
          <w:color w:val="000000" w:themeColor="text1"/>
          <w:sz w:val="32"/>
          <w:szCs w:val="32"/>
          <w:lang w:eastAsia="zh-CN"/>
          <w14:textFill>
            <w14:solidFill>
              <w14:schemeClr w14:val="tx1"/>
            </w14:solidFill>
          </w14:textFill>
        </w:rPr>
        <w:t>CBZJ-20223134G</w:t>
      </w:r>
      <w:bookmarkStart w:id="63" w:name="_GoBack"/>
      <w:bookmarkEnd w:id="63"/>
    </w:p>
    <w:p>
      <w:pPr>
        <w:snapToGrid w:val="0"/>
        <w:spacing w:before="156" w:beforeLines="50" w:line="360" w:lineRule="auto"/>
        <w:ind w:left="1494" w:hanging="1494" w:hangingChars="496"/>
        <w:rPr>
          <w:rFonts w:hint="eastAsia" w:ascii="宋体" w:hAnsi="宋体" w:eastAsia="宋体" w:cs="宋体"/>
          <w:b/>
          <w:color w:val="000000" w:themeColor="text1"/>
          <w:sz w:val="30"/>
          <w:szCs w:val="72"/>
          <w:lang w:eastAsia="zh-CN"/>
          <w14:textFill>
            <w14:solidFill>
              <w14:schemeClr w14:val="tx1"/>
            </w14:solidFill>
          </w14:textFill>
        </w:rPr>
      </w:pPr>
      <w:r>
        <w:rPr>
          <w:rFonts w:hint="eastAsia" w:ascii="宋体" w:hAnsi="宋体" w:cs="宋体"/>
          <w:b/>
          <w:color w:val="000000" w:themeColor="text1"/>
          <w:sz w:val="30"/>
          <w:szCs w:val="72"/>
          <w14:textFill>
            <w14:solidFill>
              <w14:schemeClr w14:val="tx1"/>
            </w14:solidFill>
          </w14:textFill>
        </w:rPr>
        <w:t>项目名称：</w:t>
      </w:r>
      <w:r>
        <w:rPr>
          <w:rFonts w:hint="eastAsia" w:ascii="宋体" w:hAnsi="宋体" w:cs="宋体"/>
          <w:b/>
          <w:color w:val="000000" w:themeColor="text1"/>
          <w:sz w:val="30"/>
          <w:szCs w:val="72"/>
          <w:lang w:eastAsia="zh-CN"/>
          <w14:textFill>
            <w14:solidFill>
              <w14:schemeClr w14:val="tx1"/>
            </w14:solidFill>
          </w14:textFill>
        </w:rPr>
        <w:t>宁波市公安局镇海分局数侦云觅服务项目（第二次）</w:t>
      </w:r>
    </w:p>
    <w:p>
      <w:pPr>
        <w:tabs>
          <w:tab w:val="left" w:pos="6571"/>
        </w:tabs>
        <w:snapToGrid w:val="0"/>
        <w:spacing w:before="120" w:after="120" w:line="360" w:lineRule="auto"/>
        <w:rPr>
          <w:rFonts w:hint="eastAsia" w:ascii="宋体" w:hAnsi="宋体" w:eastAsia="宋体" w:cs="宋体"/>
          <w:b/>
          <w:bCs/>
          <w:color w:val="000000" w:themeColor="text1"/>
          <w:w w:val="95"/>
          <w:sz w:val="30"/>
          <w:szCs w:val="30"/>
          <w:lang w:eastAsia="zh-CN"/>
          <w14:textFill>
            <w14:solidFill>
              <w14:schemeClr w14:val="tx1"/>
            </w14:solidFill>
          </w14:textFill>
        </w:rPr>
      </w:pPr>
      <w:r>
        <w:rPr>
          <w:rFonts w:hint="eastAsia" w:ascii="宋体" w:hAnsi="宋体" w:cs="宋体"/>
          <w:b/>
          <w:color w:val="000000" w:themeColor="text1"/>
          <w:sz w:val="30"/>
          <w:szCs w:val="72"/>
          <w14:textFill>
            <w14:solidFill>
              <w14:schemeClr w14:val="tx1"/>
            </w14:solidFill>
          </w14:textFill>
        </w:rPr>
        <w:t>采购单位：</w:t>
      </w:r>
      <w:r>
        <w:rPr>
          <w:rFonts w:hint="eastAsia" w:ascii="宋体" w:hAnsi="宋体" w:cs="宋体"/>
          <w:b/>
          <w:color w:val="000000" w:themeColor="text1"/>
          <w:sz w:val="30"/>
          <w:szCs w:val="72"/>
          <w:lang w:eastAsia="zh-CN"/>
          <w14:textFill>
            <w14:solidFill>
              <w14:schemeClr w14:val="tx1"/>
            </w14:solidFill>
          </w14:textFill>
        </w:rPr>
        <w:t>宁波市公安局镇海分局</w:t>
      </w:r>
    </w:p>
    <w:p>
      <w:pPr>
        <w:snapToGrid w:val="0"/>
        <w:spacing w:before="120" w:after="120" w:line="360" w:lineRule="auto"/>
        <w:rPr>
          <w:rFonts w:hint="eastAsia" w:ascii="宋体" w:hAnsi="宋体" w:eastAsia="宋体" w:cs="宋体"/>
          <w:b/>
          <w:color w:val="000000" w:themeColor="text1"/>
          <w:sz w:val="52"/>
          <w:szCs w:val="52"/>
          <w:lang w:eastAsia="zh-CN"/>
          <w14:textFill>
            <w14:solidFill>
              <w14:schemeClr w14:val="tx1"/>
            </w14:solidFill>
          </w14:textFill>
        </w:rPr>
      </w:pPr>
      <w:r>
        <w:rPr>
          <w:rFonts w:hint="eastAsia" w:ascii="宋体" w:hAnsi="宋体" w:cs="宋体"/>
          <w:b/>
          <w:color w:val="000000" w:themeColor="text1"/>
          <w:sz w:val="30"/>
          <w:szCs w:val="72"/>
          <w14:textFill>
            <w14:solidFill>
              <w14:schemeClr w14:val="tx1"/>
            </w14:solidFill>
          </w14:textFill>
        </w:rPr>
        <w:t>代理机构：</w:t>
      </w:r>
      <w:r>
        <w:rPr>
          <w:rFonts w:hint="eastAsia" w:ascii="宋体" w:hAnsi="宋体" w:cs="宋体"/>
          <w:b/>
          <w:color w:val="000000" w:themeColor="text1"/>
          <w:sz w:val="30"/>
          <w:szCs w:val="48"/>
          <w:lang w:eastAsia="zh-CN"/>
          <w14:textFill>
            <w14:solidFill>
              <w14:schemeClr w14:val="tx1"/>
            </w14:solidFill>
          </w14:textFill>
        </w:rPr>
        <w:t>浙江中基正采管理咨询有限公司</w:t>
      </w:r>
    </w:p>
    <w:p>
      <w:pPr>
        <w:snapToGrid w:val="0"/>
        <w:spacing w:before="120" w:after="120" w:line="360" w:lineRule="auto"/>
        <w:rPr>
          <w:rFonts w:ascii="宋体" w:hAnsi="宋体" w:cs="宋体"/>
          <w:b/>
          <w:bCs/>
          <w:color w:val="000000" w:themeColor="text1"/>
          <w:w w:val="95"/>
          <w:sz w:val="30"/>
          <w:szCs w:val="30"/>
          <w14:textFill>
            <w14:solidFill>
              <w14:schemeClr w14:val="tx1"/>
            </w14:solidFill>
          </w14:textFill>
        </w:rPr>
      </w:pPr>
    </w:p>
    <w:p>
      <w:pPr>
        <w:snapToGrid w:val="0"/>
        <w:spacing w:before="120" w:after="120" w:line="360" w:lineRule="auto"/>
        <w:rPr>
          <w:rFonts w:ascii="宋体" w:hAnsi="宋体" w:cs="宋体"/>
          <w:b/>
          <w:bCs/>
          <w:color w:val="000000" w:themeColor="text1"/>
          <w:w w:val="95"/>
          <w:sz w:val="30"/>
          <w:szCs w:val="30"/>
          <w14:textFill>
            <w14:solidFill>
              <w14:schemeClr w14:val="tx1"/>
            </w14:solidFill>
          </w14:textFill>
        </w:rPr>
      </w:pPr>
    </w:p>
    <w:p>
      <w:pPr>
        <w:snapToGrid w:val="0"/>
        <w:spacing w:before="120" w:after="120" w:line="360" w:lineRule="auto"/>
        <w:rPr>
          <w:rFonts w:hint="eastAsia" w:ascii="宋体" w:hAnsi="宋体" w:eastAsia="宋体" w:cs="宋体"/>
          <w:b/>
          <w:bCs/>
          <w:color w:val="000000" w:themeColor="text1"/>
          <w:w w:val="95"/>
          <w:sz w:val="30"/>
          <w:szCs w:val="30"/>
          <w:lang w:val="en-US" w:eastAsia="zh-CN"/>
          <w14:textFill>
            <w14:solidFill>
              <w14:schemeClr w14:val="tx1"/>
            </w14:solidFill>
          </w14:textFill>
        </w:rPr>
      </w:pPr>
    </w:p>
    <w:p>
      <w:pPr>
        <w:snapToGrid w:val="0"/>
        <w:spacing w:before="156" w:beforeLines="50" w:line="360" w:lineRule="auto"/>
        <w:jc w:val="center"/>
        <w:rPr>
          <w:rFonts w:ascii="宋体" w:hAnsi="宋体" w:cs="宋体"/>
          <w:b/>
          <w:color w:val="000000" w:themeColor="text1"/>
          <w:sz w:val="36"/>
          <w:szCs w:val="36"/>
          <w:lang w:val="zh-CN"/>
          <w14:textFill>
            <w14:solidFill>
              <w14:schemeClr w14:val="tx1"/>
            </w14:solidFill>
          </w14:textFill>
        </w:rPr>
      </w:pPr>
      <w:r>
        <w:rPr>
          <w:rFonts w:hint="eastAsia" w:ascii="宋体" w:hAnsi="宋体" w:cs="宋体"/>
          <w:b/>
          <w:bCs/>
          <w:color w:val="000000" w:themeColor="text1"/>
          <w:w w:val="95"/>
          <w:sz w:val="30"/>
          <w:szCs w:val="30"/>
          <w14:textFill>
            <w14:solidFill>
              <w14:schemeClr w14:val="tx1"/>
            </w14:solidFill>
          </w14:textFill>
        </w:rPr>
        <w:t>二〇二</w:t>
      </w:r>
      <w:r>
        <w:rPr>
          <w:rFonts w:hint="eastAsia" w:ascii="宋体" w:hAnsi="宋体" w:cs="宋体"/>
          <w:b/>
          <w:bCs/>
          <w:color w:val="000000" w:themeColor="text1"/>
          <w:w w:val="95"/>
          <w:sz w:val="30"/>
          <w:szCs w:val="30"/>
          <w:lang w:val="en-US" w:eastAsia="zh-CN"/>
          <w14:textFill>
            <w14:solidFill>
              <w14:schemeClr w14:val="tx1"/>
            </w14:solidFill>
          </w14:textFill>
        </w:rPr>
        <w:t>二</w:t>
      </w:r>
      <w:r>
        <w:rPr>
          <w:rFonts w:hint="eastAsia" w:ascii="宋体" w:hAnsi="宋体" w:cs="宋体"/>
          <w:b/>
          <w:bCs/>
          <w:color w:val="000000" w:themeColor="text1"/>
          <w:w w:val="95"/>
          <w:sz w:val="30"/>
          <w:szCs w:val="30"/>
          <w14:textFill>
            <w14:solidFill>
              <w14:schemeClr w14:val="tx1"/>
            </w14:solidFill>
          </w14:textFill>
        </w:rPr>
        <w:t>年</w:t>
      </w:r>
      <w:r>
        <w:rPr>
          <w:rFonts w:hint="eastAsia" w:ascii="宋体" w:hAnsi="宋体" w:cs="宋体"/>
          <w:b/>
          <w:bCs/>
          <w:color w:val="000000" w:themeColor="text1"/>
          <w:w w:val="95"/>
          <w:sz w:val="30"/>
          <w:szCs w:val="30"/>
          <w:lang w:val="en-US" w:eastAsia="zh-CN"/>
          <w14:textFill>
            <w14:solidFill>
              <w14:schemeClr w14:val="tx1"/>
            </w14:solidFill>
          </w14:textFill>
        </w:rPr>
        <w:t>十一</w:t>
      </w:r>
      <w:r>
        <w:rPr>
          <w:rFonts w:hint="eastAsia" w:ascii="宋体" w:hAnsi="宋体" w:cs="宋体"/>
          <w:b/>
          <w:bCs/>
          <w:color w:val="000000" w:themeColor="text1"/>
          <w:w w:val="95"/>
          <w:sz w:val="30"/>
          <w:szCs w:val="30"/>
          <w14:textFill>
            <w14:solidFill>
              <w14:schemeClr w14:val="tx1"/>
            </w14:solidFill>
          </w14:textFill>
        </w:rPr>
        <w:t>月</w:t>
      </w:r>
    </w:p>
    <w:p>
      <w:pPr>
        <w:jc w:val="center"/>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lang w:val="zh-CN"/>
          <w14:textFill>
            <w14:solidFill>
              <w14:schemeClr w14:val="tx1"/>
            </w14:solidFill>
          </w14:textFill>
        </w:rPr>
        <w:br w:type="page"/>
      </w:r>
      <w:r>
        <w:rPr>
          <w:rFonts w:hint="eastAsia" w:ascii="宋体" w:hAnsi="宋体" w:cs="宋体"/>
          <w:b/>
          <w:color w:val="000000" w:themeColor="text1"/>
          <w:sz w:val="36"/>
          <w:szCs w:val="36"/>
          <w:lang w:val="zh-CN"/>
          <w14:textFill>
            <w14:solidFill>
              <w14:schemeClr w14:val="tx1"/>
            </w14:solidFill>
          </w14:textFill>
        </w:rPr>
        <w:t>目  录</w:t>
      </w:r>
    </w:p>
    <w:p>
      <w:pPr>
        <w:pStyle w:val="33"/>
        <w:tabs>
          <w:tab w:val="right" w:leader="dot" w:pos="8846"/>
        </w:tabs>
        <w:rPr>
          <w:rFonts w:ascii="宋体" w:hAnsi="宋体" w:cs="宋体"/>
          <w:b w:val="0"/>
          <w:color w:val="000000" w:themeColor="text1"/>
          <w:sz w:val="21"/>
          <w:szCs w:val="22"/>
          <w14:textFill>
            <w14:solidFill>
              <w14:schemeClr w14:val="tx1"/>
            </w14:solidFill>
          </w14:textFill>
        </w:rPr>
      </w:pPr>
      <w:r>
        <w:rPr>
          <w:rFonts w:hint="eastAsia" w:ascii="宋体" w:hAnsi="宋体" w:cs="宋体"/>
          <w:b w:val="0"/>
          <w:color w:val="000000" w:themeColor="text1"/>
          <w14:textFill>
            <w14:solidFill>
              <w14:schemeClr w14:val="tx1"/>
            </w14:solidFill>
          </w14:textFill>
        </w:rPr>
        <w:fldChar w:fldCharType="begin"/>
      </w:r>
      <w:r>
        <w:rPr>
          <w:rFonts w:hint="eastAsia" w:ascii="宋体" w:hAnsi="宋体" w:cs="宋体"/>
          <w:b w:val="0"/>
          <w:color w:val="000000" w:themeColor="text1"/>
          <w14:textFill>
            <w14:solidFill>
              <w14:schemeClr w14:val="tx1"/>
            </w14:solidFill>
          </w14:textFill>
        </w:rPr>
        <w:instrText xml:space="preserve"> TOC \o "1-3" \h \z \u </w:instrText>
      </w:r>
      <w:r>
        <w:rPr>
          <w:rFonts w:hint="eastAsia" w:ascii="宋体" w:hAnsi="宋体" w:cs="宋体"/>
          <w:b w:val="0"/>
          <w:color w:val="000000" w:themeColor="text1"/>
          <w14:textFill>
            <w14:solidFill>
              <w14:schemeClr w14:val="tx1"/>
            </w14:solidFill>
          </w14:textFill>
        </w:rPr>
        <w:fldChar w:fldCharType="separate"/>
      </w:r>
      <w:r>
        <w:fldChar w:fldCharType="begin"/>
      </w:r>
      <w:r>
        <w:instrText xml:space="preserve"> HYPERLINK \l "_Toc475283879" </w:instrText>
      </w:r>
      <w:r>
        <w:fldChar w:fldCharType="separate"/>
      </w:r>
      <w:r>
        <w:rPr>
          <w:rStyle w:val="52"/>
          <w:rFonts w:hint="eastAsia" w:ascii="宋体" w:hAnsi="宋体" w:cs="宋体"/>
          <w:color w:val="000000" w:themeColor="text1"/>
          <w14:textFill>
            <w14:solidFill>
              <w14:schemeClr w14:val="tx1"/>
            </w14:solidFill>
          </w14:textFill>
        </w:rPr>
        <w:t>第一章  公开招标</w:t>
      </w:r>
      <w:bookmarkStart w:id="0" w:name="_Hlt53062999"/>
      <w:r>
        <w:rPr>
          <w:rStyle w:val="52"/>
          <w:rFonts w:hint="eastAsia" w:ascii="宋体" w:hAnsi="宋体" w:cs="宋体"/>
          <w:color w:val="000000" w:themeColor="text1"/>
          <w14:textFill>
            <w14:solidFill>
              <w14:schemeClr w14:val="tx1"/>
            </w14:solidFill>
          </w14:textFill>
        </w:rPr>
        <w:t>采</w:t>
      </w:r>
      <w:bookmarkEnd w:id="0"/>
      <w:r>
        <w:rPr>
          <w:rStyle w:val="52"/>
          <w:rFonts w:hint="eastAsia" w:ascii="宋体" w:hAnsi="宋体" w:cs="宋体"/>
          <w:color w:val="000000" w:themeColor="text1"/>
          <w14:textFill>
            <w14:solidFill>
              <w14:schemeClr w14:val="tx1"/>
            </w14:solidFill>
          </w14:textFill>
        </w:rPr>
        <w:t>购公告</w:t>
      </w:r>
      <w:r>
        <w:rPr>
          <w:rFonts w:hint="eastAsia" w:ascii="宋体" w:hAnsi="宋体" w:cs="宋体"/>
          <w:color w:val="000000" w:themeColor="text1"/>
          <w14:textFill>
            <w14:solidFill>
              <w14:schemeClr w14:val="tx1"/>
            </w14:solidFill>
          </w14:textFill>
        </w:rPr>
        <w:tab/>
      </w:r>
      <w:r>
        <w:rPr>
          <w:rFonts w:hint="eastAsia" w:ascii="宋体" w:hAnsi="宋体" w:cs="宋体"/>
          <w:color w:val="000000" w:themeColor="text1"/>
          <w14:textFill>
            <w14:solidFill>
              <w14:schemeClr w14:val="tx1"/>
            </w14:solidFill>
          </w14:textFill>
        </w:rPr>
        <w:fldChar w:fldCharType="begin"/>
      </w:r>
      <w:r>
        <w:rPr>
          <w:rFonts w:hint="eastAsia" w:ascii="宋体" w:hAnsi="宋体" w:cs="宋体"/>
          <w:color w:val="000000" w:themeColor="text1"/>
          <w14:textFill>
            <w14:solidFill>
              <w14:schemeClr w14:val="tx1"/>
            </w14:solidFill>
          </w14:textFill>
        </w:rPr>
        <w:instrText xml:space="preserve"> PAGEREF _Toc475283879 \h </w:instrText>
      </w:r>
      <w:r>
        <w:rPr>
          <w:rFonts w:hint="eastAsia" w:ascii="宋体" w:hAnsi="宋体" w:cs="宋体"/>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3</w:t>
      </w:r>
      <w:r>
        <w:rPr>
          <w:rFonts w:hint="eastAsia" w:ascii="宋体" w:hAnsi="宋体" w:cs="宋体"/>
          <w:color w:val="000000" w:themeColor="text1"/>
          <w14:textFill>
            <w14:solidFill>
              <w14:schemeClr w14:val="tx1"/>
            </w14:solidFill>
          </w14:textFill>
        </w:rPr>
        <w:fldChar w:fldCharType="end"/>
      </w:r>
      <w:r>
        <w:rPr>
          <w:rFonts w:hint="eastAsia" w:ascii="宋体" w:hAnsi="宋体" w:cs="宋体"/>
          <w:color w:val="000000" w:themeColor="text1"/>
          <w14:textFill>
            <w14:solidFill>
              <w14:schemeClr w14:val="tx1"/>
            </w14:solidFill>
          </w14:textFill>
        </w:rPr>
        <w:fldChar w:fldCharType="end"/>
      </w:r>
    </w:p>
    <w:p>
      <w:pPr>
        <w:pStyle w:val="33"/>
        <w:tabs>
          <w:tab w:val="right" w:leader="dot" w:pos="8846"/>
        </w:tabs>
        <w:rPr>
          <w:rFonts w:ascii="宋体" w:hAnsi="宋体" w:cs="宋体"/>
          <w:b w:val="0"/>
          <w:color w:val="000000" w:themeColor="text1"/>
          <w:sz w:val="21"/>
          <w:szCs w:val="22"/>
          <w14:textFill>
            <w14:solidFill>
              <w14:schemeClr w14:val="tx1"/>
            </w14:solidFill>
          </w14:textFill>
        </w:rPr>
      </w:pPr>
      <w:r>
        <w:fldChar w:fldCharType="begin"/>
      </w:r>
      <w:r>
        <w:instrText xml:space="preserve"> HYPERLINK \l "_Toc475283880" </w:instrText>
      </w:r>
      <w:r>
        <w:fldChar w:fldCharType="separate"/>
      </w:r>
      <w:r>
        <w:rPr>
          <w:rStyle w:val="52"/>
          <w:rFonts w:hint="eastAsia" w:ascii="宋体" w:hAnsi="宋体" w:cs="宋体"/>
          <w:color w:val="000000" w:themeColor="text1"/>
          <w14:textFill>
            <w14:solidFill>
              <w14:schemeClr w14:val="tx1"/>
            </w14:solidFill>
          </w14:textFill>
        </w:rPr>
        <w:t>第二章  招标需</w:t>
      </w:r>
      <w:bookmarkStart w:id="1" w:name="_Hlt36470672"/>
      <w:bookmarkStart w:id="2" w:name="_Hlt36470673"/>
      <w:r>
        <w:rPr>
          <w:rStyle w:val="52"/>
          <w:rFonts w:hint="eastAsia" w:ascii="宋体" w:hAnsi="宋体" w:cs="宋体"/>
          <w:color w:val="000000" w:themeColor="text1"/>
          <w14:textFill>
            <w14:solidFill>
              <w14:schemeClr w14:val="tx1"/>
            </w14:solidFill>
          </w14:textFill>
        </w:rPr>
        <w:t>求</w:t>
      </w:r>
      <w:bookmarkEnd w:id="1"/>
      <w:bookmarkEnd w:id="2"/>
      <w:r>
        <w:rPr>
          <w:rFonts w:hint="eastAsia" w:ascii="宋体" w:hAnsi="宋体" w:cs="宋体"/>
          <w:color w:val="000000" w:themeColor="text1"/>
          <w14:textFill>
            <w14:solidFill>
              <w14:schemeClr w14:val="tx1"/>
            </w14:solidFill>
          </w14:textFill>
        </w:rPr>
        <w:tab/>
      </w:r>
      <w:r>
        <w:rPr>
          <w:rFonts w:hint="eastAsia" w:ascii="宋体" w:hAnsi="宋体" w:cs="宋体"/>
          <w:color w:val="000000" w:themeColor="text1"/>
          <w14:textFill>
            <w14:solidFill>
              <w14:schemeClr w14:val="tx1"/>
            </w14:solidFill>
          </w14:textFill>
        </w:rPr>
        <w:fldChar w:fldCharType="begin"/>
      </w:r>
      <w:r>
        <w:rPr>
          <w:rFonts w:hint="eastAsia" w:ascii="宋体" w:hAnsi="宋体" w:cs="宋体"/>
          <w:color w:val="000000" w:themeColor="text1"/>
          <w14:textFill>
            <w14:solidFill>
              <w14:schemeClr w14:val="tx1"/>
            </w14:solidFill>
          </w14:textFill>
        </w:rPr>
        <w:instrText xml:space="preserve"> PAGEREF _Toc475283880 \h </w:instrText>
      </w:r>
      <w:r>
        <w:rPr>
          <w:rFonts w:hint="eastAsia" w:ascii="宋体" w:hAnsi="宋体" w:cs="宋体"/>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6</w:t>
      </w:r>
      <w:r>
        <w:rPr>
          <w:rFonts w:hint="eastAsia" w:ascii="宋体" w:hAnsi="宋体" w:cs="宋体"/>
          <w:color w:val="000000" w:themeColor="text1"/>
          <w14:textFill>
            <w14:solidFill>
              <w14:schemeClr w14:val="tx1"/>
            </w14:solidFill>
          </w14:textFill>
        </w:rPr>
        <w:fldChar w:fldCharType="end"/>
      </w:r>
      <w:r>
        <w:rPr>
          <w:rFonts w:hint="eastAsia" w:ascii="宋体" w:hAnsi="宋体" w:cs="宋体"/>
          <w:color w:val="000000" w:themeColor="text1"/>
          <w14:textFill>
            <w14:solidFill>
              <w14:schemeClr w14:val="tx1"/>
            </w14:solidFill>
          </w14:textFill>
        </w:rPr>
        <w:fldChar w:fldCharType="end"/>
      </w:r>
    </w:p>
    <w:p>
      <w:pPr>
        <w:pStyle w:val="33"/>
        <w:tabs>
          <w:tab w:val="right" w:leader="dot" w:pos="8846"/>
        </w:tabs>
        <w:rPr>
          <w:rFonts w:ascii="宋体" w:hAnsi="宋体" w:cs="宋体"/>
          <w:b w:val="0"/>
          <w:color w:val="000000" w:themeColor="text1"/>
          <w:sz w:val="21"/>
          <w:szCs w:val="22"/>
          <w14:textFill>
            <w14:solidFill>
              <w14:schemeClr w14:val="tx1"/>
            </w14:solidFill>
          </w14:textFill>
        </w:rPr>
      </w:pPr>
      <w:r>
        <w:fldChar w:fldCharType="begin"/>
      </w:r>
      <w:r>
        <w:instrText xml:space="preserve"> HYPERLINK \l "_Toc475283881" </w:instrText>
      </w:r>
      <w:r>
        <w:fldChar w:fldCharType="separate"/>
      </w:r>
      <w:r>
        <w:rPr>
          <w:rStyle w:val="52"/>
          <w:rFonts w:hint="eastAsia" w:ascii="宋体" w:hAnsi="宋体" w:cs="宋体"/>
          <w:color w:val="000000" w:themeColor="text1"/>
          <w14:textFill>
            <w14:solidFill>
              <w14:schemeClr w14:val="tx1"/>
            </w14:solidFill>
          </w14:textFill>
        </w:rPr>
        <w:t>第三章  投标人</w:t>
      </w:r>
      <w:bookmarkStart w:id="3" w:name="_Hlt36471001"/>
      <w:r>
        <w:rPr>
          <w:rStyle w:val="52"/>
          <w:rFonts w:hint="eastAsia" w:ascii="宋体" w:hAnsi="宋体" w:cs="宋体"/>
          <w:color w:val="000000" w:themeColor="text1"/>
          <w14:textFill>
            <w14:solidFill>
              <w14:schemeClr w14:val="tx1"/>
            </w14:solidFill>
          </w14:textFill>
        </w:rPr>
        <w:t>须</w:t>
      </w:r>
      <w:bookmarkEnd w:id="3"/>
      <w:r>
        <w:rPr>
          <w:rStyle w:val="52"/>
          <w:rFonts w:hint="eastAsia" w:ascii="宋体" w:hAnsi="宋体" w:cs="宋体"/>
          <w:color w:val="000000" w:themeColor="text1"/>
          <w14:textFill>
            <w14:solidFill>
              <w14:schemeClr w14:val="tx1"/>
            </w14:solidFill>
          </w14:textFill>
        </w:rPr>
        <w:t>知</w:t>
      </w:r>
      <w:r>
        <w:rPr>
          <w:rFonts w:hint="eastAsia" w:ascii="宋体" w:hAnsi="宋体" w:cs="宋体"/>
          <w:color w:val="000000" w:themeColor="text1"/>
          <w14:textFill>
            <w14:solidFill>
              <w14:schemeClr w14:val="tx1"/>
            </w14:solidFill>
          </w14:textFill>
        </w:rPr>
        <w:tab/>
      </w:r>
      <w:r>
        <w:rPr>
          <w:rFonts w:hint="eastAsia" w:ascii="宋体" w:hAnsi="宋体" w:cs="宋体"/>
          <w:color w:val="000000" w:themeColor="text1"/>
          <w14:textFill>
            <w14:solidFill>
              <w14:schemeClr w14:val="tx1"/>
            </w14:solidFill>
          </w14:textFill>
        </w:rPr>
        <w:fldChar w:fldCharType="begin"/>
      </w:r>
      <w:r>
        <w:rPr>
          <w:rFonts w:hint="eastAsia" w:ascii="宋体" w:hAnsi="宋体" w:cs="宋体"/>
          <w:color w:val="000000" w:themeColor="text1"/>
          <w14:textFill>
            <w14:solidFill>
              <w14:schemeClr w14:val="tx1"/>
            </w14:solidFill>
          </w14:textFill>
        </w:rPr>
        <w:instrText xml:space="preserve"> PAGEREF _Toc475283881 \h </w:instrText>
      </w:r>
      <w:r>
        <w:rPr>
          <w:rFonts w:hint="eastAsia" w:ascii="宋体" w:hAnsi="宋体" w:cs="宋体"/>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11</w:t>
      </w:r>
      <w:r>
        <w:rPr>
          <w:rFonts w:hint="eastAsia" w:ascii="宋体" w:hAnsi="宋体" w:cs="宋体"/>
          <w:color w:val="000000" w:themeColor="text1"/>
          <w14:textFill>
            <w14:solidFill>
              <w14:schemeClr w14:val="tx1"/>
            </w14:solidFill>
          </w14:textFill>
        </w:rPr>
        <w:fldChar w:fldCharType="end"/>
      </w:r>
      <w:r>
        <w:rPr>
          <w:rFonts w:hint="eastAsia" w:ascii="宋体" w:hAnsi="宋体" w:cs="宋体"/>
          <w:color w:val="000000" w:themeColor="text1"/>
          <w14:textFill>
            <w14:solidFill>
              <w14:schemeClr w14:val="tx1"/>
            </w14:solidFill>
          </w14:textFill>
        </w:rPr>
        <w:fldChar w:fldCharType="end"/>
      </w:r>
    </w:p>
    <w:p>
      <w:pPr>
        <w:pStyle w:val="33"/>
        <w:tabs>
          <w:tab w:val="right" w:leader="dot" w:pos="8846"/>
        </w:tabs>
        <w:rPr>
          <w:rFonts w:ascii="宋体" w:hAnsi="宋体" w:cs="宋体"/>
          <w:b w:val="0"/>
          <w:color w:val="000000" w:themeColor="text1"/>
          <w:sz w:val="21"/>
          <w:szCs w:val="22"/>
          <w14:textFill>
            <w14:solidFill>
              <w14:schemeClr w14:val="tx1"/>
            </w14:solidFill>
          </w14:textFill>
        </w:rPr>
      </w:pPr>
      <w:r>
        <w:fldChar w:fldCharType="begin"/>
      </w:r>
      <w:r>
        <w:instrText xml:space="preserve"> HYPERLINK \l "_Toc475283882" </w:instrText>
      </w:r>
      <w:r>
        <w:fldChar w:fldCharType="separate"/>
      </w:r>
      <w:r>
        <w:rPr>
          <w:rStyle w:val="52"/>
          <w:rFonts w:hint="eastAsia" w:ascii="宋体" w:hAnsi="宋体" w:cs="宋体"/>
          <w:color w:val="000000" w:themeColor="text1"/>
          <w14:textFill>
            <w14:solidFill>
              <w14:schemeClr w14:val="tx1"/>
            </w14:solidFill>
          </w14:textFill>
        </w:rPr>
        <w:t>第四章  评标办法及评分标准</w:t>
      </w:r>
      <w:r>
        <w:rPr>
          <w:rFonts w:hint="eastAsia" w:ascii="宋体" w:hAnsi="宋体" w:cs="宋体"/>
          <w:color w:val="000000" w:themeColor="text1"/>
          <w14:textFill>
            <w14:solidFill>
              <w14:schemeClr w14:val="tx1"/>
            </w14:solidFill>
          </w14:textFill>
        </w:rPr>
        <w:tab/>
      </w:r>
      <w:r>
        <w:rPr>
          <w:rFonts w:hint="eastAsia" w:ascii="宋体" w:hAnsi="宋体" w:cs="宋体"/>
          <w:color w:val="000000" w:themeColor="text1"/>
          <w14:textFill>
            <w14:solidFill>
              <w14:schemeClr w14:val="tx1"/>
            </w14:solidFill>
          </w14:textFill>
        </w:rPr>
        <w:fldChar w:fldCharType="begin"/>
      </w:r>
      <w:r>
        <w:rPr>
          <w:rFonts w:hint="eastAsia" w:ascii="宋体" w:hAnsi="宋体" w:cs="宋体"/>
          <w:color w:val="000000" w:themeColor="text1"/>
          <w14:textFill>
            <w14:solidFill>
              <w14:schemeClr w14:val="tx1"/>
            </w14:solidFill>
          </w14:textFill>
        </w:rPr>
        <w:instrText xml:space="preserve"> PAGEREF _Toc475283882 \h </w:instrText>
      </w:r>
      <w:r>
        <w:rPr>
          <w:rFonts w:hint="eastAsia" w:ascii="宋体" w:hAnsi="宋体" w:cs="宋体"/>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21</w:t>
      </w:r>
      <w:r>
        <w:rPr>
          <w:rFonts w:hint="eastAsia" w:ascii="宋体" w:hAnsi="宋体" w:cs="宋体"/>
          <w:color w:val="000000" w:themeColor="text1"/>
          <w14:textFill>
            <w14:solidFill>
              <w14:schemeClr w14:val="tx1"/>
            </w14:solidFill>
          </w14:textFill>
        </w:rPr>
        <w:fldChar w:fldCharType="end"/>
      </w:r>
      <w:r>
        <w:rPr>
          <w:rFonts w:hint="eastAsia" w:ascii="宋体" w:hAnsi="宋体" w:cs="宋体"/>
          <w:color w:val="000000" w:themeColor="text1"/>
          <w14:textFill>
            <w14:solidFill>
              <w14:schemeClr w14:val="tx1"/>
            </w14:solidFill>
          </w14:textFill>
        </w:rPr>
        <w:fldChar w:fldCharType="end"/>
      </w:r>
    </w:p>
    <w:p>
      <w:pPr>
        <w:pStyle w:val="33"/>
        <w:tabs>
          <w:tab w:val="right" w:leader="dot" w:pos="8846"/>
        </w:tabs>
        <w:rPr>
          <w:rFonts w:ascii="宋体" w:hAnsi="宋体" w:cs="宋体"/>
          <w:b w:val="0"/>
          <w:color w:val="000000" w:themeColor="text1"/>
          <w:sz w:val="21"/>
          <w:szCs w:val="22"/>
          <w14:textFill>
            <w14:solidFill>
              <w14:schemeClr w14:val="tx1"/>
            </w14:solidFill>
          </w14:textFill>
        </w:rPr>
      </w:pPr>
      <w:r>
        <w:fldChar w:fldCharType="begin"/>
      </w:r>
      <w:r>
        <w:instrText xml:space="preserve"> HYPERLINK \l "_Toc475283883" </w:instrText>
      </w:r>
      <w:r>
        <w:fldChar w:fldCharType="separate"/>
      </w:r>
      <w:r>
        <w:rPr>
          <w:rStyle w:val="52"/>
          <w:rFonts w:hint="eastAsia" w:ascii="宋体" w:hAnsi="宋体" w:cs="宋体"/>
          <w:color w:val="000000" w:themeColor="text1"/>
          <w14:textFill>
            <w14:solidFill>
              <w14:schemeClr w14:val="tx1"/>
            </w14:solidFill>
          </w14:textFill>
        </w:rPr>
        <w:t>第五章  政府采购合同（</w:t>
      </w:r>
      <w:r>
        <w:rPr>
          <w:rStyle w:val="52"/>
          <w:rFonts w:hint="eastAsia" w:ascii="宋体" w:hAnsi="宋体" w:cs="宋体"/>
          <w:color w:val="000000" w:themeColor="text1"/>
          <w:lang w:val="en-US" w:eastAsia="zh-CN"/>
          <w14:textFill>
            <w14:solidFill>
              <w14:schemeClr w14:val="tx1"/>
            </w14:solidFill>
          </w14:textFill>
        </w:rPr>
        <w:t>服务</w:t>
      </w:r>
      <w:r>
        <w:rPr>
          <w:rStyle w:val="52"/>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ab/>
      </w:r>
      <w:r>
        <w:rPr>
          <w:rFonts w:hint="eastAsia" w:ascii="宋体" w:hAnsi="宋体" w:cs="宋体"/>
          <w:color w:val="000000" w:themeColor="text1"/>
          <w14:textFill>
            <w14:solidFill>
              <w14:schemeClr w14:val="tx1"/>
            </w14:solidFill>
          </w14:textFill>
        </w:rPr>
        <w:fldChar w:fldCharType="begin"/>
      </w:r>
      <w:r>
        <w:rPr>
          <w:rFonts w:hint="eastAsia" w:ascii="宋体" w:hAnsi="宋体" w:cs="宋体"/>
          <w:color w:val="000000" w:themeColor="text1"/>
          <w14:textFill>
            <w14:solidFill>
              <w14:schemeClr w14:val="tx1"/>
            </w14:solidFill>
          </w14:textFill>
        </w:rPr>
        <w:instrText xml:space="preserve"> PAGEREF _Toc475283883 \h </w:instrText>
      </w:r>
      <w:r>
        <w:rPr>
          <w:rFonts w:hint="eastAsia" w:ascii="宋体" w:hAnsi="宋体" w:cs="宋体"/>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30</w:t>
      </w:r>
      <w:r>
        <w:rPr>
          <w:rFonts w:hint="eastAsia" w:ascii="宋体" w:hAnsi="宋体" w:cs="宋体"/>
          <w:color w:val="000000" w:themeColor="text1"/>
          <w14:textFill>
            <w14:solidFill>
              <w14:schemeClr w14:val="tx1"/>
            </w14:solidFill>
          </w14:textFill>
        </w:rPr>
        <w:fldChar w:fldCharType="end"/>
      </w:r>
      <w:r>
        <w:rPr>
          <w:rFonts w:hint="eastAsia" w:ascii="宋体" w:hAnsi="宋体" w:cs="宋体"/>
          <w:color w:val="000000" w:themeColor="text1"/>
          <w14:textFill>
            <w14:solidFill>
              <w14:schemeClr w14:val="tx1"/>
            </w14:solidFill>
          </w14:textFill>
        </w:rPr>
        <w:fldChar w:fldCharType="end"/>
      </w:r>
    </w:p>
    <w:p>
      <w:pPr>
        <w:pStyle w:val="33"/>
        <w:tabs>
          <w:tab w:val="right" w:leader="dot" w:pos="8846"/>
        </w:tabs>
        <w:rPr>
          <w:rFonts w:ascii="宋体" w:hAnsi="宋体" w:cs="宋体"/>
          <w:b w:val="0"/>
          <w:color w:val="000000" w:themeColor="text1"/>
          <w:sz w:val="21"/>
          <w:szCs w:val="22"/>
          <w14:textFill>
            <w14:solidFill>
              <w14:schemeClr w14:val="tx1"/>
            </w14:solidFill>
          </w14:textFill>
        </w:rPr>
      </w:pPr>
      <w:r>
        <w:fldChar w:fldCharType="begin"/>
      </w:r>
      <w:r>
        <w:instrText xml:space="preserve"> HYPERLINK \l "_Toc475283884" </w:instrText>
      </w:r>
      <w:r>
        <w:fldChar w:fldCharType="separate"/>
      </w:r>
      <w:r>
        <w:rPr>
          <w:rStyle w:val="52"/>
          <w:rFonts w:hint="eastAsia" w:ascii="宋体" w:hAnsi="宋体" w:cs="宋体"/>
          <w:color w:val="000000" w:themeColor="text1"/>
          <w14:textFill>
            <w14:solidFill>
              <w14:schemeClr w14:val="tx1"/>
            </w14:solidFill>
          </w14:textFill>
        </w:rPr>
        <w:t>第六章  投标文件格式</w:t>
      </w:r>
      <w:r>
        <w:rPr>
          <w:rFonts w:hint="eastAsia" w:ascii="宋体" w:hAnsi="宋体" w:cs="宋体"/>
          <w:color w:val="000000" w:themeColor="text1"/>
          <w14:textFill>
            <w14:solidFill>
              <w14:schemeClr w14:val="tx1"/>
            </w14:solidFill>
          </w14:textFill>
        </w:rPr>
        <w:tab/>
      </w:r>
      <w:r>
        <w:rPr>
          <w:rFonts w:hint="eastAsia" w:ascii="宋体" w:hAnsi="宋体" w:cs="宋体"/>
          <w:color w:val="000000" w:themeColor="text1"/>
          <w14:textFill>
            <w14:solidFill>
              <w14:schemeClr w14:val="tx1"/>
            </w14:solidFill>
          </w14:textFill>
        </w:rPr>
        <w:fldChar w:fldCharType="begin"/>
      </w:r>
      <w:r>
        <w:rPr>
          <w:rFonts w:hint="eastAsia" w:ascii="宋体" w:hAnsi="宋体" w:cs="宋体"/>
          <w:color w:val="000000" w:themeColor="text1"/>
          <w14:textFill>
            <w14:solidFill>
              <w14:schemeClr w14:val="tx1"/>
            </w14:solidFill>
          </w14:textFill>
        </w:rPr>
        <w:instrText xml:space="preserve"> PAGEREF _Toc475283884 \h </w:instrText>
      </w:r>
      <w:r>
        <w:rPr>
          <w:rFonts w:hint="eastAsia" w:ascii="宋体" w:hAnsi="宋体" w:cs="宋体"/>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32</w:t>
      </w:r>
      <w:r>
        <w:rPr>
          <w:rFonts w:hint="eastAsia" w:ascii="宋体" w:hAnsi="宋体" w:cs="宋体"/>
          <w:color w:val="000000" w:themeColor="text1"/>
          <w14:textFill>
            <w14:solidFill>
              <w14:schemeClr w14:val="tx1"/>
            </w14:solidFill>
          </w14:textFill>
        </w:rPr>
        <w:fldChar w:fldCharType="end"/>
      </w:r>
      <w:r>
        <w:rPr>
          <w:rFonts w:hint="eastAsia" w:ascii="宋体" w:hAnsi="宋体" w:cs="宋体"/>
          <w:color w:val="000000" w:themeColor="text1"/>
          <w14:textFill>
            <w14:solidFill>
              <w14:schemeClr w14:val="tx1"/>
            </w14:solidFill>
          </w14:textFill>
        </w:rPr>
        <w:fldChar w:fldCharType="end"/>
      </w:r>
    </w:p>
    <w:p>
      <w:pPr>
        <w:rPr>
          <w:rFonts w:ascii="宋体" w:hAnsi="宋体" w:cs="宋体"/>
          <w:color w:val="000000" w:themeColor="text1"/>
          <w14:textFill>
            <w14:solidFill>
              <w14:schemeClr w14:val="tx1"/>
            </w14:solidFill>
          </w14:textFill>
        </w:rPr>
      </w:pPr>
      <w:r>
        <w:rPr>
          <w:rFonts w:hint="eastAsia" w:ascii="宋体" w:hAnsi="宋体" w:cs="宋体"/>
          <w:b/>
          <w:color w:val="000000" w:themeColor="text1"/>
          <w:sz w:val="32"/>
          <w14:textFill>
            <w14:solidFill>
              <w14:schemeClr w14:val="tx1"/>
            </w14:solidFill>
          </w14:textFill>
        </w:rPr>
        <w:fldChar w:fldCharType="end"/>
      </w:r>
    </w:p>
    <w:p>
      <w:pPr>
        <w:pStyle w:val="33"/>
        <w:tabs>
          <w:tab w:val="right" w:leader="dot" w:pos="8721"/>
        </w:tabs>
        <w:spacing w:line="360" w:lineRule="auto"/>
        <w:rPr>
          <w:rFonts w:ascii="宋体" w:hAnsi="宋体" w:cs="宋体"/>
          <w:b w:val="0"/>
          <w:color w:val="000000" w:themeColor="text1"/>
          <w:sz w:val="30"/>
          <w:szCs w:val="30"/>
          <w14:textFill>
            <w14:solidFill>
              <w14:schemeClr w14:val="tx1"/>
            </w14:solidFill>
          </w14:textFill>
        </w:rPr>
      </w:pPr>
      <w:r>
        <w:rPr>
          <w:rFonts w:hint="eastAsia" w:ascii="宋体" w:hAnsi="宋体" w:cs="宋体"/>
          <w:b w:val="0"/>
          <w:color w:val="000000" w:themeColor="text1"/>
          <w:sz w:val="30"/>
          <w:szCs w:val="30"/>
          <w14:textFill>
            <w14:solidFill>
              <w14:schemeClr w14:val="tx1"/>
            </w14:solidFill>
          </w14:textFill>
        </w:rPr>
        <w:fldChar w:fldCharType="begin"/>
      </w:r>
      <w:r>
        <w:rPr>
          <w:rFonts w:hint="eastAsia" w:ascii="宋体" w:hAnsi="宋体" w:cs="宋体"/>
          <w:b w:val="0"/>
          <w:color w:val="000000" w:themeColor="text1"/>
          <w:sz w:val="30"/>
          <w:szCs w:val="30"/>
          <w14:textFill>
            <w14:solidFill>
              <w14:schemeClr w14:val="tx1"/>
            </w14:solidFill>
          </w14:textFill>
        </w:rPr>
        <w:instrText xml:space="preserve"> TOC \o "1-3" \h \z \u </w:instrText>
      </w:r>
      <w:r>
        <w:rPr>
          <w:rFonts w:hint="eastAsia" w:ascii="宋体" w:hAnsi="宋体" w:cs="宋体"/>
          <w:b w:val="0"/>
          <w:color w:val="000000" w:themeColor="text1"/>
          <w:sz w:val="30"/>
          <w:szCs w:val="30"/>
          <w14:textFill>
            <w14:solidFill>
              <w14:schemeClr w14:val="tx1"/>
            </w14:solidFill>
          </w14:textFill>
        </w:rPr>
        <w:fldChar w:fldCharType="separate"/>
      </w:r>
    </w:p>
    <w:p>
      <w:pPr>
        <w:spacing w:before="120" w:after="120" w:line="360" w:lineRule="auto"/>
        <w:jc w:val="center"/>
        <w:rPr>
          <w:rFonts w:ascii="宋体" w:hAnsi="宋体" w:cs="宋体"/>
          <w:b/>
          <w:color w:val="000000" w:themeColor="text1"/>
          <w:sz w:val="30"/>
          <w:szCs w:val="30"/>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fldChar w:fldCharType="end"/>
      </w:r>
    </w:p>
    <w:p>
      <w:pPr>
        <w:spacing w:before="120" w:after="120" w:line="360" w:lineRule="auto"/>
        <w:jc w:val="center"/>
        <w:rPr>
          <w:rFonts w:ascii="宋体" w:hAnsi="宋体" w:cs="宋体"/>
          <w:b/>
          <w:color w:val="000000" w:themeColor="text1"/>
          <w:sz w:val="30"/>
          <w:szCs w:val="30"/>
          <w14:textFill>
            <w14:solidFill>
              <w14:schemeClr w14:val="tx1"/>
            </w14:solidFill>
          </w14:textFill>
        </w:rPr>
      </w:pPr>
    </w:p>
    <w:p>
      <w:pPr>
        <w:spacing w:before="120" w:after="120" w:line="360" w:lineRule="auto"/>
        <w:jc w:val="center"/>
        <w:rPr>
          <w:rFonts w:ascii="宋体" w:hAnsi="宋体" w:cs="宋体"/>
          <w:b/>
          <w:color w:val="000000" w:themeColor="text1"/>
          <w:sz w:val="30"/>
          <w:szCs w:val="30"/>
          <w14:textFill>
            <w14:solidFill>
              <w14:schemeClr w14:val="tx1"/>
            </w14:solidFill>
          </w14:textFill>
        </w:rPr>
      </w:pPr>
    </w:p>
    <w:p>
      <w:pPr>
        <w:spacing w:before="120" w:after="120" w:line="360" w:lineRule="auto"/>
        <w:jc w:val="center"/>
        <w:rPr>
          <w:rFonts w:ascii="宋体" w:hAnsi="宋体" w:cs="宋体"/>
          <w:b/>
          <w:color w:val="000000" w:themeColor="text1"/>
          <w:sz w:val="30"/>
          <w:szCs w:val="30"/>
          <w14:textFill>
            <w14:solidFill>
              <w14:schemeClr w14:val="tx1"/>
            </w14:solidFill>
          </w14:textFill>
        </w:rPr>
        <w:sectPr>
          <w:footerReference r:id="rId6" w:type="first"/>
          <w:headerReference r:id="rId3" w:type="default"/>
          <w:footerReference r:id="rId4" w:type="default"/>
          <w:footerReference r:id="rId5" w:type="even"/>
          <w:pgSz w:w="11906" w:h="16838"/>
          <w:pgMar w:top="1440" w:right="1440" w:bottom="1440" w:left="1610" w:header="851" w:footer="992" w:gutter="0"/>
          <w:pgNumType w:start="1"/>
          <w:cols w:space="720" w:num="1"/>
          <w:titlePg/>
          <w:docGrid w:type="lines" w:linePitch="312" w:charSpace="0"/>
        </w:sectPr>
      </w:pPr>
    </w:p>
    <w:p>
      <w:pPr>
        <w:pStyle w:val="3"/>
        <w:spacing w:before="0" w:after="0" w:line="360" w:lineRule="auto"/>
        <w:contextualSpacing/>
        <w:rPr>
          <w:rFonts w:ascii="宋体" w:hAnsi="宋体" w:cs="宋体"/>
          <w:color w:val="000000" w:themeColor="text1"/>
          <w14:textFill>
            <w14:solidFill>
              <w14:schemeClr w14:val="tx1"/>
            </w14:solidFill>
          </w14:textFill>
        </w:rPr>
      </w:pPr>
      <w:bookmarkStart w:id="4" w:name="_Toc475283879"/>
      <w:r>
        <w:rPr>
          <w:rFonts w:hint="eastAsia" w:ascii="宋体" w:hAnsi="宋体" w:cs="宋体"/>
          <w:color w:val="000000" w:themeColor="text1"/>
          <w14:textFill>
            <w14:solidFill>
              <w14:schemeClr w14:val="tx1"/>
            </w14:solidFill>
          </w14:textFill>
        </w:rPr>
        <w:t>第一章  公开招标采购公告</w:t>
      </w:r>
      <w:bookmarkEnd w:id="4"/>
    </w:p>
    <w:p>
      <w:pPr>
        <w:contextualSpacing/>
        <w:rPr>
          <w:rFonts w:ascii="宋体" w:hAnsi="宋体" w:cs="宋体"/>
          <w:color w:val="000000" w:themeColor="text1"/>
          <w14:textFill>
            <w14:solidFill>
              <w14:schemeClr w14:val="tx1"/>
            </w14:solidFill>
          </w14:textFill>
        </w:rPr>
      </w:pPr>
    </w:p>
    <w:p>
      <w:pPr>
        <w:pBdr>
          <w:top w:val="single" w:color="auto" w:sz="4" w:space="1"/>
          <w:left w:val="single" w:color="auto" w:sz="4" w:space="4"/>
          <w:bottom w:val="single" w:color="auto" w:sz="4" w:space="1"/>
          <w:right w:val="single" w:color="auto" w:sz="4" w:space="4"/>
        </w:pBdr>
        <w:spacing w:line="360" w:lineRule="auto"/>
        <w:ind w:firstLine="420" w:firstLineChars="200"/>
        <w:contextualSpacing/>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contextualSpacing/>
        <w:rPr>
          <w:rFonts w:ascii="宋体" w:hAnsi="宋体" w:cs="宋体"/>
          <w:color w:val="000000" w:themeColor="text1"/>
          <w14:textFill>
            <w14:solidFill>
              <w14:schemeClr w14:val="tx1"/>
            </w14:solidFill>
          </w14:textFill>
        </w:rPr>
      </w:pPr>
      <w:r>
        <w:rPr>
          <w:rFonts w:hint="eastAsia" w:ascii="宋体" w:hAnsi="宋体" w:cs="宋体"/>
          <w:color w:val="000000" w:themeColor="text1"/>
          <w:u w:val="single"/>
          <w:lang w:eastAsia="zh-CN"/>
          <w14:textFill>
            <w14:solidFill>
              <w14:schemeClr w14:val="tx1"/>
            </w14:solidFill>
          </w14:textFill>
        </w:rPr>
        <w:t>宁波市公安局镇海分局数侦云觅服务项目（第二次）</w:t>
      </w:r>
      <w:r>
        <w:rPr>
          <w:rFonts w:hint="eastAsia" w:ascii="宋体" w:hAnsi="宋体" w:cs="宋体"/>
          <w:color w:val="000000" w:themeColor="text1"/>
          <w14:textFill>
            <w14:solidFill>
              <w14:schemeClr w14:val="tx1"/>
            </w14:solidFill>
          </w14:textFill>
        </w:rPr>
        <w:t>的潜在投标人应在政采云平台（</w:t>
      </w:r>
      <w:r>
        <w:rPr>
          <w:rFonts w:hint="eastAsia" w:ascii="宋体" w:hAnsi="宋体" w:cs="宋体"/>
          <w:color w:val="000000" w:themeColor="text1"/>
          <w:kern w:val="0"/>
          <w:szCs w:val="21"/>
          <w14:textFill>
            <w14:solidFill>
              <w14:schemeClr w14:val="tx1"/>
            </w14:solidFill>
          </w14:textFill>
        </w:rPr>
        <w:t>https://www.zcygov.cn/</w:t>
      </w:r>
      <w:r>
        <w:rPr>
          <w:rFonts w:hint="eastAsia" w:ascii="宋体" w:hAnsi="宋体" w:cs="宋体"/>
          <w:color w:val="000000" w:themeColor="text1"/>
          <w14:textFill>
            <w14:solidFill>
              <w14:schemeClr w14:val="tx1"/>
            </w14:solidFill>
          </w14:textFill>
        </w:rPr>
        <w:t>）获取（下载）招标文件，并于202</w:t>
      </w:r>
      <w:r>
        <w:rPr>
          <w:rFonts w:hint="eastAsia" w:ascii="宋体" w:hAnsi="宋体" w:cs="宋体"/>
          <w:color w:val="000000" w:themeColor="text1"/>
          <w:lang w:val="en-US" w:eastAsia="zh-CN"/>
          <w14:textFill>
            <w14:solidFill>
              <w14:schemeClr w14:val="tx1"/>
            </w14:solidFill>
          </w14:textFill>
        </w:rPr>
        <w:t>2</w:t>
      </w:r>
      <w:r>
        <w:rPr>
          <w:rFonts w:hint="eastAsia" w:ascii="宋体" w:hAnsi="宋体" w:cs="宋体"/>
          <w:color w:val="000000" w:themeColor="text1"/>
          <w14:textFill>
            <w14:solidFill>
              <w14:schemeClr w14:val="tx1"/>
            </w14:solidFill>
          </w14:textFill>
        </w:rPr>
        <w:t>年</w:t>
      </w:r>
      <w:r>
        <w:rPr>
          <w:rFonts w:hint="eastAsia" w:ascii="宋体" w:hAnsi="宋体" w:cs="宋体"/>
          <w:color w:val="000000" w:themeColor="text1"/>
          <w:lang w:val="en-US" w:eastAsia="zh-CN"/>
          <w14:textFill>
            <w14:solidFill>
              <w14:schemeClr w14:val="tx1"/>
            </w14:solidFill>
          </w14:textFill>
        </w:rPr>
        <w:t>12</w:t>
      </w:r>
      <w:r>
        <w:rPr>
          <w:rFonts w:hint="eastAsia" w:ascii="宋体" w:hAnsi="宋体" w:cs="宋体"/>
          <w:color w:val="000000" w:themeColor="text1"/>
          <w14:textFill>
            <w14:solidFill>
              <w14:schemeClr w14:val="tx1"/>
            </w14:solidFill>
          </w14:textFill>
        </w:rPr>
        <w:t>月</w:t>
      </w:r>
      <w:r>
        <w:rPr>
          <w:rFonts w:hint="eastAsia" w:ascii="宋体" w:hAnsi="宋体" w:cs="宋体"/>
          <w:color w:val="000000" w:themeColor="text1"/>
          <w:lang w:val="en-US" w:eastAsia="zh-CN"/>
          <w14:textFill>
            <w14:solidFill>
              <w14:schemeClr w14:val="tx1"/>
            </w14:solidFill>
          </w14:textFill>
        </w:rPr>
        <w:t>01</w:t>
      </w:r>
      <w:r>
        <w:rPr>
          <w:rFonts w:hint="eastAsia" w:ascii="宋体" w:hAnsi="宋体" w:cs="宋体"/>
          <w:color w:val="000000" w:themeColor="text1"/>
          <w14:textFill>
            <w14:solidFill>
              <w14:schemeClr w14:val="tx1"/>
            </w14:solidFill>
          </w14:textFill>
        </w:rPr>
        <w:t>日</w:t>
      </w:r>
      <w:r>
        <w:rPr>
          <w:rFonts w:hint="eastAsia" w:ascii="宋体" w:hAnsi="宋体" w:cs="宋体"/>
          <w:color w:val="000000" w:themeColor="text1"/>
          <w:lang w:val="en-US" w:eastAsia="zh-CN"/>
          <w14:textFill>
            <w14:solidFill>
              <w14:schemeClr w14:val="tx1"/>
            </w14:solidFill>
          </w14:textFill>
        </w:rPr>
        <w:t>09</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00</w:t>
      </w:r>
      <w:r>
        <w:rPr>
          <w:rFonts w:hint="eastAsia" w:ascii="宋体" w:hAnsi="宋体" w:cs="宋体"/>
          <w:color w:val="000000" w:themeColor="text1"/>
          <w14:textFill>
            <w14:solidFill>
              <w14:schemeClr w14:val="tx1"/>
            </w14:solidFill>
          </w14:textFill>
        </w:rPr>
        <w:t>（北京时间）前提交（上传）投标文件。</w:t>
      </w:r>
    </w:p>
    <w:p>
      <w:pPr>
        <w:adjustRightInd w:val="0"/>
        <w:snapToGrid w:val="0"/>
        <w:spacing w:before="360" w:beforeLines="150" w:line="360" w:lineRule="auto"/>
        <w:contextualSpacing/>
        <w:jc w:val="left"/>
        <w:rPr>
          <w:rFonts w:ascii="宋体" w:hAnsi="宋体" w:cs="宋体"/>
          <w:b/>
          <w:bCs/>
          <w:color w:val="000000" w:themeColor="text1"/>
          <w:kern w:val="0"/>
          <w:sz w:val="10"/>
          <w:szCs w:val="10"/>
          <w14:textFill>
            <w14:solidFill>
              <w14:schemeClr w14:val="tx1"/>
            </w14:solidFill>
          </w14:textFill>
        </w:rPr>
      </w:pPr>
      <w:bookmarkStart w:id="5" w:name="_Toc35393790"/>
      <w:bookmarkStart w:id="6" w:name="_Toc28359079"/>
      <w:bookmarkStart w:id="7" w:name="_Toc28359002"/>
      <w:bookmarkStart w:id="8" w:name="_Toc35393621"/>
      <w:bookmarkStart w:id="9" w:name="_Hlk24379207"/>
    </w:p>
    <w:p>
      <w:pPr>
        <w:adjustRightInd w:val="0"/>
        <w:snapToGrid w:val="0"/>
        <w:spacing w:before="360" w:beforeLines="150" w:line="348" w:lineRule="auto"/>
        <w:contextualSpacing/>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一、项目基本情况</w:t>
      </w:r>
      <w:bookmarkEnd w:id="5"/>
      <w:bookmarkEnd w:id="6"/>
      <w:bookmarkEnd w:id="7"/>
      <w:bookmarkEnd w:id="8"/>
    </w:p>
    <w:p>
      <w:pPr>
        <w:spacing w:line="348" w:lineRule="auto"/>
        <w:ind w:firstLine="420" w:firstLineChars="200"/>
        <w:contextualSpacing/>
        <w:jc w:val="left"/>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项目编号：</w:t>
      </w:r>
      <w:r>
        <w:rPr>
          <w:rFonts w:hint="eastAsia" w:ascii="宋体" w:hAnsi="宋体" w:cs="宋体"/>
          <w:color w:val="000000" w:themeColor="text1"/>
          <w:kern w:val="0"/>
          <w:szCs w:val="21"/>
          <w:lang w:eastAsia="zh-CN"/>
          <w14:textFill>
            <w14:solidFill>
              <w14:schemeClr w14:val="tx1"/>
            </w14:solidFill>
          </w14:textFill>
        </w:rPr>
        <w:t>CBZJ-20223134G</w:t>
      </w:r>
    </w:p>
    <w:p>
      <w:pPr>
        <w:spacing w:line="348" w:lineRule="auto"/>
        <w:ind w:firstLine="420" w:firstLineChars="200"/>
        <w:contextualSpacing/>
        <w:jc w:val="left"/>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项目名称：</w:t>
      </w:r>
      <w:bookmarkEnd w:id="9"/>
      <w:r>
        <w:rPr>
          <w:rFonts w:hint="eastAsia" w:ascii="宋体" w:hAnsi="宋体" w:cs="宋体"/>
          <w:bCs/>
          <w:color w:val="000000" w:themeColor="text1"/>
          <w:kern w:val="0"/>
          <w:szCs w:val="21"/>
          <w:lang w:eastAsia="zh-CN"/>
          <w14:textFill>
            <w14:solidFill>
              <w14:schemeClr w14:val="tx1"/>
            </w14:solidFill>
          </w14:textFill>
        </w:rPr>
        <w:t>宁波市公安局镇海分局数侦云觅服务项目（第二次）</w:t>
      </w:r>
    </w:p>
    <w:p>
      <w:pPr>
        <w:spacing w:line="348" w:lineRule="auto"/>
        <w:ind w:firstLine="420" w:firstLineChars="200"/>
        <w:contextualSpacing/>
        <w:jc w:val="left"/>
        <w:rPr>
          <w:rFonts w:hint="default"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预算金额（元）：</w:t>
      </w:r>
      <w:r>
        <w:rPr>
          <w:rFonts w:hint="eastAsia" w:ascii="宋体" w:hAnsi="宋体" w:cs="宋体"/>
          <w:color w:val="000000" w:themeColor="text1"/>
          <w:kern w:val="0"/>
          <w:szCs w:val="21"/>
          <w:lang w:val="en-US" w:eastAsia="zh-CN"/>
          <w14:textFill>
            <w14:solidFill>
              <w14:schemeClr w14:val="tx1"/>
            </w14:solidFill>
          </w14:textFill>
        </w:rPr>
        <w:t>450000</w:t>
      </w:r>
    </w:p>
    <w:p>
      <w:pPr>
        <w:spacing w:line="348" w:lineRule="auto"/>
        <w:ind w:firstLine="420" w:firstLineChars="200"/>
        <w:contextualSpacing/>
        <w:jc w:val="left"/>
        <w:rPr>
          <w:rFonts w:hint="default"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最高限价（元）：</w:t>
      </w:r>
      <w:r>
        <w:rPr>
          <w:rFonts w:hint="eastAsia" w:ascii="宋体" w:hAnsi="宋体" w:cs="宋体"/>
          <w:color w:val="000000" w:themeColor="text1"/>
          <w:kern w:val="0"/>
          <w:szCs w:val="21"/>
          <w:highlight w:val="none"/>
          <w:lang w:val="en-US" w:eastAsia="zh-CN"/>
          <w14:textFill>
            <w14:solidFill>
              <w14:schemeClr w14:val="tx1"/>
            </w14:solidFill>
          </w14:textFill>
        </w:rPr>
        <w:t>390000</w:t>
      </w:r>
    </w:p>
    <w:p>
      <w:pPr>
        <w:spacing w:line="348" w:lineRule="auto"/>
        <w:ind w:firstLine="420" w:firstLineChars="200"/>
        <w:contextualSpacing/>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采购需求：</w:t>
      </w:r>
    </w:p>
    <w:p>
      <w:pPr>
        <w:spacing w:line="348" w:lineRule="auto"/>
        <w:contextualSpacing/>
        <w:jc w:val="left"/>
        <w:rPr>
          <w:rFonts w:hint="eastAsia" w:ascii="宋体" w:hAnsi="宋体" w:cs="宋体"/>
          <w:color w:val="000000" w:themeColor="text1"/>
          <w:kern w:val="0"/>
          <w:szCs w:val="21"/>
          <w:lang w:val="en-US" w:eastAsia="zh-CN"/>
          <w14:textFill>
            <w14:solidFill>
              <w14:schemeClr w14:val="tx1"/>
            </w14:solidFill>
          </w14:textFill>
        </w:rPr>
      </w:pPr>
    </w:p>
    <w:p>
      <w:pPr>
        <w:spacing w:line="348" w:lineRule="auto"/>
        <w:ind w:firstLine="420" w:firstLineChars="200"/>
        <w:contextualSpacing/>
        <w:jc w:val="left"/>
        <w:rPr>
          <w:rFonts w:hint="eastAsia" w:ascii="宋体" w:hAnsi="宋体" w:eastAsia="宋体" w:cs="宋体"/>
          <w:color w:val="000000" w:themeColor="text1"/>
          <w:kern w:val="0"/>
          <w:szCs w:val="21"/>
          <w:highlight w:val="none"/>
          <w:lang w:eastAsia="zh-CN"/>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标项名称：</w:t>
      </w:r>
      <w:r>
        <w:rPr>
          <w:rFonts w:hint="eastAsia" w:ascii="宋体" w:hAnsi="宋体" w:cs="宋体"/>
          <w:color w:val="000000" w:themeColor="text1"/>
          <w:kern w:val="0"/>
          <w:szCs w:val="21"/>
          <w:highlight w:val="none"/>
          <w:lang w:eastAsia="zh-CN"/>
          <w14:textFill>
            <w14:solidFill>
              <w14:schemeClr w14:val="tx1"/>
            </w14:solidFill>
          </w14:textFill>
        </w:rPr>
        <w:t>宁波市公安局镇海分局数侦云觅服务项目（第二次）</w:t>
      </w:r>
    </w:p>
    <w:p>
      <w:pPr>
        <w:spacing w:line="348" w:lineRule="auto"/>
        <w:ind w:firstLine="420" w:firstLineChars="200"/>
        <w:contextualSpacing/>
        <w:jc w:val="left"/>
        <w:rPr>
          <w:rFonts w:hint="eastAsia"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数量：1</w:t>
      </w:r>
    </w:p>
    <w:p>
      <w:pPr>
        <w:spacing w:line="348" w:lineRule="auto"/>
        <w:ind w:firstLine="420" w:firstLineChars="200"/>
        <w:contextualSpacing/>
        <w:jc w:val="left"/>
        <w:rPr>
          <w:rFonts w:hint="default"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预算金额（元）：</w:t>
      </w:r>
      <w:r>
        <w:rPr>
          <w:rFonts w:hint="eastAsia" w:ascii="宋体" w:hAnsi="宋体" w:cs="宋体"/>
          <w:color w:val="000000" w:themeColor="text1"/>
          <w:kern w:val="0"/>
          <w:szCs w:val="21"/>
          <w:lang w:val="en-US" w:eastAsia="zh-CN"/>
          <w14:textFill>
            <w14:solidFill>
              <w14:schemeClr w14:val="tx1"/>
            </w14:solidFill>
          </w14:textFill>
        </w:rPr>
        <w:t>450000</w:t>
      </w:r>
    </w:p>
    <w:p>
      <w:pPr>
        <w:spacing w:line="348" w:lineRule="auto"/>
        <w:ind w:firstLine="420" w:firstLineChars="200"/>
        <w:contextualSpacing/>
        <w:jc w:val="left"/>
        <w:rPr>
          <w:rFonts w:hint="eastAsia" w:ascii="宋体" w:hAnsi="宋体" w:cs="宋体"/>
          <w:bCs/>
          <w:color w:val="000000" w:themeColor="text1"/>
          <w:kern w:val="0"/>
          <w:szCs w:val="21"/>
          <w:highlight w:val="none"/>
          <w:lang w:eastAsia="zh-CN"/>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简要规格描述或项目基本概况介绍、用途：</w:t>
      </w:r>
      <w:r>
        <w:rPr>
          <w:rFonts w:hint="eastAsia" w:ascii="宋体" w:hAnsi="宋体" w:cs="宋体"/>
          <w:bCs/>
          <w:color w:val="000000" w:themeColor="text1"/>
          <w:kern w:val="0"/>
          <w:szCs w:val="21"/>
          <w:highlight w:val="none"/>
          <w:lang w:eastAsia="zh-CN"/>
          <w14:textFill>
            <w14:solidFill>
              <w14:schemeClr w14:val="tx1"/>
            </w14:solidFill>
          </w14:textFill>
        </w:rPr>
        <w:t>具体详见 第</w:t>
      </w:r>
      <w:r>
        <w:rPr>
          <w:rFonts w:hint="eastAsia" w:ascii="宋体" w:hAnsi="宋体" w:cs="宋体"/>
          <w:bCs/>
          <w:color w:val="000000" w:themeColor="text1"/>
          <w:kern w:val="0"/>
          <w:szCs w:val="21"/>
          <w:highlight w:val="none"/>
          <w:lang w:val="en-US" w:eastAsia="zh-CN"/>
          <w14:textFill>
            <w14:solidFill>
              <w14:schemeClr w14:val="tx1"/>
            </w14:solidFill>
          </w14:textFill>
        </w:rPr>
        <w:t>二</w:t>
      </w:r>
      <w:r>
        <w:rPr>
          <w:rFonts w:hint="eastAsia" w:ascii="宋体" w:hAnsi="宋体" w:cs="宋体"/>
          <w:bCs/>
          <w:color w:val="000000" w:themeColor="text1"/>
          <w:kern w:val="0"/>
          <w:szCs w:val="21"/>
          <w:highlight w:val="none"/>
          <w:lang w:eastAsia="zh-CN"/>
          <w14:textFill>
            <w14:solidFill>
              <w14:schemeClr w14:val="tx1"/>
            </w14:solidFill>
          </w14:textFill>
        </w:rPr>
        <w:t xml:space="preserve">章 </w:t>
      </w:r>
      <w:r>
        <w:rPr>
          <w:rFonts w:hint="eastAsia" w:ascii="宋体" w:hAnsi="宋体" w:cs="宋体"/>
          <w:bCs/>
          <w:color w:val="000000" w:themeColor="text1"/>
          <w:kern w:val="0"/>
          <w:szCs w:val="21"/>
          <w:highlight w:val="none"/>
          <w:lang w:val="en-US" w:eastAsia="zh-CN"/>
          <w14:textFill>
            <w14:solidFill>
              <w14:schemeClr w14:val="tx1"/>
            </w14:solidFill>
          </w14:textFill>
        </w:rPr>
        <w:t>招标</w:t>
      </w:r>
      <w:r>
        <w:rPr>
          <w:rFonts w:hint="eastAsia" w:ascii="宋体" w:hAnsi="宋体" w:cs="宋体"/>
          <w:bCs/>
          <w:color w:val="000000" w:themeColor="text1"/>
          <w:kern w:val="0"/>
          <w:szCs w:val="21"/>
          <w:highlight w:val="none"/>
          <w:lang w:eastAsia="zh-CN"/>
          <w14:textFill>
            <w14:solidFill>
              <w14:schemeClr w14:val="tx1"/>
            </w14:solidFill>
          </w14:textFill>
        </w:rPr>
        <w:t>需求。</w:t>
      </w:r>
    </w:p>
    <w:p>
      <w:pPr>
        <w:spacing w:line="348" w:lineRule="auto"/>
        <w:ind w:firstLine="420" w:firstLineChars="200"/>
        <w:contextualSpacing/>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备注：</w:t>
      </w:r>
    </w:p>
    <w:p>
      <w:pPr>
        <w:spacing w:line="348" w:lineRule="auto"/>
        <w:contextualSpacing/>
        <w:jc w:val="left"/>
        <w:rPr>
          <w:rFonts w:ascii="宋体" w:hAnsi="宋体" w:cs="宋体"/>
          <w:color w:val="000000" w:themeColor="text1"/>
          <w:kern w:val="0"/>
          <w:szCs w:val="21"/>
          <w14:textFill>
            <w14:solidFill>
              <w14:schemeClr w14:val="tx1"/>
            </w14:solidFill>
          </w14:textFill>
        </w:rPr>
      </w:pPr>
    </w:p>
    <w:p>
      <w:pPr>
        <w:spacing w:line="348" w:lineRule="auto"/>
        <w:ind w:firstLine="420" w:firstLineChars="200"/>
        <w:contextualSpacing/>
        <w:jc w:val="left"/>
        <w:rPr>
          <w:rFonts w:hint="default" w:ascii="宋体" w:hAnsi="宋体" w:eastAsia="宋体" w:cs="宋体"/>
          <w:color w:val="000000" w:themeColor="text1"/>
          <w:kern w:val="0"/>
          <w:sz w:val="21"/>
          <w:szCs w:val="21"/>
          <w:highlight w:val="none"/>
          <w:lang w:val="en-US" w:eastAsia="zh-CN"/>
          <w14:textFill>
            <w14:solidFill>
              <w14:schemeClr w14:val="tx1"/>
            </w14:solidFill>
          </w14:textFill>
        </w:rPr>
      </w:pPr>
      <w:r>
        <w:rPr>
          <w:rFonts w:hint="eastAsia" w:ascii="宋体" w:hAnsi="宋体" w:cs="宋体"/>
          <w:color w:val="000000" w:themeColor="text1"/>
          <w:kern w:val="0"/>
          <w:sz w:val="21"/>
          <w:szCs w:val="21"/>
          <w:highlight w:val="none"/>
          <w14:textFill>
            <w14:solidFill>
              <w14:schemeClr w14:val="tx1"/>
            </w14:solidFill>
          </w14:textFill>
        </w:rPr>
        <w:t>合同履行期限：标项1</w:t>
      </w:r>
      <w:r>
        <w:rPr>
          <w:rFonts w:hint="eastAsia" w:ascii="宋体" w:hAnsi="宋体" w:cs="宋体"/>
          <w:color w:val="000000" w:themeColor="text1"/>
          <w:kern w:val="0"/>
          <w:sz w:val="21"/>
          <w:szCs w:val="21"/>
          <w:highlight w:val="none"/>
          <w:lang w:eastAsia="zh-CN"/>
          <w14:textFill>
            <w14:solidFill>
              <w14:schemeClr w14:val="tx1"/>
            </w14:solidFill>
          </w14:textFill>
        </w:rPr>
        <w:t>，</w:t>
      </w:r>
      <w:r>
        <w:rPr>
          <w:rFonts w:hint="eastAsia" w:ascii="宋体" w:hAnsi="宋体" w:cs="宋体"/>
          <w:color w:val="000000" w:themeColor="text1"/>
          <w:kern w:val="0"/>
          <w:sz w:val="21"/>
          <w:szCs w:val="21"/>
          <w:highlight w:val="none"/>
          <w:lang w:val="en-US" w:eastAsia="zh-CN"/>
          <w14:textFill>
            <w14:solidFill>
              <w14:schemeClr w14:val="tx1"/>
            </w14:solidFill>
          </w14:textFill>
        </w:rPr>
        <w:t>服务期限为12个月（自开通账号之日起开始计算）。因特殊原因可停用2次，总时间不超过6个月。</w:t>
      </w:r>
    </w:p>
    <w:p>
      <w:pPr>
        <w:spacing w:line="348" w:lineRule="auto"/>
        <w:ind w:firstLine="420" w:firstLineChars="200"/>
        <w:contextualSpacing/>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本项目（否）接受联合体投标。</w:t>
      </w:r>
    </w:p>
    <w:p>
      <w:pPr>
        <w:spacing w:line="348" w:lineRule="auto"/>
        <w:contextualSpacing/>
        <w:jc w:val="left"/>
        <w:rPr>
          <w:rFonts w:ascii="宋体" w:hAnsi="宋体" w:cs="宋体"/>
          <w:b/>
          <w:bCs/>
          <w:color w:val="000000" w:themeColor="text1"/>
          <w:kern w:val="0"/>
          <w:szCs w:val="21"/>
          <w14:textFill>
            <w14:solidFill>
              <w14:schemeClr w14:val="tx1"/>
            </w14:solidFill>
          </w14:textFill>
        </w:rPr>
      </w:pPr>
      <w:bookmarkStart w:id="10" w:name="_Toc28359003"/>
      <w:bookmarkStart w:id="11" w:name="_Toc28359080"/>
      <w:bookmarkStart w:id="12" w:name="_Toc35393791"/>
      <w:bookmarkStart w:id="13" w:name="_Toc35393622"/>
      <w:r>
        <w:rPr>
          <w:rFonts w:hint="eastAsia" w:ascii="宋体" w:hAnsi="宋体" w:cs="宋体"/>
          <w:b/>
          <w:bCs/>
          <w:color w:val="000000" w:themeColor="text1"/>
          <w:kern w:val="0"/>
          <w:szCs w:val="21"/>
          <w14:textFill>
            <w14:solidFill>
              <w14:schemeClr w14:val="tx1"/>
            </w14:solidFill>
          </w14:textFill>
        </w:rPr>
        <w:t>二、申请人的资格要求</w:t>
      </w:r>
      <w:bookmarkEnd w:id="10"/>
      <w:bookmarkEnd w:id="11"/>
      <w:bookmarkEnd w:id="12"/>
      <w:bookmarkEnd w:id="13"/>
      <w:r>
        <w:rPr>
          <w:rFonts w:hint="eastAsia" w:ascii="宋体" w:hAnsi="宋体" w:cs="宋体"/>
          <w:b/>
          <w:bCs/>
          <w:color w:val="000000" w:themeColor="text1"/>
          <w:kern w:val="0"/>
          <w:szCs w:val="21"/>
          <w14:textFill>
            <w14:solidFill>
              <w14:schemeClr w14:val="tx1"/>
            </w14:solidFill>
          </w14:textFill>
        </w:rPr>
        <w:t>：</w:t>
      </w:r>
    </w:p>
    <w:p>
      <w:pPr>
        <w:spacing w:line="348" w:lineRule="auto"/>
        <w:ind w:firstLine="420"/>
        <w:contextualSpacing/>
        <w:jc w:val="left"/>
        <w:rPr>
          <w:rFonts w:ascii="宋体" w:hAnsi="宋体" w:cs="宋体"/>
          <w:color w:val="000000" w:themeColor="text1"/>
          <w:kern w:val="0"/>
          <w:szCs w:val="21"/>
          <w14:textFill>
            <w14:solidFill>
              <w14:schemeClr w14:val="tx1"/>
            </w14:solidFill>
          </w14:textFill>
        </w:rPr>
      </w:pPr>
      <w:bookmarkStart w:id="14" w:name="_Toc28359004"/>
      <w:bookmarkStart w:id="15" w:name="_Toc28359081"/>
      <w:r>
        <w:rPr>
          <w:rFonts w:hint="eastAsia"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szCs w:val="27"/>
          <w14:textFill>
            <w14:solidFill>
              <w14:schemeClr w14:val="tx1"/>
            </w14:solidFill>
          </w14:textFill>
        </w:rPr>
        <w:t>满足《中华人民共和国政府采购法》第二十二条规定；未被“信用中国”（www.creditchina.gov.cn)、中国政府采购网（www.ccgp.gov.cn）列入失信被执行人、重大税收违法案件当事人名单、政府采购严重违法失信行为记录名单。</w:t>
      </w:r>
    </w:p>
    <w:p>
      <w:pPr>
        <w:spacing w:line="348" w:lineRule="auto"/>
        <w:ind w:firstLine="420"/>
        <w:contextualSpacing/>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r>
        <w:rPr>
          <w:rFonts w:hint="eastAsia" w:ascii="宋体" w:hAnsi="宋体" w:cs="宋体"/>
          <w:color w:val="000000" w:themeColor="text1"/>
          <w:szCs w:val="27"/>
          <w14:textFill>
            <w14:solidFill>
              <w14:schemeClr w14:val="tx1"/>
            </w14:solidFill>
          </w14:textFill>
        </w:rPr>
        <w:t>落实政府采购政策需满足的资格要求：本项目属于专门面向中小企业采购的项目，</w:t>
      </w:r>
      <w:r>
        <w:rPr>
          <w:rFonts w:hint="eastAsia" w:ascii="宋体" w:hAnsi="宋体" w:cs="宋体"/>
          <w:color w:val="000000" w:themeColor="text1"/>
          <w:szCs w:val="27"/>
          <w:lang w:val="en-US" w:eastAsia="zh-CN"/>
          <w14:textFill>
            <w14:solidFill>
              <w14:schemeClr w14:val="tx1"/>
            </w14:solidFill>
          </w14:textFill>
        </w:rPr>
        <w:t>投标人</w:t>
      </w:r>
      <w:r>
        <w:rPr>
          <w:rFonts w:hint="eastAsia" w:ascii="宋体" w:hAnsi="宋体" w:cs="宋体"/>
          <w:color w:val="000000" w:themeColor="text1"/>
          <w:szCs w:val="27"/>
          <w14:textFill>
            <w14:solidFill>
              <w14:schemeClr w14:val="tx1"/>
            </w14:solidFill>
          </w14:textFill>
        </w:rPr>
        <w:t>应为符合《政府采购促进中小企业发展管理办法》（财库﹝2020﹞46号）规定的中小企业（其中，小微企业包括视同为小型、微型企业的监狱企业、残疾人福利性单位。）</w:t>
      </w:r>
    </w:p>
    <w:p>
      <w:pPr>
        <w:spacing w:line="348" w:lineRule="auto"/>
        <w:ind w:firstLine="420"/>
        <w:contextualSpacing/>
        <w:jc w:val="left"/>
        <w:rPr>
          <w:rFonts w:hint="eastAsia"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r>
        <w:rPr>
          <w:rFonts w:hint="eastAsia" w:ascii="宋体" w:hAnsi="宋体" w:cs="宋体"/>
          <w:color w:val="000000" w:themeColor="text1"/>
          <w:szCs w:val="27"/>
          <w14:textFill>
            <w14:solidFill>
              <w14:schemeClr w14:val="tx1"/>
            </w14:solidFill>
          </w14:textFill>
        </w:rPr>
        <w:t>本项目的特定资格要求：</w:t>
      </w:r>
      <w:r>
        <w:rPr>
          <w:rFonts w:hint="eastAsia" w:ascii="宋体" w:hAnsi="宋体" w:cs="宋体"/>
          <w:color w:val="000000" w:themeColor="text1"/>
          <w:szCs w:val="27"/>
          <w:lang w:val="en-US" w:eastAsia="zh-CN"/>
          <w14:textFill>
            <w14:solidFill>
              <w14:schemeClr w14:val="tx1"/>
            </w14:solidFill>
          </w14:textFill>
        </w:rPr>
        <w:t>无</w:t>
      </w:r>
    </w:p>
    <w:p>
      <w:pPr>
        <w:spacing w:line="348" w:lineRule="auto"/>
        <w:contextualSpacing/>
        <w:rPr>
          <w:rFonts w:ascii="宋体" w:hAnsi="宋体" w:cs="宋体"/>
          <w:b/>
          <w:color w:val="000000" w:themeColor="text1"/>
          <w:szCs w:val="21"/>
          <w14:textFill>
            <w14:solidFill>
              <w14:schemeClr w14:val="tx1"/>
            </w14:solidFill>
          </w14:textFill>
        </w:rPr>
      </w:pPr>
      <w:bookmarkStart w:id="16" w:name="_Toc35393623"/>
      <w:bookmarkStart w:id="17" w:name="_Toc35393792"/>
      <w:r>
        <w:rPr>
          <w:rFonts w:hint="eastAsia" w:ascii="宋体" w:hAnsi="宋体" w:cs="宋体"/>
          <w:b/>
          <w:color w:val="000000" w:themeColor="text1"/>
          <w:szCs w:val="21"/>
          <w14:textFill>
            <w14:solidFill>
              <w14:schemeClr w14:val="tx1"/>
            </w14:solidFill>
          </w14:textFill>
        </w:rPr>
        <w:t>三、获取招标文件</w:t>
      </w:r>
    </w:p>
    <w:bookmarkEnd w:id="14"/>
    <w:bookmarkEnd w:id="15"/>
    <w:bookmarkEnd w:id="16"/>
    <w:bookmarkEnd w:id="17"/>
    <w:p>
      <w:pPr>
        <w:spacing w:line="348" w:lineRule="auto"/>
        <w:ind w:firstLine="420"/>
        <w:contextualSpacing/>
        <w:jc w:val="left"/>
        <w:rPr>
          <w:rFonts w:ascii="宋体" w:hAnsi="宋体" w:cs="宋体"/>
          <w:color w:val="000000" w:themeColor="text1"/>
          <w:kern w:val="0"/>
          <w:szCs w:val="21"/>
          <w14:textFill>
            <w14:solidFill>
              <w14:schemeClr w14:val="tx1"/>
            </w14:solidFill>
          </w14:textFill>
        </w:rPr>
      </w:pPr>
      <w:bookmarkStart w:id="18" w:name="_Toc28359008"/>
      <w:bookmarkStart w:id="19" w:name="_Toc35393627"/>
      <w:bookmarkStart w:id="20" w:name="_Toc28359085"/>
      <w:bookmarkStart w:id="21" w:name="_Toc35393796"/>
      <w:r>
        <w:rPr>
          <w:rFonts w:hint="eastAsia" w:ascii="宋体" w:hAnsi="宋体" w:cs="宋体"/>
          <w:color w:val="000000" w:themeColor="text1"/>
          <w:kern w:val="0"/>
          <w:szCs w:val="21"/>
          <w14:textFill>
            <w14:solidFill>
              <w14:schemeClr w14:val="tx1"/>
            </w14:solidFill>
          </w14:textFill>
        </w:rPr>
        <w:t>时间：202</w:t>
      </w:r>
      <w:r>
        <w:rPr>
          <w:rFonts w:hint="eastAsia" w:ascii="宋体" w:hAnsi="宋体" w:cs="宋体"/>
          <w:color w:val="000000" w:themeColor="text1"/>
          <w:kern w:val="0"/>
          <w:szCs w:val="21"/>
          <w:lang w:val="en-US" w:eastAsia="zh-CN"/>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年</w:t>
      </w:r>
      <w:r>
        <w:rPr>
          <w:rFonts w:hint="eastAsia" w:ascii="宋体" w:hAnsi="宋体" w:cs="宋体"/>
          <w:kern w:val="0"/>
          <w:szCs w:val="21"/>
          <w:lang w:val="en-US" w:eastAsia="zh-CN"/>
        </w:rPr>
        <w:t>11</w:t>
      </w:r>
      <w:r>
        <w:rPr>
          <w:rFonts w:hint="eastAsia" w:ascii="宋体" w:hAnsi="宋体" w:cs="宋体"/>
          <w:kern w:val="0"/>
          <w:szCs w:val="21"/>
        </w:rPr>
        <w:t>月</w:t>
      </w:r>
      <w:r>
        <w:rPr>
          <w:rFonts w:hint="eastAsia" w:ascii="宋体" w:hAnsi="宋体" w:cs="宋体"/>
          <w:kern w:val="0"/>
          <w:szCs w:val="21"/>
          <w:lang w:val="en-US" w:eastAsia="zh-CN"/>
        </w:rPr>
        <w:t>11</w:t>
      </w:r>
      <w:r>
        <w:rPr>
          <w:rFonts w:hint="eastAsia" w:ascii="宋体" w:hAnsi="宋体" w:cs="宋体"/>
          <w:kern w:val="0"/>
          <w:szCs w:val="21"/>
        </w:rPr>
        <w:t>日</w:t>
      </w:r>
      <w:r>
        <w:rPr>
          <w:rFonts w:hint="eastAsia" w:ascii="宋体" w:hAnsi="宋体" w:cs="宋体"/>
          <w:color w:val="000000" w:themeColor="text1"/>
          <w:kern w:val="0"/>
          <w:szCs w:val="21"/>
          <w14:textFill>
            <w14:solidFill>
              <w14:schemeClr w14:val="tx1"/>
            </w14:solidFill>
          </w14:textFill>
        </w:rPr>
        <w:t>至202</w:t>
      </w:r>
      <w:r>
        <w:rPr>
          <w:rFonts w:hint="eastAsia" w:ascii="宋体" w:hAnsi="宋体" w:cs="宋体"/>
          <w:color w:val="000000" w:themeColor="text1"/>
          <w:kern w:val="0"/>
          <w:szCs w:val="21"/>
          <w:lang w:val="en-US" w:eastAsia="zh-CN"/>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年</w:t>
      </w:r>
      <w:r>
        <w:rPr>
          <w:rFonts w:hint="eastAsia" w:ascii="宋体" w:hAnsi="宋体" w:cs="宋体"/>
          <w:color w:val="000000" w:themeColor="text1"/>
          <w:kern w:val="0"/>
          <w:szCs w:val="21"/>
          <w:lang w:val="en-US" w:eastAsia="zh-CN"/>
          <w14:textFill>
            <w14:solidFill>
              <w14:schemeClr w14:val="tx1"/>
            </w14:solidFill>
          </w14:textFill>
        </w:rPr>
        <w:t>11</w:t>
      </w:r>
      <w:r>
        <w:rPr>
          <w:rFonts w:hint="eastAsia" w:ascii="宋体" w:hAnsi="宋体" w:cs="宋体"/>
          <w:kern w:val="0"/>
          <w:szCs w:val="21"/>
        </w:rPr>
        <w:t>月</w:t>
      </w:r>
      <w:r>
        <w:rPr>
          <w:rFonts w:hint="eastAsia" w:ascii="宋体" w:hAnsi="宋体" w:cs="宋体"/>
          <w:kern w:val="0"/>
          <w:szCs w:val="21"/>
          <w:lang w:val="en-US" w:eastAsia="zh-CN"/>
        </w:rPr>
        <w:t>18</w:t>
      </w:r>
      <w:r>
        <w:rPr>
          <w:rFonts w:hint="eastAsia" w:ascii="宋体" w:hAnsi="宋体" w:cs="宋体"/>
          <w:kern w:val="0"/>
          <w:szCs w:val="21"/>
        </w:rPr>
        <w:t>日</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szCs w:val="27"/>
          <w14:textFill>
            <w14:solidFill>
              <w14:schemeClr w14:val="tx1"/>
            </w14:solidFill>
          </w14:textFill>
        </w:rPr>
        <w:t>每天上午00:00至12:00，下午12:00至23:59（北京时间，线上获取法定节假日均可，线下获取文件法定节假日除外）。</w:t>
      </w:r>
    </w:p>
    <w:p>
      <w:pPr>
        <w:spacing w:line="348" w:lineRule="auto"/>
        <w:ind w:firstLine="420"/>
        <w:contextualSpacing/>
        <w:jc w:val="left"/>
        <w:rPr>
          <w:rFonts w:ascii="宋体" w:hAnsi="宋体" w:cs="宋体"/>
          <w:color w:val="000000" w:themeColor="text1"/>
          <w:kern w:val="0"/>
          <w:szCs w:val="21"/>
          <w:u w:val="single"/>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地点（网址）：政采云平台（https://www.zcygov.cn/）</w:t>
      </w:r>
    </w:p>
    <w:p>
      <w:pPr>
        <w:spacing w:line="360" w:lineRule="auto"/>
        <w:ind w:firstLine="420"/>
        <w:contextualSpacing/>
        <w:jc w:val="left"/>
        <w:rPr>
          <w:rFonts w:ascii="宋体" w:hAnsi="宋体" w:cs="宋体"/>
          <w:color w:val="000000" w:themeColor="text1"/>
          <w:kern w:val="0"/>
          <w:szCs w:val="21"/>
          <w:u w:val="single"/>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方式：（1）投标人登录政采云平台https://www.zcygov.cn/在线申请获取采购文件（进入“项目采购”应用，在获取采购文件菜单中选择项目，申请获取采购文件）。（2）本采购公告附件中的采购文件仅供阅览使用，投标人应在规定的采购文件提供期限内在政采云平台登录上述投标人的账号后获取采购文件，未在规定的采购文件提供期限内或未按上述方式获取采购文件的，其响应均视为无效，并不得对采购文件提起质疑投诉。</w:t>
      </w:r>
    </w:p>
    <w:p>
      <w:pPr>
        <w:spacing w:line="348" w:lineRule="auto"/>
        <w:ind w:firstLine="420" w:firstLineChars="200"/>
        <w:contextualSpacing/>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7"/>
          <w14:textFill>
            <w14:solidFill>
              <w14:schemeClr w14:val="tx1"/>
            </w14:solidFill>
          </w14:textFill>
        </w:rPr>
        <w:t>售价（元）：0</w:t>
      </w:r>
    </w:p>
    <w:p>
      <w:pPr>
        <w:spacing w:line="348" w:lineRule="auto"/>
        <w:contextualSpacing/>
        <w:jc w:val="left"/>
        <w:rPr>
          <w:rFonts w:ascii="宋体" w:hAnsi="宋体" w:cs="宋体"/>
          <w:b/>
          <w:bCs/>
          <w:color w:val="000000" w:themeColor="text1"/>
          <w:kern w:val="0"/>
          <w:szCs w:val="21"/>
          <w14:textFill>
            <w14:solidFill>
              <w14:schemeClr w14:val="tx1"/>
            </w14:solidFill>
          </w14:textFill>
        </w:rPr>
      </w:pPr>
      <w:bookmarkStart w:id="22" w:name="_Toc28359005"/>
      <w:bookmarkStart w:id="23" w:name="_Toc28359082"/>
      <w:bookmarkStart w:id="24" w:name="_Toc35393793"/>
      <w:bookmarkStart w:id="25" w:name="_Toc35393624"/>
      <w:r>
        <w:rPr>
          <w:rFonts w:hint="eastAsia" w:ascii="宋体" w:hAnsi="宋体" w:cs="宋体"/>
          <w:b/>
          <w:bCs/>
          <w:color w:val="000000" w:themeColor="text1"/>
          <w:kern w:val="0"/>
          <w:szCs w:val="21"/>
          <w14:textFill>
            <w14:solidFill>
              <w14:schemeClr w14:val="tx1"/>
            </w14:solidFill>
          </w14:textFill>
        </w:rPr>
        <w:t>四、提交投标文件</w:t>
      </w:r>
      <w:bookmarkEnd w:id="22"/>
      <w:bookmarkEnd w:id="23"/>
      <w:r>
        <w:rPr>
          <w:rFonts w:hint="eastAsia" w:ascii="宋体" w:hAnsi="宋体" w:cs="宋体"/>
          <w:b/>
          <w:bCs/>
          <w:color w:val="000000" w:themeColor="text1"/>
          <w:kern w:val="0"/>
          <w:szCs w:val="21"/>
          <w14:textFill>
            <w14:solidFill>
              <w14:schemeClr w14:val="tx1"/>
            </w14:solidFill>
          </w14:textFill>
        </w:rPr>
        <w:t>截止时间、开标时间和地点</w:t>
      </w:r>
      <w:bookmarkEnd w:id="24"/>
      <w:bookmarkEnd w:id="25"/>
    </w:p>
    <w:p>
      <w:pPr>
        <w:spacing w:line="348" w:lineRule="auto"/>
        <w:ind w:firstLine="420"/>
        <w:contextualSpacing/>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提交投标文件截止时间：2022年12月01日09:00（北京时间）</w:t>
      </w:r>
    </w:p>
    <w:p>
      <w:pPr>
        <w:spacing w:line="348" w:lineRule="auto"/>
        <w:ind w:firstLine="420"/>
        <w:contextualSpacing/>
        <w:jc w:val="left"/>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投标地点（网址）：“电子加密投标文件”：</w:t>
      </w:r>
      <w:r>
        <w:rPr>
          <w:rFonts w:hint="eastAsia" w:ascii="宋体" w:hAnsi="宋体" w:cs="宋体"/>
          <w:color w:val="000000" w:themeColor="text1"/>
          <w:kern w:val="0"/>
          <w:szCs w:val="21"/>
          <w:u w:val="none"/>
          <w14:textFill>
            <w14:solidFill>
              <w14:schemeClr w14:val="tx1"/>
            </w14:solidFill>
          </w14:textFill>
        </w:rPr>
        <w:t>https://www.zcygov.cn在线提交</w:t>
      </w:r>
      <w:r>
        <w:rPr>
          <w:rFonts w:hint="eastAsia" w:ascii="宋体" w:hAnsi="宋体" w:cs="宋体"/>
          <w:color w:val="000000" w:themeColor="text1"/>
          <w:kern w:val="0"/>
          <w:szCs w:val="21"/>
          <w:u w:val="none"/>
          <w:lang w:eastAsia="zh-CN"/>
          <w14:textFill>
            <w14:solidFill>
              <w14:schemeClr w14:val="tx1"/>
            </w14:solidFill>
          </w14:textFill>
        </w:rPr>
        <w:t>，未上传电子</w:t>
      </w:r>
      <w:r>
        <w:rPr>
          <w:rFonts w:hint="eastAsia" w:ascii="宋体" w:hAnsi="宋体" w:cs="宋体"/>
          <w:color w:val="000000" w:themeColor="text1"/>
          <w:kern w:val="0"/>
          <w:szCs w:val="21"/>
          <w:u w:val="none"/>
          <w:lang w:val="en-US" w:eastAsia="zh-CN"/>
          <w14:textFill>
            <w14:solidFill>
              <w14:schemeClr w14:val="tx1"/>
            </w14:solidFill>
          </w14:textFill>
        </w:rPr>
        <w:t>投标</w:t>
      </w:r>
      <w:r>
        <w:rPr>
          <w:rFonts w:hint="eastAsia" w:ascii="宋体" w:hAnsi="宋体" w:cs="宋体"/>
          <w:color w:val="000000" w:themeColor="text1"/>
          <w:kern w:val="0"/>
          <w:szCs w:val="21"/>
          <w:u w:val="none"/>
          <w:lang w:eastAsia="zh-CN"/>
          <w14:textFill>
            <w14:solidFill>
              <w14:schemeClr w14:val="tx1"/>
            </w14:solidFill>
          </w14:textFill>
        </w:rPr>
        <w:t>文件，视为</w:t>
      </w:r>
      <w:r>
        <w:rPr>
          <w:rFonts w:hint="eastAsia" w:ascii="宋体" w:hAnsi="宋体" w:cs="宋体"/>
          <w:color w:val="000000" w:themeColor="text1"/>
          <w:kern w:val="0"/>
          <w:szCs w:val="21"/>
          <w:u w:val="none"/>
          <w:lang w:val="en-US" w:eastAsia="zh-CN"/>
          <w14:textFill>
            <w14:solidFill>
              <w14:schemeClr w14:val="tx1"/>
            </w14:solidFill>
          </w14:textFill>
        </w:rPr>
        <w:t>投标人</w:t>
      </w:r>
      <w:r>
        <w:rPr>
          <w:rFonts w:hint="eastAsia" w:ascii="宋体" w:hAnsi="宋体" w:cs="宋体"/>
          <w:color w:val="000000" w:themeColor="text1"/>
          <w:kern w:val="0"/>
          <w:szCs w:val="21"/>
          <w:lang w:eastAsia="zh-CN"/>
          <w14:textFill>
            <w14:solidFill>
              <w14:schemeClr w14:val="tx1"/>
            </w14:solidFill>
          </w14:textFill>
        </w:rPr>
        <w:t>放弃投标。</w:t>
      </w:r>
    </w:p>
    <w:p>
      <w:pPr>
        <w:spacing w:line="348" w:lineRule="auto"/>
        <w:ind w:firstLine="420"/>
        <w:contextualSpacing/>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开标时间：</w:t>
      </w:r>
      <w:r>
        <w:rPr>
          <w:rFonts w:hint="eastAsia" w:ascii="宋体" w:hAnsi="宋体" w:cs="宋体"/>
          <w:color w:val="000000" w:themeColor="text1"/>
          <w14:textFill>
            <w14:solidFill>
              <w14:schemeClr w14:val="tx1"/>
            </w14:solidFill>
          </w14:textFill>
        </w:rPr>
        <w:t>202</w:t>
      </w:r>
      <w:r>
        <w:rPr>
          <w:rFonts w:hint="eastAsia" w:ascii="宋体" w:hAnsi="宋体" w:cs="宋体"/>
          <w:color w:val="000000" w:themeColor="text1"/>
          <w:lang w:val="en-US" w:eastAsia="zh-CN"/>
          <w14:textFill>
            <w14:solidFill>
              <w14:schemeClr w14:val="tx1"/>
            </w14:solidFill>
          </w14:textFill>
        </w:rPr>
        <w:t>2</w:t>
      </w:r>
      <w:r>
        <w:rPr>
          <w:rFonts w:hint="eastAsia" w:ascii="宋体" w:hAnsi="宋体" w:cs="宋体"/>
          <w:color w:val="000000" w:themeColor="text1"/>
          <w14:textFill>
            <w14:solidFill>
              <w14:schemeClr w14:val="tx1"/>
            </w14:solidFill>
          </w14:textFill>
        </w:rPr>
        <w:t>年</w:t>
      </w:r>
      <w:r>
        <w:rPr>
          <w:rFonts w:hint="eastAsia" w:ascii="宋体" w:hAnsi="宋体" w:cs="宋体"/>
          <w:color w:val="000000" w:themeColor="text1"/>
          <w:lang w:val="en-US" w:eastAsia="zh-CN"/>
          <w14:textFill>
            <w14:solidFill>
              <w14:schemeClr w14:val="tx1"/>
            </w14:solidFill>
          </w14:textFill>
        </w:rPr>
        <w:t>12</w:t>
      </w:r>
      <w:r>
        <w:rPr>
          <w:rFonts w:hint="eastAsia" w:ascii="宋体" w:hAnsi="宋体" w:cs="宋体"/>
          <w:color w:val="000000" w:themeColor="text1"/>
          <w14:textFill>
            <w14:solidFill>
              <w14:schemeClr w14:val="tx1"/>
            </w14:solidFill>
          </w14:textFill>
        </w:rPr>
        <w:t>月</w:t>
      </w:r>
      <w:r>
        <w:rPr>
          <w:rFonts w:hint="eastAsia" w:ascii="宋体" w:hAnsi="宋体" w:cs="宋体"/>
          <w:color w:val="000000" w:themeColor="text1"/>
          <w:lang w:val="en-US" w:eastAsia="zh-CN"/>
          <w14:textFill>
            <w14:solidFill>
              <w14:schemeClr w14:val="tx1"/>
            </w14:solidFill>
          </w14:textFill>
        </w:rPr>
        <w:t>01</w:t>
      </w:r>
      <w:r>
        <w:rPr>
          <w:rFonts w:hint="eastAsia" w:ascii="宋体" w:hAnsi="宋体" w:cs="宋体"/>
          <w:color w:val="000000" w:themeColor="text1"/>
          <w14:textFill>
            <w14:solidFill>
              <w14:schemeClr w14:val="tx1"/>
            </w14:solidFill>
          </w14:textFill>
        </w:rPr>
        <w:t>日</w:t>
      </w:r>
      <w:r>
        <w:rPr>
          <w:rFonts w:hint="eastAsia" w:ascii="宋体" w:hAnsi="宋体" w:cs="宋体"/>
          <w:color w:val="000000" w:themeColor="text1"/>
          <w:lang w:val="en-US" w:eastAsia="zh-CN"/>
          <w14:textFill>
            <w14:solidFill>
              <w14:schemeClr w14:val="tx1"/>
            </w14:solidFill>
          </w14:textFill>
        </w:rPr>
        <w:t>09</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00</w:t>
      </w:r>
      <w:r>
        <w:rPr>
          <w:rFonts w:hint="eastAsia" w:ascii="宋体" w:hAnsi="宋体" w:cs="宋体"/>
          <w:color w:val="000000" w:themeColor="text1"/>
          <w:kern w:val="0"/>
          <w:szCs w:val="21"/>
          <w:highlight w:val="none"/>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北京时间）</w:t>
      </w:r>
    </w:p>
    <w:p>
      <w:pPr>
        <w:spacing w:line="348" w:lineRule="auto"/>
        <w:ind w:firstLine="420"/>
        <w:contextualSpacing/>
        <w:jc w:val="left"/>
        <w:rPr>
          <w:rFonts w:hint="eastAsia" w:ascii="宋体" w:hAnsi="宋体" w:eastAsia="宋体" w:cs="宋体"/>
          <w:color w:val="000000" w:themeColor="text1"/>
          <w:kern w:val="0"/>
          <w:szCs w:val="21"/>
          <w:u w:val="single"/>
          <w:lang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开标地点（网址）：宁波市镇海区公共资源交易中心（镇海骆驼街道金华南路55号三楼开标厅</w:t>
      </w:r>
      <w:r>
        <w:rPr>
          <w:rFonts w:hint="eastAsia" w:ascii="宋体" w:hAnsi="宋体" w:cs="宋体"/>
          <w:color w:val="000000" w:themeColor="text1"/>
          <w:kern w:val="0"/>
          <w:szCs w:val="21"/>
          <w:lang w:val="en-US" w:eastAsia="zh-CN"/>
          <w14:textFill>
            <w14:solidFill>
              <w14:schemeClr w14:val="tx1"/>
            </w14:solidFill>
          </w14:textFill>
        </w:rPr>
        <w:t>四</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lang w:eastAsia="zh-CN"/>
          <w14:textFill>
            <w14:solidFill>
              <w14:schemeClr w14:val="tx1"/>
            </w14:solidFill>
          </w14:textFill>
        </w:rPr>
        <w:t>，本项目通过“政府采购云平台（http://www.zcygov.cn）”实行在线开标。</w:t>
      </w:r>
    </w:p>
    <w:p>
      <w:pPr>
        <w:spacing w:line="348" w:lineRule="auto"/>
        <w:contextualSpacing/>
        <w:jc w:val="left"/>
        <w:rPr>
          <w:rFonts w:ascii="宋体" w:hAnsi="宋体" w:cs="宋体"/>
          <w:b/>
          <w:bCs/>
          <w:color w:val="000000" w:themeColor="text1"/>
          <w:kern w:val="0"/>
          <w:szCs w:val="21"/>
          <w14:textFill>
            <w14:solidFill>
              <w14:schemeClr w14:val="tx1"/>
            </w14:solidFill>
          </w14:textFill>
        </w:rPr>
      </w:pPr>
      <w:bookmarkStart w:id="26" w:name="_Toc28359007"/>
      <w:bookmarkStart w:id="27" w:name="_Toc28359084"/>
      <w:bookmarkStart w:id="28" w:name="_Toc35393625"/>
      <w:bookmarkStart w:id="29" w:name="_Toc35393794"/>
      <w:r>
        <w:rPr>
          <w:rFonts w:hint="eastAsia" w:ascii="宋体" w:hAnsi="宋体" w:cs="宋体"/>
          <w:b/>
          <w:bCs/>
          <w:color w:val="000000" w:themeColor="text1"/>
          <w:kern w:val="0"/>
          <w:szCs w:val="21"/>
          <w14:textFill>
            <w14:solidFill>
              <w14:schemeClr w14:val="tx1"/>
            </w14:solidFill>
          </w14:textFill>
        </w:rPr>
        <w:t>五、公告期限</w:t>
      </w:r>
      <w:bookmarkEnd w:id="26"/>
      <w:bookmarkEnd w:id="27"/>
      <w:bookmarkEnd w:id="28"/>
      <w:bookmarkEnd w:id="29"/>
    </w:p>
    <w:p>
      <w:pPr>
        <w:spacing w:line="348" w:lineRule="auto"/>
        <w:ind w:firstLine="420"/>
        <w:contextualSpacing/>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自本公告发布之日起5个工作日。</w:t>
      </w:r>
    </w:p>
    <w:p>
      <w:pPr>
        <w:spacing w:line="348" w:lineRule="auto"/>
        <w:contextualSpacing/>
        <w:jc w:val="left"/>
        <w:rPr>
          <w:rFonts w:ascii="宋体" w:hAnsi="宋体" w:cs="宋体"/>
          <w:b/>
          <w:bCs/>
          <w:color w:val="000000" w:themeColor="text1"/>
          <w:kern w:val="0"/>
          <w:szCs w:val="21"/>
          <w14:textFill>
            <w14:solidFill>
              <w14:schemeClr w14:val="tx1"/>
            </w14:solidFill>
          </w14:textFill>
        </w:rPr>
      </w:pPr>
      <w:bookmarkStart w:id="30" w:name="_Toc35393626"/>
      <w:bookmarkStart w:id="31" w:name="_Toc35393795"/>
      <w:r>
        <w:rPr>
          <w:rFonts w:hint="eastAsia" w:ascii="宋体" w:hAnsi="宋体" w:cs="宋体"/>
          <w:b/>
          <w:bCs/>
          <w:color w:val="000000" w:themeColor="text1"/>
          <w:kern w:val="0"/>
          <w:szCs w:val="21"/>
          <w14:textFill>
            <w14:solidFill>
              <w14:schemeClr w14:val="tx1"/>
            </w14:solidFill>
          </w14:textFill>
        </w:rPr>
        <w:t>六、其他补充事宜</w:t>
      </w:r>
      <w:bookmarkEnd w:id="30"/>
      <w:bookmarkEnd w:id="31"/>
    </w:p>
    <w:p>
      <w:pPr>
        <w:spacing w:line="360" w:lineRule="auto"/>
        <w:ind w:firstLine="630" w:firstLineChars="300"/>
        <w:contextualSpacing/>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投标人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投标人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630" w:firstLineChars="300"/>
        <w:contextualSpacing/>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2、其他事项：</w:t>
      </w:r>
      <w:r>
        <w:rPr>
          <w:rFonts w:hint="eastAsia" w:ascii="宋体" w:hAnsi="宋体" w:cs="宋体"/>
          <w:color w:val="000000" w:themeColor="text1"/>
          <w:kern w:val="0"/>
          <w:szCs w:val="21"/>
          <w:lang w:val="en-US" w:eastAsia="zh-CN"/>
          <w14:textFill>
            <w14:solidFill>
              <w14:schemeClr w14:val="tx1"/>
            </w14:solidFill>
          </w14:textFill>
        </w:rPr>
        <w:t>2.1 单位负责人为同一人或者存在直接控股、管理关系的不同投标人，不得参加同一标项的投标。除单一来源采购项目外，为本项目提供整体设计、规范编制或者项目管理、监理、检测等服务的投标人，不得再参加本项目的投标。2.2本次政府采购活动有关信息在浙江政府采购网公布，视同送达所有潜在投标人。2.3本项目实行网上投标，采用电子投标文件。若投标人参与投标，自行承担投标一切费用。2.4 标前准备：各投标人应在开标前确保成为浙江政府采购网投标人，并完成CA数字证书办理（投标人CA申领操作指南：https://help.zcygov.cn/web/site_2/2018/11-29/2452.html，完成CA数字证书办理预计二周左右，请投标人自行把握时间）。因未办理CA数字证书等原因造成无法获取采购文件、无法投标或投标失败等后果由投标人自行承担。2.5 投标文件制作：2.5.1 应按照本项目招标文件和政府采购云平台的要求编制、加密并递交投标文件。投标人在使用系统进行投标的过程中遇到涉及平台使用的任何问题，可致电政府采购云平台技术支持热线咨询，联系方式：400-881-7190。2.5.2 投标人通过“政采云”平台电子投标工具制作投标文件，电子投标工具请投标人自行前往浙江省政府采购网下载并安装，（下载网址：http://zfcg.czt.zj.gov.cn/bidClientTemplate/2019-05-27/12946.html），投标文件制作具体流程详见政府采购云平台。2.6 落实的政策：</w:t>
      </w:r>
      <w:r>
        <w:rPr>
          <w:rFonts w:hint="eastAsia" w:ascii="宋体" w:hAnsi="宋体" w:cs="宋体"/>
          <w:color w:val="000000" w:themeColor="text1"/>
          <w:kern w:val="0"/>
          <w:szCs w:val="21"/>
          <w:highlight w:val="none"/>
          <w:lang w:val="en-US" w:eastAsia="zh-CN"/>
          <w14:textFill>
            <w14:solidFill>
              <w14:schemeClr w14:val="tx1"/>
            </w14:solidFill>
          </w14:textFill>
        </w:rPr>
        <w:t>扶持中小企业政策（</w:t>
      </w:r>
      <w:r>
        <w:rPr>
          <w:rFonts w:hint="eastAsia" w:ascii="宋体" w:hAnsi="宋体" w:cs="宋体"/>
          <w:color w:val="000000" w:themeColor="text1"/>
          <w:kern w:val="0"/>
          <w:szCs w:val="21"/>
          <w:lang w:val="en-US" w:eastAsia="zh-CN"/>
          <w14:textFill>
            <w14:solidFill>
              <w14:schemeClr w14:val="tx1"/>
            </w14:solidFill>
          </w14:textFill>
        </w:rPr>
        <w:t>监狱企业、残疾人福利性单位视同小微企业；残疾人福利性单位属于小型、微型企业的，不重复享受政策）。2.7 如因系统或部分投标人的电子投标文件无法解密，满足三家及以上的，则正常开标，无法解密电子投标文件的投标人视为放弃投标；不足三家的，则重新组织招标。如因系统原因导致投标人的电子投标文件均无法解密的，则开标时间延期。2.8因信用中国网站中“重大税收违法案件当事人名单”已调整为”重大税收违法失信主体“，但政采云系统自动生成的仍为“重大税收违法案件当事人名单”，故查询的内容以“重大税收违法失信主体”为准。</w:t>
      </w:r>
    </w:p>
    <w:p>
      <w:pPr>
        <w:spacing w:line="348" w:lineRule="auto"/>
        <w:contextualSpacing/>
        <w:jc w:val="left"/>
        <w:rPr>
          <w:rFonts w:ascii="宋体" w:hAnsi="宋体" w:cs="宋体"/>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七、</w:t>
      </w:r>
      <w:bookmarkEnd w:id="18"/>
      <w:bookmarkEnd w:id="19"/>
      <w:bookmarkEnd w:id="20"/>
      <w:bookmarkEnd w:id="21"/>
      <w:r>
        <w:rPr>
          <w:rFonts w:hint="eastAsia" w:ascii="宋体" w:hAnsi="宋体" w:cs="宋体"/>
          <w:b/>
          <w:bCs/>
          <w:color w:val="000000" w:themeColor="text1"/>
          <w:kern w:val="0"/>
          <w:szCs w:val="21"/>
          <w14:textFill>
            <w14:solidFill>
              <w14:schemeClr w14:val="tx1"/>
            </w14:solidFill>
          </w14:textFill>
        </w:rPr>
        <w:t>对本次采购提出询问、质疑、投诉，请按以下方式联系</w:t>
      </w:r>
    </w:p>
    <w:p>
      <w:pPr>
        <w:widowControl/>
        <w:spacing w:line="348" w:lineRule="auto"/>
        <w:ind w:firstLine="420"/>
        <w:contextualSpacing/>
        <w:jc w:val="lef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1.采购人信息</w:t>
      </w:r>
    </w:p>
    <w:p>
      <w:pPr>
        <w:widowControl/>
        <w:spacing w:line="348" w:lineRule="auto"/>
        <w:ind w:firstLine="420"/>
        <w:contextualSpacing/>
        <w:jc w:val="left"/>
        <w:rPr>
          <w:rFonts w:hint="eastAsia" w:ascii="宋体" w:hAnsi="宋体" w:eastAsia="宋体" w:cs="宋体"/>
          <w:bCs/>
          <w:color w:val="000000" w:themeColor="text1"/>
          <w:szCs w:val="21"/>
          <w:lang w:eastAsia="zh-CN"/>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名  称：</w:t>
      </w:r>
      <w:r>
        <w:rPr>
          <w:rFonts w:hint="eastAsia" w:ascii="宋体" w:hAnsi="宋体" w:cs="宋体"/>
          <w:bCs/>
          <w:color w:val="000000" w:themeColor="text1"/>
          <w:szCs w:val="21"/>
          <w:lang w:eastAsia="zh-CN"/>
          <w14:textFill>
            <w14:solidFill>
              <w14:schemeClr w14:val="tx1"/>
            </w14:solidFill>
          </w14:textFill>
        </w:rPr>
        <w:t>宁波市公安局镇海分局</w:t>
      </w:r>
    </w:p>
    <w:p>
      <w:pPr>
        <w:widowControl/>
        <w:spacing w:line="348" w:lineRule="auto"/>
        <w:ind w:firstLine="420"/>
        <w:contextualSpacing/>
        <w:jc w:val="lef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地  址：宁波市镇海区招宝山街道中山路4号</w:t>
      </w:r>
    </w:p>
    <w:p>
      <w:pPr>
        <w:widowControl/>
        <w:spacing w:line="348" w:lineRule="auto"/>
        <w:ind w:firstLine="420"/>
        <w:contextualSpacing/>
        <w:jc w:val="left"/>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传  真：/</w:t>
      </w:r>
    </w:p>
    <w:p>
      <w:pPr>
        <w:widowControl/>
        <w:spacing w:line="348" w:lineRule="auto"/>
        <w:ind w:firstLine="420"/>
        <w:contextualSpacing/>
        <w:jc w:val="left"/>
        <w:rPr>
          <w:rFonts w:hint="default" w:ascii="宋体" w:hAnsi="宋体" w:cs="宋体"/>
          <w:bCs/>
          <w:color w:val="000000" w:themeColor="text1"/>
          <w:szCs w:val="21"/>
          <w:highlight w:val="none"/>
          <w:lang w:val="en-US"/>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项目联系人（询问）：</w:t>
      </w:r>
      <w:r>
        <w:rPr>
          <w:rFonts w:hint="eastAsia" w:ascii="宋体" w:hAnsi="宋体" w:cs="宋体"/>
          <w:bCs/>
          <w:color w:val="000000" w:themeColor="text1"/>
          <w:szCs w:val="21"/>
          <w:highlight w:val="none"/>
          <w:lang w:val="en-US" w:eastAsia="zh-CN"/>
          <w14:textFill>
            <w14:solidFill>
              <w14:schemeClr w14:val="tx1"/>
            </w14:solidFill>
          </w14:textFill>
        </w:rPr>
        <w:t>寇老师</w:t>
      </w:r>
    </w:p>
    <w:p>
      <w:pPr>
        <w:widowControl/>
        <w:spacing w:line="348" w:lineRule="auto"/>
        <w:ind w:firstLine="420"/>
        <w:contextualSpacing/>
        <w:jc w:val="left"/>
        <w:rPr>
          <w:rFonts w:hint="default" w:ascii="宋体" w:hAnsi="宋体" w:eastAsia="宋体" w:cs="宋体"/>
          <w:bCs/>
          <w:color w:val="000000" w:themeColor="text1"/>
          <w:szCs w:val="21"/>
          <w:highlight w:val="none"/>
          <w:lang w:val="en-US" w:eastAsia="zh-CN"/>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项目联系方式（询问）：</w:t>
      </w:r>
      <w:bookmarkStart w:id="32" w:name="_Toc28359009"/>
      <w:bookmarkStart w:id="33" w:name="_Toc28359086"/>
      <w:r>
        <w:rPr>
          <w:rFonts w:hint="eastAsia" w:ascii="宋体" w:hAnsi="宋体" w:cs="宋体"/>
          <w:bCs/>
          <w:color w:val="000000" w:themeColor="text1"/>
          <w:szCs w:val="21"/>
          <w:highlight w:val="none"/>
          <w14:textFill>
            <w14:solidFill>
              <w14:schemeClr w14:val="tx1"/>
            </w14:solidFill>
          </w14:textFill>
        </w:rPr>
        <w:t>0574-86635026</w:t>
      </w:r>
    </w:p>
    <w:p>
      <w:pPr>
        <w:widowControl/>
        <w:spacing w:line="348" w:lineRule="auto"/>
        <w:ind w:firstLine="420"/>
        <w:contextualSpacing/>
        <w:jc w:val="left"/>
        <w:rPr>
          <w:rFonts w:hint="default" w:ascii="宋体" w:hAnsi="宋体" w:cs="宋体"/>
          <w:bCs/>
          <w:color w:val="000000" w:themeColor="text1"/>
          <w:szCs w:val="21"/>
          <w:highlight w:val="none"/>
          <w:lang w:val="en-US"/>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质疑联系人：</w:t>
      </w:r>
      <w:r>
        <w:rPr>
          <w:rFonts w:hint="eastAsia" w:ascii="宋体" w:hAnsi="宋体" w:cs="宋体"/>
          <w:bCs/>
          <w:color w:val="000000" w:themeColor="text1"/>
          <w:szCs w:val="21"/>
          <w:highlight w:val="none"/>
          <w:lang w:val="en-US" w:eastAsia="zh-CN"/>
          <w14:textFill>
            <w14:solidFill>
              <w14:schemeClr w14:val="tx1"/>
            </w14:solidFill>
          </w14:textFill>
        </w:rPr>
        <w:t>林老师</w:t>
      </w:r>
    </w:p>
    <w:p>
      <w:pPr>
        <w:widowControl/>
        <w:spacing w:line="348" w:lineRule="auto"/>
        <w:ind w:firstLine="420"/>
        <w:contextualSpacing/>
        <w:jc w:val="left"/>
        <w:rPr>
          <w:rFonts w:hint="default" w:ascii="宋体" w:hAnsi="宋体" w:eastAsia="宋体" w:cs="宋体"/>
          <w:bCs/>
          <w:color w:val="000000" w:themeColor="text1"/>
          <w:szCs w:val="21"/>
          <w:highlight w:val="none"/>
          <w:lang w:val="en-US" w:eastAsia="zh-CN"/>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质疑联系方式：0574-86635332</w:t>
      </w:r>
    </w:p>
    <w:p>
      <w:pPr>
        <w:widowControl/>
        <w:spacing w:line="348" w:lineRule="auto"/>
        <w:ind w:firstLine="420"/>
        <w:contextualSpacing/>
        <w:jc w:val="left"/>
        <w:rPr>
          <w:rFonts w:ascii="宋体" w:hAnsi="宋体" w:cs="宋体"/>
          <w:bCs/>
          <w:color w:val="000000" w:themeColor="text1"/>
          <w:szCs w:val="21"/>
          <w14:textFill>
            <w14:solidFill>
              <w14:schemeClr w14:val="tx1"/>
            </w14:solidFill>
          </w14:textFill>
        </w:rPr>
      </w:pPr>
    </w:p>
    <w:p>
      <w:pPr>
        <w:widowControl/>
        <w:spacing w:line="348" w:lineRule="auto"/>
        <w:ind w:firstLine="420"/>
        <w:contextualSpacing/>
        <w:jc w:val="lef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2.采购代理机构信息</w:t>
      </w:r>
      <w:bookmarkEnd w:id="32"/>
      <w:bookmarkEnd w:id="33"/>
    </w:p>
    <w:p>
      <w:pPr>
        <w:widowControl/>
        <w:spacing w:line="348" w:lineRule="auto"/>
        <w:ind w:firstLine="420"/>
        <w:contextualSpacing/>
        <w:jc w:val="left"/>
        <w:rPr>
          <w:rFonts w:hint="eastAsia" w:ascii="宋体" w:hAnsi="宋体" w:eastAsia="宋体" w:cs="宋体"/>
          <w:bCs/>
          <w:color w:val="000000" w:themeColor="text1"/>
          <w:szCs w:val="21"/>
          <w:lang w:eastAsia="zh-CN"/>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名  称：</w:t>
      </w:r>
      <w:r>
        <w:rPr>
          <w:rFonts w:hint="eastAsia" w:ascii="宋体" w:hAnsi="宋体" w:cs="宋体"/>
          <w:bCs/>
          <w:color w:val="000000" w:themeColor="text1"/>
          <w:szCs w:val="21"/>
          <w:lang w:eastAsia="zh-CN"/>
          <w14:textFill>
            <w14:solidFill>
              <w14:schemeClr w14:val="tx1"/>
            </w14:solidFill>
          </w14:textFill>
        </w:rPr>
        <w:t>浙江中基正采管理咨询有限公司</w:t>
      </w:r>
    </w:p>
    <w:p>
      <w:pPr>
        <w:widowControl/>
        <w:spacing w:line="348" w:lineRule="auto"/>
        <w:ind w:firstLine="420"/>
        <w:contextualSpacing/>
        <w:jc w:val="lef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地  址：宁波市鄞州区天童南路666号中基大厦19楼</w:t>
      </w:r>
    </w:p>
    <w:p>
      <w:pPr>
        <w:widowControl/>
        <w:spacing w:line="348" w:lineRule="auto"/>
        <w:ind w:firstLine="420"/>
        <w:contextualSpacing/>
        <w:jc w:val="lef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传真：0574-87425386</w:t>
      </w:r>
    </w:p>
    <w:p>
      <w:pPr>
        <w:widowControl/>
        <w:spacing w:line="348" w:lineRule="auto"/>
        <w:ind w:firstLine="420"/>
        <w:contextualSpacing/>
        <w:jc w:val="left"/>
        <w:rPr>
          <w:rFonts w:hint="default" w:ascii="宋体" w:hAnsi="宋体" w:eastAsia="宋体" w:cs="宋体"/>
          <w:bCs/>
          <w:color w:val="000000" w:themeColor="text1"/>
          <w:szCs w:val="21"/>
          <w:lang w:val="en-US" w:eastAsia="zh-CN"/>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项目联系人（询问）：林</w:t>
      </w:r>
      <w:r>
        <w:rPr>
          <w:rFonts w:hint="eastAsia" w:ascii="宋体" w:hAnsi="宋体" w:cs="宋体"/>
          <w:bCs/>
          <w:color w:val="000000" w:themeColor="text1"/>
          <w:szCs w:val="21"/>
          <w:lang w:val="en-US" w:eastAsia="zh-CN"/>
          <w14:textFill>
            <w14:solidFill>
              <w14:schemeClr w14:val="tx1"/>
            </w14:solidFill>
          </w14:textFill>
        </w:rPr>
        <w:t>工</w:t>
      </w:r>
      <w:r>
        <w:rPr>
          <w:rFonts w:hint="eastAsia" w:ascii="宋体" w:hAnsi="宋体" w:cs="宋体"/>
          <w:bCs/>
          <w:color w:val="000000" w:themeColor="text1"/>
          <w:szCs w:val="21"/>
          <w14:textFill>
            <w14:solidFill>
              <w14:schemeClr w14:val="tx1"/>
            </w14:solidFill>
          </w14:textFill>
        </w:rPr>
        <w:t>、</w:t>
      </w:r>
      <w:r>
        <w:rPr>
          <w:rFonts w:hint="eastAsia" w:ascii="宋体" w:hAnsi="宋体" w:cs="宋体"/>
          <w:bCs/>
          <w:color w:val="000000" w:themeColor="text1"/>
          <w:szCs w:val="21"/>
          <w:lang w:val="en-US" w:eastAsia="zh-CN"/>
          <w14:textFill>
            <w14:solidFill>
              <w14:schemeClr w14:val="tx1"/>
            </w14:solidFill>
          </w14:textFill>
        </w:rPr>
        <w:t>陈工</w:t>
      </w:r>
    </w:p>
    <w:p>
      <w:pPr>
        <w:widowControl/>
        <w:spacing w:line="348" w:lineRule="auto"/>
        <w:ind w:firstLine="420"/>
        <w:contextualSpacing/>
        <w:jc w:val="left"/>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项目联系方式（询问）：</w:t>
      </w:r>
      <w:bookmarkStart w:id="34" w:name="_Toc28359010"/>
      <w:bookmarkStart w:id="35" w:name="_Toc28359087"/>
      <w:r>
        <w:rPr>
          <w:rFonts w:hint="eastAsia" w:ascii="宋体" w:hAnsi="宋体" w:cs="宋体"/>
          <w:bCs/>
          <w:color w:val="000000" w:themeColor="text1"/>
          <w:szCs w:val="21"/>
          <w14:textFill>
            <w14:solidFill>
              <w14:schemeClr w14:val="tx1"/>
            </w14:solidFill>
          </w14:textFill>
        </w:rPr>
        <w:t>0574-87425408</w:t>
      </w:r>
    </w:p>
    <w:bookmarkEnd w:id="34"/>
    <w:bookmarkEnd w:id="35"/>
    <w:p>
      <w:pPr>
        <w:spacing w:line="348" w:lineRule="auto"/>
        <w:ind w:firstLine="420"/>
        <w:contextualSpacing/>
        <w:rPr>
          <w:rFonts w:hint="eastAsia" w:ascii="宋体" w:hAnsi="宋体" w:eastAsia="宋体" w:cs="宋体"/>
          <w:bCs/>
          <w:color w:val="000000" w:themeColor="text1"/>
          <w:szCs w:val="21"/>
          <w:lang w:eastAsia="zh-CN"/>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质疑联系人：</w:t>
      </w:r>
      <w:r>
        <w:rPr>
          <w:rFonts w:hint="eastAsia" w:ascii="宋体" w:hAnsi="宋体" w:cs="宋体"/>
          <w:bCs/>
          <w:color w:val="000000" w:themeColor="text1"/>
          <w:szCs w:val="21"/>
          <w:lang w:val="en-US" w:eastAsia="zh-CN"/>
          <w14:textFill>
            <w14:solidFill>
              <w14:schemeClr w14:val="tx1"/>
            </w14:solidFill>
          </w14:textFill>
        </w:rPr>
        <w:t>王燕</w:t>
      </w:r>
    </w:p>
    <w:p>
      <w:pPr>
        <w:spacing w:line="348" w:lineRule="auto"/>
        <w:ind w:firstLine="420"/>
        <w:contextualSpacing/>
        <w:rPr>
          <w:rFonts w:hint="default" w:ascii="宋体" w:hAnsi="宋体" w:eastAsia="宋体" w:cs="宋体"/>
          <w:bCs/>
          <w:color w:val="000000" w:themeColor="text1"/>
          <w:szCs w:val="21"/>
          <w:u w:val="single"/>
          <w:lang w:val="en-US" w:eastAsia="zh-CN"/>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质疑联系方式：0574-</w:t>
      </w:r>
      <w:r>
        <w:rPr>
          <w:rFonts w:hint="eastAsia" w:ascii="宋体" w:hAnsi="宋体" w:cs="宋体"/>
          <w:bCs/>
          <w:color w:val="000000" w:themeColor="text1"/>
          <w:szCs w:val="21"/>
          <w:lang w:val="en-US" w:eastAsia="zh-CN"/>
          <w14:textFill>
            <w14:solidFill>
              <w14:schemeClr w14:val="tx1"/>
            </w14:solidFill>
          </w14:textFill>
        </w:rPr>
        <w:t>87425370</w:t>
      </w:r>
    </w:p>
    <w:p>
      <w:pPr>
        <w:spacing w:line="348" w:lineRule="auto"/>
        <w:ind w:firstLine="420"/>
        <w:contextualSpacing/>
        <w:rPr>
          <w:rFonts w:ascii="宋体" w:hAnsi="宋体" w:cs="宋体"/>
          <w:bCs/>
          <w:color w:val="000000" w:themeColor="text1"/>
          <w:szCs w:val="21"/>
          <w14:textFill>
            <w14:solidFill>
              <w14:schemeClr w14:val="tx1"/>
            </w14:solidFill>
          </w14:textFill>
        </w:rPr>
      </w:pPr>
    </w:p>
    <w:p>
      <w:pPr>
        <w:spacing w:line="348" w:lineRule="auto"/>
        <w:ind w:firstLine="420"/>
        <w:contextualSpacing/>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3.同级政府采购监督管理部门</w:t>
      </w:r>
    </w:p>
    <w:p>
      <w:pPr>
        <w:spacing w:line="348" w:lineRule="auto"/>
        <w:ind w:firstLine="42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名  称：宁波市镇海区采购管理办公室</w:t>
      </w:r>
    </w:p>
    <w:p>
      <w:pPr>
        <w:spacing w:line="348" w:lineRule="auto"/>
        <w:ind w:firstLine="420"/>
        <w:contextualSpacing/>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  址：</w:t>
      </w:r>
      <w:r>
        <w:rPr>
          <w:rFonts w:hint="eastAsia" w:ascii="宋体" w:hAnsi="宋体" w:cs="宋体"/>
          <w:color w:val="000000" w:themeColor="text1"/>
          <w:szCs w:val="21"/>
          <w:lang w:val="en-US" w:eastAsia="zh-CN"/>
          <w14:textFill>
            <w14:solidFill>
              <w14:schemeClr w14:val="tx1"/>
            </w14:solidFill>
          </w14:textFill>
        </w:rPr>
        <w:t>/</w:t>
      </w:r>
    </w:p>
    <w:p>
      <w:pPr>
        <w:spacing w:line="348" w:lineRule="auto"/>
        <w:ind w:firstLine="42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传  真：/</w:t>
      </w:r>
    </w:p>
    <w:p>
      <w:pPr>
        <w:spacing w:line="348" w:lineRule="auto"/>
        <w:ind w:firstLine="42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联系人：金老师</w:t>
      </w:r>
    </w:p>
    <w:p>
      <w:pPr>
        <w:spacing w:line="348" w:lineRule="auto"/>
        <w:ind w:firstLine="420"/>
        <w:contextualSpacing/>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监督投诉电话：0574-89389666</w:t>
      </w:r>
    </w:p>
    <w:p>
      <w:pPr>
        <w:pStyle w:val="3"/>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br w:type="page"/>
      </w:r>
      <w:bookmarkStart w:id="36" w:name="_Toc475283880"/>
      <w:r>
        <w:rPr>
          <w:rFonts w:hint="eastAsia" w:ascii="宋体" w:hAnsi="宋体" w:cs="宋体"/>
          <w:color w:val="000000" w:themeColor="text1"/>
          <w:highlight w:val="none"/>
          <w14:textFill>
            <w14:solidFill>
              <w14:schemeClr w14:val="tx1"/>
            </w14:solidFill>
          </w14:textFill>
        </w:rPr>
        <w:t>第二章  招标需求</w:t>
      </w:r>
      <w:bookmarkEnd w:id="36"/>
    </w:p>
    <w:p>
      <w:pPr>
        <w:spacing w:line="320" w:lineRule="exact"/>
        <w:jc w:val="center"/>
        <w:outlineLvl w:val="0"/>
        <w:rPr>
          <w:rFonts w:ascii="宋体" w:hAnsi="宋体" w:cs="宋体"/>
          <w:b/>
          <w:bCs/>
          <w:color w:val="000000" w:themeColor="text1"/>
          <w:szCs w:val="21"/>
          <w14:textFill>
            <w14:solidFill>
              <w14:schemeClr w14:val="tx1"/>
            </w14:solidFill>
          </w14:textFill>
        </w:rPr>
      </w:pPr>
      <w:bookmarkStart w:id="37" w:name="_Toc29956"/>
      <w:bookmarkStart w:id="38" w:name="_Toc25363"/>
      <w:bookmarkStart w:id="39" w:name="_Toc24463456"/>
      <w:bookmarkStart w:id="40" w:name="_Toc317685548"/>
      <w:r>
        <w:rPr>
          <w:rFonts w:hint="eastAsia" w:ascii="宋体" w:hAnsi="宋体" w:cs="宋体"/>
          <w:b/>
          <w:bCs/>
          <w:color w:val="000000" w:themeColor="text1"/>
          <w:szCs w:val="21"/>
          <w14:textFill>
            <w14:solidFill>
              <w14:schemeClr w14:val="tx1"/>
            </w14:solidFill>
          </w14:textFill>
        </w:rPr>
        <w:t>前附表</w:t>
      </w:r>
      <w:bookmarkEnd w:id="37"/>
      <w:bookmarkEnd w:id="38"/>
      <w:bookmarkEnd w:id="39"/>
    </w:p>
    <w:bookmarkEnd w:id="40"/>
    <w:tbl>
      <w:tblPr>
        <w:tblStyle w:val="46"/>
        <w:tblW w:w="8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2771"/>
        <w:gridCol w:w="4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74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序号</w:t>
            </w:r>
          </w:p>
        </w:tc>
        <w:tc>
          <w:tcPr>
            <w:tcW w:w="27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项目</w:t>
            </w:r>
          </w:p>
        </w:tc>
        <w:tc>
          <w:tcPr>
            <w:tcW w:w="46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采购需求内容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7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采购内容</w:t>
            </w:r>
          </w:p>
        </w:tc>
        <w:tc>
          <w:tcPr>
            <w:tcW w:w="46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详见第一章。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27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交货期</w:t>
            </w:r>
            <w:r>
              <w:rPr>
                <w:rFonts w:hint="eastAsia" w:ascii="宋体" w:hAnsi="宋体" w:cs="宋体"/>
                <w:color w:val="000000" w:themeColor="text1"/>
                <w:szCs w:val="21"/>
                <w:lang w:eastAsia="zh-CN"/>
                <w14:textFill>
                  <w14:solidFill>
                    <w14:schemeClr w14:val="tx1"/>
                  </w14:solidFill>
                </w14:textFill>
              </w:rPr>
              <w:t>（合同履行期限）</w:t>
            </w:r>
          </w:p>
        </w:tc>
        <w:tc>
          <w:tcPr>
            <w:tcW w:w="46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详见第一章。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p>
        </w:tc>
        <w:tc>
          <w:tcPr>
            <w:tcW w:w="27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交付或者实施的时间和地点</w:t>
            </w:r>
          </w:p>
        </w:tc>
        <w:tc>
          <w:tcPr>
            <w:tcW w:w="46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4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p>
        </w:tc>
        <w:tc>
          <w:tcPr>
            <w:tcW w:w="27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需实现的功能或者目标</w:t>
            </w:r>
          </w:p>
        </w:tc>
        <w:tc>
          <w:tcPr>
            <w:tcW w:w="46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74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w:t>
            </w:r>
          </w:p>
        </w:tc>
        <w:tc>
          <w:tcPr>
            <w:tcW w:w="27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执行的国家相关标准、行业标准、地方标准或者其它标准、规范</w:t>
            </w:r>
          </w:p>
        </w:tc>
        <w:tc>
          <w:tcPr>
            <w:tcW w:w="46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执行采购人认可的国家相关标准、行业标准、地方标准或者其它标准、规范（如有）。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4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w:t>
            </w:r>
          </w:p>
        </w:tc>
        <w:tc>
          <w:tcPr>
            <w:tcW w:w="27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服务要求</w:t>
            </w:r>
          </w:p>
        </w:tc>
        <w:tc>
          <w:tcPr>
            <w:tcW w:w="46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w:t>
            </w:r>
          </w:p>
        </w:tc>
        <w:tc>
          <w:tcPr>
            <w:tcW w:w="27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物理特性要求</w:t>
            </w:r>
          </w:p>
        </w:tc>
        <w:tc>
          <w:tcPr>
            <w:tcW w:w="46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w:t>
            </w:r>
          </w:p>
        </w:tc>
        <w:tc>
          <w:tcPr>
            <w:tcW w:w="27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质量、安全要求</w:t>
            </w:r>
          </w:p>
        </w:tc>
        <w:tc>
          <w:tcPr>
            <w:tcW w:w="4697" w:type="dxa"/>
            <w:vAlign w:val="center"/>
          </w:tcPr>
          <w:p>
            <w:pPr>
              <w:pStyle w:val="18"/>
              <w:keepNext w:val="0"/>
              <w:keepLines w:val="0"/>
              <w:pageBreakBefore w:val="0"/>
              <w:widowControl w:val="0"/>
              <w:kinsoku/>
              <w:wordWrap/>
              <w:overflowPunct/>
              <w:topLinePunct w:val="0"/>
              <w:autoSpaceDE/>
              <w:autoSpaceDN/>
              <w:bidi w:val="0"/>
              <w:adjustRightInd/>
              <w:snapToGrid/>
              <w:spacing w:after="0" w:line="400" w:lineRule="exact"/>
              <w:textAlignment w:val="auto"/>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4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w:t>
            </w:r>
          </w:p>
        </w:tc>
        <w:tc>
          <w:tcPr>
            <w:tcW w:w="27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服务标准、期限、效率</w:t>
            </w:r>
          </w:p>
        </w:tc>
        <w:tc>
          <w:tcPr>
            <w:tcW w:w="46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74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w:t>
            </w:r>
          </w:p>
        </w:tc>
        <w:tc>
          <w:tcPr>
            <w:tcW w:w="27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验收标准</w:t>
            </w:r>
          </w:p>
        </w:tc>
        <w:tc>
          <w:tcPr>
            <w:tcW w:w="46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按招标文件要求验收。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p>
        </w:tc>
        <w:tc>
          <w:tcPr>
            <w:tcW w:w="27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现场踏勘</w:t>
            </w:r>
          </w:p>
        </w:tc>
        <w:tc>
          <w:tcPr>
            <w:tcW w:w="4697"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pPr>
            <w:r>
              <w:rPr>
                <w:rFonts w:hint="eastAsia" w:ascii="宋体" w:hAnsi="宋体" w:cs="宋体"/>
                <w:highlight w:val="none"/>
                <w:lang w:val="en-US" w:eastAsia="zh-CN"/>
              </w:rPr>
              <w:t>本项目不统一组织现场勘察，投标人可自行对本项目现场和周围环境进行勘察。勘察现场所发生的费用由投标人自己承担。不论何种原因所造成，在勘察过程中，投标人自行对由此次踏勘现场而造成的死亡、人身伤害、财产损失、损害以及任何其它损失、损害和引起的费用和开支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4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w:t>
            </w:r>
          </w:p>
        </w:tc>
        <w:tc>
          <w:tcPr>
            <w:tcW w:w="277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演示时间及地点</w:t>
            </w:r>
          </w:p>
        </w:tc>
        <w:tc>
          <w:tcPr>
            <w:tcW w:w="4697"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无。</w:t>
            </w:r>
          </w:p>
        </w:tc>
      </w:tr>
    </w:tbl>
    <w:p>
      <w:pPr>
        <w:pStyle w:val="96"/>
        <w:keepNext w:val="0"/>
        <w:keepLines w:val="0"/>
        <w:pageBreakBefore w:val="0"/>
        <w:kinsoku/>
        <w:wordWrap/>
        <w:overflowPunct/>
        <w:topLinePunct w:val="0"/>
        <w:autoSpaceDE/>
        <w:autoSpaceDN/>
        <w:bidi w:val="0"/>
        <w:adjustRightInd/>
        <w:snapToGrid/>
        <w:spacing w:line="360" w:lineRule="auto"/>
        <w:ind w:left="0" w:leftChars="0" w:firstLine="0" w:firstLineChars="0"/>
        <w:outlineLvl w:val="1"/>
        <w:rPr>
          <w:rFonts w:hint="eastAsia" w:ascii="宋体" w:hAnsi="宋体" w:eastAsia="宋体" w:cs="宋体"/>
          <w:b w:val="0"/>
          <w:bCs/>
          <w:color w:val="auto"/>
          <w:sz w:val="21"/>
          <w:szCs w:val="21"/>
          <w:lang w:val="en-US" w:eastAsia="zh-CN"/>
        </w:rPr>
      </w:pPr>
      <w:r>
        <w:rPr>
          <w:rFonts w:hint="eastAsia" w:ascii="宋体" w:hAnsi="宋体" w:cs="宋体"/>
          <w:b/>
          <w:color w:val="000000" w:themeColor="text1"/>
          <w:szCs w:val="21"/>
          <w14:textFill>
            <w14:solidFill>
              <w14:schemeClr w14:val="tx1"/>
            </w14:solidFill>
          </w14:textFill>
        </w:rPr>
        <w:br w:type="page"/>
      </w:r>
    </w:p>
    <w:p>
      <w:pPr>
        <w:keepNext w:val="0"/>
        <w:keepLines w:val="0"/>
        <w:pageBreakBefore w:val="0"/>
        <w:kinsoku/>
        <w:wordWrap/>
        <w:overflowPunct/>
        <w:topLinePunct w:val="0"/>
        <w:autoSpaceDE/>
        <w:autoSpaceDN/>
        <w:bidi w:val="0"/>
        <w:adjustRightInd w:val="0"/>
        <w:snapToGrid w:val="0"/>
        <w:spacing w:line="360" w:lineRule="auto"/>
        <w:outlineLvl w:val="1"/>
        <w:rPr>
          <w:rFonts w:hint="eastAsia" w:ascii="宋体" w:hAnsi="宋体" w:eastAsia="宋体" w:cs="宋体"/>
          <w:b/>
          <w:sz w:val="21"/>
          <w:szCs w:val="21"/>
        </w:rPr>
      </w:pPr>
      <w:bookmarkStart w:id="41" w:name="_Toc130697192"/>
      <w:bookmarkStart w:id="42" w:name="_Toc153615297"/>
      <w:bookmarkStart w:id="43" w:name="_Toc185747588"/>
      <w:bookmarkStart w:id="44" w:name="_Toc130695600"/>
      <w:r>
        <w:rPr>
          <w:rFonts w:hint="eastAsia" w:ascii="宋体" w:hAnsi="宋体" w:eastAsia="宋体" w:cs="宋体"/>
          <w:b/>
          <w:sz w:val="21"/>
          <w:szCs w:val="21"/>
        </w:rPr>
        <w:t>一、项目概况</w:t>
      </w:r>
    </w:p>
    <w:p>
      <w:pPr>
        <w:pStyle w:val="42"/>
        <w:keepNext w:val="0"/>
        <w:keepLines w:val="0"/>
        <w:pageBreakBefore w:val="0"/>
        <w:shd w:val="clear" w:color="auto" w:fill="FFFFFF"/>
        <w:kinsoku/>
        <w:wordWrap/>
        <w:overflowPunct/>
        <w:topLinePunct w:val="0"/>
        <w:autoSpaceDE/>
        <w:autoSpaceDN/>
        <w:bidi w:val="0"/>
        <w:snapToGrid w:val="0"/>
        <w:spacing w:before="0" w:beforeAutospacing="0" w:after="0" w:afterAutospacing="0"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2021年4月6日习近平总书记指示：“近年来，各地区各部门贯彻党中央决策部署，坚持开展电信网络诈骗犯罪打击治理取得了初步成效。要坚持以人民为中心，统筹发展和安全，强化系统观念、法治思维，注意源头治理、综合治理，坚持齐抓共管、群防群治，全面落实打防管控各项措施和金融、通信、互联网等行业监管主体责任。”4月7日，李克强总理批示，“依法打击电信网络犯罪的成效要继续巩固和深化，更好维护人民群众财产安全的合法权益。”为此我们必须全力构建“全警反诈、全社会反诈”新格局，坚决遏制电信网络诈骗犯罪案件高发态势，维护国家政治安全和社会稳定。</w:t>
      </w:r>
    </w:p>
    <w:p>
      <w:pPr>
        <w:pStyle w:val="42"/>
        <w:keepNext w:val="0"/>
        <w:keepLines w:val="0"/>
        <w:pageBreakBefore w:val="0"/>
        <w:shd w:val="clear" w:color="auto" w:fill="FFFFFF"/>
        <w:kinsoku/>
        <w:wordWrap/>
        <w:overflowPunct/>
        <w:topLinePunct w:val="0"/>
        <w:autoSpaceDE/>
        <w:autoSpaceDN/>
        <w:bidi w:val="0"/>
        <w:snapToGrid w:val="0"/>
        <w:spacing w:before="0" w:beforeAutospacing="0" w:after="0" w:afterAutospacing="0"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lang w:val="en-US" w:eastAsia="zh-CN"/>
        </w:rPr>
        <w:t>区</w:t>
      </w:r>
      <w:r>
        <w:rPr>
          <w:rFonts w:hint="eastAsia" w:eastAsia="宋体" w:cs="宋体"/>
          <w:sz w:val="21"/>
          <w:szCs w:val="21"/>
          <w:lang w:val="en-US" w:eastAsia="zh-CN"/>
        </w:rPr>
        <w:t>内</w:t>
      </w:r>
      <w:r>
        <w:rPr>
          <w:rFonts w:hint="eastAsia" w:ascii="宋体" w:hAnsi="宋体" w:eastAsia="宋体" w:cs="宋体"/>
          <w:sz w:val="21"/>
          <w:szCs w:val="21"/>
        </w:rPr>
        <w:t>电信网络诈骗案件仍然处于高位运行，从电信网络诈骗到非吸、P2P再到近年来的TLD，非接触性犯罪的比例在逐年上升，互联网由于其隐蔽性、无边界、易交流的特征，已经成为滋生新型非接触性犯罪的土壤。网络犯罪日益增多，网络犯罪群体日益壮大，犯罪嫌疑人反侦查能力日益提升，涉案手段不断出新多变，给公安的打、防、管、控带来极大的挑战。由于公安机关警力有限、科技化水平不高、缺乏针对电信诈骗的有效处置手段，加上电信网络诈骗本身是非接触型犯罪，具有线索追踪难、证据固定难的特性，其中缺乏科技手段是最突出的问题之一。因此需要采购互联网大数据公司的相关服务，协助开展电诈案件的分析研判工作，提升公安机关打击效率，维护公民的财产安全。</w:t>
      </w:r>
    </w:p>
    <w:bookmarkEnd w:id="41"/>
    <w:bookmarkEnd w:id="42"/>
    <w:bookmarkEnd w:id="43"/>
    <w:bookmarkEnd w:id="44"/>
    <w:p>
      <w:pPr>
        <w:keepNext w:val="0"/>
        <w:keepLines w:val="0"/>
        <w:pageBreakBefore w:val="0"/>
        <w:kinsoku/>
        <w:wordWrap/>
        <w:overflowPunct/>
        <w:topLinePunct w:val="0"/>
        <w:autoSpaceDE/>
        <w:autoSpaceDN/>
        <w:bidi w:val="0"/>
        <w:adjustRightInd w:val="0"/>
        <w:snapToGrid w:val="0"/>
        <w:spacing w:line="360" w:lineRule="auto"/>
        <w:ind w:left="482" w:hanging="422" w:hangingChars="200"/>
        <w:outlineLvl w:val="1"/>
        <w:rPr>
          <w:rFonts w:hint="eastAsia" w:ascii="宋体" w:hAnsi="宋体" w:eastAsia="宋体" w:cs="宋体"/>
          <w:b/>
          <w:sz w:val="21"/>
          <w:szCs w:val="21"/>
        </w:rPr>
      </w:pPr>
    </w:p>
    <w:p>
      <w:pPr>
        <w:keepNext w:val="0"/>
        <w:keepLines w:val="0"/>
        <w:pageBreakBefore w:val="0"/>
        <w:kinsoku/>
        <w:wordWrap/>
        <w:overflowPunct/>
        <w:topLinePunct w:val="0"/>
        <w:autoSpaceDE/>
        <w:autoSpaceDN/>
        <w:bidi w:val="0"/>
        <w:adjustRightInd w:val="0"/>
        <w:snapToGrid w:val="0"/>
        <w:spacing w:line="360" w:lineRule="auto"/>
        <w:ind w:left="482" w:hanging="422" w:hangingChars="200"/>
        <w:outlineLvl w:val="1"/>
        <w:rPr>
          <w:rFonts w:hint="eastAsia" w:ascii="宋体" w:hAnsi="宋体" w:eastAsia="宋体" w:cs="宋体"/>
          <w:b/>
          <w:sz w:val="21"/>
          <w:szCs w:val="21"/>
        </w:rPr>
      </w:pPr>
      <w:r>
        <w:rPr>
          <w:rFonts w:hint="eastAsia" w:ascii="宋体" w:hAnsi="宋体" w:eastAsia="宋体" w:cs="宋体"/>
          <w:b/>
          <w:sz w:val="21"/>
          <w:szCs w:val="21"/>
        </w:rPr>
        <w:t>二、项目服务内容需求</w:t>
      </w:r>
    </w:p>
    <w:p>
      <w:pPr>
        <w:keepNext w:val="0"/>
        <w:keepLines w:val="0"/>
        <w:pageBreakBefore w:val="0"/>
        <w:kinsoku/>
        <w:wordWrap/>
        <w:overflowPunct/>
        <w:topLinePunct w:val="0"/>
        <w:autoSpaceDE/>
        <w:autoSpaceDN/>
        <w:bidi w:val="0"/>
        <w:snapToGrid w:val="0"/>
        <w:spacing w:line="360" w:lineRule="auto"/>
        <w:ind w:firstLine="211" w:firstLineChars="100"/>
        <w:rPr>
          <w:rFonts w:hint="eastAsia" w:ascii="宋体" w:hAnsi="宋体" w:eastAsia="宋体" w:cs="宋体"/>
          <w:b/>
          <w:sz w:val="21"/>
          <w:szCs w:val="21"/>
        </w:rPr>
      </w:pPr>
      <w:r>
        <w:rPr>
          <w:rFonts w:hint="eastAsia" w:ascii="宋体" w:hAnsi="宋体" w:eastAsia="宋体" w:cs="宋体"/>
          <w:b/>
          <w:sz w:val="21"/>
          <w:szCs w:val="21"/>
        </w:rPr>
        <w:t>（一）软件服务要求</w:t>
      </w:r>
    </w:p>
    <w:p>
      <w:pPr>
        <w:keepNext w:val="0"/>
        <w:keepLines w:val="0"/>
        <w:pageBreakBefore w:val="0"/>
        <w:kinsoku/>
        <w:wordWrap/>
        <w:overflowPunct/>
        <w:topLinePunct w:val="0"/>
        <w:autoSpaceDE/>
        <w:autoSpaceDN/>
        <w:bidi w:val="0"/>
        <w:snapToGrid w:val="0"/>
        <w:spacing w:line="360" w:lineRule="auto"/>
        <w:ind w:firstLine="420" w:firstLineChars="200"/>
        <w:rPr>
          <w:rFonts w:hint="eastAsia" w:ascii="宋体" w:hAnsi="宋体" w:eastAsia="宋体" w:cs="宋体"/>
          <w:b/>
          <w:sz w:val="21"/>
          <w:szCs w:val="21"/>
        </w:rPr>
      </w:pPr>
      <w:r>
        <w:rPr>
          <w:rFonts w:hint="eastAsia" w:ascii="宋体" w:hAnsi="宋体" w:eastAsia="宋体" w:cs="宋体"/>
          <w:sz w:val="21"/>
          <w:szCs w:val="21"/>
        </w:rPr>
        <w:t>★</w:t>
      </w:r>
      <w:r>
        <w:rPr>
          <w:rFonts w:hint="eastAsia" w:ascii="宋体" w:hAnsi="宋体" w:eastAsia="宋体" w:cs="宋体"/>
          <w:b/>
          <w:sz w:val="21"/>
          <w:szCs w:val="21"/>
        </w:rPr>
        <w:t>1、服务环境需求</w:t>
      </w:r>
    </w:p>
    <w:p>
      <w:pPr>
        <w:pStyle w:val="42"/>
        <w:keepNext w:val="0"/>
        <w:keepLines w:val="0"/>
        <w:pageBreakBefore w:val="0"/>
        <w:shd w:val="clear" w:color="auto" w:fill="FFFFFF"/>
        <w:kinsoku/>
        <w:wordWrap/>
        <w:overflowPunct/>
        <w:topLinePunct w:val="0"/>
        <w:autoSpaceDE/>
        <w:autoSpaceDN/>
        <w:bidi w:val="0"/>
        <w:snapToGrid w:val="0"/>
        <w:spacing w:before="0" w:beforeAutospacing="0" w:after="0" w:afterAutospacing="0"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服务必需通过SAAS化版本的载体软件提供，本地无需部署业务系统，同时采用VPN加密方式进行安全登录</w:t>
      </w:r>
      <w:r>
        <w:rPr>
          <w:rFonts w:hint="eastAsia" w:ascii="宋体" w:hAnsi="宋体" w:eastAsia="宋体" w:cs="宋体"/>
          <w:b/>
          <w:bCs/>
          <w:sz w:val="21"/>
          <w:szCs w:val="21"/>
        </w:rPr>
        <w:t>（须提供承诺函，格式自定）</w:t>
      </w:r>
      <w:r>
        <w:rPr>
          <w:rFonts w:hint="eastAsia" w:ascii="宋体" w:hAnsi="宋体" w:eastAsia="宋体" w:cs="宋体"/>
          <w:sz w:val="21"/>
          <w:szCs w:val="21"/>
        </w:rPr>
        <w:t>。</w:t>
      </w:r>
    </w:p>
    <w:p>
      <w:pPr>
        <w:keepNext w:val="0"/>
        <w:keepLines w:val="0"/>
        <w:pageBreakBefore w:val="0"/>
        <w:kinsoku/>
        <w:wordWrap/>
        <w:overflowPunct/>
        <w:topLinePunct w:val="0"/>
        <w:autoSpaceDE/>
        <w:autoSpaceDN/>
        <w:bidi w:val="0"/>
        <w:snapToGrid w:val="0"/>
        <w:spacing w:line="360" w:lineRule="auto"/>
        <w:ind w:firstLine="422" w:firstLineChars="200"/>
        <w:rPr>
          <w:rFonts w:hint="eastAsia" w:ascii="宋体" w:hAnsi="宋体" w:eastAsia="宋体" w:cs="宋体"/>
          <w:b/>
          <w:sz w:val="21"/>
          <w:szCs w:val="21"/>
        </w:rPr>
      </w:pPr>
      <w:bookmarkStart w:id="45" w:name="_Toc3901976"/>
      <w:r>
        <w:rPr>
          <w:rFonts w:hint="eastAsia" w:ascii="宋体" w:hAnsi="宋体" w:eastAsia="宋体" w:cs="宋体"/>
          <w:b/>
          <w:sz w:val="21"/>
          <w:szCs w:val="21"/>
        </w:rPr>
        <w:t>2、业务需求</w:t>
      </w:r>
      <w:bookmarkEnd w:id="45"/>
    </w:p>
    <w:p>
      <w:pPr>
        <w:keepNext w:val="0"/>
        <w:keepLines w:val="0"/>
        <w:pageBreakBefore w:val="0"/>
        <w:kinsoku/>
        <w:wordWrap/>
        <w:overflowPunct/>
        <w:topLinePunct w:val="0"/>
        <w:autoSpaceDE/>
        <w:autoSpaceDN/>
        <w:bidi w:val="0"/>
        <w:snapToGrid w:val="0"/>
        <w:spacing w:line="360" w:lineRule="auto"/>
        <w:ind w:firstLine="422" w:firstLineChars="200"/>
        <w:rPr>
          <w:rFonts w:hint="eastAsia" w:ascii="宋体" w:hAnsi="宋体" w:eastAsia="宋体" w:cs="宋体"/>
          <w:b/>
          <w:sz w:val="21"/>
          <w:szCs w:val="21"/>
        </w:rPr>
      </w:pPr>
      <w:bookmarkStart w:id="46" w:name="_Toc3901977"/>
      <w:r>
        <w:rPr>
          <w:rFonts w:hint="eastAsia" w:ascii="宋体" w:hAnsi="宋体" w:eastAsia="宋体" w:cs="宋体"/>
          <w:b/>
          <w:sz w:val="21"/>
          <w:szCs w:val="21"/>
        </w:rPr>
        <w:t>2.1</w:t>
      </w:r>
      <w:bookmarkEnd w:id="46"/>
      <w:r>
        <w:rPr>
          <w:rFonts w:hint="eastAsia" w:ascii="宋体" w:hAnsi="宋体" w:eastAsia="宋体" w:cs="宋体"/>
          <w:b/>
          <w:sz w:val="21"/>
          <w:szCs w:val="21"/>
        </w:rPr>
        <w:t>能够实现虚拟身份实人识别</w:t>
      </w:r>
    </w:p>
    <w:p>
      <w:pPr>
        <w:keepNext w:val="0"/>
        <w:keepLines w:val="0"/>
        <w:pageBreakBefore w:val="0"/>
        <w:kinsoku/>
        <w:wordWrap/>
        <w:overflowPunct/>
        <w:topLinePunct w:val="0"/>
        <w:autoSpaceDE/>
        <w:autoSpaceDN/>
        <w:bidi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应能够将涉案犯罪嫌疑人虚拟身份进行实人识别，确认虚拟身份背后真正的使用人，从而确定特定风险因素，提供案件进一步侦查方向。</w:t>
      </w:r>
    </w:p>
    <w:p>
      <w:pPr>
        <w:keepNext w:val="0"/>
        <w:keepLines w:val="0"/>
        <w:pageBreakBefore w:val="0"/>
        <w:kinsoku/>
        <w:wordWrap/>
        <w:overflowPunct/>
        <w:topLinePunct w:val="0"/>
        <w:autoSpaceDE/>
        <w:autoSpaceDN/>
        <w:bidi w:val="0"/>
        <w:snapToGrid w:val="0"/>
        <w:spacing w:line="360" w:lineRule="auto"/>
        <w:ind w:firstLine="422" w:firstLineChars="200"/>
        <w:rPr>
          <w:rFonts w:hint="eastAsia" w:ascii="宋体" w:hAnsi="宋体" w:eastAsia="宋体" w:cs="宋体"/>
          <w:b/>
          <w:sz w:val="21"/>
          <w:szCs w:val="21"/>
        </w:rPr>
      </w:pPr>
      <w:bookmarkStart w:id="47" w:name="_Toc3901978"/>
      <w:r>
        <w:rPr>
          <w:rFonts w:hint="eastAsia" w:ascii="宋体" w:hAnsi="宋体" w:eastAsia="宋体" w:cs="宋体"/>
          <w:b/>
          <w:sz w:val="21"/>
          <w:szCs w:val="21"/>
        </w:rPr>
        <w:t>2.2能够</w:t>
      </w:r>
      <w:bookmarkEnd w:id="47"/>
      <w:r>
        <w:rPr>
          <w:rFonts w:hint="eastAsia" w:ascii="宋体" w:hAnsi="宋体" w:eastAsia="宋体" w:cs="宋体"/>
          <w:b/>
          <w:sz w:val="21"/>
          <w:szCs w:val="21"/>
        </w:rPr>
        <w:t>实现犯罪团伙深挖扩线</w:t>
      </w:r>
    </w:p>
    <w:p>
      <w:pPr>
        <w:keepNext w:val="0"/>
        <w:keepLines w:val="0"/>
        <w:pageBreakBefore w:val="0"/>
        <w:kinsoku/>
        <w:wordWrap/>
        <w:overflowPunct/>
        <w:topLinePunct w:val="0"/>
        <w:autoSpaceDE/>
        <w:autoSpaceDN/>
        <w:bidi w:val="0"/>
        <w:snapToGrid w:val="0"/>
        <w:spacing w:line="360" w:lineRule="auto"/>
        <w:ind w:firstLine="420" w:firstLineChars="200"/>
        <w:rPr>
          <w:rFonts w:hint="eastAsia" w:ascii="宋体" w:hAnsi="宋体" w:eastAsia="宋体" w:cs="宋体"/>
          <w:sz w:val="21"/>
          <w:szCs w:val="21"/>
        </w:rPr>
      </w:pPr>
      <w:bookmarkStart w:id="48" w:name="_Toc3901980"/>
      <w:r>
        <w:rPr>
          <w:rFonts w:hint="eastAsia" w:ascii="宋体" w:hAnsi="宋体" w:eastAsia="宋体" w:cs="宋体"/>
          <w:sz w:val="21"/>
          <w:szCs w:val="21"/>
        </w:rPr>
        <w:t>能够通过数据挖掘技术，依托海量的互联网数据技术，分析风险因素之间的多类特性维度，挖掘其他风险因素，实现众多风险因素的深挖扩线，更高效地查明犯罪事实及发现风险因素。</w:t>
      </w:r>
    </w:p>
    <w:p>
      <w:pPr>
        <w:keepNext w:val="0"/>
        <w:keepLines w:val="0"/>
        <w:pageBreakBefore w:val="0"/>
        <w:kinsoku/>
        <w:wordWrap/>
        <w:overflowPunct/>
        <w:topLinePunct w:val="0"/>
        <w:autoSpaceDE/>
        <w:autoSpaceDN/>
        <w:bidi w:val="0"/>
        <w:snapToGrid w:val="0"/>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2.3</w:t>
      </w:r>
      <w:bookmarkEnd w:id="48"/>
      <w:r>
        <w:rPr>
          <w:rFonts w:hint="eastAsia" w:ascii="宋体" w:hAnsi="宋体" w:eastAsia="宋体" w:cs="宋体"/>
          <w:b/>
          <w:sz w:val="21"/>
          <w:szCs w:val="21"/>
        </w:rPr>
        <w:t>实现犯罪风险聚集点精准发现</w:t>
      </w:r>
    </w:p>
    <w:p>
      <w:pPr>
        <w:keepNext w:val="0"/>
        <w:keepLines w:val="0"/>
        <w:pageBreakBefore w:val="0"/>
        <w:kinsoku/>
        <w:wordWrap/>
        <w:overflowPunct/>
        <w:topLinePunct w:val="0"/>
        <w:autoSpaceDE/>
        <w:autoSpaceDN/>
        <w:bidi w:val="0"/>
        <w:snapToGrid w:val="0"/>
        <w:spacing w:line="360" w:lineRule="auto"/>
        <w:ind w:firstLine="420" w:firstLineChars="200"/>
        <w:rPr>
          <w:rFonts w:hint="eastAsia" w:ascii="宋体" w:hAnsi="宋体" w:eastAsia="宋体" w:cs="宋体"/>
          <w:sz w:val="21"/>
          <w:szCs w:val="21"/>
        </w:rPr>
      </w:pPr>
      <w:bookmarkStart w:id="49" w:name="_Toc3901985"/>
      <w:r>
        <w:rPr>
          <w:rFonts w:hint="eastAsia" w:ascii="宋体" w:hAnsi="宋体" w:eastAsia="宋体" w:cs="宋体"/>
          <w:sz w:val="21"/>
          <w:szCs w:val="21"/>
        </w:rPr>
        <w:t>基于互联网资源与公安信息的融合，通过交叉比对和多维建模计算，系统可为公安机关提供精准的风险聚集点。</w:t>
      </w:r>
    </w:p>
    <w:p>
      <w:pPr>
        <w:keepNext w:val="0"/>
        <w:keepLines w:val="0"/>
        <w:pageBreakBefore w:val="0"/>
        <w:kinsoku/>
        <w:wordWrap/>
        <w:overflowPunct/>
        <w:topLinePunct w:val="0"/>
        <w:autoSpaceDE/>
        <w:autoSpaceDN/>
        <w:bidi w:val="0"/>
        <w:snapToGrid w:val="0"/>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3、系统服务</w:t>
      </w:r>
      <w:bookmarkEnd w:id="49"/>
      <w:r>
        <w:rPr>
          <w:rFonts w:hint="eastAsia" w:ascii="宋体" w:hAnsi="宋体" w:eastAsia="宋体" w:cs="宋体"/>
          <w:b/>
          <w:sz w:val="21"/>
          <w:szCs w:val="21"/>
        </w:rPr>
        <w:t>需求</w:t>
      </w:r>
    </w:p>
    <w:p>
      <w:pPr>
        <w:keepNext w:val="0"/>
        <w:keepLines w:val="0"/>
        <w:pageBreakBefore w:val="0"/>
        <w:kinsoku/>
        <w:wordWrap/>
        <w:overflowPunct/>
        <w:topLinePunct w:val="0"/>
        <w:autoSpaceDE/>
        <w:autoSpaceDN/>
        <w:bidi w:val="0"/>
        <w:snapToGrid w:val="0"/>
        <w:spacing w:line="360" w:lineRule="auto"/>
        <w:ind w:firstLine="422" w:firstLineChars="200"/>
        <w:rPr>
          <w:rFonts w:hint="eastAsia" w:ascii="宋体" w:hAnsi="宋体" w:eastAsia="宋体" w:cs="宋体"/>
          <w:b/>
          <w:sz w:val="21"/>
          <w:szCs w:val="21"/>
        </w:rPr>
      </w:pPr>
      <w:bookmarkStart w:id="50" w:name="_Toc3901986"/>
      <w:r>
        <w:rPr>
          <w:rFonts w:hint="eastAsia" w:ascii="宋体" w:hAnsi="宋体" w:eastAsia="宋体" w:cs="宋体"/>
          <w:b/>
          <w:sz w:val="21"/>
          <w:szCs w:val="21"/>
        </w:rPr>
        <w:t>3.1安全管理</w:t>
      </w:r>
      <w:bookmarkEnd w:id="50"/>
      <w:r>
        <w:rPr>
          <w:rFonts w:hint="eastAsia" w:ascii="宋体" w:hAnsi="宋体" w:eastAsia="宋体" w:cs="宋体"/>
          <w:b/>
          <w:sz w:val="21"/>
          <w:szCs w:val="21"/>
        </w:rPr>
        <w:t>服务</w:t>
      </w:r>
    </w:p>
    <w:p>
      <w:pPr>
        <w:keepNext w:val="0"/>
        <w:keepLines w:val="0"/>
        <w:pageBreakBefore w:val="0"/>
        <w:kinsoku/>
        <w:wordWrap/>
        <w:overflowPunct/>
        <w:topLinePunct w:val="0"/>
        <w:autoSpaceDE/>
        <w:autoSpaceDN/>
        <w:bidi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能够提供账号登录、鉴权找密功能，并通过VPN进行安全性加固，同时为同单位下的多账号提供案件信息共享的能力，便于多人协同对同一案件进行侦办。</w:t>
      </w:r>
    </w:p>
    <w:p>
      <w:pPr>
        <w:keepNext w:val="0"/>
        <w:keepLines w:val="0"/>
        <w:pageBreakBefore w:val="0"/>
        <w:kinsoku/>
        <w:wordWrap/>
        <w:overflowPunct/>
        <w:topLinePunct w:val="0"/>
        <w:autoSpaceDE/>
        <w:autoSpaceDN/>
        <w:bidi w:val="0"/>
        <w:snapToGrid w:val="0"/>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3.2平台管理服务</w:t>
      </w:r>
    </w:p>
    <w:p>
      <w:pPr>
        <w:keepNext w:val="0"/>
        <w:keepLines w:val="0"/>
        <w:pageBreakBefore w:val="0"/>
        <w:kinsoku/>
        <w:wordWrap/>
        <w:overflowPunct/>
        <w:topLinePunct w:val="0"/>
        <w:autoSpaceDE/>
        <w:autoSpaceDN/>
        <w:bidi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1）能够对本单位所有需要录入系统分析研判的案件档案的统一管理，包括案件基本信息的录入、案件信息维护、案件分析研判文书及服务函的上传功能。</w:t>
      </w:r>
    </w:p>
    <w:p>
      <w:pPr>
        <w:keepNext w:val="0"/>
        <w:keepLines w:val="0"/>
        <w:pageBreakBefore w:val="0"/>
        <w:kinsoku/>
        <w:wordWrap/>
        <w:overflowPunct/>
        <w:topLinePunct w:val="0"/>
        <w:autoSpaceDE/>
        <w:autoSpaceDN/>
        <w:bidi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2）能够用于管理本单位案件中的风险因素的基本信息，并可对风险因素的基本信息进行查询。</w:t>
      </w:r>
    </w:p>
    <w:p>
      <w:pPr>
        <w:keepNext w:val="0"/>
        <w:keepLines w:val="0"/>
        <w:pageBreakBefore w:val="0"/>
        <w:kinsoku/>
        <w:wordWrap/>
        <w:overflowPunct/>
        <w:topLinePunct w:val="0"/>
        <w:autoSpaceDE/>
        <w:autoSpaceDN/>
        <w:bidi w:val="0"/>
        <w:snapToGrid w:val="0"/>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3.3基础研判服务</w:t>
      </w:r>
    </w:p>
    <w:p>
      <w:pPr>
        <w:keepNext w:val="0"/>
        <w:keepLines w:val="0"/>
        <w:pageBreakBefore w:val="0"/>
        <w:kinsoku/>
        <w:wordWrap/>
        <w:overflowPunct/>
        <w:topLinePunct w:val="0"/>
        <w:autoSpaceDE/>
        <w:autoSpaceDN/>
        <w:bidi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1）能够以个体的维度构建风险因素的全息档案，并通过案件信息维护，对涉案风险因素进行嫌疑锁定、嫌疑排除、收网确认等进行管理，以及风险因素进行管理。</w:t>
      </w:r>
    </w:p>
    <w:p>
      <w:pPr>
        <w:keepNext w:val="0"/>
        <w:keepLines w:val="0"/>
        <w:pageBreakBefore w:val="0"/>
        <w:kinsoku/>
        <w:wordWrap/>
        <w:overflowPunct/>
        <w:topLinePunct w:val="0"/>
        <w:autoSpaceDE/>
        <w:autoSpaceDN/>
        <w:bidi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2）能够对需要研判分析的案件进行可侦度初步分析，根据评估结果，可自主选择是否进行深度分析研判。</w:t>
      </w:r>
    </w:p>
    <w:p>
      <w:pPr>
        <w:keepNext w:val="0"/>
        <w:keepLines w:val="0"/>
        <w:pageBreakBefore w:val="0"/>
        <w:kinsoku/>
        <w:wordWrap/>
        <w:overflowPunct/>
        <w:topLinePunct w:val="0"/>
        <w:autoSpaceDE/>
        <w:autoSpaceDN/>
        <w:bidi w:val="0"/>
        <w:adjustRightInd w:val="0"/>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3）能够在掌握风险因素一定信息后，基于计算模型，挖掘出风险聚集地以及聚集地相关情况。</w:t>
      </w:r>
    </w:p>
    <w:p>
      <w:pPr>
        <w:keepNext w:val="0"/>
        <w:keepLines w:val="0"/>
        <w:pageBreakBefore w:val="0"/>
        <w:kinsoku/>
        <w:wordWrap/>
        <w:overflowPunct/>
        <w:topLinePunct w:val="0"/>
        <w:autoSpaceDE/>
        <w:autoSpaceDN/>
        <w:bidi w:val="0"/>
        <w:adjustRightInd w:val="0"/>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4）能够根据风险因素的风险特点，通过数据技术行为分析，运用众多智能模型技术，挖掘扩展出风险因素之间的关联风险，实现以点找线，以线找面的众多风险因素挖掘，加速案件侦破。</w:t>
      </w:r>
    </w:p>
    <w:p>
      <w:pPr>
        <w:keepNext w:val="0"/>
        <w:keepLines w:val="0"/>
        <w:pageBreakBefore w:val="0"/>
        <w:kinsoku/>
        <w:wordWrap/>
        <w:overflowPunct/>
        <w:topLinePunct w:val="0"/>
        <w:autoSpaceDE/>
        <w:autoSpaceDN/>
        <w:bidi w:val="0"/>
        <w:adjustRightInd w:val="0"/>
        <w:snapToGrid w:val="0"/>
        <w:spacing w:line="360" w:lineRule="auto"/>
        <w:ind w:firstLine="420"/>
        <w:rPr>
          <w:rFonts w:hint="eastAsia" w:ascii="宋体" w:hAnsi="宋体" w:eastAsia="宋体" w:cs="宋体"/>
          <w:sz w:val="21"/>
          <w:szCs w:val="21"/>
        </w:rPr>
      </w:pPr>
      <w:r>
        <w:rPr>
          <w:rFonts w:hint="eastAsia" w:ascii="宋体" w:hAnsi="宋体" w:eastAsia="宋体" w:cs="宋体"/>
          <w:sz w:val="21"/>
          <w:szCs w:val="21"/>
        </w:rPr>
        <w:t>5）具有可视化分析功能，能够基于风险因素之间的特性，通过智能模型对关键风险因素进一步扩线，以不断为案件提供觅方向的方式，来促成、提效案件研判与收网。</w:t>
      </w:r>
    </w:p>
    <w:p>
      <w:pPr>
        <w:keepNext w:val="0"/>
        <w:keepLines w:val="0"/>
        <w:pageBreakBefore w:val="0"/>
        <w:kinsoku/>
        <w:wordWrap/>
        <w:overflowPunct/>
        <w:topLinePunct w:val="0"/>
        <w:autoSpaceDE/>
        <w:autoSpaceDN/>
        <w:bidi w:val="0"/>
        <w:snapToGrid w:val="0"/>
        <w:spacing w:line="360" w:lineRule="auto"/>
        <w:ind w:firstLine="211" w:firstLineChars="100"/>
        <w:rPr>
          <w:rFonts w:hint="eastAsia" w:ascii="宋体" w:hAnsi="宋体" w:eastAsia="宋体" w:cs="宋体"/>
          <w:sz w:val="21"/>
          <w:szCs w:val="21"/>
        </w:rPr>
      </w:pPr>
      <w:r>
        <w:rPr>
          <w:rFonts w:hint="eastAsia" w:ascii="宋体" w:hAnsi="宋体" w:eastAsia="宋体" w:cs="宋体"/>
          <w:b/>
          <w:sz w:val="21"/>
          <w:szCs w:val="21"/>
        </w:rPr>
        <w:t>（二）项目安全设计需求</w:t>
      </w:r>
    </w:p>
    <w:p>
      <w:pPr>
        <w:keepNext w:val="0"/>
        <w:keepLines w:val="0"/>
        <w:pageBreakBefore w:val="0"/>
        <w:kinsoku/>
        <w:wordWrap/>
        <w:overflowPunct/>
        <w:topLinePunct w:val="0"/>
        <w:autoSpaceDE/>
        <w:autoSpaceDN/>
        <w:bidi w:val="0"/>
        <w:snapToGrid w:val="0"/>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服务系统载体软件系统必须符合物理、网络、主机、应用、数据、审计等方面安全风险评估要求，访问需通过VPN。要求具有全球领先的DDOS防护能力，海量DDOS清洗，应用层DDOS防护</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snapToGrid w:val="0"/>
        <w:spacing w:line="360" w:lineRule="auto"/>
        <w:ind w:firstLine="211" w:firstLineChars="100"/>
        <w:rPr>
          <w:rFonts w:hint="eastAsia" w:ascii="宋体" w:hAnsi="宋体" w:eastAsia="宋体" w:cs="宋体"/>
          <w:b/>
          <w:sz w:val="21"/>
          <w:szCs w:val="21"/>
          <w:lang w:eastAsia="zh-CN"/>
        </w:rPr>
      </w:pPr>
      <w:r>
        <w:rPr>
          <w:rFonts w:hint="eastAsia" w:ascii="宋体" w:hAnsi="宋体" w:eastAsia="宋体" w:cs="宋体"/>
          <w:b/>
          <w:sz w:val="21"/>
          <w:szCs w:val="21"/>
          <w:lang w:eastAsia="zh-CN"/>
        </w:rPr>
        <w:t>（三）数侦云觅具体参数：</w:t>
      </w:r>
    </w:p>
    <w:tbl>
      <w:tblPr>
        <w:tblStyle w:val="46"/>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3"/>
        <w:gridCol w:w="6913"/>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序号</w:t>
            </w:r>
          </w:p>
        </w:tc>
        <w:tc>
          <w:tcPr>
            <w:tcW w:w="691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技术参数</w:t>
            </w:r>
          </w:p>
        </w:tc>
        <w:tc>
          <w:tcPr>
            <w:tcW w:w="129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lang w:val="en-US" w:eastAsia="zh-CN"/>
              </w:rPr>
              <w:t>投标人</w:t>
            </w:r>
            <w:r>
              <w:rPr>
                <w:rFonts w:hint="eastAsia" w:ascii="宋体" w:hAnsi="宋体" w:eastAsia="宋体" w:cs="宋体"/>
                <w:b/>
                <w:bCs/>
                <w:color w:val="000000"/>
                <w:sz w:val="21"/>
                <w:szCs w:val="21"/>
                <w:highlight w:val="none"/>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9"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p>
        </w:tc>
        <w:tc>
          <w:tcPr>
            <w:tcW w:w="691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平台基础服务：包含VPN服务、案件管理服务，基本管理服务等。开通平台账号和VPN账号5个或以上。按年收取服务费。</w:t>
            </w:r>
          </w:p>
        </w:tc>
        <w:tc>
          <w:tcPr>
            <w:tcW w:w="129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w:t>
            </w:r>
          </w:p>
        </w:tc>
        <w:tc>
          <w:tcPr>
            <w:tcW w:w="691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研判范围：支持研判辖区内涉及的案件。</w:t>
            </w:r>
          </w:p>
        </w:tc>
        <w:tc>
          <w:tcPr>
            <w:tcW w:w="129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w:t>
            </w:r>
          </w:p>
        </w:tc>
        <w:tc>
          <w:tcPr>
            <w:tcW w:w="691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研判能力：计算服务、系统运行技术服务等。</w:t>
            </w:r>
          </w:p>
        </w:tc>
        <w:tc>
          <w:tcPr>
            <w:tcW w:w="129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w:t>
            </w:r>
          </w:p>
        </w:tc>
        <w:tc>
          <w:tcPr>
            <w:tcW w:w="691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服务时间：自开通服务之日起1年。</w:t>
            </w:r>
          </w:p>
        </w:tc>
        <w:tc>
          <w:tcPr>
            <w:tcW w:w="129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w:t>
            </w:r>
          </w:p>
        </w:tc>
        <w:tc>
          <w:tcPr>
            <w:tcW w:w="691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服务指标：研判动作发起后分等级产出多个类型的分析线索。</w:t>
            </w:r>
          </w:p>
        </w:tc>
        <w:tc>
          <w:tcPr>
            <w:tcW w:w="129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w:t>
            </w:r>
          </w:p>
        </w:tc>
        <w:tc>
          <w:tcPr>
            <w:tcW w:w="691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系统模块：系统应具有案件管理、研判工作台、服务管理等功能模块。</w:t>
            </w:r>
          </w:p>
        </w:tc>
        <w:tc>
          <w:tcPr>
            <w:tcW w:w="129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4"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7</w:t>
            </w:r>
          </w:p>
        </w:tc>
        <w:tc>
          <w:tcPr>
            <w:tcW w:w="691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支持展现该案下所有分析的疑似对象、虚拟身份等信息。</w:t>
            </w:r>
          </w:p>
        </w:tc>
        <w:tc>
          <w:tcPr>
            <w:tcW w:w="129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jc w:val="center"/>
        </w:trPr>
        <w:tc>
          <w:tcPr>
            <w:tcW w:w="653"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8</w:t>
            </w:r>
          </w:p>
        </w:tc>
        <w:tc>
          <w:tcPr>
            <w:tcW w:w="691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支持风险聚集点挖掘、风险对象挖掘、团伙拓扑等研判。</w:t>
            </w:r>
          </w:p>
        </w:tc>
        <w:tc>
          <w:tcPr>
            <w:tcW w:w="129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2" w:hRule="atLeast"/>
          <w:jc w:val="center"/>
        </w:trPr>
        <w:tc>
          <w:tcPr>
            <w:tcW w:w="653"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9</w:t>
            </w:r>
          </w:p>
        </w:tc>
        <w:tc>
          <w:tcPr>
            <w:tcW w:w="691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人员研判支持实人识别、风险关系挖掘、全息档案的研判。</w:t>
            </w:r>
          </w:p>
        </w:tc>
        <w:tc>
          <w:tcPr>
            <w:tcW w:w="129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8" w:hRule="atLeast"/>
          <w:jc w:val="center"/>
        </w:trPr>
        <w:tc>
          <w:tcPr>
            <w:tcW w:w="653"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10</w:t>
            </w:r>
          </w:p>
        </w:tc>
        <w:tc>
          <w:tcPr>
            <w:tcW w:w="691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支持对人员风险识别、人案空轨拟合、落脚点规律分析的研判。</w:t>
            </w:r>
          </w:p>
        </w:tc>
        <w:tc>
          <w:tcPr>
            <w:tcW w:w="129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4" w:hRule="atLeast"/>
          <w:jc w:val="center"/>
        </w:trPr>
        <w:tc>
          <w:tcPr>
            <w:tcW w:w="653" w:type="dxa"/>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11</w:t>
            </w:r>
          </w:p>
        </w:tc>
        <w:tc>
          <w:tcPr>
            <w:tcW w:w="691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服务支持对每个案件进行开启研判服务的管理和对单个案件启用和批量案件启用。</w:t>
            </w:r>
          </w:p>
        </w:tc>
        <w:tc>
          <w:tcPr>
            <w:tcW w:w="129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12</w:t>
            </w:r>
          </w:p>
        </w:tc>
        <w:tc>
          <w:tcPr>
            <w:tcW w:w="691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案件档案管理支持对案件基本信息进行管理。</w:t>
            </w:r>
          </w:p>
        </w:tc>
        <w:tc>
          <w:tcPr>
            <w:tcW w:w="129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6" w:hRule="atLeast"/>
          <w:jc w:val="center"/>
        </w:trPr>
        <w:tc>
          <w:tcPr>
            <w:tcW w:w="653" w:type="dxa"/>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13</w:t>
            </w:r>
          </w:p>
        </w:tc>
        <w:tc>
          <w:tcPr>
            <w:tcW w:w="691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全息档案支持对研判服务中的对象进行涉案行为、生活行为、虚拟身份等多维度的研判分析。</w:t>
            </w:r>
          </w:p>
        </w:tc>
        <w:tc>
          <w:tcPr>
            <w:tcW w:w="1294"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宋体" w:hAnsi="宋体" w:eastAsia="宋体" w:cs="宋体"/>
                <w:color w:val="000000"/>
                <w:sz w:val="21"/>
                <w:szCs w:val="21"/>
                <w:highlight w:val="none"/>
              </w:rPr>
            </w:pPr>
          </w:p>
        </w:tc>
      </w:tr>
    </w:tbl>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注：自开通服务之日起1年，包含100个案件数，合计上传的立案人数不超过1000人，当案件数或者人数用完，则资源耗尽。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1"/>
          <w:szCs w:val="21"/>
          <w:lang w:eastAsia="zh-CN"/>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lang w:eastAsia="zh-CN"/>
        </w:rPr>
        <w:t>三、</w:t>
      </w:r>
      <w:r>
        <w:rPr>
          <w:rFonts w:hint="eastAsia" w:ascii="宋体" w:hAnsi="宋体" w:eastAsia="宋体" w:cs="宋体"/>
          <w:b/>
          <w:sz w:val="21"/>
          <w:szCs w:val="21"/>
        </w:rPr>
        <w:t>售后服务要求</w:t>
      </w:r>
    </w:p>
    <w:p>
      <w:pPr>
        <w:keepNext w:val="0"/>
        <w:keepLines w:val="0"/>
        <w:pageBreakBefore w:val="0"/>
        <w:kinsoku/>
        <w:wordWrap/>
        <w:overflowPunct/>
        <w:topLinePunct w:val="0"/>
        <w:autoSpaceDE/>
        <w:autoSpaceDN/>
        <w:bidi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中标</w:t>
      </w:r>
      <w:r>
        <w:rPr>
          <w:rFonts w:hint="eastAsia" w:ascii="宋体" w:hAnsi="宋体" w:eastAsia="宋体" w:cs="宋体"/>
          <w:sz w:val="21"/>
          <w:szCs w:val="21"/>
        </w:rPr>
        <w:t>人应提供售后服务承诺书、联系人和联系电话，能够长期提供良好的技术支持。</w:t>
      </w:r>
    </w:p>
    <w:p>
      <w:pPr>
        <w:keepNext w:val="0"/>
        <w:keepLines w:val="0"/>
        <w:pageBreakBefore w:val="0"/>
        <w:kinsoku/>
        <w:wordWrap/>
        <w:overflowPunct/>
        <w:topLinePunct w:val="0"/>
        <w:autoSpaceDE/>
        <w:autoSpaceDN/>
        <w:bidi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2、服务响应时间要求：提供7×24小时电话响应服务，响应时间为1小时。</w:t>
      </w:r>
    </w:p>
    <w:p>
      <w:pPr>
        <w:keepNext w:val="0"/>
        <w:keepLines w:val="0"/>
        <w:pageBreakBefore w:val="0"/>
        <w:kinsoku/>
        <w:wordWrap/>
        <w:overflowPunct/>
        <w:topLinePunct w:val="0"/>
        <w:autoSpaceDE/>
        <w:autoSpaceDN/>
        <w:bidi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中标</w:t>
      </w:r>
      <w:r>
        <w:rPr>
          <w:rFonts w:hint="eastAsia" w:ascii="宋体" w:hAnsi="宋体" w:eastAsia="宋体" w:cs="宋体"/>
          <w:sz w:val="21"/>
          <w:szCs w:val="21"/>
        </w:rPr>
        <w:t>人应能提供多种形式的技术支持服务，解决软件出现的技术问题。</w:t>
      </w:r>
    </w:p>
    <w:p>
      <w:pPr>
        <w:keepNext w:val="0"/>
        <w:keepLines w:val="0"/>
        <w:pageBreakBefore w:val="0"/>
        <w:kinsoku/>
        <w:wordWrap/>
        <w:overflowPunct/>
        <w:topLinePunct w:val="0"/>
        <w:autoSpaceDE/>
        <w:autoSpaceDN/>
        <w:bidi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val="en-US" w:eastAsia="zh-CN"/>
        </w:rPr>
        <w:t>中标</w:t>
      </w:r>
      <w:r>
        <w:rPr>
          <w:rFonts w:hint="eastAsia" w:ascii="宋体" w:hAnsi="宋体" w:eastAsia="宋体" w:cs="宋体"/>
          <w:sz w:val="21"/>
          <w:szCs w:val="21"/>
        </w:rPr>
        <w:t>人应按其投标文件中的承诺，进行其他售后服务工作。</w:t>
      </w:r>
    </w:p>
    <w:p>
      <w:pPr>
        <w:keepNext w:val="0"/>
        <w:keepLines w:val="0"/>
        <w:pageBreakBefore w:val="0"/>
        <w:kinsoku/>
        <w:wordWrap/>
        <w:overflowPunct/>
        <w:topLinePunct w:val="0"/>
        <w:autoSpaceDE/>
        <w:autoSpaceDN/>
        <w:bidi w:val="0"/>
        <w:snapToGrid w:val="0"/>
        <w:spacing w:line="360" w:lineRule="auto"/>
        <w:ind w:firstLine="420" w:firstLineChars="200"/>
        <w:rPr>
          <w:rFonts w:hint="eastAsia" w:ascii="宋体" w:hAnsi="宋体" w:eastAsia="宋体" w:cs="宋体"/>
          <w:b/>
          <w:caps w:val="0"/>
          <w:smallCaps w:val="0"/>
          <w:color w:val="000000"/>
          <w:kern w:val="2"/>
          <w:sz w:val="21"/>
          <w:szCs w:val="20"/>
          <w:highlight w:val="none"/>
          <w:lang w:val="en-US" w:eastAsia="zh-CN" w:bidi="ar-SA"/>
        </w:rPr>
      </w:pPr>
      <w:r>
        <w:rPr>
          <w:rFonts w:hint="eastAsia" w:ascii="宋体" w:hAnsi="宋体" w:eastAsia="宋体" w:cs="宋体"/>
          <w:sz w:val="21"/>
          <w:szCs w:val="21"/>
          <w:lang w:val="en-US" w:eastAsia="zh-CN"/>
        </w:rPr>
        <w:t>5、售后服务方案具体、详细、合理可行，可操作性强。</w:t>
      </w:r>
    </w:p>
    <w:p>
      <w:pPr>
        <w:pStyle w:val="145"/>
        <w:keepNext w:val="0"/>
        <w:keepLines w:val="0"/>
        <w:pageBreakBefore w:val="0"/>
        <w:kinsoku/>
        <w:overflowPunct/>
        <w:autoSpaceDE/>
        <w:bidi w:val="0"/>
        <w:snapToGrid/>
        <w:spacing w:line="360" w:lineRule="auto"/>
        <w:textAlignment w:val="auto"/>
        <w:rPr>
          <w:rFonts w:hint="eastAsia" w:cs="宋体"/>
          <w:b/>
          <w:caps w:val="0"/>
          <w:smallCaps w:val="0"/>
          <w:color w:val="000000"/>
          <w:kern w:val="2"/>
          <w:sz w:val="21"/>
          <w:szCs w:val="20"/>
          <w:highlight w:val="none"/>
          <w:lang w:val="zh-CN" w:eastAsia="zh-CN" w:bidi="ar-SA"/>
        </w:rPr>
      </w:pPr>
    </w:p>
    <w:p>
      <w:pPr>
        <w:pStyle w:val="145"/>
        <w:keepNext w:val="0"/>
        <w:keepLines w:val="0"/>
        <w:pageBreakBefore w:val="0"/>
        <w:kinsoku/>
        <w:overflowPunct/>
        <w:autoSpaceDE/>
        <w:bidi w:val="0"/>
        <w:snapToGrid/>
        <w:spacing w:line="360" w:lineRule="auto"/>
        <w:textAlignment w:val="auto"/>
        <w:rPr>
          <w:rFonts w:hint="eastAsia" w:ascii="宋体" w:hAnsi="宋体" w:eastAsia="宋体" w:cs="宋体"/>
          <w:highlight w:val="none"/>
          <w:lang w:val="en-US"/>
        </w:rPr>
      </w:pPr>
      <w:r>
        <w:rPr>
          <w:rFonts w:hint="eastAsia" w:cs="宋体"/>
          <w:b/>
          <w:caps w:val="0"/>
          <w:smallCaps w:val="0"/>
          <w:color w:val="000000"/>
          <w:kern w:val="2"/>
          <w:sz w:val="21"/>
          <w:szCs w:val="20"/>
          <w:highlight w:val="none"/>
          <w:lang w:val="zh-CN" w:eastAsia="zh-CN" w:bidi="ar-SA"/>
        </w:rPr>
        <w:t>四</w:t>
      </w:r>
      <w:r>
        <w:rPr>
          <w:rFonts w:hint="eastAsia" w:ascii="宋体" w:hAnsi="宋体" w:eastAsia="宋体" w:cs="宋体"/>
          <w:b/>
          <w:caps w:val="0"/>
          <w:smallCaps w:val="0"/>
          <w:color w:val="000000"/>
          <w:kern w:val="2"/>
          <w:sz w:val="21"/>
          <w:szCs w:val="20"/>
          <w:highlight w:val="none"/>
          <w:lang w:val="zh-CN" w:eastAsia="zh-CN" w:bidi="ar-SA"/>
        </w:rPr>
        <w:t>、商务</w:t>
      </w:r>
      <w:r>
        <w:rPr>
          <w:rFonts w:hint="eastAsia" w:ascii="宋体" w:hAnsi="宋体" w:eastAsia="宋体" w:cs="宋体"/>
          <w:b/>
          <w:caps w:val="0"/>
          <w:smallCaps w:val="0"/>
          <w:color w:val="000000"/>
          <w:kern w:val="2"/>
          <w:sz w:val="21"/>
          <w:szCs w:val="20"/>
          <w:highlight w:val="none"/>
          <w:lang w:val="en-US" w:eastAsia="zh-CN" w:bidi="ar-SA"/>
        </w:rPr>
        <w:t>要求</w:t>
      </w:r>
    </w:p>
    <w:tbl>
      <w:tblPr>
        <w:tblStyle w:val="46"/>
        <w:tblW w:w="0" w:type="auto"/>
        <w:jc w:val="center"/>
        <w:tblLayout w:type="fixed"/>
        <w:tblCellMar>
          <w:top w:w="0" w:type="dxa"/>
          <w:left w:w="108" w:type="dxa"/>
          <w:bottom w:w="0" w:type="dxa"/>
          <w:right w:w="108" w:type="dxa"/>
        </w:tblCellMar>
      </w:tblPr>
      <w:tblGrid>
        <w:gridCol w:w="2007"/>
        <w:gridCol w:w="6969"/>
      </w:tblGrid>
      <w:tr>
        <w:tblPrEx>
          <w:tblCellMar>
            <w:top w:w="0" w:type="dxa"/>
            <w:left w:w="108" w:type="dxa"/>
            <w:bottom w:w="0" w:type="dxa"/>
            <w:right w:w="108" w:type="dxa"/>
          </w:tblCellMar>
        </w:tblPrEx>
        <w:trPr>
          <w:cantSplit/>
          <w:trHeight w:val="589" w:hRule="atLeast"/>
          <w:jc w:val="center"/>
        </w:trPr>
        <w:tc>
          <w:tcPr>
            <w:tcW w:w="2007" w:type="dxa"/>
            <w:tcBorders>
              <w:top w:val="single" w:color="000000" w:sz="12" w:space="0"/>
              <w:left w:val="single" w:color="000000" w:sz="12"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after="0" w:line="400" w:lineRule="exact"/>
              <w:contextualSpacing/>
              <w:jc w:val="center"/>
              <w:textAlignment w:val="auto"/>
              <w:rPr>
                <w:rFonts w:hint="eastAsia" w:ascii="宋体" w:hAnsi="宋体" w:eastAsia="宋体" w:cs="宋体"/>
                <w:highlight w:val="none"/>
                <w:lang w:eastAsia="zh-CN"/>
              </w:rPr>
            </w:pPr>
            <w:r>
              <w:rPr>
                <w:rFonts w:hint="eastAsia" w:ascii="宋体" w:hAnsi="宋体" w:cs="宋体"/>
                <w:highlight w:val="none"/>
                <w:lang w:eastAsia="zh-CN"/>
              </w:rPr>
              <w:t>项目</w:t>
            </w:r>
          </w:p>
        </w:tc>
        <w:tc>
          <w:tcPr>
            <w:tcW w:w="6969"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after="0" w:line="400" w:lineRule="exact"/>
              <w:contextualSpacing/>
              <w:jc w:val="center"/>
              <w:textAlignment w:val="auto"/>
              <w:rPr>
                <w:rFonts w:hint="eastAsia" w:ascii="宋体" w:hAnsi="宋体" w:eastAsia="宋体" w:cs="宋体"/>
                <w:b/>
                <w:caps w:val="0"/>
                <w:smallCaps w:val="0"/>
                <w:color w:val="000000"/>
                <w:szCs w:val="21"/>
                <w:highlight w:val="none"/>
              </w:rPr>
            </w:pPr>
            <w:r>
              <w:rPr>
                <w:rFonts w:hint="eastAsia" w:ascii="宋体" w:hAnsi="宋体" w:eastAsia="宋体" w:cs="宋体"/>
                <w:b/>
                <w:caps w:val="0"/>
                <w:smallCaps w:val="0"/>
                <w:color w:val="000000"/>
                <w:szCs w:val="21"/>
                <w:highlight w:val="none"/>
              </w:rPr>
              <w:t>商务要求</w:t>
            </w:r>
          </w:p>
        </w:tc>
      </w:tr>
      <w:tr>
        <w:tblPrEx>
          <w:tblCellMar>
            <w:top w:w="0" w:type="dxa"/>
            <w:left w:w="108" w:type="dxa"/>
            <w:bottom w:w="0" w:type="dxa"/>
            <w:right w:w="108" w:type="dxa"/>
          </w:tblCellMar>
        </w:tblPrEx>
        <w:trPr>
          <w:cantSplit/>
          <w:trHeight w:val="853" w:hRule="atLeast"/>
          <w:jc w:val="center"/>
        </w:trPr>
        <w:tc>
          <w:tcPr>
            <w:tcW w:w="2007"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after="0" w:line="400" w:lineRule="exact"/>
              <w:contextualSpacing/>
              <w:jc w:val="center"/>
              <w:textAlignment w:val="auto"/>
              <w:rPr>
                <w:rFonts w:hint="eastAsia" w:ascii="宋体" w:hAnsi="宋体" w:eastAsia="宋体" w:cs="宋体"/>
                <w:caps w:val="0"/>
                <w:smallCaps w:val="0"/>
                <w:color w:val="000000"/>
                <w:szCs w:val="21"/>
                <w:highlight w:val="none"/>
              </w:rPr>
            </w:pPr>
            <w:r>
              <w:rPr>
                <w:rFonts w:hint="eastAsia" w:ascii="宋体" w:hAnsi="宋体" w:eastAsia="宋体" w:cs="宋体"/>
                <w:caps w:val="0"/>
                <w:smallCaps w:val="0"/>
                <w:color w:val="000000"/>
                <w:szCs w:val="21"/>
                <w:highlight w:val="none"/>
              </w:rPr>
              <w:t>服务期限</w:t>
            </w:r>
          </w:p>
          <w:p>
            <w:pPr>
              <w:keepNext w:val="0"/>
              <w:keepLines w:val="0"/>
              <w:pageBreakBefore w:val="0"/>
              <w:widowControl w:val="0"/>
              <w:kinsoku/>
              <w:wordWrap/>
              <w:overflowPunct/>
              <w:topLinePunct w:val="0"/>
              <w:autoSpaceDE/>
              <w:autoSpaceDN/>
              <w:bidi w:val="0"/>
              <w:adjustRightInd/>
              <w:snapToGrid w:val="0"/>
              <w:spacing w:before="0" w:after="0" w:line="400" w:lineRule="exact"/>
              <w:contextualSpacing/>
              <w:jc w:val="center"/>
              <w:textAlignment w:val="auto"/>
              <w:rPr>
                <w:rFonts w:hint="eastAsia" w:ascii="宋体" w:hAnsi="宋体" w:eastAsia="宋体" w:cs="宋体"/>
                <w:caps w:val="0"/>
                <w:smallCaps w:val="0"/>
                <w:color w:val="000000"/>
                <w:szCs w:val="21"/>
                <w:highlight w:val="none"/>
              </w:rPr>
            </w:pPr>
            <w:r>
              <w:rPr>
                <w:rFonts w:hint="eastAsia" w:ascii="宋体" w:hAnsi="宋体" w:eastAsia="宋体" w:cs="宋体"/>
                <w:caps w:val="0"/>
                <w:smallCaps w:val="0"/>
                <w:color w:val="000000"/>
                <w:szCs w:val="21"/>
                <w:highlight w:val="none"/>
              </w:rPr>
              <w:t>（合同履行期限）</w:t>
            </w:r>
          </w:p>
        </w:tc>
        <w:tc>
          <w:tcPr>
            <w:tcW w:w="6969"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after="0" w:line="400" w:lineRule="exact"/>
              <w:contextualSpacing/>
              <w:jc w:val="left"/>
              <w:textAlignment w:val="auto"/>
              <w:rPr>
                <w:rFonts w:hint="eastAsia" w:ascii="宋体" w:hAnsi="宋体" w:eastAsia="宋体" w:cs="宋体"/>
                <w:bCs/>
                <w:caps w:val="0"/>
                <w:smallCaps w:val="0"/>
                <w:color w:val="000000"/>
                <w:szCs w:val="21"/>
                <w:highlight w:val="none"/>
                <w:lang w:val="en-US" w:eastAsia="zh-CN"/>
              </w:rPr>
            </w:pPr>
            <w:r>
              <w:rPr>
                <w:rFonts w:hint="eastAsia" w:ascii="宋体" w:hAnsi="宋体" w:eastAsia="宋体" w:cs="宋体"/>
                <w:bCs/>
                <w:caps w:val="0"/>
                <w:smallCaps w:val="0"/>
                <w:color w:val="000000"/>
                <w:szCs w:val="21"/>
                <w:highlight w:val="none"/>
                <w:lang w:val="en-US" w:eastAsia="zh-CN"/>
              </w:rPr>
              <w:t>服务期限为12个月（自开通账号之日起开始计算）。因特殊原因可停用2次，总时间不超过6个月。</w:t>
            </w:r>
          </w:p>
        </w:tc>
      </w:tr>
      <w:tr>
        <w:tblPrEx>
          <w:tblCellMar>
            <w:top w:w="0" w:type="dxa"/>
            <w:left w:w="108" w:type="dxa"/>
            <w:bottom w:w="0" w:type="dxa"/>
            <w:right w:w="108" w:type="dxa"/>
          </w:tblCellMar>
        </w:tblPrEx>
        <w:trPr>
          <w:cantSplit/>
          <w:trHeight w:val="853" w:hRule="atLeast"/>
          <w:jc w:val="center"/>
        </w:trPr>
        <w:tc>
          <w:tcPr>
            <w:tcW w:w="2007"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after="0" w:line="400" w:lineRule="exact"/>
              <w:contextualSpacing/>
              <w:jc w:val="center"/>
              <w:textAlignment w:val="auto"/>
              <w:rPr>
                <w:rFonts w:hint="eastAsia" w:ascii="宋体" w:hAnsi="宋体" w:eastAsia="宋体" w:cs="宋体"/>
                <w:highlight w:val="none"/>
              </w:rPr>
            </w:pPr>
            <w:r>
              <w:rPr>
                <w:rFonts w:hint="eastAsia" w:ascii="宋体" w:hAnsi="宋体" w:eastAsia="宋体" w:cs="宋体"/>
                <w:caps w:val="0"/>
                <w:smallCaps w:val="0"/>
                <w:color w:val="000000"/>
                <w:szCs w:val="21"/>
                <w:highlight w:val="none"/>
              </w:rPr>
              <w:t>付款方式</w:t>
            </w:r>
          </w:p>
        </w:tc>
        <w:tc>
          <w:tcPr>
            <w:tcW w:w="6969"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after="0" w:line="400" w:lineRule="exact"/>
              <w:contextualSpacing/>
              <w:jc w:val="left"/>
              <w:textAlignment w:val="auto"/>
              <w:rPr>
                <w:rFonts w:hint="eastAsia" w:ascii="宋体" w:hAnsi="宋体" w:eastAsia="宋体" w:cs="宋体"/>
                <w:highlight w:val="none"/>
              </w:rPr>
            </w:pPr>
            <w:r>
              <w:rPr>
                <w:rFonts w:hint="eastAsia" w:ascii="宋体" w:hAnsi="宋体" w:eastAsia="宋体" w:cs="宋体"/>
                <w:bCs/>
                <w:caps w:val="0"/>
                <w:smallCaps w:val="0"/>
                <w:color w:val="000000"/>
                <w:szCs w:val="21"/>
                <w:highlight w:val="none"/>
                <w:lang w:val="en-US" w:eastAsia="zh-CN"/>
              </w:rPr>
              <w:t>在合同生效以及具备实施条件后7个工作日内甲方支付乙方合同金额的</w:t>
            </w:r>
            <w:r>
              <w:rPr>
                <w:rFonts w:hint="eastAsia" w:ascii="宋体" w:hAnsi="宋体" w:cs="宋体"/>
                <w:bCs/>
                <w:caps w:val="0"/>
                <w:smallCaps w:val="0"/>
                <w:color w:val="000000"/>
                <w:szCs w:val="21"/>
                <w:highlight w:val="none"/>
                <w:lang w:val="en-US" w:eastAsia="zh-CN"/>
              </w:rPr>
              <w:t>30</w:t>
            </w:r>
            <w:r>
              <w:rPr>
                <w:rFonts w:hint="eastAsia" w:ascii="宋体" w:hAnsi="宋体" w:eastAsia="宋体" w:cs="宋体"/>
                <w:bCs/>
                <w:caps w:val="0"/>
                <w:smallCaps w:val="0"/>
                <w:color w:val="000000"/>
                <w:szCs w:val="21"/>
                <w:highlight w:val="none"/>
                <w:lang w:val="en-US" w:eastAsia="zh-CN"/>
              </w:rPr>
              <w:t>%；项目验收</w:t>
            </w:r>
            <w:r>
              <w:rPr>
                <w:rFonts w:hint="eastAsia" w:ascii="宋体" w:hAnsi="宋体" w:cs="宋体"/>
                <w:bCs/>
                <w:caps w:val="0"/>
                <w:smallCaps w:val="0"/>
                <w:color w:val="000000"/>
                <w:szCs w:val="21"/>
                <w:highlight w:val="none"/>
                <w:lang w:val="en-US" w:eastAsia="zh-CN"/>
              </w:rPr>
              <w:t>合格</w:t>
            </w:r>
            <w:r>
              <w:rPr>
                <w:rFonts w:hint="eastAsia" w:ascii="宋体" w:hAnsi="宋体" w:eastAsia="宋体" w:cs="宋体"/>
                <w:bCs/>
                <w:caps w:val="0"/>
                <w:smallCaps w:val="0"/>
                <w:color w:val="000000"/>
                <w:szCs w:val="21"/>
                <w:highlight w:val="none"/>
                <w:lang w:val="en-US" w:eastAsia="zh-CN"/>
              </w:rPr>
              <w:t>后支付至合同额的9</w:t>
            </w:r>
            <w:r>
              <w:rPr>
                <w:rFonts w:hint="eastAsia" w:ascii="宋体" w:hAnsi="宋体" w:cs="宋体"/>
                <w:bCs/>
                <w:caps w:val="0"/>
                <w:smallCaps w:val="0"/>
                <w:color w:val="000000"/>
                <w:szCs w:val="21"/>
                <w:highlight w:val="none"/>
                <w:lang w:val="en-US" w:eastAsia="zh-CN"/>
              </w:rPr>
              <w:t>5</w:t>
            </w:r>
            <w:r>
              <w:rPr>
                <w:rFonts w:hint="eastAsia" w:ascii="宋体" w:hAnsi="宋体" w:eastAsia="宋体" w:cs="宋体"/>
                <w:bCs/>
                <w:caps w:val="0"/>
                <w:smallCaps w:val="0"/>
                <w:color w:val="000000"/>
                <w:szCs w:val="21"/>
                <w:highlight w:val="none"/>
                <w:lang w:val="en-US" w:eastAsia="zh-CN"/>
              </w:rPr>
              <w:t>%</w:t>
            </w:r>
            <w:r>
              <w:rPr>
                <w:rFonts w:hint="eastAsia" w:ascii="宋体" w:hAnsi="宋体" w:cs="宋体"/>
                <w:bCs/>
                <w:caps w:val="0"/>
                <w:smallCaps w:val="0"/>
                <w:color w:val="000000"/>
                <w:szCs w:val="21"/>
                <w:highlight w:val="none"/>
                <w:lang w:val="en-US" w:eastAsia="zh-CN"/>
              </w:rPr>
              <w:t>；</w:t>
            </w:r>
            <w:r>
              <w:rPr>
                <w:rFonts w:hint="eastAsia" w:ascii="宋体" w:hAnsi="宋体" w:cs="宋体"/>
                <w:color w:val="auto"/>
                <w:szCs w:val="21"/>
                <w:lang w:val="zh-CN"/>
              </w:rPr>
              <w:t>余款在</w:t>
            </w:r>
            <w:r>
              <w:rPr>
                <w:rFonts w:hint="eastAsia" w:ascii="宋体" w:hAnsi="宋体" w:cs="宋体"/>
                <w:color w:val="auto"/>
                <w:szCs w:val="21"/>
              </w:rPr>
              <w:t>终验</w:t>
            </w:r>
            <w:r>
              <w:rPr>
                <w:rFonts w:hint="eastAsia" w:ascii="宋体" w:hAnsi="宋体" w:cs="宋体"/>
                <w:color w:val="auto"/>
                <w:szCs w:val="21"/>
                <w:lang w:val="zh-CN"/>
              </w:rPr>
              <w:t>合格满一年且确认没有质量问题后支付。</w:t>
            </w:r>
            <w:r>
              <w:rPr>
                <w:rFonts w:hint="eastAsia" w:ascii="宋体" w:hAnsi="宋体" w:eastAsia="宋体" w:cs="宋体"/>
                <w:bCs/>
                <w:caps w:val="0"/>
                <w:smallCaps w:val="0"/>
                <w:color w:val="000000"/>
                <w:szCs w:val="21"/>
                <w:highlight w:val="none"/>
                <w:lang w:val="en-US" w:eastAsia="zh-CN"/>
              </w:rPr>
              <w:t>（成交人须在采购人办理付款手续之前，提供等额的正式发票给采购人，以便采购人及时办理付款手续。由于采购人使用的是财政资金，采购人在规定时间内办理支付手续即视为按期支付，因财政支付延误导致采购人逾期付款的，采购人不承担违约责任，此情况不能成为</w:t>
            </w:r>
            <w:r>
              <w:rPr>
                <w:rFonts w:hint="eastAsia" w:ascii="宋体" w:hAnsi="宋体" w:cs="宋体"/>
                <w:bCs/>
                <w:caps w:val="0"/>
                <w:smallCaps w:val="0"/>
                <w:color w:val="000000"/>
                <w:szCs w:val="21"/>
                <w:highlight w:val="none"/>
                <w:lang w:val="en-US" w:eastAsia="zh-CN"/>
              </w:rPr>
              <w:t>成交人</w:t>
            </w:r>
            <w:r>
              <w:rPr>
                <w:rFonts w:hint="eastAsia" w:ascii="宋体" w:hAnsi="宋体" w:eastAsia="宋体" w:cs="宋体"/>
                <w:bCs/>
                <w:caps w:val="0"/>
                <w:smallCaps w:val="0"/>
                <w:color w:val="000000"/>
                <w:szCs w:val="21"/>
                <w:highlight w:val="none"/>
                <w:lang w:val="en-US" w:eastAsia="zh-CN"/>
              </w:rPr>
              <w:t>拒绝提供服务的理由。）</w:t>
            </w:r>
          </w:p>
        </w:tc>
      </w:tr>
      <w:tr>
        <w:tblPrEx>
          <w:tblCellMar>
            <w:top w:w="0" w:type="dxa"/>
            <w:left w:w="108" w:type="dxa"/>
            <w:bottom w:w="0" w:type="dxa"/>
            <w:right w:w="108" w:type="dxa"/>
          </w:tblCellMar>
        </w:tblPrEx>
        <w:trPr>
          <w:cantSplit/>
          <w:trHeight w:val="675" w:hRule="atLeast"/>
          <w:jc w:val="center"/>
        </w:trPr>
        <w:tc>
          <w:tcPr>
            <w:tcW w:w="2007"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after="0" w:line="400" w:lineRule="exact"/>
              <w:contextualSpacing/>
              <w:jc w:val="center"/>
              <w:textAlignment w:val="auto"/>
              <w:rPr>
                <w:rFonts w:hint="eastAsia" w:ascii="宋体" w:hAnsi="宋体" w:eastAsia="宋体" w:cs="宋体"/>
                <w:caps w:val="0"/>
                <w:smallCaps w:val="0"/>
                <w:color w:val="000000"/>
                <w:szCs w:val="21"/>
                <w:highlight w:val="none"/>
              </w:rPr>
            </w:pPr>
            <w:r>
              <w:rPr>
                <w:rFonts w:hint="eastAsia" w:ascii="宋体" w:hAnsi="宋体" w:eastAsia="宋体" w:cs="宋体"/>
                <w:caps w:val="0"/>
                <w:smallCaps w:val="0"/>
                <w:color w:val="000000"/>
                <w:szCs w:val="21"/>
                <w:highlight w:val="none"/>
              </w:rPr>
              <w:t>质保期</w:t>
            </w:r>
          </w:p>
        </w:tc>
        <w:tc>
          <w:tcPr>
            <w:tcW w:w="6969"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after="0" w:line="400" w:lineRule="exact"/>
              <w:contextualSpacing/>
              <w:jc w:val="left"/>
              <w:textAlignment w:val="auto"/>
              <w:rPr>
                <w:rFonts w:hint="eastAsia" w:ascii="宋体" w:hAnsi="宋体" w:eastAsia="宋体" w:cs="宋体"/>
                <w:caps w:val="0"/>
                <w:smallCaps w:val="0"/>
                <w:color w:val="000000"/>
                <w:szCs w:val="21"/>
                <w:highlight w:val="none"/>
                <w:lang w:val="en-US" w:eastAsia="zh-CN"/>
              </w:rPr>
            </w:pPr>
            <w:r>
              <w:rPr>
                <w:rFonts w:hint="eastAsia" w:ascii="宋体" w:hAnsi="宋体" w:eastAsia="宋体" w:cs="宋体"/>
                <w:caps w:val="0"/>
                <w:smallCaps w:val="0"/>
                <w:color w:val="000000"/>
                <w:szCs w:val="21"/>
                <w:highlight w:val="none"/>
              </w:rPr>
              <w:t>终验合格后一年。</w:t>
            </w:r>
          </w:p>
        </w:tc>
      </w:tr>
      <w:tr>
        <w:tblPrEx>
          <w:tblCellMar>
            <w:top w:w="0" w:type="dxa"/>
            <w:left w:w="108" w:type="dxa"/>
            <w:bottom w:w="0" w:type="dxa"/>
            <w:right w:w="108" w:type="dxa"/>
          </w:tblCellMar>
        </w:tblPrEx>
        <w:trPr>
          <w:cantSplit/>
          <w:trHeight w:val="544" w:hRule="atLeast"/>
          <w:jc w:val="center"/>
        </w:trPr>
        <w:tc>
          <w:tcPr>
            <w:tcW w:w="2007"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after="0" w:line="400" w:lineRule="exact"/>
              <w:contextualSpacing/>
              <w:jc w:val="center"/>
              <w:textAlignment w:val="auto"/>
              <w:rPr>
                <w:rFonts w:hint="eastAsia" w:ascii="宋体" w:hAnsi="宋体" w:eastAsia="宋体" w:cs="宋体"/>
                <w:highlight w:val="none"/>
              </w:rPr>
            </w:pPr>
            <w:r>
              <w:rPr>
                <w:rFonts w:hint="eastAsia" w:ascii="宋体" w:hAnsi="宋体" w:eastAsia="宋体" w:cs="宋体"/>
                <w:caps w:val="0"/>
                <w:smallCaps w:val="0"/>
                <w:color w:val="000000"/>
                <w:szCs w:val="21"/>
                <w:highlight w:val="none"/>
                <w:lang w:val="en-US" w:eastAsia="zh-CN"/>
              </w:rPr>
              <w:t>验收</w:t>
            </w:r>
          </w:p>
        </w:tc>
        <w:tc>
          <w:tcPr>
            <w:tcW w:w="6969"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after="0" w:line="400" w:lineRule="exact"/>
              <w:contextualSpacing/>
              <w:jc w:val="left"/>
              <w:textAlignment w:val="auto"/>
              <w:rPr>
                <w:rFonts w:hint="eastAsia" w:ascii="宋体" w:hAnsi="宋体" w:eastAsia="宋体" w:cs="宋体"/>
                <w:highlight w:val="none"/>
                <w:lang w:eastAsia="zh-CN"/>
              </w:rPr>
            </w:pPr>
            <w:r>
              <w:rPr>
                <w:rFonts w:hint="eastAsia" w:ascii="宋体" w:hAnsi="宋体" w:eastAsia="宋体" w:cs="宋体"/>
                <w:highlight w:val="none"/>
                <w:lang w:eastAsia="zh-CN"/>
              </w:rPr>
              <w:t>按照采购文件规定的技术、服务等要求由采购人组织对成交人履约的验收，并出具《政府采购项目验收单》。</w:t>
            </w:r>
          </w:p>
          <w:p>
            <w:pPr>
              <w:keepNext w:val="0"/>
              <w:keepLines w:val="0"/>
              <w:pageBreakBefore w:val="0"/>
              <w:widowControl w:val="0"/>
              <w:kinsoku/>
              <w:wordWrap/>
              <w:overflowPunct/>
              <w:topLinePunct w:val="0"/>
              <w:autoSpaceDE/>
              <w:autoSpaceDN/>
              <w:bidi w:val="0"/>
              <w:adjustRightInd/>
              <w:snapToGrid w:val="0"/>
              <w:spacing w:before="0" w:after="0" w:line="400" w:lineRule="exact"/>
              <w:contextualSpacing/>
              <w:jc w:val="left"/>
              <w:textAlignment w:val="auto"/>
              <w:rPr>
                <w:rFonts w:hint="eastAsia" w:ascii="宋体" w:hAnsi="宋体" w:eastAsia="宋体" w:cs="宋体"/>
                <w:highlight w:val="none"/>
                <w:lang w:val="en-US" w:eastAsia="zh-CN"/>
              </w:rPr>
            </w:pPr>
            <w:r>
              <w:rPr>
                <w:rFonts w:hint="eastAsia" w:ascii="宋体" w:hAnsi="宋体" w:eastAsia="宋体" w:cs="宋体"/>
                <w:highlight w:val="none"/>
                <w:lang w:eastAsia="zh-CN"/>
              </w:rPr>
              <w:t>成交人所提供服务平台在采购人指定电脑上完成部署和授权，服务平台能够正常产出预警线索即视为符合验收条件。</w:t>
            </w:r>
          </w:p>
        </w:tc>
      </w:tr>
      <w:tr>
        <w:tblPrEx>
          <w:tblCellMar>
            <w:top w:w="0" w:type="dxa"/>
            <w:left w:w="108" w:type="dxa"/>
            <w:bottom w:w="0" w:type="dxa"/>
            <w:right w:w="108" w:type="dxa"/>
          </w:tblCellMar>
        </w:tblPrEx>
        <w:trPr>
          <w:cantSplit/>
          <w:trHeight w:val="903" w:hRule="atLeast"/>
          <w:jc w:val="center"/>
        </w:trPr>
        <w:tc>
          <w:tcPr>
            <w:tcW w:w="2007"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after="0" w:line="400" w:lineRule="exact"/>
              <w:contextualSpacing/>
              <w:jc w:val="center"/>
              <w:textAlignment w:val="auto"/>
              <w:rPr>
                <w:rFonts w:hint="eastAsia" w:ascii="宋体" w:hAnsi="宋体" w:eastAsia="宋体" w:cs="宋体"/>
                <w:caps w:val="0"/>
                <w:smallCaps w:val="0"/>
                <w:color w:val="000000"/>
                <w:szCs w:val="21"/>
                <w:highlight w:val="none"/>
                <w:lang w:val="en-US" w:eastAsia="zh-CN"/>
              </w:rPr>
            </w:pPr>
            <w:r>
              <w:rPr>
                <w:rFonts w:hint="eastAsia" w:ascii="宋体" w:hAnsi="宋体" w:cs="宋体"/>
                <w:caps w:val="0"/>
                <w:smallCaps w:val="0"/>
                <w:color w:val="000000"/>
                <w:szCs w:val="21"/>
                <w:highlight w:val="none"/>
                <w:lang w:val="en-US" w:eastAsia="zh-CN"/>
              </w:rPr>
              <w:t>培训</w:t>
            </w:r>
          </w:p>
        </w:tc>
        <w:tc>
          <w:tcPr>
            <w:tcW w:w="6969"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before="0" w:after="0" w:line="400" w:lineRule="exact"/>
              <w:contextualSpacing/>
              <w:jc w:val="left"/>
              <w:textAlignment w:val="auto"/>
              <w:rPr>
                <w:rFonts w:hint="eastAsia" w:ascii="宋体" w:hAnsi="宋体" w:eastAsia="宋体" w:cs="宋体"/>
                <w:highlight w:val="none"/>
                <w:lang w:eastAsia="zh-CN"/>
              </w:rPr>
            </w:pPr>
            <w:r>
              <w:rPr>
                <w:rFonts w:hint="eastAsia" w:ascii="宋体" w:hAnsi="宋体" w:cs="宋体"/>
                <w:highlight w:val="none"/>
                <w:lang w:val="en-US" w:eastAsia="zh-CN"/>
              </w:rPr>
              <w:t>1）</w:t>
            </w:r>
            <w:r>
              <w:rPr>
                <w:rFonts w:hint="eastAsia" w:ascii="宋体" w:hAnsi="宋体" w:cs="宋体"/>
                <w:highlight w:val="none"/>
                <w:lang w:eastAsia="zh-CN"/>
              </w:rPr>
              <w:t>成交</w:t>
            </w:r>
            <w:r>
              <w:rPr>
                <w:rFonts w:hint="eastAsia" w:ascii="宋体" w:hAnsi="宋体" w:eastAsia="宋体" w:cs="宋体"/>
                <w:highlight w:val="none"/>
                <w:lang w:eastAsia="zh-CN"/>
              </w:rPr>
              <w:t>人提供免费培训，有完善的培训计划，并附详细培训课程。</w:t>
            </w:r>
          </w:p>
          <w:p>
            <w:pPr>
              <w:keepNext w:val="0"/>
              <w:keepLines w:val="0"/>
              <w:pageBreakBefore w:val="0"/>
              <w:widowControl w:val="0"/>
              <w:kinsoku/>
              <w:wordWrap/>
              <w:overflowPunct/>
              <w:topLinePunct w:val="0"/>
              <w:autoSpaceDE/>
              <w:autoSpaceDN/>
              <w:bidi w:val="0"/>
              <w:adjustRightInd/>
              <w:snapToGrid w:val="0"/>
              <w:spacing w:before="0" w:after="0" w:line="400" w:lineRule="exact"/>
              <w:contextualSpacing/>
              <w:jc w:val="left"/>
              <w:textAlignment w:val="auto"/>
              <w:rPr>
                <w:rFonts w:hint="eastAsia" w:ascii="宋体" w:hAnsi="宋体" w:eastAsia="宋体" w:cs="宋体"/>
                <w:highlight w:val="none"/>
                <w:lang w:eastAsia="zh-CN"/>
              </w:rPr>
            </w:pPr>
            <w:r>
              <w:rPr>
                <w:rFonts w:hint="eastAsia" w:ascii="宋体" w:hAnsi="宋体" w:cs="宋体"/>
                <w:highlight w:val="none"/>
                <w:lang w:val="en-US" w:eastAsia="zh-CN"/>
              </w:rPr>
              <w:t>2）</w:t>
            </w:r>
            <w:r>
              <w:rPr>
                <w:rFonts w:hint="eastAsia" w:ascii="宋体" w:hAnsi="宋体" w:cs="宋体"/>
                <w:highlight w:val="none"/>
                <w:lang w:eastAsia="zh-CN"/>
              </w:rPr>
              <w:t>成交人</w:t>
            </w:r>
            <w:r>
              <w:rPr>
                <w:rFonts w:hint="eastAsia" w:ascii="宋体" w:hAnsi="宋体" w:eastAsia="宋体" w:cs="宋体"/>
                <w:highlight w:val="none"/>
                <w:lang w:eastAsia="zh-CN"/>
              </w:rPr>
              <w:t>提供技术资料完善，产品介绍详细，产品功能贴近实战。</w:t>
            </w:r>
          </w:p>
        </w:tc>
      </w:tr>
      <w:tr>
        <w:tblPrEx>
          <w:tblCellMar>
            <w:top w:w="0" w:type="dxa"/>
            <w:left w:w="108" w:type="dxa"/>
            <w:bottom w:w="0" w:type="dxa"/>
            <w:right w:w="108" w:type="dxa"/>
          </w:tblCellMar>
        </w:tblPrEx>
        <w:trPr>
          <w:cantSplit/>
          <w:trHeight w:val="544" w:hRule="atLeast"/>
          <w:jc w:val="center"/>
        </w:trPr>
        <w:tc>
          <w:tcPr>
            <w:tcW w:w="2007" w:type="dxa"/>
            <w:tcBorders>
              <w:top w:val="single" w:color="000000" w:sz="4" w:space="0"/>
              <w:left w:val="single" w:color="000000" w:sz="12" w:space="0"/>
              <w:bottom w:val="single" w:color="000000" w:sz="12" w:space="0"/>
              <w:right w:val="single" w:color="000000" w:sz="4" w:space="0"/>
            </w:tcBorders>
            <w:noWrap w:val="0"/>
            <w:vAlign w:val="center"/>
          </w:tcPr>
          <w:p>
            <w:pPr>
              <w:spacing w:line="400" w:lineRule="exact"/>
              <w:jc w:val="center"/>
              <w:rPr>
                <w:rFonts w:hint="eastAsia" w:ascii="宋体" w:hAnsi="宋体" w:eastAsia="宋体" w:cs="宋体"/>
                <w:caps w:val="0"/>
                <w:smallCaps w:val="0"/>
                <w:color w:val="000000"/>
                <w:szCs w:val="21"/>
                <w:highlight w:val="none"/>
                <w:lang w:val="en-US" w:eastAsia="zh-CN"/>
              </w:rPr>
            </w:pPr>
            <w:r>
              <w:rPr>
                <w:rFonts w:hint="eastAsia" w:ascii="宋体" w:hAnsi="宋体" w:eastAsia="宋体" w:cs="宋体"/>
                <w:color w:val="000000"/>
                <w:sz w:val="21"/>
                <w:szCs w:val="21"/>
                <w:lang w:eastAsia="zh-CN"/>
              </w:rPr>
              <w:t>合同终止</w:t>
            </w:r>
          </w:p>
        </w:tc>
        <w:tc>
          <w:tcPr>
            <w:tcW w:w="6969" w:type="dxa"/>
            <w:tcBorders>
              <w:top w:val="single" w:color="000000" w:sz="4" w:space="0"/>
              <w:left w:val="single" w:color="000000" w:sz="4" w:space="0"/>
              <w:bottom w:val="single" w:color="000000" w:sz="12" w:space="0"/>
              <w:right w:val="single" w:color="000000" w:sz="12" w:space="0"/>
            </w:tcBorders>
            <w:noWrap w:val="0"/>
            <w:vAlign w:val="center"/>
          </w:tcPr>
          <w:p>
            <w:pPr>
              <w:spacing w:line="400" w:lineRule="exact"/>
              <w:rPr>
                <w:rFonts w:hint="eastAsia" w:ascii="宋体" w:hAnsi="宋体" w:eastAsia="宋体" w:cs="宋体"/>
                <w:highlight w:val="none"/>
                <w:lang w:eastAsia="zh-CN"/>
              </w:rPr>
            </w:pPr>
            <w:r>
              <w:rPr>
                <w:rFonts w:hint="eastAsia" w:ascii="宋体" w:hAnsi="宋体" w:eastAsia="宋体" w:cs="宋体"/>
                <w:color w:val="000000"/>
                <w:sz w:val="21"/>
                <w:szCs w:val="21"/>
              </w:rPr>
              <w:t>在合同有效期内，因</w:t>
            </w:r>
            <w:r>
              <w:rPr>
                <w:rFonts w:hint="eastAsia" w:hAnsi="宋体" w:cs="宋体"/>
                <w:color w:val="000000"/>
                <w:sz w:val="21"/>
                <w:szCs w:val="21"/>
                <w:lang w:val="en-US" w:eastAsia="zh-CN"/>
              </w:rPr>
              <w:t>成交</w:t>
            </w:r>
            <w:r>
              <w:rPr>
                <w:rFonts w:hint="eastAsia" w:ascii="宋体" w:hAnsi="宋体" w:eastAsia="宋体" w:cs="宋体"/>
                <w:color w:val="000000"/>
                <w:sz w:val="21"/>
                <w:szCs w:val="21"/>
              </w:rPr>
              <w:t>人发生重大差错事故的，</w:t>
            </w:r>
            <w:r>
              <w:rPr>
                <w:rFonts w:hint="eastAsia" w:ascii="宋体" w:hAnsi="宋体" w:eastAsia="宋体" w:cs="宋体"/>
                <w:color w:val="000000"/>
                <w:sz w:val="21"/>
                <w:szCs w:val="21"/>
                <w:lang w:val="en-US" w:eastAsia="zh-CN"/>
              </w:rPr>
              <w:t>采购人</w:t>
            </w:r>
            <w:r>
              <w:rPr>
                <w:rFonts w:hint="eastAsia" w:ascii="宋体" w:hAnsi="宋体" w:eastAsia="宋体" w:cs="宋体"/>
                <w:color w:val="000000"/>
                <w:sz w:val="21"/>
                <w:szCs w:val="21"/>
              </w:rPr>
              <w:t>可有权终止合同，</w:t>
            </w:r>
            <w:r>
              <w:rPr>
                <w:rFonts w:hint="eastAsia" w:ascii="宋体" w:hAnsi="宋体" w:cs="宋体"/>
                <w:color w:val="000000"/>
                <w:sz w:val="21"/>
                <w:szCs w:val="21"/>
                <w:lang w:eastAsia="zh-CN"/>
              </w:rPr>
              <w:t>成交</w:t>
            </w:r>
            <w:r>
              <w:rPr>
                <w:rFonts w:hint="eastAsia" w:ascii="宋体" w:hAnsi="宋体" w:eastAsia="宋体" w:cs="宋体"/>
                <w:color w:val="000000"/>
                <w:sz w:val="21"/>
                <w:szCs w:val="21"/>
              </w:rPr>
              <w:t>人应承担全部责任。</w:t>
            </w:r>
          </w:p>
        </w:tc>
      </w:tr>
    </w:tbl>
    <w:p>
      <w:pPr>
        <w:pStyle w:val="146"/>
        <w:ind w:left="0" w:right="0" w:firstLine="0"/>
        <w:rPr>
          <w:rFonts w:hint="eastAsia" w:ascii="宋体" w:hAnsi="宋体" w:eastAsia="宋体" w:cs="宋体"/>
          <w:caps w:val="0"/>
          <w:smallCaps w:val="0"/>
          <w:color w:val="000000"/>
          <w:highlight w:val="none"/>
          <w:lang w:val="en-US" w:eastAsia="zh-CN"/>
        </w:rPr>
      </w:pPr>
    </w:p>
    <w:p>
      <w:pPr>
        <w:pStyle w:val="45"/>
        <w:rPr>
          <w:rFonts w:hint="eastAsia"/>
          <w:lang w:val="en-US" w:eastAsia="zh-CN"/>
        </w:rPr>
      </w:pPr>
    </w:p>
    <w:p>
      <w:pPr>
        <w:pageBreakBefore w:val="0"/>
        <w:kinsoku/>
        <w:wordWrap/>
        <w:overflowPunct/>
        <w:topLinePunct w:val="0"/>
        <w:bidi w:val="0"/>
        <w:spacing w:beforeAutospacing="0" w:afterAutospacing="0" w:line="360" w:lineRule="auto"/>
        <w:rPr>
          <w:rFonts w:ascii="宋体" w:hAnsi="宋体" w:cs="宋体"/>
          <w:color w:val="000000" w:themeColor="text1"/>
          <w14:textFill>
            <w14:solidFill>
              <w14:schemeClr w14:val="tx1"/>
            </w14:solidFill>
          </w14:textFill>
        </w:rPr>
        <w:sectPr>
          <w:footerReference r:id="rId9" w:type="first"/>
          <w:headerReference r:id="rId7" w:type="default"/>
          <w:footerReference r:id="rId8" w:type="default"/>
          <w:pgSz w:w="11906" w:h="16838"/>
          <w:pgMar w:top="1474" w:right="1797" w:bottom="1247" w:left="1797" w:header="851" w:footer="851" w:gutter="0"/>
          <w:pgNumType w:fmt="decimal"/>
          <w:cols w:space="720" w:num="1"/>
          <w:titlePg/>
          <w:docGrid w:linePitch="312" w:charSpace="0"/>
        </w:sectPr>
      </w:pPr>
    </w:p>
    <w:p>
      <w:pPr>
        <w:pStyle w:val="3"/>
        <w:spacing w:before="0" w:after="0"/>
        <w:rPr>
          <w:rFonts w:ascii="宋体" w:hAnsi="宋体" w:cs="宋体"/>
          <w:color w:val="000000" w:themeColor="text1"/>
          <w:sz w:val="24"/>
          <w14:textFill>
            <w14:solidFill>
              <w14:schemeClr w14:val="tx1"/>
            </w14:solidFill>
          </w14:textFill>
        </w:rPr>
      </w:pPr>
      <w:bookmarkStart w:id="51" w:name="_Toc475283881"/>
      <w:r>
        <w:rPr>
          <w:rFonts w:hint="eastAsia" w:ascii="宋体" w:hAnsi="宋体" w:cs="宋体"/>
          <w:color w:val="000000" w:themeColor="text1"/>
          <w14:textFill>
            <w14:solidFill>
              <w14:schemeClr w14:val="tx1"/>
            </w14:solidFill>
          </w14:textFill>
        </w:rPr>
        <w:t>第三章  投标人须知</w:t>
      </w:r>
      <w:bookmarkEnd w:id="51"/>
    </w:p>
    <w:p>
      <w:pPr>
        <w:jc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前附表</w:t>
      </w:r>
    </w:p>
    <w:tbl>
      <w:tblPr>
        <w:tblStyle w:val="46"/>
        <w:tblW w:w="84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6"/>
        <w:gridCol w:w="766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blHeader/>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400" w:lineRule="exact"/>
              <w:contextualSpacing/>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序号</w:t>
            </w:r>
          </w:p>
        </w:tc>
        <w:tc>
          <w:tcPr>
            <w:tcW w:w="7664" w:type="dxa"/>
            <w:tcBorders>
              <w:top w:val="single" w:color="auto" w:sz="4" w:space="0"/>
              <w:left w:val="single" w:color="auto" w:sz="4" w:space="0"/>
              <w:bottom w:val="single" w:color="auto" w:sz="4" w:space="0"/>
              <w:right w:val="single" w:color="auto" w:sz="4" w:space="0"/>
            </w:tcBorders>
            <w:vAlign w:val="center"/>
          </w:tcPr>
          <w:p>
            <w:pPr>
              <w:spacing w:line="400" w:lineRule="exact"/>
              <w:contextualSpacing/>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6"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400" w:lineRule="exact"/>
              <w:contextualSpacing/>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7664" w:type="dxa"/>
            <w:tcBorders>
              <w:top w:val="single" w:color="auto" w:sz="4" w:space="0"/>
              <w:left w:val="single" w:color="auto" w:sz="4" w:space="0"/>
              <w:bottom w:val="single" w:color="auto" w:sz="4" w:space="0"/>
              <w:right w:val="single" w:color="auto" w:sz="4" w:space="0"/>
            </w:tcBorders>
            <w:vAlign w:val="center"/>
          </w:tcPr>
          <w:p>
            <w:pPr>
              <w:spacing w:line="400" w:lineRule="exact"/>
              <w:contextualSpacing/>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项目名称：</w:t>
            </w:r>
            <w:r>
              <w:rPr>
                <w:rFonts w:hint="eastAsia" w:ascii="宋体" w:hAnsi="宋体" w:cs="宋体"/>
                <w:color w:val="000000" w:themeColor="text1"/>
                <w:szCs w:val="21"/>
                <w:lang w:eastAsia="zh-CN"/>
                <w14:textFill>
                  <w14:solidFill>
                    <w14:schemeClr w14:val="tx1"/>
                  </w14:solidFill>
                </w14:textFill>
              </w:rPr>
              <w:t>宁波市公安局镇海分局数侦云觅服务项目（第二次）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400" w:lineRule="exact"/>
              <w:contextualSpacing/>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7664" w:type="dxa"/>
            <w:tcBorders>
              <w:top w:val="single" w:color="auto" w:sz="4" w:space="0"/>
              <w:left w:val="single" w:color="auto" w:sz="4" w:space="0"/>
              <w:bottom w:val="single" w:color="auto" w:sz="4" w:space="0"/>
              <w:right w:val="single" w:color="auto" w:sz="4" w:space="0"/>
            </w:tcBorders>
            <w:vAlign w:val="center"/>
          </w:tcPr>
          <w:p>
            <w:pPr>
              <w:spacing w:line="400" w:lineRule="exact"/>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投标报价及费用：</w:t>
            </w:r>
          </w:p>
          <w:p>
            <w:pPr>
              <w:spacing w:line="400" w:lineRule="exact"/>
              <w:contextualSpacing/>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1）本项目投标应以人民币报价；</w:t>
            </w:r>
          </w:p>
          <w:p>
            <w:pPr>
              <w:spacing w:line="400" w:lineRule="exact"/>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2）本项目投标报价应是完成本项目所有费用（包括本项目所有软硬件设备安装、集成、专用工具、包装、运输、装卸、保险、安装、调试、培训、保修、税金等一切费用）；</w:t>
            </w:r>
          </w:p>
          <w:p>
            <w:pPr>
              <w:spacing w:line="400" w:lineRule="exact"/>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3）不论投标结果如何，投标人均应自行承担所有与投标有关的全部费用；</w:t>
            </w:r>
          </w:p>
          <w:p>
            <w:pPr>
              <w:spacing w:line="400" w:lineRule="exact"/>
              <w:contextualSpacing/>
              <w:rPr>
                <w:rFonts w:hint="eastAsia" w:ascii="宋体" w:hAnsi="宋体" w:eastAsia="宋体" w:cs="宋体"/>
                <w:b w:val="0"/>
                <w:bCs w:val="0"/>
                <w:color w:val="000000" w:themeColor="text1"/>
                <w:szCs w:val="21"/>
                <w:lang w:val="en-US" w:eastAsia="zh-CN"/>
                <w14:textFill>
                  <w14:solidFill>
                    <w14:schemeClr w14:val="tx1"/>
                  </w14:solidFill>
                </w14:textFill>
              </w:rPr>
            </w:pPr>
            <w:r>
              <w:rPr>
                <w:rFonts w:hint="eastAsia" w:ascii="宋体" w:hAnsi="宋体" w:cs="宋体"/>
                <w:b w:val="0"/>
                <w:bCs w:val="0"/>
                <w:color w:val="000000" w:themeColor="text1"/>
                <w:szCs w:val="21"/>
                <w14:textFill>
                  <w14:solidFill>
                    <w14:schemeClr w14:val="tx1"/>
                  </w14:solidFill>
                </w14:textFill>
              </w:rPr>
              <w:t>4）本项目采购预算价/最高限价：详见“第一章 公开招标采购公告”，投标报价超过采购预算价/最高限价的作无效标处理；</w:t>
            </w:r>
          </w:p>
          <w:p>
            <w:pPr>
              <w:spacing w:line="400" w:lineRule="exact"/>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5）中标服务费的收取标准：由代理机构</w:t>
            </w:r>
            <w:r>
              <w:rPr>
                <w:rFonts w:hint="eastAsia" w:ascii="宋体" w:hAnsi="宋体" w:cs="宋体"/>
                <w:color w:val="000000" w:themeColor="text1"/>
                <w:szCs w:val="21"/>
                <w:lang w:val="en-US" w:eastAsia="zh-CN"/>
                <w14:textFill>
                  <w14:solidFill>
                    <w14:schemeClr w14:val="tx1"/>
                  </w14:solidFill>
                </w14:textFill>
              </w:rPr>
              <w:t>向中标</w:t>
            </w:r>
            <w:r>
              <w:rPr>
                <w:rFonts w:hint="eastAsia" w:ascii="宋体" w:hAnsi="宋体" w:cs="宋体"/>
                <w:color w:val="000000" w:themeColor="text1"/>
                <w:szCs w:val="21"/>
                <w14:textFill>
                  <w14:solidFill>
                    <w14:schemeClr w14:val="tx1"/>
                  </w14:solidFill>
                </w14:textFill>
              </w:rPr>
              <w:t>人收取服务费</w:t>
            </w:r>
            <w:r>
              <w:rPr>
                <w:rFonts w:hint="eastAsia" w:ascii="宋体" w:hAnsi="宋体" w:cs="宋体"/>
                <w:color w:val="000000" w:themeColor="text1"/>
                <w:szCs w:val="21"/>
                <w:lang w:val="en-US" w:eastAsia="zh-CN"/>
                <w14:textFill>
                  <w14:solidFill>
                    <w14:schemeClr w14:val="tx1"/>
                  </w14:solidFill>
                </w14:textFill>
              </w:rPr>
              <w:t>12000元</w:t>
            </w:r>
            <w:r>
              <w:rPr>
                <w:rFonts w:hint="eastAsia" w:ascii="宋体" w:hAnsi="宋体" w:cs="宋体"/>
                <w:color w:val="000000" w:themeColor="text1"/>
                <w:szCs w:val="21"/>
                <w14:textFill>
                  <w14:solidFill>
                    <w14:schemeClr w14:val="tx1"/>
                  </w14:solidFill>
                </w14:textFill>
              </w:rPr>
              <w:t>。</w:t>
            </w:r>
          </w:p>
          <w:p>
            <w:pPr>
              <w:spacing w:line="400" w:lineRule="exact"/>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6）关于本次投标的全部费用汇入以下帐户：</w:t>
            </w:r>
          </w:p>
          <w:p>
            <w:pPr>
              <w:spacing w:line="400" w:lineRule="exact"/>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开户银行：宁波银行股份有限公司鄞州中心区支行</w:t>
            </w:r>
          </w:p>
          <w:p>
            <w:pPr>
              <w:spacing w:line="400" w:lineRule="exact"/>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帐    号：3001 0122 0012 29488</w:t>
            </w:r>
          </w:p>
          <w:p>
            <w:pPr>
              <w:spacing w:line="400" w:lineRule="exact"/>
              <w:contextualSpacing/>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户    名：</w:t>
            </w:r>
            <w:r>
              <w:rPr>
                <w:rFonts w:hint="eastAsia" w:ascii="宋体" w:hAnsi="宋体" w:cs="宋体"/>
                <w:color w:val="000000" w:themeColor="text1"/>
                <w:szCs w:val="21"/>
                <w:lang w:eastAsia="zh-CN"/>
                <w14:textFill>
                  <w14:solidFill>
                    <w14:schemeClr w14:val="tx1"/>
                  </w14:solidFill>
                </w14:textFill>
              </w:rPr>
              <w:t>浙江中基正采管理咨询有限公司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400" w:lineRule="exact"/>
              <w:contextualSpacing/>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p>
        </w:tc>
        <w:tc>
          <w:tcPr>
            <w:tcW w:w="7664" w:type="dxa"/>
            <w:tcBorders>
              <w:top w:val="single" w:color="auto" w:sz="4" w:space="0"/>
              <w:left w:val="single" w:color="auto" w:sz="4" w:space="0"/>
              <w:bottom w:val="single" w:color="auto" w:sz="4" w:space="0"/>
              <w:right w:val="single" w:color="auto" w:sz="4" w:space="0"/>
            </w:tcBorders>
            <w:vAlign w:val="center"/>
          </w:tcPr>
          <w:p>
            <w:pPr>
              <w:spacing w:line="400" w:lineRule="exact"/>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投标保证金：无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400" w:lineRule="exact"/>
              <w:contextualSpacing/>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p>
        </w:tc>
        <w:tc>
          <w:tcPr>
            <w:tcW w:w="7664" w:type="dxa"/>
            <w:tcBorders>
              <w:top w:val="single" w:color="auto" w:sz="4" w:space="0"/>
              <w:left w:val="single" w:color="auto" w:sz="4" w:space="0"/>
              <w:bottom w:val="single" w:color="auto" w:sz="4" w:space="0"/>
              <w:right w:val="single" w:color="auto" w:sz="4" w:space="0"/>
            </w:tcBorders>
            <w:vAlign w:val="center"/>
          </w:tcPr>
          <w:p>
            <w:pPr>
              <w:spacing w:line="400" w:lineRule="exact"/>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投标文件组成与份数：上传到政府采购云平台的电子投标文件（含资格证明文件、技术商务文件、报价文件）1份。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400" w:lineRule="exact"/>
              <w:contextualSpacing/>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w:t>
            </w:r>
          </w:p>
        </w:tc>
        <w:tc>
          <w:tcPr>
            <w:tcW w:w="7664" w:type="dxa"/>
            <w:tcBorders>
              <w:top w:val="single" w:color="auto" w:sz="4" w:space="0"/>
              <w:left w:val="single" w:color="auto" w:sz="4" w:space="0"/>
              <w:bottom w:val="single" w:color="auto" w:sz="4" w:space="0"/>
              <w:right w:val="single" w:color="auto" w:sz="4" w:space="0"/>
            </w:tcBorders>
            <w:vAlign w:val="center"/>
          </w:tcPr>
          <w:p>
            <w:pPr>
              <w:spacing w:line="400" w:lineRule="exact"/>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投标截止时间及地点：详见第一章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400" w:lineRule="exact"/>
              <w:contextualSpacing/>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w:t>
            </w:r>
          </w:p>
        </w:tc>
        <w:tc>
          <w:tcPr>
            <w:tcW w:w="7664" w:type="dxa"/>
            <w:tcBorders>
              <w:top w:val="single" w:color="auto" w:sz="4" w:space="0"/>
              <w:left w:val="single" w:color="auto" w:sz="4" w:space="0"/>
              <w:bottom w:val="single" w:color="auto" w:sz="4" w:space="0"/>
              <w:right w:val="single" w:color="auto" w:sz="4" w:space="0"/>
            </w:tcBorders>
            <w:vAlign w:val="center"/>
          </w:tcPr>
          <w:p>
            <w:pPr>
              <w:spacing w:line="400" w:lineRule="exact"/>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开标时间及地点：详见第一章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400" w:lineRule="exact"/>
              <w:contextualSpacing/>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w:t>
            </w:r>
          </w:p>
        </w:tc>
        <w:tc>
          <w:tcPr>
            <w:tcW w:w="7664" w:type="dxa"/>
            <w:tcBorders>
              <w:top w:val="single" w:color="auto" w:sz="4" w:space="0"/>
              <w:left w:val="single" w:color="auto" w:sz="4" w:space="0"/>
              <w:bottom w:val="single" w:color="auto" w:sz="4" w:space="0"/>
              <w:right w:val="single" w:color="auto" w:sz="4" w:space="0"/>
            </w:tcBorders>
            <w:vAlign w:val="center"/>
          </w:tcPr>
          <w:p>
            <w:pPr>
              <w:spacing w:line="400" w:lineRule="exact"/>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评标办法及评分标准：详见第四章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400" w:lineRule="exact"/>
              <w:contextualSpacing/>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w:t>
            </w:r>
          </w:p>
        </w:tc>
        <w:tc>
          <w:tcPr>
            <w:tcW w:w="7664" w:type="dxa"/>
            <w:tcBorders>
              <w:top w:val="single" w:color="auto" w:sz="4" w:space="0"/>
              <w:left w:val="single" w:color="auto" w:sz="4" w:space="0"/>
              <w:bottom w:val="single" w:color="auto" w:sz="4" w:space="0"/>
              <w:right w:val="single" w:color="auto" w:sz="4" w:space="0"/>
            </w:tcBorders>
            <w:vAlign w:val="center"/>
          </w:tcPr>
          <w:p>
            <w:pPr>
              <w:spacing w:line="400" w:lineRule="exact"/>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评标结果公示：评标结束后，评标结果公示于浙江省政府采购网、宁波市政府采购网</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宁波市公共资源交易网（镇海区分网）和</w:t>
            </w:r>
            <w:r>
              <w:rPr>
                <w:rFonts w:hint="eastAsia" w:ascii="宋体" w:hAnsi="宋体" w:cs="宋体"/>
                <w:color w:val="000000" w:themeColor="text1"/>
                <w:szCs w:val="21"/>
                <w:lang w:eastAsia="zh-CN"/>
                <w14:textFill>
                  <w14:solidFill>
                    <w14:schemeClr w14:val="tx1"/>
                  </w14:solidFill>
                </w14:textFill>
              </w:rPr>
              <w:t>浙江中基正采管理咨询有限公司</w:t>
            </w:r>
            <w:r>
              <w:rPr>
                <w:rFonts w:hint="eastAsia" w:ascii="宋体" w:hAnsi="宋体" w:cs="宋体"/>
                <w:color w:val="000000" w:themeColor="text1"/>
                <w:szCs w:val="21"/>
                <w14:textFill>
                  <w14:solidFill>
                    <w14:schemeClr w14:val="tx1"/>
                  </w14:solidFill>
                </w14:textFill>
              </w:rPr>
              <w:t>网站</w:t>
            </w:r>
            <w:r>
              <w:rPr>
                <w:rFonts w:hint="eastAsia" w:ascii="宋体" w:hAnsi="宋体" w:cs="宋体"/>
                <w:color w:val="000000" w:themeColor="text1"/>
                <w:szCs w:val="21"/>
                <w:lang w:eastAsia="zh-CN"/>
                <w14:textFill>
                  <w14:solidFill>
                    <w14:schemeClr w14:val="tx1"/>
                  </w14:solidFill>
                </w14:textFill>
              </w:rPr>
              <w:t>（www.cbbidding.com）</w:t>
            </w:r>
            <w:r>
              <w:rPr>
                <w:rFonts w:hint="eastAsia" w:ascii="宋体" w:hAnsi="宋体"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400" w:lineRule="exact"/>
              <w:contextualSpacing/>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w:t>
            </w:r>
          </w:p>
        </w:tc>
        <w:tc>
          <w:tcPr>
            <w:tcW w:w="7664" w:type="dxa"/>
            <w:tcBorders>
              <w:top w:val="single" w:color="auto" w:sz="4" w:space="0"/>
              <w:left w:val="single" w:color="auto" w:sz="4" w:space="0"/>
              <w:bottom w:val="single" w:color="auto" w:sz="4" w:space="0"/>
              <w:right w:val="single" w:color="auto" w:sz="4" w:space="0"/>
            </w:tcBorders>
            <w:vAlign w:val="center"/>
          </w:tcPr>
          <w:p>
            <w:pPr>
              <w:spacing w:line="400" w:lineRule="exact"/>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400" w:lineRule="exact"/>
              <w:contextualSpacing/>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w:t>
            </w:r>
          </w:p>
        </w:tc>
        <w:tc>
          <w:tcPr>
            <w:tcW w:w="7664" w:type="dxa"/>
            <w:tcBorders>
              <w:top w:val="single" w:color="auto" w:sz="4" w:space="0"/>
              <w:left w:val="single" w:color="auto" w:sz="4" w:space="0"/>
              <w:bottom w:val="single" w:color="auto" w:sz="4" w:space="0"/>
              <w:right w:val="single" w:color="auto" w:sz="4" w:space="0"/>
            </w:tcBorders>
            <w:vAlign w:val="center"/>
          </w:tcPr>
          <w:p>
            <w:pPr>
              <w:spacing w:line="400" w:lineRule="exact"/>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采购资金来源：预算资金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400" w:lineRule="exact"/>
              <w:contextualSpacing/>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p>
        </w:tc>
        <w:tc>
          <w:tcPr>
            <w:tcW w:w="7664" w:type="dxa"/>
            <w:tcBorders>
              <w:top w:val="single" w:color="auto" w:sz="4" w:space="0"/>
              <w:left w:val="single" w:color="auto" w:sz="4" w:space="0"/>
              <w:bottom w:val="single" w:color="auto" w:sz="4" w:space="0"/>
              <w:right w:val="single" w:color="auto" w:sz="4" w:space="0"/>
            </w:tcBorders>
            <w:vAlign w:val="center"/>
          </w:tcPr>
          <w:p>
            <w:pPr>
              <w:spacing w:line="400" w:lineRule="exact"/>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36" w:type="dxa"/>
            <w:tcBorders>
              <w:top w:val="single" w:color="auto" w:sz="4" w:space="0"/>
              <w:left w:val="single" w:color="auto" w:sz="4" w:space="0"/>
              <w:bottom w:val="single" w:color="auto" w:sz="4" w:space="0"/>
              <w:right w:val="single" w:color="auto" w:sz="4" w:space="0"/>
            </w:tcBorders>
            <w:vAlign w:val="center"/>
          </w:tcPr>
          <w:p>
            <w:pPr>
              <w:spacing w:line="400" w:lineRule="exact"/>
              <w:contextualSpacing/>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w:t>
            </w:r>
          </w:p>
        </w:tc>
        <w:tc>
          <w:tcPr>
            <w:tcW w:w="7664" w:type="dxa"/>
            <w:tcBorders>
              <w:top w:val="single" w:color="auto" w:sz="4" w:space="0"/>
              <w:left w:val="single" w:color="auto" w:sz="4" w:space="0"/>
              <w:bottom w:val="single" w:color="auto" w:sz="4" w:space="0"/>
              <w:right w:val="single" w:color="auto" w:sz="4" w:space="0"/>
            </w:tcBorders>
            <w:vAlign w:val="center"/>
          </w:tcPr>
          <w:p>
            <w:pPr>
              <w:spacing w:line="400" w:lineRule="exact"/>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解释：本招标文件的解释权属于招标采购单位。</w:t>
            </w:r>
          </w:p>
        </w:tc>
      </w:tr>
    </w:tbl>
    <w:p>
      <w:pPr>
        <w:rPr>
          <w:rFonts w:ascii="宋体" w:hAnsi="宋体" w:cs="宋体"/>
          <w:color w:val="000000" w:themeColor="text1"/>
          <w14:textFill>
            <w14:solidFill>
              <w14:schemeClr w14:val="tx1"/>
            </w14:solidFill>
          </w14:textFill>
        </w:rPr>
      </w:pPr>
    </w:p>
    <w:p>
      <w:pPr>
        <w:pStyle w:val="12"/>
        <w:widowControl w:val="0"/>
        <w:tabs>
          <w:tab w:val="clear" w:pos="454"/>
        </w:tabs>
        <w:spacing w:after="0" w:afterLines="0" w:line="360" w:lineRule="auto"/>
        <w:ind w:left="283" w:hanging="283" w:hangingChars="118"/>
        <w:contextualSpacing/>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14:textFill>
            <w14:solidFill>
              <w14:schemeClr w14:val="tx1"/>
            </w14:solidFill>
          </w14:textFill>
        </w:rPr>
        <w:br w:type="page"/>
      </w:r>
      <w:r>
        <w:rPr>
          <w:rFonts w:hint="eastAsia" w:ascii="宋体" w:hAnsi="宋体" w:cs="宋体"/>
          <w:b/>
          <w:color w:val="000000" w:themeColor="text1"/>
          <w:sz w:val="21"/>
          <w:szCs w:val="21"/>
          <w14:textFill>
            <w14:solidFill>
              <w14:schemeClr w14:val="tx1"/>
            </w14:solidFill>
          </w14:textFill>
        </w:rPr>
        <w:t>一、总则</w:t>
      </w:r>
    </w:p>
    <w:p>
      <w:pPr>
        <w:pStyle w:val="12"/>
        <w:widowControl w:val="0"/>
        <w:tabs>
          <w:tab w:val="clear" w:pos="454"/>
        </w:tabs>
        <w:spacing w:after="0" w:afterLines="0" w:line="360" w:lineRule="auto"/>
        <w:ind w:left="0" w:firstLine="413" w:firstLineChars="196"/>
        <w:contextualSpacing/>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（一）适用范围</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本招标文件适用于</w:t>
      </w:r>
      <w:r>
        <w:rPr>
          <w:rFonts w:hint="eastAsia" w:ascii="宋体" w:hAnsi="宋体" w:cs="宋体"/>
          <w:color w:val="000000" w:themeColor="text1"/>
          <w:szCs w:val="21"/>
          <w:lang w:eastAsia="zh-CN"/>
          <w14:textFill>
            <w14:solidFill>
              <w14:schemeClr w14:val="tx1"/>
            </w14:solidFill>
          </w14:textFill>
        </w:rPr>
        <w:t>宁波市公安局镇海分局数侦云觅服务项目（第二次）</w:t>
      </w:r>
      <w:r>
        <w:rPr>
          <w:rFonts w:hint="eastAsia" w:ascii="宋体" w:hAnsi="宋体" w:cs="宋体"/>
          <w:color w:val="000000" w:themeColor="text1"/>
          <w:szCs w:val="21"/>
          <w14:textFill>
            <w14:solidFill>
              <w14:schemeClr w14:val="tx1"/>
            </w14:solidFill>
          </w14:textFill>
        </w:rPr>
        <w:t>的招标、投标、评标、定标、验收、合同履约、付款等行为（法律、法规另有规定的，从其规定）。</w:t>
      </w:r>
    </w:p>
    <w:p>
      <w:pPr>
        <w:pStyle w:val="12"/>
        <w:widowControl w:val="0"/>
        <w:tabs>
          <w:tab w:val="clear" w:pos="454"/>
        </w:tabs>
        <w:spacing w:after="0" w:afterLines="0" w:line="360" w:lineRule="auto"/>
        <w:ind w:left="0" w:firstLine="413" w:firstLineChars="196"/>
        <w:contextualSpacing/>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（二）定义</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1.“招标采购单位”系指组织本次招标的代理机构和采购单位。</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2.“投标人”系指向招标方提交投标文件的单位或个人。</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3.“产品”系指供方按招标文件规定，须向采购人提供的一切服务、税金、手册及其它有关技术资料和材料。</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4.“服务”系指招标文件规定投标人须承担的服务。</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5.“项目”系指投标人按招标文件规定向采购人提供的服务和成果。</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6.“书面形式”包括信函、传真、电报等。</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7.“★”系指实质性要求条款。</w:t>
      </w:r>
    </w:p>
    <w:p>
      <w:pPr>
        <w:pStyle w:val="12"/>
        <w:widowControl w:val="0"/>
        <w:tabs>
          <w:tab w:val="clear" w:pos="454"/>
        </w:tabs>
        <w:spacing w:after="0" w:afterLines="0" w:line="360" w:lineRule="auto"/>
        <w:ind w:left="0" w:firstLine="413" w:firstLineChars="196"/>
        <w:contextualSpacing/>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（三）招标方式</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本次招标采用公开招标方式进行。</w:t>
      </w:r>
    </w:p>
    <w:p>
      <w:pPr>
        <w:spacing w:line="360" w:lineRule="auto"/>
        <w:ind w:firstLine="420"/>
        <w:contextualSpacing/>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（四）投标委托</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如投标人派授权代表出席开标会议，授权代表须携带有效身份证件。如投标人代表不是法定代表人，须有法定代表人出具的授权委托书（正本用原件，副本用复印件，格式见第六章）。</w:t>
      </w:r>
    </w:p>
    <w:p>
      <w:pPr>
        <w:spacing w:line="360" w:lineRule="auto"/>
        <w:ind w:firstLine="420"/>
        <w:contextualSpacing/>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（五）投标费用</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不论投标结果如何，投标人均应自行承担所有与投标有关的全部费用（招标文件有相关规定除外）。</w:t>
      </w:r>
    </w:p>
    <w:p>
      <w:pPr>
        <w:spacing w:line="360" w:lineRule="auto"/>
        <w:ind w:firstLine="420"/>
        <w:contextualSpacing/>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（六）联合体投标</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本项目不接受联合体投标。</w:t>
      </w:r>
    </w:p>
    <w:p>
      <w:pPr>
        <w:spacing w:line="360" w:lineRule="auto"/>
        <w:ind w:firstLine="420"/>
        <w:contextualSpacing/>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（七）转包与分包</w:t>
      </w:r>
    </w:p>
    <w:p>
      <w:pPr>
        <w:spacing w:line="360" w:lineRule="auto"/>
        <w:ind w:firstLine="420" w:firstLineChars="200"/>
        <w:contextualSpacing/>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1、本项目范围的服务，应由中标人直接供应，不得转让他人供应；</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2、除非得到采购人的书面同意，中标人不得部分分包给他人供应。采购人有绝对权力阻止分包。</w:t>
      </w:r>
    </w:p>
    <w:p>
      <w:pPr>
        <w:spacing w:line="360" w:lineRule="auto"/>
        <w:ind w:firstLine="420"/>
        <w:contextualSpacing/>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（八）特别说明：</w:t>
      </w:r>
    </w:p>
    <w:p>
      <w:pPr>
        <w:spacing w:line="360" w:lineRule="auto"/>
        <w:ind w:firstLine="420" w:firstLineChars="200"/>
        <w:contextualSpacing/>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1、提供相同品牌产品且通过资格审查、符合性审查的不同投标人参加同一合同项下投标的，按一家投标人计算。(如适用)</w:t>
      </w:r>
    </w:p>
    <w:p>
      <w:pPr>
        <w:spacing w:line="360" w:lineRule="auto"/>
        <w:ind w:firstLine="420" w:firstLineChars="200"/>
        <w:contextualSpacing/>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若采用综合评分法进行评审的，评审后得分最高的同品牌投标人获得中标人推荐资格；评审得分相同的，由评标委员会按照招标文件规定的方式确定一个投标人获得中标人的推荐资格，招标文件未规定的采取随机抽取的方式确定，其他同品牌投标人不作为中标候选人。</w:t>
      </w:r>
    </w:p>
    <w:p>
      <w:pPr>
        <w:spacing w:line="360" w:lineRule="auto"/>
        <w:ind w:firstLine="420" w:firstLineChars="200"/>
        <w:contextualSpacing/>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若采用最低评标价法进行评审的，以报价最低的投标人参加评审，报价相同的，由评标委员会按照招标文件规定的方式确定一个投标人获得中标人的推荐资格，招标文件未规定的采取随机抽取的方式确定，其他投标无效。</w:t>
      </w:r>
    </w:p>
    <w:p>
      <w:pPr>
        <w:spacing w:line="360" w:lineRule="auto"/>
        <w:ind w:firstLine="420" w:firstLineChars="200"/>
        <w:contextualSpacing/>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非单一产品采购项目，投标人使用相同制造产品（相同制造产品是指招标文件中指定的“核心产品”）作为其项目的一部分，按一家投标人认定。</w:t>
      </w:r>
    </w:p>
    <w:p>
      <w:pPr>
        <w:spacing w:line="360" w:lineRule="auto"/>
        <w:ind w:firstLine="420"/>
        <w:contextualSpacing/>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2、投标人在投标活动中提供任何虚假材料,其投标无效，并报监管部门查处；中标后发现的,中标人须依照相关规定赔偿采购人，且民事赔偿并不免除违法投标人的行政与刑事责任。</w:t>
      </w:r>
    </w:p>
    <w:p>
      <w:pPr>
        <w:spacing w:line="360" w:lineRule="auto"/>
        <w:ind w:firstLine="420"/>
        <w:contextualSpacing/>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3、招标文件的澄清与修改</w:t>
      </w:r>
    </w:p>
    <w:p>
      <w:pPr>
        <w:spacing w:line="360" w:lineRule="auto"/>
        <w:ind w:firstLine="420"/>
        <w:contextualSpacing/>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（1）采购人或者采购代理机构对招标文件进行必要的澄清或者修改的，澄清或者修改在原公告发布媒体上发布澄清公告。澄清或者修改的内容可能影响投标文件编制的，澄清公告</w:t>
      </w:r>
      <w:r>
        <w:rPr>
          <w:rFonts w:hint="eastAsia" w:ascii="宋体" w:hAnsi="宋体" w:cs="宋体"/>
          <w:color w:val="000000" w:themeColor="text1"/>
          <w:szCs w:val="21"/>
          <w14:textFill>
            <w14:solidFill>
              <w14:schemeClr w14:val="tx1"/>
            </w14:solidFill>
          </w14:textFill>
        </w:rPr>
        <w:t>在投标截止时间至少15日前发出；</w:t>
      </w:r>
      <w:r>
        <w:rPr>
          <w:rFonts w:hint="eastAsia" w:ascii="宋体" w:hAnsi="宋体" w:cs="宋体"/>
          <w:bCs/>
          <w:color w:val="000000" w:themeColor="text1"/>
          <w:szCs w:val="21"/>
          <w14:textFill>
            <w14:solidFill>
              <w14:schemeClr w14:val="tx1"/>
            </w14:solidFill>
          </w14:textFill>
        </w:rPr>
        <w:t>不足15日的，顺延提交投标文件的截止时间。</w:t>
      </w:r>
    </w:p>
    <w:p>
      <w:pPr>
        <w:spacing w:line="360" w:lineRule="auto"/>
        <w:ind w:firstLine="420"/>
        <w:contextualSpacing/>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（2）澄清公告为招标文件的组成部分，一经在网站发布，视同已通知所有招标文件的收受人，不再采用其它方式传达相关信息, 若因未能及时了解到上述网站上发布的相关信息而导致的一切后果自行承担。</w:t>
      </w:r>
    </w:p>
    <w:p>
      <w:pPr>
        <w:spacing w:line="360" w:lineRule="auto"/>
        <w:ind w:firstLine="420"/>
        <w:contextualSpacing/>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（3）招标文件澄清、答复、修改、补充的内容为招标文件的组成部分。当招标文件与招标文件的答复、澄清、修改、补充通知就同一内容的表述不一致时，以最后发出的澄清公告为准。</w:t>
      </w:r>
    </w:p>
    <w:p>
      <w:pPr>
        <w:spacing w:line="360" w:lineRule="auto"/>
        <w:ind w:firstLine="420"/>
        <w:contextualSpacing/>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（4）招标文件的澄清、答复、修改或补充都应该通过本代理机构以法定形式发布，采购人非通过本机构，不得擅自澄清、答复、修改或补充招标文件。</w:t>
      </w:r>
    </w:p>
    <w:p>
      <w:pPr>
        <w:spacing w:line="360" w:lineRule="auto"/>
        <w:ind w:firstLine="420"/>
        <w:contextualSpacing/>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4、关于分公司投标</w:t>
      </w:r>
    </w:p>
    <w:p>
      <w:pPr>
        <w:spacing w:line="360" w:lineRule="auto"/>
        <w:ind w:firstLine="420"/>
        <w:contextualSpacing/>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除银行、保险、石油石化、电力、电信、移动、联通等行业外，分公司投标的，需提供具有法人资格的总公司的营业执照及授权书，授权书须加盖总公司公章。总公司可就本项目或此类项目在一定范围或时间内出具授权书。已由总公司授权的，总公司取得的相关资质证书对分公司有效。</w:t>
      </w:r>
    </w:p>
    <w:p>
      <w:pPr>
        <w:spacing w:line="360" w:lineRule="auto"/>
        <w:ind w:firstLine="420"/>
        <w:contextualSpacing/>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5、关于知识产权</w:t>
      </w:r>
    </w:p>
    <w:p>
      <w:pPr>
        <w:spacing w:line="360" w:lineRule="auto"/>
        <w:ind w:firstLine="420"/>
        <w:contextualSpacing/>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spacing w:line="360" w:lineRule="auto"/>
        <w:ind w:firstLine="420"/>
        <w:contextualSpacing/>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（2）投标报价应包含所有应向所有权人支付的专利权、商标权或其它知识产权的一切相关费用。</w:t>
      </w:r>
    </w:p>
    <w:p>
      <w:pPr>
        <w:spacing w:line="360" w:lineRule="auto"/>
        <w:ind w:firstLine="420"/>
        <w:contextualSpacing/>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（3）系统软件、通用软件必须是具有在中国境内的合法使用权或版权的正版软件，涉及到第三方提出侵权或知识产权的起诉及支付版税等费用由投标人承担所有责任及费用。</w:t>
      </w:r>
    </w:p>
    <w:p>
      <w:pPr>
        <w:spacing w:line="360" w:lineRule="auto"/>
        <w:ind w:firstLine="420"/>
        <w:contextualSpacing/>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6、投标人的风险</w:t>
      </w:r>
    </w:p>
    <w:p>
      <w:pPr>
        <w:spacing w:line="360" w:lineRule="auto"/>
        <w:ind w:firstLine="420"/>
        <w:contextualSpacing/>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（1）投标人应详细阅读招标文件中的全部内容和要求，按照招标文件的要求提交投标文件，没有按照招标文件要求提供投标文件和资料导致的风险由投标人承担,并对所提供的全部资料的真实性承担法律责任。</w:t>
      </w:r>
    </w:p>
    <w:p>
      <w:pPr>
        <w:spacing w:line="360" w:lineRule="auto"/>
        <w:ind w:firstLine="420"/>
        <w:contextualSpacing/>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（2）无论因何种原因导致本次采购活动终止致投标人损失的，相关责任人均不承担任何责任。</w:t>
      </w:r>
    </w:p>
    <w:p>
      <w:pPr>
        <w:spacing w:line="360" w:lineRule="auto"/>
        <w:ind w:firstLine="420"/>
        <w:contextualSpacing/>
        <w:rPr>
          <w:rFonts w:ascii="宋体" w:hAnsi="宋体" w:cs="宋体"/>
          <w:b/>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7、解释：本招标文件的解释权属于采购人。</w:t>
      </w:r>
    </w:p>
    <w:p>
      <w:pPr>
        <w:spacing w:line="360" w:lineRule="auto"/>
        <w:contextualSpacing/>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（九）质疑和投诉</w:t>
      </w:r>
    </w:p>
    <w:p>
      <w:pPr>
        <w:spacing w:line="360" w:lineRule="auto"/>
        <w:ind w:firstLine="42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投标人认为招标文件、采购过程、中标或者成交结果使自己的权益受到损害的，须在应知其利益受损之日起七个工作日内以书面形式向采购人、采购代理机构提出质疑。投标人应当在法定质疑期内一次性提出针对同一采购程序环节的质疑。</w:t>
      </w:r>
    </w:p>
    <w:p>
      <w:pPr>
        <w:spacing w:line="360" w:lineRule="auto"/>
        <w:ind w:firstLine="42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提出质疑的投标人应当是参与所质疑项目采购活动的投标人。未依法获取招标文件的，不得就招标文件提出质疑；未提交投标文件的投标人，视为与采购结果没有利害关系，不得就采购响应截止时间后的采购过程、采购结果提出质疑。</w:t>
      </w:r>
    </w:p>
    <w:p>
      <w:pPr>
        <w:spacing w:line="360" w:lineRule="auto"/>
        <w:ind w:firstLine="42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3、投标人提出质疑应当提交质疑函和必要的证明材料，质疑函应当面以书面形式提出，质疑函格式和内容须符合财政部《质疑函范本》要求，投标人可到浙江政府采购网下载专区下载财政部《质疑函范本》。</w:t>
      </w:r>
    </w:p>
    <w:p>
      <w:pPr>
        <w:spacing w:line="360" w:lineRule="auto"/>
        <w:ind w:firstLine="42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招标文件第一章有关联系方式。</w:t>
      </w:r>
    </w:p>
    <w:p>
      <w:pPr>
        <w:spacing w:line="360" w:lineRule="auto"/>
        <w:ind w:firstLine="42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投标人对采购人或采购代理机构的质疑答复不满意或者采购人或采购代理机构未在规定时间内作出答复的，可以在答复期满后十五个工作日内向同级采购监管部门投诉，投标人可到浙江政府采购网下载专区下载财政部《投诉函范本》。</w:t>
      </w:r>
    </w:p>
    <w:p>
      <w:pPr>
        <w:spacing w:line="360" w:lineRule="auto"/>
        <w:contextualSpacing/>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二、招标文件</w:t>
      </w:r>
    </w:p>
    <w:p>
      <w:pPr>
        <w:spacing w:line="360" w:lineRule="auto"/>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（一）招标文件的构成。本招标文件由以下部份组成：</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1.公开招标公告</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2.采购需求</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3.投标人须知</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4.评标办法及评分标准</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5.合同条款及格式</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6.部分投标文件格式</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7.本项目招标文件的澄清、答复、修改、补充的内容</w:t>
      </w:r>
    </w:p>
    <w:p>
      <w:pPr>
        <w:spacing w:line="360" w:lineRule="auto"/>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（二）投标人的风险</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投标人没有按照招标文件要求提供全部资料，或者投标人没有对招标文件在各方面作出实质性响应是投标人的风险，并可能导致其投标被拒绝。</w:t>
      </w:r>
    </w:p>
    <w:p>
      <w:pPr>
        <w:spacing w:line="360" w:lineRule="auto"/>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（三）招标文件的澄清与修改</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采购人或者采购代理机构对招标文件进行必要的澄清或者修改的，澄清或者修改在原公告发布媒体上发布澄清公告。澄清或者修改的内容可能影响投标文件编制的，澄清公告在投标截止时间至少15日前发出；不足15日的，顺延提交投标文件的截止时间。</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（2）澄清公告为招标文件的组成部分，一经在网站发布，视同已通知所有招标文件的收受人，不再采用其它方式传达相关信息，若因未能及时了解到上述网站上发布的相关信息而导致的一切后果自行承担。</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（3）招标文件澄清、答复、修改、补充的内容为招标文件的组成部分。当招标文件与招标文件的答复、澄清、修改、补充通知就同一内容的表述不一致时，以最后发出的澄清公告为准。</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（4）招标文件的澄清、答复、修改或补充都应该通过本代理机构以法定形式发布，采购人非通过本机构，不得擅自澄清、答复、修改或补充招标文件。</w:t>
      </w:r>
    </w:p>
    <w:p>
      <w:pPr>
        <w:spacing w:line="360" w:lineRule="auto"/>
        <w:contextualSpacing/>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三、投标文件的编制</w:t>
      </w:r>
    </w:p>
    <w:p>
      <w:pPr>
        <w:pStyle w:val="12"/>
        <w:widowControl w:val="0"/>
        <w:tabs>
          <w:tab w:val="clear" w:pos="454"/>
        </w:tabs>
        <w:spacing w:after="0" w:afterLines="0" w:line="360" w:lineRule="auto"/>
        <w:ind w:left="0" w:firstLine="413" w:firstLineChars="196"/>
        <w:contextualSpacing/>
        <w:rPr>
          <w:rFonts w:hint="eastAsia" w:ascii="宋体" w:hAnsi="宋体" w:eastAsia="宋体" w:cs="宋体"/>
          <w:b/>
          <w:color w:val="000000" w:themeColor="text1"/>
          <w:sz w:val="21"/>
          <w:szCs w:val="21"/>
          <w:highlight w:val="none"/>
          <w:lang w:val="en-US" w:eastAsia="zh-CN"/>
          <w14:textFill>
            <w14:solidFill>
              <w14:schemeClr w14:val="tx1"/>
            </w14:solidFill>
          </w14:textFill>
        </w:rPr>
      </w:pPr>
      <w:r>
        <w:rPr>
          <w:rFonts w:hint="eastAsia" w:ascii="宋体" w:hAnsi="宋体" w:cs="宋体"/>
          <w:b/>
          <w:color w:val="000000" w:themeColor="text1"/>
          <w:sz w:val="21"/>
          <w:szCs w:val="21"/>
          <w:highlight w:val="none"/>
          <w14:textFill>
            <w14:solidFill>
              <w14:schemeClr w14:val="tx1"/>
            </w14:solidFill>
          </w14:textFill>
        </w:rPr>
        <w:t>（一）投标文件的组成</w:t>
      </w:r>
    </w:p>
    <w:p>
      <w:pPr>
        <w:pStyle w:val="12"/>
        <w:widowControl w:val="0"/>
        <w:numPr>
          <w:ilvl w:val="0"/>
          <w:numId w:val="2"/>
        </w:numPr>
        <w:tabs>
          <w:tab w:val="clear" w:pos="454"/>
        </w:tabs>
        <w:spacing w:after="0" w:afterLines="0" w:line="360" w:lineRule="auto"/>
        <w:contextualSpacing/>
        <w:rPr>
          <w:rFonts w:ascii="宋体" w:hAnsi="宋体" w:cs="宋体"/>
          <w:b/>
          <w:color w:val="000000" w:themeColor="text1"/>
          <w:sz w:val="21"/>
          <w:szCs w:val="21"/>
          <w:highlight w:val="none"/>
          <w14:textFill>
            <w14:solidFill>
              <w14:schemeClr w14:val="tx1"/>
            </w14:solidFill>
          </w14:textFill>
        </w:rPr>
      </w:pPr>
      <w:r>
        <w:rPr>
          <w:rFonts w:hint="eastAsia" w:ascii="宋体" w:hAnsi="宋体" w:cs="宋体"/>
          <w:b/>
          <w:color w:val="000000" w:themeColor="text1"/>
          <w:sz w:val="21"/>
          <w:szCs w:val="21"/>
          <w:highlight w:val="none"/>
          <w14:textFill>
            <w14:solidFill>
              <w14:schemeClr w14:val="tx1"/>
            </w14:solidFill>
          </w14:textFill>
        </w:rPr>
        <w:t>资格证明文件：</w:t>
      </w:r>
    </w:p>
    <w:p>
      <w:pPr>
        <w:numPr>
          <w:ilvl w:val="0"/>
          <w:numId w:val="3"/>
        </w:numPr>
        <w:spacing w:line="360" w:lineRule="auto"/>
        <w:ind w:firstLine="420" w:firstLineChars="200"/>
        <w:contextualSpacing/>
        <w:rPr>
          <w:rFonts w:ascii="宋体" w:hAnsi="宋体" w:cs="宋体"/>
          <w:bCs/>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投标声明书（格式见附件）；</w:t>
      </w:r>
    </w:p>
    <w:p>
      <w:pPr>
        <w:numPr>
          <w:ilvl w:val="0"/>
          <w:numId w:val="3"/>
        </w:numPr>
        <w:spacing w:line="360" w:lineRule="auto"/>
        <w:ind w:firstLine="420" w:firstLineChars="200"/>
        <w:contextualSpacing/>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营业执照副本复印件（加盖公章）；</w:t>
      </w:r>
    </w:p>
    <w:p>
      <w:pPr>
        <w:numPr>
          <w:ilvl w:val="0"/>
          <w:numId w:val="3"/>
        </w:numPr>
        <w:spacing w:line="360" w:lineRule="auto"/>
        <w:ind w:firstLine="420" w:firstLineChars="200"/>
        <w:contextualSpacing/>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中小企业声明函（格式见附件）；</w:t>
      </w:r>
    </w:p>
    <w:p>
      <w:pPr>
        <w:numPr>
          <w:ilvl w:val="0"/>
          <w:numId w:val="3"/>
        </w:numPr>
        <w:spacing w:line="360" w:lineRule="auto"/>
        <w:ind w:firstLine="420" w:firstLineChars="200"/>
        <w:contextualSpacing/>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残疾人福利性单位声明函（如有）（格式三），投标人如为非残疾人福利性单位的，可不提供本声明函。</w:t>
      </w:r>
    </w:p>
    <w:p>
      <w:pPr>
        <w:pStyle w:val="12"/>
        <w:widowControl w:val="0"/>
        <w:numPr>
          <w:ilvl w:val="0"/>
          <w:numId w:val="2"/>
        </w:numPr>
        <w:tabs>
          <w:tab w:val="clear" w:pos="454"/>
        </w:tabs>
        <w:spacing w:after="0" w:afterLines="0" w:line="360" w:lineRule="auto"/>
        <w:contextualSpacing/>
        <w:rPr>
          <w:rFonts w:ascii="宋体" w:hAnsi="宋体" w:cs="宋体"/>
          <w:b/>
          <w:color w:val="000000" w:themeColor="text1"/>
          <w:sz w:val="21"/>
          <w:szCs w:val="21"/>
          <w:highlight w:val="none"/>
          <w14:textFill>
            <w14:solidFill>
              <w14:schemeClr w14:val="tx1"/>
            </w14:solidFill>
          </w14:textFill>
        </w:rPr>
      </w:pPr>
      <w:r>
        <w:rPr>
          <w:rFonts w:hint="eastAsia" w:ascii="宋体" w:hAnsi="宋体" w:cs="宋体"/>
          <w:b/>
          <w:color w:val="000000" w:themeColor="text1"/>
          <w:sz w:val="21"/>
          <w:szCs w:val="21"/>
          <w:highlight w:val="none"/>
          <w14:textFill>
            <w14:solidFill>
              <w14:schemeClr w14:val="tx1"/>
            </w14:solidFill>
          </w14:textFill>
        </w:rPr>
        <w:t>技术商务文件：</w:t>
      </w:r>
    </w:p>
    <w:p>
      <w:pPr>
        <w:numPr>
          <w:ilvl w:val="0"/>
          <w:numId w:val="4"/>
        </w:numPr>
        <w:spacing w:line="360" w:lineRule="auto"/>
        <w:ind w:firstLine="420" w:firstLineChars="200"/>
        <w:contextualSpacing/>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评分索引表（格式见附件）；</w:t>
      </w:r>
    </w:p>
    <w:p>
      <w:pPr>
        <w:numPr>
          <w:ilvl w:val="0"/>
          <w:numId w:val="4"/>
        </w:numPr>
        <w:spacing w:line="360" w:lineRule="auto"/>
        <w:ind w:firstLine="420" w:firstLineChars="200"/>
        <w:contextualSpacing/>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投标函（格式见附件）；</w:t>
      </w:r>
    </w:p>
    <w:p>
      <w:pPr>
        <w:numPr>
          <w:ilvl w:val="0"/>
          <w:numId w:val="4"/>
        </w:numPr>
        <w:spacing w:line="360" w:lineRule="auto"/>
        <w:ind w:firstLine="420" w:firstLineChars="200"/>
        <w:contextualSpacing/>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法定代表人身份证明（如法定代表人参加投标的，无需提供授权委托书），法定代表人授权委托书（格式见附件）；</w:t>
      </w:r>
    </w:p>
    <w:p>
      <w:pPr>
        <w:numPr>
          <w:ilvl w:val="0"/>
          <w:numId w:val="4"/>
        </w:numPr>
        <w:spacing w:line="360" w:lineRule="auto"/>
        <w:ind w:firstLine="420" w:firstLineChars="200"/>
        <w:contextualSpacing/>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投标人基本情况表（格式见附件）；</w:t>
      </w:r>
    </w:p>
    <w:p>
      <w:pPr>
        <w:numPr>
          <w:ilvl w:val="0"/>
          <w:numId w:val="4"/>
        </w:numPr>
        <w:spacing w:line="360" w:lineRule="auto"/>
        <w:ind w:firstLine="420" w:firstLineChars="200"/>
        <w:contextualSpacing/>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招标需求响应表（格式见附件）；</w:t>
      </w:r>
    </w:p>
    <w:p>
      <w:pPr>
        <w:numPr>
          <w:ilvl w:val="0"/>
          <w:numId w:val="4"/>
        </w:numPr>
        <w:spacing w:line="360" w:lineRule="auto"/>
        <w:ind w:firstLine="420" w:firstLineChars="200"/>
        <w:contextualSpacing/>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商务要求响应表（格式见附件）；</w:t>
      </w:r>
    </w:p>
    <w:p>
      <w:pPr>
        <w:numPr>
          <w:ilvl w:val="0"/>
          <w:numId w:val="4"/>
        </w:numPr>
        <w:spacing w:line="360" w:lineRule="auto"/>
        <w:ind w:firstLine="420" w:firstLineChars="200"/>
        <w:contextualSpacing/>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评分办法要求的技术资料[包括且不仅限以下内容，顺序、格式（未提供的）自拟）]：</w:t>
      </w:r>
    </w:p>
    <w:p>
      <w:pPr>
        <w:spacing w:line="360" w:lineRule="auto"/>
        <w:ind w:firstLine="1050" w:firstLineChars="500"/>
        <w:contextualSpacing/>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1）业绩（格式附后）（按评分标准内容提供）；</w:t>
      </w:r>
    </w:p>
    <w:p>
      <w:pPr>
        <w:spacing w:line="360" w:lineRule="auto"/>
        <w:ind w:firstLine="1050" w:firstLineChars="500"/>
        <w:contextualSpacing/>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2）综合实力（按评分标准内容提供）；</w:t>
      </w:r>
    </w:p>
    <w:p>
      <w:pPr>
        <w:spacing w:line="360" w:lineRule="auto"/>
        <w:ind w:firstLine="1050" w:firstLineChars="500"/>
        <w:contextualSpacing/>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3）使用或购买云觅服务的证明（按评分标准内容提供）；</w:t>
      </w:r>
    </w:p>
    <w:p>
      <w:pPr>
        <w:spacing w:line="360" w:lineRule="auto"/>
        <w:ind w:firstLine="1050" w:firstLineChars="500"/>
        <w:contextualSpacing/>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4）实施方案（按评分标准内容提供）；</w:t>
      </w:r>
    </w:p>
    <w:p>
      <w:pPr>
        <w:spacing w:line="360" w:lineRule="auto"/>
        <w:ind w:firstLine="1050" w:firstLineChars="500"/>
        <w:contextualSpacing/>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5）进度安排（按评分标准内容提供）；</w:t>
      </w:r>
    </w:p>
    <w:p>
      <w:pPr>
        <w:spacing w:line="360" w:lineRule="auto"/>
        <w:ind w:firstLine="1050" w:firstLineChars="500"/>
        <w:contextualSpacing/>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6）人员配备（按评分标准内容提供）；</w:t>
      </w:r>
    </w:p>
    <w:p>
      <w:pPr>
        <w:spacing w:line="360" w:lineRule="auto"/>
        <w:ind w:firstLine="1050" w:firstLineChars="500"/>
        <w:contextualSpacing/>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7）服务质量保证措施（按评分标准内容提供）；</w:t>
      </w:r>
    </w:p>
    <w:p>
      <w:pPr>
        <w:spacing w:line="360" w:lineRule="auto"/>
        <w:ind w:firstLine="1050" w:firstLineChars="500"/>
        <w:contextualSpacing/>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8）应急方案（按评分标准内容提供）；</w:t>
      </w:r>
    </w:p>
    <w:p>
      <w:pPr>
        <w:spacing w:line="360" w:lineRule="auto"/>
        <w:ind w:firstLine="1050" w:firstLineChars="500"/>
        <w:contextualSpacing/>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9）培训方案（按评分标准内容提供）；</w:t>
      </w:r>
    </w:p>
    <w:p>
      <w:pPr>
        <w:spacing w:line="360" w:lineRule="auto"/>
        <w:ind w:firstLine="1050" w:firstLineChars="500"/>
        <w:contextualSpacing/>
        <w:rPr>
          <w:rFonts w:hint="default"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10）售后服务方案（按评分标准内容提供）；</w:t>
      </w:r>
    </w:p>
    <w:p>
      <w:pPr>
        <w:numPr>
          <w:ilvl w:val="0"/>
          <w:numId w:val="4"/>
        </w:numPr>
        <w:spacing w:line="360" w:lineRule="auto"/>
        <w:ind w:firstLine="420" w:firstLineChars="200"/>
        <w:contextualSpacing/>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投标人认为需要的其它的说明文件。</w:t>
      </w:r>
    </w:p>
    <w:p>
      <w:pPr>
        <w:pStyle w:val="12"/>
        <w:widowControl w:val="0"/>
        <w:numPr>
          <w:ilvl w:val="0"/>
          <w:numId w:val="2"/>
        </w:numPr>
        <w:tabs>
          <w:tab w:val="clear" w:pos="454"/>
        </w:tabs>
        <w:spacing w:after="0" w:afterLines="0" w:line="360" w:lineRule="auto"/>
        <w:contextualSpacing/>
        <w:rPr>
          <w:rFonts w:ascii="宋体" w:hAnsi="宋体" w:cs="宋体"/>
          <w:b/>
          <w:color w:val="000000" w:themeColor="text1"/>
          <w:sz w:val="21"/>
          <w:szCs w:val="21"/>
          <w:highlight w:val="none"/>
          <w14:textFill>
            <w14:solidFill>
              <w14:schemeClr w14:val="tx1"/>
            </w14:solidFill>
          </w14:textFill>
        </w:rPr>
      </w:pPr>
      <w:r>
        <w:rPr>
          <w:rFonts w:hint="eastAsia" w:ascii="宋体" w:hAnsi="宋体" w:cs="宋体"/>
          <w:b/>
          <w:color w:val="000000" w:themeColor="text1"/>
          <w:sz w:val="21"/>
          <w:szCs w:val="21"/>
          <w:highlight w:val="none"/>
          <w14:textFill>
            <w14:solidFill>
              <w14:schemeClr w14:val="tx1"/>
            </w14:solidFill>
          </w14:textFill>
        </w:rPr>
        <w:t>报价文件：</w:t>
      </w:r>
    </w:p>
    <w:p>
      <w:pPr>
        <w:pStyle w:val="12"/>
        <w:spacing w:after="0" w:afterLines="0" w:line="360" w:lineRule="auto"/>
        <w:ind w:left="413" w:firstLine="0"/>
        <w:contextualSpacing/>
        <w:rPr>
          <w:rFonts w:ascii="宋体" w:hAnsi="宋体" w:cs="宋体"/>
          <w:color w:val="000000" w:themeColor="text1"/>
          <w:kern w:val="2"/>
          <w:sz w:val="21"/>
          <w:szCs w:val="21"/>
          <w:highlight w:val="none"/>
          <w14:textFill>
            <w14:solidFill>
              <w14:schemeClr w14:val="tx1"/>
            </w14:solidFill>
          </w14:textFill>
        </w:rPr>
      </w:pPr>
      <w:r>
        <w:rPr>
          <w:rFonts w:hint="eastAsia" w:ascii="宋体" w:hAnsi="宋体" w:cs="宋体"/>
          <w:color w:val="000000" w:themeColor="text1"/>
          <w:kern w:val="2"/>
          <w:sz w:val="21"/>
          <w:szCs w:val="21"/>
          <w:highlight w:val="none"/>
          <w14:textFill>
            <w14:solidFill>
              <w14:schemeClr w14:val="tx1"/>
            </w14:solidFill>
          </w14:textFill>
        </w:rPr>
        <w:t>（1）开标一览表（格式见附件）；</w:t>
      </w:r>
    </w:p>
    <w:p>
      <w:pPr>
        <w:pStyle w:val="12"/>
        <w:spacing w:after="0" w:afterLines="0" w:line="360" w:lineRule="auto"/>
        <w:ind w:left="413" w:firstLine="0"/>
        <w:contextualSpacing/>
        <w:rPr>
          <w:rFonts w:ascii="宋体" w:hAnsi="宋体" w:cs="宋体"/>
          <w:bCs/>
          <w:color w:val="000000" w:themeColor="text1"/>
          <w:kern w:val="2"/>
          <w:sz w:val="21"/>
          <w:szCs w:val="21"/>
          <w:highlight w:val="none"/>
          <w14:textFill>
            <w14:solidFill>
              <w14:schemeClr w14:val="tx1"/>
            </w14:solidFill>
          </w14:textFill>
        </w:rPr>
      </w:pPr>
      <w:r>
        <w:rPr>
          <w:rFonts w:hint="eastAsia" w:ascii="宋体" w:hAnsi="宋体" w:cs="宋体"/>
          <w:bCs/>
          <w:color w:val="000000" w:themeColor="text1"/>
          <w:kern w:val="2"/>
          <w:sz w:val="21"/>
          <w:szCs w:val="21"/>
          <w:highlight w:val="none"/>
          <w14:textFill>
            <w14:solidFill>
              <w14:schemeClr w14:val="tx1"/>
            </w14:solidFill>
          </w14:textFill>
        </w:rPr>
        <w:t>（</w:t>
      </w:r>
      <w:r>
        <w:rPr>
          <w:rFonts w:hint="eastAsia" w:ascii="宋体" w:hAnsi="宋体" w:cs="宋体"/>
          <w:bCs/>
          <w:color w:val="000000" w:themeColor="text1"/>
          <w:kern w:val="2"/>
          <w:sz w:val="21"/>
          <w:szCs w:val="21"/>
          <w:highlight w:val="none"/>
          <w:lang w:val="en-US" w:eastAsia="zh-CN"/>
          <w14:textFill>
            <w14:solidFill>
              <w14:schemeClr w14:val="tx1"/>
            </w14:solidFill>
          </w14:textFill>
        </w:rPr>
        <w:t>2</w:t>
      </w:r>
      <w:r>
        <w:rPr>
          <w:rFonts w:hint="eastAsia" w:ascii="宋体" w:hAnsi="宋体" w:cs="宋体"/>
          <w:bCs/>
          <w:color w:val="000000" w:themeColor="text1"/>
          <w:kern w:val="2"/>
          <w:sz w:val="21"/>
          <w:szCs w:val="21"/>
          <w:highlight w:val="none"/>
          <w14:textFill>
            <w14:solidFill>
              <w14:schemeClr w14:val="tx1"/>
            </w14:solidFill>
          </w14:textFill>
        </w:rPr>
        <w:t>）投标人认为需要的其它的说明文件。</w:t>
      </w:r>
    </w:p>
    <w:p>
      <w:pPr>
        <w:pStyle w:val="41"/>
        <w:snapToGrid/>
        <w:spacing w:before="0" w:after="0" w:afterLines="0" w:line="360" w:lineRule="auto"/>
        <w:contextualSpacing/>
        <w:rPr>
          <w:rFonts w:cs="宋体"/>
          <w:b/>
          <w:bCs/>
          <w:color w:val="000000" w:themeColor="text1"/>
          <w:sz w:val="21"/>
          <w:szCs w:val="21"/>
          <w14:textFill>
            <w14:solidFill>
              <w14:schemeClr w14:val="tx1"/>
            </w14:solidFill>
          </w14:textFill>
        </w:rPr>
      </w:pPr>
      <w:r>
        <w:rPr>
          <w:rFonts w:hint="eastAsia" w:cs="宋体"/>
          <w:b/>
          <w:bCs/>
          <w:color w:val="000000" w:themeColor="text1"/>
          <w:sz w:val="21"/>
          <w:szCs w:val="21"/>
          <w14:textFill>
            <w14:solidFill>
              <w14:schemeClr w14:val="tx1"/>
            </w14:solidFill>
          </w14:textFill>
        </w:rPr>
        <w:t>（二）投标文件的语言及计量</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★1.投标文件以及投标方与招标方就有关投标事宜的所有来往函电，均应以中文汉语书写。除签名、盖章、专用名称等特殊情形外，以中文汉语以外的文字表述的投标文件视同未提供。</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★2.投标计量单位，招标文件已有明确规定的，使用招标文件规定的计量单位；招标文件没有规定的，应采用中华人民共和国法定计量单位（货币单位：人民币元），否则视同未响应。</w:t>
      </w:r>
    </w:p>
    <w:p>
      <w:pPr>
        <w:spacing w:line="360" w:lineRule="auto"/>
        <w:contextualSpacing/>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（三）投标报价</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1.投标报价应按招标文件中相关附表格式填写。</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★2.投标报价是履行合同的最终价格，具体详见第三章 投标人须知。</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★3.投标文件只允许有一个报价，有选择的或有条件的报价将不予接受。</w:t>
      </w:r>
    </w:p>
    <w:p>
      <w:pPr>
        <w:spacing w:line="360" w:lineRule="auto"/>
        <w:contextualSpacing/>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（四）投标文件的有效期</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★1.自投标截止日起90天投标文件应保持有效。</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2.在特殊情况下，采购人可与投标人协商延长投标书的有效期，这种要求和答复均以书面形式进行。</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3.同意延长有效期的投标人不能修改投标文件。</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4.中标人的投标文件自开标之日起至合同履行完毕止均应保持有效。</w:t>
      </w:r>
    </w:p>
    <w:p>
      <w:pPr>
        <w:pStyle w:val="12"/>
        <w:widowControl w:val="0"/>
        <w:tabs>
          <w:tab w:val="clear" w:pos="454"/>
        </w:tabs>
        <w:spacing w:after="0" w:afterLines="0" w:line="360" w:lineRule="auto"/>
        <w:ind w:left="282" w:hanging="282" w:hangingChars="134"/>
        <w:contextualSpacing/>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（五）投标文件的签署和份数</w:t>
      </w:r>
    </w:p>
    <w:p>
      <w:pPr>
        <w:spacing w:line="360" w:lineRule="auto"/>
        <w:ind w:firstLine="525" w:firstLineChars="250"/>
        <w:contextualSpacing/>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14:textFill>
            <w14:solidFill>
              <w14:schemeClr w14:val="tx1"/>
            </w14:solidFill>
          </w14:textFill>
        </w:rPr>
        <w:t>投标人应按本招标文件规定的格式和顺序编制投标文件</w:t>
      </w:r>
      <w:r>
        <w:rPr>
          <w:rFonts w:hint="eastAsia" w:ascii="宋体" w:hAnsi="宋体" w:cs="宋体"/>
          <w:color w:val="000000" w:themeColor="text1"/>
          <w:szCs w:val="21"/>
          <w14:textFill>
            <w14:solidFill>
              <w14:schemeClr w14:val="tx1"/>
            </w14:solidFill>
          </w14:textFill>
        </w:rPr>
        <w:t>，投标文件要求有目录并标注页码</w:t>
      </w:r>
      <w:r>
        <w:rPr>
          <w:rFonts w:hint="eastAsia" w:ascii="宋体" w:hAnsi="宋体" w:cs="宋体"/>
          <w:color w:val="000000" w:themeColor="text1"/>
          <w14:textFill>
            <w14:solidFill>
              <w14:schemeClr w14:val="tx1"/>
            </w14:solidFill>
          </w14:textFill>
        </w:rPr>
        <w:t>，投标文件内容不完整、编排混乱导致投标文件被误读、漏读或者查找不到相关内容的，是投标人的责任。</w:t>
      </w:r>
    </w:p>
    <w:p>
      <w:pPr>
        <w:spacing w:line="360" w:lineRule="auto"/>
        <w:ind w:firstLine="525" w:firstLineChars="250"/>
        <w:contextualSpacing/>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2、投标文件的份数：</w:t>
      </w:r>
    </w:p>
    <w:p>
      <w:pPr>
        <w:spacing w:line="360" w:lineRule="auto"/>
        <w:ind w:firstLine="525" w:firstLineChars="250"/>
        <w:contextualSpacing/>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本项目实行网上投标，投标人应准备以下投标文件：</w:t>
      </w:r>
    </w:p>
    <w:p>
      <w:pPr>
        <w:spacing w:line="360" w:lineRule="auto"/>
        <w:ind w:firstLine="525" w:firstLineChars="250"/>
        <w:contextualSpacing/>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上传到政府采购云平台的电子投标文件（含资格证明文件、技术商务文件、报价文件）1份。</w:t>
      </w:r>
    </w:p>
    <w:p>
      <w:pPr>
        <w:spacing w:line="360" w:lineRule="auto"/>
        <w:ind w:firstLine="525" w:firstLineChars="250"/>
        <w:contextualSpacing/>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3、电子投标文件：</w:t>
      </w:r>
    </w:p>
    <w:p>
      <w:pPr>
        <w:spacing w:line="360" w:lineRule="auto"/>
        <w:ind w:firstLine="525" w:firstLineChars="25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3.1投标人应根据</w:t>
      </w:r>
      <w:r>
        <w:rPr>
          <w:rFonts w:hint="eastAsia" w:ascii="宋体" w:hAnsi="宋体" w:cs="宋体"/>
          <w:color w:val="000000" w:themeColor="text1"/>
          <w:kern w:val="0"/>
          <w:szCs w:val="21"/>
          <w14:textFill>
            <w14:solidFill>
              <w14:schemeClr w14:val="tx1"/>
            </w14:solidFill>
          </w14:textFill>
        </w:rPr>
        <w:t>政府采购云平台的要求</w:t>
      </w:r>
      <w:r>
        <w:rPr>
          <w:rFonts w:hint="eastAsia" w:ascii="宋体" w:hAnsi="宋体" w:cs="宋体"/>
          <w:color w:val="000000" w:themeColor="text1"/>
          <w14:textFill>
            <w14:solidFill>
              <w14:schemeClr w14:val="tx1"/>
            </w14:solidFill>
          </w14:textFill>
        </w:rPr>
        <w:t>及本招标文件规定的格式和顺序编制电子投标文件并进行关联定位。</w:t>
      </w:r>
    </w:p>
    <w:p>
      <w:pPr>
        <w:spacing w:line="360" w:lineRule="auto"/>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（六）投标文件的递交、修改和撤回</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spacing w:line="360" w:lineRule="auto"/>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（七）投标文件的形式和效力</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1、投标文件为：“电子加密投标文件”。“电子加密投标文件”是指通过“政采云电子交易客户端”完成投标文件编制后生成并加密的数据电文形式的投标文件（文件后缀为：jmbs）。</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2、采购过程中出现以下情形，导致电子交易平台无法正常运行，或者无法保证电子交易的公平、公正和安全时，采购人（或代理机构）可中止电子交易活动：</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A.“政府采购云平台”发生故障而无法登录访问的；</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B.“政府采购云平台”应用或数据库出现错误，不能进行正常操作的；</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C.“政府采购云平台”发现严重安全漏洞，有潜在泄密危险的；</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D.病毒发作导致不能进行正常操作的；</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E.其他无法保证电子交易的公平、公正和安全的情况。</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出现前款规定情形，不影响采购公平、公正性的，采购组织机构可以待上述情形消除后继续组织电子交易活动；影响或可能影响采购公平、公正性的，应当重新采购。</w:t>
      </w:r>
    </w:p>
    <w:p>
      <w:pPr>
        <w:spacing w:line="360" w:lineRule="auto"/>
        <w:contextualSpacing/>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四、特别说明</w:t>
      </w:r>
    </w:p>
    <w:p>
      <w:pPr>
        <w:adjustRightInd w:val="0"/>
        <w:spacing w:line="360" w:lineRule="auto"/>
        <w:ind w:firstLine="422" w:firstLineChars="200"/>
        <w:contextualSpacing/>
        <w:rPr>
          <w:rFonts w:ascii="宋体" w:hAnsi="宋体" w:cs="宋体"/>
          <w:b/>
          <w:bCs/>
          <w:color w:val="000000" w:themeColor="text1"/>
          <w:szCs w:val="21"/>
          <w:lang w:bidi="ar"/>
          <w14:textFill>
            <w14:solidFill>
              <w14:schemeClr w14:val="tx1"/>
            </w14:solidFill>
          </w14:textFill>
        </w:rPr>
      </w:pPr>
      <w:r>
        <w:rPr>
          <w:rFonts w:hint="eastAsia" w:ascii="宋体" w:hAnsi="宋体" w:cs="宋体"/>
          <w:b/>
          <w:bCs/>
          <w:color w:val="000000" w:themeColor="text1"/>
          <w:szCs w:val="21"/>
          <w:lang w:bidi="ar"/>
          <w14:textFill>
            <w14:solidFill>
              <w14:schemeClr w14:val="tx1"/>
            </w14:solidFill>
          </w14:textFill>
        </w:rPr>
        <w:t>1、本项目</w:t>
      </w:r>
      <w:r>
        <w:rPr>
          <w:rFonts w:hint="eastAsia" w:ascii="宋体" w:hAnsi="宋体" w:cs="宋体"/>
          <w:b/>
          <w:bCs/>
          <w:color w:val="000000" w:themeColor="text1"/>
          <w:szCs w:val="21"/>
          <w:u w:val="single"/>
          <w:lang w:bidi="ar"/>
          <w14:textFill>
            <w14:solidFill>
              <w14:schemeClr w14:val="tx1"/>
            </w14:solidFill>
          </w14:textFill>
        </w:rPr>
        <w:t xml:space="preserve"> </w:t>
      </w:r>
      <w:r>
        <w:rPr>
          <w:rFonts w:hint="eastAsia" w:ascii="宋体" w:hAnsi="宋体" w:cs="宋体"/>
          <w:b/>
          <w:bCs/>
          <w:color w:val="000000" w:themeColor="text1"/>
          <w:szCs w:val="21"/>
          <w:u w:val="single"/>
          <w:lang w:val="en-US" w:eastAsia="zh-CN" w:bidi="ar"/>
          <w14:textFill>
            <w14:solidFill>
              <w14:schemeClr w14:val="tx1"/>
            </w14:solidFill>
          </w14:textFill>
        </w:rPr>
        <w:t>是</w:t>
      </w:r>
      <w:r>
        <w:rPr>
          <w:rFonts w:hint="eastAsia" w:ascii="宋体" w:hAnsi="宋体" w:cs="宋体"/>
          <w:b/>
          <w:bCs/>
          <w:color w:val="000000" w:themeColor="text1"/>
          <w:szCs w:val="21"/>
          <w:u w:val="single"/>
          <w:lang w:bidi="ar"/>
          <w14:textFill>
            <w14:solidFill>
              <w14:schemeClr w14:val="tx1"/>
            </w14:solidFill>
          </w14:textFill>
        </w:rPr>
        <w:t xml:space="preserve"> </w:t>
      </w:r>
      <w:r>
        <w:rPr>
          <w:rFonts w:hint="eastAsia" w:ascii="宋体" w:hAnsi="宋体" w:cs="宋体"/>
          <w:b/>
          <w:bCs/>
          <w:color w:val="000000" w:themeColor="text1"/>
          <w:szCs w:val="21"/>
          <w:lang w:bidi="ar"/>
          <w14:textFill>
            <w14:solidFill>
              <w14:schemeClr w14:val="tx1"/>
            </w14:solidFill>
          </w14:textFill>
        </w:rPr>
        <w:t>专门面向中小企业采购。</w:t>
      </w:r>
    </w:p>
    <w:p>
      <w:pPr>
        <w:adjustRightInd w:val="0"/>
        <w:spacing w:line="360" w:lineRule="auto"/>
        <w:ind w:firstLine="420" w:firstLineChars="200"/>
        <w:contextualSpacing/>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2、本项目对应的中小企业划分标准所属行业：</w:t>
      </w:r>
      <w:r>
        <w:rPr>
          <w:rFonts w:hint="eastAsia" w:ascii="宋体" w:hAnsi="宋体" w:cs="宋体"/>
          <w:b/>
          <w:bCs/>
          <w:color w:val="000000" w:themeColor="text1"/>
          <w:szCs w:val="21"/>
          <w:u w:val="single"/>
          <w:lang w:val="en-US" w:eastAsia="zh-CN" w:bidi="ar"/>
          <w14:textFill>
            <w14:solidFill>
              <w14:schemeClr w14:val="tx1"/>
            </w14:solidFill>
          </w14:textFill>
        </w:rPr>
        <w:t>软件和信息技术服务业</w:t>
      </w:r>
      <w:r>
        <w:rPr>
          <w:rFonts w:hint="eastAsia" w:ascii="宋体" w:hAnsi="宋体" w:cs="宋体"/>
          <w:color w:val="000000" w:themeColor="text1"/>
          <w:szCs w:val="21"/>
          <w:lang w:bidi="ar"/>
          <w14:textFill>
            <w14:solidFill>
              <w14:schemeClr w14:val="tx1"/>
            </w14:solidFill>
          </w14:textFill>
        </w:rPr>
        <w:t>。</w:t>
      </w:r>
    </w:p>
    <w:p>
      <w:pPr>
        <w:adjustRightInd w:val="0"/>
        <w:spacing w:line="360" w:lineRule="auto"/>
        <w:ind w:firstLine="420" w:firstLineChars="200"/>
        <w:contextualSpacing/>
        <w:rPr>
          <w:rFonts w:hint="eastAsia" w:ascii="宋体" w:hAnsi="宋体" w:cs="宋体"/>
          <w:color w:val="000000" w:themeColor="text1"/>
          <w:szCs w:val="21"/>
          <w:lang w:val="en-US" w:eastAsia="zh-CN" w:bidi="ar"/>
          <w14:textFill>
            <w14:solidFill>
              <w14:schemeClr w14:val="tx1"/>
            </w14:solidFill>
          </w14:textFill>
        </w:rPr>
      </w:pPr>
      <w:r>
        <w:rPr>
          <w:rFonts w:hint="eastAsia" w:ascii="宋体" w:hAnsi="宋体" w:cs="宋体"/>
          <w:color w:val="000000" w:themeColor="text1"/>
          <w:szCs w:val="21"/>
          <w:lang w:val="en-US" w:eastAsia="zh-CN" w:bidi="ar"/>
          <w14:textFill>
            <w14:solidFill>
              <w14:schemeClr w14:val="tx1"/>
            </w14:solidFill>
          </w14:textFill>
        </w:rPr>
        <w:t>3、国务院批准的中小企业划分标准：具体见工信部联企业[2011]300号。</w:t>
      </w:r>
    </w:p>
    <w:p>
      <w:pPr>
        <w:adjustRightInd w:val="0"/>
        <w:spacing w:line="360" w:lineRule="auto"/>
        <w:ind w:firstLine="420" w:firstLineChars="200"/>
        <w:contextualSpacing/>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val="en-US" w:eastAsia="zh-CN" w:bidi="ar"/>
          <w14:textFill>
            <w14:solidFill>
              <w14:schemeClr w14:val="tx1"/>
            </w14:solidFill>
          </w14:textFill>
        </w:rPr>
        <w:t>4</w:t>
      </w:r>
      <w:r>
        <w:rPr>
          <w:rFonts w:hint="eastAsia" w:ascii="宋体" w:hAnsi="宋体" w:cs="宋体"/>
          <w:color w:val="000000" w:themeColor="text1"/>
          <w:szCs w:val="21"/>
          <w:lang w:bidi="ar"/>
          <w14:textFill>
            <w14:solidFill>
              <w14:schemeClr w14:val="tx1"/>
            </w14:solidFill>
          </w14:textFill>
        </w:rPr>
        <w:t>、执行财政部、工业和信息化部《政府采购促进中小企业发展管理办法》（财库〔2020〕46号）。政府采购活动中有关中小企业的相关规定如下：</w:t>
      </w:r>
    </w:p>
    <w:p>
      <w:pPr>
        <w:adjustRightInd w:val="0"/>
        <w:spacing w:line="360" w:lineRule="auto"/>
        <w:ind w:firstLine="420" w:firstLineChars="200"/>
        <w:contextualSpacing/>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val="en-US" w:eastAsia="zh-CN" w:bidi="ar"/>
          <w14:textFill>
            <w14:solidFill>
              <w14:schemeClr w14:val="tx1"/>
            </w14:solidFill>
          </w14:textFill>
        </w:rPr>
        <w:t>4</w:t>
      </w:r>
      <w:r>
        <w:rPr>
          <w:rFonts w:hint="eastAsia" w:ascii="宋体" w:hAnsi="宋体" w:cs="宋体"/>
          <w:color w:val="000000" w:themeColor="text1"/>
          <w:szCs w:val="21"/>
          <w:lang w:bidi="ar"/>
          <w14:textFill>
            <w14:solidFill>
              <w14:schemeClr w14:val="tx1"/>
            </w14:solidFill>
          </w14:textFill>
        </w:rPr>
        <w:t>.1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adjustRightInd w:val="0"/>
        <w:spacing w:line="360" w:lineRule="auto"/>
        <w:ind w:firstLine="420" w:firstLineChars="200"/>
        <w:contextualSpacing/>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val="en-US" w:eastAsia="zh-CN" w:bidi="ar"/>
          <w14:textFill>
            <w14:solidFill>
              <w14:schemeClr w14:val="tx1"/>
            </w14:solidFill>
          </w14:textFill>
        </w:rPr>
        <w:t>4</w:t>
      </w:r>
      <w:r>
        <w:rPr>
          <w:rFonts w:hint="eastAsia" w:ascii="宋体" w:hAnsi="宋体" w:cs="宋体"/>
          <w:color w:val="000000" w:themeColor="text1"/>
          <w:szCs w:val="21"/>
          <w:lang w:bidi="ar"/>
          <w14:textFill>
            <w14:solidFill>
              <w14:schemeClr w14:val="tx1"/>
            </w14:solidFill>
          </w14:textFill>
        </w:rPr>
        <w:t>.2在政府采购活动中，投标人提供的货物、工程或者服务符合下列情形的，享受《政府采购促进中小企业发展管理办法》规定的中小企业扶持政策：</w:t>
      </w:r>
    </w:p>
    <w:p>
      <w:pPr>
        <w:adjustRightInd w:val="0"/>
        <w:spacing w:line="360" w:lineRule="auto"/>
        <w:ind w:firstLine="420" w:firstLineChars="200"/>
        <w:contextualSpacing/>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（1）在货物采购项目中，货物由中小企业制造，即货物由中小企业生产且使用该中小企业商号或者注册商标；</w:t>
      </w:r>
    </w:p>
    <w:p>
      <w:pPr>
        <w:adjustRightInd w:val="0"/>
        <w:spacing w:line="360" w:lineRule="auto"/>
        <w:ind w:firstLine="420" w:firstLineChars="200"/>
        <w:contextualSpacing/>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（2）在工程采购项目中，工程由中小企业承建，即工程施工单位为中小企业；</w:t>
      </w:r>
    </w:p>
    <w:p>
      <w:pPr>
        <w:adjustRightInd w:val="0"/>
        <w:spacing w:line="360" w:lineRule="auto"/>
        <w:ind w:firstLine="420" w:firstLineChars="200"/>
        <w:contextualSpacing/>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（3）在服务采购项目中，服务由中小企业承接，即提供服务的人员为中小企业依照《中华人民共和国劳动合同法》订立劳动合同的从业人员。</w:t>
      </w:r>
    </w:p>
    <w:p>
      <w:pPr>
        <w:adjustRightInd w:val="0"/>
        <w:spacing w:line="360" w:lineRule="auto"/>
        <w:ind w:firstLine="420" w:firstLineChars="200"/>
        <w:contextualSpacing/>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在货物采购项目中，投标人提供的货物既有中小企业制造货物，也有大型企业制造货物的，不享受《政府采购促进中小企业发展管理办法》规定的中小企业扶持政策。</w:t>
      </w:r>
    </w:p>
    <w:p>
      <w:pPr>
        <w:adjustRightInd w:val="0"/>
        <w:spacing w:line="360" w:lineRule="auto"/>
        <w:ind w:firstLine="420" w:firstLineChars="200"/>
        <w:contextualSpacing/>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以联合体形式参加政府采购活动，联合体各方均为中小企业的，联合体视同中小企业。其中，联合体各方均为小微企业的，联合体视同小微企业。</w:t>
      </w:r>
    </w:p>
    <w:p>
      <w:pPr>
        <w:adjustRightInd w:val="0"/>
        <w:spacing w:line="360" w:lineRule="auto"/>
        <w:ind w:firstLine="420" w:firstLineChars="200"/>
        <w:contextualSpacing/>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val="en-US" w:eastAsia="zh-CN" w:bidi="ar"/>
          <w14:textFill>
            <w14:solidFill>
              <w14:schemeClr w14:val="tx1"/>
            </w14:solidFill>
          </w14:textFill>
        </w:rPr>
        <w:t>4</w:t>
      </w:r>
      <w:r>
        <w:rPr>
          <w:rFonts w:hint="eastAsia" w:ascii="宋体" w:hAnsi="宋体" w:cs="宋体"/>
          <w:color w:val="000000" w:themeColor="text1"/>
          <w:szCs w:val="21"/>
          <w:lang w:bidi="ar"/>
          <w14:textFill>
            <w14:solidFill>
              <w14:schemeClr w14:val="tx1"/>
            </w14:solidFill>
          </w14:textFill>
        </w:rPr>
        <w:t>.3中小企业参加政府采购活动，应当出具《政府采购促进中小企业发展管理办法》规定的《中小企业声明函》（格式见本采购文件附件），否则不得享受相关中小企业扶持政策。</w:t>
      </w:r>
    </w:p>
    <w:p>
      <w:pPr>
        <w:adjustRightInd w:val="0"/>
        <w:spacing w:line="360" w:lineRule="auto"/>
        <w:ind w:firstLine="420" w:firstLineChars="200"/>
        <w:contextualSpacing/>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val="en-US" w:eastAsia="zh-CN" w:bidi="ar"/>
          <w14:textFill>
            <w14:solidFill>
              <w14:schemeClr w14:val="tx1"/>
            </w14:solidFill>
          </w14:textFill>
        </w:rPr>
        <w:t>4</w:t>
      </w:r>
      <w:r>
        <w:rPr>
          <w:rFonts w:hint="eastAsia" w:ascii="宋体" w:hAnsi="宋体" w:cs="宋体"/>
          <w:color w:val="000000" w:themeColor="text1"/>
          <w:szCs w:val="21"/>
          <w:lang w:bidi="ar"/>
          <w14:textFill>
            <w14:solidFill>
              <w14:schemeClr w14:val="tx1"/>
            </w14:solidFill>
          </w14:textFill>
        </w:rPr>
        <w:t>.4采购活动过程中，对投标人的“中小企业”资格认定，以投标人提交的《中小企业声明函》为准，投标人必须实事求是地提交声明函，如有虚假，将依法承担法律责任。如果在采购活动过程中相关采购当事人对投标人“中小企业”资格有异议的，由货物制造商或者工程、服务投标人注册登记所在地的县级以上人民政府中小企采购人管部门负责认定。</w:t>
      </w:r>
    </w:p>
    <w:p>
      <w:pPr>
        <w:adjustRightInd w:val="0"/>
        <w:spacing w:line="360" w:lineRule="auto"/>
        <w:ind w:firstLine="420" w:firstLineChars="200"/>
        <w:contextualSpacing/>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投标人提供声明函内容不实的，属于提供虚假材料谋取中标、成交，依照《中华人民共和国政府采购法》等国家有关规定追究相应责任。</w:t>
      </w:r>
    </w:p>
    <w:p>
      <w:pPr>
        <w:adjustRightInd w:val="0"/>
        <w:spacing w:line="360" w:lineRule="auto"/>
        <w:ind w:firstLine="420" w:firstLineChars="200"/>
        <w:contextualSpacing/>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bidi="ar"/>
          <w14:textFill>
            <w14:solidFill>
              <w14:schemeClr w14:val="tx1"/>
            </w14:solidFill>
          </w14:textFill>
        </w:rPr>
        <w:t>适用招标投标法的政府采购工程建设项目，投标人提供声明函内容不实的，属于弄虚作假骗取中标，依照《中华人民共和国招标投标法》等国家有关规定追究相应责任。</w:t>
      </w:r>
    </w:p>
    <w:p>
      <w:pPr>
        <w:adjustRightInd w:val="0"/>
        <w:spacing w:line="360" w:lineRule="auto"/>
        <w:ind w:firstLine="420" w:firstLineChars="200"/>
        <w:contextualSpacing/>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val="en-US" w:eastAsia="zh-CN" w:bidi="ar"/>
          <w14:textFill>
            <w14:solidFill>
              <w14:schemeClr w14:val="tx1"/>
            </w14:solidFill>
          </w14:textFill>
        </w:rPr>
        <w:t>4</w:t>
      </w:r>
      <w:r>
        <w:rPr>
          <w:rFonts w:hint="eastAsia" w:ascii="宋体" w:hAnsi="宋体" w:cs="宋体"/>
          <w:color w:val="000000" w:themeColor="text1"/>
          <w:szCs w:val="21"/>
          <w:lang w:bidi="ar"/>
          <w14:textFill>
            <w14:solidFill>
              <w14:schemeClr w14:val="tx1"/>
            </w14:solidFill>
          </w14:textFill>
        </w:rPr>
        <w:t>.5《中小企业声明函》由参加投标的投标人提交，如投标人为代理商，须自行采集制造商的中小企业划分类型信息填入相应栏目并对其真实性负责。</w:t>
      </w:r>
    </w:p>
    <w:p>
      <w:pPr>
        <w:adjustRightInd w:val="0"/>
        <w:spacing w:line="360" w:lineRule="auto"/>
        <w:ind w:firstLine="420" w:firstLineChars="200"/>
        <w:contextualSpacing/>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val="en-US" w:eastAsia="zh-CN" w:bidi="ar"/>
          <w14:textFill>
            <w14:solidFill>
              <w14:schemeClr w14:val="tx1"/>
            </w14:solidFill>
          </w14:textFill>
        </w:rPr>
        <w:t>5</w:t>
      </w:r>
      <w:r>
        <w:rPr>
          <w:rFonts w:hint="eastAsia" w:ascii="宋体" w:hAnsi="宋体" w:cs="宋体"/>
          <w:color w:val="000000" w:themeColor="text1"/>
          <w:szCs w:val="21"/>
          <w:lang w:bidi="ar"/>
          <w14:textFill>
            <w14:solidFill>
              <w14:schemeClr w14:val="tx1"/>
            </w14:solidFill>
          </w14:textFill>
        </w:rPr>
        <w:t xml:space="preserve">、对于非专门面向中小企业采购的采购项目，小微企业报价给予 </w:t>
      </w:r>
      <w:r>
        <w:rPr>
          <w:rFonts w:hint="eastAsia" w:ascii="宋体" w:hAnsi="宋体" w:cs="宋体"/>
          <w:color w:val="000000" w:themeColor="text1"/>
          <w:szCs w:val="21"/>
          <w:lang w:val="en-US" w:eastAsia="zh-CN" w:bidi="ar"/>
          <w14:textFill>
            <w14:solidFill>
              <w14:schemeClr w14:val="tx1"/>
            </w14:solidFill>
          </w14:textFill>
        </w:rPr>
        <w:t>20</w:t>
      </w:r>
      <w:r>
        <w:rPr>
          <w:rFonts w:hint="eastAsia" w:ascii="宋体" w:hAnsi="宋体" w:cs="宋体"/>
          <w:color w:val="000000" w:themeColor="text1"/>
          <w:szCs w:val="21"/>
          <w:lang w:bidi="ar"/>
          <w14:textFill>
            <w14:solidFill>
              <w14:schemeClr w14:val="tx1"/>
            </w14:solidFill>
          </w14:textFill>
        </w:rPr>
        <w:t xml:space="preserve">%（工程项目为 </w:t>
      </w:r>
      <w:r>
        <w:rPr>
          <w:rFonts w:hint="eastAsia" w:ascii="宋体" w:hAnsi="宋体" w:cs="宋体"/>
          <w:color w:val="000000" w:themeColor="text1"/>
          <w:szCs w:val="21"/>
          <w:lang w:val="en-US" w:eastAsia="zh-CN" w:bidi="ar"/>
          <w14:textFill>
            <w14:solidFill>
              <w14:schemeClr w14:val="tx1"/>
            </w14:solidFill>
          </w14:textFill>
        </w:rPr>
        <w:t>5</w:t>
      </w:r>
      <w:r>
        <w:rPr>
          <w:rFonts w:hint="eastAsia" w:ascii="宋体" w:hAnsi="宋体" w:cs="宋体"/>
          <w:color w:val="000000" w:themeColor="text1"/>
          <w:szCs w:val="21"/>
          <w:lang w:bidi="ar"/>
          <w14:textFill>
            <w14:solidFill>
              <w14:schemeClr w14:val="tx1"/>
            </w14:solidFill>
          </w14:textFill>
        </w:rPr>
        <w:t xml:space="preserve">%）的扣除，用扣除后的价格参加评审。接受大中型企业与小微企业组成联合体参与投标或者允许大中型企业向一家或者多家小微企业合理分包的采购项目，对于联合协议或者分包意向协议约定小微企业的合同份额占到合同总金额 30%以上的，对联合体或者大中型企业的报价给予 </w:t>
      </w:r>
      <w:r>
        <w:rPr>
          <w:rFonts w:hint="eastAsia" w:ascii="宋体" w:hAnsi="宋体" w:cs="宋体"/>
          <w:color w:val="000000" w:themeColor="text1"/>
          <w:szCs w:val="21"/>
          <w:lang w:val="en-US" w:eastAsia="zh-CN" w:bidi="ar"/>
          <w14:textFill>
            <w14:solidFill>
              <w14:schemeClr w14:val="tx1"/>
            </w14:solidFill>
          </w14:textFill>
        </w:rPr>
        <w:t>6</w:t>
      </w:r>
      <w:r>
        <w:rPr>
          <w:rFonts w:hint="eastAsia" w:ascii="宋体" w:hAnsi="宋体" w:cs="宋体"/>
          <w:color w:val="000000" w:themeColor="text1"/>
          <w:szCs w:val="21"/>
          <w:lang w:bidi="ar"/>
          <w14:textFill>
            <w14:solidFill>
              <w14:schemeClr w14:val="tx1"/>
            </w14:solidFill>
          </w14:textFill>
        </w:rPr>
        <w:t>%（工程项目为 2%）的扣除，用扣除后的价格参加评审。组成联合体或者接受分包的小微企业与联合体内其他企业、分包企业之间存在直接控股、管理关系的，不享受价格扣除优惠政策。</w:t>
      </w:r>
    </w:p>
    <w:p>
      <w:pPr>
        <w:adjustRightInd w:val="0"/>
        <w:spacing w:line="360" w:lineRule="auto"/>
        <w:ind w:firstLine="420" w:firstLineChars="200"/>
        <w:contextualSpacing/>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val="en-US" w:eastAsia="zh-CN" w:bidi="ar"/>
          <w14:textFill>
            <w14:solidFill>
              <w14:schemeClr w14:val="tx1"/>
            </w14:solidFill>
          </w14:textFill>
        </w:rPr>
        <w:t>6</w:t>
      </w:r>
      <w:r>
        <w:rPr>
          <w:rFonts w:hint="eastAsia" w:ascii="宋体" w:hAnsi="宋体" w:cs="宋体"/>
          <w:color w:val="000000" w:themeColor="text1"/>
          <w:szCs w:val="21"/>
          <w:lang w:bidi="ar"/>
          <w14:textFill>
            <w14:solidFill>
              <w14:schemeClr w14:val="tx1"/>
            </w14:solidFill>
          </w14:textFill>
        </w:rPr>
        <w:t>、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adjustRightInd w:val="0"/>
        <w:spacing w:line="360" w:lineRule="auto"/>
        <w:ind w:firstLine="420" w:firstLineChars="200"/>
        <w:contextualSpacing/>
        <w:rPr>
          <w:rFonts w:ascii="宋体" w:hAnsi="宋体" w:cs="宋体"/>
          <w:color w:val="000000" w:themeColor="text1"/>
          <w:szCs w:val="21"/>
          <w:lang w:bidi="ar"/>
          <w14:textFill>
            <w14:solidFill>
              <w14:schemeClr w14:val="tx1"/>
            </w14:solidFill>
          </w14:textFill>
        </w:rPr>
      </w:pPr>
      <w:r>
        <w:rPr>
          <w:rFonts w:hint="eastAsia" w:ascii="宋体" w:hAnsi="宋体" w:cs="宋体"/>
          <w:color w:val="000000" w:themeColor="text1"/>
          <w:szCs w:val="21"/>
          <w:lang w:val="en-US" w:eastAsia="zh-CN" w:bidi="ar"/>
          <w14:textFill>
            <w14:solidFill>
              <w14:schemeClr w14:val="tx1"/>
            </w14:solidFill>
          </w14:textFill>
        </w:rPr>
        <w:t>7</w:t>
      </w:r>
      <w:r>
        <w:rPr>
          <w:rFonts w:hint="eastAsia" w:ascii="宋体" w:hAnsi="宋体" w:cs="宋体"/>
          <w:color w:val="000000" w:themeColor="text1"/>
          <w:szCs w:val="21"/>
          <w:lang w:bidi="ar"/>
          <w14:textFill>
            <w14:solidFill>
              <w14:schemeClr w14:val="tx1"/>
            </w14:solidFill>
          </w14:textFill>
        </w:rPr>
        <w:t>、根据《关于促进残疾人就业政府采购政策的通知》（财库[2017]141号）规定，在政府采购活动中，残疾人福利性单位视同小型、微型企业。残疾人福利性单位参加政府采购活动时，提供《残疾人福利性单位声明函》。</w:t>
      </w:r>
    </w:p>
    <w:p>
      <w:pPr>
        <w:adjustRightInd w:val="0"/>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bidi="ar"/>
          <w14:textFill>
            <w14:solidFill>
              <w14:schemeClr w14:val="tx1"/>
            </w14:solidFill>
          </w14:textFill>
        </w:rPr>
        <w:t>8</w:t>
      </w:r>
      <w:r>
        <w:rPr>
          <w:rFonts w:hint="eastAsia" w:ascii="宋体" w:hAnsi="宋体" w:cs="宋体"/>
          <w:color w:val="000000" w:themeColor="text1"/>
          <w:szCs w:val="21"/>
          <w:lang w:bidi="ar"/>
          <w14:textFill>
            <w14:solidFill>
              <w14:schemeClr w14:val="tx1"/>
            </w14:solidFill>
          </w14:textFill>
        </w:rPr>
        <w:t>、按规定享受扶持政策获得政府采购合同的，小微企业不得将合同分包给大中型企业，中型企业不得将合同分包给大型企业。</w:t>
      </w:r>
    </w:p>
    <w:p>
      <w:pPr>
        <w:pStyle w:val="3"/>
        <w:rPr>
          <w:rFonts w:ascii="宋体" w:hAnsi="宋体" w:cs="宋体"/>
          <w:color w:val="000000" w:themeColor="text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br w:type="page"/>
      </w:r>
      <w:bookmarkStart w:id="52" w:name="_Toc475283882"/>
      <w:r>
        <w:rPr>
          <w:rFonts w:hint="eastAsia" w:ascii="宋体" w:hAnsi="宋体" w:cs="宋体"/>
          <w:color w:val="000000" w:themeColor="text1"/>
          <w14:textFill>
            <w14:solidFill>
              <w14:schemeClr w14:val="tx1"/>
            </w14:solidFill>
          </w14:textFill>
        </w:rPr>
        <w:t>第四章  评标办法及评分标准</w:t>
      </w:r>
      <w:bookmarkEnd w:id="52"/>
    </w:p>
    <w:p>
      <w:pPr>
        <w:spacing w:line="360" w:lineRule="auto"/>
        <w:contextualSpacing/>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一、开标准备</w:t>
      </w:r>
    </w:p>
    <w:p>
      <w:pPr>
        <w:pStyle w:val="28"/>
        <w:snapToGrid/>
        <w:spacing w:line="360" w:lineRule="auto"/>
        <w:ind w:firstLine="417" w:firstLineChars="199"/>
        <w:contextualSpacing/>
        <w:rPr>
          <w:rFonts w:ascii="宋体" w:cs="宋体"/>
          <w:b w:val="0"/>
          <w:bCs w:val="0"/>
          <w:color w:val="000000" w:themeColor="text1"/>
          <w:sz w:val="21"/>
          <w:szCs w:val="21"/>
          <w14:textFill>
            <w14:solidFill>
              <w14:schemeClr w14:val="tx1"/>
            </w14:solidFill>
          </w14:textFill>
        </w:rPr>
      </w:pPr>
      <w:r>
        <w:rPr>
          <w:rFonts w:hint="eastAsia" w:ascii="宋体" w:cs="宋体"/>
          <w:b w:val="0"/>
          <w:bCs w:val="0"/>
          <w:color w:val="000000" w:themeColor="text1"/>
          <w:sz w:val="21"/>
          <w:szCs w:val="21"/>
          <w14:textFill>
            <w14:solidFill>
              <w14:schemeClr w14:val="tx1"/>
            </w14:solidFill>
          </w14:textFill>
        </w:rPr>
        <w:t>采购代理机构将在规定的时间和地点进行</w:t>
      </w:r>
      <w:r>
        <w:rPr>
          <w:rFonts w:hint="eastAsia" w:ascii="宋体" w:cs="宋体"/>
          <w:b w:val="0"/>
          <w:bCs w:val="0"/>
          <w:color w:val="000000" w:themeColor="text1"/>
          <w:sz w:val="21"/>
          <w:szCs w:val="21"/>
          <w:lang w:val="en-US" w:eastAsia="zh-CN"/>
          <w14:textFill>
            <w14:solidFill>
              <w14:schemeClr w14:val="tx1"/>
            </w14:solidFill>
          </w14:textFill>
        </w:rPr>
        <w:t>线上</w:t>
      </w:r>
      <w:r>
        <w:rPr>
          <w:rFonts w:hint="eastAsia" w:ascii="宋体" w:cs="宋体"/>
          <w:b w:val="0"/>
          <w:bCs w:val="0"/>
          <w:color w:val="000000" w:themeColor="text1"/>
          <w:sz w:val="21"/>
          <w:szCs w:val="21"/>
          <w14:textFill>
            <w14:solidFill>
              <w14:schemeClr w14:val="tx1"/>
            </w14:solidFill>
          </w14:textFill>
        </w:rPr>
        <w:t>开标，投标人的法定代表人或其授权代表可参加</w:t>
      </w:r>
      <w:r>
        <w:rPr>
          <w:rFonts w:hint="eastAsia" w:ascii="宋体" w:cs="宋体"/>
          <w:b w:val="0"/>
          <w:bCs w:val="0"/>
          <w:color w:val="000000" w:themeColor="text1"/>
          <w:sz w:val="21"/>
          <w:szCs w:val="21"/>
          <w:lang w:val="en-US" w:eastAsia="zh-CN"/>
          <w14:textFill>
            <w14:solidFill>
              <w14:schemeClr w14:val="tx1"/>
            </w14:solidFill>
          </w14:textFill>
        </w:rPr>
        <w:t>线上</w:t>
      </w:r>
      <w:r>
        <w:rPr>
          <w:rFonts w:hint="eastAsia" w:ascii="宋体" w:cs="宋体"/>
          <w:b w:val="0"/>
          <w:bCs w:val="0"/>
          <w:color w:val="000000" w:themeColor="text1"/>
          <w:sz w:val="21"/>
          <w:szCs w:val="21"/>
          <w14:textFill>
            <w14:solidFill>
              <w14:schemeClr w14:val="tx1"/>
            </w14:solidFill>
          </w14:textFill>
        </w:rPr>
        <w:t>开标会。投标人的法定代表人或其授权代表未参加开标会的，视同放弃开标监督权利、认可开标结果。</w:t>
      </w:r>
    </w:p>
    <w:p>
      <w:pPr>
        <w:spacing w:line="360" w:lineRule="auto"/>
        <w:contextualSpacing/>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二、开标程序：</w:t>
      </w:r>
    </w:p>
    <w:p>
      <w:pPr>
        <w:spacing w:line="360" w:lineRule="auto"/>
        <w:ind w:firstLine="420" w:firstLineChars="200"/>
        <w:contextualSpacing/>
        <w:jc w:val="left"/>
        <w:rPr>
          <w:rFonts w:ascii="宋体" w:hAnsi="宋体" w:cs="宋体"/>
          <w:bCs/>
          <w:color w:val="000000" w:themeColor="text1"/>
          <w:szCs w:val="21"/>
          <w:lang w:bidi="ar"/>
          <w14:textFill>
            <w14:solidFill>
              <w14:schemeClr w14:val="tx1"/>
            </w14:solidFill>
          </w14:textFill>
        </w:rPr>
      </w:pPr>
      <w:r>
        <w:rPr>
          <w:rFonts w:hint="eastAsia" w:ascii="宋体" w:hAnsi="宋体" w:cs="宋体"/>
          <w:bCs/>
          <w:color w:val="000000" w:themeColor="text1"/>
          <w:szCs w:val="21"/>
          <w:lang w:bidi="ar"/>
          <w14:textFill>
            <w14:solidFill>
              <w14:schemeClr w14:val="tx1"/>
            </w14:solidFill>
          </w14:textFill>
        </w:rPr>
        <w:t>1、电子招投标开标程序：</w:t>
      </w:r>
    </w:p>
    <w:p>
      <w:pPr>
        <w:numPr>
          <w:ilvl w:val="0"/>
          <w:numId w:val="0"/>
        </w:numPr>
        <w:spacing w:line="360" w:lineRule="auto"/>
        <w:ind w:firstLine="420" w:firstLineChars="200"/>
        <w:contextualSpacing/>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1</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投标截止时间后，投标人登录政府采购云平台，用“项目采购-开标评标”功能对电子投标文件进行在线解密，在线解密电子投标文件时间为开标时间后30分钟内</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若30分钟解密时间已到，</w:t>
      </w:r>
      <w:r>
        <w:rPr>
          <w:rFonts w:hint="eastAsia" w:ascii="宋体" w:hAnsi="宋体" w:cs="宋体"/>
          <w:color w:val="000000" w:themeColor="text1"/>
          <w:szCs w:val="21"/>
          <w:lang w:val="en-US" w:eastAsia="zh-CN"/>
          <w14:textFill>
            <w14:solidFill>
              <w14:schemeClr w14:val="tx1"/>
            </w14:solidFill>
          </w14:textFill>
        </w:rPr>
        <w:t>投标人</w:t>
      </w:r>
      <w:r>
        <w:rPr>
          <w:rFonts w:hint="eastAsia" w:ascii="宋体" w:hAnsi="宋体" w:cs="宋体"/>
          <w:color w:val="000000" w:themeColor="text1"/>
          <w:szCs w:val="21"/>
          <w14:textFill>
            <w14:solidFill>
              <w14:schemeClr w14:val="tx1"/>
            </w14:solidFill>
          </w14:textFill>
        </w:rPr>
        <w:t>仍未解密或解密失败的，则对该</w:t>
      </w:r>
      <w:r>
        <w:rPr>
          <w:rFonts w:hint="eastAsia" w:ascii="宋体" w:hAnsi="宋体" w:cs="宋体"/>
          <w:color w:val="000000" w:themeColor="text1"/>
          <w:szCs w:val="21"/>
          <w:lang w:val="en-US" w:eastAsia="zh-CN"/>
          <w14:textFill>
            <w14:solidFill>
              <w14:schemeClr w14:val="tx1"/>
            </w14:solidFill>
          </w14:textFill>
        </w:rPr>
        <w:t>投标人</w:t>
      </w:r>
      <w:r>
        <w:rPr>
          <w:rFonts w:hint="eastAsia" w:ascii="宋体" w:hAnsi="宋体" w:cs="宋体"/>
          <w:color w:val="000000" w:themeColor="text1"/>
          <w:szCs w:val="21"/>
          <w14:textFill>
            <w14:solidFill>
              <w14:schemeClr w14:val="tx1"/>
            </w14:solidFill>
          </w14:textFill>
        </w:rPr>
        <w:t>作无效标处理。</w:t>
      </w:r>
    </w:p>
    <w:p>
      <w:pPr>
        <w:numPr>
          <w:ilvl w:val="0"/>
          <w:numId w:val="0"/>
        </w:numPr>
        <w:spacing w:line="360" w:lineRule="auto"/>
        <w:ind w:firstLine="420" w:firstLineChars="200"/>
        <w:contextualSpacing/>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2</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在政府采购云平台开启已解密投标人的“</w:t>
      </w:r>
      <w:r>
        <w:rPr>
          <w:rFonts w:hint="eastAsia" w:ascii="宋体" w:hAnsi="宋体" w:cs="宋体"/>
          <w:color w:val="000000" w:themeColor="text1"/>
          <w14:textFill>
            <w14:solidFill>
              <w14:schemeClr w14:val="tx1"/>
            </w14:solidFill>
          </w14:textFill>
        </w:rPr>
        <w:t>资格证明文件、</w:t>
      </w:r>
      <w:r>
        <w:rPr>
          <w:rFonts w:hint="eastAsia" w:ascii="宋体" w:hAnsi="宋体" w:cs="宋体"/>
          <w:color w:val="000000" w:themeColor="text1"/>
          <w:szCs w:val="21"/>
          <w14:textFill>
            <w14:solidFill>
              <w14:schemeClr w14:val="tx1"/>
            </w14:solidFill>
          </w14:textFill>
        </w:rPr>
        <w:t>技术商务文件</w:t>
      </w:r>
      <w:r>
        <w:rPr>
          <w:rFonts w:hint="eastAsia" w:ascii="宋体" w:hAnsi="宋体" w:cs="宋体"/>
          <w:color w:val="000000" w:themeColor="text1"/>
          <w:szCs w:val="21"/>
          <w:lang w:eastAsia="zh-CN"/>
          <w14:textFill>
            <w14:solidFill>
              <w14:schemeClr w14:val="tx1"/>
            </w14:solidFill>
          </w14:textFill>
        </w:rPr>
        <w:t>”；</w:t>
      </w:r>
    </w:p>
    <w:p>
      <w:pPr>
        <w:spacing w:line="360" w:lineRule="auto"/>
        <w:ind w:firstLine="420" w:firstLineChars="200"/>
        <w:contextualSpacing/>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（3）公布各投标人的技术商务得分，后开启报价文件，并做开标记录；</w:t>
      </w:r>
    </w:p>
    <w:p>
      <w:pPr>
        <w:spacing w:line="360" w:lineRule="auto"/>
        <w:ind w:firstLine="420" w:firstLineChars="200"/>
        <w:contextualSpacing/>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4</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在</w:t>
      </w:r>
      <w:r>
        <w:rPr>
          <w:rFonts w:hint="eastAsia" w:ascii="宋体" w:hAnsi="宋体" w:cs="宋体"/>
          <w:color w:val="000000" w:themeColor="text1"/>
          <w:kern w:val="0"/>
          <w:szCs w:val="21"/>
          <w14:textFill>
            <w14:solidFill>
              <w14:schemeClr w14:val="tx1"/>
            </w14:solidFill>
          </w14:textFill>
        </w:rPr>
        <w:t>政府采购云平台</w:t>
      </w:r>
      <w:r>
        <w:rPr>
          <w:rFonts w:hint="eastAsia" w:ascii="宋体" w:hAnsi="宋体" w:cs="宋体"/>
          <w:color w:val="000000" w:themeColor="text1"/>
          <w:szCs w:val="21"/>
          <w14:textFill>
            <w14:solidFill>
              <w14:schemeClr w14:val="tx1"/>
            </w14:solidFill>
          </w14:textFill>
        </w:rPr>
        <w:t>公布评审结果。</w:t>
      </w:r>
    </w:p>
    <w:p>
      <w:pPr>
        <w:spacing w:line="360" w:lineRule="auto"/>
        <w:ind w:firstLine="420" w:firstLineChars="200"/>
        <w:contextualSpacing/>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）开标会议结束。</w:t>
      </w:r>
    </w:p>
    <w:p>
      <w:pPr>
        <w:spacing w:line="360" w:lineRule="auto"/>
        <w:ind w:firstLine="420" w:firstLineChars="200"/>
        <w:contextualSpacing/>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2、特别说明：</w:t>
      </w:r>
      <w:r>
        <w:rPr>
          <w:rFonts w:hint="eastAsia" w:ascii="宋体" w:hAnsi="宋体" w:cs="宋体"/>
          <w:color w:val="000000" w:themeColor="text1"/>
          <w:kern w:val="0"/>
          <w:szCs w:val="21"/>
          <w14:textFill>
            <w14:solidFill>
              <w14:schemeClr w14:val="tx1"/>
            </w14:solidFill>
          </w14:textFill>
        </w:rPr>
        <w:t>政府采购云平台</w:t>
      </w:r>
      <w:r>
        <w:rPr>
          <w:rFonts w:hint="eastAsia" w:ascii="宋体" w:hAnsi="宋体" w:cs="宋体"/>
          <w:color w:val="000000" w:themeColor="text1"/>
          <w:szCs w:val="21"/>
          <w14:textFill>
            <w14:solidFill>
              <w14:schemeClr w14:val="tx1"/>
            </w14:solidFill>
          </w14:textFill>
        </w:rPr>
        <w:t>如对电子化开标及评审程序有调整的，按调整后的程序操作。</w:t>
      </w:r>
    </w:p>
    <w:p>
      <w:pPr>
        <w:spacing w:line="360" w:lineRule="auto"/>
        <w:ind w:firstLine="420" w:firstLineChars="200"/>
        <w:contextualSpacing/>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本项目原则上采用政采云</w:t>
      </w:r>
      <w:r>
        <w:rPr>
          <w:rFonts w:hint="eastAsia" w:ascii="宋体" w:hAnsi="宋体" w:cs="宋体"/>
          <w:bCs/>
          <w:color w:val="000000" w:themeColor="text1"/>
          <w:szCs w:val="21"/>
          <w:lang w:bidi="ar"/>
          <w14:textFill>
            <w14:solidFill>
              <w14:schemeClr w14:val="tx1"/>
            </w14:solidFill>
          </w14:textFill>
        </w:rPr>
        <w:t>电子招投标开标程序</w:t>
      </w:r>
      <w:r>
        <w:rPr>
          <w:rFonts w:hint="eastAsia" w:ascii="宋体" w:hAnsi="宋体" w:cs="宋体"/>
          <w:color w:val="000000" w:themeColor="text1"/>
          <w:szCs w:val="21"/>
          <w14:textFill>
            <w14:solidFill>
              <w14:schemeClr w14:val="tx1"/>
            </w14:solidFill>
          </w14:textFill>
        </w:rPr>
        <w:t>，但有下情形之一的，按以下情况处理：</w:t>
      </w:r>
    </w:p>
    <w:p>
      <w:pPr>
        <w:spacing w:line="360" w:lineRule="auto"/>
        <w:ind w:firstLine="420" w:firstLineChars="200"/>
        <w:contextualSpacing/>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（1）采购过程中出现以下情形，导致电子交易平台无法正常运行，或者无法保证电子交易的公平、公正和安全时，采购人（或代理机构）可中止电子交易活动：</w:t>
      </w:r>
    </w:p>
    <w:p>
      <w:pPr>
        <w:spacing w:line="360" w:lineRule="auto"/>
        <w:ind w:firstLine="630" w:firstLineChars="300"/>
        <w:contextualSpacing/>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1.1电子交易平台发生故障而无法登录访问的；</w:t>
      </w:r>
    </w:p>
    <w:p>
      <w:pPr>
        <w:spacing w:line="360" w:lineRule="auto"/>
        <w:ind w:firstLine="630" w:firstLineChars="300"/>
        <w:contextualSpacing/>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1.2电子交易平台应用或数据库出现错误，不能进行正常操作的；</w:t>
      </w:r>
    </w:p>
    <w:p>
      <w:pPr>
        <w:spacing w:line="360" w:lineRule="auto"/>
        <w:ind w:firstLine="630" w:firstLineChars="300"/>
        <w:contextualSpacing/>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1.3电子交易平台发现严重安全漏洞，有潜在泄密危险的；</w:t>
      </w:r>
    </w:p>
    <w:p>
      <w:pPr>
        <w:spacing w:line="360" w:lineRule="auto"/>
        <w:ind w:firstLine="630" w:firstLineChars="300"/>
        <w:contextualSpacing/>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1.4病毒发作导致不能进行正常操作的；</w:t>
      </w:r>
    </w:p>
    <w:p>
      <w:pPr>
        <w:spacing w:line="360" w:lineRule="auto"/>
        <w:ind w:firstLine="630" w:firstLineChars="300"/>
        <w:contextualSpacing/>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1.5其他无法保证电子交易的公平、公正和安全的情况。</w:t>
      </w:r>
    </w:p>
    <w:p>
      <w:pPr>
        <w:spacing w:line="360" w:lineRule="auto"/>
        <w:ind w:firstLine="630" w:firstLineChars="300"/>
        <w:contextualSpacing/>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出现前款规定情形，不影响采购公平、公正性的，采购人（或代理机构）可以待上述情形消除后继续组织电子交易活动。</w:t>
      </w:r>
    </w:p>
    <w:p>
      <w:pPr>
        <w:spacing w:line="360" w:lineRule="auto"/>
        <w:contextualSpacing/>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三、评标委员会</w:t>
      </w:r>
    </w:p>
    <w:p>
      <w:pPr>
        <w:pStyle w:val="28"/>
        <w:snapToGrid/>
        <w:spacing w:line="360" w:lineRule="auto"/>
        <w:ind w:firstLine="417" w:firstLineChars="199"/>
        <w:contextualSpacing/>
        <w:rPr>
          <w:rFonts w:ascii="宋体" w:cs="宋体"/>
          <w:b w:val="0"/>
          <w:bCs w:val="0"/>
          <w:color w:val="000000" w:themeColor="text1"/>
          <w:sz w:val="21"/>
          <w:szCs w:val="21"/>
          <w14:textFill>
            <w14:solidFill>
              <w14:schemeClr w14:val="tx1"/>
            </w14:solidFill>
          </w14:textFill>
        </w:rPr>
      </w:pPr>
      <w:r>
        <w:rPr>
          <w:rFonts w:hint="eastAsia" w:ascii="宋体" w:cs="宋体"/>
          <w:b w:val="0"/>
          <w:bCs w:val="0"/>
          <w:color w:val="000000" w:themeColor="text1"/>
          <w:sz w:val="21"/>
          <w:szCs w:val="21"/>
          <w14:textFill>
            <w14:solidFill>
              <w14:schemeClr w14:val="tx1"/>
            </w14:solidFill>
          </w14:textFill>
        </w:rPr>
        <w:t>（一）本次招标依法组建评标委员会。</w:t>
      </w:r>
    </w:p>
    <w:p>
      <w:pPr>
        <w:pStyle w:val="28"/>
        <w:snapToGrid/>
        <w:spacing w:line="360" w:lineRule="auto"/>
        <w:ind w:firstLine="417" w:firstLineChars="199"/>
        <w:contextualSpacing/>
        <w:rPr>
          <w:rFonts w:ascii="宋体" w:cs="宋体"/>
          <w:b w:val="0"/>
          <w:bCs w:val="0"/>
          <w:color w:val="000000" w:themeColor="text1"/>
          <w:sz w:val="21"/>
          <w:szCs w:val="21"/>
          <w14:textFill>
            <w14:solidFill>
              <w14:schemeClr w14:val="tx1"/>
            </w14:solidFill>
          </w14:textFill>
        </w:rPr>
      </w:pPr>
      <w:r>
        <w:rPr>
          <w:rFonts w:hint="eastAsia" w:ascii="宋体" w:cs="宋体"/>
          <w:b w:val="0"/>
          <w:bCs w:val="0"/>
          <w:color w:val="000000" w:themeColor="text1"/>
          <w:sz w:val="21"/>
          <w:szCs w:val="21"/>
          <w14:textFill>
            <w14:solidFill>
              <w14:schemeClr w14:val="tx1"/>
            </w14:solidFill>
          </w14:textFill>
        </w:rPr>
        <w:t>（二）评标原则。评标委员会必须遵循公平、公正、客观、科学的原则和规定的程序进行评标；评标的依据为招标文件和投标文件；评审人员应独立评标，不得带有任何倾向性和启发性影响他人评审；任何单位和个人不得干扰、影响评标的正常进行；评标委员会及有关工作人员不得私下与投标人接触，不得向外界透露任何与评标有关的内容。</w:t>
      </w:r>
    </w:p>
    <w:p>
      <w:pPr>
        <w:pStyle w:val="28"/>
        <w:snapToGrid/>
        <w:spacing w:line="360" w:lineRule="auto"/>
        <w:ind w:firstLine="417" w:firstLineChars="199"/>
        <w:contextualSpacing/>
        <w:rPr>
          <w:rFonts w:ascii="宋体" w:cs="宋体"/>
          <w:b w:val="0"/>
          <w:bCs w:val="0"/>
          <w:color w:val="000000" w:themeColor="text1"/>
          <w:sz w:val="21"/>
          <w:szCs w:val="21"/>
          <w14:textFill>
            <w14:solidFill>
              <w14:schemeClr w14:val="tx1"/>
            </w14:solidFill>
          </w14:textFill>
        </w:rPr>
      </w:pPr>
      <w:r>
        <w:rPr>
          <w:rFonts w:hint="eastAsia" w:ascii="宋体" w:cs="宋体"/>
          <w:b w:val="0"/>
          <w:bCs w:val="0"/>
          <w:color w:val="000000" w:themeColor="text1"/>
          <w:sz w:val="21"/>
          <w:szCs w:val="21"/>
          <w14:textFill>
            <w14:solidFill>
              <w14:schemeClr w14:val="tx1"/>
            </w14:solidFill>
          </w14:textFill>
        </w:rPr>
        <w:t>（三）评审专家有下列情形之一的，受到邀请应主动提出回避，采购当事人也可以要求该评审专家回避：</w:t>
      </w:r>
    </w:p>
    <w:p>
      <w:pPr>
        <w:pStyle w:val="28"/>
        <w:snapToGrid/>
        <w:spacing w:line="360" w:lineRule="auto"/>
        <w:ind w:firstLine="417" w:firstLineChars="199"/>
        <w:contextualSpacing/>
        <w:rPr>
          <w:rFonts w:hint="eastAsia" w:ascii="宋体" w:cs="宋体"/>
          <w:b w:val="0"/>
          <w:bCs w:val="0"/>
          <w:color w:val="000000" w:themeColor="text1"/>
          <w:sz w:val="21"/>
          <w:szCs w:val="21"/>
          <w14:textFill>
            <w14:solidFill>
              <w14:schemeClr w14:val="tx1"/>
            </w14:solidFill>
          </w14:textFill>
        </w:rPr>
      </w:pPr>
      <w:r>
        <w:rPr>
          <w:rFonts w:hint="eastAsia" w:ascii="宋体" w:cs="宋体"/>
          <w:b w:val="0"/>
          <w:bCs w:val="0"/>
          <w:color w:val="000000" w:themeColor="text1"/>
          <w:sz w:val="21"/>
          <w:szCs w:val="21"/>
          <w14:textFill>
            <w14:solidFill>
              <w14:schemeClr w14:val="tx1"/>
            </w14:solidFill>
          </w14:textFill>
        </w:rPr>
        <w:t>1</w:t>
      </w:r>
      <w:r>
        <w:rPr>
          <w:rFonts w:hint="eastAsia" w:ascii="宋体" w:cs="宋体"/>
          <w:b w:val="0"/>
          <w:bCs w:val="0"/>
          <w:color w:val="000000" w:themeColor="text1"/>
          <w:sz w:val="21"/>
          <w:szCs w:val="21"/>
          <w:lang w:eastAsia="zh-CN"/>
          <w14:textFill>
            <w14:solidFill>
              <w14:schemeClr w14:val="tx1"/>
            </w14:solidFill>
          </w14:textFill>
        </w:rPr>
        <w:t>、</w:t>
      </w:r>
      <w:r>
        <w:rPr>
          <w:rFonts w:hint="eastAsia" w:ascii="宋体" w:cs="宋体"/>
          <w:b w:val="0"/>
          <w:bCs w:val="0"/>
          <w:color w:val="000000" w:themeColor="text1"/>
          <w:sz w:val="21"/>
          <w:szCs w:val="21"/>
          <w14:textFill>
            <w14:solidFill>
              <w14:schemeClr w14:val="tx1"/>
            </w14:solidFill>
          </w14:textFill>
        </w:rPr>
        <w:t>参加采购活动前三年内,与</w:t>
      </w:r>
      <w:r>
        <w:rPr>
          <w:rFonts w:hint="eastAsia" w:ascii="宋体" w:cs="宋体"/>
          <w:b w:val="0"/>
          <w:bCs w:val="0"/>
          <w:color w:val="000000" w:themeColor="text1"/>
          <w:sz w:val="21"/>
          <w:szCs w:val="21"/>
          <w:lang w:eastAsia="zh-CN"/>
          <w14:textFill>
            <w14:solidFill>
              <w14:schemeClr w14:val="tx1"/>
            </w14:solidFill>
          </w14:textFill>
        </w:rPr>
        <w:t>投标人</w:t>
      </w:r>
      <w:r>
        <w:rPr>
          <w:rFonts w:hint="eastAsia" w:ascii="宋体" w:cs="宋体"/>
          <w:b w:val="0"/>
          <w:bCs w:val="0"/>
          <w:color w:val="000000" w:themeColor="text1"/>
          <w:sz w:val="21"/>
          <w:szCs w:val="21"/>
          <w14:textFill>
            <w14:solidFill>
              <w14:schemeClr w14:val="tx1"/>
            </w14:solidFill>
          </w14:textFill>
        </w:rPr>
        <w:t>存在劳动关系,或者担任过</w:t>
      </w:r>
      <w:r>
        <w:rPr>
          <w:rFonts w:hint="eastAsia" w:ascii="宋体" w:cs="宋体"/>
          <w:b w:val="0"/>
          <w:bCs w:val="0"/>
          <w:color w:val="000000" w:themeColor="text1"/>
          <w:sz w:val="21"/>
          <w:szCs w:val="21"/>
          <w:lang w:eastAsia="zh-CN"/>
          <w14:textFill>
            <w14:solidFill>
              <w14:schemeClr w14:val="tx1"/>
            </w14:solidFill>
          </w14:textFill>
        </w:rPr>
        <w:t>投标人</w:t>
      </w:r>
      <w:r>
        <w:rPr>
          <w:rFonts w:hint="eastAsia" w:ascii="宋体" w:cs="宋体"/>
          <w:b w:val="0"/>
          <w:bCs w:val="0"/>
          <w:color w:val="000000" w:themeColor="text1"/>
          <w:sz w:val="21"/>
          <w:szCs w:val="21"/>
          <w14:textFill>
            <w14:solidFill>
              <w14:schemeClr w14:val="tx1"/>
            </w14:solidFill>
          </w14:textFill>
        </w:rPr>
        <w:t>的董事、监事,或者是</w:t>
      </w:r>
      <w:r>
        <w:rPr>
          <w:rFonts w:hint="eastAsia" w:ascii="宋体" w:cs="宋体"/>
          <w:b w:val="0"/>
          <w:bCs w:val="0"/>
          <w:color w:val="000000" w:themeColor="text1"/>
          <w:sz w:val="21"/>
          <w:szCs w:val="21"/>
          <w:lang w:eastAsia="zh-CN"/>
          <w14:textFill>
            <w14:solidFill>
              <w14:schemeClr w14:val="tx1"/>
            </w14:solidFill>
          </w14:textFill>
        </w:rPr>
        <w:t>投标人</w:t>
      </w:r>
      <w:r>
        <w:rPr>
          <w:rFonts w:hint="eastAsia" w:ascii="宋体" w:cs="宋体"/>
          <w:b w:val="0"/>
          <w:bCs w:val="0"/>
          <w:color w:val="000000" w:themeColor="text1"/>
          <w:sz w:val="21"/>
          <w:szCs w:val="21"/>
          <w14:textFill>
            <w14:solidFill>
              <w14:schemeClr w14:val="tx1"/>
            </w14:solidFill>
          </w14:textFill>
        </w:rPr>
        <w:t>的控股股东或实际控制人；</w:t>
      </w:r>
    </w:p>
    <w:p>
      <w:pPr>
        <w:pStyle w:val="28"/>
        <w:snapToGrid/>
        <w:spacing w:line="360" w:lineRule="auto"/>
        <w:ind w:firstLine="417" w:firstLineChars="199"/>
        <w:contextualSpacing/>
        <w:rPr>
          <w:rFonts w:hint="eastAsia" w:ascii="宋体" w:cs="宋体"/>
          <w:b w:val="0"/>
          <w:bCs w:val="0"/>
          <w:color w:val="000000" w:themeColor="text1"/>
          <w:sz w:val="21"/>
          <w:szCs w:val="21"/>
          <w14:textFill>
            <w14:solidFill>
              <w14:schemeClr w14:val="tx1"/>
            </w14:solidFill>
          </w14:textFill>
        </w:rPr>
      </w:pPr>
      <w:r>
        <w:rPr>
          <w:rFonts w:hint="eastAsia" w:ascii="宋体" w:cs="宋体"/>
          <w:b w:val="0"/>
          <w:bCs w:val="0"/>
          <w:color w:val="000000" w:themeColor="text1"/>
          <w:sz w:val="21"/>
          <w:szCs w:val="21"/>
          <w14:textFill>
            <w14:solidFill>
              <w14:schemeClr w14:val="tx1"/>
            </w14:solidFill>
          </w14:textFill>
        </w:rPr>
        <w:t>2</w:t>
      </w:r>
      <w:r>
        <w:rPr>
          <w:rFonts w:hint="eastAsia" w:ascii="宋体" w:cs="宋体"/>
          <w:b w:val="0"/>
          <w:bCs w:val="0"/>
          <w:color w:val="000000" w:themeColor="text1"/>
          <w:sz w:val="21"/>
          <w:szCs w:val="21"/>
          <w:lang w:eastAsia="zh-CN"/>
          <w14:textFill>
            <w14:solidFill>
              <w14:schemeClr w14:val="tx1"/>
            </w14:solidFill>
          </w14:textFill>
        </w:rPr>
        <w:t>、</w:t>
      </w:r>
      <w:r>
        <w:rPr>
          <w:rFonts w:hint="eastAsia" w:ascii="宋体" w:cs="宋体"/>
          <w:b w:val="0"/>
          <w:bCs w:val="0"/>
          <w:color w:val="000000" w:themeColor="text1"/>
          <w:sz w:val="21"/>
          <w:szCs w:val="21"/>
          <w14:textFill>
            <w14:solidFill>
              <w14:schemeClr w14:val="tx1"/>
            </w14:solidFill>
          </w14:textFill>
        </w:rPr>
        <w:t>与</w:t>
      </w:r>
      <w:r>
        <w:rPr>
          <w:rFonts w:hint="eastAsia" w:ascii="宋体" w:cs="宋体"/>
          <w:b w:val="0"/>
          <w:bCs w:val="0"/>
          <w:color w:val="000000" w:themeColor="text1"/>
          <w:sz w:val="21"/>
          <w:szCs w:val="21"/>
          <w:lang w:eastAsia="zh-CN"/>
          <w14:textFill>
            <w14:solidFill>
              <w14:schemeClr w14:val="tx1"/>
            </w14:solidFill>
          </w14:textFill>
        </w:rPr>
        <w:t>投标人</w:t>
      </w:r>
      <w:r>
        <w:rPr>
          <w:rFonts w:hint="eastAsia" w:ascii="宋体" w:cs="宋体"/>
          <w:b w:val="0"/>
          <w:bCs w:val="0"/>
          <w:color w:val="000000" w:themeColor="text1"/>
          <w:sz w:val="21"/>
          <w:szCs w:val="21"/>
          <w14:textFill>
            <w14:solidFill>
              <w14:schemeClr w14:val="tx1"/>
            </w14:solidFill>
          </w14:textFill>
        </w:rPr>
        <w:t>的法定代表人或者负责人有夫妻、直系血亲、三代以内旁系血亲或者近姻亲关系；</w:t>
      </w:r>
    </w:p>
    <w:p>
      <w:pPr>
        <w:pStyle w:val="28"/>
        <w:snapToGrid/>
        <w:spacing w:line="360" w:lineRule="auto"/>
        <w:ind w:firstLine="417" w:firstLineChars="199"/>
        <w:contextualSpacing/>
        <w:rPr>
          <w:rFonts w:hint="eastAsia" w:ascii="宋体" w:cs="宋体"/>
          <w:b w:val="0"/>
          <w:bCs w:val="0"/>
          <w:color w:val="000000" w:themeColor="text1"/>
          <w:sz w:val="21"/>
          <w:szCs w:val="21"/>
          <w14:textFill>
            <w14:solidFill>
              <w14:schemeClr w14:val="tx1"/>
            </w14:solidFill>
          </w14:textFill>
        </w:rPr>
      </w:pPr>
      <w:r>
        <w:rPr>
          <w:rFonts w:hint="eastAsia" w:ascii="宋体" w:cs="宋体"/>
          <w:b w:val="0"/>
          <w:bCs w:val="0"/>
          <w:color w:val="000000" w:themeColor="text1"/>
          <w:sz w:val="21"/>
          <w:szCs w:val="21"/>
          <w14:textFill>
            <w14:solidFill>
              <w14:schemeClr w14:val="tx1"/>
            </w14:solidFill>
          </w14:textFill>
        </w:rPr>
        <w:t>3</w:t>
      </w:r>
      <w:r>
        <w:rPr>
          <w:rFonts w:hint="eastAsia" w:ascii="宋体" w:cs="宋体"/>
          <w:b w:val="0"/>
          <w:bCs w:val="0"/>
          <w:color w:val="000000" w:themeColor="text1"/>
          <w:sz w:val="21"/>
          <w:szCs w:val="21"/>
          <w:lang w:eastAsia="zh-CN"/>
          <w14:textFill>
            <w14:solidFill>
              <w14:schemeClr w14:val="tx1"/>
            </w14:solidFill>
          </w14:textFill>
        </w:rPr>
        <w:t>、</w:t>
      </w:r>
      <w:r>
        <w:rPr>
          <w:rFonts w:hint="eastAsia" w:ascii="宋体" w:cs="宋体"/>
          <w:b w:val="0"/>
          <w:bCs w:val="0"/>
          <w:color w:val="000000" w:themeColor="text1"/>
          <w:sz w:val="21"/>
          <w:szCs w:val="21"/>
          <w14:textFill>
            <w14:solidFill>
              <w14:schemeClr w14:val="tx1"/>
            </w14:solidFill>
          </w14:textFill>
        </w:rPr>
        <w:t>与</w:t>
      </w:r>
      <w:r>
        <w:rPr>
          <w:rFonts w:hint="eastAsia" w:ascii="宋体" w:cs="宋体"/>
          <w:b w:val="0"/>
          <w:bCs w:val="0"/>
          <w:color w:val="000000" w:themeColor="text1"/>
          <w:sz w:val="21"/>
          <w:szCs w:val="21"/>
          <w:lang w:eastAsia="zh-CN"/>
          <w14:textFill>
            <w14:solidFill>
              <w14:schemeClr w14:val="tx1"/>
            </w14:solidFill>
          </w14:textFill>
        </w:rPr>
        <w:t>投标人</w:t>
      </w:r>
      <w:r>
        <w:rPr>
          <w:rFonts w:hint="eastAsia" w:ascii="宋体" w:cs="宋体"/>
          <w:b w:val="0"/>
          <w:bCs w:val="0"/>
          <w:color w:val="000000" w:themeColor="text1"/>
          <w:sz w:val="21"/>
          <w:szCs w:val="21"/>
          <w14:textFill>
            <w14:solidFill>
              <w14:schemeClr w14:val="tx1"/>
            </w14:solidFill>
          </w14:textFill>
        </w:rPr>
        <w:t>有其他可能影响政府采购活动公平、公正进行的关系；</w:t>
      </w:r>
    </w:p>
    <w:p>
      <w:pPr>
        <w:pStyle w:val="28"/>
        <w:snapToGrid/>
        <w:spacing w:line="360" w:lineRule="auto"/>
        <w:ind w:firstLine="417" w:firstLineChars="199"/>
        <w:contextualSpacing/>
        <w:rPr>
          <w:rFonts w:hint="eastAsia" w:ascii="宋体" w:cs="宋体"/>
          <w:b w:val="0"/>
          <w:bCs w:val="0"/>
          <w:color w:val="000000" w:themeColor="text1"/>
          <w:sz w:val="21"/>
          <w:szCs w:val="21"/>
          <w14:textFill>
            <w14:solidFill>
              <w14:schemeClr w14:val="tx1"/>
            </w14:solidFill>
          </w14:textFill>
        </w:rPr>
      </w:pPr>
      <w:r>
        <w:rPr>
          <w:rFonts w:hint="eastAsia" w:ascii="宋体" w:cs="宋体"/>
          <w:b w:val="0"/>
          <w:bCs w:val="0"/>
          <w:color w:val="000000" w:themeColor="text1"/>
          <w:sz w:val="21"/>
          <w:szCs w:val="21"/>
          <w14:textFill>
            <w14:solidFill>
              <w14:schemeClr w14:val="tx1"/>
            </w14:solidFill>
          </w14:textFill>
        </w:rPr>
        <w:t>4</w:t>
      </w:r>
      <w:r>
        <w:rPr>
          <w:rFonts w:hint="eastAsia" w:ascii="宋体" w:cs="宋体"/>
          <w:b w:val="0"/>
          <w:bCs w:val="0"/>
          <w:color w:val="000000" w:themeColor="text1"/>
          <w:sz w:val="21"/>
          <w:szCs w:val="21"/>
          <w:lang w:eastAsia="zh-CN"/>
          <w14:textFill>
            <w14:solidFill>
              <w14:schemeClr w14:val="tx1"/>
            </w14:solidFill>
          </w14:textFill>
        </w:rPr>
        <w:t>、</w:t>
      </w:r>
      <w:r>
        <w:rPr>
          <w:rFonts w:hint="eastAsia" w:ascii="宋体" w:cs="宋体"/>
          <w:b w:val="0"/>
          <w:bCs w:val="0"/>
          <w:color w:val="000000" w:themeColor="text1"/>
          <w:sz w:val="21"/>
          <w:szCs w:val="21"/>
          <w14:textFill>
            <w14:solidFill>
              <w14:schemeClr w14:val="tx1"/>
            </w14:solidFill>
          </w14:textFill>
        </w:rPr>
        <w:t>参与过采购项目进口产品论证的；</w:t>
      </w:r>
    </w:p>
    <w:p>
      <w:pPr>
        <w:pStyle w:val="28"/>
        <w:snapToGrid/>
        <w:spacing w:line="360" w:lineRule="auto"/>
        <w:ind w:firstLine="417" w:firstLineChars="199"/>
        <w:contextualSpacing/>
        <w:rPr>
          <w:rFonts w:hint="eastAsia" w:ascii="宋体" w:cs="宋体"/>
          <w:b w:val="0"/>
          <w:bCs w:val="0"/>
          <w:color w:val="000000" w:themeColor="text1"/>
          <w:sz w:val="21"/>
          <w:szCs w:val="21"/>
          <w14:textFill>
            <w14:solidFill>
              <w14:schemeClr w14:val="tx1"/>
            </w14:solidFill>
          </w14:textFill>
        </w:rPr>
      </w:pPr>
      <w:r>
        <w:rPr>
          <w:rFonts w:hint="eastAsia" w:ascii="宋体" w:cs="宋体"/>
          <w:b w:val="0"/>
          <w:bCs w:val="0"/>
          <w:color w:val="000000" w:themeColor="text1"/>
          <w:sz w:val="21"/>
          <w:szCs w:val="21"/>
          <w14:textFill>
            <w14:solidFill>
              <w14:schemeClr w14:val="tx1"/>
            </w14:solidFill>
          </w14:textFill>
        </w:rPr>
        <w:t>5</w:t>
      </w:r>
      <w:r>
        <w:rPr>
          <w:rFonts w:hint="eastAsia" w:ascii="宋体" w:cs="宋体"/>
          <w:b w:val="0"/>
          <w:bCs w:val="0"/>
          <w:color w:val="000000" w:themeColor="text1"/>
          <w:sz w:val="21"/>
          <w:szCs w:val="21"/>
          <w:lang w:eastAsia="zh-CN"/>
          <w14:textFill>
            <w14:solidFill>
              <w14:schemeClr w14:val="tx1"/>
            </w14:solidFill>
          </w14:textFill>
        </w:rPr>
        <w:t>、</w:t>
      </w:r>
      <w:r>
        <w:rPr>
          <w:rFonts w:hint="eastAsia" w:ascii="宋体" w:cs="宋体"/>
          <w:b w:val="0"/>
          <w:bCs w:val="0"/>
          <w:color w:val="000000" w:themeColor="text1"/>
          <w:sz w:val="21"/>
          <w:szCs w:val="21"/>
          <w14:textFill>
            <w14:solidFill>
              <w14:schemeClr w14:val="tx1"/>
            </w14:solidFill>
          </w14:textFill>
        </w:rPr>
        <w:t>通过随机抽到采购人的评审专家，采购人已经指定了采购人代表，该评审专家应当回避，采购人自行选定相应专业领域评审专家情形除外。</w:t>
      </w:r>
    </w:p>
    <w:p>
      <w:pPr>
        <w:pStyle w:val="28"/>
        <w:snapToGrid/>
        <w:spacing w:line="360" w:lineRule="auto"/>
        <w:ind w:firstLine="417" w:firstLineChars="199"/>
        <w:contextualSpacing/>
        <w:rPr>
          <w:rFonts w:ascii="宋体" w:cs="宋体"/>
          <w:b w:val="0"/>
          <w:bCs w:val="0"/>
          <w:color w:val="000000" w:themeColor="text1"/>
          <w:sz w:val="21"/>
          <w:szCs w:val="21"/>
          <w14:textFill>
            <w14:solidFill>
              <w14:schemeClr w14:val="tx1"/>
            </w14:solidFill>
          </w14:textFill>
        </w:rPr>
      </w:pPr>
      <w:r>
        <w:rPr>
          <w:rFonts w:hint="eastAsia" w:ascii="宋体" w:cs="宋体"/>
          <w:b w:val="0"/>
          <w:bCs w:val="0"/>
          <w:color w:val="000000" w:themeColor="text1"/>
          <w:sz w:val="21"/>
          <w:szCs w:val="21"/>
          <w14:textFill>
            <w14:solidFill>
              <w14:schemeClr w14:val="tx1"/>
            </w14:solidFill>
          </w14:textFill>
        </w:rPr>
        <w:t>（四）评标委员会判断投标文件的有效性、合格性和响应情况，仅依据投标人所递交一切文件的真实表述，不受与本项目无直接关联的外部信息、传言而影响自身的专业判断。</w:t>
      </w:r>
    </w:p>
    <w:p>
      <w:pPr>
        <w:pStyle w:val="28"/>
        <w:snapToGrid/>
        <w:spacing w:line="360" w:lineRule="auto"/>
        <w:ind w:firstLine="417" w:firstLineChars="199"/>
        <w:contextualSpacing/>
        <w:rPr>
          <w:rFonts w:ascii="宋体" w:cs="宋体"/>
          <w:b w:val="0"/>
          <w:bCs w:val="0"/>
          <w:color w:val="000000" w:themeColor="text1"/>
          <w:sz w:val="21"/>
          <w:szCs w:val="21"/>
          <w14:textFill>
            <w14:solidFill>
              <w14:schemeClr w14:val="tx1"/>
            </w14:solidFill>
          </w14:textFill>
        </w:rPr>
      </w:pPr>
      <w:r>
        <w:rPr>
          <w:rFonts w:hint="eastAsia" w:ascii="宋体" w:cs="宋体"/>
          <w:b w:val="0"/>
          <w:bCs w:val="0"/>
          <w:color w:val="000000" w:themeColor="text1"/>
          <w:sz w:val="21"/>
          <w:szCs w:val="21"/>
          <w14:textFill>
            <w14:solidFill>
              <w14:schemeClr w14:val="tx1"/>
            </w14:solidFill>
          </w14:textFill>
        </w:rPr>
        <w:t>（五）评委依法独立评审，并对评审意见承担个人责任。对明显畸高、畸低的评分（评审小组成员个人主观总评分偏离所有评审小组成员主观总评分平均值30%以上），评标委员会主任委员提醒相关评审人员进行复核或书面说明理由。评委对需要共同认定的事项存在争议的，按照少数服从多数的原则做出结论。持不同意见的评委应当在评审报告上签署不同意见并说明理由，否则视为同意。</w:t>
      </w:r>
    </w:p>
    <w:p>
      <w:pPr>
        <w:spacing w:line="360" w:lineRule="auto"/>
        <w:contextualSpacing/>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四、评标方法</w:t>
      </w:r>
    </w:p>
    <w:p>
      <w:pPr>
        <w:spacing w:line="360" w:lineRule="auto"/>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（一）本次采购项目的评标方法为：综合评分法。</w:t>
      </w:r>
    </w:p>
    <w:p>
      <w:pPr>
        <w:pStyle w:val="28"/>
        <w:snapToGrid/>
        <w:spacing w:line="360" w:lineRule="auto"/>
        <w:ind w:firstLine="417" w:firstLineChars="199"/>
        <w:contextualSpacing/>
        <w:rPr>
          <w:rFonts w:ascii="宋体" w:cs="宋体"/>
          <w:b w:val="0"/>
          <w:bCs w:val="0"/>
          <w:color w:val="000000" w:themeColor="text1"/>
          <w:sz w:val="21"/>
          <w:szCs w:val="21"/>
          <w14:textFill>
            <w14:solidFill>
              <w14:schemeClr w14:val="tx1"/>
            </w14:solidFill>
          </w14:textFill>
        </w:rPr>
      </w:pPr>
      <w:r>
        <w:rPr>
          <w:rFonts w:hint="eastAsia" w:ascii="宋体" w:cs="宋体"/>
          <w:b w:val="0"/>
          <w:bCs w:val="0"/>
          <w:color w:val="000000" w:themeColor="text1"/>
          <w:sz w:val="21"/>
          <w:szCs w:val="21"/>
          <w14:textFill>
            <w14:solidFill>
              <w14:schemeClr w14:val="tx1"/>
            </w14:solidFill>
          </w14:textFill>
        </w:rPr>
        <w:t>采用综合评分法的，评标结果按评审后得分由高到低顺序推荐2名中标候选人。得分相同的，按投标报价由低到高顺序排列。得分且投标报价相同的并列，则抽签决定。投标文件满足采购文件全部实质性要求，且按照评审因素的量化指标评审得分最高的投标人为排名第一的中标候选人。</w:t>
      </w:r>
    </w:p>
    <w:p>
      <w:pPr>
        <w:spacing w:line="360" w:lineRule="auto"/>
        <w:contextualSpacing/>
        <w:rPr>
          <w:rFonts w:ascii="宋体" w:hAnsi="宋体" w:cs="宋体"/>
          <w:b w:val="0"/>
          <w:bCs w:val="0"/>
          <w:color w:val="000000" w:themeColor="text1"/>
          <w:szCs w:val="21"/>
          <w14:textFill>
            <w14:solidFill>
              <w14:schemeClr w14:val="tx1"/>
            </w14:solidFill>
          </w14:textFill>
        </w:rPr>
      </w:pPr>
      <w:r>
        <w:rPr>
          <w:rFonts w:hint="eastAsia" w:ascii="宋体" w:hAnsi="宋体" w:cs="宋体"/>
          <w:b w:val="0"/>
          <w:bCs w:val="0"/>
          <w:color w:val="000000" w:themeColor="text1"/>
          <w:szCs w:val="21"/>
          <w14:textFill>
            <w14:solidFill>
              <w14:schemeClr w14:val="tx1"/>
            </w14:solidFill>
          </w14:textFill>
        </w:rPr>
        <w:t>（二）投标文件的澄清</w:t>
      </w:r>
    </w:p>
    <w:p>
      <w:pPr>
        <w:pStyle w:val="28"/>
        <w:snapToGrid/>
        <w:spacing w:line="360" w:lineRule="auto"/>
        <w:ind w:firstLine="417" w:firstLineChars="199"/>
        <w:contextualSpacing/>
        <w:rPr>
          <w:rFonts w:ascii="宋体" w:cs="宋体"/>
          <w:b w:val="0"/>
          <w:bCs w:val="0"/>
          <w:color w:val="000000" w:themeColor="text1"/>
          <w:sz w:val="21"/>
          <w:szCs w:val="21"/>
          <w14:textFill>
            <w14:solidFill>
              <w14:schemeClr w14:val="tx1"/>
            </w14:solidFill>
          </w14:textFill>
        </w:rPr>
      </w:pPr>
      <w:r>
        <w:rPr>
          <w:rFonts w:hint="eastAsia" w:ascii="宋体" w:cs="宋体"/>
          <w:b w:val="0"/>
          <w:bCs w:val="0"/>
          <w:color w:val="000000" w:themeColor="text1"/>
          <w:sz w:val="21"/>
          <w:szCs w:val="21"/>
          <w14:textFill>
            <w14:solidFill>
              <w14:schemeClr w14:val="tx1"/>
            </w14:solidFill>
          </w14:textFill>
        </w:rPr>
        <w:t>1、对于投标文件中含义不明确、同类问题表述不一致或者有明显文字和计算错误的内容，评标委员会应当以书面形式要求投标人作出必要的澄清、说明或者补正。</w:t>
      </w:r>
    </w:p>
    <w:p>
      <w:pPr>
        <w:pStyle w:val="28"/>
        <w:snapToGrid/>
        <w:spacing w:line="360" w:lineRule="auto"/>
        <w:ind w:firstLine="417" w:firstLineChars="199"/>
        <w:contextualSpacing/>
        <w:rPr>
          <w:rFonts w:ascii="宋体" w:cs="宋体"/>
          <w:b w:val="0"/>
          <w:bCs w:val="0"/>
          <w:color w:val="000000" w:themeColor="text1"/>
          <w:sz w:val="21"/>
          <w:szCs w:val="21"/>
          <w14:textFill>
            <w14:solidFill>
              <w14:schemeClr w14:val="tx1"/>
            </w14:solidFill>
          </w14:textFill>
        </w:rPr>
      </w:pPr>
      <w:r>
        <w:rPr>
          <w:rFonts w:hint="eastAsia" w:ascii="宋体" w:cs="宋体"/>
          <w:b w:val="0"/>
          <w:bCs w:val="0"/>
          <w:color w:val="000000" w:themeColor="text1"/>
          <w:sz w:val="21"/>
          <w:szCs w:val="21"/>
          <w14:textFill>
            <w14:solidFill>
              <w14:schemeClr w14:val="tx1"/>
            </w14:solidFill>
          </w14:textFill>
        </w:rPr>
        <w:t>2、投标人的澄清、说明或者补正应当采用书面形式（或扫描件上传政采云平台），并加盖公章，或者由法定代表人或其授权的代表签字。投标人的澄清、说明或者补正不得超出投标文件的范围或者改变投标文件的实质性内容。</w:t>
      </w:r>
    </w:p>
    <w:p>
      <w:pPr>
        <w:spacing w:line="360" w:lineRule="auto"/>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（三）投标文件错误修正原则</w:t>
      </w:r>
    </w:p>
    <w:p>
      <w:pPr>
        <w:spacing w:line="360" w:lineRule="auto"/>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投标文件如果出现计算或表达上的错误，修正错误的原则如下：</w:t>
      </w:r>
    </w:p>
    <w:p>
      <w:pPr>
        <w:pStyle w:val="28"/>
        <w:snapToGrid/>
        <w:spacing w:line="360" w:lineRule="auto"/>
        <w:ind w:firstLine="417" w:firstLineChars="199"/>
        <w:contextualSpacing/>
        <w:rPr>
          <w:rFonts w:ascii="宋体" w:cs="宋体"/>
          <w:b w:val="0"/>
          <w:bCs w:val="0"/>
          <w:color w:val="000000" w:themeColor="text1"/>
          <w:sz w:val="21"/>
          <w:szCs w:val="21"/>
          <w14:textFill>
            <w14:solidFill>
              <w14:schemeClr w14:val="tx1"/>
            </w14:solidFill>
          </w14:textFill>
        </w:rPr>
      </w:pPr>
      <w:r>
        <w:rPr>
          <w:rFonts w:hint="eastAsia" w:ascii="宋体" w:cs="宋体"/>
          <w:b w:val="0"/>
          <w:bCs w:val="0"/>
          <w:color w:val="000000" w:themeColor="text1"/>
          <w:sz w:val="21"/>
          <w:szCs w:val="21"/>
          <w14:textFill>
            <w14:solidFill>
              <w14:schemeClr w14:val="tx1"/>
            </w14:solidFill>
          </w14:textFill>
        </w:rPr>
        <w:t>1、投标文件中开标一览表（报价表）内容与投标文件中相应内容不一致的，以开标一览表（报价表）为准；</w:t>
      </w:r>
    </w:p>
    <w:p>
      <w:pPr>
        <w:pStyle w:val="28"/>
        <w:snapToGrid/>
        <w:spacing w:line="360" w:lineRule="auto"/>
        <w:ind w:firstLine="417" w:firstLineChars="199"/>
        <w:contextualSpacing/>
        <w:rPr>
          <w:rFonts w:ascii="宋体" w:cs="宋体"/>
          <w:b w:val="0"/>
          <w:bCs w:val="0"/>
          <w:color w:val="000000" w:themeColor="text1"/>
          <w:sz w:val="21"/>
          <w:szCs w:val="21"/>
          <w14:textFill>
            <w14:solidFill>
              <w14:schemeClr w14:val="tx1"/>
            </w14:solidFill>
          </w14:textFill>
        </w:rPr>
      </w:pPr>
      <w:r>
        <w:rPr>
          <w:rFonts w:hint="eastAsia" w:ascii="宋体" w:cs="宋体"/>
          <w:b w:val="0"/>
          <w:bCs w:val="0"/>
          <w:color w:val="000000" w:themeColor="text1"/>
          <w:sz w:val="21"/>
          <w:szCs w:val="21"/>
          <w14:textFill>
            <w14:solidFill>
              <w14:schemeClr w14:val="tx1"/>
            </w14:solidFill>
          </w14:textFill>
        </w:rPr>
        <w:t>2、大写金额和小写金额不一致的，以大写金额为准；</w:t>
      </w:r>
    </w:p>
    <w:p>
      <w:pPr>
        <w:pStyle w:val="28"/>
        <w:snapToGrid/>
        <w:spacing w:line="360" w:lineRule="auto"/>
        <w:ind w:firstLine="417" w:firstLineChars="199"/>
        <w:contextualSpacing/>
        <w:rPr>
          <w:rFonts w:ascii="宋体" w:cs="宋体"/>
          <w:b w:val="0"/>
          <w:bCs w:val="0"/>
          <w:color w:val="000000" w:themeColor="text1"/>
          <w:sz w:val="21"/>
          <w:szCs w:val="21"/>
          <w14:textFill>
            <w14:solidFill>
              <w14:schemeClr w14:val="tx1"/>
            </w14:solidFill>
          </w14:textFill>
        </w:rPr>
      </w:pPr>
      <w:r>
        <w:rPr>
          <w:rFonts w:hint="eastAsia" w:ascii="宋体" w:cs="宋体"/>
          <w:b w:val="0"/>
          <w:bCs w:val="0"/>
          <w:color w:val="000000" w:themeColor="text1"/>
          <w:sz w:val="21"/>
          <w:szCs w:val="21"/>
          <w14:textFill>
            <w14:solidFill>
              <w14:schemeClr w14:val="tx1"/>
            </w14:solidFill>
          </w14:textFill>
        </w:rPr>
        <w:t>3、单价金额小数点或者百分比有明显错位的，以开标一览表的总价为准，并修改单价；</w:t>
      </w:r>
    </w:p>
    <w:p>
      <w:pPr>
        <w:pStyle w:val="28"/>
        <w:snapToGrid/>
        <w:spacing w:line="360" w:lineRule="auto"/>
        <w:ind w:firstLine="417" w:firstLineChars="199"/>
        <w:contextualSpacing/>
        <w:rPr>
          <w:rFonts w:ascii="宋体" w:cs="宋体"/>
          <w:b w:val="0"/>
          <w:bCs w:val="0"/>
          <w:color w:val="000000" w:themeColor="text1"/>
          <w:sz w:val="21"/>
          <w:szCs w:val="21"/>
          <w14:textFill>
            <w14:solidFill>
              <w14:schemeClr w14:val="tx1"/>
            </w14:solidFill>
          </w14:textFill>
        </w:rPr>
      </w:pPr>
      <w:r>
        <w:rPr>
          <w:rFonts w:hint="eastAsia" w:ascii="宋体" w:cs="宋体"/>
          <w:b w:val="0"/>
          <w:bCs w:val="0"/>
          <w:color w:val="000000" w:themeColor="text1"/>
          <w:sz w:val="21"/>
          <w:szCs w:val="21"/>
          <w14:textFill>
            <w14:solidFill>
              <w14:schemeClr w14:val="tx1"/>
            </w14:solidFill>
          </w14:textFill>
        </w:rPr>
        <w:t>4、总价金额与按单价汇总金额不一致的，以单价金额计算结果为准。</w:t>
      </w:r>
    </w:p>
    <w:p>
      <w:pPr>
        <w:pStyle w:val="28"/>
        <w:snapToGrid/>
        <w:spacing w:line="360" w:lineRule="auto"/>
        <w:ind w:firstLine="417" w:firstLineChars="199"/>
        <w:contextualSpacing/>
        <w:rPr>
          <w:rFonts w:ascii="宋体" w:cs="宋体"/>
          <w:b w:val="0"/>
          <w:bCs w:val="0"/>
          <w:color w:val="000000" w:themeColor="text1"/>
          <w:sz w:val="21"/>
          <w:szCs w:val="21"/>
          <w14:textFill>
            <w14:solidFill>
              <w14:schemeClr w14:val="tx1"/>
            </w14:solidFill>
          </w14:textFill>
        </w:rPr>
      </w:pPr>
      <w:r>
        <w:rPr>
          <w:rFonts w:hint="eastAsia" w:ascii="宋体" w:cs="宋体"/>
          <w:b w:val="0"/>
          <w:bCs w:val="0"/>
          <w:color w:val="000000" w:themeColor="text1"/>
          <w:sz w:val="21"/>
          <w:szCs w:val="21"/>
          <w14:textFill>
            <w14:solidFill>
              <w14:schemeClr w14:val="tx1"/>
            </w14:solidFill>
          </w14:textFill>
        </w:rPr>
        <w:t>同时出现两种以上不一致的，按照前款规定的顺序修正。修正后的报价按照投标文件澄清第二款的规定经投标人确认后产生约束力，投标人不确认的，其投标无效。</w:t>
      </w:r>
    </w:p>
    <w:p>
      <w:pPr>
        <w:spacing w:line="360" w:lineRule="auto"/>
        <w:ind w:firstLine="420" w:firstLineChars="200"/>
        <w:contextualSpacing/>
        <w:rPr>
          <w:rFonts w:ascii="宋体" w:hAnsi="宋体" w:cs="宋体"/>
          <w:b w:val="0"/>
          <w:bCs w:val="0"/>
          <w:color w:val="000000" w:themeColor="text1"/>
          <w:szCs w:val="21"/>
          <w14:textFill>
            <w14:solidFill>
              <w14:schemeClr w14:val="tx1"/>
            </w14:solidFill>
          </w14:textFill>
        </w:rPr>
      </w:pPr>
      <w:bookmarkStart w:id="53" w:name="_Toc481567077"/>
      <w:bookmarkStart w:id="54" w:name="_Toc493058318"/>
      <w:r>
        <w:rPr>
          <w:rFonts w:hint="eastAsia" w:ascii="宋体" w:hAnsi="宋体" w:cs="宋体"/>
          <w:b w:val="0"/>
          <w:bCs w:val="0"/>
          <w:color w:val="000000" w:themeColor="text1"/>
          <w:szCs w:val="21"/>
          <w14:textFill>
            <w14:solidFill>
              <w14:schemeClr w14:val="tx1"/>
            </w14:solidFill>
          </w14:textFill>
        </w:rPr>
        <w:t>投标人上传政采云平台的pdf版本电子投标文件内容与政采云系统中投标人填写的内容不一致的，经评标委员会审查，应以电子投标文件中的内容为准。</w:t>
      </w:r>
    </w:p>
    <w:p>
      <w:pPr>
        <w:spacing w:line="360" w:lineRule="auto"/>
        <w:contextualSpacing/>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五、评标</w:t>
      </w:r>
      <w:bookmarkEnd w:id="53"/>
      <w:r>
        <w:rPr>
          <w:rFonts w:hint="eastAsia" w:ascii="宋体" w:hAnsi="宋体" w:cs="宋体"/>
          <w:b/>
          <w:bCs/>
          <w:color w:val="000000" w:themeColor="text1"/>
          <w:szCs w:val="21"/>
          <w14:textFill>
            <w14:solidFill>
              <w14:schemeClr w14:val="tx1"/>
            </w14:solidFill>
          </w14:textFill>
        </w:rPr>
        <w:t>程序</w:t>
      </w:r>
      <w:bookmarkEnd w:id="54"/>
    </w:p>
    <w:p>
      <w:pPr>
        <w:spacing w:line="360" w:lineRule="auto"/>
        <w:ind w:firstLine="422" w:firstLineChars="200"/>
        <w:contextualSpacing/>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（一）资格条件审查</w:t>
      </w:r>
    </w:p>
    <w:p>
      <w:pPr>
        <w:spacing w:line="360" w:lineRule="auto"/>
        <w:ind w:firstLine="522" w:firstLineChars="249"/>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由采购人或采购代理机构对投标人的资格进行审查。</w:t>
      </w:r>
    </w:p>
    <w:tbl>
      <w:tblPr>
        <w:tblStyle w:val="46"/>
        <w:tblW w:w="8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6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tcPr>
          <w:p>
            <w:pPr>
              <w:spacing w:line="40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审查类别</w:t>
            </w:r>
          </w:p>
        </w:tc>
        <w:tc>
          <w:tcPr>
            <w:tcW w:w="6794" w:type="dxa"/>
          </w:tcPr>
          <w:p>
            <w:pPr>
              <w:spacing w:line="40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restart"/>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资格条件审查</w:t>
            </w:r>
          </w:p>
        </w:tc>
        <w:tc>
          <w:tcPr>
            <w:tcW w:w="6794" w:type="dxa"/>
          </w:tcPr>
          <w:p>
            <w:pPr>
              <w:numPr>
                <w:ilvl w:val="0"/>
                <w:numId w:val="5"/>
              </w:num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满足《中华人民共和国政府采购法》第二十二条规定；未被“信用中国”（www.creditchina.gov.cn)、中国政府采购网（www.ccgp.gov.cn）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vAlign w:val="center"/>
          </w:tcPr>
          <w:p>
            <w:pPr>
              <w:spacing w:line="400" w:lineRule="exact"/>
              <w:jc w:val="center"/>
              <w:rPr>
                <w:rFonts w:ascii="宋体" w:hAnsi="宋体" w:cs="宋体"/>
                <w:color w:val="000000" w:themeColor="text1"/>
                <w:szCs w:val="21"/>
                <w14:textFill>
                  <w14:solidFill>
                    <w14:schemeClr w14:val="tx1"/>
                  </w14:solidFill>
                </w14:textFill>
              </w:rPr>
            </w:pPr>
          </w:p>
        </w:tc>
        <w:tc>
          <w:tcPr>
            <w:tcW w:w="6794" w:type="dxa"/>
          </w:tcPr>
          <w:p>
            <w:pPr>
              <w:numPr>
                <w:ilvl w:val="0"/>
                <w:numId w:val="5"/>
              </w:num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落实政府采购政策需满足的资格要求：本项目属于专门面向中小企业采购的项目，</w:t>
            </w:r>
            <w:r>
              <w:rPr>
                <w:rFonts w:hint="eastAsia" w:ascii="宋体" w:hAnsi="宋体" w:cs="宋体"/>
                <w:color w:val="000000" w:themeColor="text1"/>
                <w:szCs w:val="21"/>
                <w:lang w:val="en-US" w:eastAsia="zh-CN"/>
                <w14:textFill>
                  <w14:solidFill>
                    <w14:schemeClr w14:val="tx1"/>
                  </w14:solidFill>
                </w14:textFill>
              </w:rPr>
              <w:t>投标人</w:t>
            </w:r>
            <w:r>
              <w:rPr>
                <w:rFonts w:hint="eastAsia" w:ascii="宋体" w:hAnsi="宋体" w:cs="宋体"/>
                <w:color w:val="000000" w:themeColor="text1"/>
                <w:szCs w:val="21"/>
                <w14:textFill>
                  <w14:solidFill>
                    <w14:schemeClr w14:val="tx1"/>
                  </w14:solidFill>
                </w14:textFill>
              </w:rPr>
              <w:t>应为符合《政府采购促进中小企业发展管理办法》（财库﹝2020﹞46号）规定的中小企业（其中，小微企业包括视同为小型、微型企业的监狱企业、残疾人福利性单位。）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tcPr>
          <w:p>
            <w:pPr>
              <w:spacing w:line="400" w:lineRule="exact"/>
              <w:rPr>
                <w:rFonts w:ascii="宋体" w:hAnsi="宋体" w:cs="宋体"/>
                <w:color w:val="000000" w:themeColor="text1"/>
                <w:szCs w:val="21"/>
                <w14:textFill>
                  <w14:solidFill>
                    <w14:schemeClr w14:val="tx1"/>
                  </w14:solidFill>
                </w14:textFill>
              </w:rPr>
            </w:pPr>
          </w:p>
        </w:tc>
        <w:tc>
          <w:tcPr>
            <w:tcW w:w="6794" w:type="dxa"/>
          </w:tcPr>
          <w:p>
            <w:pPr>
              <w:spacing w:line="400" w:lineRule="exact"/>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（三）本项目的特定资格要求：</w:t>
            </w:r>
            <w:r>
              <w:rPr>
                <w:rFonts w:hint="eastAsia" w:ascii="宋体" w:hAnsi="宋体" w:cs="宋体"/>
                <w:color w:val="000000" w:themeColor="text1"/>
                <w:szCs w:val="21"/>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tcPr>
          <w:p>
            <w:pPr>
              <w:spacing w:line="400" w:lineRule="exact"/>
              <w:rPr>
                <w:rFonts w:ascii="宋体" w:hAnsi="宋体" w:cs="宋体"/>
                <w:color w:val="000000" w:themeColor="text1"/>
                <w:szCs w:val="21"/>
                <w14:textFill>
                  <w14:solidFill>
                    <w14:schemeClr w14:val="tx1"/>
                  </w14:solidFill>
                </w14:textFill>
              </w:rPr>
            </w:pPr>
          </w:p>
        </w:tc>
        <w:tc>
          <w:tcPr>
            <w:tcW w:w="6794" w:type="dxa"/>
          </w:tcPr>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（四）本项目不接受联合体投标。</w:t>
            </w:r>
          </w:p>
        </w:tc>
      </w:tr>
    </w:tbl>
    <w:p>
      <w:pPr>
        <w:spacing w:line="360" w:lineRule="auto"/>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（二）符合性审查</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评标委员会应当对符合资格的投标人的投标文件进行符合性审查，以确定其是否满足招标文件的实质性要求。</w:t>
      </w:r>
    </w:p>
    <w:tbl>
      <w:tblPr>
        <w:tblStyle w:val="46"/>
        <w:tblW w:w="8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6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340" w:type="dxa"/>
          </w:tcPr>
          <w:p>
            <w:pPr>
              <w:spacing w:line="40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审查类别</w:t>
            </w:r>
          </w:p>
        </w:tc>
        <w:tc>
          <w:tcPr>
            <w:tcW w:w="6975" w:type="dxa"/>
          </w:tcPr>
          <w:p>
            <w:pPr>
              <w:spacing w:line="40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40" w:type="dxa"/>
            <w:vMerge w:val="restart"/>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符合性审查</w:t>
            </w:r>
          </w:p>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（技术商务文件）</w:t>
            </w:r>
          </w:p>
        </w:tc>
        <w:tc>
          <w:tcPr>
            <w:tcW w:w="6975" w:type="dxa"/>
            <w:vAlign w:val="center"/>
          </w:tcPr>
          <w:p>
            <w:pPr>
              <w:tabs>
                <w:tab w:val="left" w:pos="612"/>
              </w:tabs>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（一）投标函已提交并符合招标文件要求；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40" w:type="dxa"/>
            <w:vMerge w:val="continue"/>
            <w:vAlign w:val="center"/>
          </w:tcPr>
          <w:p>
            <w:pPr>
              <w:spacing w:line="400" w:lineRule="exact"/>
              <w:jc w:val="center"/>
              <w:rPr>
                <w:rFonts w:ascii="宋体" w:hAnsi="宋体" w:cs="宋体"/>
                <w:color w:val="000000" w:themeColor="text1"/>
                <w:szCs w:val="21"/>
                <w14:textFill>
                  <w14:solidFill>
                    <w14:schemeClr w14:val="tx1"/>
                  </w14:solidFill>
                </w14:textFill>
              </w:rPr>
            </w:pPr>
          </w:p>
        </w:tc>
        <w:tc>
          <w:tcPr>
            <w:tcW w:w="6975" w:type="dxa"/>
            <w:vAlign w:val="center"/>
          </w:tcPr>
          <w:p>
            <w:pPr>
              <w:tabs>
                <w:tab w:val="left" w:pos="612"/>
              </w:tabs>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（二）按照招标文件规定要求签署或盖章；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vAlign w:val="center"/>
          </w:tcPr>
          <w:p>
            <w:pPr>
              <w:spacing w:line="400" w:lineRule="exact"/>
              <w:jc w:val="center"/>
              <w:rPr>
                <w:rFonts w:ascii="宋体" w:hAnsi="宋体" w:cs="宋体"/>
                <w:color w:val="000000" w:themeColor="text1"/>
                <w:szCs w:val="21"/>
                <w14:textFill>
                  <w14:solidFill>
                    <w14:schemeClr w14:val="tx1"/>
                  </w14:solidFill>
                </w14:textFill>
              </w:rPr>
            </w:pPr>
          </w:p>
        </w:tc>
        <w:tc>
          <w:tcPr>
            <w:tcW w:w="6975" w:type="dxa"/>
            <w:vAlign w:val="center"/>
          </w:tcPr>
          <w:p>
            <w:pPr>
              <w:tabs>
                <w:tab w:val="left" w:pos="612"/>
              </w:tabs>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（三）投标文件有法定代表人签署本人姓名（或印盖本人姓名章），提供有效的法定代表人授权委托书</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如有</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授权委托书</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如有</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填写项目齐全的；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40" w:type="dxa"/>
            <w:vMerge w:val="continue"/>
            <w:vAlign w:val="center"/>
          </w:tcPr>
          <w:p>
            <w:pPr>
              <w:spacing w:line="400" w:lineRule="exact"/>
              <w:jc w:val="center"/>
              <w:rPr>
                <w:rFonts w:ascii="宋体" w:hAnsi="宋体" w:cs="宋体"/>
                <w:color w:val="000000" w:themeColor="text1"/>
                <w:szCs w:val="21"/>
                <w14:textFill>
                  <w14:solidFill>
                    <w14:schemeClr w14:val="tx1"/>
                  </w14:solidFill>
                </w14:textFill>
              </w:rPr>
            </w:pPr>
          </w:p>
        </w:tc>
        <w:tc>
          <w:tcPr>
            <w:tcW w:w="6975" w:type="dxa"/>
            <w:vAlign w:val="center"/>
          </w:tcPr>
          <w:p>
            <w:pPr>
              <w:tabs>
                <w:tab w:val="left" w:pos="612"/>
              </w:tabs>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（四）投标文件项目齐全；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40" w:type="dxa"/>
            <w:vMerge w:val="continue"/>
            <w:vAlign w:val="center"/>
          </w:tcPr>
          <w:p>
            <w:pPr>
              <w:spacing w:line="400" w:lineRule="exact"/>
              <w:jc w:val="center"/>
              <w:rPr>
                <w:rFonts w:ascii="宋体" w:hAnsi="宋体" w:cs="宋体"/>
                <w:color w:val="000000" w:themeColor="text1"/>
                <w:szCs w:val="21"/>
                <w14:textFill>
                  <w14:solidFill>
                    <w14:schemeClr w14:val="tx1"/>
                  </w14:solidFill>
                </w14:textFill>
              </w:rPr>
            </w:pPr>
          </w:p>
        </w:tc>
        <w:tc>
          <w:tcPr>
            <w:tcW w:w="6975" w:type="dxa"/>
            <w:vAlign w:val="center"/>
          </w:tcPr>
          <w:p>
            <w:pPr>
              <w:tabs>
                <w:tab w:val="left" w:pos="612"/>
              </w:tabs>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（五）投标文件标明的响应或偏离与事实相符且无虚假投标的；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vAlign w:val="center"/>
          </w:tcPr>
          <w:p>
            <w:pPr>
              <w:spacing w:line="400" w:lineRule="exact"/>
              <w:jc w:val="center"/>
              <w:rPr>
                <w:rFonts w:ascii="宋体" w:hAnsi="宋体" w:cs="宋体"/>
                <w:color w:val="000000" w:themeColor="text1"/>
                <w:szCs w:val="21"/>
                <w14:textFill>
                  <w14:solidFill>
                    <w14:schemeClr w14:val="tx1"/>
                  </w14:solidFill>
                </w14:textFill>
              </w:rPr>
            </w:pPr>
          </w:p>
        </w:tc>
        <w:tc>
          <w:tcPr>
            <w:tcW w:w="6975" w:type="dxa"/>
            <w:vAlign w:val="center"/>
          </w:tcPr>
          <w:p>
            <w:pPr>
              <w:tabs>
                <w:tab w:val="left" w:pos="612"/>
              </w:tabs>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（六）投标文件的实质性内容使用中文表述且意思表述明确，前后无矛盾且使用计量单位符合招标文件要求的；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vAlign w:val="center"/>
          </w:tcPr>
          <w:p>
            <w:pPr>
              <w:spacing w:line="400" w:lineRule="exact"/>
              <w:jc w:val="center"/>
              <w:rPr>
                <w:rFonts w:ascii="宋体" w:hAnsi="宋体" w:cs="宋体"/>
                <w:color w:val="000000" w:themeColor="text1"/>
                <w:szCs w:val="21"/>
                <w14:textFill>
                  <w14:solidFill>
                    <w14:schemeClr w14:val="tx1"/>
                  </w14:solidFill>
                </w14:textFill>
              </w:rPr>
            </w:pPr>
          </w:p>
        </w:tc>
        <w:tc>
          <w:tcPr>
            <w:tcW w:w="6975" w:type="dxa"/>
            <w:vAlign w:val="center"/>
          </w:tcPr>
          <w:p>
            <w:pPr>
              <w:tabs>
                <w:tab w:val="left" w:pos="612"/>
              </w:tabs>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（七）带“★”的条款满足招标文件要求、已实质性响应招标文件要求且投标文件无采购人不能接受的附加条件的；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vAlign w:val="center"/>
          </w:tcPr>
          <w:p>
            <w:pPr>
              <w:spacing w:line="400" w:lineRule="exact"/>
              <w:jc w:val="center"/>
              <w:rPr>
                <w:rFonts w:ascii="宋体" w:hAnsi="宋体" w:cs="宋体"/>
                <w:color w:val="000000" w:themeColor="text1"/>
                <w:szCs w:val="21"/>
                <w14:textFill>
                  <w14:solidFill>
                    <w14:schemeClr w14:val="tx1"/>
                  </w14:solidFill>
                </w14:textFill>
              </w:rPr>
            </w:pPr>
          </w:p>
        </w:tc>
        <w:tc>
          <w:tcPr>
            <w:tcW w:w="6975" w:type="dxa"/>
            <w:vAlign w:val="center"/>
          </w:tcPr>
          <w:p>
            <w:pPr>
              <w:tabs>
                <w:tab w:val="left" w:pos="612"/>
              </w:tabs>
              <w:spacing w:line="400" w:lineRule="exact"/>
              <w:rPr>
                <w:rFonts w:ascii="宋体" w:hAnsi="宋体" w:cs="宋体"/>
                <w:color w:val="000000" w:themeColor="text1"/>
                <w:szCs w:val="21"/>
                <w:highlight w:val="yellow"/>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（八）</w:t>
            </w:r>
            <w:r>
              <w:rPr>
                <w:rFonts w:hint="eastAsia" w:ascii="宋体" w:hAnsi="宋体" w:cs="宋体"/>
                <w:color w:val="000000" w:themeColor="text1"/>
                <w:szCs w:val="21"/>
                <w:lang w:val="en-US" w:eastAsia="zh-CN"/>
                <w14:textFill>
                  <w14:solidFill>
                    <w14:schemeClr w14:val="tx1"/>
                  </w14:solidFill>
                </w14:textFill>
              </w:rPr>
              <w:t>招标</w:t>
            </w:r>
            <w:r>
              <w:rPr>
                <w:rFonts w:hint="eastAsia" w:ascii="宋体" w:hAnsi="宋体" w:cs="宋体"/>
                <w:color w:val="000000" w:themeColor="text1"/>
                <w:szCs w:val="21"/>
                <w14:textFill>
                  <w14:solidFill>
                    <w14:schemeClr w14:val="tx1"/>
                  </w14:solidFill>
                </w14:textFill>
              </w:rPr>
              <w:t>文件 第</w:t>
            </w:r>
            <w:r>
              <w:rPr>
                <w:rFonts w:hint="eastAsia" w:ascii="宋体" w:hAnsi="宋体" w:cs="宋体"/>
                <w:color w:val="000000" w:themeColor="text1"/>
                <w:szCs w:val="21"/>
                <w:lang w:val="en-US" w:eastAsia="zh-CN"/>
                <w14:textFill>
                  <w14:solidFill>
                    <w14:schemeClr w14:val="tx1"/>
                  </w14:solidFill>
                </w14:textFill>
              </w:rPr>
              <w:t>二</w:t>
            </w:r>
            <w:r>
              <w:rPr>
                <w:rFonts w:hint="eastAsia" w:ascii="宋体" w:hAnsi="宋体" w:cs="宋体"/>
                <w:color w:val="000000" w:themeColor="text1"/>
                <w:szCs w:val="21"/>
                <w14:textFill>
                  <w14:solidFill>
                    <w14:schemeClr w14:val="tx1"/>
                  </w14:solidFill>
                </w14:textFill>
              </w:rPr>
              <w:t xml:space="preserve">章 </w:t>
            </w:r>
            <w:r>
              <w:rPr>
                <w:rFonts w:hint="eastAsia" w:ascii="宋体" w:hAnsi="宋体" w:cs="宋体"/>
                <w:color w:val="000000" w:themeColor="text1"/>
                <w:szCs w:val="21"/>
                <w:lang w:val="en-US" w:eastAsia="zh-CN"/>
                <w14:textFill>
                  <w14:solidFill>
                    <w14:schemeClr w14:val="tx1"/>
                  </w14:solidFill>
                </w14:textFill>
              </w:rPr>
              <w:t>招标</w:t>
            </w:r>
            <w:r>
              <w:rPr>
                <w:rFonts w:hint="eastAsia" w:ascii="宋体" w:hAnsi="宋体" w:cs="宋体"/>
                <w:color w:val="000000" w:themeColor="text1"/>
                <w:szCs w:val="21"/>
                <w14:textFill>
                  <w14:solidFill>
                    <w14:schemeClr w14:val="tx1"/>
                  </w14:solidFill>
                </w14:textFill>
              </w:rPr>
              <w:t>需求 “二、项目服务内容需求”的条款发生负偏离</w:t>
            </w:r>
            <w:r>
              <w:rPr>
                <w:rFonts w:hint="eastAsia" w:ascii="宋体" w:hAnsi="宋体" w:cs="宋体"/>
                <w:color w:val="000000" w:themeColor="text1"/>
                <w:szCs w:val="21"/>
                <w:lang w:val="en-US" w:eastAsia="zh-CN"/>
                <w14:textFill>
                  <w14:solidFill>
                    <w14:schemeClr w14:val="tx1"/>
                  </w14:solidFill>
                </w14:textFill>
              </w:rPr>
              <w:t>或未响应</w:t>
            </w:r>
            <w:r>
              <w:rPr>
                <w:rFonts w:hint="eastAsia" w:ascii="宋体" w:hAnsi="宋体" w:cs="宋体"/>
                <w:color w:val="000000" w:themeColor="text1"/>
                <w:szCs w:val="21"/>
                <w14:textFill>
                  <w14:solidFill>
                    <w14:schemeClr w14:val="tx1"/>
                  </w14:solidFill>
                </w14:textFill>
              </w:rPr>
              <w:t>未达</w:t>
            </w:r>
            <w:r>
              <w:rPr>
                <w:rFonts w:hint="eastAsia" w:ascii="宋体" w:hAnsi="宋体" w:cs="宋体"/>
                <w:color w:val="000000" w:themeColor="text1"/>
                <w:szCs w:val="21"/>
                <w:lang w:val="en-US" w:eastAsia="zh-CN"/>
                <w14:textFill>
                  <w14:solidFill>
                    <w14:schemeClr w14:val="tx1"/>
                  </w14:solidFill>
                </w14:textFill>
              </w:rPr>
              <w:t>15</w:t>
            </w:r>
            <w:r>
              <w:rPr>
                <w:rFonts w:hint="eastAsia" w:ascii="宋体" w:hAnsi="宋体" w:cs="宋体"/>
                <w:color w:val="000000" w:themeColor="text1"/>
                <w:szCs w:val="21"/>
                <w14:textFill>
                  <w14:solidFill>
                    <w14:schemeClr w14:val="tx1"/>
                  </w14:solidFill>
                </w14:textFill>
              </w:rPr>
              <w:t>项</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不含</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vAlign w:val="center"/>
          </w:tcPr>
          <w:p>
            <w:pPr>
              <w:spacing w:line="400" w:lineRule="exact"/>
              <w:jc w:val="center"/>
              <w:rPr>
                <w:rFonts w:ascii="宋体" w:hAnsi="宋体" w:cs="宋体"/>
                <w:color w:val="000000" w:themeColor="text1"/>
                <w:szCs w:val="21"/>
                <w14:textFill>
                  <w14:solidFill>
                    <w14:schemeClr w14:val="tx1"/>
                  </w14:solidFill>
                </w14:textFill>
              </w:rPr>
            </w:pPr>
          </w:p>
        </w:tc>
        <w:tc>
          <w:tcPr>
            <w:tcW w:w="6975" w:type="dxa"/>
            <w:vAlign w:val="center"/>
          </w:tcPr>
          <w:p>
            <w:pPr>
              <w:tabs>
                <w:tab w:val="left" w:pos="612"/>
              </w:tabs>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（九）投标技术方案明确，不存在一个或一个以上备选（替代）投标方案的；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40" w:type="dxa"/>
            <w:vMerge w:val="continue"/>
            <w:vAlign w:val="center"/>
          </w:tcPr>
          <w:p>
            <w:pPr>
              <w:spacing w:line="400" w:lineRule="exact"/>
              <w:jc w:val="center"/>
              <w:rPr>
                <w:rFonts w:ascii="宋体" w:hAnsi="宋体" w:cs="宋体"/>
                <w:color w:val="000000" w:themeColor="text1"/>
                <w:szCs w:val="21"/>
                <w14:textFill>
                  <w14:solidFill>
                    <w14:schemeClr w14:val="tx1"/>
                  </w14:solidFill>
                </w14:textFill>
              </w:rPr>
            </w:pPr>
          </w:p>
        </w:tc>
        <w:tc>
          <w:tcPr>
            <w:tcW w:w="6975" w:type="dxa"/>
            <w:vAlign w:val="center"/>
          </w:tcPr>
          <w:p>
            <w:pPr>
              <w:tabs>
                <w:tab w:val="left" w:pos="612"/>
              </w:tabs>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（十）技术商务文件中未出现报价或单价的；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40" w:type="dxa"/>
            <w:vMerge w:val="continue"/>
            <w:vAlign w:val="center"/>
          </w:tcPr>
          <w:p>
            <w:pPr>
              <w:spacing w:line="400" w:lineRule="exact"/>
              <w:jc w:val="center"/>
              <w:rPr>
                <w:rFonts w:ascii="宋体" w:hAnsi="宋体" w:cs="宋体"/>
                <w:color w:val="000000" w:themeColor="text1"/>
                <w:szCs w:val="21"/>
                <w14:textFill>
                  <w14:solidFill>
                    <w14:schemeClr w14:val="tx1"/>
                  </w14:solidFill>
                </w14:textFill>
              </w:rPr>
            </w:pPr>
          </w:p>
        </w:tc>
        <w:tc>
          <w:tcPr>
            <w:tcW w:w="6975" w:type="dxa"/>
            <w:vAlign w:val="center"/>
          </w:tcPr>
          <w:p>
            <w:pPr>
              <w:tabs>
                <w:tab w:val="left" w:pos="612"/>
              </w:tabs>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（十一）不存在法律、法规和招标文件规定的其他无效情形；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40" w:type="dxa"/>
            <w:vMerge w:val="continue"/>
            <w:vAlign w:val="center"/>
          </w:tcPr>
          <w:p>
            <w:pPr>
              <w:spacing w:line="400" w:lineRule="exact"/>
              <w:jc w:val="center"/>
              <w:rPr>
                <w:rFonts w:ascii="宋体" w:hAnsi="宋体" w:cs="宋体"/>
                <w:color w:val="000000" w:themeColor="text1"/>
                <w:szCs w:val="21"/>
                <w14:textFill>
                  <w14:solidFill>
                    <w14:schemeClr w14:val="tx1"/>
                  </w14:solidFill>
                </w14:textFill>
              </w:rPr>
            </w:pPr>
          </w:p>
        </w:tc>
        <w:tc>
          <w:tcPr>
            <w:tcW w:w="6975" w:type="dxa"/>
            <w:vAlign w:val="center"/>
          </w:tcPr>
          <w:p>
            <w:pPr>
              <w:tabs>
                <w:tab w:val="left" w:pos="612"/>
              </w:tabs>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（十二）不存在投标文件的有效期不满足招标文件要求情形；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40" w:type="dxa"/>
            <w:vMerge w:val="continue"/>
            <w:vAlign w:val="center"/>
          </w:tcPr>
          <w:p>
            <w:pPr>
              <w:spacing w:line="400" w:lineRule="exact"/>
              <w:jc w:val="center"/>
              <w:rPr>
                <w:rFonts w:ascii="宋体" w:hAnsi="宋体" w:cs="宋体"/>
                <w:color w:val="000000" w:themeColor="text1"/>
                <w:szCs w:val="21"/>
                <w14:textFill>
                  <w14:solidFill>
                    <w14:schemeClr w14:val="tx1"/>
                  </w14:solidFill>
                </w14:textFill>
              </w:rPr>
            </w:pPr>
          </w:p>
        </w:tc>
        <w:tc>
          <w:tcPr>
            <w:tcW w:w="6975"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（十三）技术商务文件不存在招标文件所规定的其它无效投标条款要求。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40" w:type="dxa"/>
            <w:vMerge w:val="restart"/>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符合性审查</w:t>
            </w:r>
          </w:p>
          <w:p>
            <w:pPr>
              <w:spacing w:line="400" w:lineRule="exact"/>
              <w:ind w:firstLine="210" w:firstLineChars="1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（报价文件）</w:t>
            </w:r>
          </w:p>
        </w:tc>
        <w:tc>
          <w:tcPr>
            <w:tcW w:w="6975"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（一）按照招标文件规定要求签署或盖章；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40" w:type="dxa"/>
            <w:vMerge w:val="continue"/>
          </w:tcPr>
          <w:p>
            <w:pPr>
              <w:spacing w:line="400" w:lineRule="exact"/>
              <w:ind w:firstLine="210" w:firstLineChars="100"/>
              <w:rPr>
                <w:rFonts w:ascii="宋体" w:hAnsi="宋体" w:cs="宋体"/>
                <w:color w:val="000000" w:themeColor="text1"/>
                <w:szCs w:val="21"/>
                <w14:textFill>
                  <w14:solidFill>
                    <w14:schemeClr w14:val="tx1"/>
                  </w14:solidFill>
                </w14:textFill>
              </w:rPr>
            </w:pPr>
          </w:p>
        </w:tc>
        <w:tc>
          <w:tcPr>
            <w:tcW w:w="6975"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（二）投标文件项目齐全；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40" w:type="dxa"/>
            <w:vMerge w:val="continue"/>
          </w:tcPr>
          <w:p>
            <w:pPr>
              <w:spacing w:line="400" w:lineRule="exact"/>
              <w:ind w:firstLine="210" w:firstLineChars="100"/>
              <w:rPr>
                <w:rFonts w:ascii="宋体" w:hAnsi="宋体" w:cs="宋体"/>
                <w:color w:val="000000" w:themeColor="text1"/>
                <w:szCs w:val="21"/>
                <w14:textFill>
                  <w14:solidFill>
                    <w14:schemeClr w14:val="tx1"/>
                  </w14:solidFill>
                </w14:textFill>
              </w:rPr>
            </w:pPr>
          </w:p>
        </w:tc>
        <w:tc>
          <w:tcPr>
            <w:tcW w:w="6975"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（三）采用人民币报价或者按照招标文件标明的币种报价的；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tcPr>
          <w:p>
            <w:pPr>
              <w:spacing w:line="400" w:lineRule="exact"/>
              <w:ind w:firstLine="210" w:firstLineChars="100"/>
              <w:rPr>
                <w:rFonts w:ascii="宋体" w:hAnsi="宋体" w:cs="宋体"/>
                <w:color w:val="000000" w:themeColor="text1"/>
                <w:szCs w:val="21"/>
                <w14:textFill>
                  <w14:solidFill>
                    <w14:schemeClr w14:val="tx1"/>
                  </w14:solidFill>
                </w14:textFill>
              </w:rPr>
            </w:pPr>
          </w:p>
        </w:tc>
        <w:tc>
          <w:tcPr>
            <w:tcW w:w="6975" w:type="dxa"/>
            <w:vAlign w:val="center"/>
          </w:tcPr>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（四）不存在报价超出最高限价，或者超出采购预算金额，采购人不能支付的情形。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40" w:type="dxa"/>
            <w:vMerge w:val="continue"/>
          </w:tcPr>
          <w:p>
            <w:pPr>
              <w:spacing w:line="400" w:lineRule="exact"/>
              <w:ind w:firstLine="210" w:firstLineChars="100"/>
              <w:rPr>
                <w:rFonts w:ascii="宋体" w:hAnsi="宋体" w:cs="宋体"/>
                <w:color w:val="000000" w:themeColor="text1"/>
                <w:szCs w:val="21"/>
                <w14:textFill>
                  <w14:solidFill>
                    <w14:schemeClr w14:val="tx1"/>
                  </w14:solidFill>
                </w14:textFill>
              </w:rPr>
            </w:pPr>
          </w:p>
        </w:tc>
        <w:tc>
          <w:tcPr>
            <w:tcW w:w="6975"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（五）不存在投标报价具有选择性的情形；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40" w:type="dxa"/>
            <w:vMerge w:val="continue"/>
          </w:tcPr>
          <w:p>
            <w:pPr>
              <w:spacing w:line="400" w:lineRule="exact"/>
              <w:ind w:firstLine="210" w:firstLineChars="100"/>
              <w:rPr>
                <w:rFonts w:ascii="宋体" w:hAnsi="宋体" w:cs="宋体"/>
                <w:color w:val="000000" w:themeColor="text1"/>
                <w:szCs w:val="21"/>
                <w14:textFill>
                  <w14:solidFill>
                    <w14:schemeClr w14:val="tx1"/>
                  </w14:solidFill>
                </w14:textFill>
              </w:rPr>
            </w:pPr>
          </w:p>
        </w:tc>
        <w:tc>
          <w:tcPr>
            <w:tcW w:w="6975"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（六）投标报价中未出现重大缺项、漏项；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tcPr>
          <w:p>
            <w:pPr>
              <w:spacing w:line="400" w:lineRule="exact"/>
              <w:ind w:firstLine="210" w:firstLineChars="100"/>
              <w:rPr>
                <w:rFonts w:ascii="宋体" w:hAnsi="宋体" w:cs="宋体"/>
                <w:color w:val="000000" w:themeColor="text1"/>
                <w:szCs w:val="21"/>
                <w14:textFill>
                  <w14:solidFill>
                    <w14:schemeClr w14:val="tx1"/>
                  </w14:solidFill>
                </w14:textFill>
              </w:rPr>
            </w:pPr>
          </w:p>
        </w:tc>
        <w:tc>
          <w:tcPr>
            <w:tcW w:w="6975" w:type="dxa"/>
            <w:vAlign w:val="center"/>
          </w:tcPr>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（七）不存在评标委员会认为投标人的报价明显低于其他通过符合性审查投标人的报价，有可能影响产品质量或者不能诚信履约的且不能在评标现场合理时间内提供相关证明材料说明其报价的合理性的情形；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vMerge w:val="continue"/>
          </w:tcPr>
          <w:p>
            <w:pPr>
              <w:spacing w:line="400" w:lineRule="exact"/>
              <w:ind w:firstLine="210" w:firstLineChars="100"/>
              <w:rPr>
                <w:rFonts w:ascii="宋体" w:hAnsi="宋体" w:cs="宋体"/>
                <w:color w:val="000000" w:themeColor="text1"/>
                <w:szCs w:val="21"/>
                <w14:textFill>
                  <w14:solidFill>
                    <w14:schemeClr w14:val="tx1"/>
                  </w14:solidFill>
                </w14:textFill>
              </w:rPr>
            </w:pPr>
          </w:p>
        </w:tc>
        <w:tc>
          <w:tcPr>
            <w:tcW w:w="6975" w:type="dxa"/>
            <w:vAlign w:val="center"/>
          </w:tcPr>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（八）投标文件（报价文件）内容与投标文件（技术商务文件）内容不存在重大差异的；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40" w:type="dxa"/>
            <w:vMerge w:val="continue"/>
          </w:tcPr>
          <w:p>
            <w:pPr>
              <w:spacing w:line="400" w:lineRule="exact"/>
              <w:ind w:firstLine="210" w:firstLineChars="100"/>
              <w:rPr>
                <w:rFonts w:ascii="宋体" w:hAnsi="宋体" w:cs="宋体"/>
                <w:color w:val="000000" w:themeColor="text1"/>
                <w:szCs w:val="21"/>
                <w14:textFill>
                  <w14:solidFill>
                    <w14:schemeClr w14:val="tx1"/>
                  </w14:solidFill>
                </w14:textFill>
              </w:rPr>
            </w:pPr>
          </w:p>
        </w:tc>
        <w:tc>
          <w:tcPr>
            <w:tcW w:w="6975"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（九）不存在法律、法规和招标文件规定的其他无效情形；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40" w:type="dxa"/>
            <w:vMerge w:val="continue"/>
          </w:tcPr>
          <w:p>
            <w:pPr>
              <w:spacing w:line="400" w:lineRule="exact"/>
              <w:ind w:firstLine="210" w:firstLineChars="100"/>
              <w:rPr>
                <w:rFonts w:ascii="宋体" w:hAnsi="宋体" w:cs="宋体"/>
                <w:color w:val="000000" w:themeColor="text1"/>
                <w:szCs w:val="21"/>
                <w14:textFill>
                  <w14:solidFill>
                    <w14:schemeClr w14:val="tx1"/>
                  </w14:solidFill>
                </w14:textFill>
              </w:rPr>
            </w:pPr>
          </w:p>
        </w:tc>
        <w:tc>
          <w:tcPr>
            <w:tcW w:w="6975"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（十）报价文件不存在招标文件所规定的其它无效投标条款要求。</w:t>
            </w:r>
          </w:p>
        </w:tc>
      </w:tr>
    </w:tbl>
    <w:p>
      <w:pPr>
        <w:spacing w:line="360" w:lineRule="auto"/>
        <w:ind w:firstLine="422" w:firstLineChars="200"/>
        <w:contextualSpacing/>
        <w:rPr>
          <w:rFonts w:ascii="宋体" w:hAnsi="宋体" w:cs="宋体"/>
          <w:b/>
          <w:color w:val="000000" w:themeColor="text1"/>
          <w:szCs w:val="21"/>
          <w14:textFill>
            <w14:solidFill>
              <w14:schemeClr w14:val="tx1"/>
            </w14:solidFill>
          </w14:textFill>
        </w:rPr>
      </w:pPr>
      <w:bookmarkStart w:id="55" w:name="_Toc249866767"/>
      <w:bookmarkStart w:id="56" w:name="_Toc259108323"/>
      <w:r>
        <w:rPr>
          <w:rFonts w:hint="eastAsia" w:ascii="宋体" w:hAnsi="宋体" w:cs="宋体"/>
          <w:b/>
          <w:color w:val="000000" w:themeColor="text1"/>
          <w:szCs w:val="21"/>
          <w14:textFill>
            <w14:solidFill>
              <w14:schemeClr w14:val="tx1"/>
            </w14:solidFill>
          </w14:textFill>
        </w:rPr>
        <w:t>（三）投标无效的情形</w:t>
      </w:r>
      <w:bookmarkEnd w:id="55"/>
      <w:bookmarkEnd w:id="56"/>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没有响应招标文件实质性要求的投标将被视为无效投标。投标人不得通过修正或撤消不合要求的偏离或保留从而使其投标成为实质上响应的投标，但经评标委员会认定属于投标人疏忽、笔误所造成的差错，可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pacing w:line="360" w:lineRule="auto"/>
        <w:contextualSpacing/>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A、在资格审查时，如发现下列情形之一的，将被视为无效投标文件：</w:t>
      </w:r>
    </w:p>
    <w:p>
      <w:pPr>
        <w:numPr>
          <w:ilvl w:val="0"/>
          <w:numId w:val="6"/>
        </w:num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未提交投标声明书或投标声明书内容不符合招标文件要求；</w:t>
      </w:r>
    </w:p>
    <w:p>
      <w:pPr>
        <w:numPr>
          <w:ilvl w:val="0"/>
          <w:numId w:val="6"/>
        </w:num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未提供营业执照副本复印件的；</w:t>
      </w:r>
    </w:p>
    <w:p>
      <w:pPr>
        <w:numPr>
          <w:ilvl w:val="0"/>
          <w:numId w:val="6"/>
        </w:num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未提供中小企业声明函或中小企业声明函内容不符合招标文件要求；</w:t>
      </w:r>
    </w:p>
    <w:p>
      <w:pPr>
        <w:numPr>
          <w:ilvl w:val="0"/>
          <w:numId w:val="6"/>
        </w:num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未按照招标文件规定要求签署或盖章；</w:t>
      </w:r>
    </w:p>
    <w:p>
      <w:pPr>
        <w:spacing w:line="360" w:lineRule="auto"/>
        <w:contextualSpacing/>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B、在符合性审查（技术商务文件）时，如发现下列情形之一的，将被视为无效投标文件：</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1、未提交投标函或投标函内容不符合招标文件要求；</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2、未按照招标文件规定要求签署或盖章；</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3、投标文件无法定代表人签署本人姓名（或印盖本人姓名章），或未提供有效的法定代表人授权委托书</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如有</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或授权委托书</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如有</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填写项目不齐全的；</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4、投标文件项目不齐全；</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5、投标文件标明的响应或偏离与事实不符或虚假投标的；</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6、投标文件的实质性内容未使用中文表述、意思表述不明确、前后矛盾或者使用计量单位不符合招标文件要求的（经评标委员会认定并允许其当场更正的笔误除外）；</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7、带“★”的条款不能满足招标文件要求、未实质性响应招标文件要求或者投标文件有采购人不能接受的附加条件的；</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8、招标文件 第二章 招标需求 “二、项目服务内容需求”的条款发生负偏离</w:t>
      </w:r>
      <w:r>
        <w:rPr>
          <w:rFonts w:hint="eastAsia" w:ascii="宋体" w:hAnsi="宋体" w:cs="宋体"/>
          <w:color w:val="000000" w:themeColor="text1"/>
          <w:szCs w:val="21"/>
          <w:lang w:val="en-US" w:eastAsia="zh-CN"/>
          <w14:textFill>
            <w14:solidFill>
              <w14:schemeClr w14:val="tx1"/>
            </w14:solidFill>
          </w14:textFill>
        </w:rPr>
        <w:t>或未响应</w:t>
      </w:r>
      <w:r>
        <w:rPr>
          <w:rFonts w:hint="eastAsia" w:ascii="宋体" w:hAnsi="宋体" w:cs="宋体"/>
          <w:color w:val="000000" w:themeColor="text1"/>
          <w:szCs w:val="21"/>
          <w14:textFill>
            <w14:solidFill>
              <w14:schemeClr w14:val="tx1"/>
            </w14:solidFill>
          </w14:textFill>
        </w:rPr>
        <w:t>达15项（不含）以上的</w:t>
      </w:r>
      <w:r>
        <w:rPr>
          <w:rFonts w:hint="eastAsia" w:ascii="宋体" w:hAnsi="宋体" w:cs="宋体"/>
          <w:color w:val="000000" w:themeColor="text1"/>
          <w:kern w:val="1"/>
          <w:szCs w:val="21"/>
          <w14:textFill>
            <w14:solidFill>
              <w14:schemeClr w14:val="tx1"/>
            </w14:solidFill>
          </w14:textFill>
        </w:rPr>
        <w:t>；</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9、投标技术方案不明确，存在一个或一个以上备选（替代）投标方案的；</w:t>
      </w:r>
    </w:p>
    <w:p>
      <w:pPr>
        <w:spacing w:line="360" w:lineRule="auto"/>
        <w:ind w:firstLine="420"/>
        <w:contextualSpacing/>
        <w:rPr>
          <w:rFonts w:ascii="宋体" w:hAnsi="宋体" w:cs="宋体"/>
          <w:color w:val="000000" w:themeColor="text1"/>
          <w:kern w:val="1"/>
          <w:szCs w:val="21"/>
          <w14:textFill>
            <w14:solidFill>
              <w14:schemeClr w14:val="tx1"/>
            </w14:solidFill>
          </w14:textFill>
        </w:rPr>
      </w:pPr>
      <w:r>
        <w:rPr>
          <w:rFonts w:hint="eastAsia" w:ascii="宋体" w:hAnsi="宋体" w:cs="宋体"/>
          <w:color w:val="000000" w:themeColor="text1"/>
          <w:kern w:val="1"/>
          <w:szCs w:val="21"/>
          <w14:textFill>
            <w14:solidFill>
              <w14:schemeClr w14:val="tx1"/>
            </w14:solidFill>
          </w14:textFill>
        </w:rPr>
        <w:t>10、商务技术文件中出现报价或单价的；</w:t>
      </w:r>
    </w:p>
    <w:p>
      <w:pPr>
        <w:spacing w:line="360" w:lineRule="auto"/>
        <w:ind w:firstLine="420"/>
        <w:contextualSpacing/>
        <w:rPr>
          <w:rFonts w:ascii="宋体" w:hAnsi="宋体" w:cs="宋体"/>
          <w:color w:val="000000" w:themeColor="text1"/>
          <w:kern w:val="1"/>
          <w:szCs w:val="21"/>
          <w14:textFill>
            <w14:solidFill>
              <w14:schemeClr w14:val="tx1"/>
            </w14:solidFill>
          </w14:textFill>
        </w:rPr>
      </w:pPr>
      <w:r>
        <w:rPr>
          <w:rFonts w:hint="eastAsia" w:ascii="宋体" w:hAnsi="宋体" w:cs="宋体"/>
          <w:color w:val="000000" w:themeColor="text1"/>
          <w:kern w:val="1"/>
          <w:szCs w:val="21"/>
          <w14:textFill>
            <w14:solidFill>
              <w14:schemeClr w14:val="tx1"/>
            </w14:solidFill>
          </w14:textFill>
        </w:rPr>
        <w:t>11、法律、法规和招标文件规定的其他无效情形；</w:t>
      </w:r>
    </w:p>
    <w:p>
      <w:pPr>
        <w:spacing w:line="360" w:lineRule="auto"/>
        <w:ind w:firstLine="420"/>
        <w:contextualSpacing/>
        <w:rPr>
          <w:rFonts w:ascii="宋体" w:hAnsi="宋体" w:cs="宋体"/>
          <w:color w:val="000000" w:themeColor="text1"/>
          <w:kern w:val="1"/>
          <w:szCs w:val="21"/>
          <w14:textFill>
            <w14:solidFill>
              <w14:schemeClr w14:val="tx1"/>
            </w14:solidFill>
          </w14:textFill>
        </w:rPr>
      </w:pPr>
      <w:r>
        <w:rPr>
          <w:rFonts w:hint="eastAsia" w:ascii="宋体" w:hAnsi="宋体" w:cs="宋体"/>
          <w:color w:val="000000" w:themeColor="text1"/>
          <w:kern w:val="1"/>
          <w:szCs w:val="21"/>
          <w14:textFill>
            <w14:solidFill>
              <w14:schemeClr w14:val="tx1"/>
            </w14:solidFill>
          </w14:textFill>
        </w:rPr>
        <w:t>12、投标文件的有效期不满足招标文件要求；</w:t>
      </w:r>
    </w:p>
    <w:p>
      <w:pPr>
        <w:spacing w:line="360" w:lineRule="auto"/>
        <w:ind w:firstLine="420"/>
        <w:contextualSpacing/>
        <w:rPr>
          <w:rFonts w:ascii="宋体" w:hAnsi="宋体" w:cs="宋体"/>
          <w:color w:val="000000" w:themeColor="text1"/>
          <w:kern w:val="1"/>
          <w:szCs w:val="21"/>
          <w14:textFill>
            <w14:solidFill>
              <w14:schemeClr w14:val="tx1"/>
            </w14:solidFill>
          </w14:textFill>
        </w:rPr>
      </w:pPr>
      <w:r>
        <w:rPr>
          <w:rFonts w:hint="eastAsia" w:ascii="宋体" w:hAnsi="宋体" w:cs="宋体"/>
          <w:color w:val="000000" w:themeColor="text1"/>
          <w:kern w:val="1"/>
          <w:szCs w:val="21"/>
          <w14:textFill>
            <w14:solidFill>
              <w14:schemeClr w14:val="tx1"/>
            </w14:solidFill>
          </w14:textFill>
        </w:rPr>
        <w:t>13、商务技术文件存在招标文件所规定的其它无效投标条款要求。</w:t>
      </w:r>
    </w:p>
    <w:p>
      <w:pPr>
        <w:spacing w:line="360" w:lineRule="auto"/>
        <w:contextualSpacing/>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C、在符合性审查（报价文件）时，如发现下列情形之一的，将被视为无效投标文件：</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1、未按照招标文件规定要求签署或盖章；</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2、投标文件项目不齐全；</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3、未采用人民币报价或者未按照招标文件标明的币种报价的；</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4、报价超出最高限价，或者超出采购预算金额，采购人不能支付的；</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5、投标报价具有选择性的；</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6、投标报价中出现重大缺项、漏项；</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7、评标委员会认为投标人的报价明显低于其他通过符合性审查投标人的报价，有可能影响产品质量或者不能诚信履约的，且不能在评标现场合理时间内提供相关证明材料说明其报价的合理性的；</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8、投标文件（报价文件）内容与投标文件（商务技术文件）内容有重大差异的；</w:t>
      </w:r>
    </w:p>
    <w:p>
      <w:pPr>
        <w:spacing w:line="360" w:lineRule="auto"/>
        <w:ind w:firstLine="420" w:firstLineChars="200"/>
        <w:contextualSpacing/>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9、法律、法规和招标文件规定的其他无效情形；</w:t>
      </w:r>
    </w:p>
    <w:p>
      <w:pPr>
        <w:spacing w:line="360" w:lineRule="auto"/>
        <w:ind w:firstLine="420" w:firstLineChars="200"/>
        <w:contextualSpacing/>
        <w:rPr>
          <w:rFonts w:ascii="宋体" w:hAnsi="宋体" w:cs="宋体"/>
          <w:color w:val="000000" w:themeColor="text1"/>
          <w:kern w:val="1"/>
          <w:szCs w:val="21"/>
          <w14:textFill>
            <w14:solidFill>
              <w14:schemeClr w14:val="tx1"/>
            </w14:solidFill>
          </w14:textFill>
        </w:rPr>
      </w:pPr>
      <w:r>
        <w:rPr>
          <w:rFonts w:hint="eastAsia" w:ascii="宋体" w:hAnsi="宋体" w:cs="宋体"/>
          <w:color w:val="000000" w:themeColor="text1"/>
          <w:kern w:val="1"/>
          <w:szCs w:val="21"/>
          <w14:textFill>
            <w14:solidFill>
              <w14:schemeClr w14:val="tx1"/>
            </w14:solidFill>
          </w14:textFill>
        </w:rPr>
        <w:t>10、报价文件存在招标文件所规定的其它无效投标条款要求。</w:t>
      </w:r>
    </w:p>
    <w:p>
      <w:pPr>
        <w:spacing w:line="360" w:lineRule="auto"/>
        <w:contextualSpacing/>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D、不同投标人的投标文件出自同一终端设备或在相同Internet主机分配地址（相同IP地址）网上报名投标的。</w:t>
      </w:r>
    </w:p>
    <w:p>
      <w:pPr>
        <w:spacing w:line="360" w:lineRule="auto"/>
        <w:contextualSpacing/>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E、法律、法规和招标文件规定的其他无效情形。</w:t>
      </w:r>
    </w:p>
    <w:p>
      <w:pPr>
        <w:spacing w:line="360" w:lineRule="auto"/>
        <w:contextualSpacing/>
        <w:rPr>
          <w:rFonts w:hint="eastAsia"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br w:type="page"/>
      </w:r>
      <w:r>
        <w:rPr>
          <w:rFonts w:hint="eastAsia" w:ascii="宋体" w:hAnsi="宋体" w:cs="宋体"/>
          <w:b/>
          <w:bCs/>
          <w:color w:val="000000" w:themeColor="text1"/>
          <w:szCs w:val="21"/>
          <w14:textFill>
            <w14:solidFill>
              <w14:schemeClr w14:val="tx1"/>
            </w14:solidFill>
          </w14:textFill>
        </w:rPr>
        <w:t>六、</w:t>
      </w:r>
      <w:r>
        <w:rPr>
          <w:rFonts w:hint="eastAsia" w:ascii="宋体" w:hAnsi="宋体" w:cs="宋体"/>
          <w:b/>
          <w:color w:val="000000" w:themeColor="text1"/>
          <w:szCs w:val="21"/>
          <w14:textFill>
            <w14:solidFill>
              <w14:schemeClr w14:val="tx1"/>
            </w14:solidFill>
          </w14:textFill>
        </w:rPr>
        <w:t>评分标准</w:t>
      </w:r>
    </w:p>
    <w:tbl>
      <w:tblPr>
        <w:tblStyle w:val="46"/>
        <w:tblW w:w="9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1155"/>
        <w:gridCol w:w="6225"/>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117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b/>
                <w:sz w:val="21"/>
                <w:szCs w:val="21"/>
                <w:highlight w:val="none"/>
              </w:rPr>
              <w:t>类别</w:t>
            </w:r>
          </w:p>
        </w:tc>
        <w:tc>
          <w:tcPr>
            <w:tcW w:w="738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right="0" w:firstLine="422"/>
              <w:jc w:val="center"/>
              <w:textAlignment w:val="auto"/>
              <w:rPr>
                <w:rFonts w:hint="eastAsia" w:ascii="宋体" w:hAnsi="宋体" w:eastAsia="宋体" w:cs="宋体"/>
                <w:sz w:val="21"/>
                <w:szCs w:val="21"/>
                <w:highlight w:val="none"/>
              </w:rPr>
            </w:pPr>
            <w:r>
              <w:rPr>
                <w:rFonts w:hint="eastAsia" w:ascii="宋体" w:hAnsi="宋体" w:eastAsia="宋体" w:cs="宋体"/>
                <w:b/>
                <w:sz w:val="21"/>
                <w:szCs w:val="21"/>
                <w:highlight w:val="none"/>
              </w:rPr>
              <w:t>指标描述</w:t>
            </w:r>
          </w:p>
        </w:tc>
        <w:tc>
          <w:tcPr>
            <w:tcW w:w="13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sz w:val="21"/>
                <w:szCs w:val="21"/>
                <w:highlight w:val="none"/>
                <w:lang w:val="en-US" w:eastAsia="zh-CN"/>
              </w:rPr>
            </w:pPr>
            <w:r>
              <w:rPr>
                <w:rFonts w:hint="eastAsia" w:ascii="宋体" w:hAnsi="宋体" w:eastAsia="宋体" w:cs="宋体"/>
                <w:b/>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1" w:hRule="atLeast"/>
          <w:jc w:val="center"/>
        </w:trPr>
        <w:tc>
          <w:tcPr>
            <w:tcW w:w="117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技术</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商务</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分</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w:t>
            </w:r>
            <w:r>
              <w:rPr>
                <w:rFonts w:hint="eastAsia" w:ascii="宋体" w:hAnsi="宋体" w:cs="宋体"/>
                <w:b/>
                <w:bCs/>
                <w:sz w:val="21"/>
                <w:szCs w:val="21"/>
                <w:highlight w:val="none"/>
                <w:lang w:val="en-US" w:eastAsia="zh-CN"/>
              </w:rPr>
              <w:t>80</w:t>
            </w:r>
            <w:r>
              <w:rPr>
                <w:rFonts w:hint="eastAsia" w:ascii="宋体" w:hAnsi="宋体" w:eastAsia="宋体" w:cs="宋体"/>
                <w:b/>
                <w:bCs/>
                <w:sz w:val="21"/>
                <w:szCs w:val="21"/>
                <w:highlight w:val="none"/>
                <w:lang w:val="en-US" w:eastAsia="zh-CN"/>
              </w:rPr>
              <w:t>分）</w:t>
            </w:r>
          </w:p>
        </w:tc>
        <w:tc>
          <w:tcPr>
            <w:tcW w:w="7380" w:type="dxa"/>
            <w:gridSpan w:val="2"/>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line="400" w:lineRule="exact"/>
              <w:ind w:left="0" w:right="0" w:firstLine="0"/>
              <w:jc w:val="left"/>
              <w:textAlignment w:val="auto"/>
              <w:rPr>
                <w:rFonts w:hint="default" w:ascii="宋体" w:hAnsi="宋体" w:eastAsia="宋体" w:cs="宋体"/>
                <w:color w:val="000000"/>
                <w:sz w:val="21"/>
                <w:szCs w:val="21"/>
                <w:highlight w:val="none"/>
                <w:shd w:val="clear" w:color="auto" w:fill="auto"/>
                <w:lang w:val="en-US" w:eastAsia="zh-CN"/>
              </w:rPr>
            </w:pPr>
            <w:r>
              <w:rPr>
                <w:rFonts w:hint="eastAsia" w:ascii="宋体" w:hAnsi="宋体" w:cs="宋体"/>
                <w:color w:val="000000"/>
                <w:sz w:val="21"/>
                <w:szCs w:val="21"/>
                <w:highlight w:val="none"/>
                <w:shd w:val="clear" w:color="auto" w:fill="auto"/>
                <w:lang w:val="en-US" w:eastAsia="zh-CN"/>
              </w:rPr>
              <w:t>1、技术响应（30分）：投标人完全响应招标文件 第二章 招标需求 “二、项目服务内容需求”的条款得30分，每有一项负偏离或未响应的扣2分，对负偏离或未响应15条（不含）以上的做无效标处理。</w:t>
            </w:r>
          </w:p>
        </w:tc>
        <w:tc>
          <w:tcPr>
            <w:tcW w:w="13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客观评审项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5" w:hRule="atLeast"/>
          <w:jc w:val="center"/>
        </w:trPr>
        <w:tc>
          <w:tcPr>
            <w:tcW w:w="117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bCs/>
                <w:sz w:val="21"/>
                <w:szCs w:val="21"/>
                <w:highlight w:val="none"/>
                <w:lang w:val="en-US" w:eastAsia="zh-CN"/>
              </w:rPr>
            </w:pPr>
          </w:p>
        </w:tc>
        <w:tc>
          <w:tcPr>
            <w:tcW w:w="7380" w:type="dxa"/>
            <w:gridSpan w:val="2"/>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line="400" w:lineRule="exact"/>
              <w:ind w:left="0" w:right="0" w:firstLine="0"/>
              <w:jc w:val="left"/>
              <w:textAlignment w:val="auto"/>
              <w:rPr>
                <w:rFonts w:hint="default" w:ascii="宋体" w:hAnsi="宋体" w:cs="宋体"/>
                <w:color w:val="000000"/>
                <w:sz w:val="21"/>
                <w:szCs w:val="21"/>
                <w:highlight w:val="none"/>
                <w:shd w:val="clear" w:color="auto" w:fill="auto"/>
                <w:lang w:val="en-US" w:eastAsia="zh-CN"/>
              </w:rPr>
            </w:pPr>
            <w:r>
              <w:rPr>
                <w:rFonts w:hint="eastAsia" w:ascii="宋体" w:hAnsi="宋体" w:cs="宋体"/>
                <w:color w:val="000000"/>
                <w:sz w:val="21"/>
                <w:szCs w:val="21"/>
                <w:highlight w:val="none"/>
                <w:shd w:val="clear" w:color="auto" w:fill="auto"/>
                <w:lang w:val="en-US" w:eastAsia="zh-CN"/>
              </w:rPr>
              <w:t>2、商务响应（3分）：投标人完全响应招标文件 第二章 招标需求 “四、商务要求”的得3分，否则不得分。</w:t>
            </w:r>
          </w:p>
        </w:tc>
        <w:tc>
          <w:tcPr>
            <w:tcW w:w="13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客观评审项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6" w:hRule="atLeast"/>
          <w:jc w:val="center"/>
        </w:trPr>
        <w:tc>
          <w:tcPr>
            <w:tcW w:w="117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bCs/>
                <w:sz w:val="21"/>
                <w:szCs w:val="21"/>
                <w:highlight w:val="none"/>
                <w:lang w:val="en-US" w:eastAsia="zh-CN"/>
              </w:rPr>
            </w:pPr>
          </w:p>
        </w:tc>
        <w:tc>
          <w:tcPr>
            <w:tcW w:w="7380" w:type="dxa"/>
            <w:gridSpan w:val="2"/>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line="400" w:lineRule="exact"/>
              <w:ind w:left="0" w:right="0" w:firstLine="0"/>
              <w:jc w:val="left"/>
              <w:textAlignment w:val="auto"/>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3、业绩（2分）：投标人自2019年1月1日以来（以合同签订时间为准）承担过同类项目案例的，每提供1个项目业绩得1分，最高得2分。</w:t>
            </w: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line="400" w:lineRule="exact"/>
              <w:ind w:left="0" w:right="0" w:firstLine="0"/>
              <w:jc w:val="left"/>
              <w:textAlignment w:val="auto"/>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注：投标文件中提供合同复印件加盖投标人公章，否则不得分。</w:t>
            </w:r>
          </w:p>
        </w:tc>
        <w:tc>
          <w:tcPr>
            <w:tcW w:w="13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客观评审项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8" w:hRule="atLeast"/>
          <w:jc w:val="center"/>
        </w:trPr>
        <w:tc>
          <w:tcPr>
            <w:tcW w:w="117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bCs/>
                <w:sz w:val="21"/>
                <w:szCs w:val="21"/>
                <w:highlight w:val="none"/>
                <w:lang w:val="en-US" w:eastAsia="zh-CN"/>
              </w:rPr>
            </w:pPr>
          </w:p>
        </w:tc>
        <w:tc>
          <w:tcPr>
            <w:tcW w:w="7380" w:type="dxa"/>
            <w:gridSpan w:val="2"/>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line="400" w:lineRule="exact"/>
              <w:ind w:left="0" w:right="0" w:firstLine="0"/>
              <w:jc w:val="left"/>
              <w:textAlignment w:val="auto"/>
              <w:rPr>
                <w:rFonts w:hint="eastAsia" w:ascii="宋体" w:hAnsi="宋体"/>
                <w:lang w:eastAsia="zh-CN"/>
              </w:rPr>
            </w:pPr>
            <w:r>
              <w:rPr>
                <w:rFonts w:hint="eastAsia" w:ascii="宋体" w:hAnsi="宋体" w:cs="宋体"/>
                <w:sz w:val="21"/>
                <w:szCs w:val="21"/>
                <w:highlight w:val="none"/>
                <w:lang w:val="en-US" w:eastAsia="zh-CN"/>
              </w:rPr>
              <w:t>4、综合</w:t>
            </w:r>
            <w:r>
              <w:rPr>
                <w:rFonts w:hint="eastAsia" w:ascii="宋体" w:hAnsi="宋体"/>
              </w:rPr>
              <w:t>实力</w:t>
            </w:r>
            <w:r>
              <w:rPr>
                <w:rFonts w:hint="eastAsia" w:ascii="宋体" w:hAnsi="宋体"/>
                <w:lang w:eastAsia="zh-CN"/>
              </w:rPr>
              <w:t>（</w:t>
            </w:r>
            <w:r>
              <w:rPr>
                <w:rFonts w:hint="eastAsia" w:ascii="宋体" w:hAnsi="宋体"/>
                <w:lang w:val="en-US" w:eastAsia="zh-CN"/>
              </w:rPr>
              <w:t>3分</w:t>
            </w:r>
            <w:r>
              <w:rPr>
                <w:rFonts w:hint="eastAsia" w:ascii="宋体" w:hAnsi="宋体"/>
                <w:lang w:eastAsia="zh-CN"/>
              </w:rPr>
              <w:t>）：</w:t>
            </w:r>
            <w:r>
              <w:rPr>
                <w:rFonts w:hint="eastAsia" w:ascii="宋体" w:hAnsi="宋体"/>
                <w:lang w:val="en-US" w:eastAsia="zh-CN"/>
              </w:rPr>
              <w:t>投标人</w:t>
            </w:r>
            <w:r>
              <w:rPr>
                <w:rFonts w:hint="eastAsia" w:ascii="宋体" w:hAnsi="宋体"/>
                <w:lang w:eastAsia="zh-CN"/>
              </w:rPr>
              <w:t>持有有效的质量管理体系认证证书、信息安全管理体系认证证书、信息技术服务管理体系认证证书</w:t>
            </w:r>
            <w:r>
              <w:rPr>
                <w:rFonts w:hint="eastAsia" w:ascii="宋体" w:hAnsi="宋体"/>
                <w:lang w:val="en-US" w:eastAsia="zh-CN"/>
              </w:rPr>
              <w:t>的，每个证书得1分，最多得3</w:t>
            </w:r>
            <w:r>
              <w:rPr>
                <w:rFonts w:hint="eastAsia" w:ascii="宋体" w:hAnsi="宋体"/>
                <w:lang w:eastAsia="zh-CN"/>
              </w:rPr>
              <w:t>分。</w:t>
            </w: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line="400" w:lineRule="exact"/>
              <w:ind w:left="0" w:right="0" w:firstLine="0"/>
              <w:jc w:val="left"/>
              <w:textAlignment w:val="auto"/>
              <w:rPr>
                <w:rFonts w:hint="eastAsia" w:ascii="宋体" w:hAnsi="宋体" w:cs="宋体"/>
                <w:sz w:val="21"/>
                <w:szCs w:val="21"/>
                <w:highlight w:val="none"/>
                <w:lang w:val="en-US" w:eastAsia="zh-CN"/>
              </w:rPr>
            </w:pPr>
            <w:r>
              <w:rPr>
                <w:rFonts w:hint="eastAsia" w:ascii="宋体" w:hAnsi="宋体"/>
                <w:lang w:eastAsia="zh-CN"/>
              </w:rPr>
              <w:t>注：</w:t>
            </w:r>
            <w:r>
              <w:rPr>
                <w:rFonts w:hint="eastAsia" w:ascii="宋体" w:hAnsi="宋体"/>
                <w:lang w:val="en-US" w:eastAsia="zh-CN"/>
              </w:rPr>
              <w:t>投标</w:t>
            </w:r>
            <w:r>
              <w:rPr>
                <w:rFonts w:hint="eastAsia" w:ascii="宋体" w:hAnsi="宋体"/>
                <w:lang w:eastAsia="zh-CN"/>
              </w:rPr>
              <w:t>文件中须提供有效期内的认证证书复印件及“全国认证认可信息公共服务平台（http://cx.cnca.cn）”查询截图并加盖公章，否则不得分，复印件与查询截图不一致的以查询截图为准。</w:t>
            </w:r>
          </w:p>
        </w:tc>
        <w:tc>
          <w:tcPr>
            <w:tcW w:w="13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客观评审项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1" w:hRule="atLeast"/>
          <w:jc w:val="center"/>
        </w:trPr>
        <w:tc>
          <w:tcPr>
            <w:tcW w:w="117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bCs/>
                <w:sz w:val="21"/>
                <w:szCs w:val="21"/>
                <w:highlight w:val="none"/>
                <w:lang w:val="en-US" w:eastAsia="zh-CN"/>
              </w:rPr>
            </w:pPr>
          </w:p>
        </w:tc>
        <w:tc>
          <w:tcPr>
            <w:tcW w:w="7380" w:type="dxa"/>
            <w:gridSpan w:val="2"/>
            <w:noWrap w:val="0"/>
            <w:vAlign w:val="center"/>
          </w:tcPr>
          <w:p>
            <w:pPr>
              <w:keepNext w:val="0"/>
              <w:keepLines w:val="0"/>
              <w:pageBreakBefore w:val="0"/>
              <w:widowControl w:val="0"/>
              <w:numPr>
                <w:ilvl w:val="0"/>
                <w:numId w:val="0"/>
              </w:numPr>
              <w:shd w:val="clear" w:color="auto" w:fill="auto"/>
              <w:tabs>
                <w:tab w:val="left" w:pos="0"/>
              </w:tabs>
              <w:kinsoku/>
              <w:wordWrap/>
              <w:overflowPunct/>
              <w:topLinePunct w:val="0"/>
              <w:autoSpaceDE/>
              <w:autoSpaceDN/>
              <w:bidi w:val="0"/>
              <w:adjustRightInd w:val="0"/>
              <w:snapToGrid w:val="0"/>
              <w:spacing w:line="400" w:lineRule="exact"/>
              <w:ind w:right="0" w:rightChars="0"/>
              <w:jc w:val="left"/>
              <w:textAlignment w:val="auto"/>
              <w:rPr>
                <w:rFonts w:hint="eastAsia" w:ascii="宋体" w:hAnsi="宋体"/>
                <w:lang w:val="en-US" w:eastAsia="zh-CN"/>
              </w:rPr>
            </w:pPr>
            <w:r>
              <w:rPr>
                <w:rFonts w:hint="eastAsia" w:ascii="宋体" w:hAnsi="宋体"/>
                <w:lang w:val="en-US" w:eastAsia="zh-CN"/>
              </w:rPr>
              <w:t>5、投标人具有使用或购买云觅服务的证明的得2分。</w:t>
            </w:r>
          </w:p>
          <w:p>
            <w:pPr>
              <w:keepNext w:val="0"/>
              <w:keepLines w:val="0"/>
              <w:pageBreakBefore w:val="0"/>
              <w:widowControl w:val="0"/>
              <w:numPr>
                <w:ilvl w:val="0"/>
                <w:numId w:val="0"/>
              </w:numPr>
              <w:shd w:val="clear" w:color="auto" w:fill="auto"/>
              <w:tabs>
                <w:tab w:val="left" w:pos="0"/>
              </w:tabs>
              <w:kinsoku/>
              <w:wordWrap/>
              <w:overflowPunct/>
              <w:topLinePunct w:val="0"/>
              <w:autoSpaceDE/>
              <w:autoSpaceDN/>
              <w:bidi w:val="0"/>
              <w:adjustRightInd w:val="0"/>
              <w:snapToGrid w:val="0"/>
              <w:spacing w:line="400" w:lineRule="exact"/>
              <w:ind w:right="0" w:rightChars="0"/>
              <w:jc w:val="left"/>
              <w:textAlignment w:val="auto"/>
              <w:rPr>
                <w:rFonts w:hint="default" w:ascii="宋体" w:hAnsi="宋体"/>
                <w:lang w:val="en-US" w:eastAsia="zh-CN"/>
              </w:rPr>
            </w:pPr>
            <w:r>
              <w:rPr>
                <w:rFonts w:hint="eastAsia"/>
                <w:color w:val="auto"/>
                <w:lang w:val="en-US" w:eastAsia="zh-CN"/>
              </w:rPr>
              <w:t>注：</w:t>
            </w:r>
            <w:r>
              <w:rPr>
                <w:rFonts w:hint="eastAsia" w:eastAsia="宋体" w:cs="Times New Roman"/>
                <w:b w:val="0"/>
                <w:bCs w:val="0"/>
                <w:color w:val="auto"/>
                <w:kern w:val="2"/>
                <w:sz w:val="21"/>
                <w:szCs w:val="24"/>
                <w:lang w:val="en-US" w:eastAsia="zh-CN" w:bidi="ar-SA"/>
              </w:rPr>
              <w:t>投标</w:t>
            </w:r>
            <w:r>
              <w:rPr>
                <w:rFonts w:hint="eastAsia" w:ascii="Times New Roman" w:hAnsi="Times New Roman" w:eastAsia="宋体" w:cs="Times New Roman"/>
                <w:b w:val="0"/>
                <w:bCs w:val="0"/>
                <w:color w:val="auto"/>
                <w:kern w:val="2"/>
                <w:sz w:val="21"/>
                <w:szCs w:val="24"/>
                <w:lang w:val="en-US" w:eastAsia="zh-CN" w:bidi="ar-SA"/>
              </w:rPr>
              <w:t>文件中提供使用单位出具的证明材料或合同复印件并加盖公章。</w:t>
            </w:r>
          </w:p>
        </w:tc>
        <w:tc>
          <w:tcPr>
            <w:tcW w:w="13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客观评审项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117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sz w:val="21"/>
                <w:szCs w:val="21"/>
                <w:highlight w:val="none"/>
              </w:rPr>
            </w:pPr>
          </w:p>
        </w:tc>
        <w:tc>
          <w:tcPr>
            <w:tcW w:w="115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宋体" w:hAnsi="宋体" w:eastAsia="宋体" w:cs="宋体"/>
                <w:color w:val="C00000"/>
                <w:sz w:val="21"/>
                <w:szCs w:val="21"/>
                <w:highlight w:val="none"/>
                <w:lang w:val="en-US" w:eastAsia="zh-CN"/>
              </w:rPr>
            </w:pPr>
            <w:r>
              <w:rPr>
                <w:rFonts w:hint="eastAsia" w:ascii="宋体" w:hAnsi="宋体" w:cs="宋体"/>
                <w:color w:val="auto"/>
                <w:sz w:val="21"/>
                <w:szCs w:val="21"/>
                <w:highlight w:val="none"/>
                <w:lang w:val="en-US" w:eastAsia="zh-CN"/>
              </w:rPr>
              <w:t>6、实施方案（10分）</w:t>
            </w:r>
          </w:p>
        </w:tc>
        <w:tc>
          <w:tcPr>
            <w:tcW w:w="622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400" w:lineRule="exact"/>
              <w:ind w:left="0" w:right="0" w:firstLine="0"/>
              <w:jc w:val="left"/>
              <w:textAlignment w:val="auto"/>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shd w:val="clear" w:color="auto" w:fill="auto"/>
                <w:lang w:val="en-US" w:eastAsia="zh-CN"/>
              </w:rPr>
              <w:t>（1）</w:t>
            </w:r>
            <w:r>
              <w:rPr>
                <w:rFonts w:hint="eastAsia" w:ascii="宋体" w:hAnsi="宋体" w:cs="宋体"/>
                <w:sz w:val="21"/>
                <w:szCs w:val="21"/>
                <w:highlight w:val="none"/>
                <w:lang w:val="en-US" w:eastAsia="zh-CN"/>
              </w:rPr>
              <w:t>评委会根据投标人提供的</w:t>
            </w:r>
            <w:r>
              <w:rPr>
                <w:rFonts w:hint="eastAsia" w:ascii="宋体" w:hAnsi="宋体"/>
                <w:color w:val="000000"/>
              </w:rPr>
              <w:t>项目</w:t>
            </w:r>
            <w:r>
              <w:rPr>
                <w:rFonts w:hint="eastAsia" w:ascii="宋体" w:hAnsi="宋体"/>
                <w:color w:val="000000"/>
                <w:lang w:eastAsia="zh-CN"/>
              </w:rPr>
              <w:t>理解</w:t>
            </w:r>
            <w:r>
              <w:rPr>
                <w:rFonts w:hint="eastAsia" w:ascii="宋体" w:hAnsi="宋体" w:cs="宋体"/>
                <w:sz w:val="21"/>
                <w:szCs w:val="21"/>
                <w:highlight w:val="none"/>
                <w:lang w:val="en-US" w:eastAsia="zh-CN"/>
              </w:rPr>
              <w:t>（包括对</w:t>
            </w:r>
            <w:r>
              <w:rPr>
                <w:rFonts w:hint="eastAsia" w:ascii="宋体" w:hAnsi="宋体" w:cs="宋体"/>
                <w:color w:val="000000"/>
                <w:highlight w:val="none"/>
                <w:lang w:val="en-US" w:eastAsia="zh-CN"/>
              </w:rPr>
              <w:t>项目概况</w:t>
            </w:r>
            <w:r>
              <w:rPr>
                <w:rFonts w:hint="eastAsia" w:ascii="宋体" w:hAnsi="宋体" w:cs="宋体"/>
                <w:sz w:val="21"/>
                <w:szCs w:val="21"/>
                <w:highlight w:val="none"/>
                <w:lang w:val="en-US" w:eastAsia="zh-CN"/>
              </w:rPr>
              <w:t>、软件服务要求、业务需求、系统服务需求、项目安全设计需求等理解）进行评审，理解欠全面的，每项扣0.5分；</w:t>
            </w:r>
            <w:r>
              <w:rPr>
                <w:rFonts w:hint="eastAsia" w:ascii="宋体" w:hAnsi="宋体"/>
                <w:color w:val="000000"/>
                <w:lang w:eastAsia="zh-CN"/>
              </w:rPr>
              <w:t>理解</w:t>
            </w:r>
            <w:r>
              <w:rPr>
                <w:rFonts w:hint="eastAsia" w:ascii="宋体" w:hAnsi="宋体" w:cs="宋体"/>
                <w:sz w:val="21"/>
                <w:szCs w:val="21"/>
                <w:highlight w:val="none"/>
                <w:lang w:val="en-US" w:eastAsia="zh-CN"/>
              </w:rPr>
              <w:t>不全面的，每项扣1分，扣完为止，本项最高得5分。</w:t>
            </w:r>
          </w:p>
        </w:tc>
        <w:tc>
          <w:tcPr>
            <w:tcW w:w="137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lang w:val="en-US" w:eastAsia="zh-CN"/>
              </w:rPr>
              <w:t>主观评审项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117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rPr>
            </w:pPr>
          </w:p>
        </w:tc>
        <w:tc>
          <w:tcPr>
            <w:tcW w:w="115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rPr>
            </w:pPr>
          </w:p>
        </w:tc>
        <w:tc>
          <w:tcPr>
            <w:tcW w:w="622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400" w:lineRule="exact"/>
              <w:ind w:left="0" w:right="0" w:firstLine="0"/>
              <w:jc w:val="left"/>
              <w:textAlignment w:val="auto"/>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（2）</w:t>
            </w:r>
            <w:r>
              <w:rPr>
                <w:rFonts w:hint="eastAsia" w:ascii="宋体" w:hAnsi="宋体" w:cs="宋体"/>
                <w:sz w:val="21"/>
                <w:szCs w:val="21"/>
                <w:highlight w:val="none"/>
                <w:lang w:val="en-US" w:eastAsia="zh-CN"/>
              </w:rPr>
              <w:t>评委会根据投标人提供的具体实施方案（包括业务需求服务、安全管理服务、平台管理服务、基础研判服务、技术能力服务等）进行评审，方案欠合理的，每项扣0.5分；方案不合理的，每项扣1分，扣完为止，本项最高得5分。</w:t>
            </w:r>
          </w:p>
        </w:tc>
        <w:tc>
          <w:tcPr>
            <w:tcW w:w="137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auto"/>
                <w:sz w:val="21"/>
                <w:szCs w:val="21"/>
                <w:highlight w:val="none"/>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jc w:val="center"/>
        </w:trPr>
        <w:tc>
          <w:tcPr>
            <w:tcW w:w="117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sz w:val="21"/>
                <w:szCs w:val="21"/>
                <w:highlight w:val="none"/>
              </w:rPr>
            </w:pPr>
          </w:p>
        </w:tc>
        <w:tc>
          <w:tcPr>
            <w:tcW w:w="738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400" w:lineRule="exact"/>
              <w:ind w:left="0" w:right="0" w:firstLine="0"/>
              <w:jc w:val="left"/>
              <w:textAlignment w:val="auto"/>
              <w:rPr>
                <w:rFonts w:hint="default" w:ascii="宋体" w:hAnsi="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7、进度安排（5分）：</w:t>
            </w:r>
            <w:r>
              <w:rPr>
                <w:rFonts w:hint="eastAsia" w:ascii="宋体" w:hAnsi="宋体" w:cs="宋体"/>
                <w:sz w:val="21"/>
                <w:szCs w:val="21"/>
                <w:highlight w:val="none"/>
                <w:lang w:val="en-US" w:eastAsia="zh-CN"/>
              </w:rPr>
              <w:t>评委会根据投标人提供的进度安排方案（包括业务需求服务、安全管理服务、平台管理服务、基础研判服务、技术能力服务等）进行评审，方案欠详细合理的，每项扣0.5分；方案不详细合理的，每项扣1分，扣完为止，本项最高得5分。</w:t>
            </w:r>
          </w:p>
        </w:tc>
        <w:tc>
          <w:tcPr>
            <w:tcW w:w="13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sz w:val="21"/>
                <w:szCs w:val="21"/>
                <w:highlight w:val="none"/>
                <w:lang w:val="en-US" w:eastAsia="zh-CN"/>
              </w:rPr>
            </w:pPr>
            <w:r>
              <w:rPr>
                <w:rFonts w:hint="eastAsia" w:ascii="宋体" w:hAnsi="宋体" w:eastAsia="宋体" w:cs="宋体"/>
                <w:sz w:val="21"/>
                <w:szCs w:val="21"/>
                <w:highlight w:val="none"/>
                <w:lang w:val="en-US" w:eastAsia="zh-CN"/>
              </w:rPr>
              <w:t>主观评审项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jc w:val="center"/>
        </w:trPr>
        <w:tc>
          <w:tcPr>
            <w:tcW w:w="117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sz w:val="21"/>
                <w:szCs w:val="21"/>
                <w:highlight w:val="none"/>
              </w:rPr>
            </w:pPr>
          </w:p>
        </w:tc>
        <w:tc>
          <w:tcPr>
            <w:tcW w:w="738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400" w:lineRule="exact"/>
              <w:ind w:left="0" w:right="0" w:firstLine="0"/>
              <w:jc w:val="left"/>
              <w:textAlignment w:val="auto"/>
              <w:rPr>
                <w:rFonts w:hint="eastAsia" w:ascii="宋体" w:hAnsi="宋体" w:eastAsia="宋体" w:cs="宋体"/>
                <w:color w:val="FF0000"/>
                <w:sz w:val="21"/>
                <w:szCs w:val="21"/>
                <w:highlight w:val="none"/>
                <w:lang w:val="en-US" w:eastAsia="zh-CN"/>
              </w:rPr>
            </w:pPr>
            <w:r>
              <w:rPr>
                <w:rFonts w:hint="eastAsia" w:ascii="宋体" w:hAnsi="宋体" w:cs="宋体"/>
                <w:color w:val="000000"/>
                <w:sz w:val="21"/>
                <w:szCs w:val="21"/>
                <w:highlight w:val="none"/>
                <w:lang w:val="en-US" w:eastAsia="zh-CN"/>
              </w:rPr>
              <w:t>8、人员配备（5分）：评委会根据投标人针对本项目的人员配备情况（包括完善的服务团队、职责分工明确、人员调度的便捷性、配备人员的综合素质、实施经验满足采购需求等）进行评审，配备欠合理的，每项扣0.5分；配备不合理的，每项扣1分，扣完为止，本项最高得5分。</w:t>
            </w:r>
          </w:p>
        </w:tc>
        <w:tc>
          <w:tcPr>
            <w:tcW w:w="13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cs="宋体"/>
                <w:sz w:val="21"/>
                <w:szCs w:val="21"/>
                <w:highlight w:val="none"/>
                <w:lang w:val="en-US" w:eastAsia="zh-CN"/>
              </w:rPr>
              <w:t>主</w:t>
            </w:r>
            <w:r>
              <w:rPr>
                <w:rFonts w:hint="eastAsia" w:ascii="宋体" w:hAnsi="宋体" w:eastAsia="宋体" w:cs="宋体"/>
                <w:sz w:val="21"/>
                <w:szCs w:val="21"/>
                <w:highlight w:val="none"/>
                <w:lang w:val="en-US" w:eastAsia="zh-CN"/>
              </w:rPr>
              <w:t>观评审项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117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sz w:val="21"/>
                <w:szCs w:val="21"/>
                <w:highlight w:val="none"/>
              </w:rPr>
            </w:pPr>
          </w:p>
        </w:tc>
        <w:tc>
          <w:tcPr>
            <w:tcW w:w="738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400" w:lineRule="exact"/>
              <w:ind w:left="0" w:right="0" w:firstLine="0"/>
              <w:jc w:val="left"/>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9、服务质量</w:t>
            </w:r>
            <w:r>
              <w:rPr>
                <w:rFonts w:hint="eastAsia" w:ascii="宋体" w:hAnsi="宋体" w:eastAsia="宋体" w:cs="宋体"/>
                <w:color w:val="auto"/>
                <w:sz w:val="21"/>
                <w:szCs w:val="21"/>
                <w:highlight w:val="none"/>
                <w:lang w:val="en-US" w:eastAsia="zh-CN"/>
              </w:rPr>
              <w:t>保证措施（5分）：评委会根据投标人的</w:t>
            </w:r>
            <w:r>
              <w:rPr>
                <w:rFonts w:hint="eastAsia" w:ascii="宋体" w:hAnsi="宋体" w:cs="宋体"/>
                <w:color w:val="auto"/>
                <w:sz w:val="21"/>
                <w:szCs w:val="21"/>
                <w:highlight w:val="none"/>
                <w:lang w:val="en-US" w:eastAsia="zh-CN"/>
              </w:rPr>
              <w:t>服务质量</w:t>
            </w:r>
            <w:r>
              <w:rPr>
                <w:rFonts w:hint="eastAsia" w:ascii="宋体" w:hAnsi="宋体" w:eastAsia="宋体" w:cs="宋体"/>
                <w:color w:val="auto"/>
                <w:sz w:val="21"/>
                <w:szCs w:val="21"/>
                <w:highlight w:val="none"/>
                <w:lang w:val="en-US" w:eastAsia="zh-CN"/>
              </w:rPr>
              <w:t>保证措施（包括整体措施全面完整、</w:t>
            </w:r>
            <w:r>
              <w:rPr>
                <w:rFonts w:hint="eastAsia" w:ascii="宋体" w:hAnsi="宋体" w:cs="宋体"/>
                <w:color w:val="auto"/>
                <w:sz w:val="21"/>
                <w:szCs w:val="21"/>
                <w:highlight w:val="none"/>
                <w:lang w:val="en-US" w:eastAsia="zh-CN"/>
              </w:rPr>
              <w:t>重点</w:t>
            </w:r>
            <w:r>
              <w:rPr>
                <w:rFonts w:hint="eastAsia" w:ascii="宋体" w:hAnsi="宋体" w:eastAsia="宋体" w:cs="宋体"/>
                <w:color w:val="auto"/>
                <w:sz w:val="21"/>
                <w:szCs w:val="21"/>
                <w:highlight w:val="none"/>
                <w:lang w:val="en-US" w:eastAsia="zh-CN"/>
              </w:rPr>
              <w:t>突出、亮点明确、可行性强、条理清晰、满足采购需求等）进行评审，措施欠合理的，每项扣0.5分；措施不合理的，每项扣1分，扣完为止，本项最高得5分。</w:t>
            </w:r>
          </w:p>
        </w:tc>
        <w:tc>
          <w:tcPr>
            <w:tcW w:w="13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highlight w:val="none"/>
                <w:lang w:val="en-US" w:eastAsia="zh-CN"/>
              </w:rPr>
              <w:t>主观评审项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117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sz w:val="21"/>
                <w:szCs w:val="21"/>
                <w:highlight w:val="none"/>
              </w:rPr>
            </w:pPr>
          </w:p>
        </w:tc>
        <w:tc>
          <w:tcPr>
            <w:tcW w:w="738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400" w:lineRule="exact"/>
              <w:ind w:left="0" w:right="0" w:firstLine="0"/>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10、应急方案（5分）：评委会根据投标人针对本项目的应急预案（包括安全保障方案，安全问题后的应急方案、解决措施及接受惩罚措施的承诺，突发事件时的应急预案和措施等）进行评审，预案欠合理的，每项扣0.5分；预案不合理的，每项扣1分，扣完为止，本项最高得5分。</w:t>
            </w:r>
          </w:p>
        </w:tc>
        <w:tc>
          <w:tcPr>
            <w:tcW w:w="13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主观评审项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3" w:hRule="atLeast"/>
          <w:jc w:val="center"/>
        </w:trPr>
        <w:tc>
          <w:tcPr>
            <w:tcW w:w="117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sz w:val="21"/>
                <w:szCs w:val="21"/>
                <w:highlight w:val="none"/>
              </w:rPr>
            </w:pPr>
          </w:p>
        </w:tc>
        <w:tc>
          <w:tcPr>
            <w:tcW w:w="738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default" w:ascii="宋体" w:hAnsi="宋体" w:eastAsia="宋体" w:cs="宋体"/>
                <w:color w:val="auto"/>
                <w:sz w:val="21"/>
                <w:szCs w:val="21"/>
                <w:highlight w:val="none"/>
                <w:lang w:val="en-US"/>
              </w:rPr>
            </w:pPr>
            <w:r>
              <w:rPr>
                <w:rFonts w:hint="eastAsia" w:ascii="宋体" w:hAnsi="宋体" w:cs="宋体"/>
                <w:color w:val="auto"/>
                <w:sz w:val="21"/>
                <w:szCs w:val="21"/>
                <w:highlight w:val="none"/>
                <w:lang w:val="en-US" w:eastAsia="zh-CN"/>
              </w:rPr>
              <w:t>11、培训方案（5分）：</w:t>
            </w:r>
            <w:r>
              <w:rPr>
                <w:rFonts w:hint="eastAsia" w:ascii="宋体" w:hAnsi="宋体" w:eastAsia="宋体" w:cs="宋体"/>
                <w:color w:val="auto"/>
                <w:sz w:val="21"/>
                <w:szCs w:val="21"/>
                <w:highlight w:val="none"/>
                <w:lang w:val="en-US" w:eastAsia="zh-CN"/>
              </w:rPr>
              <w:t>评委会根据投标人</w:t>
            </w:r>
            <w:r>
              <w:rPr>
                <w:rFonts w:hint="eastAsia" w:ascii="宋体" w:hAnsi="宋体"/>
              </w:rPr>
              <w:t>针对本项目的培训</w:t>
            </w:r>
            <w:r>
              <w:rPr>
                <w:rFonts w:hint="eastAsia" w:ascii="宋体" w:hAnsi="宋体"/>
                <w:lang w:val="en-US" w:eastAsia="zh-CN"/>
              </w:rPr>
              <w:t>方案</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000000"/>
                <w:sz w:val="21"/>
                <w:szCs w:val="21"/>
                <w:highlight w:val="none"/>
                <w:shd w:val="clear" w:color="auto" w:fill="auto"/>
                <w:lang w:val="en-US" w:eastAsia="zh-CN"/>
              </w:rPr>
              <w:t>包括</w:t>
            </w:r>
            <w:r>
              <w:rPr>
                <w:rFonts w:hint="eastAsia" w:ascii="宋体" w:hAnsi="宋体"/>
              </w:rPr>
              <w:t>培训时间</w:t>
            </w:r>
            <w:r>
              <w:rPr>
                <w:rFonts w:hint="eastAsia" w:ascii="宋体" w:hAnsi="宋体"/>
                <w:lang w:val="en-US" w:eastAsia="zh-CN"/>
              </w:rPr>
              <w:t>合理</w:t>
            </w:r>
            <w:r>
              <w:rPr>
                <w:rFonts w:hint="eastAsia" w:ascii="宋体" w:hAnsi="宋体" w:eastAsia="宋体" w:cs="宋体"/>
                <w:color w:val="000000"/>
                <w:sz w:val="21"/>
                <w:szCs w:val="21"/>
                <w:highlight w:val="none"/>
                <w:shd w:val="clear" w:color="auto" w:fill="auto"/>
                <w:lang w:val="en-US" w:eastAsia="zh-CN"/>
              </w:rPr>
              <w:t>、</w:t>
            </w:r>
            <w:r>
              <w:rPr>
                <w:rFonts w:hint="eastAsia" w:ascii="宋体" w:hAnsi="宋体" w:eastAsia="宋体" w:cs="宋体"/>
                <w:color w:val="auto"/>
                <w:sz w:val="21"/>
                <w:szCs w:val="21"/>
                <w:highlight w:val="none"/>
                <w:lang w:val="en-US" w:eastAsia="zh-CN"/>
              </w:rPr>
              <w:t>培训课程内容丰富、日常操作使用和管理维护详细具体、</w:t>
            </w:r>
            <w:r>
              <w:rPr>
                <w:rFonts w:hint="eastAsia" w:ascii="宋体" w:hAnsi="宋体"/>
              </w:rPr>
              <w:t>基本的故障诊断与排错</w:t>
            </w:r>
            <w:r>
              <w:rPr>
                <w:rFonts w:hint="eastAsia" w:ascii="宋体" w:hAnsi="宋体"/>
                <w:lang w:val="en-US" w:eastAsia="zh-CN"/>
              </w:rPr>
              <w:t>内容完整、</w:t>
            </w:r>
            <w:r>
              <w:rPr>
                <w:rFonts w:hint="eastAsia" w:ascii="宋体" w:hAnsi="宋体"/>
              </w:rPr>
              <w:t>培训后续技术支持</w:t>
            </w:r>
            <w:r>
              <w:rPr>
                <w:rFonts w:hint="eastAsia" w:ascii="宋体" w:hAnsi="宋体"/>
                <w:lang w:val="en-US" w:eastAsia="zh-CN"/>
              </w:rPr>
              <w:t>健全</w:t>
            </w:r>
            <w:r>
              <w:rPr>
                <w:rFonts w:hint="eastAsia" w:ascii="宋体" w:hAnsi="宋体" w:eastAsia="宋体" w:cs="宋体"/>
                <w:color w:val="auto"/>
                <w:sz w:val="21"/>
                <w:szCs w:val="21"/>
                <w:highlight w:val="none"/>
                <w:lang w:val="en-US" w:eastAsia="zh-CN"/>
              </w:rPr>
              <w:t>等）进行评</w:t>
            </w:r>
            <w:r>
              <w:rPr>
                <w:rFonts w:hint="eastAsia" w:ascii="宋体" w:hAnsi="宋体" w:cs="宋体"/>
                <w:color w:val="auto"/>
                <w:sz w:val="21"/>
                <w:szCs w:val="21"/>
                <w:highlight w:val="none"/>
                <w:lang w:val="en-US" w:eastAsia="zh-CN"/>
              </w:rPr>
              <w:t>审</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000000"/>
                <w:sz w:val="21"/>
                <w:szCs w:val="21"/>
                <w:highlight w:val="none"/>
                <w:shd w:val="clear" w:color="auto" w:fill="auto"/>
                <w:lang w:val="en-US" w:eastAsia="zh-CN"/>
              </w:rPr>
              <w:t>方案欠合理的，每项扣0.5分；方案不合理的，每项扣1分，扣完为止，本项最高得5分</w:t>
            </w:r>
            <w:r>
              <w:rPr>
                <w:rFonts w:hint="eastAsia" w:ascii="宋体" w:hAnsi="宋体" w:eastAsia="宋体" w:cs="宋体"/>
                <w:color w:val="auto"/>
                <w:sz w:val="21"/>
                <w:szCs w:val="21"/>
                <w:highlight w:val="none"/>
                <w:lang w:val="en-US" w:eastAsia="zh-CN"/>
              </w:rPr>
              <w:t>。</w:t>
            </w:r>
          </w:p>
        </w:tc>
        <w:tc>
          <w:tcPr>
            <w:tcW w:w="13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highlight w:val="none"/>
                <w:lang w:val="en-US" w:eastAsia="zh-CN"/>
              </w:rPr>
              <w:t>主观评审项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3" w:hRule="atLeast"/>
          <w:jc w:val="center"/>
        </w:trPr>
        <w:tc>
          <w:tcPr>
            <w:tcW w:w="117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sz w:val="21"/>
                <w:szCs w:val="21"/>
                <w:highlight w:val="none"/>
              </w:rPr>
            </w:pPr>
          </w:p>
        </w:tc>
        <w:tc>
          <w:tcPr>
            <w:tcW w:w="738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12、售后服务方案（5分）：</w:t>
            </w:r>
            <w:r>
              <w:rPr>
                <w:rFonts w:hint="eastAsia" w:ascii="宋体" w:hAnsi="宋体" w:cs="宋体"/>
                <w:lang w:val="en-US" w:eastAsia="zh-CN"/>
              </w:rPr>
              <w:t>评委会根据投标人的售后服务方案（包括方案的内容详细具体、售后服务响应时间迅速、服务便捷性高、满足采购需求、服务承诺切实可行等）进行评审，方案欠合理的，每项扣0.5分；方案不合理的，每项扣1分，扣完为止，本项最高得5分。</w:t>
            </w:r>
          </w:p>
        </w:tc>
        <w:tc>
          <w:tcPr>
            <w:tcW w:w="13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highlight w:val="none"/>
                <w:lang w:val="en-US" w:eastAsia="zh-CN"/>
              </w:rPr>
              <w:t>主观评审项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7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报价</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分</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w:t>
            </w:r>
            <w:r>
              <w:rPr>
                <w:rFonts w:hint="eastAsia" w:ascii="宋体" w:hAnsi="宋体" w:cs="宋体"/>
                <w:b/>
                <w:sz w:val="21"/>
                <w:szCs w:val="21"/>
                <w:highlight w:val="none"/>
                <w:lang w:val="en-US" w:eastAsia="zh-CN"/>
              </w:rPr>
              <w:t>20</w:t>
            </w:r>
            <w:r>
              <w:rPr>
                <w:rFonts w:hint="eastAsia" w:ascii="宋体" w:hAnsi="宋体" w:eastAsia="宋体" w:cs="宋体"/>
                <w:b/>
                <w:sz w:val="21"/>
                <w:szCs w:val="21"/>
                <w:highlight w:val="none"/>
              </w:rPr>
              <w:t>分)</w:t>
            </w:r>
          </w:p>
        </w:tc>
        <w:tc>
          <w:tcPr>
            <w:tcW w:w="738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（1）参与评审的价格＝投标报价；</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（2）评标基准价＝满足招标要求且最低参与评审的价格，评标基准价得分为满分</w:t>
            </w: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0分；</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sz w:val="21"/>
                <w:szCs w:val="21"/>
                <w:highlight w:val="none"/>
              </w:rPr>
            </w:pPr>
            <w:r>
              <w:rPr>
                <w:rFonts w:hint="eastAsia" w:ascii="宋体" w:hAnsi="宋体" w:eastAsia="宋体" w:cs="宋体"/>
                <w:b w:val="0"/>
                <w:bCs/>
                <w:color w:val="auto"/>
                <w:sz w:val="21"/>
                <w:szCs w:val="21"/>
                <w:highlight w:val="none"/>
              </w:rPr>
              <w:t>（</w:t>
            </w:r>
            <w:r>
              <w:rPr>
                <w:rFonts w:hint="eastAsia" w:ascii="宋体" w:hAnsi="宋体" w:eastAsia="宋体" w:cs="宋体"/>
                <w:b w:val="0"/>
                <w:bCs/>
                <w:color w:val="auto"/>
                <w:sz w:val="21"/>
                <w:szCs w:val="21"/>
                <w:highlight w:val="none"/>
                <w:lang w:val="en-US" w:eastAsia="zh-CN"/>
              </w:rPr>
              <w:t>3</w:t>
            </w:r>
            <w:r>
              <w:rPr>
                <w:rFonts w:hint="eastAsia" w:ascii="宋体" w:hAnsi="宋体" w:eastAsia="宋体" w:cs="宋体"/>
                <w:b w:val="0"/>
                <w:bCs/>
                <w:color w:val="auto"/>
                <w:sz w:val="21"/>
                <w:szCs w:val="21"/>
                <w:highlight w:val="none"/>
              </w:rPr>
              <w:t>）其他投标人的价格得分计算公式如下：价格分=（评标基准价/参与评审的价格）×</w:t>
            </w: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0%×100。</w:t>
            </w:r>
          </w:p>
        </w:tc>
        <w:tc>
          <w:tcPr>
            <w:tcW w:w="13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Cs/>
                <w:sz w:val="21"/>
                <w:szCs w:val="21"/>
                <w:highlight w:val="none"/>
                <w:lang w:val="en-US" w:eastAsia="zh-CN"/>
              </w:rPr>
            </w:pPr>
            <w:r>
              <w:rPr>
                <w:rFonts w:hint="eastAsia" w:ascii="宋体" w:hAnsi="宋体" w:eastAsia="宋体" w:cs="宋体"/>
                <w:color w:val="auto"/>
                <w:kern w:val="2"/>
                <w:sz w:val="21"/>
                <w:szCs w:val="21"/>
                <w:highlight w:val="none"/>
                <w:lang w:val="en-US" w:eastAsia="zh-CN" w:bidi="ar-SA"/>
              </w:rPr>
              <w:t>客观评审项</w:t>
            </w:r>
          </w:p>
        </w:tc>
      </w:tr>
    </w:tbl>
    <w:p>
      <w:pPr>
        <w:spacing w:line="360" w:lineRule="auto"/>
        <w:contextualSpacing/>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注：1、小数点后保留两位小数。2、各评标委员会成员自行按以上参考分值评分。3、重大事件由评委会集体讨论，按照“少数服从多数”原则认可。</w:t>
      </w:r>
    </w:p>
    <w:p>
      <w:pPr>
        <w:pStyle w:val="25"/>
        <w:spacing w:beforeLines="0" w:afterLines="0" w:line="360" w:lineRule="auto"/>
        <w:contextualSpacing/>
        <w:rPr>
          <w:rFonts w:hint="default" w:hAnsi="宋体" w:eastAsia="宋体" w:cs="宋体"/>
          <w:b/>
          <w:sz w:val="21"/>
          <w:szCs w:val="21"/>
          <w:lang w:val="en-US" w:eastAsia="zh-CN"/>
        </w:rPr>
      </w:pPr>
      <w:bookmarkStart w:id="57" w:name="_Toc9029"/>
      <w:r>
        <w:rPr>
          <w:rFonts w:hint="eastAsia" w:hAnsi="宋体" w:cs="宋体"/>
          <w:b/>
          <w:sz w:val="21"/>
          <w:szCs w:val="21"/>
        </w:rPr>
        <w:t>七、定标</w:t>
      </w:r>
      <w:bookmarkEnd w:id="57"/>
    </w:p>
    <w:p>
      <w:pPr>
        <w:pStyle w:val="25"/>
        <w:spacing w:beforeLines="0" w:afterLines="0" w:line="360" w:lineRule="auto"/>
        <w:ind w:firstLine="413" w:firstLineChars="196"/>
        <w:contextualSpacing/>
        <w:rPr>
          <w:rFonts w:hAnsi="宋体" w:cs="宋体"/>
          <w:b/>
          <w:bCs/>
          <w:sz w:val="21"/>
          <w:szCs w:val="21"/>
        </w:rPr>
      </w:pPr>
      <w:r>
        <w:rPr>
          <w:rFonts w:hint="eastAsia" w:hAnsi="宋体" w:cs="宋体"/>
          <w:b/>
          <w:bCs/>
          <w:sz w:val="21"/>
          <w:szCs w:val="21"/>
        </w:rPr>
        <w:t>（一）确定中标投标人。本项目由采购人（或采购人事先授权评标委员会）确定中标投标人。</w:t>
      </w:r>
    </w:p>
    <w:p>
      <w:pPr>
        <w:spacing w:line="360" w:lineRule="auto"/>
        <w:ind w:firstLine="420" w:firstLineChars="200"/>
        <w:contextualSpacing/>
        <w:rPr>
          <w:rFonts w:ascii="宋体" w:hAnsi="宋体" w:cs="宋体"/>
          <w:szCs w:val="21"/>
        </w:rPr>
      </w:pPr>
      <w:r>
        <w:rPr>
          <w:rFonts w:hint="eastAsia" w:ascii="宋体" w:hAnsi="宋体" w:cs="宋体"/>
          <w:szCs w:val="21"/>
        </w:rPr>
        <w:t>1.采购代理机构在评标结束后将评标报告交采购人确认。</w:t>
      </w:r>
    </w:p>
    <w:p>
      <w:pPr>
        <w:spacing w:line="360" w:lineRule="auto"/>
        <w:ind w:firstLine="420" w:firstLineChars="200"/>
        <w:contextualSpacing/>
        <w:rPr>
          <w:rFonts w:ascii="宋体" w:hAnsi="宋体" w:cs="宋体"/>
          <w:szCs w:val="21"/>
        </w:rPr>
      </w:pPr>
      <w:r>
        <w:rPr>
          <w:rFonts w:hint="eastAsia" w:ascii="宋体" w:hAnsi="宋体" w:cs="宋体"/>
          <w:szCs w:val="21"/>
        </w:rPr>
        <w:t>2.投标人对评标结果无异议的，采购人应在收到评标报告后5个工作日内对评标结果进行确认。如有投标人对评标结果提出质疑的，采购人可在质疑处理完毕后确定中标投标人。</w:t>
      </w:r>
    </w:p>
    <w:p>
      <w:pPr>
        <w:spacing w:line="360" w:lineRule="auto"/>
        <w:ind w:firstLine="420" w:firstLineChars="200"/>
        <w:contextualSpacing/>
        <w:rPr>
          <w:rFonts w:ascii="宋体" w:hAnsi="宋体" w:cs="宋体"/>
          <w:szCs w:val="21"/>
        </w:rPr>
      </w:pPr>
      <w:r>
        <w:rPr>
          <w:rFonts w:hint="eastAsia" w:ascii="宋体" w:hAnsi="宋体" w:cs="宋体"/>
          <w:szCs w:val="21"/>
        </w:rPr>
        <w:t>3.采购人依法确定中标投标人后2个工作日内，采购代理机构以书面形式发出《中标通知书》,并同时在相关网站上发布中标公告。</w:t>
      </w:r>
    </w:p>
    <w:p>
      <w:pPr>
        <w:spacing w:line="360" w:lineRule="auto"/>
        <w:ind w:firstLine="420" w:firstLineChars="200"/>
        <w:contextualSpacing/>
        <w:rPr>
          <w:rFonts w:ascii="宋体" w:hAnsi="宋体" w:cs="宋体"/>
          <w:szCs w:val="21"/>
          <w:lang w:bidi="ar"/>
        </w:rPr>
      </w:pPr>
      <w:r>
        <w:rPr>
          <w:rFonts w:hint="eastAsia" w:ascii="宋体" w:hAnsi="宋体" w:cs="宋体"/>
          <w:szCs w:val="21"/>
        </w:rPr>
        <w:t>4.</w:t>
      </w:r>
      <w:r>
        <w:rPr>
          <w:rFonts w:hint="eastAsia" w:ascii="宋体" w:hAnsi="宋体" w:cs="宋体"/>
          <w:szCs w:val="21"/>
          <w:lang w:bidi="ar"/>
        </w:rPr>
        <w:t>若中标投标人放弃中标，或因不可抗力提出不能履行合同，或不按采购文件规定提交履约担保，或其它原因被依法撤销中标资格，则采购人可确定排名第二的中标候选人为投标人或重新组织招标。</w:t>
      </w:r>
    </w:p>
    <w:p>
      <w:pPr>
        <w:spacing w:line="360" w:lineRule="auto"/>
        <w:contextualSpacing/>
        <w:rPr>
          <w:rFonts w:ascii="宋体" w:hAnsi="宋体" w:cs="宋体"/>
          <w:b/>
          <w:bCs/>
          <w:szCs w:val="21"/>
          <w:lang w:bidi="ar"/>
        </w:rPr>
      </w:pPr>
      <w:r>
        <w:rPr>
          <w:rFonts w:hint="eastAsia" w:ascii="宋体" w:hAnsi="宋体" w:cs="宋体"/>
          <w:b/>
          <w:bCs/>
          <w:szCs w:val="21"/>
          <w:lang w:bidi="ar"/>
        </w:rPr>
        <w:t>八、评标过程的监控与保密</w:t>
      </w:r>
    </w:p>
    <w:p>
      <w:pPr>
        <w:spacing w:line="360" w:lineRule="auto"/>
        <w:ind w:firstLine="420" w:firstLineChars="200"/>
        <w:contextualSpacing/>
        <w:rPr>
          <w:rFonts w:ascii="宋体" w:hAnsi="宋体" w:cs="宋体"/>
          <w:szCs w:val="21"/>
          <w:lang w:bidi="ar"/>
        </w:rPr>
      </w:pPr>
      <w:r>
        <w:rPr>
          <w:rFonts w:hint="eastAsia" w:ascii="宋体" w:hAnsi="宋体" w:cs="宋体"/>
          <w:szCs w:val="21"/>
          <w:lang w:bidi="ar"/>
        </w:rPr>
        <w:t>1、本项目评标过程实行全程录音、录像监控，投标人在评标过程中所进行的试图影响评标结果的不公正活动，可能导致其投标被拒绝。</w:t>
      </w:r>
    </w:p>
    <w:p>
      <w:pPr>
        <w:spacing w:line="360" w:lineRule="auto"/>
        <w:ind w:firstLine="420" w:firstLineChars="200"/>
        <w:contextualSpacing/>
        <w:rPr>
          <w:rFonts w:ascii="宋体" w:hAnsi="宋体" w:cs="宋体"/>
          <w:szCs w:val="21"/>
          <w:lang w:bidi="ar"/>
        </w:rPr>
      </w:pPr>
      <w:r>
        <w:rPr>
          <w:rFonts w:hint="eastAsia" w:ascii="宋体" w:hAnsi="宋体" w:cs="宋体"/>
          <w:szCs w:val="21"/>
          <w:lang w:bidi="ar"/>
        </w:rPr>
        <w:t>2、开标后到中标通知书发出之前，所有涉及评标委员会名单以及对投标文件的澄清、评价、比较等情况，评标委员会成员、采购人和采购代理机构的有关人员均不得向投标人或其他无关人员透露。</w:t>
      </w:r>
    </w:p>
    <w:p>
      <w:pPr>
        <w:spacing w:line="360" w:lineRule="auto"/>
        <w:contextualSpacing/>
        <w:rPr>
          <w:rFonts w:ascii="宋体" w:hAnsi="宋体" w:cs="宋体"/>
          <w:b/>
          <w:bCs/>
          <w:szCs w:val="21"/>
        </w:rPr>
      </w:pPr>
      <w:bookmarkStart w:id="58" w:name="_Toc17747"/>
      <w:r>
        <w:rPr>
          <w:rFonts w:hint="eastAsia" w:ascii="宋体" w:hAnsi="宋体" w:cs="宋体"/>
          <w:b/>
          <w:szCs w:val="21"/>
        </w:rPr>
        <w:t>九、合同授予</w:t>
      </w:r>
      <w:bookmarkEnd w:id="58"/>
      <w:r>
        <w:rPr>
          <w:rFonts w:hint="eastAsia" w:ascii="宋体" w:hAnsi="宋体" w:cs="宋体"/>
          <w:b/>
          <w:szCs w:val="21"/>
        </w:rPr>
        <w:t>：</w:t>
      </w:r>
      <w:r>
        <w:rPr>
          <w:rFonts w:hint="eastAsia" w:ascii="宋体" w:hAnsi="宋体" w:cs="宋体"/>
          <w:b/>
          <w:bCs/>
          <w:szCs w:val="21"/>
        </w:rPr>
        <w:t>签订合同</w:t>
      </w:r>
    </w:p>
    <w:p>
      <w:pPr>
        <w:spacing w:line="360" w:lineRule="auto"/>
        <w:ind w:firstLine="420" w:firstLineChars="200"/>
        <w:contextualSpacing/>
        <w:rPr>
          <w:rFonts w:ascii="宋体" w:hAnsi="宋体" w:cs="宋体"/>
          <w:kern w:val="0"/>
          <w:szCs w:val="21"/>
        </w:rPr>
      </w:pPr>
      <w:r>
        <w:rPr>
          <w:rFonts w:hint="eastAsia" w:ascii="宋体" w:hAnsi="宋体" w:cs="宋体"/>
          <w:szCs w:val="21"/>
        </w:rPr>
        <w:t>1.</w:t>
      </w:r>
      <w:r>
        <w:rPr>
          <w:rFonts w:hint="eastAsia" w:ascii="宋体" w:hAnsi="宋体" w:cs="宋体"/>
          <w:kern w:val="0"/>
          <w:szCs w:val="21"/>
        </w:rPr>
        <w:t>采购人应当自中标通知书发出之日起30日内，按照采购文件和投标人投标文件的规定，与投标人签订书面合同。所签订的合同不得对采购文件确定的事项和投标人投标文件作实质性修改。</w:t>
      </w:r>
    </w:p>
    <w:p>
      <w:pPr>
        <w:spacing w:line="360" w:lineRule="auto"/>
        <w:ind w:firstLine="420" w:firstLineChars="200"/>
        <w:contextualSpacing/>
        <w:rPr>
          <w:rFonts w:ascii="宋体" w:hAnsi="宋体" w:cs="宋体"/>
          <w:szCs w:val="21"/>
        </w:rPr>
      </w:pPr>
      <w:r>
        <w:rPr>
          <w:rFonts w:hint="eastAsia" w:ascii="宋体" w:hAnsi="宋体" w:cs="宋体"/>
          <w:kern w:val="0"/>
          <w:szCs w:val="21"/>
        </w:rPr>
        <w:t>采购人不得向投标人提出任何不合理的要求作为签订合同的条件。</w:t>
      </w:r>
    </w:p>
    <w:p>
      <w:pPr>
        <w:pStyle w:val="25"/>
        <w:spacing w:beforeLines="0" w:afterLines="0" w:line="360" w:lineRule="auto"/>
        <w:ind w:firstLine="411" w:firstLineChars="196"/>
        <w:contextualSpacing/>
        <w:rPr>
          <w:rFonts w:hAnsi="宋体" w:cs="宋体"/>
          <w:bCs/>
          <w:sz w:val="21"/>
          <w:szCs w:val="21"/>
        </w:rPr>
      </w:pPr>
      <w:r>
        <w:rPr>
          <w:rFonts w:hint="eastAsia" w:hAnsi="宋体" w:cs="宋体"/>
          <w:bCs/>
          <w:sz w:val="21"/>
          <w:szCs w:val="21"/>
        </w:rPr>
        <w:t>2</w:t>
      </w:r>
      <w:r>
        <w:rPr>
          <w:rFonts w:hint="eastAsia" w:hAnsi="宋体" w:cs="宋体"/>
          <w:sz w:val="21"/>
          <w:szCs w:val="21"/>
        </w:rPr>
        <w:t>.</w:t>
      </w:r>
      <w:r>
        <w:rPr>
          <w:rFonts w:hint="eastAsia" w:hAnsi="宋体" w:cs="宋体"/>
          <w:bCs/>
          <w:sz w:val="21"/>
          <w:szCs w:val="21"/>
        </w:rPr>
        <w:t>采购人在签订合同时，在合同金额变更范围内，如需审批的办理相关审批手续。有权变更采购项目的数量和服务内容，但不能对单价或其他条款和条件作任何改变。</w:t>
      </w:r>
    </w:p>
    <w:p>
      <w:pPr>
        <w:pStyle w:val="25"/>
        <w:spacing w:beforeLines="0" w:afterLines="0" w:line="360" w:lineRule="auto"/>
        <w:ind w:firstLine="411" w:firstLineChars="196"/>
        <w:contextualSpacing/>
        <w:rPr>
          <w:rFonts w:hAnsi="宋体" w:cs="宋体"/>
          <w:bCs/>
          <w:sz w:val="21"/>
          <w:szCs w:val="21"/>
        </w:rPr>
      </w:pPr>
      <w:r>
        <w:rPr>
          <w:rFonts w:hint="eastAsia" w:hAnsi="宋体" w:cs="宋体"/>
          <w:bCs/>
          <w:sz w:val="21"/>
          <w:szCs w:val="21"/>
        </w:rPr>
        <w:t>3</w:t>
      </w:r>
      <w:r>
        <w:rPr>
          <w:rFonts w:hint="eastAsia" w:hAnsi="宋体" w:cs="宋体"/>
          <w:sz w:val="21"/>
          <w:szCs w:val="21"/>
        </w:rPr>
        <w:t>.</w:t>
      </w:r>
      <w:r>
        <w:rPr>
          <w:rFonts w:hint="eastAsia" w:hAnsi="宋体" w:cs="宋体"/>
          <w:bCs/>
          <w:sz w:val="21"/>
          <w:szCs w:val="21"/>
        </w:rPr>
        <w:t>采购文件、中标投标人的投标文件及评标过程中有关的澄清文件均应作为合同签订的附件。</w:t>
      </w:r>
    </w:p>
    <w:p>
      <w:pPr>
        <w:pStyle w:val="25"/>
        <w:spacing w:beforeLines="0" w:afterLines="0" w:line="360" w:lineRule="auto"/>
        <w:ind w:firstLine="411" w:firstLineChars="196"/>
        <w:contextualSpacing/>
        <w:rPr>
          <w:rFonts w:hAnsi="宋体" w:cs="宋体"/>
          <w:bCs/>
          <w:sz w:val="21"/>
          <w:szCs w:val="21"/>
        </w:rPr>
      </w:pPr>
      <w:r>
        <w:rPr>
          <w:rFonts w:hint="eastAsia" w:hAnsi="宋体" w:cs="宋体"/>
          <w:bCs/>
          <w:sz w:val="21"/>
          <w:szCs w:val="21"/>
        </w:rPr>
        <w:t>4.中标或者成交投标人拒绝与采购人签订合同的，采购人应重新招标。</w:t>
      </w:r>
    </w:p>
    <w:p>
      <w:pPr>
        <w:pStyle w:val="25"/>
        <w:spacing w:beforeLines="0" w:afterLines="0" w:line="360" w:lineRule="auto"/>
        <w:ind w:firstLine="411" w:firstLineChars="196"/>
        <w:contextualSpacing/>
        <w:rPr>
          <w:rFonts w:hAnsi="宋体" w:cs="宋体"/>
          <w:bCs/>
          <w:sz w:val="21"/>
          <w:szCs w:val="21"/>
        </w:rPr>
      </w:pPr>
      <w:r>
        <w:rPr>
          <w:rFonts w:hint="eastAsia" w:hAnsi="宋体" w:cs="宋体"/>
          <w:bCs/>
          <w:sz w:val="21"/>
          <w:szCs w:val="21"/>
        </w:rPr>
        <w:t>5.投标人如不遵守采购文件或投标文件各项条款的邀约与要约，或在接到中标通知书后借故拖延，拒签合同的，采购人将按《浙江省政府采购投标人注册及诚信管理暂行办法》的规定上报诚信状况。给采购人造成的损失的还应当予以赔偿。</w:t>
      </w:r>
    </w:p>
    <w:p>
      <w:pPr>
        <w:spacing w:line="360" w:lineRule="auto"/>
        <w:contextualSpacing/>
        <w:rPr>
          <w:rFonts w:ascii="宋体" w:hAnsi="宋体" w:cs="宋体"/>
          <w:b/>
          <w:szCs w:val="21"/>
        </w:rPr>
      </w:pPr>
      <w:r>
        <w:rPr>
          <w:rFonts w:hint="eastAsia" w:ascii="宋体" w:hAnsi="宋体" w:cs="宋体"/>
          <w:b/>
          <w:szCs w:val="21"/>
        </w:rPr>
        <w:t>十、履约验收：</w:t>
      </w:r>
    </w:p>
    <w:p>
      <w:pPr>
        <w:adjustRightIn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bCs/>
          <w:szCs w:val="21"/>
        </w:rPr>
        <w:t>采购人负责对中标投标人的履约行为进行验收。政府向社会公众提供的公共服务项目，验收时应当邀请服务对象参与并出具意见，验收结果应当向社会公告。</w:t>
      </w:r>
    </w:p>
    <w:p>
      <w:pPr>
        <w:pStyle w:val="3"/>
        <w:rPr>
          <w:rFonts w:ascii="宋体" w:hAnsi="宋体" w:cs="宋体"/>
          <w:color w:val="000000" w:themeColor="text1"/>
          <w14:textFill>
            <w14:solidFill>
              <w14:schemeClr w14:val="tx1"/>
            </w14:solidFill>
          </w14:textFill>
        </w:rPr>
      </w:pPr>
      <w:bookmarkStart w:id="59" w:name="_Toc475283883"/>
      <w:r>
        <w:rPr>
          <w:rFonts w:hint="eastAsia" w:ascii="宋体" w:hAnsi="宋体" w:cs="宋体"/>
          <w:color w:val="000000" w:themeColor="text1"/>
          <w14:textFill>
            <w14:solidFill>
              <w14:schemeClr w14:val="tx1"/>
            </w14:solidFill>
          </w14:textFill>
        </w:rPr>
        <w:br w:type="page"/>
      </w:r>
      <w:r>
        <w:rPr>
          <w:rFonts w:hint="eastAsia" w:ascii="宋体" w:hAnsi="宋体" w:cs="宋体"/>
          <w:color w:val="000000" w:themeColor="text1"/>
          <w14:textFill>
            <w14:solidFill>
              <w14:schemeClr w14:val="tx1"/>
            </w14:solidFill>
          </w14:textFill>
        </w:rPr>
        <w:t>第五章  政府采购合同（</w:t>
      </w:r>
      <w:r>
        <w:rPr>
          <w:rFonts w:hint="eastAsia" w:ascii="宋体" w:hAnsi="宋体" w:cs="宋体"/>
          <w:color w:val="000000" w:themeColor="text1"/>
          <w:lang w:val="en-US" w:eastAsia="zh-CN"/>
          <w14:textFill>
            <w14:solidFill>
              <w14:schemeClr w14:val="tx1"/>
            </w14:solidFill>
          </w14:textFill>
        </w:rPr>
        <w:t>服务</w:t>
      </w:r>
      <w:r>
        <w:rPr>
          <w:rFonts w:hint="eastAsia" w:ascii="宋体" w:hAnsi="宋体" w:cs="宋体"/>
          <w:color w:val="000000" w:themeColor="text1"/>
          <w14:textFill>
            <w14:solidFill>
              <w14:schemeClr w14:val="tx1"/>
            </w14:solidFill>
          </w14:textFill>
        </w:rPr>
        <w:t>）</w:t>
      </w:r>
      <w:bookmarkEnd w:id="59"/>
    </w:p>
    <w:p>
      <w:pPr>
        <w:pStyle w:val="147"/>
        <w:keepNext w:val="0"/>
        <w:keepLines w:val="0"/>
        <w:pageBreakBefore w:val="0"/>
        <w:widowControl/>
        <w:suppressLineNumbers w:val="0"/>
        <w:kinsoku/>
        <w:wordWrap/>
        <w:overflowPunct/>
        <w:topLinePunct w:val="0"/>
        <w:autoSpaceDE/>
        <w:autoSpaceDN/>
        <w:bidi w:val="0"/>
        <w:adjustRightInd/>
        <w:snapToGrid w:val="0"/>
        <w:spacing w:before="0" w:after="0" w:line="336" w:lineRule="auto"/>
        <w:ind w:left="0" w:right="0" w:firstLine="210" w:firstLineChars="100"/>
        <w:jc w:val="both"/>
        <w:textAlignment w:val="auto"/>
        <w:rPr>
          <w:rFonts w:hint="eastAsia" w:ascii="宋体" w:hAnsi="宋体" w:eastAsia="宋体" w:cs="宋体"/>
          <w:highlight w:val="none"/>
        </w:rPr>
      </w:pPr>
      <w:r>
        <w:rPr>
          <w:rFonts w:hint="eastAsia" w:ascii="宋体" w:hAnsi="宋体" w:eastAsia="宋体" w:cs="宋体"/>
          <w:color w:val="000000"/>
          <w:kern w:val="0"/>
          <w:sz w:val="21"/>
          <w:szCs w:val="21"/>
          <w:highlight w:val="none"/>
          <w:lang w:val="en-US" w:eastAsia="zh-CN" w:bidi="ar"/>
        </w:rPr>
        <w:t>项目编号：</w:t>
      </w:r>
    </w:p>
    <w:p>
      <w:pPr>
        <w:pStyle w:val="147"/>
        <w:keepNext w:val="0"/>
        <w:keepLines w:val="0"/>
        <w:pageBreakBefore w:val="0"/>
        <w:widowControl/>
        <w:suppressLineNumbers w:val="0"/>
        <w:kinsoku/>
        <w:wordWrap/>
        <w:overflowPunct/>
        <w:topLinePunct w:val="0"/>
        <w:autoSpaceDE/>
        <w:autoSpaceDN/>
        <w:bidi w:val="0"/>
        <w:adjustRightInd/>
        <w:snapToGrid w:val="0"/>
        <w:spacing w:before="0" w:after="0" w:line="336" w:lineRule="auto"/>
        <w:ind w:left="0" w:right="0" w:firstLine="210" w:firstLineChars="100"/>
        <w:jc w:val="both"/>
        <w:textAlignment w:val="auto"/>
        <w:rPr>
          <w:rFonts w:hint="eastAsia" w:ascii="宋体" w:hAnsi="宋体" w:eastAsia="宋体" w:cs="宋体"/>
          <w:highlight w:val="none"/>
        </w:rPr>
      </w:pPr>
      <w:r>
        <w:rPr>
          <w:rFonts w:hint="eastAsia" w:ascii="宋体" w:hAnsi="宋体" w:eastAsia="宋体" w:cs="宋体"/>
          <w:color w:val="000000"/>
          <w:kern w:val="0"/>
          <w:sz w:val="21"/>
          <w:szCs w:val="21"/>
          <w:highlight w:val="none"/>
          <w:lang w:val="en-US" w:eastAsia="zh-CN" w:bidi="ar"/>
        </w:rPr>
        <w:t>合同编号：</w:t>
      </w:r>
    </w:p>
    <w:p>
      <w:pPr>
        <w:pStyle w:val="147"/>
        <w:keepNext w:val="0"/>
        <w:keepLines w:val="0"/>
        <w:pageBreakBefore w:val="0"/>
        <w:widowControl/>
        <w:suppressLineNumbers w:val="0"/>
        <w:kinsoku/>
        <w:wordWrap/>
        <w:overflowPunct/>
        <w:topLinePunct w:val="0"/>
        <w:autoSpaceDE/>
        <w:autoSpaceDN/>
        <w:bidi w:val="0"/>
        <w:adjustRightInd/>
        <w:snapToGrid w:val="0"/>
        <w:spacing w:before="0" w:after="0" w:line="336" w:lineRule="auto"/>
        <w:ind w:left="0" w:right="0" w:firstLine="210" w:firstLineChars="100"/>
        <w:jc w:val="both"/>
        <w:textAlignment w:val="auto"/>
        <w:rPr>
          <w:rFonts w:hint="eastAsia" w:ascii="宋体" w:hAnsi="宋体" w:eastAsia="宋体" w:cs="宋体"/>
          <w:highlight w:val="none"/>
        </w:rPr>
      </w:pPr>
      <w:r>
        <w:rPr>
          <w:rFonts w:hint="eastAsia" w:ascii="宋体" w:hAnsi="宋体" w:eastAsia="宋体" w:cs="宋体"/>
          <w:color w:val="000000"/>
          <w:kern w:val="0"/>
          <w:sz w:val="21"/>
          <w:szCs w:val="21"/>
          <w:highlight w:val="none"/>
          <w:lang w:val="en-US" w:eastAsia="zh-CN" w:bidi="ar"/>
        </w:rPr>
        <w:t>采购人（甲方）：</w:t>
      </w:r>
    </w:p>
    <w:p>
      <w:pPr>
        <w:pStyle w:val="147"/>
        <w:keepNext w:val="0"/>
        <w:keepLines w:val="0"/>
        <w:pageBreakBefore w:val="0"/>
        <w:widowControl/>
        <w:suppressLineNumbers w:val="0"/>
        <w:kinsoku/>
        <w:wordWrap/>
        <w:overflowPunct/>
        <w:topLinePunct w:val="0"/>
        <w:autoSpaceDE/>
        <w:autoSpaceDN/>
        <w:bidi w:val="0"/>
        <w:adjustRightInd/>
        <w:snapToGrid w:val="0"/>
        <w:spacing w:before="0" w:after="0" w:line="336" w:lineRule="auto"/>
        <w:ind w:left="0" w:right="0" w:firstLine="210" w:firstLineChars="100"/>
        <w:jc w:val="both"/>
        <w:textAlignment w:val="auto"/>
        <w:rPr>
          <w:rFonts w:hint="eastAsia" w:ascii="宋体" w:hAnsi="宋体" w:eastAsia="宋体" w:cs="宋体"/>
          <w:highlight w:val="none"/>
        </w:rPr>
      </w:pPr>
      <w:r>
        <w:rPr>
          <w:rFonts w:hint="eastAsia" w:ascii="宋体" w:hAnsi="宋体" w:eastAsia="宋体" w:cs="宋体"/>
          <w:color w:val="000000"/>
          <w:kern w:val="0"/>
          <w:sz w:val="21"/>
          <w:szCs w:val="21"/>
          <w:highlight w:val="none"/>
          <w:lang w:val="en-US" w:eastAsia="zh-CN" w:bidi="ar"/>
        </w:rPr>
        <w:t>中标人（乙方）：</w:t>
      </w:r>
    </w:p>
    <w:p>
      <w:pPr>
        <w:pStyle w:val="147"/>
        <w:keepNext w:val="0"/>
        <w:keepLines w:val="0"/>
        <w:pageBreakBefore w:val="0"/>
        <w:widowControl/>
        <w:suppressLineNumbers w:val="0"/>
        <w:kinsoku/>
        <w:wordWrap/>
        <w:overflowPunct/>
        <w:topLinePunct w:val="0"/>
        <w:autoSpaceDE/>
        <w:autoSpaceDN/>
        <w:bidi w:val="0"/>
        <w:adjustRightInd/>
        <w:snapToGrid w:val="0"/>
        <w:spacing w:before="0" w:after="0" w:line="336" w:lineRule="auto"/>
        <w:ind w:left="0" w:right="0" w:firstLine="420" w:firstLineChars="200"/>
        <w:jc w:val="both"/>
        <w:textAlignment w:val="auto"/>
        <w:rPr>
          <w:rFonts w:hint="eastAsia" w:ascii="宋体" w:hAnsi="宋体" w:eastAsia="宋体" w:cs="宋体"/>
          <w:highlight w:val="none"/>
        </w:rPr>
      </w:pPr>
      <w:r>
        <w:rPr>
          <w:rFonts w:hint="eastAsia" w:ascii="宋体" w:hAnsi="宋体" w:eastAsia="宋体" w:cs="宋体"/>
          <w:color w:val="000000"/>
          <w:kern w:val="0"/>
          <w:sz w:val="21"/>
          <w:szCs w:val="21"/>
          <w:highlight w:val="none"/>
          <w:lang w:val="en-US" w:eastAsia="zh-CN" w:bidi="ar"/>
        </w:rPr>
        <w:t>根据项目编号</w:t>
      </w:r>
      <w:r>
        <w:rPr>
          <w:rFonts w:hint="eastAsia" w:ascii="宋体" w:hAnsi="宋体" w:cs="宋体"/>
          <w:color w:val="000000"/>
          <w:kern w:val="0"/>
          <w:sz w:val="21"/>
          <w:szCs w:val="21"/>
          <w:highlight w:val="none"/>
          <w:u w:val="single"/>
          <w:lang w:val="en-US" w:eastAsia="zh-CN" w:bidi="ar"/>
        </w:rPr>
        <w:t>CBZJ-20223134G</w:t>
      </w:r>
      <w:r>
        <w:rPr>
          <w:rFonts w:hint="eastAsia" w:ascii="宋体" w:hAnsi="宋体" w:eastAsia="宋体" w:cs="宋体"/>
          <w:color w:val="000000"/>
          <w:kern w:val="0"/>
          <w:sz w:val="21"/>
          <w:szCs w:val="21"/>
          <w:highlight w:val="none"/>
          <w:lang w:val="en-US" w:eastAsia="zh-CN" w:bidi="ar"/>
        </w:rPr>
        <w:t>的</w:t>
      </w:r>
      <w:r>
        <w:rPr>
          <w:rFonts w:hint="eastAsia" w:ascii="宋体" w:hAnsi="宋体" w:cs="宋体"/>
          <w:color w:val="000000"/>
          <w:kern w:val="0"/>
          <w:sz w:val="21"/>
          <w:szCs w:val="21"/>
          <w:highlight w:val="none"/>
          <w:u w:val="single"/>
          <w:lang w:val="en-US" w:eastAsia="zh-CN" w:bidi="ar"/>
        </w:rPr>
        <w:t>宁波市公安局镇海分局数侦云觅服务项目（第二次）</w:t>
      </w:r>
      <w:r>
        <w:rPr>
          <w:rFonts w:hint="eastAsia" w:ascii="宋体" w:hAnsi="宋体" w:eastAsia="宋体" w:cs="宋体"/>
          <w:color w:val="000000"/>
          <w:kern w:val="0"/>
          <w:sz w:val="21"/>
          <w:szCs w:val="21"/>
          <w:highlight w:val="none"/>
          <w:lang w:val="en-US" w:eastAsia="zh-CN" w:bidi="ar"/>
        </w:rPr>
        <w:t>的采购结果，经双方协商签署本合同。</w:t>
      </w:r>
    </w:p>
    <w:p>
      <w:pPr>
        <w:keepNext w:val="0"/>
        <w:keepLines w:val="0"/>
        <w:pageBreakBefore w:val="0"/>
        <w:widowControl/>
        <w:kinsoku/>
        <w:wordWrap/>
        <w:overflowPunct/>
        <w:topLinePunct w:val="0"/>
        <w:autoSpaceDE/>
        <w:autoSpaceDN/>
        <w:bidi w:val="0"/>
        <w:adjustRightInd/>
        <w:snapToGrid w:val="0"/>
        <w:spacing w:line="336" w:lineRule="auto"/>
        <w:ind w:left="0" w:right="0" w:firstLine="422"/>
        <w:textAlignment w:val="auto"/>
        <w:rPr>
          <w:rFonts w:hint="eastAsia" w:ascii="宋体" w:hAnsi="宋体" w:eastAsia="宋体" w:cs="宋体"/>
          <w:highlight w:val="none"/>
        </w:rPr>
      </w:pPr>
      <w:r>
        <w:rPr>
          <w:rFonts w:hint="eastAsia" w:ascii="宋体" w:hAnsi="宋体" w:eastAsia="宋体" w:cs="宋体"/>
          <w:b/>
          <w:bCs/>
          <w:caps w:val="0"/>
          <w:smallCaps w:val="0"/>
          <w:color w:val="000000"/>
          <w:highlight w:val="none"/>
          <w:lang w:val="en-US" w:eastAsia="zh-CN"/>
        </w:rPr>
        <w:t>一、服务</w:t>
      </w:r>
      <w:r>
        <w:rPr>
          <w:rFonts w:hint="eastAsia" w:ascii="宋体" w:hAnsi="宋体" w:cs="宋体"/>
          <w:b/>
          <w:bCs/>
          <w:caps w:val="0"/>
          <w:smallCaps w:val="0"/>
          <w:color w:val="000000"/>
          <w:highlight w:val="none"/>
          <w:lang w:val="en-US" w:eastAsia="zh-CN"/>
        </w:rPr>
        <w:t>内容</w:t>
      </w:r>
    </w:p>
    <w:p>
      <w:pPr>
        <w:keepNext w:val="0"/>
        <w:keepLines w:val="0"/>
        <w:pageBreakBefore w:val="0"/>
        <w:widowControl/>
        <w:kinsoku/>
        <w:wordWrap/>
        <w:overflowPunct/>
        <w:topLinePunct w:val="0"/>
        <w:autoSpaceDE/>
        <w:autoSpaceDN/>
        <w:bidi w:val="0"/>
        <w:adjustRightInd/>
        <w:snapToGrid w:val="0"/>
        <w:spacing w:line="336" w:lineRule="auto"/>
        <w:ind w:left="0" w:right="0" w:firstLine="422"/>
        <w:textAlignment w:val="auto"/>
        <w:rPr>
          <w:rFonts w:hint="eastAsia" w:ascii="宋体" w:hAnsi="宋体" w:eastAsia="宋体" w:cs="宋体"/>
          <w:b/>
          <w:bCs/>
          <w:caps w:val="0"/>
          <w:smallCaps w:val="0"/>
          <w:color w:val="000000"/>
          <w:highlight w:val="none"/>
          <w:lang w:val="en-US" w:eastAsia="zh-CN"/>
        </w:rPr>
      </w:pPr>
    </w:p>
    <w:p>
      <w:pPr>
        <w:keepNext w:val="0"/>
        <w:keepLines w:val="0"/>
        <w:pageBreakBefore w:val="0"/>
        <w:widowControl/>
        <w:kinsoku/>
        <w:wordWrap/>
        <w:overflowPunct/>
        <w:topLinePunct w:val="0"/>
        <w:autoSpaceDE/>
        <w:autoSpaceDN/>
        <w:bidi w:val="0"/>
        <w:adjustRightInd/>
        <w:snapToGrid w:val="0"/>
        <w:spacing w:line="336" w:lineRule="auto"/>
        <w:ind w:left="0" w:right="0" w:firstLine="422"/>
        <w:textAlignment w:val="auto"/>
        <w:rPr>
          <w:rFonts w:hint="eastAsia" w:ascii="宋体" w:hAnsi="宋体" w:eastAsia="宋体" w:cs="宋体"/>
          <w:highlight w:val="none"/>
        </w:rPr>
      </w:pPr>
      <w:r>
        <w:rPr>
          <w:rFonts w:hint="eastAsia" w:ascii="宋体" w:hAnsi="宋体" w:eastAsia="宋体" w:cs="宋体"/>
          <w:b/>
          <w:bCs/>
          <w:caps w:val="0"/>
          <w:smallCaps w:val="0"/>
          <w:color w:val="000000"/>
          <w:highlight w:val="none"/>
          <w:lang w:val="en-US" w:eastAsia="zh-CN"/>
        </w:rPr>
        <w:t>二、服务期限</w:t>
      </w:r>
    </w:p>
    <w:p>
      <w:pPr>
        <w:keepNext w:val="0"/>
        <w:keepLines w:val="0"/>
        <w:pageBreakBefore w:val="0"/>
        <w:widowControl/>
        <w:kinsoku/>
        <w:wordWrap/>
        <w:overflowPunct/>
        <w:topLinePunct w:val="0"/>
        <w:autoSpaceDE/>
        <w:autoSpaceDN/>
        <w:bidi w:val="0"/>
        <w:adjustRightInd/>
        <w:snapToGrid w:val="0"/>
        <w:spacing w:line="336" w:lineRule="auto"/>
        <w:ind w:left="0" w:right="0" w:firstLine="422"/>
        <w:textAlignment w:val="auto"/>
        <w:rPr>
          <w:rFonts w:hint="eastAsia" w:ascii="宋体" w:hAnsi="宋体" w:eastAsia="宋体" w:cs="宋体"/>
          <w:b/>
          <w:bCs/>
          <w:caps w:val="0"/>
          <w:smallCaps w:val="0"/>
          <w:color w:val="000000"/>
          <w:highlight w:val="none"/>
          <w:lang w:val="en-US" w:eastAsia="zh-CN"/>
        </w:rPr>
      </w:pPr>
    </w:p>
    <w:p>
      <w:pPr>
        <w:keepNext w:val="0"/>
        <w:keepLines w:val="0"/>
        <w:pageBreakBefore w:val="0"/>
        <w:widowControl/>
        <w:kinsoku/>
        <w:wordWrap/>
        <w:overflowPunct/>
        <w:topLinePunct w:val="0"/>
        <w:autoSpaceDE/>
        <w:autoSpaceDN/>
        <w:bidi w:val="0"/>
        <w:adjustRightInd/>
        <w:snapToGrid w:val="0"/>
        <w:spacing w:line="336" w:lineRule="auto"/>
        <w:ind w:left="0" w:right="0" w:firstLine="422"/>
        <w:textAlignment w:val="auto"/>
        <w:rPr>
          <w:rFonts w:hint="eastAsia" w:ascii="宋体" w:hAnsi="宋体" w:eastAsia="宋体" w:cs="宋体"/>
          <w:highlight w:val="none"/>
        </w:rPr>
      </w:pPr>
      <w:r>
        <w:rPr>
          <w:rFonts w:hint="eastAsia" w:ascii="宋体" w:hAnsi="宋体" w:eastAsia="宋体" w:cs="宋体"/>
          <w:b/>
          <w:bCs/>
          <w:caps w:val="0"/>
          <w:smallCaps w:val="0"/>
          <w:color w:val="000000"/>
          <w:highlight w:val="none"/>
          <w:lang w:val="en-US" w:eastAsia="zh-CN"/>
        </w:rPr>
        <w:t>三、</w:t>
      </w:r>
      <w:r>
        <w:rPr>
          <w:rFonts w:hint="eastAsia" w:ascii="宋体" w:hAnsi="宋体" w:cs="宋体"/>
          <w:b/>
          <w:bCs/>
          <w:caps w:val="0"/>
          <w:smallCaps w:val="0"/>
          <w:color w:val="000000"/>
          <w:highlight w:val="none"/>
          <w:lang w:val="en-US" w:eastAsia="zh-CN"/>
        </w:rPr>
        <w:t>合同金额</w:t>
      </w:r>
    </w:p>
    <w:p>
      <w:pPr>
        <w:keepNext w:val="0"/>
        <w:keepLines w:val="0"/>
        <w:pageBreakBefore w:val="0"/>
        <w:widowControl/>
        <w:kinsoku/>
        <w:wordWrap/>
        <w:overflowPunct/>
        <w:topLinePunct w:val="0"/>
        <w:autoSpaceDE/>
        <w:autoSpaceDN/>
        <w:bidi w:val="0"/>
        <w:adjustRightInd/>
        <w:snapToGrid w:val="0"/>
        <w:spacing w:line="336" w:lineRule="auto"/>
        <w:ind w:left="0" w:right="0" w:firstLine="422"/>
        <w:textAlignment w:val="auto"/>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本合同金额为（大写）：__________________________元（￥_______________元）人民币。</w:t>
      </w:r>
    </w:p>
    <w:p>
      <w:pPr>
        <w:keepNext w:val="0"/>
        <w:keepLines w:val="0"/>
        <w:pageBreakBefore w:val="0"/>
        <w:widowControl/>
        <w:kinsoku/>
        <w:wordWrap/>
        <w:overflowPunct/>
        <w:topLinePunct w:val="0"/>
        <w:autoSpaceDE/>
        <w:autoSpaceDN/>
        <w:bidi w:val="0"/>
        <w:adjustRightInd/>
        <w:snapToGrid w:val="0"/>
        <w:spacing w:line="336" w:lineRule="auto"/>
        <w:ind w:left="0" w:right="0" w:firstLine="422"/>
        <w:textAlignment w:val="auto"/>
        <w:rPr>
          <w:rFonts w:hint="eastAsia" w:ascii="宋体" w:hAnsi="宋体" w:eastAsia="宋体" w:cs="宋体"/>
          <w:highlight w:val="none"/>
        </w:rPr>
      </w:pPr>
      <w:r>
        <w:rPr>
          <w:rFonts w:hint="eastAsia" w:ascii="宋体" w:hAnsi="宋体" w:eastAsia="宋体" w:cs="宋体"/>
          <w:b/>
          <w:bCs/>
          <w:caps w:val="0"/>
          <w:smallCaps w:val="0"/>
          <w:color w:val="000000"/>
          <w:highlight w:val="none"/>
          <w:lang w:val="en-US" w:eastAsia="zh-CN"/>
        </w:rPr>
        <w:t>四、付款方式</w:t>
      </w:r>
    </w:p>
    <w:p>
      <w:pPr>
        <w:keepNext w:val="0"/>
        <w:keepLines w:val="0"/>
        <w:pageBreakBefore w:val="0"/>
        <w:widowControl/>
        <w:kinsoku/>
        <w:wordWrap/>
        <w:overflowPunct/>
        <w:topLinePunct w:val="0"/>
        <w:autoSpaceDE/>
        <w:autoSpaceDN/>
        <w:bidi w:val="0"/>
        <w:adjustRightInd/>
        <w:snapToGrid w:val="0"/>
        <w:spacing w:line="336" w:lineRule="auto"/>
        <w:ind w:left="0" w:right="0" w:firstLine="422"/>
        <w:textAlignment w:val="auto"/>
        <w:rPr>
          <w:rFonts w:hint="eastAsia" w:ascii="宋体" w:hAnsi="宋体" w:eastAsia="宋体" w:cs="宋体"/>
          <w:bCs/>
          <w:caps w:val="0"/>
          <w:smallCaps w:val="0"/>
          <w:color w:val="000000"/>
          <w:szCs w:val="21"/>
          <w:highlight w:val="none"/>
          <w:lang w:val="en-US" w:eastAsia="zh-CN"/>
        </w:rPr>
      </w:pPr>
      <w:r>
        <w:rPr>
          <w:rFonts w:hint="eastAsia" w:ascii="宋体" w:hAnsi="宋体" w:eastAsia="宋体" w:cs="宋体"/>
          <w:bCs/>
          <w:caps w:val="0"/>
          <w:smallCaps w:val="0"/>
          <w:color w:val="000000"/>
          <w:szCs w:val="21"/>
          <w:highlight w:val="none"/>
          <w:lang w:val="en-US" w:eastAsia="zh-CN"/>
        </w:rPr>
        <w:t>在合同生效以及具备实施条件后7个工作日内甲方支付乙方合同金额的</w:t>
      </w:r>
      <w:r>
        <w:rPr>
          <w:rFonts w:hint="eastAsia" w:ascii="宋体" w:hAnsi="宋体" w:cs="宋体"/>
          <w:bCs/>
          <w:caps w:val="0"/>
          <w:smallCaps w:val="0"/>
          <w:color w:val="000000"/>
          <w:szCs w:val="21"/>
          <w:highlight w:val="none"/>
          <w:lang w:val="en-US" w:eastAsia="zh-CN"/>
        </w:rPr>
        <w:t>30</w:t>
      </w:r>
      <w:r>
        <w:rPr>
          <w:rFonts w:hint="eastAsia" w:ascii="宋体" w:hAnsi="宋体" w:eastAsia="宋体" w:cs="宋体"/>
          <w:bCs/>
          <w:caps w:val="0"/>
          <w:smallCaps w:val="0"/>
          <w:color w:val="000000"/>
          <w:szCs w:val="21"/>
          <w:highlight w:val="none"/>
          <w:lang w:val="en-US" w:eastAsia="zh-CN"/>
        </w:rPr>
        <w:t>%；项目验收后支付至合同额的</w:t>
      </w:r>
      <w:r>
        <w:rPr>
          <w:rFonts w:hint="eastAsia" w:ascii="宋体" w:hAnsi="宋体" w:cs="宋体"/>
          <w:bCs/>
          <w:caps w:val="0"/>
          <w:smallCaps w:val="0"/>
          <w:color w:val="000000"/>
          <w:szCs w:val="21"/>
          <w:highlight w:val="none"/>
          <w:lang w:val="en-US" w:eastAsia="zh-CN"/>
        </w:rPr>
        <w:t>95</w:t>
      </w:r>
      <w:r>
        <w:rPr>
          <w:rFonts w:hint="eastAsia" w:ascii="宋体" w:hAnsi="宋体" w:eastAsia="宋体" w:cs="宋体"/>
          <w:bCs/>
          <w:caps w:val="0"/>
          <w:smallCaps w:val="0"/>
          <w:color w:val="000000"/>
          <w:szCs w:val="21"/>
          <w:highlight w:val="none"/>
          <w:lang w:val="en-US" w:eastAsia="zh-CN"/>
        </w:rPr>
        <w:t>%，余款在终验合格满一年且确认没有质量问题后支付。（</w:t>
      </w:r>
      <w:r>
        <w:rPr>
          <w:rFonts w:hint="eastAsia" w:ascii="宋体" w:hAnsi="宋体" w:cs="宋体"/>
          <w:bCs/>
          <w:caps w:val="0"/>
          <w:smallCaps w:val="0"/>
          <w:color w:val="000000"/>
          <w:szCs w:val="21"/>
          <w:highlight w:val="none"/>
          <w:lang w:val="en-US" w:eastAsia="zh-CN"/>
        </w:rPr>
        <w:t>乙方</w:t>
      </w:r>
      <w:r>
        <w:rPr>
          <w:rFonts w:hint="eastAsia" w:ascii="宋体" w:hAnsi="宋体" w:eastAsia="宋体" w:cs="宋体"/>
          <w:bCs/>
          <w:caps w:val="0"/>
          <w:smallCaps w:val="0"/>
          <w:color w:val="000000"/>
          <w:szCs w:val="21"/>
          <w:highlight w:val="none"/>
          <w:lang w:val="en-US" w:eastAsia="zh-CN"/>
        </w:rPr>
        <w:t>须在</w:t>
      </w:r>
      <w:r>
        <w:rPr>
          <w:rFonts w:hint="eastAsia" w:ascii="宋体" w:hAnsi="宋体" w:cs="宋体"/>
          <w:bCs/>
          <w:caps w:val="0"/>
          <w:smallCaps w:val="0"/>
          <w:color w:val="000000"/>
          <w:szCs w:val="21"/>
          <w:highlight w:val="none"/>
          <w:lang w:val="en-US" w:eastAsia="zh-CN"/>
        </w:rPr>
        <w:t>甲方</w:t>
      </w:r>
      <w:r>
        <w:rPr>
          <w:rFonts w:hint="eastAsia" w:ascii="宋体" w:hAnsi="宋体" w:eastAsia="宋体" w:cs="宋体"/>
          <w:bCs/>
          <w:caps w:val="0"/>
          <w:smallCaps w:val="0"/>
          <w:color w:val="000000"/>
          <w:szCs w:val="21"/>
          <w:highlight w:val="none"/>
          <w:lang w:val="en-US" w:eastAsia="zh-CN"/>
        </w:rPr>
        <w:t>办理付款手续之前，提供等额的正式发票给</w:t>
      </w:r>
      <w:r>
        <w:rPr>
          <w:rFonts w:hint="eastAsia" w:ascii="宋体" w:hAnsi="宋体" w:cs="宋体"/>
          <w:bCs/>
          <w:caps w:val="0"/>
          <w:smallCaps w:val="0"/>
          <w:color w:val="000000"/>
          <w:szCs w:val="21"/>
          <w:highlight w:val="none"/>
          <w:lang w:val="en-US" w:eastAsia="zh-CN"/>
        </w:rPr>
        <w:t>甲方</w:t>
      </w:r>
      <w:r>
        <w:rPr>
          <w:rFonts w:hint="eastAsia" w:ascii="宋体" w:hAnsi="宋体" w:eastAsia="宋体" w:cs="宋体"/>
          <w:bCs/>
          <w:caps w:val="0"/>
          <w:smallCaps w:val="0"/>
          <w:color w:val="000000"/>
          <w:szCs w:val="21"/>
          <w:highlight w:val="none"/>
          <w:lang w:val="en-US" w:eastAsia="zh-CN"/>
        </w:rPr>
        <w:t>，以便</w:t>
      </w:r>
      <w:r>
        <w:rPr>
          <w:rFonts w:hint="eastAsia" w:ascii="宋体" w:hAnsi="宋体" w:cs="宋体"/>
          <w:bCs/>
          <w:caps w:val="0"/>
          <w:smallCaps w:val="0"/>
          <w:color w:val="000000"/>
          <w:szCs w:val="21"/>
          <w:highlight w:val="none"/>
          <w:lang w:val="en-US" w:eastAsia="zh-CN"/>
        </w:rPr>
        <w:t>甲方</w:t>
      </w:r>
      <w:r>
        <w:rPr>
          <w:rFonts w:hint="eastAsia" w:ascii="宋体" w:hAnsi="宋体" w:eastAsia="宋体" w:cs="宋体"/>
          <w:bCs/>
          <w:caps w:val="0"/>
          <w:smallCaps w:val="0"/>
          <w:color w:val="000000"/>
          <w:szCs w:val="21"/>
          <w:highlight w:val="none"/>
          <w:lang w:val="en-US" w:eastAsia="zh-CN"/>
        </w:rPr>
        <w:t>及时办理付款手续。由于</w:t>
      </w:r>
      <w:r>
        <w:rPr>
          <w:rFonts w:hint="eastAsia" w:ascii="宋体" w:hAnsi="宋体" w:cs="宋体"/>
          <w:bCs/>
          <w:caps w:val="0"/>
          <w:smallCaps w:val="0"/>
          <w:color w:val="000000"/>
          <w:szCs w:val="21"/>
          <w:highlight w:val="none"/>
          <w:lang w:val="en-US" w:eastAsia="zh-CN"/>
        </w:rPr>
        <w:t>甲方</w:t>
      </w:r>
      <w:r>
        <w:rPr>
          <w:rFonts w:hint="eastAsia" w:ascii="宋体" w:hAnsi="宋体" w:eastAsia="宋体" w:cs="宋体"/>
          <w:bCs/>
          <w:caps w:val="0"/>
          <w:smallCaps w:val="0"/>
          <w:color w:val="000000"/>
          <w:szCs w:val="21"/>
          <w:highlight w:val="none"/>
          <w:lang w:val="en-US" w:eastAsia="zh-CN"/>
        </w:rPr>
        <w:t>使用的是财政资金，</w:t>
      </w:r>
      <w:r>
        <w:rPr>
          <w:rFonts w:hint="eastAsia" w:ascii="宋体" w:hAnsi="宋体" w:cs="宋体"/>
          <w:bCs/>
          <w:caps w:val="0"/>
          <w:smallCaps w:val="0"/>
          <w:color w:val="000000"/>
          <w:szCs w:val="21"/>
          <w:highlight w:val="none"/>
          <w:lang w:val="en-US" w:eastAsia="zh-CN"/>
        </w:rPr>
        <w:t>甲方</w:t>
      </w:r>
      <w:r>
        <w:rPr>
          <w:rFonts w:hint="eastAsia" w:ascii="宋体" w:hAnsi="宋体" w:eastAsia="宋体" w:cs="宋体"/>
          <w:bCs/>
          <w:caps w:val="0"/>
          <w:smallCaps w:val="0"/>
          <w:color w:val="000000"/>
          <w:szCs w:val="21"/>
          <w:highlight w:val="none"/>
          <w:lang w:val="en-US" w:eastAsia="zh-CN"/>
        </w:rPr>
        <w:t>在规定时间内办理支付手续即视为按期支付，因财政支付延误导致</w:t>
      </w:r>
      <w:r>
        <w:rPr>
          <w:rFonts w:hint="eastAsia" w:ascii="宋体" w:hAnsi="宋体" w:cs="宋体"/>
          <w:bCs/>
          <w:caps w:val="0"/>
          <w:smallCaps w:val="0"/>
          <w:color w:val="000000"/>
          <w:szCs w:val="21"/>
          <w:highlight w:val="none"/>
          <w:lang w:val="en-US" w:eastAsia="zh-CN"/>
        </w:rPr>
        <w:t>甲方</w:t>
      </w:r>
      <w:r>
        <w:rPr>
          <w:rFonts w:hint="eastAsia" w:ascii="宋体" w:hAnsi="宋体" w:eastAsia="宋体" w:cs="宋体"/>
          <w:bCs/>
          <w:caps w:val="0"/>
          <w:smallCaps w:val="0"/>
          <w:color w:val="000000"/>
          <w:szCs w:val="21"/>
          <w:highlight w:val="none"/>
          <w:lang w:val="en-US" w:eastAsia="zh-CN"/>
        </w:rPr>
        <w:t>逾期付款的，</w:t>
      </w:r>
      <w:r>
        <w:rPr>
          <w:rFonts w:hint="eastAsia" w:ascii="宋体" w:hAnsi="宋体" w:cs="宋体"/>
          <w:bCs/>
          <w:caps w:val="0"/>
          <w:smallCaps w:val="0"/>
          <w:color w:val="000000"/>
          <w:szCs w:val="21"/>
          <w:highlight w:val="none"/>
          <w:lang w:val="en-US" w:eastAsia="zh-CN"/>
        </w:rPr>
        <w:t>甲方</w:t>
      </w:r>
      <w:r>
        <w:rPr>
          <w:rFonts w:hint="eastAsia" w:ascii="宋体" w:hAnsi="宋体" w:eastAsia="宋体" w:cs="宋体"/>
          <w:bCs/>
          <w:caps w:val="0"/>
          <w:smallCaps w:val="0"/>
          <w:color w:val="000000"/>
          <w:szCs w:val="21"/>
          <w:highlight w:val="none"/>
          <w:lang w:val="en-US" w:eastAsia="zh-CN"/>
        </w:rPr>
        <w:t>不承担违约责任，此情况不能成为</w:t>
      </w:r>
      <w:r>
        <w:rPr>
          <w:rFonts w:hint="eastAsia" w:ascii="宋体" w:hAnsi="宋体" w:cs="宋体"/>
          <w:bCs/>
          <w:caps w:val="0"/>
          <w:smallCaps w:val="0"/>
          <w:color w:val="000000"/>
          <w:szCs w:val="21"/>
          <w:highlight w:val="none"/>
          <w:lang w:val="en-US" w:eastAsia="zh-CN"/>
        </w:rPr>
        <w:t>乙方</w:t>
      </w:r>
      <w:r>
        <w:rPr>
          <w:rFonts w:hint="eastAsia" w:ascii="宋体" w:hAnsi="宋体" w:eastAsia="宋体" w:cs="宋体"/>
          <w:bCs/>
          <w:caps w:val="0"/>
          <w:smallCaps w:val="0"/>
          <w:color w:val="000000"/>
          <w:szCs w:val="21"/>
          <w:highlight w:val="none"/>
          <w:lang w:val="en-US" w:eastAsia="zh-CN"/>
        </w:rPr>
        <w:t>拒绝提供服务的理由。）</w:t>
      </w:r>
    </w:p>
    <w:p>
      <w:pPr>
        <w:keepNext w:val="0"/>
        <w:keepLines w:val="0"/>
        <w:pageBreakBefore w:val="0"/>
        <w:widowControl/>
        <w:kinsoku/>
        <w:wordWrap/>
        <w:overflowPunct/>
        <w:topLinePunct w:val="0"/>
        <w:autoSpaceDE/>
        <w:autoSpaceDN/>
        <w:bidi w:val="0"/>
        <w:adjustRightInd/>
        <w:snapToGrid w:val="0"/>
        <w:spacing w:line="336" w:lineRule="auto"/>
        <w:ind w:left="0" w:right="0" w:firstLine="422"/>
        <w:textAlignment w:val="auto"/>
        <w:rPr>
          <w:rFonts w:hint="eastAsia" w:ascii="宋体" w:hAnsi="宋体" w:eastAsia="宋体" w:cs="宋体"/>
          <w:b/>
          <w:bCs/>
          <w:caps w:val="0"/>
          <w:smallCaps w:val="0"/>
          <w:color w:val="000000"/>
          <w:highlight w:val="none"/>
          <w:lang w:val="en-US" w:eastAsia="zh-CN"/>
        </w:rPr>
      </w:pPr>
      <w:r>
        <w:rPr>
          <w:rFonts w:hint="eastAsia" w:ascii="宋体" w:hAnsi="宋体" w:cs="宋体"/>
          <w:b/>
          <w:bCs/>
          <w:caps w:val="0"/>
          <w:smallCaps w:val="0"/>
          <w:color w:val="000000"/>
          <w:highlight w:val="none"/>
          <w:lang w:val="en-US" w:eastAsia="zh-CN"/>
        </w:rPr>
        <w:t>五、税费</w:t>
      </w:r>
    </w:p>
    <w:p>
      <w:pPr>
        <w:keepNext w:val="0"/>
        <w:keepLines w:val="0"/>
        <w:pageBreakBefore w:val="0"/>
        <w:widowControl/>
        <w:kinsoku/>
        <w:wordWrap/>
        <w:overflowPunct/>
        <w:topLinePunct w:val="0"/>
        <w:autoSpaceDE/>
        <w:autoSpaceDN/>
        <w:bidi w:val="0"/>
        <w:adjustRightInd/>
        <w:snapToGrid w:val="0"/>
        <w:spacing w:line="336" w:lineRule="auto"/>
        <w:ind w:left="0" w:right="0" w:firstLine="422"/>
        <w:textAlignment w:val="auto"/>
        <w:rPr>
          <w:rFonts w:hint="eastAsia" w:ascii="宋体" w:hAnsi="宋体" w:eastAsia="宋体" w:cs="宋体"/>
          <w:b w:val="0"/>
          <w:bCs w:val="0"/>
          <w:caps w:val="0"/>
          <w:smallCaps w:val="0"/>
          <w:color w:val="000000"/>
          <w:highlight w:val="none"/>
          <w:lang w:val="en-US" w:eastAsia="zh-CN"/>
        </w:rPr>
      </w:pPr>
      <w:r>
        <w:rPr>
          <w:rFonts w:hint="eastAsia" w:ascii="宋体" w:hAnsi="宋体" w:eastAsia="宋体" w:cs="宋体"/>
          <w:b w:val="0"/>
          <w:bCs w:val="0"/>
          <w:caps w:val="0"/>
          <w:smallCaps w:val="0"/>
          <w:color w:val="000000"/>
          <w:highlight w:val="none"/>
          <w:lang w:val="en-US" w:eastAsia="zh-CN"/>
        </w:rPr>
        <w:t>本合同执行中相关的一切税费均由乙方负担。</w:t>
      </w:r>
    </w:p>
    <w:p>
      <w:pPr>
        <w:keepNext w:val="0"/>
        <w:keepLines w:val="0"/>
        <w:pageBreakBefore w:val="0"/>
        <w:widowControl/>
        <w:kinsoku/>
        <w:wordWrap/>
        <w:overflowPunct/>
        <w:topLinePunct w:val="0"/>
        <w:autoSpaceDE/>
        <w:autoSpaceDN/>
        <w:bidi w:val="0"/>
        <w:adjustRightInd/>
        <w:snapToGrid w:val="0"/>
        <w:spacing w:line="336" w:lineRule="auto"/>
        <w:ind w:left="0" w:right="0" w:firstLine="422"/>
        <w:textAlignment w:val="auto"/>
        <w:rPr>
          <w:rFonts w:hint="eastAsia" w:ascii="宋体" w:hAnsi="宋体" w:eastAsia="宋体" w:cs="宋体"/>
          <w:b/>
          <w:bCs/>
          <w:caps w:val="0"/>
          <w:smallCaps w:val="0"/>
          <w:color w:val="000000"/>
          <w:highlight w:val="none"/>
          <w:lang w:val="en-US" w:eastAsia="zh-CN"/>
        </w:rPr>
      </w:pPr>
      <w:r>
        <w:rPr>
          <w:rFonts w:hint="eastAsia" w:ascii="宋体" w:hAnsi="宋体" w:cs="宋体"/>
          <w:b/>
          <w:bCs/>
          <w:caps w:val="0"/>
          <w:smallCaps w:val="0"/>
          <w:color w:val="000000"/>
          <w:highlight w:val="none"/>
          <w:lang w:val="en-US" w:eastAsia="zh-CN"/>
        </w:rPr>
        <w:t>六、服务要求</w:t>
      </w:r>
    </w:p>
    <w:p>
      <w:pPr>
        <w:keepNext w:val="0"/>
        <w:keepLines w:val="0"/>
        <w:pageBreakBefore w:val="0"/>
        <w:widowControl/>
        <w:kinsoku/>
        <w:wordWrap/>
        <w:overflowPunct/>
        <w:topLinePunct w:val="0"/>
        <w:autoSpaceDE/>
        <w:autoSpaceDN/>
        <w:bidi w:val="0"/>
        <w:adjustRightInd/>
        <w:snapToGrid w:val="0"/>
        <w:spacing w:line="336" w:lineRule="auto"/>
        <w:ind w:left="0" w:right="0" w:firstLine="422"/>
        <w:textAlignment w:val="auto"/>
        <w:rPr>
          <w:rFonts w:hint="eastAsia" w:ascii="宋体" w:hAnsi="宋体" w:eastAsia="宋体" w:cs="宋体"/>
          <w:b w:val="0"/>
          <w:bCs w:val="0"/>
          <w:caps w:val="0"/>
          <w:smallCaps w:val="0"/>
          <w:color w:val="000000"/>
          <w:highlight w:val="none"/>
          <w:lang w:val="en-US" w:eastAsia="zh-CN"/>
        </w:rPr>
      </w:pPr>
      <w:r>
        <w:rPr>
          <w:rFonts w:hint="eastAsia" w:ascii="宋体" w:hAnsi="宋体" w:eastAsia="宋体" w:cs="宋体"/>
          <w:b w:val="0"/>
          <w:bCs w:val="0"/>
          <w:caps w:val="0"/>
          <w:smallCaps w:val="0"/>
          <w:color w:val="000000"/>
          <w:highlight w:val="none"/>
          <w:lang w:val="en-US" w:eastAsia="zh-CN"/>
        </w:rPr>
        <w:t>按招标文件商务要求中规定的内容执行，若乙方在投标时有更优响应的，则以其响应内容为准。</w:t>
      </w:r>
    </w:p>
    <w:p>
      <w:pPr>
        <w:keepNext w:val="0"/>
        <w:keepLines w:val="0"/>
        <w:pageBreakBefore w:val="0"/>
        <w:widowControl/>
        <w:kinsoku/>
        <w:wordWrap/>
        <w:overflowPunct/>
        <w:topLinePunct w:val="0"/>
        <w:autoSpaceDE/>
        <w:autoSpaceDN/>
        <w:bidi w:val="0"/>
        <w:adjustRightInd/>
        <w:snapToGrid w:val="0"/>
        <w:spacing w:line="336" w:lineRule="auto"/>
        <w:ind w:left="0" w:right="0" w:firstLine="422"/>
        <w:textAlignment w:val="auto"/>
        <w:rPr>
          <w:rFonts w:hint="eastAsia" w:ascii="宋体" w:hAnsi="宋体" w:cs="宋体"/>
          <w:b/>
          <w:bCs/>
          <w:caps w:val="0"/>
          <w:smallCaps w:val="0"/>
          <w:color w:val="000000"/>
          <w:highlight w:val="none"/>
          <w:lang w:val="en-US" w:eastAsia="zh-CN"/>
        </w:rPr>
      </w:pPr>
      <w:r>
        <w:rPr>
          <w:rFonts w:hint="eastAsia" w:ascii="宋体" w:hAnsi="宋体" w:cs="宋体"/>
          <w:b/>
          <w:bCs/>
          <w:caps w:val="0"/>
          <w:smallCaps w:val="0"/>
          <w:color w:val="000000"/>
          <w:highlight w:val="none"/>
          <w:lang w:val="en-US" w:eastAsia="zh-CN"/>
        </w:rPr>
        <w:t>七、验收标准</w:t>
      </w:r>
    </w:p>
    <w:p>
      <w:pPr>
        <w:keepNext w:val="0"/>
        <w:keepLines w:val="0"/>
        <w:pageBreakBefore w:val="0"/>
        <w:widowControl/>
        <w:kinsoku/>
        <w:wordWrap/>
        <w:overflowPunct/>
        <w:topLinePunct w:val="0"/>
        <w:autoSpaceDE/>
        <w:autoSpaceDN/>
        <w:bidi w:val="0"/>
        <w:adjustRightInd/>
        <w:snapToGrid w:val="0"/>
        <w:spacing w:line="336" w:lineRule="auto"/>
        <w:ind w:left="0" w:right="0" w:firstLine="422"/>
        <w:textAlignment w:val="auto"/>
        <w:rPr>
          <w:rFonts w:hint="eastAsia" w:ascii="宋体" w:hAnsi="宋体" w:eastAsia="宋体" w:cs="宋体"/>
          <w:b/>
          <w:bCs/>
          <w:caps w:val="0"/>
          <w:smallCaps w:val="0"/>
          <w:color w:val="000000"/>
          <w:highlight w:val="none"/>
          <w:lang w:val="en-US" w:eastAsia="zh-CN"/>
        </w:rPr>
      </w:pPr>
      <w:r>
        <w:rPr>
          <w:rFonts w:hint="eastAsia" w:ascii="宋体" w:hAnsi="宋体" w:eastAsia="宋体" w:cs="宋体"/>
          <w:b w:val="0"/>
          <w:bCs w:val="0"/>
          <w:caps w:val="0"/>
          <w:smallCaps w:val="0"/>
          <w:color w:val="000000"/>
          <w:highlight w:val="none"/>
          <w:lang w:val="en-US" w:eastAsia="zh-CN"/>
        </w:rPr>
        <w:t>按照招标文件和乙方提供的</w:t>
      </w:r>
      <w:r>
        <w:rPr>
          <w:rFonts w:hint="eastAsia" w:ascii="宋体" w:hAnsi="宋体" w:cs="宋体"/>
          <w:b w:val="0"/>
          <w:bCs w:val="0"/>
          <w:caps w:val="0"/>
          <w:smallCaps w:val="0"/>
          <w:color w:val="000000"/>
          <w:highlight w:val="none"/>
          <w:lang w:val="en-US" w:eastAsia="zh-CN"/>
        </w:rPr>
        <w:t>投标</w:t>
      </w:r>
      <w:r>
        <w:rPr>
          <w:rFonts w:hint="eastAsia" w:ascii="宋体" w:hAnsi="宋体" w:eastAsia="宋体" w:cs="宋体"/>
          <w:b w:val="0"/>
          <w:bCs w:val="0"/>
          <w:caps w:val="0"/>
          <w:smallCaps w:val="0"/>
          <w:color w:val="000000"/>
          <w:highlight w:val="none"/>
          <w:lang w:val="en-US" w:eastAsia="zh-CN"/>
        </w:rPr>
        <w:t>文件及本合同为准。</w:t>
      </w:r>
    </w:p>
    <w:p>
      <w:pPr>
        <w:keepNext w:val="0"/>
        <w:keepLines w:val="0"/>
        <w:pageBreakBefore w:val="0"/>
        <w:widowControl/>
        <w:kinsoku/>
        <w:wordWrap/>
        <w:overflowPunct/>
        <w:topLinePunct w:val="0"/>
        <w:autoSpaceDE/>
        <w:autoSpaceDN/>
        <w:bidi w:val="0"/>
        <w:adjustRightInd/>
        <w:snapToGrid w:val="0"/>
        <w:spacing w:line="336" w:lineRule="auto"/>
        <w:ind w:left="0" w:right="0" w:firstLine="422"/>
        <w:textAlignment w:val="auto"/>
        <w:rPr>
          <w:rFonts w:hint="eastAsia" w:ascii="宋体" w:hAnsi="宋体" w:eastAsia="宋体" w:cs="宋体"/>
          <w:highlight w:val="none"/>
        </w:rPr>
      </w:pPr>
      <w:r>
        <w:rPr>
          <w:rFonts w:hint="eastAsia" w:ascii="宋体" w:hAnsi="宋体" w:cs="宋体"/>
          <w:b/>
          <w:bCs/>
          <w:caps w:val="0"/>
          <w:smallCaps w:val="0"/>
          <w:color w:val="000000"/>
          <w:highlight w:val="none"/>
          <w:lang w:val="en-US" w:eastAsia="zh-CN"/>
        </w:rPr>
        <w:t>八</w:t>
      </w:r>
      <w:r>
        <w:rPr>
          <w:rFonts w:hint="eastAsia" w:ascii="宋体" w:hAnsi="宋体" w:eastAsia="宋体" w:cs="宋体"/>
          <w:b/>
          <w:bCs/>
          <w:caps w:val="0"/>
          <w:smallCaps w:val="0"/>
          <w:color w:val="000000"/>
          <w:highlight w:val="none"/>
          <w:lang w:val="en-US" w:eastAsia="zh-CN"/>
        </w:rPr>
        <w:t>、违约责任</w:t>
      </w:r>
    </w:p>
    <w:p>
      <w:pPr>
        <w:keepNext w:val="0"/>
        <w:keepLines w:val="0"/>
        <w:pageBreakBefore w:val="0"/>
        <w:widowControl/>
        <w:kinsoku/>
        <w:wordWrap/>
        <w:overflowPunct/>
        <w:topLinePunct w:val="0"/>
        <w:autoSpaceDE/>
        <w:autoSpaceDN/>
        <w:bidi w:val="0"/>
        <w:adjustRightInd/>
        <w:snapToGrid w:val="0"/>
        <w:spacing w:line="336" w:lineRule="auto"/>
        <w:ind w:left="0" w:right="0" w:firstLine="420"/>
        <w:textAlignment w:val="auto"/>
        <w:rPr>
          <w:rFonts w:hint="eastAsia" w:ascii="宋体" w:hAnsi="宋体" w:eastAsia="宋体" w:cs="宋体"/>
          <w:highlight w:val="none"/>
        </w:rPr>
      </w:pPr>
      <w:r>
        <w:rPr>
          <w:rFonts w:hint="eastAsia" w:ascii="宋体" w:hAnsi="宋体" w:eastAsia="宋体" w:cs="宋体"/>
          <w:color w:val="000000"/>
          <w:kern w:val="0"/>
          <w:sz w:val="21"/>
          <w:szCs w:val="21"/>
          <w:highlight w:val="none"/>
          <w:lang w:val="en-US" w:eastAsia="zh-CN" w:bidi="ar"/>
        </w:rPr>
        <w:t>1、甲方无正当理由拒收的，甲方向乙方偿付拒收总值的百分之五违约金。</w:t>
      </w:r>
    </w:p>
    <w:p>
      <w:pPr>
        <w:keepNext w:val="0"/>
        <w:keepLines w:val="0"/>
        <w:pageBreakBefore w:val="0"/>
        <w:widowControl/>
        <w:kinsoku/>
        <w:wordWrap/>
        <w:overflowPunct/>
        <w:topLinePunct w:val="0"/>
        <w:autoSpaceDE/>
        <w:autoSpaceDN/>
        <w:bidi w:val="0"/>
        <w:adjustRightInd/>
        <w:snapToGrid w:val="0"/>
        <w:spacing w:line="336" w:lineRule="auto"/>
        <w:ind w:left="0" w:right="0" w:firstLine="420"/>
        <w:textAlignment w:val="auto"/>
        <w:rPr>
          <w:rFonts w:hint="eastAsia" w:ascii="宋体" w:hAnsi="宋体" w:eastAsia="宋体" w:cs="宋体"/>
          <w:highlight w:val="none"/>
        </w:rPr>
      </w:pPr>
      <w:r>
        <w:rPr>
          <w:rFonts w:hint="eastAsia" w:ascii="宋体" w:hAnsi="宋体" w:eastAsia="宋体" w:cs="宋体"/>
          <w:color w:val="000000"/>
          <w:kern w:val="0"/>
          <w:sz w:val="21"/>
          <w:szCs w:val="21"/>
          <w:highlight w:val="none"/>
          <w:lang w:val="en-US" w:eastAsia="zh-CN" w:bidi="ar"/>
        </w:rPr>
        <w:t>2、甲方无故逾期验收和办理款项支付手续的,甲方应按逾期付款总额每日万分之五向乙方支付违约金。</w:t>
      </w:r>
    </w:p>
    <w:p>
      <w:pPr>
        <w:keepNext w:val="0"/>
        <w:keepLines w:val="0"/>
        <w:pageBreakBefore w:val="0"/>
        <w:widowControl/>
        <w:kinsoku/>
        <w:wordWrap/>
        <w:overflowPunct/>
        <w:topLinePunct w:val="0"/>
        <w:autoSpaceDE/>
        <w:autoSpaceDN/>
        <w:bidi w:val="0"/>
        <w:adjustRightInd/>
        <w:snapToGrid w:val="0"/>
        <w:spacing w:line="336" w:lineRule="auto"/>
        <w:ind w:left="0" w:right="0" w:firstLine="420"/>
        <w:textAlignment w:val="auto"/>
        <w:rPr>
          <w:rFonts w:hint="eastAsia" w:ascii="宋体" w:hAnsi="宋体" w:eastAsia="宋体" w:cs="宋体"/>
          <w:highlight w:val="none"/>
        </w:rPr>
      </w:pPr>
      <w:r>
        <w:rPr>
          <w:rFonts w:hint="eastAsia" w:ascii="宋体" w:hAnsi="宋体" w:eastAsia="宋体" w:cs="宋体"/>
          <w:color w:val="000000"/>
          <w:kern w:val="0"/>
          <w:sz w:val="21"/>
          <w:szCs w:val="21"/>
          <w:highlight w:val="none"/>
          <w:lang w:val="en-US" w:eastAsia="zh-CN" w:bidi="ar"/>
        </w:rPr>
        <w:t>3、乙方逾期交付的，乙方应按逾期交付总额每日千分之六向甲方支付违约金，由甲方从待付款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w:t>
      </w:r>
    </w:p>
    <w:p>
      <w:pPr>
        <w:keepNext w:val="0"/>
        <w:keepLines w:val="0"/>
        <w:pageBreakBefore w:val="0"/>
        <w:widowControl/>
        <w:kinsoku/>
        <w:wordWrap/>
        <w:overflowPunct/>
        <w:topLinePunct w:val="0"/>
        <w:autoSpaceDE/>
        <w:autoSpaceDN/>
        <w:bidi w:val="0"/>
        <w:adjustRightInd/>
        <w:snapToGrid w:val="0"/>
        <w:spacing w:line="336" w:lineRule="auto"/>
        <w:ind w:left="0" w:right="0" w:firstLine="422"/>
        <w:textAlignment w:val="auto"/>
        <w:rPr>
          <w:rFonts w:hint="eastAsia" w:ascii="宋体" w:hAnsi="宋体" w:eastAsia="宋体" w:cs="宋体"/>
          <w:highlight w:val="none"/>
        </w:rPr>
      </w:pPr>
      <w:r>
        <w:rPr>
          <w:rFonts w:hint="eastAsia" w:ascii="宋体" w:hAnsi="宋体" w:cs="宋体"/>
          <w:b/>
          <w:bCs/>
          <w:caps w:val="0"/>
          <w:smallCaps w:val="0"/>
          <w:color w:val="000000"/>
          <w:highlight w:val="none"/>
          <w:lang w:val="en-US" w:eastAsia="zh-CN"/>
        </w:rPr>
        <w:t>九</w:t>
      </w:r>
      <w:r>
        <w:rPr>
          <w:rFonts w:hint="eastAsia" w:ascii="宋体" w:hAnsi="宋体" w:eastAsia="宋体" w:cs="宋体"/>
          <w:b/>
          <w:bCs/>
          <w:caps w:val="0"/>
          <w:smallCaps w:val="0"/>
          <w:color w:val="000000"/>
          <w:highlight w:val="none"/>
          <w:lang w:val="en-US" w:eastAsia="zh-CN"/>
        </w:rPr>
        <w:t>、不可抗力事件处理</w:t>
      </w:r>
    </w:p>
    <w:p>
      <w:pPr>
        <w:keepNext w:val="0"/>
        <w:keepLines w:val="0"/>
        <w:pageBreakBefore w:val="0"/>
        <w:widowControl/>
        <w:kinsoku/>
        <w:wordWrap/>
        <w:overflowPunct/>
        <w:topLinePunct w:val="0"/>
        <w:autoSpaceDE/>
        <w:autoSpaceDN/>
        <w:bidi w:val="0"/>
        <w:adjustRightInd/>
        <w:snapToGrid w:val="0"/>
        <w:spacing w:line="336" w:lineRule="auto"/>
        <w:ind w:left="0" w:right="0" w:firstLine="420"/>
        <w:textAlignment w:val="auto"/>
        <w:rPr>
          <w:rFonts w:hint="eastAsia" w:ascii="宋体" w:hAnsi="宋体" w:eastAsia="宋体" w:cs="宋体"/>
          <w:highlight w:val="none"/>
        </w:rPr>
      </w:pPr>
      <w:r>
        <w:rPr>
          <w:rFonts w:hint="eastAsia" w:ascii="宋体" w:hAnsi="宋体" w:eastAsia="宋体" w:cs="宋体"/>
          <w:color w:val="000000"/>
          <w:kern w:val="0"/>
          <w:sz w:val="21"/>
          <w:szCs w:val="21"/>
          <w:highlight w:val="none"/>
          <w:lang w:val="en-US" w:eastAsia="zh-CN" w:bidi="ar"/>
        </w:rPr>
        <w:t>1、在合同有效期内，任何一方因不可抗力事件导致不能履行合同，则合同履行期可延长，其延长期与不可抗力影响期相同。</w:t>
      </w:r>
    </w:p>
    <w:p>
      <w:pPr>
        <w:keepNext w:val="0"/>
        <w:keepLines w:val="0"/>
        <w:pageBreakBefore w:val="0"/>
        <w:widowControl/>
        <w:kinsoku/>
        <w:wordWrap/>
        <w:overflowPunct/>
        <w:topLinePunct w:val="0"/>
        <w:autoSpaceDE/>
        <w:autoSpaceDN/>
        <w:bidi w:val="0"/>
        <w:adjustRightInd/>
        <w:snapToGrid w:val="0"/>
        <w:spacing w:line="336" w:lineRule="auto"/>
        <w:ind w:left="0" w:right="0" w:firstLine="420"/>
        <w:textAlignment w:val="auto"/>
        <w:rPr>
          <w:rFonts w:hint="eastAsia" w:ascii="宋体" w:hAnsi="宋体" w:eastAsia="宋体" w:cs="宋体"/>
          <w:highlight w:val="none"/>
        </w:rPr>
      </w:pPr>
      <w:r>
        <w:rPr>
          <w:rFonts w:hint="eastAsia" w:ascii="宋体" w:hAnsi="宋体" w:eastAsia="宋体" w:cs="宋体"/>
          <w:color w:val="000000"/>
          <w:kern w:val="0"/>
          <w:sz w:val="21"/>
          <w:szCs w:val="21"/>
          <w:highlight w:val="none"/>
          <w:lang w:val="en-US" w:eastAsia="zh-CN" w:bidi="ar"/>
        </w:rPr>
        <w:t>2、不可抗力事件发生后，应立即通知对方，并寄送有关权威机构出具的证明。</w:t>
      </w:r>
    </w:p>
    <w:p>
      <w:pPr>
        <w:keepNext w:val="0"/>
        <w:keepLines w:val="0"/>
        <w:pageBreakBefore w:val="0"/>
        <w:widowControl/>
        <w:kinsoku/>
        <w:wordWrap/>
        <w:overflowPunct/>
        <w:topLinePunct w:val="0"/>
        <w:autoSpaceDE/>
        <w:autoSpaceDN/>
        <w:bidi w:val="0"/>
        <w:adjustRightInd/>
        <w:snapToGrid w:val="0"/>
        <w:spacing w:line="336" w:lineRule="auto"/>
        <w:ind w:left="0" w:right="0" w:firstLine="420"/>
        <w:textAlignment w:val="auto"/>
        <w:rPr>
          <w:rFonts w:hint="eastAsia" w:ascii="宋体" w:hAnsi="宋体" w:eastAsia="宋体" w:cs="宋体"/>
          <w:highlight w:val="none"/>
        </w:rPr>
      </w:pPr>
      <w:r>
        <w:rPr>
          <w:rFonts w:hint="eastAsia" w:ascii="宋体" w:hAnsi="宋体" w:eastAsia="宋体" w:cs="宋体"/>
          <w:color w:val="000000"/>
          <w:kern w:val="0"/>
          <w:sz w:val="21"/>
          <w:szCs w:val="21"/>
          <w:highlight w:val="none"/>
          <w:lang w:val="en-US" w:eastAsia="zh-CN" w:bidi="ar"/>
        </w:rPr>
        <w:t>3、不可抗力事件延续120天以上，双方应通过友好协商，确定是否继续履行合同。</w:t>
      </w:r>
    </w:p>
    <w:p>
      <w:pPr>
        <w:keepNext w:val="0"/>
        <w:keepLines w:val="0"/>
        <w:pageBreakBefore w:val="0"/>
        <w:widowControl/>
        <w:kinsoku/>
        <w:wordWrap/>
        <w:overflowPunct/>
        <w:topLinePunct w:val="0"/>
        <w:autoSpaceDE/>
        <w:autoSpaceDN/>
        <w:bidi w:val="0"/>
        <w:adjustRightInd/>
        <w:snapToGrid w:val="0"/>
        <w:spacing w:line="336" w:lineRule="auto"/>
        <w:ind w:left="0" w:right="0" w:firstLine="422"/>
        <w:textAlignment w:val="auto"/>
        <w:rPr>
          <w:rFonts w:hint="eastAsia" w:ascii="宋体" w:hAnsi="宋体" w:eastAsia="宋体" w:cs="宋体"/>
          <w:highlight w:val="none"/>
        </w:rPr>
      </w:pPr>
      <w:r>
        <w:rPr>
          <w:rFonts w:hint="eastAsia" w:ascii="宋体" w:hAnsi="宋体" w:cs="宋体"/>
          <w:b/>
          <w:bCs/>
          <w:caps w:val="0"/>
          <w:smallCaps w:val="0"/>
          <w:color w:val="000000"/>
          <w:highlight w:val="none"/>
          <w:lang w:val="en-US" w:eastAsia="zh-CN"/>
        </w:rPr>
        <w:t>十</w:t>
      </w:r>
      <w:r>
        <w:rPr>
          <w:rFonts w:hint="eastAsia" w:ascii="宋体" w:hAnsi="宋体" w:eastAsia="宋体" w:cs="宋体"/>
          <w:b/>
          <w:bCs/>
          <w:caps w:val="0"/>
          <w:smallCaps w:val="0"/>
          <w:color w:val="000000"/>
          <w:highlight w:val="none"/>
          <w:lang w:val="en-US" w:eastAsia="zh-CN"/>
        </w:rPr>
        <w:t>、解决合同纠纷方式</w:t>
      </w:r>
    </w:p>
    <w:p>
      <w:pPr>
        <w:keepNext w:val="0"/>
        <w:keepLines w:val="0"/>
        <w:pageBreakBefore w:val="0"/>
        <w:widowControl/>
        <w:kinsoku/>
        <w:wordWrap/>
        <w:overflowPunct/>
        <w:topLinePunct w:val="0"/>
        <w:autoSpaceDE/>
        <w:autoSpaceDN/>
        <w:bidi w:val="0"/>
        <w:adjustRightInd/>
        <w:snapToGrid w:val="0"/>
        <w:spacing w:line="336" w:lineRule="auto"/>
        <w:ind w:left="0" w:right="0" w:firstLine="420"/>
        <w:textAlignment w:val="auto"/>
        <w:rPr>
          <w:rFonts w:hint="eastAsia" w:ascii="宋体" w:hAnsi="宋体" w:eastAsia="宋体" w:cs="宋体"/>
          <w:highlight w:val="none"/>
        </w:rPr>
      </w:pPr>
      <w:r>
        <w:rPr>
          <w:rFonts w:hint="eastAsia" w:ascii="宋体" w:hAnsi="宋体" w:eastAsia="宋体" w:cs="宋体"/>
          <w:color w:val="000000"/>
          <w:kern w:val="0"/>
          <w:sz w:val="21"/>
          <w:szCs w:val="21"/>
          <w:highlight w:val="none"/>
          <w:lang w:val="en-US" w:eastAsia="zh-CN" w:bidi="ar"/>
        </w:rPr>
        <w:t>双方在执行合同中所发生的一切争议，应通过协商解决。如协商不成，可向合同签订地法院起诉，合同签订地在此约定为宁波市</w:t>
      </w:r>
      <w:r>
        <w:rPr>
          <w:rFonts w:hint="eastAsia" w:ascii="宋体" w:hAnsi="宋体" w:cs="宋体"/>
          <w:color w:val="000000"/>
          <w:kern w:val="0"/>
          <w:sz w:val="21"/>
          <w:szCs w:val="21"/>
          <w:highlight w:val="none"/>
          <w:lang w:val="en-US" w:eastAsia="zh-CN" w:bidi="ar"/>
        </w:rPr>
        <w:t>镇海</w:t>
      </w:r>
      <w:r>
        <w:rPr>
          <w:rFonts w:hint="eastAsia" w:ascii="宋体" w:hAnsi="宋体" w:eastAsia="宋体" w:cs="宋体"/>
          <w:color w:val="000000"/>
          <w:kern w:val="0"/>
          <w:sz w:val="21"/>
          <w:szCs w:val="21"/>
          <w:highlight w:val="none"/>
          <w:lang w:val="en-US" w:eastAsia="zh-CN" w:bidi="ar"/>
        </w:rPr>
        <w:t>区。</w:t>
      </w:r>
    </w:p>
    <w:p>
      <w:pPr>
        <w:keepNext w:val="0"/>
        <w:keepLines w:val="0"/>
        <w:pageBreakBefore w:val="0"/>
        <w:widowControl/>
        <w:kinsoku/>
        <w:wordWrap/>
        <w:overflowPunct/>
        <w:topLinePunct w:val="0"/>
        <w:autoSpaceDE/>
        <w:autoSpaceDN/>
        <w:bidi w:val="0"/>
        <w:adjustRightInd/>
        <w:snapToGrid w:val="0"/>
        <w:spacing w:line="336" w:lineRule="auto"/>
        <w:ind w:left="0" w:right="0" w:firstLine="422"/>
        <w:textAlignment w:val="auto"/>
        <w:rPr>
          <w:rFonts w:hint="eastAsia" w:ascii="宋体" w:hAnsi="宋体" w:eastAsia="宋体" w:cs="宋体"/>
          <w:highlight w:val="none"/>
        </w:rPr>
      </w:pPr>
      <w:r>
        <w:rPr>
          <w:rFonts w:hint="eastAsia" w:ascii="宋体" w:hAnsi="宋体" w:cs="宋体"/>
          <w:b/>
          <w:bCs/>
          <w:caps w:val="0"/>
          <w:smallCaps w:val="0"/>
          <w:color w:val="000000"/>
          <w:highlight w:val="none"/>
          <w:lang w:val="en-US" w:eastAsia="zh-CN"/>
        </w:rPr>
        <w:t>十一</w:t>
      </w:r>
      <w:r>
        <w:rPr>
          <w:rFonts w:hint="eastAsia" w:ascii="宋体" w:hAnsi="宋体" w:eastAsia="宋体" w:cs="宋体"/>
          <w:b/>
          <w:bCs/>
          <w:caps w:val="0"/>
          <w:smallCaps w:val="0"/>
          <w:color w:val="000000"/>
          <w:highlight w:val="none"/>
          <w:lang w:val="en-US" w:eastAsia="zh-CN"/>
        </w:rPr>
        <w:t>、合同生效及其它约定事项</w:t>
      </w:r>
    </w:p>
    <w:p>
      <w:pPr>
        <w:keepNext w:val="0"/>
        <w:keepLines w:val="0"/>
        <w:pageBreakBefore w:val="0"/>
        <w:widowControl/>
        <w:kinsoku/>
        <w:wordWrap/>
        <w:overflowPunct/>
        <w:topLinePunct w:val="0"/>
        <w:autoSpaceDE/>
        <w:autoSpaceDN/>
        <w:bidi w:val="0"/>
        <w:adjustRightInd/>
        <w:snapToGrid w:val="0"/>
        <w:spacing w:line="336" w:lineRule="auto"/>
        <w:ind w:left="0" w:right="0" w:firstLine="420"/>
        <w:textAlignment w:val="auto"/>
        <w:rPr>
          <w:rFonts w:hint="eastAsia" w:ascii="宋体" w:hAnsi="宋体" w:eastAsia="宋体" w:cs="宋体"/>
          <w:highlight w:val="none"/>
        </w:rPr>
      </w:pPr>
      <w:r>
        <w:rPr>
          <w:rFonts w:hint="eastAsia" w:ascii="宋体" w:hAnsi="宋体" w:eastAsia="宋体" w:cs="宋体"/>
          <w:color w:val="000000"/>
          <w:kern w:val="0"/>
          <w:sz w:val="21"/>
          <w:szCs w:val="21"/>
          <w:highlight w:val="none"/>
          <w:lang w:val="en-US" w:eastAsia="zh-CN" w:bidi="ar"/>
        </w:rPr>
        <w:t>1、合同经双方法定代表人或授权委托代理人签字并加盖单位公章后生效。</w:t>
      </w:r>
    </w:p>
    <w:p>
      <w:pPr>
        <w:keepNext w:val="0"/>
        <w:keepLines w:val="0"/>
        <w:pageBreakBefore w:val="0"/>
        <w:widowControl/>
        <w:kinsoku/>
        <w:wordWrap/>
        <w:overflowPunct/>
        <w:topLinePunct w:val="0"/>
        <w:autoSpaceDE/>
        <w:autoSpaceDN/>
        <w:bidi w:val="0"/>
        <w:adjustRightInd/>
        <w:snapToGrid w:val="0"/>
        <w:spacing w:line="336" w:lineRule="auto"/>
        <w:ind w:left="0" w:right="0" w:firstLine="420"/>
        <w:textAlignment w:val="auto"/>
        <w:rPr>
          <w:rFonts w:hint="eastAsia" w:ascii="宋体" w:hAnsi="宋体" w:eastAsia="宋体" w:cs="宋体"/>
          <w:highlight w:val="none"/>
        </w:rPr>
      </w:pPr>
      <w:r>
        <w:rPr>
          <w:rFonts w:hint="eastAsia" w:ascii="宋体" w:hAnsi="宋体" w:eastAsia="宋体" w:cs="宋体"/>
          <w:color w:val="000000"/>
          <w:kern w:val="0"/>
          <w:sz w:val="21"/>
          <w:szCs w:val="21"/>
          <w:highlight w:val="none"/>
          <w:lang w:val="en-US" w:eastAsia="zh-CN" w:bidi="ar"/>
        </w:rPr>
        <w:t>2、合同执行中涉及采购资金和采购内容修改或补充的，须经财政部门审批，方可作为主合同不可分割的一部分。</w:t>
      </w:r>
    </w:p>
    <w:p>
      <w:pPr>
        <w:keepNext w:val="0"/>
        <w:keepLines w:val="0"/>
        <w:pageBreakBefore w:val="0"/>
        <w:widowControl/>
        <w:kinsoku/>
        <w:wordWrap/>
        <w:overflowPunct/>
        <w:topLinePunct w:val="0"/>
        <w:autoSpaceDE/>
        <w:autoSpaceDN/>
        <w:bidi w:val="0"/>
        <w:adjustRightInd/>
        <w:snapToGrid w:val="0"/>
        <w:spacing w:line="336" w:lineRule="auto"/>
        <w:ind w:left="0" w:right="0" w:firstLine="420"/>
        <w:textAlignment w:val="auto"/>
        <w:rPr>
          <w:rFonts w:hint="eastAsia" w:ascii="宋体" w:hAnsi="宋体" w:eastAsia="宋体" w:cs="宋体"/>
          <w:highlight w:val="none"/>
        </w:rPr>
      </w:pPr>
      <w:r>
        <w:rPr>
          <w:rFonts w:hint="eastAsia" w:ascii="宋体" w:hAnsi="宋体" w:eastAsia="宋体" w:cs="宋体"/>
          <w:color w:val="000000"/>
          <w:kern w:val="0"/>
          <w:sz w:val="21"/>
          <w:szCs w:val="21"/>
          <w:highlight w:val="none"/>
          <w:lang w:val="en-US" w:eastAsia="zh-CN" w:bidi="ar"/>
        </w:rPr>
        <w:t>3、本合同执行中相关的税费均由各方自理。</w:t>
      </w:r>
    </w:p>
    <w:p>
      <w:pPr>
        <w:keepNext w:val="0"/>
        <w:keepLines w:val="0"/>
        <w:pageBreakBefore w:val="0"/>
        <w:widowControl/>
        <w:kinsoku/>
        <w:wordWrap/>
        <w:overflowPunct/>
        <w:topLinePunct w:val="0"/>
        <w:autoSpaceDE/>
        <w:autoSpaceDN/>
        <w:bidi w:val="0"/>
        <w:adjustRightInd/>
        <w:snapToGrid w:val="0"/>
        <w:spacing w:line="336" w:lineRule="auto"/>
        <w:ind w:left="0" w:right="0" w:firstLine="420"/>
        <w:textAlignment w:val="auto"/>
        <w:rPr>
          <w:rFonts w:hint="eastAsia" w:ascii="宋体" w:hAnsi="宋体" w:eastAsia="宋体" w:cs="宋体"/>
          <w:highlight w:val="none"/>
        </w:rPr>
      </w:pPr>
      <w:r>
        <w:rPr>
          <w:rFonts w:hint="eastAsia" w:ascii="宋体" w:hAnsi="宋体" w:eastAsia="宋体" w:cs="宋体"/>
          <w:color w:val="000000"/>
          <w:kern w:val="0"/>
          <w:sz w:val="21"/>
          <w:szCs w:val="21"/>
          <w:highlight w:val="none"/>
          <w:lang w:val="en-US" w:eastAsia="zh-CN" w:bidi="ar"/>
        </w:rPr>
        <w:t>4、其他约定:</w:t>
      </w:r>
    </w:p>
    <w:p>
      <w:pPr>
        <w:keepNext w:val="0"/>
        <w:keepLines w:val="0"/>
        <w:pageBreakBefore w:val="0"/>
        <w:widowControl/>
        <w:kinsoku/>
        <w:wordWrap/>
        <w:overflowPunct/>
        <w:topLinePunct w:val="0"/>
        <w:autoSpaceDE/>
        <w:autoSpaceDN/>
        <w:bidi w:val="0"/>
        <w:adjustRightInd/>
        <w:snapToGrid w:val="0"/>
        <w:spacing w:line="336" w:lineRule="auto"/>
        <w:ind w:left="0" w:right="0" w:firstLine="420"/>
        <w:textAlignment w:val="auto"/>
        <w:rPr>
          <w:rFonts w:hint="eastAsia" w:ascii="宋体" w:hAnsi="宋体" w:eastAsia="宋体" w:cs="宋体"/>
          <w:highlight w:val="none"/>
        </w:rPr>
      </w:pPr>
      <w:r>
        <w:rPr>
          <w:rFonts w:hint="eastAsia" w:ascii="宋体" w:hAnsi="宋体" w:eastAsia="宋体" w:cs="宋体"/>
          <w:color w:val="000000"/>
          <w:kern w:val="0"/>
          <w:sz w:val="21"/>
          <w:szCs w:val="21"/>
          <w:highlight w:val="none"/>
          <w:lang w:val="en-US" w:eastAsia="zh-CN" w:bidi="ar"/>
        </w:rPr>
        <w:t>（1）本合同范围的服务，应由乙方直接供应，不得转让他人供应；</w:t>
      </w:r>
    </w:p>
    <w:p>
      <w:pPr>
        <w:keepNext w:val="0"/>
        <w:keepLines w:val="0"/>
        <w:pageBreakBefore w:val="0"/>
        <w:widowControl/>
        <w:kinsoku/>
        <w:wordWrap/>
        <w:overflowPunct/>
        <w:topLinePunct w:val="0"/>
        <w:autoSpaceDE/>
        <w:autoSpaceDN/>
        <w:bidi w:val="0"/>
        <w:adjustRightInd/>
        <w:snapToGrid w:val="0"/>
        <w:spacing w:line="336" w:lineRule="auto"/>
        <w:ind w:left="0" w:right="0" w:firstLine="420"/>
        <w:textAlignment w:val="auto"/>
        <w:rPr>
          <w:rFonts w:hint="eastAsia" w:ascii="宋体" w:hAnsi="宋体" w:eastAsia="宋体" w:cs="宋体"/>
          <w:highlight w:val="none"/>
        </w:rPr>
      </w:pPr>
      <w:r>
        <w:rPr>
          <w:rFonts w:hint="eastAsia" w:ascii="宋体" w:hAnsi="宋体" w:eastAsia="宋体" w:cs="宋体"/>
          <w:color w:val="000000"/>
          <w:kern w:val="0"/>
          <w:sz w:val="21"/>
          <w:szCs w:val="21"/>
          <w:highlight w:val="none"/>
          <w:lang w:val="en-US" w:eastAsia="zh-CN" w:bidi="ar"/>
        </w:rPr>
        <w:t>（2）除非得到甲方的书面同意，乙方不得部分分包给他人供应。甲方有绝对权力阻止分包。</w:t>
      </w:r>
    </w:p>
    <w:p>
      <w:pPr>
        <w:keepNext w:val="0"/>
        <w:keepLines w:val="0"/>
        <w:pageBreakBefore w:val="0"/>
        <w:widowControl/>
        <w:kinsoku/>
        <w:wordWrap/>
        <w:overflowPunct/>
        <w:topLinePunct w:val="0"/>
        <w:autoSpaceDE/>
        <w:autoSpaceDN/>
        <w:bidi w:val="0"/>
        <w:adjustRightInd/>
        <w:snapToGrid w:val="0"/>
        <w:spacing w:line="336" w:lineRule="auto"/>
        <w:ind w:left="0" w:right="0" w:firstLine="420"/>
        <w:textAlignment w:val="auto"/>
        <w:rPr>
          <w:rFonts w:hint="eastAsia" w:ascii="宋体" w:hAnsi="宋体" w:eastAsia="宋体" w:cs="宋体"/>
          <w:highlight w:val="none"/>
        </w:rPr>
      </w:pPr>
      <w:r>
        <w:rPr>
          <w:rFonts w:hint="eastAsia" w:ascii="宋体" w:hAnsi="宋体" w:eastAsia="宋体" w:cs="宋体"/>
          <w:color w:val="000000"/>
          <w:kern w:val="0"/>
          <w:sz w:val="21"/>
          <w:szCs w:val="21"/>
          <w:highlight w:val="none"/>
          <w:lang w:val="en-US" w:eastAsia="zh-CN" w:bidi="ar"/>
        </w:rPr>
        <w:t>（3）如有转让和未经甲方同意的分包行为，甲方有权给予终止合同。</w:t>
      </w:r>
    </w:p>
    <w:p>
      <w:pPr>
        <w:keepNext w:val="0"/>
        <w:keepLines w:val="0"/>
        <w:pageBreakBefore w:val="0"/>
        <w:widowControl/>
        <w:kinsoku/>
        <w:wordWrap/>
        <w:overflowPunct/>
        <w:topLinePunct w:val="0"/>
        <w:autoSpaceDE/>
        <w:autoSpaceDN/>
        <w:bidi w:val="0"/>
        <w:adjustRightInd/>
        <w:snapToGrid w:val="0"/>
        <w:spacing w:line="336" w:lineRule="auto"/>
        <w:ind w:left="0" w:right="0" w:firstLine="420"/>
        <w:textAlignment w:val="auto"/>
        <w:rPr>
          <w:rFonts w:hint="eastAsia" w:ascii="宋体" w:hAnsi="宋体" w:eastAsia="宋体" w:cs="宋体"/>
          <w:highlight w:val="none"/>
        </w:rPr>
      </w:pPr>
      <w:r>
        <w:rPr>
          <w:rFonts w:hint="eastAsia" w:ascii="宋体" w:hAnsi="宋体" w:eastAsia="宋体" w:cs="宋体"/>
          <w:color w:val="000000"/>
          <w:kern w:val="0"/>
          <w:sz w:val="21"/>
          <w:szCs w:val="21"/>
          <w:highlight w:val="none"/>
          <w:lang w:val="en-US" w:eastAsia="zh-CN" w:bidi="ar"/>
        </w:rPr>
        <w:t>5、本项目采购过程中形成的文件资料（</w:t>
      </w:r>
      <w:r>
        <w:rPr>
          <w:rFonts w:hint="eastAsia" w:ascii="宋体" w:hAnsi="宋体" w:cs="宋体"/>
          <w:color w:val="000000"/>
          <w:kern w:val="0"/>
          <w:sz w:val="21"/>
          <w:szCs w:val="21"/>
          <w:highlight w:val="none"/>
          <w:lang w:val="en-US" w:eastAsia="zh-CN" w:bidi="ar"/>
        </w:rPr>
        <w:t>中标</w:t>
      </w:r>
      <w:r>
        <w:rPr>
          <w:rFonts w:hint="eastAsia" w:ascii="宋体" w:hAnsi="宋体" w:eastAsia="宋体" w:cs="宋体"/>
          <w:color w:val="000000"/>
          <w:kern w:val="0"/>
          <w:sz w:val="21"/>
          <w:szCs w:val="21"/>
          <w:highlight w:val="none"/>
          <w:lang w:val="en-US" w:eastAsia="zh-CN" w:bidi="ar"/>
        </w:rPr>
        <w:t>人的</w:t>
      </w:r>
      <w:r>
        <w:rPr>
          <w:rFonts w:hint="eastAsia" w:ascii="宋体" w:hAnsi="宋体" w:cs="宋体"/>
          <w:color w:val="000000"/>
          <w:kern w:val="0"/>
          <w:sz w:val="21"/>
          <w:szCs w:val="21"/>
          <w:highlight w:val="none"/>
          <w:lang w:val="en-US" w:eastAsia="zh-CN" w:bidi="ar"/>
        </w:rPr>
        <w:t>投标</w:t>
      </w:r>
      <w:r>
        <w:rPr>
          <w:rFonts w:hint="eastAsia" w:ascii="宋体" w:hAnsi="宋体" w:eastAsia="宋体" w:cs="宋体"/>
          <w:color w:val="000000"/>
          <w:kern w:val="0"/>
          <w:sz w:val="21"/>
          <w:szCs w:val="21"/>
          <w:highlight w:val="none"/>
          <w:lang w:val="en-US" w:eastAsia="zh-CN" w:bidi="ar"/>
        </w:rPr>
        <w:t>文件、</w:t>
      </w:r>
      <w:r>
        <w:rPr>
          <w:rFonts w:hint="eastAsia" w:ascii="宋体" w:hAnsi="宋体" w:cs="宋体"/>
          <w:color w:val="000000"/>
          <w:kern w:val="0"/>
          <w:sz w:val="21"/>
          <w:szCs w:val="21"/>
          <w:highlight w:val="none"/>
          <w:lang w:val="en-US" w:eastAsia="zh-CN" w:bidi="ar"/>
        </w:rPr>
        <w:t>招标</w:t>
      </w:r>
      <w:r>
        <w:rPr>
          <w:rFonts w:hint="eastAsia" w:ascii="宋体" w:hAnsi="宋体" w:eastAsia="宋体" w:cs="宋体"/>
          <w:color w:val="000000"/>
          <w:kern w:val="0"/>
          <w:sz w:val="21"/>
          <w:szCs w:val="21"/>
          <w:highlight w:val="none"/>
          <w:lang w:val="en-US" w:eastAsia="zh-CN" w:bidi="ar"/>
        </w:rPr>
        <w:t>文件、</w:t>
      </w:r>
      <w:r>
        <w:rPr>
          <w:rFonts w:hint="eastAsia" w:ascii="宋体" w:hAnsi="宋体" w:cs="宋体"/>
          <w:color w:val="000000"/>
          <w:kern w:val="0"/>
          <w:sz w:val="21"/>
          <w:szCs w:val="21"/>
          <w:highlight w:val="none"/>
          <w:lang w:val="en-US" w:eastAsia="zh-CN" w:bidi="ar"/>
        </w:rPr>
        <w:t>招标</w:t>
      </w:r>
      <w:r>
        <w:rPr>
          <w:rFonts w:hint="eastAsia" w:ascii="宋体" w:hAnsi="宋体" w:eastAsia="宋体" w:cs="宋体"/>
          <w:color w:val="000000"/>
          <w:kern w:val="0"/>
          <w:sz w:val="21"/>
          <w:szCs w:val="21"/>
          <w:highlight w:val="none"/>
          <w:lang w:val="en-US" w:eastAsia="zh-CN" w:bidi="ar"/>
        </w:rPr>
        <w:t>过程中的承诺等）为合同组成部分。</w:t>
      </w:r>
    </w:p>
    <w:p>
      <w:pPr>
        <w:keepNext w:val="0"/>
        <w:keepLines w:val="0"/>
        <w:pageBreakBefore w:val="0"/>
        <w:widowControl/>
        <w:kinsoku/>
        <w:wordWrap/>
        <w:overflowPunct/>
        <w:topLinePunct w:val="0"/>
        <w:autoSpaceDE/>
        <w:autoSpaceDN/>
        <w:bidi w:val="0"/>
        <w:adjustRightInd/>
        <w:snapToGrid w:val="0"/>
        <w:spacing w:line="336" w:lineRule="auto"/>
        <w:ind w:left="0" w:right="0" w:firstLine="420"/>
        <w:textAlignment w:val="auto"/>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6、本合同未尽事宜，遵照《中华人民共和国民法典》有关条文执行。</w:t>
      </w:r>
    </w:p>
    <w:p>
      <w:pPr>
        <w:keepNext w:val="0"/>
        <w:keepLines w:val="0"/>
        <w:pageBreakBefore w:val="0"/>
        <w:widowControl/>
        <w:kinsoku/>
        <w:wordWrap/>
        <w:overflowPunct/>
        <w:topLinePunct w:val="0"/>
        <w:autoSpaceDE/>
        <w:autoSpaceDN/>
        <w:bidi w:val="0"/>
        <w:adjustRightInd/>
        <w:snapToGrid w:val="0"/>
        <w:spacing w:line="336" w:lineRule="auto"/>
        <w:ind w:right="0" w:firstLine="420" w:firstLineChars="200"/>
        <w:textAlignment w:val="auto"/>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7、本合同一式</w:t>
      </w:r>
      <w:r>
        <w:rPr>
          <w:rFonts w:hint="eastAsia" w:ascii="宋体" w:hAnsi="宋体" w:cs="宋体"/>
          <w:color w:val="000000"/>
          <w:kern w:val="0"/>
          <w:sz w:val="21"/>
          <w:szCs w:val="21"/>
          <w:highlight w:val="none"/>
          <w:u w:val="single"/>
          <w:lang w:val="en-US" w:eastAsia="zh-CN" w:bidi="ar"/>
        </w:rPr>
        <w:t xml:space="preserve">  </w:t>
      </w:r>
      <w:r>
        <w:rPr>
          <w:rFonts w:hint="eastAsia" w:ascii="宋体" w:hAnsi="宋体" w:eastAsia="宋体" w:cs="宋体"/>
          <w:color w:val="000000"/>
          <w:kern w:val="0"/>
          <w:sz w:val="21"/>
          <w:szCs w:val="21"/>
          <w:highlight w:val="none"/>
          <w:lang w:val="en-US" w:eastAsia="zh-CN" w:bidi="ar"/>
        </w:rPr>
        <w:t>份，具有同等法律效力，甲方执</w:t>
      </w:r>
      <w:r>
        <w:rPr>
          <w:rFonts w:hint="eastAsia" w:ascii="宋体" w:hAnsi="宋体" w:cs="宋体"/>
          <w:color w:val="000000"/>
          <w:kern w:val="0"/>
          <w:sz w:val="21"/>
          <w:szCs w:val="21"/>
          <w:highlight w:val="none"/>
          <w:u w:val="single"/>
          <w:lang w:val="en-US" w:eastAsia="zh-CN" w:bidi="ar"/>
        </w:rPr>
        <w:t xml:space="preserve">  </w:t>
      </w:r>
      <w:r>
        <w:rPr>
          <w:rFonts w:hint="eastAsia" w:ascii="宋体" w:hAnsi="宋体" w:eastAsia="宋体" w:cs="宋体"/>
          <w:color w:val="000000"/>
          <w:kern w:val="0"/>
          <w:sz w:val="21"/>
          <w:szCs w:val="21"/>
          <w:highlight w:val="none"/>
          <w:lang w:val="en-US" w:eastAsia="zh-CN" w:bidi="ar"/>
        </w:rPr>
        <w:t>份，乙方执</w:t>
      </w:r>
      <w:r>
        <w:rPr>
          <w:rFonts w:hint="eastAsia" w:ascii="宋体" w:hAnsi="宋体" w:cs="宋体"/>
          <w:color w:val="000000"/>
          <w:kern w:val="0"/>
          <w:sz w:val="21"/>
          <w:szCs w:val="21"/>
          <w:highlight w:val="none"/>
          <w:u w:val="single"/>
          <w:lang w:val="en-US" w:eastAsia="zh-CN" w:bidi="ar"/>
        </w:rPr>
        <w:t xml:space="preserve">  </w:t>
      </w:r>
      <w:r>
        <w:rPr>
          <w:rFonts w:hint="eastAsia" w:ascii="宋体" w:hAnsi="宋体" w:eastAsia="宋体" w:cs="宋体"/>
          <w:color w:val="000000"/>
          <w:kern w:val="0"/>
          <w:sz w:val="21"/>
          <w:szCs w:val="21"/>
          <w:highlight w:val="none"/>
          <w:lang w:val="en-US" w:eastAsia="zh-CN" w:bidi="ar"/>
        </w:rPr>
        <w:t>份</w:t>
      </w:r>
      <w:r>
        <w:rPr>
          <w:rFonts w:hint="eastAsia" w:ascii="宋体" w:hAnsi="宋体" w:cs="宋体"/>
          <w:color w:val="000000"/>
          <w:kern w:val="0"/>
          <w:sz w:val="21"/>
          <w:szCs w:val="21"/>
          <w:highlight w:val="none"/>
          <w:lang w:val="en-US" w:eastAsia="zh-CN" w:bidi="ar"/>
        </w:rPr>
        <w:t>。</w:t>
      </w:r>
    </w:p>
    <w:p>
      <w:pPr>
        <w:keepNext w:val="0"/>
        <w:keepLines w:val="0"/>
        <w:pageBreakBefore w:val="0"/>
        <w:widowControl/>
        <w:kinsoku/>
        <w:wordWrap/>
        <w:overflowPunct/>
        <w:topLinePunct w:val="0"/>
        <w:autoSpaceDE/>
        <w:autoSpaceDN/>
        <w:bidi w:val="0"/>
        <w:adjustRightInd/>
        <w:snapToGrid w:val="0"/>
        <w:spacing w:line="336" w:lineRule="auto"/>
        <w:ind w:left="0" w:right="0" w:firstLine="420"/>
        <w:textAlignment w:val="auto"/>
        <w:rPr>
          <w:rFonts w:hint="eastAsia" w:ascii="宋体" w:hAnsi="宋体" w:eastAsia="宋体" w:cs="宋体"/>
          <w:color w:val="000000"/>
          <w:kern w:val="0"/>
          <w:sz w:val="21"/>
          <w:szCs w:val="21"/>
          <w:highlight w:val="none"/>
          <w:lang w:val="en-US" w:eastAsia="zh-CN" w:bidi="ar"/>
        </w:rPr>
      </w:pPr>
    </w:p>
    <w:p>
      <w:pPr>
        <w:keepNext w:val="0"/>
        <w:keepLines w:val="0"/>
        <w:pageBreakBefore w:val="0"/>
        <w:widowControl/>
        <w:kinsoku/>
        <w:wordWrap/>
        <w:overflowPunct/>
        <w:topLinePunct w:val="0"/>
        <w:autoSpaceDE/>
        <w:autoSpaceDN/>
        <w:bidi w:val="0"/>
        <w:adjustRightInd/>
        <w:snapToGrid w:val="0"/>
        <w:spacing w:line="336" w:lineRule="auto"/>
        <w:textAlignment w:val="auto"/>
        <w:rPr>
          <w:rFonts w:hint="eastAsia" w:ascii="宋体" w:hAnsi="宋体" w:cs="宋体"/>
          <w:b/>
          <w:color w:val="auto"/>
          <w:szCs w:val="21"/>
        </w:rPr>
      </w:pPr>
    </w:p>
    <w:p>
      <w:pPr>
        <w:keepNext w:val="0"/>
        <w:keepLines w:val="0"/>
        <w:pageBreakBefore w:val="0"/>
        <w:widowControl/>
        <w:kinsoku/>
        <w:wordWrap/>
        <w:overflowPunct/>
        <w:topLinePunct w:val="0"/>
        <w:autoSpaceDE/>
        <w:autoSpaceDN/>
        <w:bidi w:val="0"/>
        <w:adjustRightInd/>
        <w:snapToGrid w:val="0"/>
        <w:spacing w:line="336" w:lineRule="auto"/>
        <w:textAlignment w:val="auto"/>
        <w:rPr>
          <w:rFonts w:hint="eastAsia" w:ascii="宋体" w:hAnsi="宋体" w:cs="宋体"/>
          <w:b/>
          <w:color w:val="auto"/>
          <w:szCs w:val="21"/>
        </w:rPr>
      </w:pPr>
    </w:p>
    <w:p>
      <w:pPr>
        <w:keepNext w:val="0"/>
        <w:keepLines w:val="0"/>
        <w:pageBreakBefore w:val="0"/>
        <w:widowControl/>
        <w:kinsoku/>
        <w:wordWrap/>
        <w:overflowPunct/>
        <w:topLinePunct w:val="0"/>
        <w:autoSpaceDE/>
        <w:autoSpaceDN/>
        <w:bidi w:val="0"/>
        <w:adjustRightInd/>
        <w:snapToGrid w:val="0"/>
        <w:spacing w:line="336" w:lineRule="auto"/>
        <w:ind w:firstLine="211" w:firstLineChars="100"/>
        <w:textAlignment w:val="auto"/>
        <w:rPr>
          <w:rFonts w:ascii="宋体" w:hAnsi="宋体" w:cs="宋体"/>
          <w:b/>
          <w:color w:val="auto"/>
          <w:szCs w:val="21"/>
          <w:u w:val="single"/>
        </w:rPr>
      </w:pPr>
      <w:r>
        <w:rPr>
          <w:rFonts w:hint="eastAsia" w:ascii="宋体" w:hAnsi="宋体" w:cs="宋体"/>
          <w:b/>
          <w:color w:val="auto"/>
          <w:szCs w:val="21"/>
        </w:rPr>
        <w:t>甲方：</w:t>
      </w:r>
      <w:r>
        <w:rPr>
          <w:rFonts w:hint="eastAsia" w:ascii="宋体" w:hAnsi="宋体" w:cs="宋体"/>
          <w:b/>
          <w:color w:val="auto"/>
          <w:szCs w:val="21"/>
          <w:u w:val="single"/>
        </w:rPr>
        <w:t xml:space="preserve">                             </w:t>
      </w:r>
      <w:r>
        <w:rPr>
          <w:rFonts w:hint="eastAsia" w:ascii="宋体" w:hAnsi="宋体" w:cs="宋体"/>
          <w:b/>
          <w:color w:val="auto"/>
          <w:szCs w:val="21"/>
        </w:rPr>
        <w:t xml:space="preserve">         乙方：</w:t>
      </w:r>
      <w:r>
        <w:rPr>
          <w:rFonts w:hint="eastAsia" w:ascii="宋体" w:hAnsi="宋体" w:cs="宋体"/>
          <w:b/>
          <w:color w:val="auto"/>
          <w:szCs w:val="21"/>
          <w:u w:val="single"/>
        </w:rPr>
        <w:t xml:space="preserve">                              </w:t>
      </w:r>
    </w:p>
    <w:p>
      <w:pPr>
        <w:keepNext w:val="0"/>
        <w:keepLines w:val="0"/>
        <w:pageBreakBefore w:val="0"/>
        <w:widowControl/>
        <w:kinsoku/>
        <w:wordWrap/>
        <w:overflowPunct/>
        <w:topLinePunct w:val="0"/>
        <w:autoSpaceDE/>
        <w:autoSpaceDN/>
        <w:bidi w:val="0"/>
        <w:adjustRightInd/>
        <w:snapToGrid w:val="0"/>
        <w:spacing w:line="336" w:lineRule="auto"/>
        <w:ind w:firstLine="210" w:firstLineChars="100"/>
        <w:textAlignment w:val="auto"/>
        <w:rPr>
          <w:rFonts w:ascii="宋体" w:hAnsi="宋体" w:cs="宋体"/>
          <w:color w:val="auto"/>
          <w:szCs w:val="21"/>
          <w:u w:val="single"/>
        </w:rPr>
      </w:pPr>
      <w:r>
        <w:rPr>
          <w:rFonts w:hint="eastAsia" w:ascii="宋体" w:hAnsi="宋体" w:cs="宋体"/>
          <w:color w:val="auto"/>
          <w:szCs w:val="21"/>
        </w:rPr>
        <w:t>地址：</w:t>
      </w:r>
      <w:r>
        <w:rPr>
          <w:rFonts w:hint="eastAsia" w:ascii="宋体" w:hAnsi="宋体" w:cs="宋体"/>
          <w:color w:val="auto"/>
          <w:szCs w:val="21"/>
          <w:u w:val="single"/>
        </w:rPr>
        <w:t xml:space="preserve">                             </w:t>
      </w:r>
      <w:r>
        <w:rPr>
          <w:rFonts w:hint="eastAsia" w:ascii="宋体" w:hAnsi="宋体" w:cs="宋体"/>
          <w:color w:val="auto"/>
          <w:szCs w:val="21"/>
        </w:rPr>
        <w:t xml:space="preserve">          地址：</w:t>
      </w:r>
      <w:r>
        <w:rPr>
          <w:rFonts w:hint="eastAsia" w:ascii="宋体" w:hAnsi="宋体" w:cs="宋体"/>
          <w:color w:val="auto"/>
          <w:szCs w:val="21"/>
          <w:u w:val="single"/>
        </w:rPr>
        <w:t xml:space="preserve">                              </w:t>
      </w:r>
    </w:p>
    <w:p>
      <w:pPr>
        <w:keepNext w:val="0"/>
        <w:keepLines w:val="0"/>
        <w:pageBreakBefore w:val="0"/>
        <w:widowControl/>
        <w:kinsoku/>
        <w:wordWrap/>
        <w:overflowPunct/>
        <w:topLinePunct w:val="0"/>
        <w:autoSpaceDE/>
        <w:autoSpaceDN/>
        <w:bidi w:val="0"/>
        <w:adjustRightInd/>
        <w:snapToGrid w:val="0"/>
        <w:spacing w:line="336" w:lineRule="auto"/>
        <w:ind w:firstLine="210" w:firstLineChars="100"/>
        <w:textAlignment w:val="auto"/>
        <w:rPr>
          <w:rFonts w:ascii="宋体" w:hAnsi="宋体" w:cs="宋体"/>
          <w:color w:val="auto"/>
          <w:szCs w:val="21"/>
        </w:rPr>
      </w:pPr>
      <w:r>
        <w:rPr>
          <w:rFonts w:hint="eastAsia" w:ascii="宋体" w:hAnsi="宋体" w:cs="宋体"/>
          <w:color w:val="auto"/>
          <w:szCs w:val="21"/>
        </w:rPr>
        <w:t>法定代表人：</w:t>
      </w:r>
      <w:r>
        <w:rPr>
          <w:rFonts w:hint="eastAsia" w:ascii="宋体" w:hAnsi="宋体" w:cs="宋体"/>
          <w:color w:val="auto"/>
          <w:szCs w:val="21"/>
          <w:u w:val="single"/>
        </w:rPr>
        <w:t xml:space="preserve">                       </w:t>
      </w:r>
      <w:r>
        <w:rPr>
          <w:rFonts w:hint="eastAsia" w:ascii="宋体" w:hAnsi="宋体" w:cs="宋体"/>
          <w:color w:val="auto"/>
          <w:szCs w:val="21"/>
        </w:rPr>
        <w:t xml:space="preserve">          法定代表人（授权代表）</w:t>
      </w:r>
      <w:r>
        <w:rPr>
          <w:rFonts w:hint="eastAsia" w:ascii="宋体" w:hAnsi="宋体" w:cs="宋体"/>
          <w:color w:val="auto"/>
          <w:szCs w:val="21"/>
          <w:u w:val="single"/>
        </w:rPr>
        <w:t xml:space="preserve">：            </w:t>
      </w:r>
    </w:p>
    <w:p>
      <w:pPr>
        <w:keepNext w:val="0"/>
        <w:keepLines w:val="0"/>
        <w:pageBreakBefore w:val="0"/>
        <w:widowControl/>
        <w:kinsoku/>
        <w:wordWrap/>
        <w:overflowPunct/>
        <w:topLinePunct w:val="0"/>
        <w:autoSpaceDE/>
        <w:autoSpaceDN/>
        <w:bidi w:val="0"/>
        <w:adjustRightInd/>
        <w:snapToGrid w:val="0"/>
        <w:spacing w:line="336" w:lineRule="auto"/>
        <w:ind w:firstLine="210" w:firstLineChars="100"/>
        <w:textAlignment w:val="auto"/>
        <w:rPr>
          <w:rFonts w:ascii="宋体" w:hAnsi="宋体" w:cs="宋体"/>
          <w:color w:val="auto"/>
          <w:szCs w:val="21"/>
        </w:rPr>
      </w:pPr>
      <w:r>
        <w:rPr>
          <w:rFonts w:hint="eastAsia" w:ascii="宋体" w:hAnsi="宋体" w:cs="宋体"/>
          <w:color w:val="auto"/>
          <w:szCs w:val="21"/>
        </w:rPr>
        <w:t>联系人：</w:t>
      </w:r>
      <w:r>
        <w:rPr>
          <w:rFonts w:hint="eastAsia" w:ascii="宋体" w:hAnsi="宋体" w:cs="宋体"/>
          <w:color w:val="auto"/>
          <w:szCs w:val="21"/>
          <w:u w:val="single"/>
        </w:rPr>
        <w:t xml:space="preserve">                           </w:t>
      </w:r>
      <w:r>
        <w:rPr>
          <w:rFonts w:hint="eastAsia" w:ascii="宋体" w:hAnsi="宋体" w:cs="宋体"/>
          <w:color w:val="auto"/>
          <w:szCs w:val="21"/>
        </w:rPr>
        <w:t xml:space="preserve">          联系人：</w:t>
      </w:r>
      <w:r>
        <w:rPr>
          <w:rFonts w:hint="eastAsia" w:ascii="宋体" w:hAnsi="宋体" w:cs="宋体"/>
          <w:color w:val="auto"/>
          <w:szCs w:val="21"/>
          <w:u w:val="single"/>
        </w:rPr>
        <w:t xml:space="preserve">                            </w:t>
      </w:r>
    </w:p>
    <w:p>
      <w:pPr>
        <w:keepNext w:val="0"/>
        <w:keepLines w:val="0"/>
        <w:pageBreakBefore w:val="0"/>
        <w:widowControl/>
        <w:kinsoku/>
        <w:wordWrap/>
        <w:overflowPunct/>
        <w:topLinePunct w:val="0"/>
        <w:autoSpaceDE/>
        <w:autoSpaceDN/>
        <w:bidi w:val="0"/>
        <w:adjustRightInd/>
        <w:snapToGrid w:val="0"/>
        <w:spacing w:line="336" w:lineRule="auto"/>
        <w:ind w:firstLine="210" w:firstLineChars="100"/>
        <w:textAlignment w:val="auto"/>
        <w:rPr>
          <w:rFonts w:ascii="宋体" w:hAnsi="宋体" w:cs="宋体"/>
          <w:color w:val="auto"/>
          <w:szCs w:val="21"/>
          <w:u w:val="single"/>
        </w:rPr>
      </w:pPr>
      <w:r>
        <w:rPr>
          <w:rFonts w:hint="eastAsia" w:ascii="宋体" w:hAnsi="宋体" w:cs="宋体"/>
          <w:color w:val="auto"/>
          <w:szCs w:val="21"/>
        </w:rPr>
        <w:t>联系电话：</w:t>
      </w:r>
      <w:r>
        <w:rPr>
          <w:rFonts w:hint="eastAsia" w:ascii="宋体" w:hAnsi="宋体" w:cs="宋体"/>
          <w:color w:val="auto"/>
          <w:szCs w:val="21"/>
          <w:u w:val="single"/>
        </w:rPr>
        <w:t xml:space="preserve">                         </w:t>
      </w:r>
      <w:r>
        <w:rPr>
          <w:rFonts w:hint="eastAsia" w:ascii="宋体" w:hAnsi="宋体" w:cs="宋体"/>
          <w:color w:val="auto"/>
          <w:szCs w:val="21"/>
        </w:rPr>
        <w:t xml:space="preserve">          联系电话： </w:t>
      </w:r>
      <w:r>
        <w:rPr>
          <w:rFonts w:hint="eastAsia" w:ascii="宋体" w:hAnsi="宋体" w:cs="宋体"/>
          <w:color w:val="auto"/>
          <w:szCs w:val="21"/>
          <w:u w:val="single"/>
        </w:rPr>
        <w:t xml:space="preserve">                         </w:t>
      </w:r>
    </w:p>
    <w:p>
      <w:pPr>
        <w:keepNext w:val="0"/>
        <w:keepLines w:val="0"/>
        <w:pageBreakBefore w:val="0"/>
        <w:kinsoku/>
        <w:wordWrap/>
        <w:overflowPunct/>
        <w:topLinePunct w:val="0"/>
        <w:autoSpaceDE/>
        <w:autoSpaceDN/>
        <w:bidi w:val="0"/>
        <w:adjustRightInd/>
        <w:snapToGrid w:val="0"/>
        <w:spacing w:line="336" w:lineRule="auto"/>
        <w:ind w:firstLine="210" w:firstLineChars="100"/>
        <w:textAlignment w:val="auto"/>
        <w:rPr>
          <w:rFonts w:hAnsi="宋体" w:cs="宋体"/>
          <w:color w:val="000000" w:themeColor="text1"/>
          <w:sz w:val="21"/>
          <w:szCs w:val="21"/>
          <w14:textFill>
            <w14:solidFill>
              <w14:schemeClr w14:val="tx1"/>
            </w14:solidFill>
          </w14:textFill>
        </w:rPr>
      </w:pPr>
      <w:r>
        <w:rPr>
          <w:rFonts w:hint="eastAsia" w:ascii="宋体" w:hAnsi="宋体" w:cs="宋体"/>
          <w:color w:val="auto"/>
          <w:szCs w:val="21"/>
        </w:rPr>
        <w:t>日期：二○</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 xml:space="preserve">日          </w:t>
      </w:r>
      <w:r>
        <w:rPr>
          <w:rFonts w:hint="eastAsia" w:ascii="宋体" w:hAnsi="宋体" w:cs="宋体"/>
          <w:color w:val="auto"/>
          <w:szCs w:val="21"/>
          <w:lang w:val="en-US" w:eastAsia="zh-CN"/>
        </w:rPr>
        <w:t xml:space="preserve">  </w:t>
      </w:r>
      <w:r>
        <w:rPr>
          <w:rFonts w:hint="eastAsia" w:ascii="宋体" w:hAnsi="宋体" w:cs="宋体"/>
          <w:color w:val="auto"/>
          <w:szCs w:val="21"/>
        </w:rPr>
        <w:t>日期：二○</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br w:type="page"/>
      </w:r>
    </w:p>
    <w:p>
      <w:pPr>
        <w:pStyle w:val="3"/>
        <w:spacing w:line="360" w:lineRule="auto"/>
        <w:rPr>
          <w:rFonts w:ascii="宋体" w:hAnsi="宋体" w:cs="宋体"/>
          <w:color w:val="000000" w:themeColor="text1"/>
          <w14:textFill>
            <w14:solidFill>
              <w14:schemeClr w14:val="tx1"/>
            </w14:solidFill>
          </w14:textFill>
        </w:rPr>
      </w:pPr>
      <w:bookmarkStart w:id="60" w:name="_Toc475283884"/>
      <w:r>
        <w:rPr>
          <w:rFonts w:hint="eastAsia" w:ascii="宋体" w:hAnsi="宋体" w:cs="宋体"/>
          <w:color w:val="000000" w:themeColor="text1"/>
          <w14:textFill>
            <w14:solidFill>
              <w14:schemeClr w14:val="tx1"/>
            </w14:solidFill>
          </w14:textFill>
        </w:rPr>
        <w:t>第六章  投标文件格式</w:t>
      </w:r>
      <w:bookmarkEnd w:id="60"/>
    </w:p>
    <w:p>
      <w:pPr>
        <w:snapToGrid w:val="0"/>
        <w:spacing w:before="50" w:after="50" w:line="360" w:lineRule="auto"/>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1.投标声明书</w:t>
      </w:r>
    </w:p>
    <w:p>
      <w:pPr>
        <w:jc w:val="center"/>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投标声明书</w:t>
      </w:r>
    </w:p>
    <w:p>
      <w:pPr>
        <w:rPr>
          <w:rFonts w:ascii="宋体" w:hAnsi="宋体" w:cs="宋体"/>
          <w:b/>
          <w:color w:val="000000" w:themeColor="text1"/>
          <w14:textFill>
            <w14:solidFill>
              <w14:schemeClr w14:val="tx1"/>
            </w14:solidFill>
          </w14:textFill>
        </w:rPr>
      </w:pPr>
    </w:p>
    <w:p>
      <w:pPr>
        <w:spacing w:line="360" w:lineRule="auto"/>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lang w:eastAsia="zh-CN"/>
          <w14:textFill>
            <w14:solidFill>
              <w14:schemeClr w14:val="tx1"/>
            </w14:solidFill>
          </w14:textFill>
        </w:rPr>
        <w:t>浙江中基正采管理咨询有限公司</w:t>
      </w:r>
      <w:r>
        <w:rPr>
          <w:rFonts w:hint="eastAsia" w:ascii="宋体" w:hAnsi="宋体" w:cs="宋体"/>
          <w:b/>
          <w:color w:val="000000" w:themeColor="text1"/>
          <w:szCs w:val="21"/>
          <w14:textFill>
            <w14:solidFill>
              <w14:schemeClr w14:val="tx1"/>
            </w14:solidFill>
          </w14:textFill>
        </w:rPr>
        <w:t>：</w:t>
      </w:r>
    </w:p>
    <w:p>
      <w:pPr>
        <w:snapToGrid w:val="0"/>
        <w:spacing w:before="120" w:beforeLines="50" w:line="360" w:lineRule="auto"/>
        <w:ind w:firstLine="424" w:firstLineChars="202"/>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关于贵司</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年</w:t>
      </w:r>
      <w:r>
        <w:rPr>
          <w:rFonts w:hint="eastAsia" w:ascii="宋体" w:hAnsi="宋体" w:cs="宋体"/>
          <w:color w:val="000000" w:themeColor="text1"/>
          <w:szCs w:val="21"/>
          <w:u w:val="single"/>
          <w14:textFill>
            <w14:solidFill>
              <w14:schemeClr w14:val="tx1"/>
            </w14:solidFill>
          </w14:textFill>
        </w:rPr>
        <w:t>　　</w:t>
      </w:r>
      <w:r>
        <w:rPr>
          <w:rFonts w:hint="eastAsia" w:ascii="宋体" w:hAnsi="宋体" w:cs="宋体"/>
          <w:color w:val="000000" w:themeColor="text1"/>
          <w:szCs w:val="21"/>
          <w14:textFill>
            <w14:solidFill>
              <w14:schemeClr w14:val="tx1"/>
            </w14:solidFill>
          </w14:textFill>
        </w:rPr>
        <w:t>月</w:t>
      </w:r>
      <w:r>
        <w:rPr>
          <w:rFonts w:hint="eastAsia" w:ascii="宋体" w:hAnsi="宋体" w:cs="宋体"/>
          <w:color w:val="000000" w:themeColor="text1"/>
          <w:szCs w:val="21"/>
          <w:u w:val="single"/>
          <w14:textFill>
            <w14:solidFill>
              <w14:schemeClr w14:val="tx1"/>
            </w14:solidFill>
          </w14:textFill>
        </w:rPr>
        <w:t>　　</w:t>
      </w:r>
      <w:r>
        <w:rPr>
          <w:rFonts w:hint="eastAsia" w:ascii="宋体" w:hAnsi="宋体" w:cs="宋体"/>
          <w:color w:val="000000" w:themeColor="text1"/>
          <w:szCs w:val="21"/>
          <w14:textFill>
            <w14:solidFill>
              <w14:schemeClr w14:val="tx1"/>
            </w14:solidFill>
          </w14:textFill>
        </w:rPr>
        <w:t>日发布</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kern w:val="28"/>
          <w:szCs w:val="21"/>
          <w:u w:val="single"/>
          <w14:textFill>
            <w14:solidFill>
              <w14:schemeClr w14:val="tx1"/>
            </w14:solidFill>
          </w14:textFill>
        </w:rPr>
        <w:t xml:space="preserve">        </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项目（项目编号：　　　）的采购公告，本公司（企业）愿意参加投标，并声明：</w:t>
      </w:r>
    </w:p>
    <w:p>
      <w:pPr>
        <w:numPr>
          <w:ilvl w:val="0"/>
          <w:numId w:val="7"/>
        </w:numPr>
        <w:snapToGrid w:val="0"/>
        <w:spacing w:line="360" w:lineRule="auto"/>
        <w:ind w:firstLine="424" w:firstLineChars="202"/>
        <w:rPr>
          <w:rFonts w:ascii="宋体" w:hAnsi="宋体" w:cs="宋体"/>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本公司（企业）具备</w:t>
      </w:r>
      <w:r>
        <w:rPr>
          <w:rFonts w:hint="eastAsia" w:ascii="宋体" w:hAnsi="宋体" w:cs="宋体"/>
          <w:bCs/>
          <w:color w:val="000000" w:themeColor="text1"/>
          <w:szCs w:val="21"/>
          <w14:textFill>
            <w14:solidFill>
              <w14:schemeClr w14:val="tx1"/>
            </w14:solidFill>
          </w14:textFill>
        </w:rPr>
        <w:t>《中华人民共和国政府采购法》第二十二条资格条件：</w:t>
      </w:r>
    </w:p>
    <w:p>
      <w:pPr>
        <w:snapToGrid w:val="0"/>
        <w:spacing w:line="360" w:lineRule="auto"/>
        <w:ind w:firstLine="424" w:firstLineChars="202"/>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1.1、具有独立承担民事责任的能力；</w:t>
      </w:r>
    </w:p>
    <w:p>
      <w:pPr>
        <w:snapToGrid w:val="0"/>
        <w:spacing w:line="360" w:lineRule="auto"/>
        <w:ind w:firstLine="424" w:firstLineChars="202"/>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1.2、具有良好的商业信誉和健全的财务会计制度；</w:t>
      </w:r>
    </w:p>
    <w:p>
      <w:pPr>
        <w:snapToGrid w:val="0"/>
        <w:spacing w:line="360" w:lineRule="auto"/>
        <w:ind w:firstLine="424" w:firstLineChars="202"/>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1.3、具有履行合同所必需的设备和专业技术能力；</w:t>
      </w:r>
    </w:p>
    <w:p>
      <w:pPr>
        <w:snapToGrid w:val="0"/>
        <w:spacing w:line="360" w:lineRule="auto"/>
        <w:ind w:firstLine="424" w:firstLineChars="202"/>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1.4、有依法缴纳税收和社会保障资金的良好记录；</w:t>
      </w:r>
    </w:p>
    <w:p>
      <w:pPr>
        <w:snapToGrid w:val="0"/>
        <w:spacing w:line="360" w:lineRule="auto"/>
        <w:ind w:firstLine="424" w:firstLineChars="202"/>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1.5、参加政府采购活动前三年内，在经营活动中没有重大违法记录；</w:t>
      </w:r>
    </w:p>
    <w:p>
      <w:pPr>
        <w:snapToGrid w:val="0"/>
        <w:spacing w:line="360" w:lineRule="auto"/>
        <w:ind w:firstLine="424" w:firstLineChars="202"/>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1.6、法律、行政法规规定的其他条件。</w:t>
      </w:r>
    </w:p>
    <w:p>
      <w:pPr>
        <w:snapToGrid w:val="0"/>
        <w:spacing w:line="360" w:lineRule="auto"/>
        <w:ind w:firstLine="424" w:firstLineChars="202"/>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2、本公司（企业）的法定代表人或单位负责人与所参投的本项目的其他投标人的法定代表人或单位负责人不为同一人且与其他投标人之间不存在直接控股、管理关系。</w:t>
      </w:r>
    </w:p>
    <w:p>
      <w:pPr>
        <w:snapToGrid w:val="0"/>
        <w:spacing w:line="360" w:lineRule="auto"/>
        <w:ind w:firstLine="424" w:firstLineChars="202"/>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根据《中华人民共和国政府采购法实施条例》的规定，本公司（企业）如为本项目提供整体设计、规范编制或者项目管理、监理、检测等服务的投标人，不得再参加该项目的其他采购活动（单一来源除外）。否则，由此所造成的损失、不良后果及法律责任，一律由我公司（企业）承担。</w:t>
      </w:r>
    </w:p>
    <w:p>
      <w:pPr>
        <w:snapToGrid w:val="0"/>
        <w:spacing w:line="360" w:lineRule="auto"/>
        <w:ind w:firstLine="424" w:firstLineChars="202"/>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4、我公司参加本项目为非联合体投标。</w:t>
      </w:r>
    </w:p>
    <w:p>
      <w:pPr>
        <w:snapToGrid w:val="0"/>
        <w:spacing w:line="360" w:lineRule="auto"/>
        <w:ind w:firstLine="424" w:firstLineChars="202"/>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5、我公司已清楚招标文件的要求及有关文件规定。本次招标采购活动中，如有违法、违规、弄虚作假行为，所造成的损失、不良后果及法律责任，一律由我公司（企业）承担。</w:t>
      </w:r>
    </w:p>
    <w:p>
      <w:pPr>
        <w:snapToGrid w:val="0"/>
        <w:spacing w:line="360" w:lineRule="auto"/>
        <w:ind w:left="425"/>
        <w:rPr>
          <w:rFonts w:ascii="宋体" w:hAnsi="宋体" w:cs="宋体"/>
          <w:color w:val="000000" w:themeColor="text1"/>
          <w:spacing w:val="4"/>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特此声明！</w:t>
      </w:r>
    </w:p>
    <w:p>
      <w:pPr>
        <w:spacing w:line="360" w:lineRule="auto"/>
        <w:ind w:right="420" w:firstLine="3150" w:firstLineChars="1500"/>
        <w:rPr>
          <w:rFonts w:ascii="宋体" w:hAnsi="宋体" w:cs="宋体"/>
          <w:color w:val="000000" w:themeColor="text1"/>
          <w:szCs w:val="21"/>
          <w14:textFill>
            <w14:solidFill>
              <w14:schemeClr w14:val="tx1"/>
            </w14:solidFill>
          </w14:textFill>
        </w:rPr>
      </w:pPr>
    </w:p>
    <w:p>
      <w:pPr>
        <w:spacing w:line="360" w:lineRule="auto"/>
        <w:ind w:right="420" w:firstLine="3150" w:firstLineChars="1500"/>
        <w:rPr>
          <w:rFonts w:ascii="宋体" w:hAnsi="宋体" w:cs="宋体"/>
          <w:color w:val="000000" w:themeColor="text1"/>
          <w:szCs w:val="21"/>
          <w14:textFill>
            <w14:solidFill>
              <w14:schemeClr w14:val="tx1"/>
            </w14:solidFill>
          </w14:textFill>
        </w:rPr>
      </w:pPr>
    </w:p>
    <w:p>
      <w:pPr>
        <w:spacing w:line="360" w:lineRule="auto"/>
        <w:ind w:right="420" w:firstLine="3150" w:firstLineChars="1500"/>
        <w:rPr>
          <w:rFonts w:ascii="宋体" w:hAnsi="宋体" w:cs="宋体"/>
          <w:color w:val="000000" w:themeColor="text1"/>
          <w:szCs w:val="21"/>
          <w14:textFill>
            <w14:solidFill>
              <w14:schemeClr w14:val="tx1"/>
            </w14:solidFill>
          </w14:textFill>
        </w:rPr>
      </w:pPr>
    </w:p>
    <w:p>
      <w:pPr>
        <w:spacing w:line="360" w:lineRule="auto"/>
        <w:ind w:right="420" w:firstLine="3150" w:firstLineChars="1500"/>
        <w:rPr>
          <w:rFonts w:ascii="宋体" w:hAnsi="宋体" w:cs="宋体"/>
          <w:color w:val="000000" w:themeColor="text1"/>
          <w:szCs w:val="21"/>
          <w14:textFill>
            <w14:solidFill>
              <w14:schemeClr w14:val="tx1"/>
            </w14:solidFill>
          </w14:textFill>
        </w:rPr>
      </w:pPr>
    </w:p>
    <w:p>
      <w:pPr>
        <w:spacing w:line="360" w:lineRule="auto"/>
        <w:ind w:right="420" w:firstLine="3150" w:firstLineChars="15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法定代表人或授权代表签名</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签字或签章</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 xml:space="preserve">：     </w:t>
      </w:r>
    </w:p>
    <w:p>
      <w:pPr>
        <w:spacing w:line="360" w:lineRule="auto"/>
        <w:ind w:right="420" w:firstLine="3150" w:firstLineChars="1500"/>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投标人公章：                               </w:t>
      </w:r>
      <w:r>
        <w:rPr>
          <w:rFonts w:hint="eastAsia" w:ascii="宋体" w:hAnsi="宋体" w:cs="宋体"/>
          <w:color w:val="000000" w:themeColor="text1"/>
          <w:szCs w:val="21"/>
          <w:lang w:val="en-US" w:eastAsia="zh-CN"/>
          <w14:textFill>
            <w14:solidFill>
              <w14:schemeClr w14:val="tx1"/>
            </w14:solidFill>
          </w14:textFill>
        </w:rPr>
        <w:t xml:space="preserve">  </w:t>
      </w:r>
    </w:p>
    <w:p>
      <w:pPr>
        <w:pStyle w:val="20"/>
        <w:spacing w:line="360" w:lineRule="auto"/>
        <w:ind w:firstLine="0"/>
        <w:rPr>
          <w:rFonts w:hAnsi="宋体" w:cs="宋体"/>
          <w:b/>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 xml:space="preserve">                                   年    月    日</w:t>
      </w:r>
    </w:p>
    <w:p>
      <w:pP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br w:type="page"/>
      </w:r>
    </w:p>
    <w:p>
      <w:pPr>
        <w:pStyle w:val="20"/>
        <w:spacing w:line="360" w:lineRule="auto"/>
        <w:ind w:firstLine="0"/>
        <w:rPr>
          <w:rFonts w:hAnsi="宋体" w:cs="宋体"/>
          <w:b/>
          <w:color w:val="000000" w:themeColor="text1"/>
          <w:szCs w:val="21"/>
          <w14:textFill>
            <w14:solidFill>
              <w14:schemeClr w14:val="tx1"/>
            </w14:solidFill>
          </w14:textFill>
        </w:rPr>
      </w:pPr>
      <w:r>
        <w:rPr>
          <w:rFonts w:hint="eastAsia" w:hAnsi="宋体" w:cs="宋体"/>
          <w:b/>
          <w:color w:val="000000" w:themeColor="text1"/>
          <w:sz w:val="21"/>
          <w:szCs w:val="21"/>
          <w14:textFill>
            <w14:solidFill>
              <w14:schemeClr w14:val="tx1"/>
            </w14:solidFill>
          </w14:textFill>
        </w:rPr>
        <w:t>2.中小企业声明函</w:t>
      </w:r>
    </w:p>
    <w:p>
      <w:pPr>
        <w:jc w:val="center"/>
        <w:rPr>
          <w:rFonts w:ascii="宋体" w:hAnsi="宋体" w:cs="宋体"/>
          <w:b/>
          <w:color w:val="000000" w:themeColor="text1"/>
          <w:kern w:val="0"/>
          <w:sz w:val="36"/>
          <w:szCs w:val="36"/>
          <w14:textFill>
            <w14:solidFill>
              <w14:schemeClr w14:val="tx1"/>
            </w14:solidFill>
          </w14:textFill>
        </w:rPr>
      </w:pPr>
      <w:r>
        <w:rPr>
          <w:rFonts w:hint="eastAsia" w:ascii="宋体" w:hAnsi="宋体" w:cs="宋体"/>
          <w:b/>
          <w:color w:val="000000" w:themeColor="text1"/>
          <w:kern w:val="0"/>
          <w:sz w:val="28"/>
          <w:szCs w:val="28"/>
          <w14:textFill>
            <w14:solidFill>
              <w14:schemeClr w14:val="tx1"/>
            </w14:solidFill>
          </w14:textFill>
        </w:rPr>
        <w:t>中小企业声明函（</w:t>
      </w:r>
      <w:r>
        <w:rPr>
          <w:rFonts w:hint="eastAsia" w:ascii="宋体" w:hAnsi="宋体" w:cs="宋体"/>
          <w:b/>
          <w:color w:val="000000" w:themeColor="text1"/>
          <w:kern w:val="0"/>
          <w:sz w:val="28"/>
          <w:szCs w:val="28"/>
          <w:lang w:val="en-US" w:eastAsia="zh-CN"/>
          <w14:textFill>
            <w14:solidFill>
              <w14:schemeClr w14:val="tx1"/>
            </w14:solidFill>
          </w14:textFill>
        </w:rPr>
        <w:t>服务</w:t>
      </w:r>
      <w:r>
        <w:rPr>
          <w:rFonts w:hint="eastAsia" w:ascii="宋体" w:hAnsi="宋体" w:cs="宋体"/>
          <w:b/>
          <w:color w:val="000000" w:themeColor="text1"/>
          <w:kern w:val="0"/>
          <w:sz w:val="28"/>
          <w:szCs w:val="28"/>
          <w14:textFill>
            <w14:solidFill>
              <w14:schemeClr w14:val="tx1"/>
            </w14:solidFill>
          </w14:textFill>
        </w:rPr>
        <w:t>）</w:t>
      </w:r>
    </w:p>
    <w:p>
      <w:pPr>
        <w:rPr>
          <w:rFonts w:ascii="宋体" w:hAnsi="宋体" w:cs="宋体"/>
          <w:b/>
          <w:color w:val="000000" w:themeColor="text1"/>
          <w:kern w:val="0"/>
          <w:sz w:val="36"/>
          <w:szCs w:val="36"/>
          <w14:textFill>
            <w14:solidFill>
              <w14:schemeClr w14:val="tx1"/>
            </w14:solidFill>
          </w14:textFill>
        </w:rPr>
      </w:pPr>
    </w:p>
    <w:p>
      <w:pPr>
        <w:pStyle w:val="45"/>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spacing w:val="0"/>
        </w:rPr>
      </w:pPr>
      <w:r>
        <w:rPr>
          <w:rFonts w:hint="eastAsia"/>
          <w:spacing w:val="0"/>
        </w:rPr>
        <w:t>本公司郑重声明，根据《政府采购促进中小企业发展管理办法》（财库﹝2020﹞46 号）的规定，本公司参加（单位名称）的（项目名称）采购活动，提供的货物全部由符合政策要求的中小企业制造。相关企业（含联合体中的中小企业、签订分包意向协议的中小企业）的具体情况如下：</w:t>
      </w:r>
    </w:p>
    <w:p>
      <w:pPr>
        <w:pStyle w:val="45"/>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spacing w:val="0"/>
        </w:rPr>
      </w:pPr>
      <w:r>
        <w:rPr>
          <w:rFonts w:hint="eastAsia"/>
          <w:spacing w:val="0"/>
        </w:rPr>
        <w:t>1.</w:t>
      </w:r>
      <w:r>
        <w:rPr>
          <w:rFonts w:hint="eastAsia"/>
          <w:spacing w:val="0"/>
          <w:u w:val="single"/>
        </w:rPr>
        <w:t xml:space="preserve"> </w:t>
      </w:r>
      <w:r>
        <w:rPr>
          <w:rFonts w:hint="eastAsia"/>
          <w:spacing w:val="0"/>
          <w:u w:val="single"/>
          <w:lang w:val="en-US" w:eastAsia="zh-CN"/>
        </w:rPr>
        <w:t>宁波市公安局镇海分局云觅系统服务</w:t>
      </w:r>
      <w:r>
        <w:rPr>
          <w:rFonts w:hint="eastAsia"/>
          <w:spacing w:val="0"/>
          <w:u w:val="single"/>
        </w:rPr>
        <w:t xml:space="preserve"> </w:t>
      </w:r>
      <w:r>
        <w:rPr>
          <w:rFonts w:hint="eastAsia"/>
          <w:spacing w:val="0"/>
        </w:rPr>
        <w:t>，属于</w:t>
      </w:r>
      <w:r>
        <w:rPr>
          <w:rFonts w:hint="eastAsia"/>
          <w:b/>
          <w:bCs/>
          <w:spacing w:val="0"/>
          <w:u w:val="single"/>
          <w:lang w:val="en-US" w:eastAsia="zh-CN"/>
        </w:rPr>
        <w:t>软件和信息技术服务业（本项内容不得更改）</w:t>
      </w:r>
      <w:r>
        <w:rPr>
          <w:rFonts w:hint="eastAsia"/>
          <w:spacing w:val="0"/>
        </w:rPr>
        <w:t>；承接企业为</w:t>
      </w:r>
      <w:r>
        <w:rPr>
          <w:rFonts w:hint="eastAsia"/>
          <w:spacing w:val="0"/>
          <w:u w:val="single"/>
        </w:rPr>
        <w:t>（企业名称）</w:t>
      </w:r>
      <w:r>
        <w:rPr>
          <w:rFonts w:hint="eastAsia" w:ascii="宋体" w:hAnsi="宋体" w:cs="宋体"/>
          <w:color w:val="000000"/>
          <w:szCs w:val="21"/>
          <w:u w:val="single"/>
        </w:rPr>
        <w:t>（本项为必填项）</w:t>
      </w:r>
      <w:r>
        <w:rPr>
          <w:rFonts w:hint="eastAsia"/>
          <w:spacing w:val="0"/>
        </w:rPr>
        <w:t>，从业人员</w:t>
      </w:r>
      <w:r>
        <w:rPr>
          <w:rFonts w:hint="eastAsia" w:ascii="宋体" w:hAnsi="宋体" w:cs="宋体"/>
          <w:color w:val="000000"/>
          <w:szCs w:val="21"/>
          <w:u w:val="single"/>
        </w:rPr>
        <w:t>（本项为必填项）</w:t>
      </w:r>
      <w:r>
        <w:rPr>
          <w:rFonts w:hint="eastAsia"/>
          <w:spacing w:val="0"/>
        </w:rPr>
        <w:t>人，营业收入为</w:t>
      </w:r>
      <w:r>
        <w:rPr>
          <w:rFonts w:hint="eastAsia" w:ascii="宋体" w:hAnsi="宋体" w:cs="宋体"/>
          <w:color w:val="000000"/>
          <w:szCs w:val="21"/>
          <w:u w:val="single"/>
        </w:rPr>
        <w:t>（本项为必填项）</w:t>
      </w:r>
      <w:r>
        <w:rPr>
          <w:rFonts w:hint="eastAsia"/>
          <w:spacing w:val="0"/>
        </w:rPr>
        <w:t>万元，资产总额为</w:t>
      </w:r>
      <w:r>
        <w:rPr>
          <w:rFonts w:hint="eastAsia" w:ascii="宋体" w:hAnsi="宋体" w:cs="宋体"/>
          <w:color w:val="000000"/>
          <w:szCs w:val="21"/>
          <w:u w:val="single"/>
        </w:rPr>
        <w:t>（本项为必填项）</w:t>
      </w:r>
      <w:r>
        <w:rPr>
          <w:rFonts w:hint="eastAsia"/>
          <w:spacing w:val="0"/>
        </w:rPr>
        <w:t>万元，属于</w:t>
      </w:r>
      <w:r>
        <w:rPr>
          <w:rFonts w:hint="eastAsia"/>
          <w:spacing w:val="0"/>
          <w:u w:val="single"/>
        </w:rPr>
        <w:t>（中型企业、小型企业、微型企业）</w:t>
      </w:r>
      <w:r>
        <w:rPr>
          <w:rFonts w:hint="eastAsia" w:ascii="宋体" w:hAnsi="宋体" w:cs="宋体"/>
          <w:color w:val="000000"/>
          <w:szCs w:val="21"/>
          <w:u w:val="single"/>
        </w:rPr>
        <w:t>（本项为必填项）</w:t>
      </w:r>
      <w:r>
        <w:rPr>
          <w:rFonts w:hint="eastAsia"/>
          <w:spacing w:val="0"/>
        </w:rPr>
        <w:t>；</w:t>
      </w:r>
    </w:p>
    <w:p>
      <w:pPr>
        <w:pStyle w:val="45"/>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spacing w:val="0"/>
        </w:rPr>
      </w:pPr>
      <w:r>
        <w:rPr>
          <w:rFonts w:hint="eastAsia"/>
          <w:spacing w:val="0"/>
        </w:rPr>
        <w:t>以上企业，不属于大企业的分支机构，不存在控股股东为大企业的情形，也不存在与大企业的负责人为同一人的情形。</w:t>
      </w:r>
    </w:p>
    <w:p>
      <w:pPr>
        <w:pStyle w:val="45"/>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spacing w:val="0"/>
        </w:rPr>
      </w:pPr>
      <w:r>
        <w:rPr>
          <w:rFonts w:hint="eastAsia"/>
          <w:spacing w:val="0"/>
        </w:rPr>
        <w:t>本企业对上述声明内容的真实性负责。如有虚假，将依法承担相应责任。</w:t>
      </w:r>
    </w:p>
    <w:p>
      <w:pPr>
        <w:pStyle w:val="45"/>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spacing w:val="0"/>
        </w:rPr>
      </w:pPr>
      <w:r>
        <w:rPr>
          <w:rFonts w:hint="eastAsia"/>
          <w:spacing w:val="0"/>
        </w:rPr>
        <w:t xml:space="preserve">                        企业名称（盖章）：</w:t>
      </w:r>
    </w:p>
    <w:p>
      <w:pPr>
        <w:pStyle w:val="45"/>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spacing w:val="0"/>
        </w:rPr>
      </w:pPr>
      <w:r>
        <w:rPr>
          <w:rFonts w:hint="eastAsia"/>
          <w:spacing w:val="0"/>
        </w:rPr>
        <w:t xml:space="preserve">                        日期：</w:t>
      </w:r>
    </w:p>
    <w:p>
      <w:pPr>
        <w:pStyle w:val="45"/>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spacing w:val="0"/>
        </w:rPr>
      </w:pPr>
    </w:p>
    <w:p>
      <w:pPr>
        <w:pStyle w:val="45"/>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spacing w:val="0"/>
        </w:rPr>
      </w:pPr>
    </w:p>
    <w:p>
      <w:pPr>
        <w:pStyle w:val="45"/>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spacing w:val="0"/>
        </w:rPr>
      </w:pPr>
      <w:r>
        <w:rPr>
          <w:rFonts w:hint="eastAsia"/>
          <w:spacing w:val="0"/>
        </w:rPr>
        <w:t>注：1、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pPr>
        <w:pStyle w:val="45"/>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spacing w:val="0"/>
        </w:rPr>
      </w:pPr>
      <w:r>
        <w:rPr>
          <w:rFonts w:hint="eastAsia"/>
          <w:spacing w:val="0"/>
          <w:lang w:val="en-US" w:eastAsia="zh-CN"/>
        </w:rPr>
        <w:t>2</w:t>
      </w:r>
      <w:r>
        <w:rPr>
          <w:rFonts w:hint="eastAsia"/>
          <w:spacing w:val="0"/>
        </w:rPr>
        <w:t>、行业及规模：</w:t>
      </w:r>
      <w:r>
        <w:rPr>
          <w:rFonts w:hint="eastAsia"/>
          <w:spacing w:val="0"/>
          <w:lang w:val="en-US" w:eastAsia="zh-CN"/>
        </w:rPr>
        <w:t>软件和信息技术服务业</w:t>
      </w:r>
      <w:r>
        <w:rPr>
          <w:rFonts w:hint="eastAsia"/>
          <w:spacing w:val="0"/>
        </w:rPr>
        <w:t>。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45"/>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spacing w:val="0"/>
        </w:rPr>
      </w:pPr>
      <w:r>
        <w:rPr>
          <w:rFonts w:hint="eastAsia"/>
          <w:spacing w:val="0"/>
          <w:lang w:val="en-US" w:eastAsia="zh-CN"/>
        </w:rPr>
        <w:t>3</w:t>
      </w:r>
      <w:r>
        <w:rPr>
          <w:rFonts w:hint="eastAsia"/>
          <w:spacing w:val="0"/>
        </w:rPr>
        <w:t>、从业人员、营业收入、资产总额填报上一年度数据，无上一年度数据的新成立企业可不填报。</w:t>
      </w:r>
    </w:p>
    <w:p>
      <w:pPr>
        <w:pStyle w:val="45"/>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spacing w:val="0"/>
        </w:rPr>
      </w:pPr>
      <w:r>
        <w:rPr>
          <w:rFonts w:hint="eastAsia"/>
          <w:spacing w:val="0"/>
          <w:lang w:val="en-US" w:eastAsia="zh-CN"/>
        </w:rPr>
        <w:t>4</w:t>
      </w:r>
      <w:r>
        <w:rPr>
          <w:rFonts w:hint="eastAsia"/>
          <w:spacing w:val="0"/>
        </w:rPr>
        <w:t>、如接受联合体投标的项目，所有联合体参与方均需提供本表。</w:t>
      </w:r>
    </w:p>
    <w:p>
      <w:pPr>
        <w:pStyle w:val="45"/>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textAlignment w:val="auto"/>
        <w:rPr>
          <w:rFonts w:hint="eastAsia"/>
          <w:b/>
          <w:bCs/>
          <w:spacing w:val="0"/>
        </w:rPr>
      </w:pPr>
      <w:r>
        <w:rPr>
          <w:rFonts w:hint="eastAsia"/>
          <w:b/>
          <w:bCs/>
          <w:spacing w:val="0"/>
        </w:rPr>
        <w:t>风险提示：</w:t>
      </w:r>
    </w:p>
    <w:p>
      <w:pPr>
        <w:pStyle w:val="45"/>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spacing w:val="0"/>
        </w:rPr>
      </w:pPr>
      <w:r>
        <w:rPr>
          <w:rFonts w:hint="eastAsia"/>
          <w:spacing w:val="0"/>
        </w:rPr>
        <w:t>1、对于非面向联合体的项目，在货物采购项目中，供应商提供的货物既有中型企业制造，也有小微企业制造的，不享受办法规定的小微企业扶持政策。</w:t>
      </w:r>
    </w:p>
    <w:p>
      <w:pPr>
        <w:spacing w:line="360" w:lineRule="auto"/>
        <w:ind w:firstLine="420" w:firstLineChars="200"/>
        <w:rPr>
          <w:rFonts w:ascii="宋体" w:hAnsi="宋体" w:cs="宋体"/>
          <w:szCs w:val="21"/>
        </w:rPr>
      </w:pPr>
      <w:r>
        <w:rPr>
          <w:rFonts w:hint="eastAsia"/>
          <w:spacing w:val="0"/>
        </w:rPr>
        <w:t>2、供应商应当对其出具的《中小企业声明函》真实性负责，供应商出具的《中小企业声明函》内容不实的，属于提供虚假材料谋取中标。在实际操作中，供应商希望获得《办法》规定政策支持的，应从制造商处获得充分、准确的信息。对相关制造商信息了解不充分，或者不能确定相关信息真实、准确的，不建议出具《中小企业声明函》。</w:t>
      </w:r>
    </w:p>
    <w:p>
      <w:pPr>
        <w:spacing w:line="360" w:lineRule="auto"/>
        <w:rPr>
          <w:rFonts w:hint="eastAsia" w:ascii="宋体" w:hAnsi="宋体" w:cs="宋体"/>
          <w:b/>
          <w:bCs/>
          <w:color w:val="000000" w:themeColor="text1"/>
          <w:spacing w:val="6"/>
          <w:szCs w:val="21"/>
          <w14:textFill>
            <w14:solidFill>
              <w14:schemeClr w14:val="tx1"/>
            </w14:solidFill>
          </w14:textFill>
        </w:rPr>
        <w:sectPr>
          <w:pgSz w:w="11906" w:h="16838"/>
          <w:pgMar w:top="1588" w:right="1644" w:bottom="1985" w:left="1531" w:header="851" w:footer="992" w:gutter="0"/>
          <w:pgNumType w:fmt="decimal"/>
          <w:cols w:space="720" w:num="1"/>
          <w:docGrid w:linePitch="602" w:charSpace="-1675"/>
        </w:sectPr>
      </w:pPr>
    </w:p>
    <w:p>
      <w:pPr>
        <w:spacing w:line="360" w:lineRule="auto"/>
        <w:rPr>
          <w:rFonts w:ascii="宋体" w:hAnsi="宋体" w:cs="宋体"/>
          <w:b/>
          <w:bCs/>
          <w:color w:val="000000" w:themeColor="text1"/>
          <w:spacing w:val="6"/>
          <w:szCs w:val="21"/>
          <w14:textFill>
            <w14:solidFill>
              <w14:schemeClr w14:val="tx1"/>
            </w14:solidFill>
          </w14:textFill>
        </w:rPr>
      </w:pPr>
      <w:r>
        <w:rPr>
          <w:rFonts w:hint="eastAsia" w:ascii="宋体" w:hAnsi="宋体" w:cs="宋体"/>
          <w:b/>
          <w:bCs/>
          <w:color w:val="000000" w:themeColor="text1"/>
          <w:spacing w:val="6"/>
          <w:szCs w:val="21"/>
          <w14:textFill>
            <w14:solidFill>
              <w14:schemeClr w14:val="tx1"/>
            </w14:solidFill>
          </w14:textFill>
        </w:rPr>
        <w:t>3.残疾人福利性单位声明函</w:t>
      </w:r>
    </w:p>
    <w:p>
      <w:pPr>
        <w:tabs>
          <w:tab w:val="left" w:pos="606"/>
        </w:tabs>
        <w:spacing w:line="360" w:lineRule="auto"/>
        <w:rPr>
          <w:rFonts w:ascii="宋体" w:hAnsi="宋体" w:cs="宋体"/>
          <w:bCs/>
          <w:color w:val="000000" w:themeColor="text1"/>
          <w:spacing w:val="6"/>
          <w:szCs w:val="21"/>
          <w14:textFill>
            <w14:solidFill>
              <w14:schemeClr w14:val="tx1"/>
            </w14:solidFill>
          </w14:textFill>
        </w:rPr>
      </w:pPr>
    </w:p>
    <w:p>
      <w:pPr>
        <w:pStyle w:val="20"/>
        <w:spacing w:line="360" w:lineRule="auto"/>
        <w:ind w:firstLine="0"/>
        <w:jc w:val="center"/>
        <w:rPr>
          <w:rFonts w:hAnsi="宋体"/>
          <w:b/>
          <w:color w:val="000000" w:themeColor="text1"/>
          <w:sz w:val="24"/>
          <w:highlight w:val="none"/>
          <w14:textFill>
            <w14:solidFill>
              <w14:schemeClr w14:val="tx1"/>
            </w14:solidFill>
          </w14:textFill>
        </w:rPr>
      </w:pPr>
      <w:bookmarkStart w:id="61" w:name="OLE_LINK14"/>
      <w:bookmarkStart w:id="62" w:name="OLE_LINK13"/>
      <w:r>
        <w:rPr>
          <w:rFonts w:hint="eastAsia" w:hAnsi="宋体"/>
          <w:b/>
          <w:color w:val="000000" w:themeColor="text1"/>
          <w:sz w:val="24"/>
          <w:highlight w:val="none"/>
          <w14:textFill>
            <w14:solidFill>
              <w14:schemeClr w14:val="tx1"/>
            </w14:solidFill>
          </w14:textFill>
        </w:rPr>
        <w:t>残疾人福利性单位声明函</w:t>
      </w:r>
      <w:bookmarkEnd w:id="61"/>
      <w:bookmarkEnd w:id="62"/>
    </w:p>
    <w:p>
      <w:pPr>
        <w:pStyle w:val="20"/>
        <w:spacing w:line="360" w:lineRule="auto"/>
        <w:ind w:firstLine="0"/>
        <w:jc w:val="center"/>
        <w:rPr>
          <w:rFonts w:hAnsi="宋体"/>
          <w:b/>
          <w:color w:val="000000" w:themeColor="text1"/>
          <w:sz w:val="28"/>
          <w:szCs w:val="28"/>
          <w:highlight w:val="none"/>
          <w14:textFill>
            <w14:solidFill>
              <w14:schemeClr w14:val="tx1"/>
            </w14:solidFill>
          </w14:textFill>
        </w:rPr>
      </w:pP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本单位郑重声明，根据《财政部 民政部 中国残疾人联合会关于促进残疾人就业政府采购政策的通知》（财库〔2017〕141号）的规定，本单位</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lang w:bidi="ar"/>
          <w14:textFill>
            <w14:solidFill>
              <w14:schemeClr w14:val="tx1"/>
            </w14:solidFill>
          </w14:textFill>
        </w:rPr>
        <w:t>（请填写：为符合、不符合）</w:t>
      </w:r>
      <w:r>
        <w:rPr>
          <w:rFonts w:hint="eastAsia" w:ascii="宋体" w:hAnsi="宋体"/>
          <w:color w:val="000000" w:themeColor="text1"/>
          <w:szCs w:val="21"/>
          <w:highlight w:val="none"/>
          <w14:textFill>
            <w14:solidFill>
              <w14:schemeClr w14:val="tx1"/>
            </w14:solidFill>
          </w14:textFill>
        </w:rPr>
        <w:t>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本单位对上述声明的真实性负责。如有虚假，将依法承担相应责任。</w:t>
      </w:r>
    </w:p>
    <w:p>
      <w:pPr>
        <w:spacing w:line="360" w:lineRule="auto"/>
        <w:ind w:firstLine="444" w:firstLineChars="200"/>
        <w:rPr>
          <w:rFonts w:ascii="宋体" w:hAnsi="宋体"/>
          <w:color w:val="000000" w:themeColor="text1"/>
          <w:spacing w:val="6"/>
          <w:szCs w:val="21"/>
          <w:highlight w:val="none"/>
          <w14:textFill>
            <w14:solidFill>
              <w14:schemeClr w14:val="tx1"/>
            </w14:solidFill>
          </w14:textFill>
        </w:rPr>
      </w:pPr>
    </w:p>
    <w:p>
      <w:pPr>
        <w:spacing w:line="360" w:lineRule="auto"/>
        <w:ind w:firstLine="444" w:firstLineChars="200"/>
        <w:rPr>
          <w:rFonts w:ascii="宋体" w:hAnsi="宋体"/>
          <w:color w:val="000000" w:themeColor="text1"/>
          <w:spacing w:val="6"/>
          <w:szCs w:val="21"/>
          <w:highlight w:val="none"/>
          <w14:textFill>
            <w14:solidFill>
              <w14:schemeClr w14:val="tx1"/>
            </w14:solidFill>
          </w14:textFill>
        </w:rPr>
      </w:pPr>
    </w:p>
    <w:p>
      <w:pPr>
        <w:tabs>
          <w:tab w:val="left" w:pos="4860"/>
        </w:tabs>
        <w:spacing w:line="360" w:lineRule="auto"/>
        <w:ind w:right="1560" w:firstLine="444" w:firstLineChars="200"/>
        <w:jc w:val="center"/>
        <w:rPr>
          <w:rFonts w:ascii="宋体" w:hAnsi="宋体"/>
          <w:color w:val="000000" w:themeColor="text1"/>
          <w:spacing w:val="6"/>
          <w:szCs w:val="21"/>
          <w:highlight w:val="none"/>
          <w14:textFill>
            <w14:solidFill>
              <w14:schemeClr w14:val="tx1"/>
            </w14:solidFill>
          </w14:textFill>
        </w:rPr>
      </w:pPr>
      <w:r>
        <w:rPr>
          <w:rFonts w:hint="eastAsia" w:ascii="宋体" w:hAnsi="宋体"/>
          <w:color w:val="000000" w:themeColor="text1"/>
          <w:spacing w:val="6"/>
          <w:szCs w:val="21"/>
          <w:highlight w:val="none"/>
          <w14:textFill>
            <w14:solidFill>
              <w14:schemeClr w14:val="tx1"/>
            </w14:solidFill>
          </w14:textFill>
        </w:rPr>
        <w:t xml:space="preserve">                                   企业名称（盖章）： </w:t>
      </w:r>
    </w:p>
    <w:p>
      <w:pPr>
        <w:spacing w:line="360" w:lineRule="auto"/>
        <w:jc w:val="left"/>
        <w:rPr>
          <w:rFonts w:ascii="宋体" w:hAnsi="宋体"/>
          <w:color w:val="000000" w:themeColor="text1"/>
          <w:spacing w:val="6"/>
          <w:szCs w:val="21"/>
          <w:highlight w:val="none"/>
          <w14:textFill>
            <w14:solidFill>
              <w14:schemeClr w14:val="tx1"/>
            </w14:solidFill>
          </w14:textFill>
        </w:rPr>
      </w:pPr>
      <w:r>
        <w:rPr>
          <w:rFonts w:hint="eastAsia" w:ascii="宋体" w:hAnsi="宋体"/>
          <w:color w:val="000000" w:themeColor="text1"/>
          <w:spacing w:val="6"/>
          <w:szCs w:val="21"/>
          <w:highlight w:val="none"/>
          <w14:textFill>
            <w14:solidFill>
              <w14:schemeClr w14:val="tx1"/>
            </w14:solidFill>
          </w14:textFill>
        </w:rPr>
        <w:t xml:space="preserve">                                     </w:t>
      </w:r>
      <w:r>
        <w:rPr>
          <w:rFonts w:hint="eastAsia" w:ascii="宋体" w:hAnsi="宋体"/>
          <w:color w:val="000000" w:themeColor="text1"/>
          <w:spacing w:val="6"/>
          <w:szCs w:val="21"/>
          <w:highlight w:val="none"/>
          <w:lang w:val="en-US" w:eastAsia="zh-CN"/>
          <w14:textFill>
            <w14:solidFill>
              <w14:schemeClr w14:val="tx1"/>
            </w14:solidFill>
          </w14:textFill>
        </w:rPr>
        <w:t xml:space="preserve">  </w:t>
      </w:r>
      <w:r>
        <w:rPr>
          <w:rFonts w:hint="eastAsia" w:ascii="宋体" w:hAnsi="宋体"/>
          <w:color w:val="000000" w:themeColor="text1"/>
          <w:spacing w:val="6"/>
          <w:szCs w:val="21"/>
          <w:highlight w:val="none"/>
          <w14:textFill>
            <w14:solidFill>
              <w14:schemeClr w14:val="tx1"/>
            </w14:solidFill>
          </w14:textFill>
        </w:rPr>
        <w:t xml:space="preserve">   日  期：</w:t>
      </w:r>
    </w:p>
    <w:p>
      <w:pPr>
        <w:spacing w:line="360" w:lineRule="auto"/>
        <w:ind w:firstLine="723" w:firstLineChars="200"/>
        <w:rPr>
          <w:rFonts w:ascii="宋体" w:hAnsi="宋体"/>
          <w:b/>
          <w:i/>
          <w:color w:val="000000" w:themeColor="text1"/>
          <w:sz w:val="36"/>
          <w:szCs w:val="36"/>
          <w:highlight w:val="none"/>
          <w14:textFill>
            <w14:solidFill>
              <w14:schemeClr w14:val="tx1"/>
            </w14:solidFill>
          </w14:textFill>
        </w:rPr>
      </w:pPr>
      <w:r>
        <w:rPr>
          <w:rFonts w:hint="eastAsia" w:ascii="宋体" w:hAnsi="宋体"/>
          <w:b/>
          <w:i/>
          <w:color w:val="000000" w:themeColor="text1"/>
          <w:sz w:val="36"/>
          <w:szCs w:val="36"/>
          <w:highlight w:val="none"/>
          <w14:textFill>
            <w14:solidFill>
              <w14:schemeClr w14:val="tx1"/>
            </w14:solidFill>
          </w14:textFill>
        </w:rPr>
        <w:t>非残疾人福利性单位无须提供本表。</w:t>
      </w:r>
    </w:p>
    <w:p>
      <w:pPr>
        <w:spacing w:line="360" w:lineRule="auto"/>
        <w:ind w:firstLine="420" w:firstLineChars="200"/>
        <w:rPr>
          <w:rFonts w:ascii="宋体" w:hAnsi="宋体"/>
          <w:color w:val="000000" w:themeColor="text1"/>
          <w:szCs w:val="21"/>
          <w:highlight w:val="none"/>
          <w14:textFill>
            <w14:solidFill>
              <w14:schemeClr w14:val="tx1"/>
            </w14:solidFill>
          </w14:textFill>
        </w:rPr>
      </w:pP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注：1、如投标人为非残疾人福利性单位的可不提供本声明函。</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2、享受政府采购支持政策的残疾人福利性单位应当同时满足以下条件：</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（一）安置的残疾人占本单位在职职工人数的比例不低于25%（含25%），并且安置的残疾人人数不少于10人（含10人）；</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（二）依法与安置的每位残疾人签订了一年以上（含一年）的劳动合同或服务协议；</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（三）为安置的每位残疾人按月足额缴纳了基本养老保险、基本医疗保险、失业保险、工伤保险和生育保险等社会保险费；</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（四）通过银行等金融机构向安置的每位残疾人，按月支付了不低于单位所在区县适用的经省级人民政府批准的月最低工资标准的工资；</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（五）提供本单位制造的货物、承担的工程或者服务（以下简称产品），或者提供其他残疾人福利性单位制造的货物（不包括使用非残疾人福利性单位注册商标的货物）。</w:t>
      </w:r>
    </w:p>
    <w:p>
      <w:pPr>
        <w:tabs>
          <w:tab w:val="left" w:pos="2472"/>
        </w:tabs>
        <w:snapToGrid w:val="0"/>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olor w:val="000000" w:themeColor="text1"/>
          <w:highlight w:val="none"/>
          <w14:textFill>
            <w14:solidFill>
              <w14:schemeClr w14:val="tx1"/>
            </w14:solidFill>
          </w14:textFill>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tabs>
          <w:tab w:val="left" w:pos="2472"/>
        </w:tabs>
        <w:snapToGrid w:val="0"/>
        <w:spacing w:before="120" w:after="120" w:line="360" w:lineRule="auto"/>
        <w:rPr>
          <w:rFonts w:ascii="宋体" w:hAnsi="宋体" w:cs="宋体"/>
          <w:color w:val="000000" w:themeColor="text1"/>
          <w:szCs w:val="21"/>
          <w14:textFill>
            <w14:solidFill>
              <w14:schemeClr w14:val="tx1"/>
            </w14:solidFill>
          </w14:textFill>
        </w:rPr>
      </w:pPr>
    </w:p>
    <w:p>
      <w:pPr>
        <w:snapToGrid w:val="0"/>
        <w:spacing w:before="50" w:after="120" w:afterLines="50"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lang w:val="en-US" w:eastAsia="zh-CN"/>
          <w14:textFill>
            <w14:solidFill>
              <w14:schemeClr w14:val="tx1"/>
            </w14:solidFill>
          </w14:textFill>
        </w:rPr>
        <w:t>4</w:t>
      </w:r>
      <w:r>
        <w:rPr>
          <w:rFonts w:hint="eastAsia" w:ascii="宋体" w:hAnsi="宋体" w:cs="宋体"/>
          <w:b/>
          <w:bCs/>
          <w:color w:val="000000" w:themeColor="text1"/>
          <w:szCs w:val="21"/>
          <w14:textFill>
            <w14:solidFill>
              <w14:schemeClr w14:val="tx1"/>
            </w14:solidFill>
          </w14:textFill>
        </w:rPr>
        <w:t>.投标函格式：</w:t>
      </w:r>
    </w:p>
    <w:p>
      <w:pPr>
        <w:snapToGrid w:val="0"/>
        <w:spacing w:before="120" w:beforeLines="50" w:after="5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投 标 函</w:t>
      </w:r>
    </w:p>
    <w:p>
      <w:pPr>
        <w:snapToGrid w:val="0"/>
        <w:spacing w:line="360" w:lineRule="auto"/>
        <w:rPr>
          <w:rFonts w:ascii="宋体" w:hAnsi="宋体" w:cs="宋体"/>
          <w:color w:val="000000" w:themeColor="text1"/>
          <w:szCs w:val="21"/>
          <w14:textFill>
            <w14:solidFill>
              <w14:schemeClr w14:val="tx1"/>
            </w14:solidFill>
          </w14:textFill>
        </w:rPr>
      </w:pPr>
    </w:p>
    <w:p>
      <w:pPr>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致：</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（招标采购单位名称）：</w:t>
      </w:r>
    </w:p>
    <w:p>
      <w:pPr>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根据贵方为</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项目的招标公告（项目编号：</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），签字代表</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（全名）经正式授权并代表投标人</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（投标人名称）提交投标文件</w:t>
      </w:r>
      <w:r>
        <w:rPr>
          <w:rFonts w:hint="eastAsia" w:ascii="宋体" w:hAnsi="宋体" w:cs="宋体"/>
          <w:color w:val="000000" w:themeColor="text1"/>
          <w:szCs w:val="21"/>
          <w:u w:val="single"/>
          <w14:textFill>
            <w14:solidFill>
              <w14:schemeClr w14:val="tx1"/>
            </w14:solidFill>
          </w14:textFill>
        </w:rPr>
        <w:t xml:space="preserve">  1  </w:t>
      </w:r>
      <w:r>
        <w:rPr>
          <w:rFonts w:hint="eastAsia" w:ascii="宋体" w:hAnsi="宋体" w:cs="宋体"/>
          <w:color w:val="000000" w:themeColor="text1"/>
          <w:szCs w:val="21"/>
          <w14:textFill>
            <w14:solidFill>
              <w14:schemeClr w14:val="tx1"/>
            </w14:solidFill>
          </w14:textFill>
        </w:rPr>
        <w:t>份。</w:t>
      </w:r>
    </w:p>
    <w:p>
      <w:pPr>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据此函，签字代表宣布同意如下：</w:t>
      </w:r>
    </w:p>
    <w:p>
      <w:pPr>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2.投标人在投标之前已经与贵方进行了充分的沟通，完全理解并接受招标文件的各项规定和要求，对招标文件的合理性、合法性不再有异议。</w:t>
      </w:r>
    </w:p>
    <w:p>
      <w:pPr>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3.本投标有效期自开标日起</w:t>
      </w:r>
      <w:r>
        <w:rPr>
          <w:rFonts w:hint="eastAsia" w:ascii="宋体" w:hAnsi="宋体" w:cs="宋体"/>
          <w:color w:val="000000" w:themeColor="text1"/>
          <w:szCs w:val="21"/>
          <w:u w:val="single"/>
          <w:lang w:val="en-US" w:eastAsia="zh-CN"/>
          <w14:textFill>
            <w14:solidFill>
              <w14:schemeClr w14:val="tx1"/>
            </w14:solidFill>
          </w14:textFill>
        </w:rPr>
        <w:t xml:space="preserve"> 90 </w:t>
      </w:r>
      <w:r>
        <w:rPr>
          <w:rFonts w:hint="eastAsia" w:ascii="宋体" w:hAnsi="宋体" w:cs="宋体"/>
          <w:color w:val="000000" w:themeColor="text1"/>
          <w:szCs w:val="21"/>
          <w14:textFill>
            <w14:solidFill>
              <w14:schemeClr w14:val="tx1"/>
            </w14:solidFill>
          </w14:textFill>
        </w:rPr>
        <w:t>个日历日。</w:t>
      </w:r>
    </w:p>
    <w:p>
      <w:pPr>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4.如中标，本投标文件至本项目合同履行完毕止均保持有效，本投标人将按“招标文件”及政府采购法律、法规的规定履行合同责任和义务。</w:t>
      </w:r>
    </w:p>
    <w:p>
      <w:pPr>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5.投标人同意按照贵方要求提供与投标有关的一切数据或资料。</w:t>
      </w:r>
    </w:p>
    <w:p>
      <w:pPr>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6.我司承诺，如中标后，愿</w:t>
      </w:r>
      <w:r>
        <w:rPr>
          <w:rFonts w:hint="eastAsia" w:ascii="宋体" w:hAnsi="宋体" w:cs="宋体"/>
          <w:color w:val="000000" w:themeColor="text1"/>
          <w14:textFill>
            <w14:solidFill>
              <w14:schemeClr w14:val="tx1"/>
            </w14:solidFill>
          </w14:textFill>
        </w:rPr>
        <w:t>按照招标文件的规定，以现金、银行汇款、电汇或经认可的其他支付方式，缴交中标服务费。</w:t>
      </w:r>
    </w:p>
    <w:p>
      <w:pPr>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7.与本投标有关的一切正式往来信函请寄：</w:t>
      </w:r>
    </w:p>
    <w:p>
      <w:pPr>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地址：______________邮编：__________电话：______________</w:t>
      </w:r>
    </w:p>
    <w:p>
      <w:pPr>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传真：______________投标人代表姓名</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___________职务：_____________</w:t>
      </w:r>
    </w:p>
    <w:p>
      <w:pPr>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投标人名称(公章)</w:t>
      </w:r>
      <w:r>
        <w:rPr>
          <w:rFonts w:hint="eastAsia" w:ascii="宋体" w:hAnsi="宋体" w:cs="宋体"/>
          <w:color w:val="000000" w:themeColor="text1"/>
          <w:szCs w:val="21"/>
          <w14:textFill>
            <w14:solidFill>
              <w14:schemeClr w14:val="tx1"/>
            </w14:solidFill>
          </w14:textFill>
        </w:rPr>
        <w:t>:___________________</w:t>
      </w:r>
    </w:p>
    <w:p>
      <w:pPr>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开户银行：</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   银行帐号：</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 </w:t>
      </w:r>
    </w:p>
    <w:p>
      <w:pPr>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法定代表人签</w:t>
      </w:r>
      <w:r>
        <w:rPr>
          <w:rFonts w:hint="eastAsia" w:ascii="宋体" w:hAnsi="宋体" w:cs="宋体"/>
          <w:color w:val="000000" w:themeColor="text1"/>
          <w:szCs w:val="21"/>
          <w:lang w:val="en-US" w:eastAsia="zh-CN"/>
          <w14:textFill>
            <w14:solidFill>
              <w14:schemeClr w14:val="tx1"/>
            </w14:solidFill>
          </w14:textFill>
        </w:rPr>
        <w:t>名</w:t>
      </w:r>
      <w:r>
        <w:rPr>
          <w:rFonts w:hint="eastAsia" w:ascii="宋体" w:hAnsi="宋体" w:cs="宋体"/>
          <w:color w:val="000000" w:themeColor="text1"/>
          <w:szCs w:val="21"/>
          <w14:textFill>
            <w14:solidFill>
              <w14:schemeClr w14:val="tx1"/>
            </w14:solidFill>
          </w14:textFill>
        </w:rPr>
        <w:t>（签字或签章）:___________           日期:_____年___月___日</w:t>
      </w:r>
    </w:p>
    <w:p>
      <w:pPr>
        <w:snapToGrid w:val="0"/>
        <w:spacing w:before="50" w:after="120" w:afterLines="50" w:line="360" w:lineRule="auto"/>
        <w:jc w:val="left"/>
        <w:rPr>
          <w:rFonts w:ascii="宋体" w:hAnsi="宋体" w:cs="宋体"/>
          <w:color w:val="000000" w:themeColor="text1"/>
          <w:szCs w:val="21"/>
          <w14:textFill>
            <w14:solidFill>
              <w14:schemeClr w14:val="tx1"/>
            </w14:solidFill>
          </w14:textFill>
        </w:rPr>
      </w:pPr>
    </w:p>
    <w:p>
      <w:pPr>
        <w:snapToGrid w:val="0"/>
        <w:spacing w:before="50" w:after="120" w:afterLines="50" w:line="360" w:lineRule="auto"/>
        <w:jc w:val="left"/>
        <w:rPr>
          <w:rFonts w:ascii="宋体" w:hAnsi="宋体" w:cs="宋体"/>
          <w:color w:val="000000" w:themeColor="text1"/>
          <w:szCs w:val="21"/>
          <w14:textFill>
            <w14:solidFill>
              <w14:schemeClr w14:val="tx1"/>
            </w14:solidFill>
          </w14:textFill>
        </w:rPr>
      </w:pPr>
    </w:p>
    <w:p>
      <w:pPr>
        <w:snapToGrid w:val="0"/>
        <w:spacing w:before="50" w:after="120" w:afterLines="50" w:line="360" w:lineRule="auto"/>
        <w:jc w:val="left"/>
        <w:rPr>
          <w:rFonts w:ascii="宋体" w:hAnsi="宋体" w:cs="宋体"/>
          <w:b/>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br w:type="page"/>
      </w:r>
      <w:r>
        <w:rPr>
          <w:rFonts w:hint="eastAsia" w:ascii="宋体" w:hAnsi="宋体" w:cs="宋体"/>
          <w:b/>
          <w:bCs/>
          <w:color w:val="000000" w:themeColor="text1"/>
          <w:szCs w:val="21"/>
          <w:lang w:val="en-US" w:eastAsia="zh-CN"/>
          <w14:textFill>
            <w14:solidFill>
              <w14:schemeClr w14:val="tx1"/>
            </w14:solidFill>
          </w14:textFill>
        </w:rPr>
        <w:t>5</w:t>
      </w:r>
      <w:r>
        <w:rPr>
          <w:rFonts w:hint="eastAsia" w:ascii="宋体" w:hAnsi="宋体" w:cs="宋体"/>
          <w:b/>
          <w:bCs/>
          <w:color w:val="000000" w:themeColor="text1"/>
          <w:szCs w:val="21"/>
          <w14:textFill>
            <w14:solidFill>
              <w14:schemeClr w14:val="tx1"/>
            </w14:solidFill>
          </w14:textFill>
        </w:rPr>
        <w:t>.法定代表人身份证明及授权委托书格式：</w:t>
      </w:r>
    </w:p>
    <w:p>
      <w:pPr>
        <w:snapToGrid w:val="0"/>
        <w:spacing w:before="120" w:beforeLines="50" w:after="50" w:line="360" w:lineRule="auto"/>
        <w:jc w:val="center"/>
        <w:rPr>
          <w:rFonts w:ascii="宋体" w:hAnsi="宋体" w:cs="宋体"/>
          <w:color w:val="000000" w:themeColor="text1"/>
          <w:szCs w:val="21"/>
          <w14:textFill>
            <w14:solidFill>
              <w14:schemeClr w14:val="tx1"/>
            </w14:solidFill>
          </w14:textFill>
        </w:rPr>
      </w:pPr>
    </w:p>
    <w:p>
      <w:pPr>
        <w:snapToGrid w:val="0"/>
        <w:spacing w:after="50" w:line="360" w:lineRule="auto"/>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法定代表人证明</w:t>
      </w:r>
    </w:p>
    <w:p>
      <w:pPr>
        <w:widowControl/>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单位名称：</w:t>
      </w:r>
      <w:r>
        <w:rPr>
          <w:rFonts w:hint="eastAsia" w:ascii="宋体" w:hAnsi="宋体" w:cs="宋体"/>
          <w:color w:val="000000" w:themeColor="text1"/>
          <w:u w:val="single"/>
          <w14:textFill>
            <w14:solidFill>
              <w14:schemeClr w14:val="tx1"/>
            </w14:solidFill>
          </w14:textFill>
        </w:rPr>
        <w:t xml:space="preserve">                                      </w:t>
      </w:r>
    </w:p>
    <w:p>
      <w:pPr>
        <w:widowControl/>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地    址：</w:t>
      </w:r>
      <w:r>
        <w:rPr>
          <w:rFonts w:hint="eastAsia" w:ascii="宋体" w:hAnsi="宋体" w:cs="宋体"/>
          <w:color w:val="000000" w:themeColor="text1"/>
          <w:u w:val="single"/>
          <w14:textFill>
            <w14:solidFill>
              <w14:schemeClr w14:val="tx1"/>
            </w14:solidFill>
          </w14:textFill>
        </w:rPr>
        <w:t xml:space="preserve">                                      </w:t>
      </w:r>
    </w:p>
    <w:p>
      <w:pPr>
        <w:widowControl/>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姓    名：</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 xml:space="preserve"> 性    别：</w:t>
      </w:r>
      <w:r>
        <w:rPr>
          <w:rFonts w:hint="eastAsia" w:ascii="宋体" w:hAnsi="宋体" w:cs="宋体"/>
          <w:color w:val="000000" w:themeColor="text1"/>
          <w:u w:val="single"/>
          <w14:textFill>
            <w14:solidFill>
              <w14:schemeClr w14:val="tx1"/>
            </w14:solidFill>
          </w14:textFill>
        </w:rPr>
        <w:t xml:space="preserve">                    </w:t>
      </w:r>
    </w:p>
    <w:p>
      <w:pPr>
        <w:widowControl/>
        <w:spacing w:line="360" w:lineRule="auto"/>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14:textFill>
            <w14:solidFill>
              <w14:schemeClr w14:val="tx1"/>
            </w14:solidFill>
          </w14:textFill>
        </w:rPr>
        <w:t>年    龄：</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 xml:space="preserve"> 职    务：</w:t>
      </w:r>
      <w:r>
        <w:rPr>
          <w:rFonts w:hint="eastAsia" w:ascii="宋体" w:hAnsi="宋体" w:cs="宋体"/>
          <w:color w:val="000000" w:themeColor="text1"/>
          <w:u w:val="single"/>
          <w14:textFill>
            <w14:solidFill>
              <w14:schemeClr w14:val="tx1"/>
            </w14:solidFill>
          </w14:textFill>
        </w:rPr>
        <w:t xml:space="preserve">                    </w:t>
      </w:r>
    </w:p>
    <w:p>
      <w:pPr>
        <w:widowControl/>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身份证号码：</w:t>
      </w:r>
      <w:r>
        <w:rPr>
          <w:rFonts w:hint="eastAsia" w:ascii="宋体" w:hAnsi="宋体" w:cs="宋体"/>
          <w:color w:val="000000" w:themeColor="text1"/>
          <w:u w:val="single"/>
          <w14:textFill>
            <w14:solidFill>
              <w14:schemeClr w14:val="tx1"/>
            </w14:solidFill>
          </w14:textFill>
        </w:rPr>
        <w:t xml:space="preserve">                                    </w:t>
      </w:r>
    </w:p>
    <w:p>
      <w:pPr>
        <w:widowControl/>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系</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u w:val="single"/>
          <w:lang w:eastAsia="zh-CN"/>
          <w14:textFill>
            <w14:solidFill>
              <w14:schemeClr w14:val="tx1"/>
            </w14:solidFill>
          </w14:textFill>
        </w:rPr>
        <w:t>投标人</w:t>
      </w:r>
      <w:r>
        <w:rPr>
          <w:rFonts w:hint="eastAsia" w:ascii="宋体" w:hAnsi="宋体" w:cs="宋体"/>
          <w:color w:val="000000" w:themeColor="text1"/>
          <w:u w:val="single"/>
          <w14:textFill>
            <w14:solidFill>
              <w14:schemeClr w14:val="tx1"/>
            </w14:solidFill>
          </w14:textFill>
        </w:rPr>
        <w:t xml:space="preserve">名称）      </w:t>
      </w:r>
      <w:r>
        <w:rPr>
          <w:rFonts w:hint="eastAsia" w:ascii="宋体" w:hAnsi="宋体" w:cs="宋体"/>
          <w:color w:val="000000" w:themeColor="text1"/>
          <w14:textFill>
            <w14:solidFill>
              <w14:schemeClr w14:val="tx1"/>
            </w14:solidFill>
          </w14:textFill>
        </w:rPr>
        <w:t>的法定代表人，为</w:t>
      </w:r>
      <w:r>
        <w:rPr>
          <w:rFonts w:hint="eastAsia" w:ascii="宋体" w:hAnsi="宋体" w:cs="宋体"/>
          <w:color w:val="000000" w:themeColor="text1"/>
          <w:u w:val="single"/>
          <w14:textFill>
            <w14:solidFill>
              <w14:schemeClr w14:val="tx1"/>
            </w14:solidFill>
          </w14:textFill>
        </w:rPr>
        <w:t xml:space="preserve">     （项目编号、项目名称）   </w:t>
      </w:r>
      <w:r>
        <w:rPr>
          <w:rFonts w:hint="eastAsia" w:ascii="宋体" w:hAnsi="宋体" w:cs="宋体"/>
          <w:color w:val="000000" w:themeColor="text1"/>
          <w14:textFill>
            <w14:solidFill>
              <w14:schemeClr w14:val="tx1"/>
            </w14:solidFill>
          </w14:textFill>
        </w:rPr>
        <w:t>项目，签署上述项目的</w:t>
      </w:r>
      <w:r>
        <w:rPr>
          <w:rFonts w:hint="eastAsia" w:ascii="宋体" w:hAnsi="宋体" w:cs="宋体"/>
          <w:color w:val="000000" w:themeColor="text1"/>
          <w:lang w:val="en-US" w:eastAsia="zh-CN"/>
          <w14:textFill>
            <w14:solidFill>
              <w14:schemeClr w14:val="tx1"/>
            </w14:solidFill>
          </w14:textFill>
        </w:rPr>
        <w:t>投标</w:t>
      </w:r>
      <w:r>
        <w:rPr>
          <w:rFonts w:hint="eastAsia" w:ascii="宋体" w:hAnsi="宋体" w:cs="宋体"/>
          <w:color w:val="000000" w:themeColor="text1"/>
          <w14:textFill>
            <w14:solidFill>
              <w14:schemeClr w14:val="tx1"/>
            </w14:solidFill>
          </w14:textFill>
        </w:rPr>
        <w:t>文件，进行合同谈判、签署合同和处理与之有关的一切事宜。</w:t>
      </w:r>
    </w:p>
    <w:p>
      <w:pPr>
        <w:widowControl/>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w:t>
      </w:r>
      <w:r>
        <w:rPr>
          <w:rFonts w:hint="eastAsia" w:ascii="宋体" w:hAnsi="宋体" w:cs="宋体"/>
          <w:b/>
          <w:bCs/>
          <w:color w:val="000000" w:themeColor="text1"/>
          <w14:textFill>
            <w14:solidFill>
              <w14:schemeClr w14:val="tx1"/>
            </w14:solidFill>
          </w14:textFill>
        </w:rPr>
        <w:t>特此证明！</w:t>
      </w:r>
    </w:p>
    <w:p>
      <w:pPr>
        <w:spacing w:line="360" w:lineRule="auto"/>
        <w:rPr>
          <w:rFonts w:ascii="宋体" w:hAnsi="宋体" w:cs="宋体"/>
          <w:b/>
          <w:color w:val="000000" w:themeColor="text1"/>
          <w14:textFill>
            <w14:solidFill>
              <w14:schemeClr w14:val="tx1"/>
            </w14:solidFill>
          </w14:textFill>
        </w:rPr>
      </w:pPr>
    </w:p>
    <w:p>
      <w:pPr>
        <w:spacing w:line="360" w:lineRule="auto"/>
        <w:rPr>
          <w:rFonts w:ascii="宋体" w:hAnsi="宋体" w:cs="宋体"/>
          <w:b/>
          <w:color w:val="000000" w:themeColor="text1"/>
          <w14:textFill>
            <w14:solidFill>
              <w14:schemeClr w14:val="tx1"/>
            </w14:solidFill>
          </w14:textFill>
        </w:rPr>
      </w:pPr>
    </w:p>
    <w:p>
      <w:pPr>
        <w:spacing w:line="360" w:lineRule="auto"/>
        <w:jc w:val="left"/>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附身份证复印件（正反面）：</w:t>
      </w:r>
    </w:p>
    <w:p>
      <w:pPr>
        <w:pStyle w:val="45"/>
        <w:spacing w:line="360" w:lineRule="auto"/>
        <w:ind w:firstLine="406"/>
        <w:rPr>
          <w:rFonts w:hAnsi="宋体" w:cs="宋体"/>
          <w:b/>
          <w:color w:val="000000" w:themeColor="text1"/>
          <w14:textFill>
            <w14:solidFill>
              <w14:schemeClr w14:val="tx1"/>
            </w14:solidFill>
          </w14:textFill>
        </w:rPr>
      </w:pPr>
    </w:p>
    <w:p>
      <w:pPr>
        <w:pStyle w:val="45"/>
        <w:spacing w:line="360" w:lineRule="auto"/>
        <w:ind w:firstLine="406"/>
        <w:rPr>
          <w:rFonts w:hAnsi="宋体" w:cs="宋体"/>
          <w:b/>
          <w:color w:val="000000" w:themeColor="text1"/>
          <w14:textFill>
            <w14:solidFill>
              <w14:schemeClr w14:val="tx1"/>
            </w14:solidFill>
          </w14:textFill>
        </w:rPr>
      </w:pPr>
    </w:p>
    <w:p>
      <w:pPr>
        <w:spacing w:line="360" w:lineRule="auto"/>
        <w:ind w:right="420" w:firstLine="3150" w:firstLineChars="1500"/>
        <w:rPr>
          <w:rFonts w:ascii="宋体" w:hAnsi="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投标人</w:t>
      </w:r>
      <w:r>
        <w:rPr>
          <w:rFonts w:hint="eastAsia" w:ascii="宋体" w:hAnsi="宋体" w:cs="宋体"/>
          <w:color w:val="000000" w:themeColor="text1"/>
          <w14:textFill>
            <w14:solidFill>
              <w14:schemeClr w14:val="tx1"/>
            </w14:solidFill>
          </w14:textFill>
        </w:rPr>
        <w:t xml:space="preserve">的法定代表人签名（签字或签章）：     </w:t>
      </w:r>
    </w:p>
    <w:p>
      <w:pPr>
        <w:spacing w:line="360" w:lineRule="auto"/>
        <w:ind w:right="420" w:firstLine="3150" w:firstLineChars="1500"/>
        <w:rPr>
          <w:rFonts w:ascii="宋体" w:hAnsi="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投标人</w:t>
      </w:r>
      <w:r>
        <w:rPr>
          <w:rFonts w:hint="eastAsia" w:ascii="宋体" w:hAnsi="宋体" w:cs="宋体"/>
          <w:color w:val="000000" w:themeColor="text1"/>
          <w14:textFill>
            <w14:solidFill>
              <w14:schemeClr w14:val="tx1"/>
            </w14:solidFill>
          </w14:textFill>
        </w:rPr>
        <w:t xml:space="preserve">名称（盖章）：            </w:t>
      </w:r>
    </w:p>
    <w:p>
      <w:pPr>
        <w:spacing w:line="360" w:lineRule="auto"/>
        <w:ind w:right="420" w:firstLine="3150" w:firstLineChars="1500"/>
        <w:rPr>
          <w:rFonts w:ascii="宋体" w:hAnsi="宋体" w:cs="宋体"/>
          <w:b/>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日  期：                   </w:t>
      </w:r>
    </w:p>
    <w:p>
      <w:pPr>
        <w:spacing w:line="360" w:lineRule="auto"/>
        <w:jc w:val="center"/>
        <w:rPr>
          <w:rFonts w:hint="eastAsia" w:ascii="宋体" w:hAnsi="宋体" w:eastAsia="宋体" w:cs="宋体"/>
          <w:b/>
          <w:color w:val="000000" w:themeColor="text1"/>
          <w:sz w:val="21"/>
          <w:szCs w:val="21"/>
          <w14:textFill>
            <w14:solidFill>
              <w14:schemeClr w14:val="tx1"/>
            </w14:solidFill>
          </w14:textFill>
        </w:rPr>
      </w:pPr>
      <w:r>
        <w:rPr>
          <w:rFonts w:asciiTheme="majorEastAsia" w:hAnsiTheme="majorEastAsia" w:eastAsiaTheme="majorEastAsia"/>
          <w:b/>
          <w:color w:val="000000" w:themeColor="text1"/>
          <w14:textFill>
            <w14:solidFill>
              <w14:schemeClr w14:val="tx1"/>
            </w14:solidFill>
          </w14:textFill>
        </w:rPr>
        <w:br w:type="page"/>
      </w:r>
      <w:r>
        <w:rPr>
          <w:rFonts w:hint="eastAsia" w:ascii="宋体" w:hAnsi="宋体" w:eastAsia="宋体" w:cs="宋体"/>
          <w:b/>
          <w:color w:val="000000" w:themeColor="text1"/>
          <w:sz w:val="21"/>
          <w:szCs w:val="21"/>
          <w14:textFill>
            <w14:solidFill>
              <w14:schemeClr w14:val="tx1"/>
            </w14:solidFill>
          </w14:textFill>
        </w:rPr>
        <w:t>法定代表人授权委托书</w:t>
      </w:r>
    </w:p>
    <w:p>
      <w:pPr>
        <w:snapToGrid w:val="0"/>
        <w:spacing w:line="360" w:lineRule="auto"/>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（法定代表人来投标的，此表不用）</w:t>
      </w:r>
    </w:p>
    <w:p>
      <w:pPr>
        <w:snapToGrid w:val="0"/>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致：（采购单位名称）：</w:t>
      </w:r>
    </w:p>
    <w:p>
      <w:pPr>
        <w:snapToGrid w:val="0"/>
        <w:spacing w:line="360" w:lineRule="auto"/>
        <w:ind w:firstLine="420" w:firstLineChars="200"/>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我（姓名）系（</w:t>
      </w:r>
      <w:r>
        <w:rPr>
          <w:rFonts w:hint="eastAsia" w:ascii="宋体" w:hAnsi="宋体" w:eastAsia="宋体" w:cs="宋体"/>
          <w:color w:val="000000" w:themeColor="text1"/>
          <w:sz w:val="21"/>
          <w:szCs w:val="21"/>
          <w:lang w:eastAsia="zh-CN"/>
          <w14:textFill>
            <w14:solidFill>
              <w14:schemeClr w14:val="tx1"/>
            </w14:solidFill>
          </w14:textFill>
        </w:rPr>
        <w:t>投标人</w:t>
      </w:r>
      <w:r>
        <w:rPr>
          <w:rFonts w:hint="eastAsia" w:ascii="宋体" w:hAnsi="宋体" w:eastAsia="宋体" w:cs="宋体"/>
          <w:color w:val="000000" w:themeColor="text1"/>
          <w:sz w:val="21"/>
          <w:szCs w:val="21"/>
          <w14:textFill>
            <w14:solidFill>
              <w14:schemeClr w14:val="tx1"/>
            </w14:solidFill>
          </w14:textFill>
        </w:rPr>
        <w:t>名称）的法定代表人，现授权委托本单位在职职工 （姓名）以我方的名义参加</w:t>
      </w:r>
      <w:r>
        <w:rPr>
          <w:rFonts w:hint="eastAsia" w:ascii="宋体" w:hAnsi="宋体" w:eastAsia="宋体" w:cs="宋体"/>
          <w:color w:val="000000" w:themeColor="text1"/>
          <w:sz w:val="21"/>
          <w:szCs w:val="21"/>
          <w:u w:val="single"/>
          <w14:textFill>
            <w14:solidFill>
              <w14:schemeClr w14:val="tx1"/>
            </w14:solidFill>
          </w14:textFill>
        </w:rPr>
        <w:t xml:space="preserve">                       政府采购 </w:t>
      </w:r>
      <w:r>
        <w:rPr>
          <w:rFonts w:hint="eastAsia" w:ascii="宋体" w:hAnsi="宋体" w:eastAsia="宋体" w:cs="宋体"/>
          <w:color w:val="000000" w:themeColor="text1"/>
          <w:sz w:val="21"/>
          <w:szCs w:val="21"/>
          <w14:textFill>
            <w14:solidFill>
              <w14:schemeClr w14:val="tx1"/>
            </w14:solidFill>
          </w14:textFill>
        </w:rPr>
        <w:t>项目的投标活动，并代表我方全权办理针对上述项目的投标、开标、评标、签约等具体事务和签署相关文件。</w:t>
      </w:r>
    </w:p>
    <w:p>
      <w:pPr>
        <w:snapToGrid w:val="0"/>
        <w:spacing w:line="360" w:lineRule="auto"/>
        <w:ind w:firstLine="420" w:firstLineChars="200"/>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我方对授权代表的签名事项负全部责任。</w:t>
      </w:r>
    </w:p>
    <w:p>
      <w:pPr>
        <w:snapToGrid w:val="0"/>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在撤销授权的书面通知以前，本授权书一直有效。授权代表在授权书有效期内签署的所有文件不因授权的撤销而失效。</w:t>
      </w:r>
    </w:p>
    <w:p>
      <w:pPr>
        <w:snapToGrid w:val="0"/>
        <w:spacing w:line="360" w:lineRule="auto"/>
        <w:ind w:firstLine="48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授权代表无转委托权，特此委托。</w:t>
      </w:r>
    </w:p>
    <w:p>
      <w:pPr>
        <w:snapToGrid w:val="0"/>
        <w:spacing w:line="360" w:lineRule="auto"/>
        <w:rPr>
          <w:rFonts w:hint="eastAsia" w:ascii="宋体" w:hAnsi="宋体" w:eastAsia="宋体" w:cs="宋体"/>
          <w:color w:val="000000" w:themeColor="text1"/>
          <w:sz w:val="21"/>
          <w:szCs w:val="21"/>
          <w14:textFill>
            <w14:solidFill>
              <w14:schemeClr w14:val="tx1"/>
            </w14:solidFill>
          </w14:textFill>
        </w:rPr>
      </w:pPr>
    </w:p>
    <w:p>
      <w:pPr>
        <w:snapToGrid w:val="0"/>
        <w:spacing w:line="360" w:lineRule="auto"/>
        <w:rPr>
          <w:rFonts w:hint="eastAsia" w:ascii="宋体" w:hAnsi="宋体" w:eastAsia="宋体" w:cs="宋体"/>
          <w:color w:val="000000" w:themeColor="text1"/>
          <w:sz w:val="21"/>
          <w:szCs w:val="21"/>
          <w14:textFill>
            <w14:solidFill>
              <w14:schemeClr w14:val="tx1"/>
            </w14:solidFill>
          </w14:textFill>
        </w:rPr>
      </w:pPr>
    </w:p>
    <w:p>
      <w:pPr>
        <w:snapToGrid w:val="0"/>
        <w:spacing w:line="360" w:lineRule="auto"/>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授权代表签</w:t>
      </w:r>
      <w:r>
        <w:rPr>
          <w:rFonts w:hint="eastAsia" w:ascii="宋体" w:hAnsi="宋体" w:cs="宋体"/>
          <w:color w:val="000000" w:themeColor="text1"/>
          <w:sz w:val="21"/>
          <w:szCs w:val="21"/>
          <w:lang w:val="en-US" w:eastAsia="zh-CN"/>
          <w14:textFill>
            <w14:solidFill>
              <w14:schemeClr w14:val="tx1"/>
            </w14:solidFill>
          </w14:textFill>
        </w:rPr>
        <w:t>字</w:t>
      </w:r>
      <w:r>
        <w:rPr>
          <w:rFonts w:hint="eastAsia" w:ascii="宋体" w:hAnsi="宋体" w:eastAsia="宋体" w:cs="宋体"/>
          <w:color w:val="000000" w:themeColor="text1"/>
          <w:sz w:val="21"/>
          <w:szCs w:val="21"/>
          <w14:textFill>
            <w14:solidFill>
              <w14:schemeClr w14:val="tx1"/>
            </w14:solidFill>
          </w14:textFill>
        </w:rPr>
        <w:t>：                 法定代表人签名</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签字或签章</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p>
    <w:p>
      <w:pPr>
        <w:snapToGrid w:val="0"/>
        <w:spacing w:line="360" w:lineRule="auto"/>
        <w:ind w:firstLine="840" w:firstLineChars="4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职务：                 职务：</w:t>
      </w:r>
    </w:p>
    <w:p>
      <w:pPr>
        <w:snapToGrid w:val="0"/>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授权代表身份证号码：</w:t>
      </w:r>
    </w:p>
    <w:p>
      <w:pPr>
        <w:snapToGrid w:val="0"/>
        <w:spacing w:line="360" w:lineRule="auto"/>
        <w:rPr>
          <w:rFonts w:hint="eastAsia" w:ascii="宋体" w:hAnsi="宋体" w:eastAsia="宋体" w:cs="宋体"/>
          <w:color w:val="000000" w:themeColor="text1"/>
          <w:sz w:val="21"/>
          <w:szCs w:val="21"/>
          <w14:textFill>
            <w14:solidFill>
              <w14:schemeClr w14:val="tx1"/>
            </w14:solidFill>
          </w14:textFill>
        </w:rPr>
      </w:pPr>
    </w:p>
    <w:p>
      <w:pPr>
        <w:snapToGrid w:val="0"/>
        <w:spacing w:line="360" w:lineRule="auto"/>
        <w:rPr>
          <w:rFonts w:hint="eastAsia" w:ascii="宋体" w:hAnsi="宋体" w:eastAsia="宋体" w:cs="宋体"/>
          <w:color w:val="000000" w:themeColor="text1"/>
          <w:sz w:val="21"/>
          <w:szCs w:val="21"/>
          <w14:textFill>
            <w14:solidFill>
              <w14:schemeClr w14:val="tx1"/>
            </w14:solidFill>
          </w14:textFill>
        </w:rPr>
      </w:pPr>
    </w:p>
    <w:p>
      <w:pPr>
        <w:snapToGrid w:val="0"/>
        <w:spacing w:line="360" w:lineRule="auto"/>
        <w:ind w:firstLine="4830" w:firstLineChars="23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投标人</w:t>
      </w:r>
      <w:r>
        <w:rPr>
          <w:rFonts w:hint="eastAsia" w:ascii="宋体" w:hAnsi="宋体" w:eastAsia="宋体" w:cs="宋体"/>
          <w:color w:val="000000" w:themeColor="text1"/>
          <w:sz w:val="21"/>
          <w:szCs w:val="21"/>
          <w14:textFill>
            <w14:solidFill>
              <w14:schemeClr w14:val="tx1"/>
            </w14:solidFill>
          </w14:textFill>
        </w:rPr>
        <w:t xml:space="preserve">名称（盖章）：        </w:t>
      </w:r>
    </w:p>
    <w:p>
      <w:pPr>
        <w:snapToGrid w:val="0"/>
        <w:spacing w:line="360" w:lineRule="auto"/>
        <w:ind w:firstLine="4830" w:firstLineChars="23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日  期：                       </w:t>
      </w:r>
    </w:p>
    <w:p>
      <w:pPr>
        <w:snapToGrid w:val="0"/>
        <w:spacing w:line="360" w:lineRule="auto"/>
        <w:rPr>
          <w:rFonts w:hint="eastAsia" w:ascii="宋体" w:hAnsi="宋体" w:eastAsia="宋体" w:cs="宋体"/>
          <w:color w:val="000000" w:themeColor="text1"/>
          <w:sz w:val="21"/>
          <w:szCs w:val="21"/>
          <w14:textFill>
            <w14:solidFill>
              <w14:schemeClr w14:val="tx1"/>
            </w14:solidFill>
          </w14:textFill>
        </w:rPr>
      </w:pPr>
    </w:p>
    <w:p>
      <w:pPr>
        <w:spacing w:line="360" w:lineRule="auto"/>
        <w:rPr>
          <w:rFonts w:hint="eastAsia" w:ascii="宋体" w:hAnsi="宋体" w:eastAsia="宋体" w:cs="宋体"/>
          <w:b/>
          <w:color w:val="000000" w:themeColor="text1"/>
          <w:sz w:val="21"/>
          <w:szCs w:val="21"/>
          <w14:textFill>
            <w14:solidFill>
              <w14:schemeClr w14:val="tx1"/>
            </w14:solidFill>
          </w14:textFill>
        </w:rPr>
      </w:pPr>
    </w:p>
    <w:p>
      <w:pPr>
        <w:spacing w:line="360" w:lineRule="auto"/>
        <w:rPr>
          <w:rFonts w:hint="eastAsia" w:ascii="宋体" w:hAnsi="宋体" w:eastAsia="宋体" w:cs="宋体"/>
          <w:b/>
          <w:color w:val="000000" w:themeColor="text1"/>
          <w:sz w:val="21"/>
          <w:szCs w:val="21"/>
          <w14:textFill>
            <w14:solidFill>
              <w14:schemeClr w14:val="tx1"/>
            </w14:solidFill>
          </w14:textFill>
        </w:rPr>
      </w:pPr>
    </w:p>
    <w:p>
      <w:pPr>
        <w:snapToGrid w:val="0"/>
        <w:spacing w:before="120" w:beforeLines="50" w:after="50"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附：法定代表人身份证复印件（正反面），授权代表身份证复印件（正反面）及开标日前三个月内任意一个月当地相关部门出具的社保证明。</w:t>
      </w:r>
    </w:p>
    <w:p>
      <w:pPr>
        <w:snapToGrid w:val="0"/>
        <w:spacing w:before="120" w:beforeLines="50" w:after="50" w:line="360" w:lineRule="auto"/>
        <w:rPr>
          <w:rFonts w:hint="eastAsia" w:ascii="宋体" w:hAnsi="宋体" w:eastAsia="宋体" w:cs="宋体"/>
          <w:color w:val="000000" w:themeColor="text1"/>
          <w:sz w:val="21"/>
          <w:szCs w:val="21"/>
          <w14:textFill>
            <w14:solidFill>
              <w14:schemeClr w14:val="tx1"/>
            </w14:solidFill>
          </w14:textFill>
        </w:rPr>
      </w:pPr>
    </w:p>
    <w:p>
      <w:pPr>
        <w:snapToGrid w:val="0"/>
        <w:spacing w:before="120" w:beforeLines="50" w:after="50" w:line="360" w:lineRule="auto"/>
        <w:rPr>
          <w:rFonts w:ascii="宋体" w:hAnsi="宋体" w:cs="宋体"/>
          <w:color w:val="000000" w:themeColor="text1"/>
          <w:szCs w:val="21"/>
          <w14:textFill>
            <w14:solidFill>
              <w14:schemeClr w14:val="tx1"/>
            </w14:solidFill>
          </w14:textFill>
        </w:rPr>
      </w:pPr>
    </w:p>
    <w:p>
      <w:pPr>
        <w:snapToGrid w:val="0"/>
        <w:spacing w:before="50" w:after="120" w:afterLines="50"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br w:type="page"/>
      </w:r>
      <w:r>
        <w:rPr>
          <w:rFonts w:hint="eastAsia" w:ascii="宋体" w:hAnsi="宋体" w:cs="宋体"/>
          <w:b/>
          <w:bCs/>
          <w:color w:val="000000" w:themeColor="text1"/>
          <w:szCs w:val="21"/>
          <w:lang w:val="en-US" w:eastAsia="zh-CN"/>
          <w14:textFill>
            <w14:solidFill>
              <w14:schemeClr w14:val="tx1"/>
            </w14:solidFill>
          </w14:textFill>
        </w:rPr>
        <w:t>6</w:t>
      </w:r>
      <w:r>
        <w:rPr>
          <w:rFonts w:hint="eastAsia" w:ascii="宋体" w:hAnsi="宋体" w:cs="宋体"/>
          <w:b/>
          <w:bCs/>
          <w:color w:val="000000" w:themeColor="text1"/>
          <w:szCs w:val="21"/>
          <w14:textFill>
            <w14:solidFill>
              <w14:schemeClr w14:val="tx1"/>
            </w14:solidFill>
          </w14:textFill>
        </w:rPr>
        <w:t>.投标人基本情况表</w:t>
      </w:r>
    </w:p>
    <w:tbl>
      <w:tblPr>
        <w:tblStyle w:val="46"/>
        <w:tblW w:w="9073"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974"/>
        <w:gridCol w:w="309"/>
        <w:gridCol w:w="1352"/>
        <w:gridCol w:w="1012"/>
        <w:gridCol w:w="349"/>
        <w:gridCol w:w="1074"/>
        <w:gridCol w:w="179"/>
        <w:gridCol w:w="352"/>
        <w:gridCol w:w="285"/>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71" w:type="dxa"/>
            <w:vAlign w:val="center"/>
          </w:tcPr>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申请人名称</w:t>
            </w:r>
          </w:p>
        </w:tc>
        <w:tc>
          <w:tcPr>
            <w:tcW w:w="7302" w:type="dxa"/>
            <w:gridSpan w:val="10"/>
            <w:vAlign w:val="center"/>
          </w:tcPr>
          <w:p>
            <w:pPr>
              <w:snapToGrid w:val="0"/>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71" w:type="dxa"/>
            <w:vAlign w:val="center"/>
          </w:tcPr>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注册地址</w:t>
            </w:r>
          </w:p>
        </w:tc>
        <w:tc>
          <w:tcPr>
            <w:tcW w:w="3647" w:type="dxa"/>
            <w:gridSpan w:val="4"/>
            <w:vAlign w:val="center"/>
          </w:tcPr>
          <w:p>
            <w:pPr>
              <w:snapToGrid w:val="0"/>
              <w:jc w:val="center"/>
              <w:rPr>
                <w:rFonts w:ascii="宋体" w:hAnsi="宋体" w:cs="宋体"/>
                <w:color w:val="000000" w:themeColor="text1"/>
                <w:szCs w:val="21"/>
                <w14:textFill>
                  <w14:solidFill>
                    <w14:schemeClr w14:val="tx1"/>
                  </w14:solidFill>
                </w14:textFill>
              </w:rPr>
            </w:pPr>
          </w:p>
        </w:tc>
        <w:tc>
          <w:tcPr>
            <w:tcW w:w="1602" w:type="dxa"/>
            <w:gridSpan w:val="3"/>
            <w:vAlign w:val="center"/>
          </w:tcPr>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邮政编码</w:t>
            </w:r>
          </w:p>
        </w:tc>
        <w:tc>
          <w:tcPr>
            <w:tcW w:w="2053" w:type="dxa"/>
            <w:gridSpan w:val="3"/>
            <w:vAlign w:val="center"/>
          </w:tcPr>
          <w:p>
            <w:pPr>
              <w:snapToGrid w:val="0"/>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71" w:type="dxa"/>
            <w:vMerge w:val="restart"/>
            <w:vAlign w:val="center"/>
          </w:tcPr>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联系方式</w:t>
            </w:r>
          </w:p>
        </w:tc>
        <w:tc>
          <w:tcPr>
            <w:tcW w:w="1283" w:type="dxa"/>
            <w:gridSpan w:val="2"/>
            <w:vAlign w:val="center"/>
          </w:tcPr>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联系人</w:t>
            </w:r>
          </w:p>
        </w:tc>
        <w:tc>
          <w:tcPr>
            <w:tcW w:w="2364" w:type="dxa"/>
            <w:gridSpan w:val="2"/>
            <w:vAlign w:val="center"/>
          </w:tcPr>
          <w:p>
            <w:pPr>
              <w:snapToGrid w:val="0"/>
              <w:jc w:val="center"/>
              <w:rPr>
                <w:rFonts w:ascii="宋体" w:hAnsi="宋体" w:cs="宋体"/>
                <w:color w:val="000000" w:themeColor="text1"/>
                <w:szCs w:val="21"/>
                <w14:textFill>
                  <w14:solidFill>
                    <w14:schemeClr w14:val="tx1"/>
                  </w14:solidFill>
                </w14:textFill>
              </w:rPr>
            </w:pPr>
          </w:p>
        </w:tc>
        <w:tc>
          <w:tcPr>
            <w:tcW w:w="1602" w:type="dxa"/>
            <w:gridSpan w:val="3"/>
            <w:vAlign w:val="center"/>
          </w:tcPr>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电话</w:t>
            </w:r>
          </w:p>
        </w:tc>
        <w:tc>
          <w:tcPr>
            <w:tcW w:w="2053" w:type="dxa"/>
            <w:gridSpan w:val="3"/>
            <w:vAlign w:val="center"/>
          </w:tcPr>
          <w:p>
            <w:pPr>
              <w:snapToGrid w:val="0"/>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71" w:type="dxa"/>
            <w:vMerge w:val="continue"/>
            <w:vAlign w:val="center"/>
          </w:tcPr>
          <w:p>
            <w:pPr>
              <w:snapToGrid w:val="0"/>
              <w:jc w:val="center"/>
              <w:rPr>
                <w:rFonts w:ascii="宋体" w:hAnsi="宋体" w:cs="宋体"/>
                <w:color w:val="000000" w:themeColor="text1"/>
                <w:szCs w:val="21"/>
                <w14:textFill>
                  <w14:solidFill>
                    <w14:schemeClr w14:val="tx1"/>
                  </w14:solidFill>
                </w14:textFill>
              </w:rPr>
            </w:pPr>
          </w:p>
        </w:tc>
        <w:tc>
          <w:tcPr>
            <w:tcW w:w="1283" w:type="dxa"/>
            <w:gridSpan w:val="2"/>
            <w:vAlign w:val="center"/>
          </w:tcPr>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传真</w:t>
            </w:r>
          </w:p>
        </w:tc>
        <w:tc>
          <w:tcPr>
            <w:tcW w:w="2364" w:type="dxa"/>
            <w:gridSpan w:val="2"/>
            <w:vAlign w:val="center"/>
          </w:tcPr>
          <w:p>
            <w:pPr>
              <w:snapToGrid w:val="0"/>
              <w:jc w:val="center"/>
              <w:rPr>
                <w:rFonts w:ascii="宋体" w:hAnsi="宋体" w:cs="宋体"/>
                <w:color w:val="000000" w:themeColor="text1"/>
                <w:szCs w:val="21"/>
                <w14:textFill>
                  <w14:solidFill>
                    <w14:schemeClr w14:val="tx1"/>
                  </w14:solidFill>
                </w14:textFill>
              </w:rPr>
            </w:pPr>
          </w:p>
        </w:tc>
        <w:tc>
          <w:tcPr>
            <w:tcW w:w="1602" w:type="dxa"/>
            <w:gridSpan w:val="3"/>
            <w:vAlign w:val="center"/>
          </w:tcPr>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网址</w:t>
            </w:r>
          </w:p>
        </w:tc>
        <w:tc>
          <w:tcPr>
            <w:tcW w:w="2053" w:type="dxa"/>
            <w:gridSpan w:val="3"/>
            <w:vAlign w:val="center"/>
          </w:tcPr>
          <w:p>
            <w:pPr>
              <w:snapToGrid w:val="0"/>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71" w:type="dxa"/>
            <w:vAlign w:val="center"/>
          </w:tcPr>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组织结构</w:t>
            </w:r>
          </w:p>
        </w:tc>
        <w:tc>
          <w:tcPr>
            <w:tcW w:w="7302" w:type="dxa"/>
            <w:gridSpan w:val="10"/>
            <w:vAlign w:val="center"/>
          </w:tcPr>
          <w:p>
            <w:pPr>
              <w:snapToGrid w:val="0"/>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71" w:type="dxa"/>
            <w:vAlign w:val="center"/>
          </w:tcPr>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法定代表人</w:t>
            </w:r>
          </w:p>
        </w:tc>
        <w:tc>
          <w:tcPr>
            <w:tcW w:w="974" w:type="dxa"/>
            <w:vAlign w:val="center"/>
          </w:tcPr>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姓名</w:t>
            </w:r>
          </w:p>
        </w:tc>
        <w:tc>
          <w:tcPr>
            <w:tcW w:w="1661" w:type="dxa"/>
            <w:gridSpan w:val="2"/>
            <w:vAlign w:val="center"/>
          </w:tcPr>
          <w:p>
            <w:pPr>
              <w:snapToGrid w:val="0"/>
              <w:jc w:val="center"/>
              <w:rPr>
                <w:rFonts w:ascii="宋体" w:hAnsi="宋体" w:cs="宋体"/>
                <w:color w:val="000000" w:themeColor="text1"/>
                <w:szCs w:val="21"/>
                <w14:textFill>
                  <w14:solidFill>
                    <w14:schemeClr w14:val="tx1"/>
                  </w14:solidFill>
                </w14:textFill>
              </w:rPr>
            </w:pPr>
          </w:p>
        </w:tc>
        <w:tc>
          <w:tcPr>
            <w:tcW w:w="1361" w:type="dxa"/>
            <w:gridSpan w:val="2"/>
            <w:vAlign w:val="center"/>
          </w:tcPr>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技术职称</w:t>
            </w:r>
          </w:p>
        </w:tc>
        <w:tc>
          <w:tcPr>
            <w:tcW w:w="1074" w:type="dxa"/>
            <w:vAlign w:val="center"/>
          </w:tcPr>
          <w:p>
            <w:pPr>
              <w:snapToGrid w:val="0"/>
              <w:jc w:val="center"/>
              <w:rPr>
                <w:rFonts w:ascii="宋体" w:hAnsi="宋体" w:cs="宋体"/>
                <w:color w:val="000000" w:themeColor="text1"/>
                <w:szCs w:val="21"/>
                <w14:textFill>
                  <w14:solidFill>
                    <w14:schemeClr w14:val="tx1"/>
                  </w14:solidFill>
                </w14:textFill>
              </w:rPr>
            </w:pPr>
          </w:p>
        </w:tc>
        <w:tc>
          <w:tcPr>
            <w:tcW w:w="816" w:type="dxa"/>
            <w:gridSpan w:val="3"/>
            <w:vAlign w:val="center"/>
          </w:tcPr>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电话</w:t>
            </w:r>
          </w:p>
        </w:tc>
        <w:tc>
          <w:tcPr>
            <w:tcW w:w="1416" w:type="dxa"/>
            <w:vAlign w:val="center"/>
          </w:tcPr>
          <w:p>
            <w:pPr>
              <w:snapToGrid w:val="0"/>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71" w:type="dxa"/>
            <w:vAlign w:val="center"/>
          </w:tcPr>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技术负责人</w:t>
            </w:r>
          </w:p>
        </w:tc>
        <w:tc>
          <w:tcPr>
            <w:tcW w:w="974" w:type="dxa"/>
            <w:vAlign w:val="center"/>
          </w:tcPr>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姓名</w:t>
            </w:r>
          </w:p>
        </w:tc>
        <w:tc>
          <w:tcPr>
            <w:tcW w:w="1661" w:type="dxa"/>
            <w:gridSpan w:val="2"/>
            <w:vAlign w:val="center"/>
          </w:tcPr>
          <w:p>
            <w:pPr>
              <w:snapToGrid w:val="0"/>
              <w:jc w:val="center"/>
              <w:rPr>
                <w:rFonts w:ascii="宋体" w:hAnsi="宋体" w:cs="宋体"/>
                <w:color w:val="000000" w:themeColor="text1"/>
                <w:szCs w:val="21"/>
                <w14:textFill>
                  <w14:solidFill>
                    <w14:schemeClr w14:val="tx1"/>
                  </w14:solidFill>
                </w14:textFill>
              </w:rPr>
            </w:pPr>
          </w:p>
        </w:tc>
        <w:tc>
          <w:tcPr>
            <w:tcW w:w="1361" w:type="dxa"/>
            <w:gridSpan w:val="2"/>
            <w:vAlign w:val="center"/>
          </w:tcPr>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技术职称</w:t>
            </w:r>
          </w:p>
        </w:tc>
        <w:tc>
          <w:tcPr>
            <w:tcW w:w="1074" w:type="dxa"/>
            <w:vAlign w:val="center"/>
          </w:tcPr>
          <w:p>
            <w:pPr>
              <w:snapToGrid w:val="0"/>
              <w:jc w:val="center"/>
              <w:rPr>
                <w:rFonts w:ascii="宋体" w:hAnsi="宋体" w:cs="宋体"/>
                <w:color w:val="000000" w:themeColor="text1"/>
                <w:szCs w:val="21"/>
                <w14:textFill>
                  <w14:solidFill>
                    <w14:schemeClr w14:val="tx1"/>
                  </w14:solidFill>
                </w14:textFill>
              </w:rPr>
            </w:pPr>
          </w:p>
        </w:tc>
        <w:tc>
          <w:tcPr>
            <w:tcW w:w="816" w:type="dxa"/>
            <w:gridSpan w:val="3"/>
            <w:vAlign w:val="center"/>
          </w:tcPr>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电话</w:t>
            </w:r>
          </w:p>
        </w:tc>
        <w:tc>
          <w:tcPr>
            <w:tcW w:w="1416" w:type="dxa"/>
            <w:vAlign w:val="center"/>
          </w:tcPr>
          <w:p>
            <w:pPr>
              <w:snapToGrid w:val="0"/>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71" w:type="dxa"/>
            <w:vAlign w:val="center"/>
          </w:tcPr>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成立时间</w:t>
            </w:r>
          </w:p>
        </w:tc>
        <w:tc>
          <w:tcPr>
            <w:tcW w:w="2635" w:type="dxa"/>
            <w:gridSpan w:val="3"/>
            <w:vAlign w:val="center"/>
          </w:tcPr>
          <w:p>
            <w:pPr>
              <w:snapToGrid w:val="0"/>
              <w:jc w:val="center"/>
              <w:rPr>
                <w:rFonts w:ascii="宋体" w:hAnsi="宋体" w:cs="宋体"/>
                <w:color w:val="000000" w:themeColor="text1"/>
                <w:szCs w:val="21"/>
                <w14:textFill>
                  <w14:solidFill>
                    <w14:schemeClr w14:val="tx1"/>
                  </w14:solidFill>
                </w14:textFill>
              </w:rPr>
            </w:pPr>
          </w:p>
        </w:tc>
        <w:tc>
          <w:tcPr>
            <w:tcW w:w="4667" w:type="dxa"/>
            <w:gridSpan w:val="7"/>
            <w:vAlign w:val="center"/>
          </w:tcPr>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71" w:type="dxa"/>
            <w:vAlign w:val="center"/>
          </w:tcPr>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企业资质等级</w:t>
            </w:r>
          </w:p>
        </w:tc>
        <w:tc>
          <w:tcPr>
            <w:tcW w:w="2635" w:type="dxa"/>
            <w:gridSpan w:val="3"/>
            <w:vAlign w:val="center"/>
          </w:tcPr>
          <w:p>
            <w:pPr>
              <w:snapToGrid w:val="0"/>
              <w:jc w:val="center"/>
              <w:rPr>
                <w:rFonts w:ascii="宋体" w:hAnsi="宋体" w:cs="宋体"/>
                <w:color w:val="000000" w:themeColor="text1"/>
                <w:szCs w:val="21"/>
                <w14:textFill>
                  <w14:solidFill>
                    <w14:schemeClr w14:val="tx1"/>
                  </w14:solidFill>
                </w14:textFill>
              </w:rPr>
            </w:pPr>
          </w:p>
        </w:tc>
        <w:tc>
          <w:tcPr>
            <w:tcW w:w="1012" w:type="dxa"/>
            <w:vMerge w:val="restart"/>
            <w:vAlign w:val="center"/>
          </w:tcPr>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其中</w:t>
            </w:r>
          </w:p>
        </w:tc>
        <w:tc>
          <w:tcPr>
            <w:tcW w:w="1954" w:type="dxa"/>
            <w:gridSpan w:val="4"/>
            <w:vAlign w:val="center"/>
          </w:tcPr>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高级职称人员</w:t>
            </w:r>
          </w:p>
        </w:tc>
        <w:tc>
          <w:tcPr>
            <w:tcW w:w="1701" w:type="dxa"/>
            <w:gridSpan w:val="2"/>
            <w:vAlign w:val="center"/>
          </w:tcPr>
          <w:p>
            <w:pPr>
              <w:snapToGrid w:val="0"/>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71" w:type="dxa"/>
            <w:vAlign w:val="center"/>
          </w:tcPr>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营业执照号</w:t>
            </w:r>
          </w:p>
        </w:tc>
        <w:tc>
          <w:tcPr>
            <w:tcW w:w="2635" w:type="dxa"/>
            <w:gridSpan w:val="3"/>
            <w:vAlign w:val="center"/>
          </w:tcPr>
          <w:p>
            <w:pPr>
              <w:snapToGrid w:val="0"/>
              <w:jc w:val="center"/>
              <w:rPr>
                <w:rFonts w:ascii="宋体" w:hAnsi="宋体" w:cs="宋体"/>
                <w:color w:val="000000" w:themeColor="text1"/>
                <w:szCs w:val="21"/>
                <w14:textFill>
                  <w14:solidFill>
                    <w14:schemeClr w14:val="tx1"/>
                  </w14:solidFill>
                </w14:textFill>
              </w:rPr>
            </w:pPr>
          </w:p>
        </w:tc>
        <w:tc>
          <w:tcPr>
            <w:tcW w:w="1012" w:type="dxa"/>
            <w:vMerge w:val="continue"/>
            <w:vAlign w:val="center"/>
          </w:tcPr>
          <w:p>
            <w:pPr>
              <w:snapToGrid w:val="0"/>
              <w:jc w:val="center"/>
              <w:rPr>
                <w:rFonts w:ascii="宋体" w:hAnsi="宋体" w:cs="宋体"/>
                <w:color w:val="000000" w:themeColor="text1"/>
                <w:szCs w:val="21"/>
                <w14:textFill>
                  <w14:solidFill>
                    <w14:schemeClr w14:val="tx1"/>
                  </w14:solidFill>
                </w14:textFill>
              </w:rPr>
            </w:pPr>
          </w:p>
        </w:tc>
        <w:tc>
          <w:tcPr>
            <w:tcW w:w="1954" w:type="dxa"/>
            <w:gridSpan w:val="4"/>
            <w:vAlign w:val="center"/>
          </w:tcPr>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中级职称人员</w:t>
            </w:r>
          </w:p>
        </w:tc>
        <w:tc>
          <w:tcPr>
            <w:tcW w:w="1701" w:type="dxa"/>
            <w:gridSpan w:val="2"/>
            <w:vAlign w:val="center"/>
          </w:tcPr>
          <w:p>
            <w:pPr>
              <w:snapToGrid w:val="0"/>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71" w:type="dxa"/>
            <w:vAlign w:val="center"/>
          </w:tcPr>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注册资金</w:t>
            </w:r>
          </w:p>
        </w:tc>
        <w:tc>
          <w:tcPr>
            <w:tcW w:w="2635" w:type="dxa"/>
            <w:gridSpan w:val="3"/>
            <w:vAlign w:val="center"/>
          </w:tcPr>
          <w:p>
            <w:pPr>
              <w:snapToGrid w:val="0"/>
              <w:jc w:val="center"/>
              <w:rPr>
                <w:rFonts w:ascii="宋体" w:hAnsi="宋体" w:cs="宋体"/>
                <w:color w:val="000000" w:themeColor="text1"/>
                <w:szCs w:val="21"/>
                <w14:textFill>
                  <w14:solidFill>
                    <w14:schemeClr w14:val="tx1"/>
                  </w14:solidFill>
                </w14:textFill>
              </w:rPr>
            </w:pPr>
          </w:p>
        </w:tc>
        <w:tc>
          <w:tcPr>
            <w:tcW w:w="1012" w:type="dxa"/>
            <w:vMerge w:val="continue"/>
            <w:vAlign w:val="center"/>
          </w:tcPr>
          <w:p>
            <w:pPr>
              <w:snapToGrid w:val="0"/>
              <w:jc w:val="center"/>
              <w:rPr>
                <w:rFonts w:ascii="宋体" w:hAnsi="宋体" w:cs="宋体"/>
                <w:color w:val="000000" w:themeColor="text1"/>
                <w:szCs w:val="21"/>
                <w14:textFill>
                  <w14:solidFill>
                    <w14:schemeClr w14:val="tx1"/>
                  </w14:solidFill>
                </w14:textFill>
              </w:rPr>
            </w:pPr>
          </w:p>
        </w:tc>
        <w:tc>
          <w:tcPr>
            <w:tcW w:w="1954" w:type="dxa"/>
            <w:gridSpan w:val="4"/>
            <w:vAlign w:val="center"/>
          </w:tcPr>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初级职称人员</w:t>
            </w:r>
          </w:p>
        </w:tc>
        <w:tc>
          <w:tcPr>
            <w:tcW w:w="1701" w:type="dxa"/>
            <w:gridSpan w:val="2"/>
            <w:vAlign w:val="center"/>
          </w:tcPr>
          <w:p>
            <w:pPr>
              <w:snapToGrid w:val="0"/>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71" w:type="dxa"/>
            <w:vAlign w:val="center"/>
          </w:tcPr>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开户银行</w:t>
            </w:r>
          </w:p>
        </w:tc>
        <w:tc>
          <w:tcPr>
            <w:tcW w:w="2635" w:type="dxa"/>
            <w:gridSpan w:val="3"/>
            <w:vAlign w:val="center"/>
          </w:tcPr>
          <w:p>
            <w:pPr>
              <w:snapToGrid w:val="0"/>
              <w:jc w:val="center"/>
              <w:rPr>
                <w:rFonts w:ascii="宋体" w:hAnsi="宋体" w:cs="宋体"/>
                <w:color w:val="000000" w:themeColor="text1"/>
                <w:szCs w:val="21"/>
                <w14:textFill>
                  <w14:solidFill>
                    <w14:schemeClr w14:val="tx1"/>
                  </w14:solidFill>
                </w14:textFill>
              </w:rPr>
            </w:pPr>
          </w:p>
        </w:tc>
        <w:tc>
          <w:tcPr>
            <w:tcW w:w="1012" w:type="dxa"/>
            <w:vMerge w:val="continue"/>
            <w:vAlign w:val="center"/>
          </w:tcPr>
          <w:p>
            <w:pPr>
              <w:snapToGrid w:val="0"/>
              <w:jc w:val="center"/>
              <w:rPr>
                <w:rFonts w:ascii="宋体" w:hAnsi="宋体" w:cs="宋体"/>
                <w:color w:val="000000" w:themeColor="text1"/>
                <w:szCs w:val="21"/>
                <w14:textFill>
                  <w14:solidFill>
                    <w14:schemeClr w14:val="tx1"/>
                  </w14:solidFill>
                </w14:textFill>
              </w:rPr>
            </w:pPr>
          </w:p>
        </w:tc>
        <w:tc>
          <w:tcPr>
            <w:tcW w:w="1954" w:type="dxa"/>
            <w:gridSpan w:val="4"/>
            <w:vAlign w:val="center"/>
          </w:tcPr>
          <w:p>
            <w:pPr>
              <w:snapToGrid w:val="0"/>
              <w:jc w:val="center"/>
              <w:rPr>
                <w:rFonts w:ascii="宋体" w:hAnsi="宋体" w:cs="宋体"/>
                <w:color w:val="000000" w:themeColor="text1"/>
                <w:szCs w:val="21"/>
                <w14:textFill>
                  <w14:solidFill>
                    <w14:schemeClr w14:val="tx1"/>
                  </w14:solidFill>
                </w14:textFill>
              </w:rPr>
            </w:pPr>
          </w:p>
        </w:tc>
        <w:tc>
          <w:tcPr>
            <w:tcW w:w="1701" w:type="dxa"/>
            <w:gridSpan w:val="2"/>
            <w:vAlign w:val="center"/>
          </w:tcPr>
          <w:p>
            <w:pPr>
              <w:snapToGrid w:val="0"/>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71" w:type="dxa"/>
            <w:vAlign w:val="center"/>
          </w:tcPr>
          <w:p>
            <w:pPr>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账号</w:t>
            </w:r>
          </w:p>
        </w:tc>
        <w:tc>
          <w:tcPr>
            <w:tcW w:w="2635" w:type="dxa"/>
            <w:gridSpan w:val="3"/>
            <w:vAlign w:val="center"/>
          </w:tcPr>
          <w:p>
            <w:pPr>
              <w:snapToGrid w:val="0"/>
              <w:jc w:val="center"/>
              <w:rPr>
                <w:rFonts w:ascii="宋体" w:hAnsi="宋体" w:cs="宋体"/>
                <w:color w:val="000000" w:themeColor="text1"/>
                <w:szCs w:val="21"/>
                <w14:textFill>
                  <w14:solidFill>
                    <w14:schemeClr w14:val="tx1"/>
                  </w14:solidFill>
                </w14:textFill>
              </w:rPr>
            </w:pPr>
          </w:p>
        </w:tc>
        <w:tc>
          <w:tcPr>
            <w:tcW w:w="1012" w:type="dxa"/>
            <w:vMerge w:val="continue"/>
            <w:vAlign w:val="center"/>
          </w:tcPr>
          <w:p>
            <w:pPr>
              <w:snapToGrid w:val="0"/>
              <w:jc w:val="center"/>
              <w:rPr>
                <w:rFonts w:ascii="宋体" w:hAnsi="宋体" w:cs="宋体"/>
                <w:color w:val="000000" w:themeColor="text1"/>
                <w:szCs w:val="21"/>
                <w14:textFill>
                  <w14:solidFill>
                    <w14:schemeClr w14:val="tx1"/>
                  </w14:solidFill>
                </w14:textFill>
              </w:rPr>
            </w:pPr>
          </w:p>
        </w:tc>
        <w:tc>
          <w:tcPr>
            <w:tcW w:w="1954" w:type="dxa"/>
            <w:gridSpan w:val="4"/>
            <w:vAlign w:val="center"/>
          </w:tcPr>
          <w:p>
            <w:pPr>
              <w:snapToGrid w:val="0"/>
              <w:jc w:val="center"/>
              <w:rPr>
                <w:rFonts w:ascii="宋体" w:hAnsi="宋体" w:cs="宋体"/>
                <w:color w:val="000000" w:themeColor="text1"/>
                <w:szCs w:val="21"/>
                <w14:textFill>
                  <w14:solidFill>
                    <w14:schemeClr w14:val="tx1"/>
                  </w14:solidFill>
                </w14:textFill>
              </w:rPr>
            </w:pPr>
          </w:p>
        </w:tc>
        <w:tc>
          <w:tcPr>
            <w:tcW w:w="1701" w:type="dxa"/>
            <w:gridSpan w:val="2"/>
            <w:vAlign w:val="center"/>
          </w:tcPr>
          <w:p>
            <w:pPr>
              <w:snapToGrid w:val="0"/>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4" w:hRule="atLeast"/>
        </w:trPr>
        <w:tc>
          <w:tcPr>
            <w:tcW w:w="1771" w:type="dxa"/>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经营范围</w:t>
            </w:r>
          </w:p>
        </w:tc>
        <w:tc>
          <w:tcPr>
            <w:tcW w:w="7302" w:type="dxa"/>
            <w:gridSpan w:val="10"/>
            <w:vAlign w:val="center"/>
          </w:tcPr>
          <w:p>
            <w:pPr>
              <w:spacing w:line="360" w:lineRule="auto"/>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771" w:type="dxa"/>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备注</w:t>
            </w:r>
          </w:p>
        </w:tc>
        <w:tc>
          <w:tcPr>
            <w:tcW w:w="7302" w:type="dxa"/>
            <w:gridSpan w:val="10"/>
            <w:vAlign w:val="center"/>
          </w:tcPr>
          <w:p>
            <w:pPr>
              <w:spacing w:line="360" w:lineRule="auto"/>
              <w:jc w:val="center"/>
              <w:rPr>
                <w:rFonts w:ascii="宋体" w:hAnsi="宋体" w:cs="宋体"/>
                <w:color w:val="000000" w:themeColor="text1"/>
                <w:szCs w:val="21"/>
                <w14:textFill>
                  <w14:solidFill>
                    <w14:schemeClr w14:val="tx1"/>
                  </w14:solidFill>
                </w14:textFill>
              </w:rPr>
            </w:pPr>
          </w:p>
        </w:tc>
      </w:tr>
    </w:tbl>
    <w:p>
      <w:pPr>
        <w:snapToGrid w:val="0"/>
        <w:spacing w:before="50" w:after="120" w:afterLines="50" w:line="360" w:lineRule="auto"/>
        <w:jc w:val="left"/>
        <w:rPr>
          <w:rFonts w:ascii="宋体" w:hAnsi="宋体" w:cs="宋体"/>
          <w:color w:val="000000" w:themeColor="text1"/>
          <w:szCs w:val="21"/>
          <w14:textFill>
            <w14:solidFill>
              <w14:schemeClr w14:val="tx1"/>
            </w14:solidFill>
          </w14:textFill>
        </w:rPr>
      </w:pPr>
    </w:p>
    <w:p>
      <w:pPr>
        <w:snapToGrid w:val="0"/>
        <w:spacing w:before="50" w:after="120" w:afterLines="50" w:line="360" w:lineRule="auto"/>
        <w:jc w:val="left"/>
        <w:rPr>
          <w:rFonts w:ascii="宋体" w:hAnsi="宋体" w:cs="宋体"/>
          <w:color w:val="000000" w:themeColor="text1"/>
          <w:szCs w:val="21"/>
          <w14:textFill>
            <w14:solidFill>
              <w14:schemeClr w14:val="tx1"/>
            </w14:solidFill>
          </w14:textFill>
        </w:rPr>
      </w:pPr>
    </w:p>
    <w:p>
      <w:pPr>
        <w:pStyle w:val="45"/>
        <w:ind w:left="0" w:leftChars="0" w:firstLine="0" w:firstLineChars="0"/>
        <w:rPr>
          <w:rFonts w:hAnsi="宋体" w:cs="宋体"/>
          <w:color w:val="000000" w:themeColor="text1"/>
          <w14:textFill>
            <w14:solidFill>
              <w14:schemeClr w14:val="tx1"/>
            </w14:solidFill>
          </w14:textFill>
        </w:rPr>
      </w:pPr>
    </w:p>
    <w:p>
      <w:pPr>
        <w:pStyle w:val="14"/>
        <w:snapToGrid w:val="0"/>
        <w:spacing w:line="360" w:lineRule="auto"/>
        <w:rPr>
          <w:rFonts w:hint="default" w:ascii="宋体" w:hAnsi="宋体" w:eastAsia="宋体" w:cs="宋体"/>
          <w:color w:val="000000" w:themeColor="text1"/>
          <w:sz w:val="21"/>
          <w:szCs w:val="21"/>
          <w:u w:val="single"/>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法定代表人或授权代表签</w:t>
      </w:r>
      <w:r>
        <w:rPr>
          <w:rFonts w:hint="eastAsia" w:ascii="宋体" w:hAnsi="宋体" w:eastAsia="宋体" w:cs="宋体"/>
          <w:color w:val="000000" w:themeColor="text1"/>
          <w:sz w:val="21"/>
          <w:szCs w:val="21"/>
          <w:lang w:val="en-US" w:eastAsia="zh-CN"/>
          <w14:textFill>
            <w14:solidFill>
              <w14:schemeClr w14:val="tx1"/>
            </w14:solidFill>
          </w14:textFill>
        </w:rPr>
        <w:t>名</w:t>
      </w:r>
      <w:r>
        <w:rPr>
          <w:rFonts w:hint="eastAsia" w:ascii="宋体" w:hAnsi="宋体" w:eastAsia="宋体" w:cs="宋体"/>
          <w:color w:val="000000" w:themeColor="text1"/>
          <w:sz w:val="21"/>
          <w:szCs w:val="21"/>
          <w14:textFill>
            <w14:solidFill>
              <w14:schemeClr w14:val="tx1"/>
            </w14:solidFill>
          </w14:textFill>
        </w:rPr>
        <w:t>（签字或签章）：</w:t>
      </w:r>
      <w:r>
        <w:rPr>
          <w:rFonts w:hint="eastAsia" w:ascii="宋体" w:hAnsi="宋体" w:eastAsia="宋体" w:cs="宋体"/>
          <w:color w:val="000000" w:themeColor="text1"/>
          <w:sz w:val="21"/>
          <w:szCs w:val="21"/>
          <w:u w:val="single"/>
          <w:lang w:val="en-US" w:eastAsia="zh-CN"/>
          <w14:textFill>
            <w14:solidFill>
              <w14:schemeClr w14:val="tx1"/>
            </w14:solidFill>
          </w14:textFill>
        </w:rPr>
        <w:t xml:space="preserve">            </w:t>
      </w:r>
    </w:p>
    <w:p>
      <w:pPr>
        <w:snapToGrid w:val="0"/>
        <w:spacing w:before="50" w:after="120" w:afterLines="50" w:line="360" w:lineRule="auto"/>
        <w:jc w:val="left"/>
        <w:rPr>
          <w:rFonts w:ascii="宋体" w:hAnsi="宋体" w:cs="宋体"/>
          <w:color w:val="000000" w:themeColor="text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投标人名称（盖章）</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                       年    月  日</w:t>
      </w:r>
    </w:p>
    <w:p>
      <w:pPr>
        <w:snapToGrid w:val="0"/>
        <w:spacing w:before="50" w:after="120" w:afterLines="50" w:line="360" w:lineRule="auto"/>
        <w:jc w:val="left"/>
        <w:rPr>
          <w:rFonts w:ascii="宋体" w:hAnsi="宋体" w:cs="宋体"/>
          <w:color w:val="000000" w:themeColor="text1"/>
          <w:szCs w:val="21"/>
          <w14:textFill>
            <w14:solidFill>
              <w14:schemeClr w14:val="tx1"/>
            </w14:solidFill>
          </w14:textFill>
        </w:rPr>
      </w:pPr>
    </w:p>
    <w:p>
      <w:pPr>
        <w:snapToGrid w:val="0"/>
        <w:spacing w:before="50" w:after="120" w:afterLines="50" w:line="360" w:lineRule="auto"/>
        <w:jc w:val="left"/>
        <w:rPr>
          <w:rFonts w:ascii="宋体" w:hAnsi="宋体" w:cs="宋体"/>
          <w:b/>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br w:type="page"/>
      </w:r>
      <w:r>
        <w:rPr>
          <w:rFonts w:hint="eastAsia" w:ascii="宋体" w:hAnsi="宋体" w:cs="宋体"/>
          <w:b/>
          <w:bCs/>
          <w:color w:val="000000" w:themeColor="text1"/>
          <w:szCs w:val="21"/>
          <w:lang w:val="en-US" w:eastAsia="zh-CN"/>
          <w14:textFill>
            <w14:solidFill>
              <w14:schemeClr w14:val="tx1"/>
            </w14:solidFill>
          </w14:textFill>
        </w:rPr>
        <w:t>7</w:t>
      </w:r>
      <w:r>
        <w:rPr>
          <w:rFonts w:hint="eastAsia" w:ascii="宋体" w:hAnsi="宋体" w:cs="宋体"/>
          <w:b/>
          <w:bCs/>
          <w:color w:val="000000" w:themeColor="text1"/>
          <w:szCs w:val="21"/>
          <w14:textFill>
            <w14:solidFill>
              <w14:schemeClr w14:val="tx1"/>
            </w14:solidFill>
          </w14:textFill>
        </w:rPr>
        <w:t>.评分索引表</w:t>
      </w:r>
    </w:p>
    <w:tbl>
      <w:tblPr>
        <w:tblStyle w:val="46"/>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2052"/>
        <w:gridCol w:w="2565"/>
        <w:gridCol w:w="266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761" w:type="dxa"/>
            <w:vAlign w:val="center"/>
          </w:tcPr>
          <w:p>
            <w:pPr>
              <w:spacing w:line="500" w:lineRule="exact"/>
              <w:jc w:val="center"/>
              <w:rPr>
                <w:rFonts w:ascii="宋体" w:hAnsi="宋体" w:cs="宋体"/>
                <w:szCs w:val="21"/>
              </w:rPr>
            </w:pPr>
            <w:r>
              <w:rPr>
                <w:rFonts w:hint="eastAsia" w:ascii="宋体" w:hAnsi="宋体" w:cs="宋体"/>
                <w:szCs w:val="21"/>
              </w:rPr>
              <w:t>序号</w:t>
            </w:r>
          </w:p>
        </w:tc>
        <w:tc>
          <w:tcPr>
            <w:tcW w:w="2052" w:type="dxa"/>
            <w:vAlign w:val="center"/>
          </w:tcPr>
          <w:p>
            <w:pPr>
              <w:spacing w:line="500" w:lineRule="exact"/>
              <w:jc w:val="center"/>
              <w:rPr>
                <w:rFonts w:ascii="宋体" w:hAnsi="宋体" w:cs="宋体"/>
                <w:szCs w:val="21"/>
              </w:rPr>
            </w:pPr>
            <w:r>
              <w:rPr>
                <w:rFonts w:hint="eastAsia" w:ascii="宋体" w:hAnsi="宋体" w:cs="宋体"/>
                <w:szCs w:val="21"/>
              </w:rPr>
              <w:t>评分项目</w:t>
            </w:r>
          </w:p>
        </w:tc>
        <w:tc>
          <w:tcPr>
            <w:tcW w:w="2565" w:type="dxa"/>
            <w:vAlign w:val="center"/>
          </w:tcPr>
          <w:p>
            <w:pPr>
              <w:spacing w:line="500" w:lineRule="exact"/>
              <w:jc w:val="center"/>
              <w:rPr>
                <w:rFonts w:ascii="宋体" w:hAnsi="宋体" w:cs="宋体"/>
                <w:szCs w:val="21"/>
              </w:rPr>
            </w:pPr>
            <w:r>
              <w:rPr>
                <w:rFonts w:hint="eastAsia" w:ascii="宋体" w:hAnsi="宋体" w:cs="宋体"/>
                <w:szCs w:val="21"/>
              </w:rPr>
              <w:t>证明材料所在页码区间</w:t>
            </w:r>
          </w:p>
        </w:tc>
        <w:tc>
          <w:tcPr>
            <w:tcW w:w="2668" w:type="dxa"/>
            <w:vAlign w:val="center"/>
          </w:tcPr>
          <w:p>
            <w:pPr>
              <w:spacing w:line="500" w:lineRule="exact"/>
              <w:jc w:val="center"/>
              <w:rPr>
                <w:rFonts w:ascii="宋体" w:hAnsi="宋体" w:cs="宋体"/>
                <w:szCs w:val="21"/>
              </w:rPr>
            </w:pPr>
            <w:r>
              <w:rPr>
                <w:rFonts w:hint="eastAsia" w:ascii="宋体" w:hAnsi="宋体" w:cs="宋体"/>
                <w:szCs w:val="21"/>
              </w:rPr>
              <w:t>自评得分</w:t>
            </w:r>
          </w:p>
          <w:p>
            <w:pPr>
              <w:spacing w:line="500" w:lineRule="exact"/>
              <w:jc w:val="center"/>
              <w:rPr>
                <w:rFonts w:ascii="宋体" w:hAnsi="宋体" w:cs="宋体"/>
                <w:szCs w:val="21"/>
              </w:rPr>
            </w:pPr>
            <w:r>
              <w:rPr>
                <w:rFonts w:hint="eastAsia" w:ascii="宋体" w:hAnsi="宋体" w:cs="宋体"/>
                <w:szCs w:val="21"/>
              </w:rPr>
              <w:t>（主观分部分不用填写）</w:t>
            </w:r>
          </w:p>
        </w:tc>
        <w:tc>
          <w:tcPr>
            <w:tcW w:w="851" w:type="dxa"/>
            <w:vAlign w:val="center"/>
          </w:tcPr>
          <w:p>
            <w:pPr>
              <w:spacing w:line="500" w:lineRule="exact"/>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761" w:type="dxa"/>
            <w:vAlign w:val="center"/>
          </w:tcPr>
          <w:p>
            <w:pPr>
              <w:spacing w:line="500" w:lineRule="exact"/>
              <w:jc w:val="center"/>
              <w:rPr>
                <w:rFonts w:ascii="宋体" w:hAnsi="宋体" w:cs="宋体"/>
                <w:szCs w:val="21"/>
              </w:rPr>
            </w:pPr>
            <w:r>
              <w:rPr>
                <w:rFonts w:hint="eastAsia" w:ascii="宋体" w:hAnsi="宋体" w:cs="宋体"/>
                <w:szCs w:val="21"/>
              </w:rPr>
              <w:t>1</w:t>
            </w:r>
          </w:p>
        </w:tc>
        <w:tc>
          <w:tcPr>
            <w:tcW w:w="2052" w:type="dxa"/>
            <w:vAlign w:val="center"/>
          </w:tcPr>
          <w:p>
            <w:pPr>
              <w:spacing w:line="500" w:lineRule="exact"/>
              <w:jc w:val="center"/>
              <w:rPr>
                <w:rFonts w:ascii="宋体" w:hAnsi="宋体" w:cs="宋体"/>
                <w:szCs w:val="21"/>
              </w:rPr>
            </w:pPr>
          </w:p>
        </w:tc>
        <w:tc>
          <w:tcPr>
            <w:tcW w:w="2565" w:type="dxa"/>
            <w:vAlign w:val="center"/>
          </w:tcPr>
          <w:p>
            <w:pPr>
              <w:spacing w:line="500" w:lineRule="exact"/>
              <w:jc w:val="center"/>
              <w:rPr>
                <w:rFonts w:ascii="宋体" w:hAnsi="宋体" w:cs="宋体"/>
                <w:szCs w:val="21"/>
              </w:rPr>
            </w:pPr>
          </w:p>
        </w:tc>
        <w:tc>
          <w:tcPr>
            <w:tcW w:w="2668" w:type="dxa"/>
            <w:vAlign w:val="center"/>
          </w:tcPr>
          <w:p>
            <w:pPr>
              <w:spacing w:line="500" w:lineRule="exact"/>
              <w:jc w:val="center"/>
              <w:rPr>
                <w:rFonts w:ascii="宋体" w:hAnsi="宋体" w:cs="宋体"/>
                <w:szCs w:val="21"/>
              </w:rPr>
            </w:pPr>
          </w:p>
        </w:tc>
        <w:tc>
          <w:tcPr>
            <w:tcW w:w="851" w:type="dxa"/>
            <w:vAlign w:val="center"/>
          </w:tcPr>
          <w:p>
            <w:pPr>
              <w:spacing w:line="5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761" w:type="dxa"/>
            <w:vAlign w:val="center"/>
          </w:tcPr>
          <w:p>
            <w:pPr>
              <w:spacing w:line="500" w:lineRule="exact"/>
              <w:jc w:val="center"/>
              <w:rPr>
                <w:rFonts w:ascii="宋体" w:hAnsi="宋体" w:cs="宋体"/>
                <w:szCs w:val="21"/>
              </w:rPr>
            </w:pPr>
            <w:r>
              <w:rPr>
                <w:rFonts w:hint="eastAsia" w:ascii="宋体" w:hAnsi="宋体" w:cs="宋体"/>
                <w:szCs w:val="21"/>
              </w:rPr>
              <w:t>2</w:t>
            </w:r>
          </w:p>
        </w:tc>
        <w:tc>
          <w:tcPr>
            <w:tcW w:w="2052" w:type="dxa"/>
            <w:vAlign w:val="center"/>
          </w:tcPr>
          <w:p>
            <w:pPr>
              <w:spacing w:line="500" w:lineRule="exact"/>
              <w:jc w:val="center"/>
              <w:rPr>
                <w:rFonts w:ascii="宋体" w:hAnsi="宋体" w:cs="宋体"/>
                <w:szCs w:val="21"/>
              </w:rPr>
            </w:pPr>
          </w:p>
        </w:tc>
        <w:tc>
          <w:tcPr>
            <w:tcW w:w="2565" w:type="dxa"/>
            <w:vAlign w:val="center"/>
          </w:tcPr>
          <w:p>
            <w:pPr>
              <w:spacing w:line="500" w:lineRule="exact"/>
              <w:jc w:val="center"/>
              <w:rPr>
                <w:rFonts w:ascii="宋体" w:hAnsi="宋体" w:cs="宋体"/>
                <w:szCs w:val="21"/>
              </w:rPr>
            </w:pPr>
          </w:p>
        </w:tc>
        <w:tc>
          <w:tcPr>
            <w:tcW w:w="2668" w:type="dxa"/>
            <w:vAlign w:val="center"/>
          </w:tcPr>
          <w:p>
            <w:pPr>
              <w:spacing w:line="500" w:lineRule="exact"/>
              <w:jc w:val="center"/>
              <w:rPr>
                <w:rFonts w:ascii="宋体" w:hAnsi="宋体" w:cs="宋体"/>
                <w:szCs w:val="21"/>
              </w:rPr>
            </w:pPr>
          </w:p>
        </w:tc>
        <w:tc>
          <w:tcPr>
            <w:tcW w:w="851" w:type="dxa"/>
            <w:vAlign w:val="center"/>
          </w:tcPr>
          <w:p>
            <w:pPr>
              <w:spacing w:line="5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761" w:type="dxa"/>
            <w:vAlign w:val="center"/>
          </w:tcPr>
          <w:p>
            <w:pPr>
              <w:spacing w:line="500" w:lineRule="exact"/>
              <w:jc w:val="center"/>
              <w:rPr>
                <w:rFonts w:ascii="宋体" w:hAnsi="宋体" w:cs="宋体"/>
                <w:szCs w:val="21"/>
              </w:rPr>
            </w:pPr>
            <w:r>
              <w:rPr>
                <w:rFonts w:hint="eastAsia" w:ascii="宋体" w:hAnsi="宋体" w:cs="宋体"/>
                <w:szCs w:val="21"/>
              </w:rPr>
              <w:t>3</w:t>
            </w:r>
          </w:p>
        </w:tc>
        <w:tc>
          <w:tcPr>
            <w:tcW w:w="2052" w:type="dxa"/>
            <w:vAlign w:val="center"/>
          </w:tcPr>
          <w:p>
            <w:pPr>
              <w:spacing w:line="500" w:lineRule="exact"/>
              <w:jc w:val="center"/>
              <w:rPr>
                <w:rFonts w:ascii="宋体" w:hAnsi="宋体" w:cs="宋体"/>
                <w:szCs w:val="21"/>
              </w:rPr>
            </w:pPr>
          </w:p>
        </w:tc>
        <w:tc>
          <w:tcPr>
            <w:tcW w:w="2565" w:type="dxa"/>
            <w:vAlign w:val="center"/>
          </w:tcPr>
          <w:p>
            <w:pPr>
              <w:spacing w:line="500" w:lineRule="exact"/>
              <w:jc w:val="center"/>
              <w:rPr>
                <w:rFonts w:ascii="宋体" w:hAnsi="宋体" w:cs="宋体"/>
                <w:szCs w:val="21"/>
              </w:rPr>
            </w:pPr>
          </w:p>
        </w:tc>
        <w:tc>
          <w:tcPr>
            <w:tcW w:w="2668" w:type="dxa"/>
            <w:vAlign w:val="center"/>
          </w:tcPr>
          <w:p>
            <w:pPr>
              <w:spacing w:line="500" w:lineRule="exact"/>
              <w:jc w:val="center"/>
              <w:rPr>
                <w:rFonts w:ascii="宋体" w:hAnsi="宋体" w:cs="宋体"/>
                <w:szCs w:val="21"/>
              </w:rPr>
            </w:pPr>
          </w:p>
        </w:tc>
        <w:tc>
          <w:tcPr>
            <w:tcW w:w="851" w:type="dxa"/>
            <w:vAlign w:val="center"/>
          </w:tcPr>
          <w:p>
            <w:pPr>
              <w:spacing w:line="5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761" w:type="dxa"/>
            <w:vAlign w:val="center"/>
          </w:tcPr>
          <w:p>
            <w:pPr>
              <w:spacing w:line="500" w:lineRule="exact"/>
              <w:jc w:val="center"/>
              <w:rPr>
                <w:rFonts w:ascii="宋体" w:hAnsi="宋体" w:cs="宋体"/>
                <w:szCs w:val="21"/>
              </w:rPr>
            </w:pPr>
            <w:r>
              <w:rPr>
                <w:rFonts w:hint="eastAsia" w:ascii="宋体" w:hAnsi="宋体" w:cs="宋体"/>
                <w:szCs w:val="21"/>
              </w:rPr>
              <w:t>4</w:t>
            </w:r>
          </w:p>
        </w:tc>
        <w:tc>
          <w:tcPr>
            <w:tcW w:w="2052" w:type="dxa"/>
            <w:vAlign w:val="center"/>
          </w:tcPr>
          <w:p>
            <w:pPr>
              <w:spacing w:line="500" w:lineRule="exact"/>
              <w:jc w:val="center"/>
              <w:rPr>
                <w:rFonts w:ascii="宋体" w:hAnsi="宋体" w:cs="宋体"/>
                <w:szCs w:val="21"/>
              </w:rPr>
            </w:pPr>
          </w:p>
        </w:tc>
        <w:tc>
          <w:tcPr>
            <w:tcW w:w="2565" w:type="dxa"/>
            <w:vAlign w:val="center"/>
          </w:tcPr>
          <w:p>
            <w:pPr>
              <w:spacing w:line="500" w:lineRule="exact"/>
              <w:jc w:val="center"/>
              <w:rPr>
                <w:rFonts w:ascii="宋体" w:hAnsi="宋体" w:cs="宋体"/>
                <w:szCs w:val="21"/>
              </w:rPr>
            </w:pPr>
          </w:p>
        </w:tc>
        <w:tc>
          <w:tcPr>
            <w:tcW w:w="2668" w:type="dxa"/>
            <w:vAlign w:val="center"/>
          </w:tcPr>
          <w:p>
            <w:pPr>
              <w:spacing w:line="500" w:lineRule="exact"/>
              <w:jc w:val="center"/>
              <w:rPr>
                <w:rFonts w:ascii="宋体" w:hAnsi="宋体" w:cs="宋体"/>
                <w:szCs w:val="21"/>
              </w:rPr>
            </w:pPr>
          </w:p>
        </w:tc>
        <w:tc>
          <w:tcPr>
            <w:tcW w:w="851" w:type="dxa"/>
            <w:vAlign w:val="center"/>
          </w:tcPr>
          <w:p>
            <w:pPr>
              <w:spacing w:line="5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761" w:type="dxa"/>
            <w:vAlign w:val="center"/>
          </w:tcPr>
          <w:p>
            <w:pPr>
              <w:spacing w:line="500" w:lineRule="exact"/>
              <w:jc w:val="center"/>
              <w:rPr>
                <w:rFonts w:ascii="宋体" w:hAnsi="宋体" w:cs="宋体"/>
                <w:szCs w:val="21"/>
              </w:rPr>
            </w:pPr>
            <w:r>
              <w:rPr>
                <w:rFonts w:hint="eastAsia" w:ascii="宋体" w:hAnsi="宋体" w:cs="宋体"/>
                <w:szCs w:val="21"/>
              </w:rPr>
              <w:t>5</w:t>
            </w:r>
          </w:p>
        </w:tc>
        <w:tc>
          <w:tcPr>
            <w:tcW w:w="2052" w:type="dxa"/>
            <w:vAlign w:val="center"/>
          </w:tcPr>
          <w:p>
            <w:pPr>
              <w:spacing w:line="500" w:lineRule="exact"/>
              <w:jc w:val="center"/>
              <w:rPr>
                <w:rFonts w:ascii="宋体" w:hAnsi="宋体" w:cs="宋体"/>
                <w:szCs w:val="21"/>
              </w:rPr>
            </w:pPr>
          </w:p>
        </w:tc>
        <w:tc>
          <w:tcPr>
            <w:tcW w:w="2565" w:type="dxa"/>
            <w:vAlign w:val="center"/>
          </w:tcPr>
          <w:p>
            <w:pPr>
              <w:spacing w:line="500" w:lineRule="exact"/>
              <w:jc w:val="center"/>
              <w:rPr>
                <w:rFonts w:ascii="宋体" w:hAnsi="宋体" w:cs="宋体"/>
                <w:szCs w:val="21"/>
              </w:rPr>
            </w:pPr>
          </w:p>
        </w:tc>
        <w:tc>
          <w:tcPr>
            <w:tcW w:w="2668" w:type="dxa"/>
            <w:vAlign w:val="center"/>
          </w:tcPr>
          <w:p>
            <w:pPr>
              <w:spacing w:line="500" w:lineRule="exact"/>
              <w:jc w:val="center"/>
              <w:rPr>
                <w:rFonts w:ascii="宋体" w:hAnsi="宋体" w:cs="宋体"/>
                <w:szCs w:val="21"/>
              </w:rPr>
            </w:pPr>
          </w:p>
        </w:tc>
        <w:tc>
          <w:tcPr>
            <w:tcW w:w="851" w:type="dxa"/>
            <w:vAlign w:val="center"/>
          </w:tcPr>
          <w:p>
            <w:pPr>
              <w:spacing w:line="5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761" w:type="dxa"/>
            <w:vAlign w:val="center"/>
          </w:tcPr>
          <w:p>
            <w:pPr>
              <w:spacing w:line="500" w:lineRule="exact"/>
              <w:jc w:val="center"/>
              <w:rPr>
                <w:rFonts w:ascii="宋体" w:hAnsi="宋体" w:cs="宋体"/>
                <w:szCs w:val="21"/>
              </w:rPr>
            </w:pPr>
            <w:r>
              <w:rPr>
                <w:rFonts w:hint="eastAsia" w:ascii="宋体" w:hAnsi="宋体" w:cs="宋体"/>
                <w:szCs w:val="21"/>
              </w:rPr>
              <w:t>6</w:t>
            </w:r>
          </w:p>
        </w:tc>
        <w:tc>
          <w:tcPr>
            <w:tcW w:w="2052" w:type="dxa"/>
            <w:vAlign w:val="center"/>
          </w:tcPr>
          <w:p>
            <w:pPr>
              <w:spacing w:line="500" w:lineRule="exact"/>
              <w:jc w:val="center"/>
              <w:rPr>
                <w:rFonts w:ascii="宋体" w:hAnsi="宋体" w:cs="宋体"/>
                <w:szCs w:val="21"/>
              </w:rPr>
            </w:pPr>
          </w:p>
        </w:tc>
        <w:tc>
          <w:tcPr>
            <w:tcW w:w="2565" w:type="dxa"/>
            <w:vAlign w:val="center"/>
          </w:tcPr>
          <w:p>
            <w:pPr>
              <w:spacing w:line="500" w:lineRule="exact"/>
              <w:jc w:val="center"/>
              <w:rPr>
                <w:rFonts w:ascii="宋体" w:hAnsi="宋体" w:cs="宋体"/>
                <w:szCs w:val="21"/>
              </w:rPr>
            </w:pPr>
          </w:p>
        </w:tc>
        <w:tc>
          <w:tcPr>
            <w:tcW w:w="2668" w:type="dxa"/>
            <w:vAlign w:val="center"/>
          </w:tcPr>
          <w:p>
            <w:pPr>
              <w:spacing w:line="500" w:lineRule="exact"/>
              <w:jc w:val="center"/>
              <w:rPr>
                <w:rFonts w:ascii="宋体" w:hAnsi="宋体" w:cs="宋体"/>
                <w:szCs w:val="21"/>
              </w:rPr>
            </w:pPr>
          </w:p>
        </w:tc>
        <w:tc>
          <w:tcPr>
            <w:tcW w:w="851" w:type="dxa"/>
            <w:vAlign w:val="center"/>
          </w:tcPr>
          <w:p>
            <w:pPr>
              <w:spacing w:line="5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761" w:type="dxa"/>
            <w:vAlign w:val="center"/>
          </w:tcPr>
          <w:p>
            <w:pPr>
              <w:spacing w:line="500" w:lineRule="exact"/>
              <w:jc w:val="center"/>
              <w:rPr>
                <w:rFonts w:ascii="宋体" w:hAnsi="宋体" w:cs="宋体"/>
                <w:szCs w:val="21"/>
              </w:rPr>
            </w:pPr>
            <w:r>
              <w:rPr>
                <w:rFonts w:hint="eastAsia" w:ascii="宋体" w:hAnsi="宋体" w:cs="宋体"/>
                <w:szCs w:val="21"/>
              </w:rPr>
              <w:t>7</w:t>
            </w:r>
          </w:p>
        </w:tc>
        <w:tc>
          <w:tcPr>
            <w:tcW w:w="2052" w:type="dxa"/>
            <w:vAlign w:val="center"/>
          </w:tcPr>
          <w:p>
            <w:pPr>
              <w:spacing w:line="500" w:lineRule="exact"/>
              <w:jc w:val="center"/>
              <w:rPr>
                <w:rFonts w:ascii="宋体" w:hAnsi="宋体" w:cs="宋体"/>
                <w:szCs w:val="21"/>
              </w:rPr>
            </w:pPr>
          </w:p>
        </w:tc>
        <w:tc>
          <w:tcPr>
            <w:tcW w:w="2565" w:type="dxa"/>
            <w:vAlign w:val="center"/>
          </w:tcPr>
          <w:p>
            <w:pPr>
              <w:spacing w:line="500" w:lineRule="exact"/>
              <w:jc w:val="center"/>
              <w:rPr>
                <w:rFonts w:ascii="宋体" w:hAnsi="宋体" w:cs="宋体"/>
                <w:szCs w:val="21"/>
              </w:rPr>
            </w:pPr>
          </w:p>
        </w:tc>
        <w:tc>
          <w:tcPr>
            <w:tcW w:w="2668" w:type="dxa"/>
            <w:vAlign w:val="center"/>
          </w:tcPr>
          <w:p>
            <w:pPr>
              <w:spacing w:line="500" w:lineRule="exact"/>
              <w:jc w:val="center"/>
              <w:rPr>
                <w:rFonts w:ascii="宋体" w:hAnsi="宋体" w:cs="宋体"/>
                <w:szCs w:val="21"/>
              </w:rPr>
            </w:pPr>
          </w:p>
        </w:tc>
        <w:tc>
          <w:tcPr>
            <w:tcW w:w="851" w:type="dxa"/>
            <w:vAlign w:val="center"/>
          </w:tcPr>
          <w:p>
            <w:pPr>
              <w:spacing w:line="5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761" w:type="dxa"/>
            <w:vAlign w:val="center"/>
          </w:tcPr>
          <w:p>
            <w:pPr>
              <w:spacing w:line="500" w:lineRule="exact"/>
              <w:jc w:val="center"/>
              <w:rPr>
                <w:rFonts w:ascii="宋体" w:hAnsi="宋体" w:cs="宋体"/>
                <w:szCs w:val="21"/>
              </w:rPr>
            </w:pPr>
            <w:r>
              <w:rPr>
                <w:rFonts w:hint="eastAsia" w:ascii="宋体" w:hAnsi="宋体" w:cs="宋体"/>
                <w:szCs w:val="21"/>
              </w:rPr>
              <w:t>8</w:t>
            </w:r>
          </w:p>
        </w:tc>
        <w:tc>
          <w:tcPr>
            <w:tcW w:w="2052" w:type="dxa"/>
            <w:vAlign w:val="center"/>
          </w:tcPr>
          <w:p>
            <w:pPr>
              <w:spacing w:line="500" w:lineRule="exact"/>
              <w:jc w:val="center"/>
              <w:rPr>
                <w:rFonts w:ascii="宋体" w:hAnsi="宋体" w:cs="宋体"/>
                <w:szCs w:val="21"/>
              </w:rPr>
            </w:pPr>
          </w:p>
        </w:tc>
        <w:tc>
          <w:tcPr>
            <w:tcW w:w="2565" w:type="dxa"/>
            <w:vAlign w:val="center"/>
          </w:tcPr>
          <w:p>
            <w:pPr>
              <w:spacing w:line="500" w:lineRule="exact"/>
              <w:jc w:val="center"/>
              <w:rPr>
                <w:rFonts w:ascii="宋体" w:hAnsi="宋体" w:cs="宋体"/>
                <w:szCs w:val="21"/>
              </w:rPr>
            </w:pPr>
          </w:p>
        </w:tc>
        <w:tc>
          <w:tcPr>
            <w:tcW w:w="2668" w:type="dxa"/>
            <w:vAlign w:val="center"/>
          </w:tcPr>
          <w:p>
            <w:pPr>
              <w:spacing w:line="500" w:lineRule="exact"/>
              <w:jc w:val="center"/>
              <w:rPr>
                <w:rFonts w:ascii="宋体" w:hAnsi="宋体" w:cs="宋体"/>
                <w:szCs w:val="21"/>
              </w:rPr>
            </w:pPr>
          </w:p>
        </w:tc>
        <w:tc>
          <w:tcPr>
            <w:tcW w:w="851" w:type="dxa"/>
            <w:vAlign w:val="center"/>
          </w:tcPr>
          <w:p>
            <w:pPr>
              <w:spacing w:line="5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761" w:type="dxa"/>
            <w:vAlign w:val="center"/>
          </w:tcPr>
          <w:p>
            <w:pPr>
              <w:spacing w:line="500" w:lineRule="exact"/>
              <w:jc w:val="center"/>
              <w:rPr>
                <w:rFonts w:ascii="宋体" w:hAnsi="宋体" w:cs="宋体"/>
                <w:szCs w:val="21"/>
              </w:rPr>
            </w:pPr>
            <w:r>
              <w:rPr>
                <w:rFonts w:hint="eastAsia" w:ascii="宋体" w:hAnsi="宋体" w:cs="宋体"/>
                <w:szCs w:val="21"/>
              </w:rPr>
              <w:t>...</w:t>
            </w:r>
          </w:p>
        </w:tc>
        <w:tc>
          <w:tcPr>
            <w:tcW w:w="2052" w:type="dxa"/>
            <w:vAlign w:val="center"/>
          </w:tcPr>
          <w:p>
            <w:pPr>
              <w:spacing w:line="500" w:lineRule="exact"/>
              <w:jc w:val="center"/>
              <w:rPr>
                <w:rFonts w:ascii="宋体" w:hAnsi="宋体" w:cs="宋体"/>
                <w:szCs w:val="21"/>
              </w:rPr>
            </w:pPr>
          </w:p>
        </w:tc>
        <w:tc>
          <w:tcPr>
            <w:tcW w:w="2565" w:type="dxa"/>
            <w:vAlign w:val="center"/>
          </w:tcPr>
          <w:p>
            <w:pPr>
              <w:spacing w:line="500" w:lineRule="exact"/>
              <w:jc w:val="center"/>
              <w:rPr>
                <w:rFonts w:ascii="宋体" w:hAnsi="宋体" w:cs="宋体"/>
                <w:szCs w:val="21"/>
              </w:rPr>
            </w:pPr>
          </w:p>
        </w:tc>
        <w:tc>
          <w:tcPr>
            <w:tcW w:w="2668" w:type="dxa"/>
            <w:vAlign w:val="center"/>
          </w:tcPr>
          <w:p>
            <w:pPr>
              <w:spacing w:line="500" w:lineRule="exact"/>
              <w:jc w:val="center"/>
              <w:rPr>
                <w:rFonts w:ascii="宋体" w:hAnsi="宋体" w:cs="宋体"/>
                <w:szCs w:val="21"/>
              </w:rPr>
            </w:pPr>
          </w:p>
        </w:tc>
        <w:tc>
          <w:tcPr>
            <w:tcW w:w="851" w:type="dxa"/>
            <w:vAlign w:val="center"/>
          </w:tcPr>
          <w:p>
            <w:pPr>
              <w:spacing w:line="500" w:lineRule="exact"/>
              <w:jc w:val="center"/>
              <w:rPr>
                <w:rFonts w:ascii="宋体" w:hAnsi="宋体" w:cs="宋体"/>
                <w:szCs w:val="21"/>
              </w:rPr>
            </w:pPr>
          </w:p>
        </w:tc>
      </w:tr>
    </w:tbl>
    <w:p>
      <w:pPr>
        <w:snapToGrid w:val="0"/>
        <w:spacing w:before="50" w:after="120" w:afterLines="50" w:line="360" w:lineRule="auto"/>
        <w:jc w:val="left"/>
        <w:rPr>
          <w:rFonts w:ascii="宋体" w:hAnsi="宋体" w:cs="宋体"/>
          <w:b/>
          <w:bCs/>
          <w:color w:val="000000" w:themeColor="text1"/>
          <w:szCs w:val="21"/>
          <w14:textFill>
            <w14:solidFill>
              <w14:schemeClr w14:val="tx1"/>
            </w14:solidFill>
          </w14:textFill>
        </w:rPr>
      </w:pPr>
    </w:p>
    <w:p>
      <w:pPr>
        <w:snapToGrid w:val="0"/>
        <w:spacing w:before="50" w:after="120" w:afterLines="50" w:line="360" w:lineRule="auto"/>
        <w:jc w:val="left"/>
        <w:rPr>
          <w:rFonts w:ascii="宋体" w:hAnsi="宋体" w:cs="宋体"/>
          <w:b/>
          <w:bCs/>
          <w:color w:val="000000" w:themeColor="text1"/>
          <w:szCs w:val="21"/>
          <w14:textFill>
            <w14:solidFill>
              <w14:schemeClr w14:val="tx1"/>
            </w14:solidFill>
          </w14:textFill>
        </w:rPr>
        <w:sectPr>
          <w:pgSz w:w="11906" w:h="16838"/>
          <w:pgMar w:top="1474" w:right="1797" w:bottom="1247" w:left="1797" w:header="851" w:footer="851" w:gutter="0"/>
          <w:pgNumType w:fmt="decimal"/>
          <w:cols w:space="720" w:num="1"/>
          <w:titlePg/>
          <w:docGrid w:linePitch="312" w:charSpace="0"/>
        </w:sectPr>
      </w:pPr>
    </w:p>
    <w:p>
      <w:pPr>
        <w:snapToGrid w:val="0"/>
        <w:spacing w:before="50" w:after="120" w:afterLines="50"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lang w:val="en-US" w:eastAsia="zh-CN"/>
          <w14:textFill>
            <w14:solidFill>
              <w14:schemeClr w14:val="tx1"/>
            </w14:solidFill>
          </w14:textFill>
        </w:rPr>
        <w:t>8</w:t>
      </w:r>
      <w:r>
        <w:rPr>
          <w:rFonts w:hint="eastAsia" w:ascii="宋体" w:hAnsi="宋体" w:cs="宋体"/>
          <w:b/>
          <w:bCs/>
          <w:color w:val="000000" w:themeColor="text1"/>
          <w:szCs w:val="21"/>
          <w14:textFill>
            <w14:solidFill>
              <w14:schemeClr w14:val="tx1"/>
            </w14:solidFill>
          </w14:textFill>
        </w:rPr>
        <w:t>.招标需求响应表</w:t>
      </w:r>
    </w:p>
    <w:p>
      <w:pPr>
        <w:snapToGrid w:val="0"/>
        <w:spacing w:before="50" w:after="120" w:afterLines="5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招标需求响应表</w:t>
      </w:r>
    </w:p>
    <w:p>
      <w:pPr>
        <w:snapToGrid w:val="0"/>
        <w:spacing w:before="50" w:line="360" w:lineRule="auto"/>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项目编号：</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项目名称：</w:t>
      </w:r>
      <w:r>
        <w:rPr>
          <w:rFonts w:hint="eastAsia" w:ascii="宋体" w:hAnsi="宋体" w:cs="宋体"/>
          <w:color w:val="000000" w:themeColor="text1"/>
          <w:szCs w:val="21"/>
          <w:u w:val="single"/>
          <w14:textFill>
            <w14:solidFill>
              <w14:schemeClr w14:val="tx1"/>
            </w14:solidFill>
          </w14:textFill>
        </w:rPr>
        <w:t xml:space="preserve">                             </w:t>
      </w:r>
    </w:p>
    <w:tbl>
      <w:tblPr>
        <w:tblStyle w:val="46"/>
        <w:tblW w:w="8528" w:type="dxa"/>
        <w:tblInd w:w="-11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3549"/>
        <w:gridCol w:w="1230"/>
        <w:gridCol w:w="22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8" w:hRule="atLeast"/>
          <w:tblHeader/>
        </w:trPr>
        <w:tc>
          <w:tcPr>
            <w:tcW w:w="1548"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w:t>
            </w:r>
          </w:p>
        </w:tc>
        <w:tc>
          <w:tcPr>
            <w:tcW w:w="3549"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招标文件要求</w:t>
            </w:r>
          </w:p>
        </w:tc>
        <w:tc>
          <w:tcPr>
            <w:tcW w:w="1230"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是否响应</w:t>
            </w:r>
          </w:p>
        </w:tc>
        <w:tc>
          <w:tcPr>
            <w:tcW w:w="2201"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1548" w:type="dxa"/>
            <w:tcBorders>
              <w:top w:val="single" w:color="auto" w:sz="4" w:space="0"/>
              <w:left w:val="single" w:color="auto" w:sz="4" w:space="0"/>
              <w:right w:val="single" w:color="auto" w:sz="4" w:space="0"/>
            </w:tcBorders>
            <w:vAlign w:val="center"/>
          </w:tcPr>
          <w:p>
            <w:pPr>
              <w:spacing w:line="440" w:lineRule="exact"/>
              <w:jc w:val="center"/>
              <w:rPr>
                <w:rFonts w:ascii="宋体" w:hAnsi="宋体" w:cs="宋体"/>
                <w:color w:val="000000" w:themeColor="text1"/>
                <w14:textFill>
                  <w14:solidFill>
                    <w14:schemeClr w14:val="tx1"/>
                  </w14:solidFill>
                </w14:textFill>
              </w:rPr>
            </w:pPr>
          </w:p>
        </w:tc>
        <w:tc>
          <w:tcPr>
            <w:tcW w:w="3549"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rPr>
                <w:rFonts w:ascii="宋体" w:hAnsi="宋体" w:cs="宋体"/>
                <w:color w:val="000000" w:themeColor="text1"/>
                <w:szCs w:val="21"/>
                <w14:textFill>
                  <w14:solidFill>
                    <w14:schemeClr w14:val="tx1"/>
                  </w14:solidFill>
                </w14:textFill>
              </w:rPr>
            </w:pPr>
          </w:p>
        </w:tc>
        <w:tc>
          <w:tcPr>
            <w:tcW w:w="1230"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cs="宋体"/>
                <w:color w:val="000000" w:themeColor="text1"/>
                <w:szCs w:val="21"/>
                <w14:textFill>
                  <w14:solidFill>
                    <w14:schemeClr w14:val="tx1"/>
                  </w14:solidFill>
                </w14:textFill>
              </w:rPr>
            </w:pPr>
          </w:p>
        </w:tc>
        <w:tc>
          <w:tcPr>
            <w:tcW w:w="2201"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1548" w:type="dxa"/>
            <w:tcBorders>
              <w:top w:val="single" w:color="auto" w:sz="4" w:space="0"/>
              <w:left w:val="single" w:color="auto" w:sz="4" w:space="0"/>
              <w:right w:val="single" w:color="auto" w:sz="4" w:space="0"/>
            </w:tcBorders>
            <w:vAlign w:val="center"/>
          </w:tcPr>
          <w:p>
            <w:pPr>
              <w:spacing w:line="440" w:lineRule="exact"/>
              <w:jc w:val="center"/>
              <w:rPr>
                <w:rFonts w:ascii="宋体" w:hAnsi="宋体" w:cs="宋体"/>
                <w:color w:val="000000" w:themeColor="text1"/>
                <w:szCs w:val="21"/>
                <w14:textFill>
                  <w14:solidFill>
                    <w14:schemeClr w14:val="tx1"/>
                  </w14:solidFill>
                </w14:textFill>
              </w:rPr>
            </w:pPr>
          </w:p>
        </w:tc>
        <w:tc>
          <w:tcPr>
            <w:tcW w:w="3549"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rPr>
                <w:rFonts w:ascii="宋体" w:hAnsi="宋体" w:cs="宋体"/>
                <w:color w:val="000000" w:themeColor="text1"/>
                <w:szCs w:val="21"/>
                <w14:textFill>
                  <w14:solidFill>
                    <w14:schemeClr w14:val="tx1"/>
                  </w14:solidFill>
                </w14:textFill>
              </w:rPr>
            </w:pPr>
          </w:p>
        </w:tc>
        <w:tc>
          <w:tcPr>
            <w:tcW w:w="1230" w:type="dxa"/>
            <w:tcBorders>
              <w:top w:val="single" w:color="auto" w:sz="4" w:space="0"/>
              <w:left w:val="single" w:color="auto" w:sz="4" w:space="0"/>
              <w:bottom w:val="single" w:color="auto" w:sz="4" w:space="0"/>
              <w:right w:val="single" w:color="auto" w:sz="4" w:space="0"/>
            </w:tcBorders>
          </w:tcPr>
          <w:p>
            <w:pPr>
              <w:snapToGrid w:val="0"/>
              <w:spacing w:line="440" w:lineRule="exact"/>
              <w:rPr>
                <w:rFonts w:ascii="宋体" w:hAnsi="宋体" w:cs="宋体"/>
                <w:color w:val="000000" w:themeColor="text1"/>
                <w:szCs w:val="21"/>
                <w14:textFill>
                  <w14:solidFill>
                    <w14:schemeClr w14:val="tx1"/>
                  </w14:solidFill>
                </w14:textFill>
              </w:rPr>
            </w:pPr>
          </w:p>
        </w:tc>
        <w:tc>
          <w:tcPr>
            <w:tcW w:w="2201" w:type="dxa"/>
            <w:tcBorders>
              <w:top w:val="single" w:color="auto" w:sz="4" w:space="0"/>
              <w:left w:val="single" w:color="auto" w:sz="4" w:space="0"/>
              <w:bottom w:val="single" w:color="auto" w:sz="4" w:space="0"/>
              <w:right w:val="single" w:color="auto" w:sz="4" w:space="0"/>
            </w:tcBorders>
          </w:tcPr>
          <w:p>
            <w:pPr>
              <w:snapToGrid w:val="0"/>
              <w:spacing w:line="440" w:lineRule="exac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themeColor="text1"/>
                <w:szCs w:val="21"/>
                <w14:textFill>
                  <w14:solidFill>
                    <w14:schemeClr w14:val="tx1"/>
                  </w14:solidFill>
                </w14:textFill>
              </w:rPr>
            </w:pPr>
          </w:p>
        </w:tc>
        <w:tc>
          <w:tcPr>
            <w:tcW w:w="3549"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rPr>
                <w:rFonts w:ascii="宋体" w:hAnsi="宋体" w:cs="宋体"/>
                <w:color w:val="000000" w:themeColor="text1"/>
                <w:szCs w:val="21"/>
                <w14:textFill>
                  <w14:solidFill>
                    <w14:schemeClr w14:val="tx1"/>
                  </w14:solidFill>
                </w14:textFill>
              </w:rPr>
            </w:pPr>
          </w:p>
        </w:tc>
        <w:tc>
          <w:tcPr>
            <w:tcW w:w="1230" w:type="dxa"/>
            <w:tcBorders>
              <w:top w:val="single" w:color="auto" w:sz="4" w:space="0"/>
              <w:left w:val="single" w:color="auto" w:sz="4" w:space="0"/>
              <w:bottom w:val="single" w:color="auto" w:sz="4" w:space="0"/>
              <w:right w:val="single" w:color="auto" w:sz="4" w:space="0"/>
            </w:tcBorders>
          </w:tcPr>
          <w:p>
            <w:pPr>
              <w:snapToGrid w:val="0"/>
              <w:spacing w:line="440" w:lineRule="exact"/>
              <w:rPr>
                <w:rFonts w:ascii="宋体" w:hAnsi="宋体" w:cs="宋体"/>
                <w:color w:val="000000" w:themeColor="text1"/>
                <w:szCs w:val="21"/>
                <w14:textFill>
                  <w14:solidFill>
                    <w14:schemeClr w14:val="tx1"/>
                  </w14:solidFill>
                </w14:textFill>
              </w:rPr>
            </w:pPr>
          </w:p>
        </w:tc>
        <w:tc>
          <w:tcPr>
            <w:tcW w:w="2201"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themeColor="text1"/>
                <w:szCs w:val="21"/>
                <w14:textFill>
                  <w14:solidFill>
                    <w14:schemeClr w14:val="tx1"/>
                  </w14:solidFill>
                </w14:textFill>
              </w:rPr>
            </w:pPr>
          </w:p>
        </w:tc>
        <w:tc>
          <w:tcPr>
            <w:tcW w:w="3549"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rPr>
                <w:rFonts w:ascii="宋体" w:hAnsi="宋体" w:cs="宋体"/>
                <w:color w:val="000000" w:themeColor="text1"/>
                <w:szCs w:val="21"/>
                <w14:textFill>
                  <w14:solidFill>
                    <w14:schemeClr w14:val="tx1"/>
                  </w14:solidFill>
                </w14:textFill>
              </w:rPr>
            </w:pPr>
          </w:p>
        </w:tc>
        <w:tc>
          <w:tcPr>
            <w:tcW w:w="1230" w:type="dxa"/>
            <w:tcBorders>
              <w:top w:val="single" w:color="auto" w:sz="4" w:space="0"/>
              <w:left w:val="single" w:color="auto" w:sz="4" w:space="0"/>
              <w:bottom w:val="single" w:color="auto" w:sz="4" w:space="0"/>
              <w:right w:val="single" w:color="auto" w:sz="4" w:space="0"/>
            </w:tcBorders>
          </w:tcPr>
          <w:p>
            <w:pPr>
              <w:snapToGrid w:val="0"/>
              <w:spacing w:line="440" w:lineRule="exact"/>
              <w:rPr>
                <w:rFonts w:ascii="宋体" w:hAnsi="宋体" w:cs="宋体"/>
                <w:color w:val="000000" w:themeColor="text1"/>
                <w:szCs w:val="21"/>
                <w14:textFill>
                  <w14:solidFill>
                    <w14:schemeClr w14:val="tx1"/>
                  </w14:solidFill>
                </w14:textFill>
              </w:rPr>
            </w:pPr>
          </w:p>
        </w:tc>
        <w:tc>
          <w:tcPr>
            <w:tcW w:w="2201"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themeColor="text1"/>
                <w:szCs w:val="21"/>
                <w14:textFill>
                  <w14:solidFill>
                    <w14:schemeClr w14:val="tx1"/>
                  </w14:solidFill>
                </w14:textFill>
              </w:rPr>
            </w:pPr>
          </w:p>
        </w:tc>
        <w:tc>
          <w:tcPr>
            <w:tcW w:w="3549"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rPr>
                <w:rFonts w:ascii="宋体" w:hAnsi="宋体" w:cs="宋体"/>
                <w:color w:val="000000" w:themeColor="text1"/>
                <w:szCs w:val="21"/>
                <w14:textFill>
                  <w14:solidFill>
                    <w14:schemeClr w14:val="tx1"/>
                  </w14:solidFill>
                </w14:textFill>
              </w:rPr>
            </w:pPr>
          </w:p>
        </w:tc>
        <w:tc>
          <w:tcPr>
            <w:tcW w:w="1230" w:type="dxa"/>
            <w:tcBorders>
              <w:top w:val="single" w:color="auto" w:sz="4" w:space="0"/>
              <w:left w:val="single" w:color="auto" w:sz="4" w:space="0"/>
              <w:bottom w:val="single" w:color="auto" w:sz="4" w:space="0"/>
              <w:right w:val="single" w:color="auto" w:sz="4" w:space="0"/>
            </w:tcBorders>
          </w:tcPr>
          <w:p>
            <w:pPr>
              <w:snapToGrid w:val="0"/>
              <w:spacing w:line="440" w:lineRule="exact"/>
              <w:rPr>
                <w:rFonts w:ascii="宋体" w:hAnsi="宋体" w:cs="宋体"/>
                <w:color w:val="000000" w:themeColor="text1"/>
                <w:szCs w:val="21"/>
                <w14:textFill>
                  <w14:solidFill>
                    <w14:schemeClr w14:val="tx1"/>
                  </w14:solidFill>
                </w14:textFill>
              </w:rPr>
            </w:pPr>
          </w:p>
        </w:tc>
        <w:tc>
          <w:tcPr>
            <w:tcW w:w="2201"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themeColor="text1"/>
                <w:szCs w:val="21"/>
                <w14:textFill>
                  <w14:solidFill>
                    <w14:schemeClr w14:val="tx1"/>
                  </w14:solidFill>
                </w14:textFill>
              </w:rPr>
            </w:pPr>
          </w:p>
        </w:tc>
        <w:tc>
          <w:tcPr>
            <w:tcW w:w="3549"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rPr>
                <w:rFonts w:ascii="宋体" w:hAnsi="宋体" w:cs="宋体"/>
                <w:color w:val="000000" w:themeColor="text1"/>
                <w:szCs w:val="21"/>
                <w14:textFill>
                  <w14:solidFill>
                    <w14:schemeClr w14:val="tx1"/>
                  </w14:solidFill>
                </w14:textFill>
              </w:rPr>
            </w:pPr>
          </w:p>
        </w:tc>
        <w:tc>
          <w:tcPr>
            <w:tcW w:w="1230" w:type="dxa"/>
            <w:tcBorders>
              <w:top w:val="single" w:color="auto" w:sz="4" w:space="0"/>
              <w:left w:val="single" w:color="auto" w:sz="4" w:space="0"/>
              <w:bottom w:val="single" w:color="auto" w:sz="4" w:space="0"/>
              <w:right w:val="single" w:color="auto" w:sz="4" w:space="0"/>
            </w:tcBorders>
          </w:tcPr>
          <w:p>
            <w:pPr>
              <w:snapToGrid w:val="0"/>
              <w:spacing w:line="440" w:lineRule="exact"/>
              <w:rPr>
                <w:rFonts w:ascii="宋体" w:hAnsi="宋体" w:cs="宋体"/>
                <w:color w:val="000000" w:themeColor="text1"/>
                <w:szCs w:val="21"/>
                <w14:textFill>
                  <w14:solidFill>
                    <w14:schemeClr w14:val="tx1"/>
                  </w14:solidFill>
                </w14:textFill>
              </w:rPr>
            </w:pPr>
          </w:p>
        </w:tc>
        <w:tc>
          <w:tcPr>
            <w:tcW w:w="2201"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themeColor="text1"/>
                <w:szCs w:val="21"/>
                <w14:textFill>
                  <w14:solidFill>
                    <w14:schemeClr w14:val="tx1"/>
                  </w14:solidFill>
                </w14:textFill>
              </w:rPr>
            </w:pPr>
          </w:p>
        </w:tc>
        <w:tc>
          <w:tcPr>
            <w:tcW w:w="3549"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rPr>
                <w:rFonts w:ascii="宋体" w:hAnsi="宋体" w:cs="宋体"/>
                <w:color w:val="000000" w:themeColor="text1"/>
                <w:szCs w:val="21"/>
                <w14:textFill>
                  <w14:solidFill>
                    <w14:schemeClr w14:val="tx1"/>
                  </w14:solidFill>
                </w14:textFill>
              </w:rPr>
            </w:pPr>
          </w:p>
        </w:tc>
        <w:tc>
          <w:tcPr>
            <w:tcW w:w="1230" w:type="dxa"/>
            <w:tcBorders>
              <w:top w:val="single" w:color="auto" w:sz="4" w:space="0"/>
              <w:left w:val="single" w:color="auto" w:sz="4" w:space="0"/>
              <w:bottom w:val="single" w:color="auto" w:sz="4" w:space="0"/>
              <w:right w:val="single" w:color="auto" w:sz="4" w:space="0"/>
            </w:tcBorders>
          </w:tcPr>
          <w:p>
            <w:pPr>
              <w:snapToGrid w:val="0"/>
              <w:spacing w:line="440" w:lineRule="exact"/>
              <w:rPr>
                <w:rFonts w:ascii="宋体" w:hAnsi="宋体" w:cs="宋体"/>
                <w:color w:val="000000" w:themeColor="text1"/>
                <w:szCs w:val="21"/>
                <w14:textFill>
                  <w14:solidFill>
                    <w14:schemeClr w14:val="tx1"/>
                  </w14:solidFill>
                </w14:textFill>
              </w:rPr>
            </w:pPr>
          </w:p>
        </w:tc>
        <w:tc>
          <w:tcPr>
            <w:tcW w:w="2201"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themeColor="text1"/>
                <w:szCs w:val="21"/>
                <w14:textFill>
                  <w14:solidFill>
                    <w14:schemeClr w14:val="tx1"/>
                  </w14:solidFill>
                </w14:textFill>
              </w:rPr>
            </w:pPr>
          </w:p>
        </w:tc>
        <w:tc>
          <w:tcPr>
            <w:tcW w:w="3549"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rPr>
                <w:rFonts w:ascii="宋体" w:hAnsi="宋体" w:cs="宋体"/>
                <w:color w:val="000000" w:themeColor="text1"/>
                <w:szCs w:val="21"/>
                <w14:textFill>
                  <w14:solidFill>
                    <w14:schemeClr w14:val="tx1"/>
                  </w14:solidFill>
                </w14:textFill>
              </w:rPr>
            </w:pPr>
          </w:p>
        </w:tc>
        <w:tc>
          <w:tcPr>
            <w:tcW w:w="1230" w:type="dxa"/>
            <w:tcBorders>
              <w:top w:val="single" w:color="auto" w:sz="4" w:space="0"/>
              <w:left w:val="single" w:color="auto" w:sz="4" w:space="0"/>
              <w:bottom w:val="single" w:color="auto" w:sz="4" w:space="0"/>
              <w:right w:val="single" w:color="auto" w:sz="4" w:space="0"/>
            </w:tcBorders>
          </w:tcPr>
          <w:p>
            <w:pPr>
              <w:snapToGrid w:val="0"/>
              <w:spacing w:line="440" w:lineRule="exact"/>
              <w:rPr>
                <w:rFonts w:ascii="宋体" w:hAnsi="宋体" w:cs="宋体"/>
                <w:color w:val="000000" w:themeColor="text1"/>
                <w:szCs w:val="21"/>
                <w14:textFill>
                  <w14:solidFill>
                    <w14:schemeClr w14:val="tx1"/>
                  </w14:solidFill>
                </w14:textFill>
              </w:rPr>
            </w:pPr>
          </w:p>
        </w:tc>
        <w:tc>
          <w:tcPr>
            <w:tcW w:w="2201"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cs="宋体"/>
                <w:color w:val="000000" w:themeColor="text1"/>
                <w:szCs w:val="21"/>
                <w14:textFill>
                  <w14:solidFill>
                    <w14:schemeClr w14:val="tx1"/>
                  </w14:solidFill>
                </w14:textFill>
              </w:rPr>
            </w:pPr>
          </w:p>
        </w:tc>
      </w:tr>
    </w:tbl>
    <w:p>
      <w:pPr>
        <w:pStyle w:val="14"/>
        <w:snapToGrid w:val="0"/>
        <w:spacing w:line="360" w:lineRule="auto"/>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注：</w:t>
      </w:r>
      <w:r>
        <w:rPr>
          <w:rFonts w:hint="eastAsia" w:ascii="宋体" w:hAnsi="宋体" w:eastAsia="宋体" w:cs="宋体"/>
          <w:b/>
          <w:bCs/>
          <w:color w:val="000000" w:themeColor="text1"/>
          <w:sz w:val="21"/>
          <w:szCs w:val="21"/>
          <w14:textFill>
            <w14:solidFill>
              <w14:schemeClr w14:val="tx1"/>
            </w14:solidFill>
          </w14:textFill>
        </w:rPr>
        <w:t>对“第二章  招标需求 二、项目服务内容需求”的内容进行响应</w:t>
      </w:r>
      <w:r>
        <w:rPr>
          <w:rFonts w:hint="eastAsia" w:ascii="宋体" w:hAnsi="宋体" w:eastAsia="宋体" w:cs="宋体"/>
          <w:b/>
          <w:bCs/>
          <w:color w:val="000000" w:themeColor="text1"/>
          <w:sz w:val="21"/>
          <w:szCs w:val="21"/>
          <w:lang w:eastAsia="zh-CN"/>
          <w14:textFill>
            <w14:solidFill>
              <w14:schemeClr w14:val="tx1"/>
            </w14:solidFill>
          </w14:textFill>
        </w:rPr>
        <w:t>。</w:t>
      </w:r>
    </w:p>
    <w:p>
      <w:pPr>
        <w:pStyle w:val="14"/>
        <w:snapToGrid w:val="0"/>
        <w:spacing w:line="360" w:lineRule="auto"/>
        <w:rPr>
          <w:rFonts w:ascii="宋体" w:hAnsi="宋体" w:eastAsia="宋体" w:cs="宋体"/>
          <w:color w:val="000000" w:themeColor="text1"/>
          <w:sz w:val="21"/>
          <w:szCs w:val="21"/>
          <w14:textFill>
            <w14:solidFill>
              <w14:schemeClr w14:val="tx1"/>
            </w14:solidFill>
          </w14:textFill>
        </w:rPr>
      </w:pPr>
    </w:p>
    <w:p>
      <w:pPr>
        <w:pStyle w:val="14"/>
        <w:snapToGrid w:val="0"/>
        <w:spacing w:line="360" w:lineRule="auto"/>
        <w:rPr>
          <w:rFonts w:ascii="宋体" w:hAnsi="宋体" w:eastAsia="宋体" w:cs="宋体"/>
          <w:color w:val="000000" w:themeColor="text1"/>
          <w:sz w:val="21"/>
          <w:szCs w:val="21"/>
          <w14:textFill>
            <w14:solidFill>
              <w14:schemeClr w14:val="tx1"/>
            </w14:solidFill>
          </w14:textFill>
        </w:rPr>
      </w:pPr>
    </w:p>
    <w:p>
      <w:pPr>
        <w:pStyle w:val="14"/>
        <w:snapToGrid w:val="0"/>
        <w:spacing w:line="360" w:lineRule="auto"/>
        <w:rPr>
          <w:rFonts w:hint="default" w:ascii="宋体" w:hAnsi="宋体" w:eastAsia="宋体" w:cs="宋体"/>
          <w:color w:val="000000" w:themeColor="text1"/>
          <w:sz w:val="21"/>
          <w:szCs w:val="21"/>
          <w:u w:val="single"/>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法定代表人或授权代表签</w:t>
      </w:r>
      <w:r>
        <w:rPr>
          <w:rFonts w:hint="eastAsia" w:ascii="宋体" w:hAnsi="宋体" w:eastAsia="宋体" w:cs="宋体"/>
          <w:color w:val="000000" w:themeColor="text1"/>
          <w:sz w:val="21"/>
          <w:szCs w:val="21"/>
          <w:lang w:val="en-US" w:eastAsia="zh-CN"/>
          <w14:textFill>
            <w14:solidFill>
              <w14:schemeClr w14:val="tx1"/>
            </w14:solidFill>
          </w14:textFill>
        </w:rPr>
        <w:t>名（签字或签章）</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u w:val="single"/>
          <w:lang w:val="en-US" w:eastAsia="zh-CN"/>
          <w14:textFill>
            <w14:solidFill>
              <w14:schemeClr w14:val="tx1"/>
            </w14:solidFill>
          </w14:textFill>
        </w:rPr>
        <w:t xml:space="preserve">              </w:t>
      </w:r>
    </w:p>
    <w:p>
      <w:pPr>
        <w:snapToGrid w:val="0"/>
        <w:spacing w:before="50"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投标人名称（盖章）</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                       年    月  日</w:t>
      </w:r>
    </w:p>
    <w:p>
      <w:pPr>
        <w:spacing w:line="360" w:lineRule="auto"/>
        <w:rPr>
          <w:rFonts w:ascii="宋体" w:hAnsi="宋体" w:cs="宋体"/>
          <w:color w:val="000000" w:themeColor="text1"/>
          <w:szCs w:val="21"/>
          <w14:textFill>
            <w14:solidFill>
              <w14:schemeClr w14:val="tx1"/>
            </w14:solidFill>
          </w14:textFill>
        </w:rPr>
      </w:pPr>
    </w:p>
    <w:p>
      <w:pPr>
        <w:snapToGrid w:val="0"/>
        <w:spacing w:before="50" w:after="120" w:afterLines="50"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br w:type="page"/>
      </w:r>
      <w:r>
        <w:rPr>
          <w:rFonts w:hint="eastAsia" w:ascii="宋体" w:hAnsi="宋体" w:cs="宋体"/>
          <w:b/>
          <w:bCs/>
          <w:color w:val="000000" w:themeColor="text1"/>
          <w:szCs w:val="21"/>
          <w:lang w:val="en-US" w:eastAsia="zh-CN"/>
          <w14:textFill>
            <w14:solidFill>
              <w14:schemeClr w14:val="tx1"/>
            </w14:solidFill>
          </w14:textFill>
        </w:rPr>
        <w:t>9</w:t>
      </w:r>
      <w:r>
        <w:rPr>
          <w:rFonts w:hint="eastAsia" w:ascii="宋体" w:hAnsi="宋体" w:cs="宋体"/>
          <w:b/>
          <w:bCs/>
          <w:color w:val="000000" w:themeColor="text1"/>
          <w:szCs w:val="21"/>
          <w14:textFill>
            <w14:solidFill>
              <w14:schemeClr w14:val="tx1"/>
            </w14:solidFill>
          </w14:textFill>
        </w:rPr>
        <w:t>.商务要求响应表</w:t>
      </w:r>
    </w:p>
    <w:p>
      <w:pPr>
        <w:snapToGrid w:val="0"/>
        <w:spacing w:before="50" w:after="120" w:afterLines="50" w:line="360" w:lineRule="auto"/>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商务要求响应表</w:t>
      </w:r>
    </w:p>
    <w:p>
      <w:pPr>
        <w:snapToGrid w:val="0"/>
        <w:spacing w:before="50" w:line="360" w:lineRule="auto"/>
        <w:jc w:val="left"/>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项目编号：</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     项目名称：</w:t>
      </w:r>
      <w:r>
        <w:rPr>
          <w:rFonts w:hint="eastAsia" w:ascii="宋体" w:hAnsi="宋体" w:cs="宋体"/>
          <w:color w:val="000000" w:themeColor="text1"/>
          <w:szCs w:val="21"/>
          <w:u w:val="single"/>
          <w14:textFill>
            <w14:solidFill>
              <w14:schemeClr w14:val="tx1"/>
            </w14:solidFill>
          </w14:textFill>
        </w:rPr>
        <w:t xml:space="preserve">                             </w:t>
      </w:r>
    </w:p>
    <w:tbl>
      <w:tblPr>
        <w:tblStyle w:val="46"/>
        <w:tblW w:w="8528" w:type="dxa"/>
        <w:tblInd w:w="-11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05"/>
        <w:gridCol w:w="3292"/>
        <w:gridCol w:w="1107"/>
        <w:gridCol w:w="23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8" w:hRule="atLeast"/>
          <w:tblHeader/>
        </w:trPr>
        <w:tc>
          <w:tcPr>
            <w:tcW w:w="180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w:t>
            </w:r>
          </w:p>
        </w:tc>
        <w:tc>
          <w:tcPr>
            <w:tcW w:w="3292"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招标文件要求的商务条款</w:t>
            </w:r>
          </w:p>
        </w:tc>
        <w:tc>
          <w:tcPr>
            <w:tcW w:w="1107"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是否响应</w:t>
            </w:r>
          </w:p>
        </w:tc>
        <w:tc>
          <w:tcPr>
            <w:tcW w:w="232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1805" w:type="dxa"/>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服务期限</w:t>
            </w:r>
          </w:p>
          <w:p>
            <w:pPr>
              <w:spacing w:line="40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（合同履行期限）</w:t>
            </w:r>
          </w:p>
        </w:tc>
        <w:tc>
          <w:tcPr>
            <w:tcW w:w="3292"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rPr>
                <w:rFonts w:ascii="宋体" w:hAnsi="宋体" w:cs="宋体"/>
                <w:color w:val="000000" w:themeColor="text1"/>
                <w:szCs w:val="21"/>
                <w14:textFill>
                  <w14:solidFill>
                    <w14:schemeClr w14:val="tx1"/>
                  </w14:solidFill>
                </w14:textFill>
              </w:rPr>
            </w:pPr>
          </w:p>
        </w:tc>
        <w:tc>
          <w:tcPr>
            <w:tcW w:w="1107"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cs="宋体"/>
                <w:color w:val="000000" w:themeColor="text1"/>
                <w:szCs w:val="21"/>
                <w14:textFill>
                  <w14:solidFill>
                    <w14:schemeClr w14:val="tx1"/>
                  </w14:solidFill>
                </w14:textFill>
              </w:rPr>
            </w:pPr>
          </w:p>
        </w:tc>
        <w:tc>
          <w:tcPr>
            <w:tcW w:w="232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18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szCs w:val="21"/>
              </w:rPr>
              <w:t>付款方式</w:t>
            </w:r>
          </w:p>
        </w:tc>
        <w:tc>
          <w:tcPr>
            <w:tcW w:w="3292"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rPr>
                <w:rFonts w:ascii="宋体" w:hAnsi="宋体" w:cs="宋体"/>
                <w:color w:val="000000" w:themeColor="text1"/>
                <w:szCs w:val="21"/>
                <w14:textFill>
                  <w14:solidFill>
                    <w14:schemeClr w14:val="tx1"/>
                  </w14:solidFill>
                </w14:textFill>
              </w:rPr>
            </w:pPr>
          </w:p>
        </w:tc>
        <w:tc>
          <w:tcPr>
            <w:tcW w:w="1107" w:type="dxa"/>
            <w:tcBorders>
              <w:top w:val="single" w:color="auto" w:sz="4" w:space="0"/>
              <w:left w:val="single" w:color="auto" w:sz="4" w:space="0"/>
              <w:bottom w:val="single" w:color="auto" w:sz="4" w:space="0"/>
              <w:right w:val="single" w:color="auto" w:sz="4" w:space="0"/>
            </w:tcBorders>
          </w:tcPr>
          <w:p>
            <w:pPr>
              <w:snapToGrid w:val="0"/>
              <w:spacing w:line="440" w:lineRule="exact"/>
              <w:rPr>
                <w:rFonts w:ascii="宋体" w:hAnsi="宋体" w:cs="宋体"/>
                <w:color w:val="000000" w:themeColor="text1"/>
                <w:szCs w:val="21"/>
                <w14:textFill>
                  <w14:solidFill>
                    <w14:schemeClr w14:val="tx1"/>
                  </w14:solidFill>
                </w14:textFill>
              </w:rPr>
            </w:pPr>
          </w:p>
        </w:tc>
        <w:tc>
          <w:tcPr>
            <w:tcW w:w="232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18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Cs w:val="21"/>
                <w:lang w:val="en-US" w:eastAsia="zh-CN"/>
              </w:rPr>
            </w:pPr>
            <w:r>
              <w:rPr>
                <w:rFonts w:hint="eastAsia" w:ascii="宋体" w:hAnsi="宋体" w:cs="宋体"/>
                <w:szCs w:val="21"/>
                <w:lang w:val="en-US" w:eastAsia="zh-CN"/>
              </w:rPr>
              <w:t>质保期</w:t>
            </w:r>
          </w:p>
        </w:tc>
        <w:tc>
          <w:tcPr>
            <w:tcW w:w="3292"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rPr>
                <w:rFonts w:ascii="宋体" w:hAnsi="宋体" w:cs="宋体"/>
                <w:color w:val="000000" w:themeColor="text1"/>
                <w:szCs w:val="21"/>
                <w14:textFill>
                  <w14:solidFill>
                    <w14:schemeClr w14:val="tx1"/>
                  </w14:solidFill>
                </w14:textFill>
              </w:rPr>
            </w:pPr>
          </w:p>
        </w:tc>
        <w:tc>
          <w:tcPr>
            <w:tcW w:w="1107" w:type="dxa"/>
            <w:tcBorders>
              <w:top w:val="single" w:color="auto" w:sz="4" w:space="0"/>
              <w:left w:val="single" w:color="auto" w:sz="4" w:space="0"/>
              <w:bottom w:val="single" w:color="auto" w:sz="4" w:space="0"/>
              <w:right w:val="single" w:color="auto" w:sz="4" w:space="0"/>
            </w:tcBorders>
          </w:tcPr>
          <w:p>
            <w:pPr>
              <w:snapToGrid w:val="0"/>
              <w:spacing w:line="440" w:lineRule="exact"/>
              <w:rPr>
                <w:rFonts w:ascii="宋体" w:hAnsi="宋体" w:cs="宋体"/>
                <w:color w:val="000000" w:themeColor="text1"/>
                <w:szCs w:val="21"/>
                <w14:textFill>
                  <w14:solidFill>
                    <w14:schemeClr w14:val="tx1"/>
                  </w14:solidFill>
                </w14:textFill>
              </w:rPr>
            </w:pPr>
          </w:p>
        </w:tc>
        <w:tc>
          <w:tcPr>
            <w:tcW w:w="232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18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验收</w:t>
            </w:r>
          </w:p>
        </w:tc>
        <w:tc>
          <w:tcPr>
            <w:tcW w:w="3292"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rPr>
                <w:rFonts w:ascii="宋体" w:hAnsi="宋体" w:cs="宋体"/>
                <w:color w:val="000000" w:themeColor="text1"/>
                <w:szCs w:val="21"/>
                <w14:textFill>
                  <w14:solidFill>
                    <w14:schemeClr w14:val="tx1"/>
                  </w14:solidFill>
                </w14:textFill>
              </w:rPr>
            </w:pPr>
          </w:p>
        </w:tc>
        <w:tc>
          <w:tcPr>
            <w:tcW w:w="1107" w:type="dxa"/>
            <w:tcBorders>
              <w:top w:val="single" w:color="auto" w:sz="4" w:space="0"/>
              <w:left w:val="single" w:color="auto" w:sz="4" w:space="0"/>
              <w:bottom w:val="single" w:color="auto" w:sz="4" w:space="0"/>
              <w:right w:val="single" w:color="auto" w:sz="4" w:space="0"/>
            </w:tcBorders>
          </w:tcPr>
          <w:p>
            <w:pPr>
              <w:snapToGrid w:val="0"/>
              <w:spacing w:line="440" w:lineRule="exact"/>
              <w:rPr>
                <w:rFonts w:ascii="宋体" w:hAnsi="宋体" w:cs="宋体"/>
                <w:color w:val="000000" w:themeColor="text1"/>
                <w:szCs w:val="21"/>
                <w14:textFill>
                  <w14:solidFill>
                    <w14:schemeClr w14:val="tx1"/>
                  </w14:solidFill>
                </w14:textFill>
              </w:rPr>
            </w:pPr>
          </w:p>
        </w:tc>
        <w:tc>
          <w:tcPr>
            <w:tcW w:w="232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18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cs="宋体"/>
                <w:szCs w:val="21"/>
                <w:lang w:val="en-US" w:eastAsia="zh-CN"/>
              </w:rPr>
            </w:pPr>
            <w:r>
              <w:rPr>
                <w:rFonts w:hint="eastAsia" w:ascii="宋体" w:hAnsi="宋体" w:cs="宋体"/>
                <w:szCs w:val="21"/>
                <w:lang w:val="en-US" w:eastAsia="zh-CN"/>
              </w:rPr>
              <w:t>培训</w:t>
            </w:r>
          </w:p>
        </w:tc>
        <w:tc>
          <w:tcPr>
            <w:tcW w:w="3292"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rPr>
                <w:rFonts w:ascii="宋体" w:hAnsi="宋体" w:cs="宋体"/>
                <w:color w:val="000000" w:themeColor="text1"/>
                <w:szCs w:val="21"/>
                <w14:textFill>
                  <w14:solidFill>
                    <w14:schemeClr w14:val="tx1"/>
                  </w14:solidFill>
                </w14:textFill>
              </w:rPr>
            </w:pPr>
          </w:p>
        </w:tc>
        <w:tc>
          <w:tcPr>
            <w:tcW w:w="1107" w:type="dxa"/>
            <w:tcBorders>
              <w:top w:val="single" w:color="auto" w:sz="4" w:space="0"/>
              <w:left w:val="single" w:color="auto" w:sz="4" w:space="0"/>
              <w:bottom w:val="single" w:color="auto" w:sz="4" w:space="0"/>
              <w:right w:val="single" w:color="auto" w:sz="4" w:space="0"/>
            </w:tcBorders>
          </w:tcPr>
          <w:p>
            <w:pPr>
              <w:snapToGrid w:val="0"/>
              <w:spacing w:line="440" w:lineRule="exact"/>
              <w:rPr>
                <w:rFonts w:ascii="宋体" w:hAnsi="宋体" w:cs="宋体"/>
                <w:color w:val="000000" w:themeColor="text1"/>
                <w:szCs w:val="21"/>
                <w14:textFill>
                  <w14:solidFill>
                    <w14:schemeClr w14:val="tx1"/>
                  </w14:solidFill>
                </w14:textFill>
              </w:rPr>
            </w:pPr>
          </w:p>
        </w:tc>
        <w:tc>
          <w:tcPr>
            <w:tcW w:w="232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18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cs="宋体"/>
                <w:szCs w:val="21"/>
                <w:lang w:val="en-US" w:eastAsia="zh-CN"/>
              </w:rPr>
            </w:pPr>
            <w:r>
              <w:rPr>
                <w:rFonts w:hint="eastAsia" w:ascii="宋体" w:hAnsi="宋体" w:cs="宋体"/>
                <w:szCs w:val="21"/>
                <w:lang w:val="en-US" w:eastAsia="zh-CN"/>
              </w:rPr>
              <w:t>合同终止</w:t>
            </w:r>
          </w:p>
        </w:tc>
        <w:tc>
          <w:tcPr>
            <w:tcW w:w="3292"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rPr>
                <w:rFonts w:ascii="宋体" w:hAnsi="宋体" w:cs="宋体"/>
                <w:color w:val="000000" w:themeColor="text1"/>
                <w:szCs w:val="21"/>
                <w14:textFill>
                  <w14:solidFill>
                    <w14:schemeClr w14:val="tx1"/>
                  </w14:solidFill>
                </w14:textFill>
              </w:rPr>
            </w:pPr>
          </w:p>
        </w:tc>
        <w:tc>
          <w:tcPr>
            <w:tcW w:w="1107" w:type="dxa"/>
            <w:tcBorders>
              <w:top w:val="single" w:color="auto" w:sz="4" w:space="0"/>
              <w:left w:val="single" w:color="auto" w:sz="4" w:space="0"/>
              <w:bottom w:val="single" w:color="auto" w:sz="4" w:space="0"/>
              <w:right w:val="single" w:color="auto" w:sz="4" w:space="0"/>
            </w:tcBorders>
          </w:tcPr>
          <w:p>
            <w:pPr>
              <w:snapToGrid w:val="0"/>
              <w:spacing w:line="440" w:lineRule="exact"/>
              <w:rPr>
                <w:rFonts w:ascii="宋体" w:hAnsi="宋体" w:cs="宋体"/>
                <w:color w:val="000000" w:themeColor="text1"/>
                <w:szCs w:val="21"/>
                <w14:textFill>
                  <w14:solidFill>
                    <w14:schemeClr w14:val="tx1"/>
                  </w14:solidFill>
                </w14:textFill>
              </w:rPr>
            </w:pPr>
          </w:p>
        </w:tc>
        <w:tc>
          <w:tcPr>
            <w:tcW w:w="232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18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投标报价及费用</w:t>
            </w:r>
          </w:p>
        </w:tc>
        <w:tc>
          <w:tcPr>
            <w:tcW w:w="3292"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rPr>
                <w:rFonts w:ascii="宋体" w:hAnsi="宋体" w:cs="宋体"/>
                <w:color w:val="000000" w:themeColor="text1"/>
                <w:szCs w:val="21"/>
                <w14:textFill>
                  <w14:solidFill>
                    <w14:schemeClr w14:val="tx1"/>
                  </w14:solidFill>
                </w14:textFill>
              </w:rPr>
            </w:pPr>
          </w:p>
        </w:tc>
        <w:tc>
          <w:tcPr>
            <w:tcW w:w="1107" w:type="dxa"/>
            <w:tcBorders>
              <w:top w:val="single" w:color="auto" w:sz="4" w:space="0"/>
              <w:left w:val="single" w:color="auto" w:sz="4" w:space="0"/>
              <w:bottom w:val="single" w:color="auto" w:sz="4" w:space="0"/>
              <w:right w:val="single" w:color="auto" w:sz="4" w:space="0"/>
            </w:tcBorders>
          </w:tcPr>
          <w:p>
            <w:pPr>
              <w:snapToGrid w:val="0"/>
              <w:spacing w:line="440" w:lineRule="exact"/>
              <w:rPr>
                <w:rFonts w:ascii="宋体" w:hAnsi="宋体" w:cs="宋体"/>
                <w:color w:val="000000" w:themeColor="text1"/>
                <w:szCs w:val="21"/>
                <w14:textFill>
                  <w14:solidFill>
                    <w14:schemeClr w14:val="tx1"/>
                  </w14:solidFill>
                </w14:textFill>
              </w:rPr>
            </w:pPr>
          </w:p>
        </w:tc>
        <w:tc>
          <w:tcPr>
            <w:tcW w:w="232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18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投标文件有效期</w:t>
            </w:r>
          </w:p>
        </w:tc>
        <w:tc>
          <w:tcPr>
            <w:tcW w:w="3292"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rPr>
                <w:rFonts w:ascii="宋体" w:hAnsi="宋体" w:cs="宋体"/>
                <w:color w:val="000000" w:themeColor="text1"/>
                <w:szCs w:val="21"/>
                <w14:textFill>
                  <w14:solidFill>
                    <w14:schemeClr w14:val="tx1"/>
                  </w14:solidFill>
                </w14:textFill>
              </w:rPr>
            </w:pPr>
          </w:p>
        </w:tc>
        <w:tc>
          <w:tcPr>
            <w:tcW w:w="1107" w:type="dxa"/>
            <w:tcBorders>
              <w:top w:val="single" w:color="auto" w:sz="4" w:space="0"/>
              <w:left w:val="single" w:color="auto" w:sz="4" w:space="0"/>
              <w:bottom w:val="single" w:color="auto" w:sz="4" w:space="0"/>
              <w:right w:val="single" w:color="auto" w:sz="4" w:space="0"/>
            </w:tcBorders>
          </w:tcPr>
          <w:p>
            <w:pPr>
              <w:snapToGrid w:val="0"/>
              <w:spacing w:line="440" w:lineRule="exact"/>
              <w:rPr>
                <w:rFonts w:ascii="宋体" w:hAnsi="宋体" w:cs="宋体"/>
                <w:color w:val="000000" w:themeColor="text1"/>
                <w:szCs w:val="21"/>
                <w14:textFill>
                  <w14:solidFill>
                    <w14:schemeClr w14:val="tx1"/>
                  </w14:solidFill>
                </w14:textFill>
              </w:rPr>
            </w:pPr>
          </w:p>
        </w:tc>
        <w:tc>
          <w:tcPr>
            <w:tcW w:w="232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18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合同条款及其他</w:t>
            </w:r>
          </w:p>
        </w:tc>
        <w:tc>
          <w:tcPr>
            <w:tcW w:w="3292"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rPr>
                <w:rFonts w:ascii="宋体" w:hAnsi="宋体" w:cs="宋体"/>
                <w:color w:val="000000" w:themeColor="text1"/>
                <w:szCs w:val="21"/>
                <w14:textFill>
                  <w14:solidFill>
                    <w14:schemeClr w14:val="tx1"/>
                  </w14:solidFill>
                </w14:textFill>
              </w:rPr>
            </w:pPr>
          </w:p>
        </w:tc>
        <w:tc>
          <w:tcPr>
            <w:tcW w:w="1107" w:type="dxa"/>
            <w:tcBorders>
              <w:top w:val="single" w:color="auto" w:sz="4" w:space="0"/>
              <w:left w:val="single" w:color="auto" w:sz="4" w:space="0"/>
              <w:bottom w:val="single" w:color="auto" w:sz="4" w:space="0"/>
              <w:right w:val="single" w:color="auto" w:sz="4" w:space="0"/>
            </w:tcBorders>
          </w:tcPr>
          <w:p>
            <w:pPr>
              <w:snapToGrid w:val="0"/>
              <w:spacing w:line="440" w:lineRule="exact"/>
              <w:rPr>
                <w:rFonts w:ascii="宋体" w:hAnsi="宋体" w:cs="宋体"/>
                <w:color w:val="000000" w:themeColor="text1"/>
                <w:szCs w:val="21"/>
                <w14:textFill>
                  <w14:solidFill>
                    <w14:schemeClr w14:val="tx1"/>
                  </w14:solidFill>
                </w14:textFill>
              </w:rPr>
            </w:pPr>
          </w:p>
        </w:tc>
        <w:tc>
          <w:tcPr>
            <w:tcW w:w="232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1805" w:type="dxa"/>
            <w:tcBorders>
              <w:top w:val="single" w:color="auto" w:sz="4" w:space="0"/>
              <w:left w:val="single" w:color="auto" w:sz="4" w:space="0"/>
              <w:right w:val="single" w:color="auto" w:sz="4" w:space="0"/>
            </w:tcBorders>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3292"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rPr>
                <w:rFonts w:ascii="宋体" w:hAnsi="宋体" w:cs="宋体"/>
                <w:color w:val="000000" w:themeColor="text1"/>
                <w:szCs w:val="21"/>
                <w14:textFill>
                  <w14:solidFill>
                    <w14:schemeClr w14:val="tx1"/>
                  </w14:solidFill>
                </w14:textFill>
              </w:rPr>
            </w:pPr>
          </w:p>
        </w:tc>
        <w:tc>
          <w:tcPr>
            <w:tcW w:w="1107" w:type="dxa"/>
            <w:tcBorders>
              <w:top w:val="single" w:color="auto" w:sz="4" w:space="0"/>
              <w:left w:val="single" w:color="auto" w:sz="4" w:space="0"/>
              <w:bottom w:val="single" w:color="auto" w:sz="4" w:space="0"/>
              <w:right w:val="single" w:color="auto" w:sz="4" w:space="0"/>
            </w:tcBorders>
          </w:tcPr>
          <w:p>
            <w:pPr>
              <w:snapToGrid w:val="0"/>
              <w:spacing w:line="440" w:lineRule="exact"/>
              <w:rPr>
                <w:rFonts w:ascii="宋体" w:hAnsi="宋体" w:cs="宋体"/>
                <w:color w:val="000000" w:themeColor="text1"/>
                <w:szCs w:val="21"/>
                <w14:textFill>
                  <w14:solidFill>
                    <w14:schemeClr w14:val="tx1"/>
                  </w14:solidFill>
                </w14:textFill>
              </w:rPr>
            </w:pPr>
          </w:p>
        </w:tc>
        <w:tc>
          <w:tcPr>
            <w:tcW w:w="232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cs="宋体"/>
                <w:color w:val="000000" w:themeColor="text1"/>
                <w:szCs w:val="21"/>
                <w14:textFill>
                  <w14:solidFill>
                    <w14:schemeClr w14:val="tx1"/>
                  </w14:solidFill>
                </w14:textFill>
              </w:rPr>
            </w:pPr>
          </w:p>
        </w:tc>
      </w:tr>
    </w:tbl>
    <w:p>
      <w:pPr>
        <w:pStyle w:val="14"/>
        <w:snapToGrid w:val="0"/>
        <w:spacing w:line="360" w:lineRule="auto"/>
        <w:rPr>
          <w:rFonts w:ascii="宋体" w:hAnsi="宋体" w:eastAsia="宋体" w:cs="宋体"/>
          <w:color w:val="000000" w:themeColor="text1"/>
          <w:sz w:val="21"/>
          <w:szCs w:val="21"/>
          <w14:textFill>
            <w14:solidFill>
              <w14:schemeClr w14:val="tx1"/>
            </w14:solidFill>
          </w14:textFill>
        </w:rPr>
      </w:pPr>
    </w:p>
    <w:p>
      <w:pPr>
        <w:pStyle w:val="14"/>
        <w:snapToGrid w:val="0"/>
        <w:spacing w:line="360" w:lineRule="auto"/>
        <w:rPr>
          <w:rFonts w:ascii="宋体" w:hAnsi="宋体" w:eastAsia="宋体" w:cs="宋体"/>
          <w:color w:val="000000" w:themeColor="text1"/>
          <w:sz w:val="21"/>
          <w:szCs w:val="21"/>
          <w14:textFill>
            <w14:solidFill>
              <w14:schemeClr w14:val="tx1"/>
            </w14:solidFill>
          </w14:textFill>
        </w:rPr>
      </w:pPr>
    </w:p>
    <w:p>
      <w:pPr>
        <w:pStyle w:val="14"/>
        <w:snapToGrid w:val="0"/>
        <w:spacing w:line="360" w:lineRule="auto"/>
        <w:rPr>
          <w:rFonts w:hint="default" w:ascii="宋体" w:hAnsi="宋体" w:eastAsia="宋体" w:cs="宋体"/>
          <w:color w:val="000000" w:themeColor="text1"/>
          <w:sz w:val="21"/>
          <w:szCs w:val="21"/>
          <w:u w:val="single"/>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法定代表人或授权代表签</w:t>
      </w:r>
      <w:r>
        <w:rPr>
          <w:rFonts w:hint="eastAsia" w:ascii="宋体" w:hAnsi="宋体" w:eastAsia="宋体" w:cs="宋体"/>
          <w:color w:val="000000" w:themeColor="text1"/>
          <w:sz w:val="21"/>
          <w:szCs w:val="21"/>
          <w:lang w:val="en-US" w:eastAsia="zh-CN"/>
          <w14:textFill>
            <w14:solidFill>
              <w14:schemeClr w14:val="tx1"/>
            </w14:solidFill>
          </w14:textFill>
        </w:rPr>
        <w:t>名（签字或签章）</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u w:val="single"/>
          <w:lang w:val="en-US" w:eastAsia="zh-CN"/>
          <w14:textFill>
            <w14:solidFill>
              <w14:schemeClr w14:val="tx1"/>
            </w14:solidFill>
          </w14:textFill>
        </w:rPr>
        <w:t xml:space="preserve">           </w:t>
      </w:r>
    </w:p>
    <w:p>
      <w:pPr>
        <w:snapToGrid w:val="0"/>
        <w:spacing w:before="50"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投标人名称（盖章）</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                       年    月  日</w:t>
      </w:r>
    </w:p>
    <w:p>
      <w:pPr>
        <w:spacing w:line="360" w:lineRule="auto"/>
        <w:rPr>
          <w:rFonts w:ascii="宋体" w:hAnsi="宋体" w:cs="宋体"/>
          <w:color w:val="000000" w:themeColor="text1"/>
          <w:szCs w:val="21"/>
          <w14:textFill>
            <w14:solidFill>
              <w14:schemeClr w14:val="tx1"/>
            </w14:solidFill>
          </w14:textFill>
        </w:rPr>
        <w:sectPr>
          <w:pgSz w:w="11906" w:h="16838"/>
          <w:pgMar w:top="1474" w:right="1797" w:bottom="1247" w:left="1797" w:header="851" w:footer="851" w:gutter="0"/>
          <w:pgNumType w:fmt="decimal"/>
          <w:cols w:space="720" w:num="1"/>
          <w:titlePg/>
          <w:docGrid w:linePitch="312" w:charSpace="0"/>
        </w:sectPr>
      </w:pPr>
    </w:p>
    <w:p>
      <w:pPr>
        <w:snapToGrid w:val="0"/>
        <w:spacing w:before="50" w:after="120" w:afterLines="50" w:line="360" w:lineRule="auto"/>
        <w:jc w:val="left"/>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lang w:val="en-US" w:eastAsia="zh-CN"/>
          <w14:textFill>
            <w14:solidFill>
              <w14:schemeClr w14:val="tx1"/>
            </w14:solidFill>
          </w14:textFill>
        </w:rPr>
        <w:t>10</w:t>
      </w:r>
      <w:r>
        <w:rPr>
          <w:rFonts w:hint="eastAsia" w:ascii="宋体" w:hAnsi="宋体" w:cs="宋体"/>
          <w:b/>
          <w:bCs/>
          <w:color w:val="000000" w:themeColor="text1"/>
          <w:szCs w:val="21"/>
          <w14:textFill>
            <w14:solidFill>
              <w14:schemeClr w14:val="tx1"/>
            </w14:solidFill>
          </w14:textFill>
        </w:rPr>
        <w:t>.业绩一览表</w:t>
      </w:r>
    </w:p>
    <w:p>
      <w:pPr>
        <w:pStyle w:val="45"/>
        <w:ind w:firstLine="586"/>
        <w:jc w:val="center"/>
        <w:rPr>
          <w:rFonts w:hAnsi="宋体" w:cs="宋体"/>
          <w:b/>
          <w:bCs/>
          <w:color w:val="000000" w:themeColor="text1"/>
          <w:sz w:val="30"/>
          <w:szCs w:val="30"/>
          <w14:textFill>
            <w14:solidFill>
              <w14:schemeClr w14:val="tx1"/>
            </w14:solidFill>
          </w14:textFill>
        </w:rPr>
      </w:pPr>
      <w:r>
        <w:rPr>
          <w:rFonts w:hint="eastAsia" w:hAnsi="宋体" w:cs="宋体"/>
          <w:b/>
          <w:bCs/>
          <w:color w:val="000000" w:themeColor="text1"/>
          <w:sz w:val="30"/>
          <w:szCs w:val="30"/>
          <w14:textFill>
            <w14:solidFill>
              <w14:schemeClr w14:val="tx1"/>
            </w14:solidFill>
          </w14:textFill>
        </w:rPr>
        <w:t>业绩一览表</w:t>
      </w:r>
    </w:p>
    <w:tbl>
      <w:tblPr>
        <w:tblStyle w:val="46"/>
        <w:tblW w:w="14333" w:type="dxa"/>
        <w:tblInd w:w="-11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87"/>
        <w:gridCol w:w="4320"/>
        <w:gridCol w:w="2130"/>
        <w:gridCol w:w="3195"/>
        <w:gridCol w:w="24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228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采购单位名称</w:t>
            </w:r>
          </w:p>
        </w:tc>
        <w:tc>
          <w:tcPr>
            <w:tcW w:w="43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项目名称</w:t>
            </w:r>
          </w:p>
        </w:tc>
        <w:tc>
          <w:tcPr>
            <w:tcW w:w="213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合同签订时间</w:t>
            </w:r>
          </w:p>
        </w:tc>
        <w:tc>
          <w:tcPr>
            <w:tcW w:w="319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合同/采购内容</w:t>
            </w:r>
          </w:p>
        </w:tc>
        <w:tc>
          <w:tcPr>
            <w:tcW w:w="240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采购单位联系人及</w:t>
            </w:r>
          </w:p>
          <w:p>
            <w:pPr>
              <w:snapToGri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22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szCs w:val="21"/>
                <w14:textFill>
                  <w14:solidFill>
                    <w14:schemeClr w14:val="tx1"/>
                  </w14:solidFill>
                </w14:textFill>
              </w:rPr>
            </w:pPr>
          </w:p>
        </w:tc>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szCs w:val="21"/>
                <w14:textFill>
                  <w14:solidFill>
                    <w14:schemeClr w14:val="tx1"/>
                  </w14:solidFill>
                </w14:textFill>
              </w:rPr>
            </w:pPr>
          </w:p>
        </w:tc>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szCs w:val="21"/>
                <w14:textFill>
                  <w14:solidFill>
                    <w14:schemeClr w14:val="tx1"/>
                  </w14:solidFill>
                </w14:textFill>
              </w:rPr>
            </w:pPr>
          </w:p>
        </w:tc>
        <w:tc>
          <w:tcPr>
            <w:tcW w:w="31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szCs w:val="21"/>
                <w14:textFill>
                  <w14:solidFill>
                    <w14:schemeClr w14:val="tx1"/>
                  </w14:solidFill>
                </w14:textFill>
              </w:rPr>
            </w:pPr>
          </w:p>
        </w:tc>
        <w:tc>
          <w:tcPr>
            <w:tcW w:w="24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2287"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s="宋体"/>
                <w:color w:val="000000" w:themeColor="text1"/>
                <w:szCs w:val="21"/>
                <w14:textFill>
                  <w14:solidFill>
                    <w14:schemeClr w14:val="tx1"/>
                  </w14:solidFill>
                </w14:textFill>
              </w:rPr>
            </w:pPr>
          </w:p>
        </w:tc>
        <w:tc>
          <w:tcPr>
            <w:tcW w:w="432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s="宋体"/>
                <w:color w:val="000000" w:themeColor="text1"/>
                <w:szCs w:val="21"/>
                <w14:textFill>
                  <w14:solidFill>
                    <w14:schemeClr w14:val="tx1"/>
                  </w14:solidFill>
                </w14:textFill>
              </w:rPr>
            </w:pPr>
          </w:p>
        </w:tc>
        <w:tc>
          <w:tcPr>
            <w:tcW w:w="213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s="宋体"/>
                <w:color w:val="000000" w:themeColor="text1"/>
                <w:szCs w:val="21"/>
                <w14:textFill>
                  <w14:solidFill>
                    <w14:schemeClr w14:val="tx1"/>
                  </w14:solidFill>
                </w14:textFill>
              </w:rPr>
            </w:pPr>
          </w:p>
        </w:tc>
        <w:tc>
          <w:tcPr>
            <w:tcW w:w="3195"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s="宋体"/>
                <w:color w:val="000000" w:themeColor="text1"/>
                <w:szCs w:val="21"/>
                <w14:textFill>
                  <w14:solidFill>
                    <w14:schemeClr w14:val="tx1"/>
                  </w14:solidFill>
                </w14:textFill>
              </w:rPr>
            </w:pPr>
          </w:p>
        </w:tc>
        <w:tc>
          <w:tcPr>
            <w:tcW w:w="2401"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2287"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color w:val="000000" w:themeColor="text1"/>
                <w:szCs w:val="21"/>
                <w14:textFill>
                  <w14:solidFill>
                    <w14:schemeClr w14:val="tx1"/>
                  </w14:solidFill>
                </w14:textFill>
              </w:rPr>
            </w:pPr>
          </w:p>
        </w:tc>
        <w:tc>
          <w:tcPr>
            <w:tcW w:w="43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color w:val="000000" w:themeColor="text1"/>
                <w:szCs w:val="21"/>
                <w14:textFill>
                  <w14:solidFill>
                    <w14:schemeClr w14:val="tx1"/>
                  </w14:solidFill>
                </w14:textFill>
              </w:rPr>
            </w:pPr>
          </w:p>
        </w:tc>
        <w:tc>
          <w:tcPr>
            <w:tcW w:w="21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color w:val="000000" w:themeColor="text1"/>
                <w:szCs w:val="21"/>
                <w14:textFill>
                  <w14:solidFill>
                    <w14:schemeClr w14:val="tx1"/>
                  </w14:solidFill>
                </w14:textFill>
              </w:rPr>
            </w:pPr>
          </w:p>
        </w:tc>
        <w:tc>
          <w:tcPr>
            <w:tcW w:w="3195"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color w:val="000000" w:themeColor="text1"/>
                <w:szCs w:val="21"/>
                <w14:textFill>
                  <w14:solidFill>
                    <w14:schemeClr w14:val="tx1"/>
                  </w14:solidFill>
                </w14:textFill>
              </w:rPr>
            </w:pPr>
          </w:p>
        </w:tc>
        <w:tc>
          <w:tcPr>
            <w:tcW w:w="2401"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2287"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color w:val="000000" w:themeColor="text1"/>
                <w:szCs w:val="21"/>
                <w14:textFill>
                  <w14:solidFill>
                    <w14:schemeClr w14:val="tx1"/>
                  </w14:solidFill>
                </w14:textFill>
              </w:rPr>
            </w:pPr>
          </w:p>
        </w:tc>
        <w:tc>
          <w:tcPr>
            <w:tcW w:w="43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color w:val="000000" w:themeColor="text1"/>
                <w:szCs w:val="21"/>
                <w14:textFill>
                  <w14:solidFill>
                    <w14:schemeClr w14:val="tx1"/>
                  </w14:solidFill>
                </w14:textFill>
              </w:rPr>
            </w:pPr>
          </w:p>
        </w:tc>
        <w:tc>
          <w:tcPr>
            <w:tcW w:w="21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color w:val="000000" w:themeColor="text1"/>
                <w:szCs w:val="21"/>
                <w14:textFill>
                  <w14:solidFill>
                    <w14:schemeClr w14:val="tx1"/>
                  </w14:solidFill>
                </w14:textFill>
              </w:rPr>
            </w:pPr>
          </w:p>
        </w:tc>
        <w:tc>
          <w:tcPr>
            <w:tcW w:w="3195"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color w:val="000000" w:themeColor="text1"/>
                <w:szCs w:val="21"/>
                <w14:textFill>
                  <w14:solidFill>
                    <w14:schemeClr w14:val="tx1"/>
                  </w14:solidFill>
                </w14:textFill>
              </w:rPr>
            </w:pPr>
          </w:p>
        </w:tc>
        <w:tc>
          <w:tcPr>
            <w:tcW w:w="2401"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2287"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color w:val="000000" w:themeColor="text1"/>
                <w:szCs w:val="21"/>
                <w14:textFill>
                  <w14:solidFill>
                    <w14:schemeClr w14:val="tx1"/>
                  </w14:solidFill>
                </w14:textFill>
              </w:rPr>
            </w:pPr>
          </w:p>
        </w:tc>
        <w:tc>
          <w:tcPr>
            <w:tcW w:w="43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color w:val="000000" w:themeColor="text1"/>
                <w:szCs w:val="21"/>
                <w14:textFill>
                  <w14:solidFill>
                    <w14:schemeClr w14:val="tx1"/>
                  </w14:solidFill>
                </w14:textFill>
              </w:rPr>
            </w:pPr>
          </w:p>
        </w:tc>
        <w:tc>
          <w:tcPr>
            <w:tcW w:w="21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color w:val="000000" w:themeColor="text1"/>
                <w:szCs w:val="21"/>
                <w14:textFill>
                  <w14:solidFill>
                    <w14:schemeClr w14:val="tx1"/>
                  </w14:solidFill>
                </w14:textFill>
              </w:rPr>
            </w:pPr>
          </w:p>
        </w:tc>
        <w:tc>
          <w:tcPr>
            <w:tcW w:w="3195"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color w:val="000000" w:themeColor="text1"/>
                <w:szCs w:val="21"/>
                <w14:textFill>
                  <w14:solidFill>
                    <w14:schemeClr w14:val="tx1"/>
                  </w14:solidFill>
                </w14:textFill>
              </w:rPr>
            </w:pPr>
          </w:p>
        </w:tc>
        <w:tc>
          <w:tcPr>
            <w:tcW w:w="2401"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2287"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color w:val="000000" w:themeColor="text1"/>
                <w:szCs w:val="21"/>
                <w14:textFill>
                  <w14:solidFill>
                    <w14:schemeClr w14:val="tx1"/>
                  </w14:solidFill>
                </w14:textFill>
              </w:rPr>
            </w:pPr>
          </w:p>
        </w:tc>
        <w:tc>
          <w:tcPr>
            <w:tcW w:w="43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color w:val="000000" w:themeColor="text1"/>
                <w:szCs w:val="21"/>
                <w14:textFill>
                  <w14:solidFill>
                    <w14:schemeClr w14:val="tx1"/>
                  </w14:solidFill>
                </w14:textFill>
              </w:rPr>
            </w:pPr>
          </w:p>
        </w:tc>
        <w:tc>
          <w:tcPr>
            <w:tcW w:w="21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color w:val="000000" w:themeColor="text1"/>
                <w:szCs w:val="21"/>
                <w14:textFill>
                  <w14:solidFill>
                    <w14:schemeClr w14:val="tx1"/>
                  </w14:solidFill>
                </w14:textFill>
              </w:rPr>
            </w:pPr>
          </w:p>
        </w:tc>
        <w:tc>
          <w:tcPr>
            <w:tcW w:w="3195"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color w:val="000000" w:themeColor="text1"/>
                <w:szCs w:val="21"/>
                <w14:textFill>
                  <w14:solidFill>
                    <w14:schemeClr w14:val="tx1"/>
                  </w14:solidFill>
                </w14:textFill>
              </w:rPr>
            </w:pPr>
          </w:p>
        </w:tc>
        <w:tc>
          <w:tcPr>
            <w:tcW w:w="2401" w:type="dxa"/>
            <w:tcBorders>
              <w:top w:val="single" w:color="auto" w:sz="4" w:space="0"/>
              <w:left w:val="single" w:color="auto" w:sz="4" w:space="0"/>
              <w:bottom w:val="single" w:color="auto" w:sz="4" w:space="0"/>
              <w:right w:val="single" w:color="auto" w:sz="4" w:space="0"/>
            </w:tcBorders>
          </w:tcPr>
          <w:p>
            <w:pPr>
              <w:snapToGrid w:val="0"/>
              <w:spacing w:before="50" w:after="120" w:afterLines="50" w:line="360" w:lineRule="auto"/>
              <w:jc w:val="left"/>
              <w:rPr>
                <w:rFonts w:ascii="宋体" w:hAnsi="宋体" w:cs="宋体"/>
                <w:color w:val="000000" w:themeColor="text1"/>
                <w:szCs w:val="21"/>
                <w14:textFill>
                  <w14:solidFill>
                    <w14:schemeClr w14:val="tx1"/>
                  </w14:solidFill>
                </w14:textFill>
              </w:rPr>
            </w:pPr>
          </w:p>
        </w:tc>
      </w:tr>
    </w:tbl>
    <w:p>
      <w:pPr>
        <w:pStyle w:val="14"/>
        <w:snapToGrid w:val="0"/>
        <w:spacing w:line="360" w:lineRule="auto"/>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附：合同</w:t>
      </w:r>
      <w:r>
        <w:rPr>
          <w:rFonts w:hint="eastAsia" w:ascii="宋体" w:hAnsi="宋体" w:eastAsia="宋体" w:cs="宋体"/>
          <w:color w:val="000000" w:themeColor="text1"/>
          <w:sz w:val="21"/>
          <w:szCs w:val="21"/>
          <w:lang w:val="en-US" w:eastAsia="zh-CN"/>
          <w14:textFill>
            <w14:solidFill>
              <w14:schemeClr w14:val="tx1"/>
            </w14:solidFill>
          </w14:textFill>
        </w:rPr>
        <w:t>及发票</w:t>
      </w:r>
      <w:r>
        <w:rPr>
          <w:rFonts w:hint="eastAsia" w:ascii="宋体" w:hAnsi="宋体" w:eastAsia="宋体" w:cs="宋体"/>
          <w:color w:val="000000" w:themeColor="text1"/>
          <w:sz w:val="21"/>
          <w:szCs w:val="21"/>
          <w14:textFill>
            <w14:solidFill>
              <w14:schemeClr w14:val="tx1"/>
            </w14:solidFill>
          </w14:textFill>
        </w:rPr>
        <w:t>复印件加盖公章</w:t>
      </w:r>
    </w:p>
    <w:p>
      <w:pPr>
        <w:pStyle w:val="14"/>
        <w:snapToGrid w:val="0"/>
        <w:spacing w:line="360" w:lineRule="auto"/>
        <w:ind w:firstLine="420" w:firstLineChars="200"/>
        <w:rPr>
          <w:rFonts w:hint="default" w:ascii="宋体" w:hAnsi="宋体" w:eastAsia="宋体" w:cs="宋体"/>
          <w:color w:val="000000" w:themeColor="text1"/>
          <w:sz w:val="21"/>
          <w:szCs w:val="21"/>
          <w:u w:val="single"/>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法定代表人或授权代表签</w:t>
      </w:r>
      <w:r>
        <w:rPr>
          <w:rFonts w:hint="eastAsia" w:ascii="宋体" w:hAnsi="宋体" w:eastAsia="宋体" w:cs="宋体"/>
          <w:color w:val="000000" w:themeColor="text1"/>
          <w:sz w:val="21"/>
          <w:szCs w:val="21"/>
          <w:lang w:val="en-US" w:eastAsia="zh-CN"/>
          <w14:textFill>
            <w14:solidFill>
              <w14:schemeClr w14:val="tx1"/>
            </w14:solidFill>
          </w14:textFill>
        </w:rPr>
        <w:t>名</w:t>
      </w:r>
      <w:r>
        <w:rPr>
          <w:rFonts w:hint="eastAsia" w:ascii="宋体" w:hAnsi="宋体" w:eastAsia="宋体" w:cs="宋体"/>
          <w:color w:val="000000" w:themeColor="text1"/>
          <w:sz w:val="21"/>
          <w:szCs w:val="21"/>
          <w14:textFill>
            <w14:solidFill>
              <w14:schemeClr w14:val="tx1"/>
            </w14:solidFill>
          </w14:textFill>
        </w:rPr>
        <w:t>（签字或签章）：</w:t>
      </w:r>
      <w:r>
        <w:rPr>
          <w:rFonts w:hint="eastAsia" w:ascii="宋体" w:hAnsi="宋体" w:eastAsia="宋体" w:cs="宋体"/>
          <w:color w:val="000000" w:themeColor="text1"/>
          <w:sz w:val="21"/>
          <w:szCs w:val="21"/>
          <w:u w:val="single"/>
          <w:lang w:val="en-US" w:eastAsia="zh-CN"/>
          <w14:textFill>
            <w14:solidFill>
              <w14:schemeClr w14:val="tx1"/>
            </w14:solidFill>
          </w14:textFill>
        </w:rPr>
        <w:t xml:space="preserve">           </w:t>
      </w:r>
    </w:p>
    <w:p>
      <w:pPr>
        <w:snapToGrid w:val="0"/>
        <w:spacing w:before="50"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投标人名称（盖章）</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                                      年    月  日</w:t>
      </w:r>
    </w:p>
    <w:p>
      <w:pPr>
        <w:snapToGrid w:val="0"/>
        <w:spacing w:before="50" w:line="360" w:lineRule="auto"/>
        <w:ind w:firstLine="420" w:firstLineChars="200"/>
        <w:jc w:val="left"/>
        <w:rPr>
          <w:rFonts w:ascii="宋体" w:hAnsi="宋体" w:cs="宋体"/>
          <w:color w:val="000000" w:themeColor="text1"/>
          <w:szCs w:val="21"/>
          <w14:textFill>
            <w14:solidFill>
              <w14:schemeClr w14:val="tx1"/>
            </w14:solidFill>
          </w14:textFill>
        </w:rPr>
      </w:pPr>
    </w:p>
    <w:p>
      <w:pPr>
        <w:snapToGrid w:val="0"/>
        <w:spacing w:before="50" w:after="120" w:afterLines="50" w:line="360" w:lineRule="auto"/>
        <w:jc w:val="left"/>
        <w:rPr>
          <w:rFonts w:ascii="宋体" w:hAnsi="宋体" w:cs="宋体"/>
          <w:color w:val="000000" w:themeColor="text1"/>
          <w:szCs w:val="21"/>
          <w14:textFill>
            <w14:solidFill>
              <w14:schemeClr w14:val="tx1"/>
            </w14:solidFill>
          </w14:textFill>
        </w:rPr>
        <w:sectPr>
          <w:pgSz w:w="16838" w:h="11906" w:orient="landscape"/>
          <w:pgMar w:top="1797" w:right="1474" w:bottom="1797" w:left="1247" w:header="851" w:footer="851" w:gutter="0"/>
          <w:pgNumType w:fmt="decimal"/>
          <w:cols w:space="720" w:num="1"/>
          <w:docGrid w:linePitch="312" w:charSpace="0"/>
        </w:sectPr>
      </w:pPr>
    </w:p>
    <w:p>
      <w:pPr>
        <w:snapToGrid w:val="0"/>
        <w:spacing w:before="50"/>
        <w:jc w:val="left"/>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lang w:val="en-US" w:eastAsia="zh-CN"/>
          <w14:textFill>
            <w14:solidFill>
              <w14:schemeClr w14:val="tx1"/>
            </w14:solidFill>
          </w14:textFill>
        </w:rPr>
        <w:t>11</w:t>
      </w:r>
      <w:r>
        <w:rPr>
          <w:rFonts w:hint="eastAsia" w:ascii="宋体" w:hAnsi="宋体" w:cs="宋体"/>
          <w:b/>
          <w:bCs/>
          <w:color w:val="000000" w:themeColor="text1"/>
          <w:szCs w:val="21"/>
          <w14:textFill>
            <w14:solidFill>
              <w14:schemeClr w14:val="tx1"/>
            </w14:solidFill>
          </w14:textFill>
        </w:rPr>
        <w:t>.拟投入本项目的人员安排表</w:t>
      </w:r>
    </w:p>
    <w:p>
      <w:pPr>
        <w:snapToGrid w:val="0"/>
        <w:spacing w:before="50"/>
        <w:jc w:val="left"/>
        <w:rPr>
          <w:rFonts w:ascii="宋体" w:hAnsi="宋体" w:cs="宋体"/>
          <w:color w:val="000000" w:themeColor="text1"/>
          <w:szCs w:val="21"/>
          <w:highlight w:val="yellow"/>
          <w14:textFill>
            <w14:solidFill>
              <w14:schemeClr w14:val="tx1"/>
            </w14:solidFill>
          </w14:textFill>
        </w:rPr>
      </w:pPr>
    </w:p>
    <w:p>
      <w:pPr>
        <w:snapToGrid w:val="0"/>
        <w:spacing w:before="50" w:after="156" w:afterLines="50"/>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拟投入本项目的人员安排表</w:t>
      </w:r>
    </w:p>
    <w:tbl>
      <w:tblPr>
        <w:tblStyle w:val="46"/>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855"/>
        <w:gridCol w:w="855"/>
        <w:gridCol w:w="840"/>
        <w:gridCol w:w="1340"/>
        <w:gridCol w:w="1494"/>
        <w:gridCol w:w="1391"/>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 w:type="dxa"/>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部门</w:t>
            </w:r>
          </w:p>
        </w:tc>
        <w:tc>
          <w:tcPr>
            <w:tcW w:w="855" w:type="dxa"/>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姓</w:t>
            </w:r>
          </w:p>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名</w:t>
            </w:r>
          </w:p>
        </w:tc>
        <w:tc>
          <w:tcPr>
            <w:tcW w:w="855" w:type="dxa"/>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年</w:t>
            </w:r>
          </w:p>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龄</w:t>
            </w:r>
          </w:p>
        </w:tc>
        <w:tc>
          <w:tcPr>
            <w:tcW w:w="840" w:type="dxa"/>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学</w:t>
            </w:r>
          </w:p>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历</w:t>
            </w:r>
          </w:p>
        </w:tc>
        <w:tc>
          <w:tcPr>
            <w:tcW w:w="1340" w:type="dxa"/>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身份证号码</w:t>
            </w:r>
          </w:p>
        </w:tc>
        <w:tc>
          <w:tcPr>
            <w:tcW w:w="1494" w:type="dxa"/>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职称或职务</w:t>
            </w:r>
          </w:p>
        </w:tc>
        <w:tc>
          <w:tcPr>
            <w:tcW w:w="1391" w:type="dxa"/>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工作资历</w:t>
            </w:r>
          </w:p>
        </w:tc>
        <w:tc>
          <w:tcPr>
            <w:tcW w:w="1484" w:type="dxa"/>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925" w:type="dxa"/>
            <w:vMerge w:val="restart"/>
          </w:tcPr>
          <w:p>
            <w:pPr>
              <w:rPr>
                <w:rFonts w:ascii="宋体" w:hAnsi="宋体" w:cs="宋体"/>
                <w:color w:val="000000" w:themeColor="text1"/>
                <w:szCs w:val="21"/>
                <w14:textFill>
                  <w14:solidFill>
                    <w14:schemeClr w14:val="tx1"/>
                  </w14:solidFill>
                </w14:textFill>
              </w:rPr>
            </w:pPr>
          </w:p>
        </w:tc>
        <w:tc>
          <w:tcPr>
            <w:tcW w:w="855" w:type="dxa"/>
          </w:tcPr>
          <w:p>
            <w:pPr>
              <w:rPr>
                <w:rFonts w:ascii="宋体" w:hAnsi="宋体" w:cs="宋体"/>
                <w:color w:val="000000" w:themeColor="text1"/>
                <w:szCs w:val="21"/>
                <w14:textFill>
                  <w14:solidFill>
                    <w14:schemeClr w14:val="tx1"/>
                  </w14:solidFill>
                </w14:textFill>
              </w:rPr>
            </w:pPr>
          </w:p>
        </w:tc>
        <w:tc>
          <w:tcPr>
            <w:tcW w:w="855" w:type="dxa"/>
          </w:tcPr>
          <w:p>
            <w:pPr>
              <w:rPr>
                <w:rFonts w:ascii="宋体" w:hAnsi="宋体" w:cs="宋体"/>
                <w:color w:val="000000" w:themeColor="text1"/>
                <w:szCs w:val="21"/>
                <w14:textFill>
                  <w14:solidFill>
                    <w14:schemeClr w14:val="tx1"/>
                  </w14:solidFill>
                </w14:textFill>
              </w:rPr>
            </w:pPr>
          </w:p>
        </w:tc>
        <w:tc>
          <w:tcPr>
            <w:tcW w:w="840" w:type="dxa"/>
          </w:tcPr>
          <w:p>
            <w:pPr>
              <w:rPr>
                <w:rFonts w:ascii="宋体" w:hAnsi="宋体" w:cs="宋体"/>
                <w:color w:val="000000" w:themeColor="text1"/>
                <w:szCs w:val="21"/>
                <w14:textFill>
                  <w14:solidFill>
                    <w14:schemeClr w14:val="tx1"/>
                  </w14:solidFill>
                </w14:textFill>
              </w:rPr>
            </w:pPr>
          </w:p>
        </w:tc>
        <w:tc>
          <w:tcPr>
            <w:tcW w:w="1340" w:type="dxa"/>
          </w:tcPr>
          <w:p>
            <w:pPr>
              <w:rPr>
                <w:rFonts w:ascii="宋体" w:hAnsi="宋体" w:cs="宋体"/>
                <w:color w:val="000000" w:themeColor="text1"/>
                <w:szCs w:val="21"/>
                <w14:textFill>
                  <w14:solidFill>
                    <w14:schemeClr w14:val="tx1"/>
                  </w14:solidFill>
                </w14:textFill>
              </w:rPr>
            </w:pPr>
          </w:p>
        </w:tc>
        <w:tc>
          <w:tcPr>
            <w:tcW w:w="1494" w:type="dxa"/>
          </w:tcPr>
          <w:p>
            <w:pPr>
              <w:rPr>
                <w:rFonts w:ascii="宋体" w:hAnsi="宋体" w:cs="宋体"/>
                <w:color w:val="000000" w:themeColor="text1"/>
                <w:szCs w:val="21"/>
                <w14:textFill>
                  <w14:solidFill>
                    <w14:schemeClr w14:val="tx1"/>
                  </w14:solidFill>
                </w14:textFill>
              </w:rPr>
            </w:pPr>
          </w:p>
        </w:tc>
        <w:tc>
          <w:tcPr>
            <w:tcW w:w="1391" w:type="dxa"/>
          </w:tcPr>
          <w:p>
            <w:pPr>
              <w:rPr>
                <w:rFonts w:ascii="宋体" w:hAnsi="宋体" w:cs="宋体"/>
                <w:color w:val="000000" w:themeColor="text1"/>
                <w:szCs w:val="21"/>
                <w14:textFill>
                  <w14:solidFill>
                    <w14:schemeClr w14:val="tx1"/>
                  </w14:solidFill>
                </w14:textFill>
              </w:rPr>
            </w:pPr>
          </w:p>
        </w:tc>
        <w:tc>
          <w:tcPr>
            <w:tcW w:w="1484" w:type="dxa"/>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925" w:type="dxa"/>
            <w:vMerge w:val="continue"/>
          </w:tcPr>
          <w:p>
            <w:pPr>
              <w:rPr>
                <w:rFonts w:ascii="宋体" w:hAnsi="宋体" w:cs="宋体"/>
                <w:color w:val="000000" w:themeColor="text1"/>
                <w:szCs w:val="21"/>
                <w14:textFill>
                  <w14:solidFill>
                    <w14:schemeClr w14:val="tx1"/>
                  </w14:solidFill>
                </w14:textFill>
              </w:rPr>
            </w:pPr>
          </w:p>
        </w:tc>
        <w:tc>
          <w:tcPr>
            <w:tcW w:w="855" w:type="dxa"/>
          </w:tcPr>
          <w:p>
            <w:pPr>
              <w:rPr>
                <w:rFonts w:ascii="宋体" w:hAnsi="宋体" w:cs="宋体"/>
                <w:color w:val="000000" w:themeColor="text1"/>
                <w:szCs w:val="21"/>
                <w14:textFill>
                  <w14:solidFill>
                    <w14:schemeClr w14:val="tx1"/>
                  </w14:solidFill>
                </w14:textFill>
              </w:rPr>
            </w:pPr>
          </w:p>
        </w:tc>
        <w:tc>
          <w:tcPr>
            <w:tcW w:w="855" w:type="dxa"/>
          </w:tcPr>
          <w:p>
            <w:pPr>
              <w:rPr>
                <w:rFonts w:ascii="宋体" w:hAnsi="宋体" w:cs="宋体"/>
                <w:color w:val="000000" w:themeColor="text1"/>
                <w:szCs w:val="21"/>
                <w14:textFill>
                  <w14:solidFill>
                    <w14:schemeClr w14:val="tx1"/>
                  </w14:solidFill>
                </w14:textFill>
              </w:rPr>
            </w:pPr>
          </w:p>
        </w:tc>
        <w:tc>
          <w:tcPr>
            <w:tcW w:w="840" w:type="dxa"/>
          </w:tcPr>
          <w:p>
            <w:pPr>
              <w:rPr>
                <w:rFonts w:ascii="宋体" w:hAnsi="宋体" w:cs="宋体"/>
                <w:color w:val="000000" w:themeColor="text1"/>
                <w:szCs w:val="21"/>
                <w14:textFill>
                  <w14:solidFill>
                    <w14:schemeClr w14:val="tx1"/>
                  </w14:solidFill>
                </w14:textFill>
              </w:rPr>
            </w:pPr>
          </w:p>
        </w:tc>
        <w:tc>
          <w:tcPr>
            <w:tcW w:w="1340" w:type="dxa"/>
          </w:tcPr>
          <w:p>
            <w:pPr>
              <w:rPr>
                <w:rFonts w:ascii="宋体" w:hAnsi="宋体" w:cs="宋体"/>
                <w:color w:val="000000" w:themeColor="text1"/>
                <w:szCs w:val="21"/>
                <w14:textFill>
                  <w14:solidFill>
                    <w14:schemeClr w14:val="tx1"/>
                  </w14:solidFill>
                </w14:textFill>
              </w:rPr>
            </w:pPr>
          </w:p>
        </w:tc>
        <w:tc>
          <w:tcPr>
            <w:tcW w:w="1494" w:type="dxa"/>
          </w:tcPr>
          <w:p>
            <w:pPr>
              <w:rPr>
                <w:rFonts w:ascii="宋体" w:hAnsi="宋体" w:cs="宋体"/>
                <w:color w:val="000000" w:themeColor="text1"/>
                <w:szCs w:val="21"/>
                <w14:textFill>
                  <w14:solidFill>
                    <w14:schemeClr w14:val="tx1"/>
                  </w14:solidFill>
                </w14:textFill>
              </w:rPr>
            </w:pPr>
          </w:p>
        </w:tc>
        <w:tc>
          <w:tcPr>
            <w:tcW w:w="1391" w:type="dxa"/>
          </w:tcPr>
          <w:p>
            <w:pPr>
              <w:rPr>
                <w:rFonts w:ascii="宋体" w:hAnsi="宋体" w:cs="宋体"/>
                <w:color w:val="000000" w:themeColor="text1"/>
                <w:szCs w:val="21"/>
                <w14:textFill>
                  <w14:solidFill>
                    <w14:schemeClr w14:val="tx1"/>
                  </w14:solidFill>
                </w14:textFill>
              </w:rPr>
            </w:pPr>
          </w:p>
        </w:tc>
        <w:tc>
          <w:tcPr>
            <w:tcW w:w="1484" w:type="dxa"/>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925" w:type="dxa"/>
            <w:vMerge w:val="continue"/>
          </w:tcPr>
          <w:p>
            <w:pPr>
              <w:rPr>
                <w:rFonts w:ascii="宋体" w:hAnsi="宋体" w:cs="宋体"/>
                <w:color w:val="000000" w:themeColor="text1"/>
                <w:szCs w:val="21"/>
                <w14:textFill>
                  <w14:solidFill>
                    <w14:schemeClr w14:val="tx1"/>
                  </w14:solidFill>
                </w14:textFill>
              </w:rPr>
            </w:pPr>
          </w:p>
        </w:tc>
        <w:tc>
          <w:tcPr>
            <w:tcW w:w="855" w:type="dxa"/>
          </w:tcPr>
          <w:p>
            <w:pPr>
              <w:rPr>
                <w:rFonts w:ascii="宋体" w:hAnsi="宋体" w:cs="宋体"/>
                <w:color w:val="000000" w:themeColor="text1"/>
                <w:szCs w:val="21"/>
                <w14:textFill>
                  <w14:solidFill>
                    <w14:schemeClr w14:val="tx1"/>
                  </w14:solidFill>
                </w14:textFill>
              </w:rPr>
            </w:pPr>
          </w:p>
        </w:tc>
        <w:tc>
          <w:tcPr>
            <w:tcW w:w="855" w:type="dxa"/>
          </w:tcPr>
          <w:p>
            <w:pPr>
              <w:rPr>
                <w:rFonts w:ascii="宋体" w:hAnsi="宋体" w:cs="宋体"/>
                <w:color w:val="000000" w:themeColor="text1"/>
                <w:szCs w:val="21"/>
                <w14:textFill>
                  <w14:solidFill>
                    <w14:schemeClr w14:val="tx1"/>
                  </w14:solidFill>
                </w14:textFill>
              </w:rPr>
            </w:pPr>
          </w:p>
        </w:tc>
        <w:tc>
          <w:tcPr>
            <w:tcW w:w="840" w:type="dxa"/>
          </w:tcPr>
          <w:p>
            <w:pPr>
              <w:rPr>
                <w:rFonts w:ascii="宋体" w:hAnsi="宋体" w:cs="宋体"/>
                <w:color w:val="000000" w:themeColor="text1"/>
                <w:szCs w:val="21"/>
                <w14:textFill>
                  <w14:solidFill>
                    <w14:schemeClr w14:val="tx1"/>
                  </w14:solidFill>
                </w14:textFill>
              </w:rPr>
            </w:pPr>
          </w:p>
        </w:tc>
        <w:tc>
          <w:tcPr>
            <w:tcW w:w="1340" w:type="dxa"/>
          </w:tcPr>
          <w:p>
            <w:pPr>
              <w:rPr>
                <w:rFonts w:ascii="宋体" w:hAnsi="宋体" w:cs="宋体"/>
                <w:color w:val="000000" w:themeColor="text1"/>
                <w:szCs w:val="21"/>
                <w14:textFill>
                  <w14:solidFill>
                    <w14:schemeClr w14:val="tx1"/>
                  </w14:solidFill>
                </w14:textFill>
              </w:rPr>
            </w:pPr>
          </w:p>
        </w:tc>
        <w:tc>
          <w:tcPr>
            <w:tcW w:w="1494" w:type="dxa"/>
          </w:tcPr>
          <w:p>
            <w:pPr>
              <w:rPr>
                <w:rFonts w:ascii="宋体" w:hAnsi="宋体" w:cs="宋体"/>
                <w:color w:val="000000" w:themeColor="text1"/>
                <w:szCs w:val="21"/>
                <w14:textFill>
                  <w14:solidFill>
                    <w14:schemeClr w14:val="tx1"/>
                  </w14:solidFill>
                </w14:textFill>
              </w:rPr>
            </w:pPr>
          </w:p>
        </w:tc>
        <w:tc>
          <w:tcPr>
            <w:tcW w:w="1391" w:type="dxa"/>
          </w:tcPr>
          <w:p>
            <w:pPr>
              <w:rPr>
                <w:rFonts w:ascii="宋体" w:hAnsi="宋体" w:cs="宋体"/>
                <w:color w:val="000000" w:themeColor="text1"/>
                <w:szCs w:val="21"/>
                <w14:textFill>
                  <w14:solidFill>
                    <w14:schemeClr w14:val="tx1"/>
                  </w14:solidFill>
                </w14:textFill>
              </w:rPr>
            </w:pPr>
          </w:p>
        </w:tc>
        <w:tc>
          <w:tcPr>
            <w:tcW w:w="1484" w:type="dxa"/>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925" w:type="dxa"/>
            <w:vMerge w:val="continue"/>
          </w:tcPr>
          <w:p>
            <w:pPr>
              <w:rPr>
                <w:rFonts w:ascii="宋体" w:hAnsi="宋体" w:cs="宋体"/>
                <w:color w:val="000000" w:themeColor="text1"/>
                <w:szCs w:val="21"/>
                <w14:textFill>
                  <w14:solidFill>
                    <w14:schemeClr w14:val="tx1"/>
                  </w14:solidFill>
                </w14:textFill>
              </w:rPr>
            </w:pPr>
          </w:p>
        </w:tc>
        <w:tc>
          <w:tcPr>
            <w:tcW w:w="855" w:type="dxa"/>
          </w:tcPr>
          <w:p>
            <w:pPr>
              <w:rPr>
                <w:rFonts w:ascii="宋体" w:hAnsi="宋体" w:cs="宋体"/>
                <w:color w:val="000000" w:themeColor="text1"/>
                <w:szCs w:val="21"/>
                <w14:textFill>
                  <w14:solidFill>
                    <w14:schemeClr w14:val="tx1"/>
                  </w14:solidFill>
                </w14:textFill>
              </w:rPr>
            </w:pPr>
          </w:p>
        </w:tc>
        <w:tc>
          <w:tcPr>
            <w:tcW w:w="855" w:type="dxa"/>
          </w:tcPr>
          <w:p>
            <w:pPr>
              <w:rPr>
                <w:rFonts w:ascii="宋体" w:hAnsi="宋体" w:cs="宋体"/>
                <w:color w:val="000000" w:themeColor="text1"/>
                <w:szCs w:val="21"/>
                <w14:textFill>
                  <w14:solidFill>
                    <w14:schemeClr w14:val="tx1"/>
                  </w14:solidFill>
                </w14:textFill>
              </w:rPr>
            </w:pPr>
          </w:p>
        </w:tc>
        <w:tc>
          <w:tcPr>
            <w:tcW w:w="840" w:type="dxa"/>
          </w:tcPr>
          <w:p>
            <w:pPr>
              <w:rPr>
                <w:rFonts w:ascii="宋体" w:hAnsi="宋体" w:cs="宋体"/>
                <w:color w:val="000000" w:themeColor="text1"/>
                <w:szCs w:val="21"/>
                <w14:textFill>
                  <w14:solidFill>
                    <w14:schemeClr w14:val="tx1"/>
                  </w14:solidFill>
                </w14:textFill>
              </w:rPr>
            </w:pPr>
          </w:p>
        </w:tc>
        <w:tc>
          <w:tcPr>
            <w:tcW w:w="1340" w:type="dxa"/>
          </w:tcPr>
          <w:p>
            <w:pPr>
              <w:rPr>
                <w:rFonts w:ascii="宋体" w:hAnsi="宋体" w:cs="宋体"/>
                <w:color w:val="000000" w:themeColor="text1"/>
                <w:szCs w:val="21"/>
                <w14:textFill>
                  <w14:solidFill>
                    <w14:schemeClr w14:val="tx1"/>
                  </w14:solidFill>
                </w14:textFill>
              </w:rPr>
            </w:pPr>
          </w:p>
        </w:tc>
        <w:tc>
          <w:tcPr>
            <w:tcW w:w="1494" w:type="dxa"/>
          </w:tcPr>
          <w:p>
            <w:pPr>
              <w:rPr>
                <w:rFonts w:ascii="宋体" w:hAnsi="宋体" w:cs="宋体"/>
                <w:color w:val="000000" w:themeColor="text1"/>
                <w:szCs w:val="21"/>
                <w14:textFill>
                  <w14:solidFill>
                    <w14:schemeClr w14:val="tx1"/>
                  </w14:solidFill>
                </w14:textFill>
              </w:rPr>
            </w:pPr>
          </w:p>
        </w:tc>
        <w:tc>
          <w:tcPr>
            <w:tcW w:w="1391" w:type="dxa"/>
          </w:tcPr>
          <w:p>
            <w:pPr>
              <w:rPr>
                <w:rFonts w:ascii="宋体" w:hAnsi="宋体" w:cs="宋体"/>
                <w:color w:val="000000" w:themeColor="text1"/>
                <w:szCs w:val="21"/>
                <w14:textFill>
                  <w14:solidFill>
                    <w14:schemeClr w14:val="tx1"/>
                  </w14:solidFill>
                </w14:textFill>
              </w:rPr>
            </w:pPr>
          </w:p>
        </w:tc>
        <w:tc>
          <w:tcPr>
            <w:tcW w:w="1484" w:type="dxa"/>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925" w:type="dxa"/>
            <w:vMerge w:val="restart"/>
          </w:tcPr>
          <w:p>
            <w:pPr>
              <w:rPr>
                <w:rFonts w:ascii="宋体" w:hAnsi="宋体" w:cs="宋体"/>
                <w:color w:val="000000" w:themeColor="text1"/>
                <w:szCs w:val="21"/>
                <w14:textFill>
                  <w14:solidFill>
                    <w14:schemeClr w14:val="tx1"/>
                  </w14:solidFill>
                </w14:textFill>
              </w:rPr>
            </w:pPr>
          </w:p>
        </w:tc>
        <w:tc>
          <w:tcPr>
            <w:tcW w:w="855" w:type="dxa"/>
          </w:tcPr>
          <w:p>
            <w:pPr>
              <w:rPr>
                <w:rFonts w:ascii="宋体" w:hAnsi="宋体" w:cs="宋体"/>
                <w:color w:val="000000" w:themeColor="text1"/>
                <w:szCs w:val="21"/>
                <w14:textFill>
                  <w14:solidFill>
                    <w14:schemeClr w14:val="tx1"/>
                  </w14:solidFill>
                </w14:textFill>
              </w:rPr>
            </w:pPr>
          </w:p>
        </w:tc>
        <w:tc>
          <w:tcPr>
            <w:tcW w:w="855" w:type="dxa"/>
          </w:tcPr>
          <w:p>
            <w:pPr>
              <w:rPr>
                <w:rFonts w:ascii="宋体" w:hAnsi="宋体" w:cs="宋体"/>
                <w:color w:val="000000" w:themeColor="text1"/>
                <w:szCs w:val="21"/>
                <w14:textFill>
                  <w14:solidFill>
                    <w14:schemeClr w14:val="tx1"/>
                  </w14:solidFill>
                </w14:textFill>
              </w:rPr>
            </w:pPr>
          </w:p>
        </w:tc>
        <w:tc>
          <w:tcPr>
            <w:tcW w:w="840" w:type="dxa"/>
          </w:tcPr>
          <w:p>
            <w:pPr>
              <w:rPr>
                <w:rFonts w:ascii="宋体" w:hAnsi="宋体" w:cs="宋体"/>
                <w:color w:val="000000" w:themeColor="text1"/>
                <w:szCs w:val="21"/>
                <w14:textFill>
                  <w14:solidFill>
                    <w14:schemeClr w14:val="tx1"/>
                  </w14:solidFill>
                </w14:textFill>
              </w:rPr>
            </w:pPr>
          </w:p>
        </w:tc>
        <w:tc>
          <w:tcPr>
            <w:tcW w:w="1340" w:type="dxa"/>
          </w:tcPr>
          <w:p>
            <w:pPr>
              <w:rPr>
                <w:rFonts w:ascii="宋体" w:hAnsi="宋体" w:cs="宋体"/>
                <w:color w:val="000000" w:themeColor="text1"/>
                <w:szCs w:val="21"/>
                <w14:textFill>
                  <w14:solidFill>
                    <w14:schemeClr w14:val="tx1"/>
                  </w14:solidFill>
                </w14:textFill>
              </w:rPr>
            </w:pPr>
          </w:p>
        </w:tc>
        <w:tc>
          <w:tcPr>
            <w:tcW w:w="1494" w:type="dxa"/>
          </w:tcPr>
          <w:p>
            <w:pPr>
              <w:rPr>
                <w:rFonts w:ascii="宋体" w:hAnsi="宋体" w:cs="宋体"/>
                <w:color w:val="000000" w:themeColor="text1"/>
                <w:szCs w:val="21"/>
                <w14:textFill>
                  <w14:solidFill>
                    <w14:schemeClr w14:val="tx1"/>
                  </w14:solidFill>
                </w14:textFill>
              </w:rPr>
            </w:pPr>
          </w:p>
        </w:tc>
        <w:tc>
          <w:tcPr>
            <w:tcW w:w="1391" w:type="dxa"/>
          </w:tcPr>
          <w:p>
            <w:pPr>
              <w:rPr>
                <w:rFonts w:ascii="宋体" w:hAnsi="宋体" w:cs="宋体"/>
                <w:color w:val="000000" w:themeColor="text1"/>
                <w:szCs w:val="21"/>
                <w14:textFill>
                  <w14:solidFill>
                    <w14:schemeClr w14:val="tx1"/>
                  </w14:solidFill>
                </w14:textFill>
              </w:rPr>
            </w:pPr>
          </w:p>
        </w:tc>
        <w:tc>
          <w:tcPr>
            <w:tcW w:w="1484" w:type="dxa"/>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925" w:type="dxa"/>
            <w:vMerge w:val="continue"/>
          </w:tcPr>
          <w:p>
            <w:pPr>
              <w:rPr>
                <w:rFonts w:ascii="宋体" w:hAnsi="宋体" w:cs="宋体"/>
                <w:color w:val="000000" w:themeColor="text1"/>
                <w:szCs w:val="21"/>
                <w14:textFill>
                  <w14:solidFill>
                    <w14:schemeClr w14:val="tx1"/>
                  </w14:solidFill>
                </w14:textFill>
              </w:rPr>
            </w:pPr>
          </w:p>
        </w:tc>
        <w:tc>
          <w:tcPr>
            <w:tcW w:w="855" w:type="dxa"/>
          </w:tcPr>
          <w:p>
            <w:pPr>
              <w:rPr>
                <w:rFonts w:ascii="宋体" w:hAnsi="宋体" w:cs="宋体"/>
                <w:color w:val="000000" w:themeColor="text1"/>
                <w:szCs w:val="21"/>
                <w14:textFill>
                  <w14:solidFill>
                    <w14:schemeClr w14:val="tx1"/>
                  </w14:solidFill>
                </w14:textFill>
              </w:rPr>
            </w:pPr>
          </w:p>
        </w:tc>
        <w:tc>
          <w:tcPr>
            <w:tcW w:w="855" w:type="dxa"/>
          </w:tcPr>
          <w:p>
            <w:pPr>
              <w:rPr>
                <w:rFonts w:ascii="宋体" w:hAnsi="宋体" w:cs="宋体"/>
                <w:color w:val="000000" w:themeColor="text1"/>
                <w:szCs w:val="21"/>
                <w14:textFill>
                  <w14:solidFill>
                    <w14:schemeClr w14:val="tx1"/>
                  </w14:solidFill>
                </w14:textFill>
              </w:rPr>
            </w:pPr>
          </w:p>
        </w:tc>
        <w:tc>
          <w:tcPr>
            <w:tcW w:w="840" w:type="dxa"/>
          </w:tcPr>
          <w:p>
            <w:pPr>
              <w:rPr>
                <w:rFonts w:ascii="宋体" w:hAnsi="宋体" w:cs="宋体"/>
                <w:color w:val="000000" w:themeColor="text1"/>
                <w:szCs w:val="21"/>
                <w14:textFill>
                  <w14:solidFill>
                    <w14:schemeClr w14:val="tx1"/>
                  </w14:solidFill>
                </w14:textFill>
              </w:rPr>
            </w:pPr>
          </w:p>
        </w:tc>
        <w:tc>
          <w:tcPr>
            <w:tcW w:w="1340" w:type="dxa"/>
          </w:tcPr>
          <w:p>
            <w:pPr>
              <w:rPr>
                <w:rFonts w:ascii="宋体" w:hAnsi="宋体" w:cs="宋体"/>
                <w:color w:val="000000" w:themeColor="text1"/>
                <w:szCs w:val="21"/>
                <w14:textFill>
                  <w14:solidFill>
                    <w14:schemeClr w14:val="tx1"/>
                  </w14:solidFill>
                </w14:textFill>
              </w:rPr>
            </w:pPr>
          </w:p>
        </w:tc>
        <w:tc>
          <w:tcPr>
            <w:tcW w:w="1494" w:type="dxa"/>
          </w:tcPr>
          <w:p>
            <w:pPr>
              <w:rPr>
                <w:rFonts w:ascii="宋体" w:hAnsi="宋体" w:cs="宋体"/>
                <w:color w:val="000000" w:themeColor="text1"/>
                <w:szCs w:val="21"/>
                <w14:textFill>
                  <w14:solidFill>
                    <w14:schemeClr w14:val="tx1"/>
                  </w14:solidFill>
                </w14:textFill>
              </w:rPr>
            </w:pPr>
          </w:p>
        </w:tc>
        <w:tc>
          <w:tcPr>
            <w:tcW w:w="1391" w:type="dxa"/>
          </w:tcPr>
          <w:p>
            <w:pPr>
              <w:rPr>
                <w:rFonts w:ascii="宋体" w:hAnsi="宋体" w:cs="宋体"/>
                <w:color w:val="000000" w:themeColor="text1"/>
                <w:szCs w:val="21"/>
                <w14:textFill>
                  <w14:solidFill>
                    <w14:schemeClr w14:val="tx1"/>
                  </w14:solidFill>
                </w14:textFill>
              </w:rPr>
            </w:pPr>
          </w:p>
        </w:tc>
        <w:tc>
          <w:tcPr>
            <w:tcW w:w="1484" w:type="dxa"/>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925" w:type="dxa"/>
            <w:vMerge w:val="continue"/>
          </w:tcPr>
          <w:p>
            <w:pPr>
              <w:rPr>
                <w:rFonts w:ascii="宋体" w:hAnsi="宋体" w:cs="宋体"/>
                <w:color w:val="000000" w:themeColor="text1"/>
                <w:szCs w:val="21"/>
                <w14:textFill>
                  <w14:solidFill>
                    <w14:schemeClr w14:val="tx1"/>
                  </w14:solidFill>
                </w14:textFill>
              </w:rPr>
            </w:pPr>
          </w:p>
        </w:tc>
        <w:tc>
          <w:tcPr>
            <w:tcW w:w="855" w:type="dxa"/>
          </w:tcPr>
          <w:p>
            <w:pPr>
              <w:rPr>
                <w:rFonts w:ascii="宋体" w:hAnsi="宋体" w:cs="宋体"/>
                <w:color w:val="000000" w:themeColor="text1"/>
                <w:szCs w:val="21"/>
                <w14:textFill>
                  <w14:solidFill>
                    <w14:schemeClr w14:val="tx1"/>
                  </w14:solidFill>
                </w14:textFill>
              </w:rPr>
            </w:pPr>
          </w:p>
        </w:tc>
        <w:tc>
          <w:tcPr>
            <w:tcW w:w="855" w:type="dxa"/>
          </w:tcPr>
          <w:p>
            <w:pPr>
              <w:rPr>
                <w:rFonts w:ascii="宋体" w:hAnsi="宋体" w:cs="宋体"/>
                <w:color w:val="000000" w:themeColor="text1"/>
                <w:szCs w:val="21"/>
                <w14:textFill>
                  <w14:solidFill>
                    <w14:schemeClr w14:val="tx1"/>
                  </w14:solidFill>
                </w14:textFill>
              </w:rPr>
            </w:pPr>
          </w:p>
        </w:tc>
        <w:tc>
          <w:tcPr>
            <w:tcW w:w="840" w:type="dxa"/>
          </w:tcPr>
          <w:p>
            <w:pPr>
              <w:rPr>
                <w:rFonts w:ascii="宋体" w:hAnsi="宋体" w:cs="宋体"/>
                <w:color w:val="000000" w:themeColor="text1"/>
                <w:szCs w:val="21"/>
                <w14:textFill>
                  <w14:solidFill>
                    <w14:schemeClr w14:val="tx1"/>
                  </w14:solidFill>
                </w14:textFill>
              </w:rPr>
            </w:pPr>
          </w:p>
        </w:tc>
        <w:tc>
          <w:tcPr>
            <w:tcW w:w="1340" w:type="dxa"/>
          </w:tcPr>
          <w:p>
            <w:pPr>
              <w:rPr>
                <w:rFonts w:ascii="宋体" w:hAnsi="宋体" w:cs="宋体"/>
                <w:color w:val="000000" w:themeColor="text1"/>
                <w:szCs w:val="21"/>
                <w14:textFill>
                  <w14:solidFill>
                    <w14:schemeClr w14:val="tx1"/>
                  </w14:solidFill>
                </w14:textFill>
              </w:rPr>
            </w:pPr>
          </w:p>
        </w:tc>
        <w:tc>
          <w:tcPr>
            <w:tcW w:w="1494" w:type="dxa"/>
          </w:tcPr>
          <w:p>
            <w:pPr>
              <w:rPr>
                <w:rFonts w:ascii="宋体" w:hAnsi="宋体" w:cs="宋体"/>
                <w:color w:val="000000" w:themeColor="text1"/>
                <w:szCs w:val="21"/>
                <w14:textFill>
                  <w14:solidFill>
                    <w14:schemeClr w14:val="tx1"/>
                  </w14:solidFill>
                </w14:textFill>
              </w:rPr>
            </w:pPr>
          </w:p>
        </w:tc>
        <w:tc>
          <w:tcPr>
            <w:tcW w:w="1391" w:type="dxa"/>
          </w:tcPr>
          <w:p>
            <w:pPr>
              <w:rPr>
                <w:rFonts w:ascii="宋体" w:hAnsi="宋体" w:cs="宋体"/>
                <w:color w:val="000000" w:themeColor="text1"/>
                <w:szCs w:val="21"/>
                <w14:textFill>
                  <w14:solidFill>
                    <w14:schemeClr w14:val="tx1"/>
                  </w14:solidFill>
                </w14:textFill>
              </w:rPr>
            </w:pPr>
          </w:p>
        </w:tc>
        <w:tc>
          <w:tcPr>
            <w:tcW w:w="1484" w:type="dxa"/>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925" w:type="dxa"/>
            <w:vMerge w:val="continue"/>
          </w:tcPr>
          <w:p>
            <w:pPr>
              <w:rPr>
                <w:rFonts w:ascii="宋体" w:hAnsi="宋体" w:cs="宋体"/>
                <w:color w:val="000000" w:themeColor="text1"/>
                <w:szCs w:val="21"/>
                <w14:textFill>
                  <w14:solidFill>
                    <w14:schemeClr w14:val="tx1"/>
                  </w14:solidFill>
                </w14:textFill>
              </w:rPr>
            </w:pPr>
          </w:p>
        </w:tc>
        <w:tc>
          <w:tcPr>
            <w:tcW w:w="855" w:type="dxa"/>
          </w:tcPr>
          <w:p>
            <w:pPr>
              <w:rPr>
                <w:rFonts w:ascii="宋体" w:hAnsi="宋体" w:cs="宋体"/>
                <w:color w:val="000000" w:themeColor="text1"/>
                <w:szCs w:val="21"/>
                <w14:textFill>
                  <w14:solidFill>
                    <w14:schemeClr w14:val="tx1"/>
                  </w14:solidFill>
                </w14:textFill>
              </w:rPr>
            </w:pPr>
          </w:p>
        </w:tc>
        <w:tc>
          <w:tcPr>
            <w:tcW w:w="855" w:type="dxa"/>
          </w:tcPr>
          <w:p>
            <w:pPr>
              <w:rPr>
                <w:rFonts w:ascii="宋体" w:hAnsi="宋体" w:cs="宋体"/>
                <w:color w:val="000000" w:themeColor="text1"/>
                <w:szCs w:val="21"/>
                <w14:textFill>
                  <w14:solidFill>
                    <w14:schemeClr w14:val="tx1"/>
                  </w14:solidFill>
                </w14:textFill>
              </w:rPr>
            </w:pPr>
          </w:p>
        </w:tc>
        <w:tc>
          <w:tcPr>
            <w:tcW w:w="840" w:type="dxa"/>
          </w:tcPr>
          <w:p>
            <w:pPr>
              <w:rPr>
                <w:rFonts w:ascii="宋体" w:hAnsi="宋体" w:cs="宋体"/>
                <w:color w:val="000000" w:themeColor="text1"/>
                <w:szCs w:val="21"/>
                <w14:textFill>
                  <w14:solidFill>
                    <w14:schemeClr w14:val="tx1"/>
                  </w14:solidFill>
                </w14:textFill>
              </w:rPr>
            </w:pPr>
          </w:p>
        </w:tc>
        <w:tc>
          <w:tcPr>
            <w:tcW w:w="1340" w:type="dxa"/>
          </w:tcPr>
          <w:p>
            <w:pPr>
              <w:rPr>
                <w:rFonts w:ascii="宋体" w:hAnsi="宋体" w:cs="宋体"/>
                <w:color w:val="000000" w:themeColor="text1"/>
                <w:szCs w:val="21"/>
                <w14:textFill>
                  <w14:solidFill>
                    <w14:schemeClr w14:val="tx1"/>
                  </w14:solidFill>
                </w14:textFill>
              </w:rPr>
            </w:pPr>
          </w:p>
        </w:tc>
        <w:tc>
          <w:tcPr>
            <w:tcW w:w="1494" w:type="dxa"/>
          </w:tcPr>
          <w:p>
            <w:pPr>
              <w:rPr>
                <w:rFonts w:ascii="宋体" w:hAnsi="宋体" w:cs="宋体"/>
                <w:color w:val="000000" w:themeColor="text1"/>
                <w:szCs w:val="21"/>
                <w14:textFill>
                  <w14:solidFill>
                    <w14:schemeClr w14:val="tx1"/>
                  </w14:solidFill>
                </w14:textFill>
              </w:rPr>
            </w:pPr>
          </w:p>
        </w:tc>
        <w:tc>
          <w:tcPr>
            <w:tcW w:w="1391" w:type="dxa"/>
          </w:tcPr>
          <w:p>
            <w:pPr>
              <w:rPr>
                <w:rFonts w:ascii="宋体" w:hAnsi="宋体" w:cs="宋体"/>
                <w:color w:val="000000" w:themeColor="text1"/>
                <w:szCs w:val="21"/>
                <w14:textFill>
                  <w14:solidFill>
                    <w14:schemeClr w14:val="tx1"/>
                  </w14:solidFill>
                </w14:textFill>
              </w:rPr>
            </w:pPr>
          </w:p>
        </w:tc>
        <w:tc>
          <w:tcPr>
            <w:tcW w:w="1484" w:type="dxa"/>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925" w:type="dxa"/>
            <w:vMerge w:val="restart"/>
          </w:tcPr>
          <w:p>
            <w:pPr>
              <w:rPr>
                <w:rFonts w:ascii="宋体" w:hAnsi="宋体" w:cs="宋体"/>
                <w:color w:val="000000" w:themeColor="text1"/>
                <w:szCs w:val="21"/>
                <w14:textFill>
                  <w14:solidFill>
                    <w14:schemeClr w14:val="tx1"/>
                  </w14:solidFill>
                </w14:textFill>
              </w:rPr>
            </w:pPr>
          </w:p>
        </w:tc>
        <w:tc>
          <w:tcPr>
            <w:tcW w:w="855" w:type="dxa"/>
          </w:tcPr>
          <w:p>
            <w:pPr>
              <w:rPr>
                <w:rFonts w:ascii="宋体" w:hAnsi="宋体" w:cs="宋体"/>
                <w:color w:val="000000" w:themeColor="text1"/>
                <w:szCs w:val="21"/>
                <w14:textFill>
                  <w14:solidFill>
                    <w14:schemeClr w14:val="tx1"/>
                  </w14:solidFill>
                </w14:textFill>
              </w:rPr>
            </w:pPr>
          </w:p>
        </w:tc>
        <w:tc>
          <w:tcPr>
            <w:tcW w:w="855" w:type="dxa"/>
          </w:tcPr>
          <w:p>
            <w:pPr>
              <w:rPr>
                <w:rFonts w:ascii="宋体" w:hAnsi="宋体" w:cs="宋体"/>
                <w:color w:val="000000" w:themeColor="text1"/>
                <w:szCs w:val="21"/>
                <w14:textFill>
                  <w14:solidFill>
                    <w14:schemeClr w14:val="tx1"/>
                  </w14:solidFill>
                </w14:textFill>
              </w:rPr>
            </w:pPr>
          </w:p>
        </w:tc>
        <w:tc>
          <w:tcPr>
            <w:tcW w:w="840" w:type="dxa"/>
          </w:tcPr>
          <w:p>
            <w:pPr>
              <w:rPr>
                <w:rFonts w:ascii="宋体" w:hAnsi="宋体" w:cs="宋体"/>
                <w:color w:val="000000" w:themeColor="text1"/>
                <w:szCs w:val="21"/>
                <w14:textFill>
                  <w14:solidFill>
                    <w14:schemeClr w14:val="tx1"/>
                  </w14:solidFill>
                </w14:textFill>
              </w:rPr>
            </w:pPr>
          </w:p>
        </w:tc>
        <w:tc>
          <w:tcPr>
            <w:tcW w:w="1340" w:type="dxa"/>
          </w:tcPr>
          <w:p>
            <w:pPr>
              <w:rPr>
                <w:rFonts w:ascii="宋体" w:hAnsi="宋体" w:cs="宋体"/>
                <w:color w:val="000000" w:themeColor="text1"/>
                <w:szCs w:val="21"/>
                <w14:textFill>
                  <w14:solidFill>
                    <w14:schemeClr w14:val="tx1"/>
                  </w14:solidFill>
                </w14:textFill>
              </w:rPr>
            </w:pPr>
          </w:p>
        </w:tc>
        <w:tc>
          <w:tcPr>
            <w:tcW w:w="1494" w:type="dxa"/>
          </w:tcPr>
          <w:p>
            <w:pPr>
              <w:rPr>
                <w:rFonts w:ascii="宋体" w:hAnsi="宋体" w:cs="宋体"/>
                <w:color w:val="000000" w:themeColor="text1"/>
                <w:szCs w:val="21"/>
                <w14:textFill>
                  <w14:solidFill>
                    <w14:schemeClr w14:val="tx1"/>
                  </w14:solidFill>
                </w14:textFill>
              </w:rPr>
            </w:pPr>
          </w:p>
        </w:tc>
        <w:tc>
          <w:tcPr>
            <w:tcW w:w="1391" w:type="dxa"/>
          </w:tcPr>
          <w:p>
            <w:pPr>
              <w:rPr>
                <w:rFonts w:ascii="宋体" w:hAnsi="宋体" w:cs="宋体"/>
                <w:color w:val="000000" w:themeColor="text1"/>
                <w:szCs w:val="21"/>
                <w14:textFill>
                  <w14:solidFill>
                    <w14:schemeClr w14:val="tx1"/>
                  </w14:solidFill>
                </w14:textFill>
              </w:rPr>
            </w:pPr>
          </w:p>
        </w:tc>
        <w:tc>
          <w:tcPr>
            <w:tcW w:w="1484" w:type="dxa"/>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925" w:type="dxa"/>
            <w:vMerge w:val="continue"/>
          </w:tcPr>
          <w:p>
            <w:pPr>
              <w:rPr>
                <w:rFonts w:ascii="宋体" w:hAnsi="宋体" w:cs="宋体"/>
                <w:color w:val="000000" w:themeColor="text1"/>
                <w:szCs w:val="21"/>
                <w14:textFill>
                  <w14:solidFill>
                    <w14:schemeClr w14:val="tx1"/>
                  </w14:solidFill>
                </w14:textFill>
              </w:rPr>
            </w:pPr>
          </w:p>
        </w:tc>
        <w:tc>
          <w:tcPr>
            <w:tcW w:w="855" w:type="dxa"/>
          </w:tcPr>
          <w:p>
            <w:pPr>
              <w:rPr>
                <w:rFonts w:ascii="宋体" w:hAnsi="宋体" w:cs="宋体"/>
                <w:color w:val="000000" w:themeColor="text1"/>
                <w:szCs w:val="21"/>
                <w14:textFill>
                  <w14:solidFill>
                    <w14:schemeClr w14:val="tx1"/>
                  </w14:solidFill>
                </w14:textFill>
              </w:rPr>
            </w:pPr>
          </w:p>
        </w:tc>
        <w:tc>
          <w:tcPr>
            <w:tcW w:w="855" w:type="dxa"/>
          </w:tcPr>
          <w:p>
            <w:pPr>
              <w:rPr>
                <w:rFonts w:ascii="宋体" w:hAnsi="宋体" w:cs="宋体"/>
                <w:color w:val="000000" w:themeColor="text1"/>
                <w:szCs w:val="21"/>
                <w14:textFill>
                  <w14:solidFill>
                    <w14:schemeClr w14:val="tx1"/>
                  </w14:solidFill>
                </w14:textFill>
              </w:rPr>
            </w:pPr>
          </w:p>
        </w:tc>
        <w:tc>
          <w:tcPr>
            <w:tcW w:w="840" w:type="dxa"/>
          </w:tcPr>
          <w:p>
            <w:pPr>
              <w:rPr>
                <w:rFonts w:ascii="宋体" w:hAnsi="宋体" w:cs="宋体"/>
                <w:color w:val="000000" w:themeColor="text1"/>
                <w:szCs w:val="21"/>
                <w14:textFill>
                  <w14:solidFill>
                    <w14:schemeClr w14:val="tx1"/>
                  </w14:solidFill>
                </w14:textFill>
              </w:rPr>
            </w:pPr>
          </w:p>
        </w:tc>
        <w:tc>
          <w:tcPr>
            <w:tcW w:w="1340" w:type="dxa"/>
          </w:tcPr>
          <w:p>
            <w:pPr>
              <w:rPr>
                <w:rFonts w:ascii="宋体" w:hAnsi="宋体" w:cs="宋体"/>
                <w:color w:val="000000" w:themeColor="text1"/>
                <w:szCs w:val="21"/>
                <w14:textFill>
                  <w14:solidFill>
                    <w14:schemeClr w14:val="tx1"/>
                  </w14:solidFill>
                </w14:textFill>
              </w:rPr>
            </w:pPr>
          </w:p>
        </w:tc>
        <w:tc>
          <w:tcPr>
            <w:tcW w:w="1494" w:type="dxa"/>
          </w:tcPr>
          <w:p>
            <w:pPr>
              <w:rPr>
                <w:rFonts w:ascii="宋体" w:hAnsi="宋体" w:cs="宋体"/>
                <w:color w:val="000000" w:themeColor="text1"/>
                <w:szCs w:val="21"/>
                <w14:textFill>
                  <w14:solidFill>
                    <w14:schemeClr w14:val="tx1"/>
                  </w14:solidFill>
                </w14:textFill>
              </w:rPr>
            </w:pPr>
          </w:p>
        </w:tc>
        <w:tc>
          <w:tcPr>
            <w:tcW w:w="1391" w:type="dxa"/>
          </w:tcPr>
          <w:p>
            <w:pPr>
              <w:rPr>
                <w:rFonts w:ascii="宋体" w:hAnsi="宋体" w:cs="宋体"/>
                <w:color w:val="000000" w:themeColor="text1"/>
                <w:szCs w:val="21"/>
                <w14:textFill>
                  <w14:solidFill>
                    <w14:schemeClr w14:val="tx1"/>
                  </w14:solidFill>
                </w14:textFill>
              </w:rPr>
            </w:pPr>
          </w:p>
        </w:tc>
        <w:tc>
          <w:tcPr>
            <w:tcW w:w="1484" w:type="dxa"/>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925" w:type="dxa"/>
            <w:vMerge w:val="continue"/>
          </w:tcPr>
          <w:p>
            <w:pPr>
              <w:rPr>
                <w:rFonts w:ascii="宋体" w:hAnsi="宋体" w:cs="宋体"/>
                <w:color w:val="000000" w:themeColor="text1"/>
                <w:szCs w:val="21"/>
                <w14:textFill>
                  <w14:solidFill>
                    <w14:schemeClr w14:val="tx1"/>
                  </w14:solidFill>
                </w14:textFill>
              </w:rPr>
            </w:pPr>
          </w:p>
        </w:tc>
        <w:tc>
          <w:tcPr>
            <w:tcW w:w="855" w:type="dxa"/>
          </w:tcPr>
          <w:p>
            <w:pPr>
              <w:rPr>
                <w:rFonts w:ascii="宋体" w:hAnsi="宋体" w:cs="宋体"/>
                <w:color w:val="000000" w:themeColor="text1"/>
                <w:szCs w:val="21"/>
                <w14:textFill>
                  <w14:solidFill>
                    <w14:schemeClr w14:val="tx1"/>
                  </w14:solidFill>
                </w14:textFill>
              </w:rPr>
            </w:pPr>
          </w:p>
        </w:tc>
        <w:tc>
          <w:tcPr>
            <w:tcW w:w="855" w:type="dxa"/>
          </w:tcPr>
          <w:p>
            <w:pPr>
              <w:rPr>
                <w:rFonts w:ascii="宋体" w:hAnsi="宋体" w:cs="宋体"/>
                <w:color w:val="000000" w:themeColor="text1"/>
                <w:szCs w:val="21"/>
                <w14:textFill>
                  <w14:solidFill>
                    <w14:schemeClr w14:val="tx1"/>
                  </w14:solidFill>
                </w14:textFill>
              </w:rPr>
            </w:pPr>
          </w:p>
        </w:tc>
        <w:tc>
          <w:tcPr>
            <w:tcW w:w="840" w:type="dxa"/>
          </w:tcPr>
          <w:p>
            <w:pPr>
              <w:rPr>
                <w:rFonts w:ascii="宋体" w:hAnsi="宋体" w:cs="宋体"/>
                <w:color w:val="000000" w:themeColor="text1"/>
                <w:szCs w:val="21"/>
                <w14:textFill>
                  <w14:solidFill>
                    <w14:schemeClr w14:val="tx1"/>
                  </w14:solidFill>
                </w14:textFill>
              </w:rPr>
            </w:pPr>
          </w:p>
        </w:tc>
        <w:tc>
          <w:tcPr>
            <w:tcW w:w="1340" w:type="dxa"/>
          </w:tcPr>
          <w:p>
            <w:pPr>
              <w:rPr>
                <w:rFonts w:ascii="宋体" w:hAnsi="宋体" w:cs="宋体"/>
                <w:color w:val="000000" w:themeColor="text1"/>
                <w:szCs w:val="21"/>
                <w14:textFill>
                  <w14:solidFill>
                    <w14:schemeClr w14:val="tx1"/>
                  </w14:solidFill>
                </w14:textFill>
              </w:rPr>
            </w:pPr>
          </w:p>
        </w:tc>
        <w:tc>
          <w:tcPr>
            <w:tcW w:w="1494" w:type="dxa"/>
          </w:tcPr>
          <w:p>
            <w:pPr>
              <w:rPr>
                <w:rFonts w:ascii="宋体" w:hAnsi="宋体" w:cs="宋体"/>
                <w:color w:val="000000" w:themeColor="text1"/>
                <w:szCs w:val="21"/>
                <w14:textFill>
                  <w14:solidFill>
                    <w14:schemeClr w14:val="tx1"/>
                  </w14:solidFill>
                </w14:textFill>
              </w:rPr>
            </w:pPr>
          </w:p>
        </w:tc>
        <w:tc>
          <w:tcPr>
            <w:tcW w:w="1391" w:type="dxa"/>
          </w:tcPr>
          <w:p>
            <w:pPr>
              <w:rPr>
                <w:rFonts w:ascii="宋体" w:hAnsi="宋体" w:cs="宋体"/>
                <w:color w:val="000000" w:themeColor="text1"/>
                <w:szCs w:val="21"/>
                <w14:textFill>
                  <w14:solidFill>
                    <w14:schemeClr w14:val="tx1"/>
                  </w14:solidFill>
                </w14:textFill>
              </w:rPr>
            </w:pPr>
          </w:p>
        </w:tc>
        <w:tc>
          <w:tcPr>
            <w:tcW w:w="1484" w:type="dxa"/>
          </w:tcPr>
          <w:p>
            <w:pP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925" w:type="dxa"/>
            <w:vMerge w:val="continue"/>
          </w:tcPr>
          <w:p>
            <w:pPr>
              <w:rPr>
                <w:rFonts w:ascii="宋体" w:hAnsi="宋体" w:cs="宋体"/>
                <w:color w:val="000000" w:themeColor="text1"/>
                <w:szCs w:val="21"/>
                <w14:textFill>
                  <w14:solidFill>
                    <w14:schemeClr w14:val="tx1"/>
                  </w14:solidFill>
                </w14:textFill>
              </w:rPr>
            </w:pPr>
          </w:p>
        </w:tc>
        <w:tc>
          <w:tcPr>
            <w:tcW w:w="855" w:type="dxa"/>
          </w:tcPr>
          <w:p>
            <w:pPr>
              <w:rPr>
                <w:rFonts w:ascii="宋体" w:hAnsi="宋体" w:cs="宋体"/>
                <w:color w:val="000000" w:themeColor="text1"/>
                <w:szCs w:val="21"/>
                <w14:textFill>
                  <w14:solidFill>
                    <w14:schemeClr w14:val="tx1"/>
                  </w14:solidFill>
                </w14:textFill>
              </w:rPr>
            </w:pPr>
          </w:p>
        </w:tc>
        <w:tc>
          <w:tcPr>
            <w:tcW w:w="855" w:type="dxa"/>
          </w:tcPr>
          <w:p>
            <w:pPr>
              <w:rPr>
                <w:rFonts w:ascii="宋体" w:hAnsi="宋体" w:cs="宋体"/>
                <w:color w:val="000000" w:themeColor="text1"/>
                <w:szCs w:val="21"/>
                <w14:textFill>
                  <w14:solidFill>
                    <w14:schemeClr w14:val="tx1"/>
                  </w14:solidFill>
                </w14:textFill>
              </w:rPr>
            </w:pPr>
          </w:p>
        </w:tc>
        <w:tc>
          <w:tcPr>
            <w:tcW w:w="840" w:type="dxa"/>
          </w:tcPr>
          <w:p>
            <w:pPr>
              <w:rPr>
                <w:rFonts w:ascii="宋体" w:hAnsi="宋体" w:cs="宋体"/>
                <w:color w:val="000000" w:themeColor="text1"/>
                <w:szCs w:val="21"/>
                <w14:textFill>
                  <w14:solidFill>
                    <w14:schemeClr w14:val="tx1"/>
                  </w14:solidFill>
                </w14:textFill>
              </w:rPr>
            </w:pPr>
          </w:p>
        </w:tc>
        <w:tc>
          <w:tcPr>
            <w:tcW w:w="1340" w:type="dxa"/>
          </w:tcPr>
          <w:p>
            <w:pPr>
              <w:rPr>
                <w:rFonts w:ascii="宋体" w:hAnsi="宋体" w:cs="宋体"/>
                <w:color w:val="000000" w:themeColor="text1"/>
                <w:szCs w:val="21"/>
                <w14:textFill>
                  <w14:solidFill>
                    <w14:schemeClr w14:val="tx1"/>
                  </w14:solidFill>
                </w14:textFill>
              </w:rPr>
            </w:pPr>
          </w:p>
        </w:tc>
        <w:tc>
          <w:tcPr>
            <w:tcW w:w="1494" w:type="dxa"/>
          </w:tcPr>
          <w:p>
            <w:pPr>
              <w:rPr>
                <w:rFonts w:ascii="宋体" w:hAnsi="宋体" w:cs="宋体"/>
                <w:color w:val="000000" w:themeColor="text1"/>
                <w:szCs w:val="21"/>
                <w14:textFill>
                  <w14:solidFill>
                    <w14:schemeClr w14:val="tx1"/>
                  </w14:solidFill>
                </w14:textFill>
              </w:rPr>
            </w:pPr>
          </w:p>
        </w:tc>
        <w:tc>
          <w:tcPr>
            <w:tcW w:w="1391" w:type="dxa"/>
          </w:tcPr>
          <w:p>
            <w:pPr>
              <w:rPr>
                <w:rFonts w:ascii="宋体" w:hAnsi="宋体" w:cs="宋体"/>
                <w:color w:val="000000" w:themeColor="text1"/>
                <w:szCs w:val="21"/>
                <w14:textFill>
                  <w14:solidFill>
                    <w14:schemeClr w14:val="tx1"/>
                  </w14:solidFill>
                </w14:textFill>
              </w:rPr>
            </w:pPr>
          </w:p>
        </w:tc>
        <w:tc>
          <w:tcPr>
            <w:tcW w:w="1484" w:type="dxa"/>
          </w:tcPr>
          <w:p>
            <w:pPr>
              <w:rPr>
                <w:rFonts w:ascii="宋体" w:hAnsi="宋体" w:cs="宋体"/>
                <w:color w:val="000000" w:themeColor="text1"/>
                <w:szCs w:val="21"/>
                <w14:textFill>
                  <w14:solidFill>
                    <w14:schemeClr w14:val="tx1"/>
                  </w14:solidFill>
                </w14:textFill>
              </w:rPr>
            </w:pPr>
          </w:p>
        </w:tc>
      </w:tr>
    </w:tbl>
    <w:p>
      <w:pPr>
        <w:adjustRightInd w:val="0"/>
        <w:snapToGrid w:val="0"/>
        <w:spacing w:line="360" w:lineRule="auto"/>
        <w:textAlignment w:val="baseline"/>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注：1、岗位（工种）的设置及人员的配备由投标方自定；提供</w:t>
      </w:r>
      <w:r>
        <w:rPr>
          <w:rFonts w:hint="eastAsia" w:ascii="宋体" w:hAnsi="宋体" w:cs="宋体"/>
          <w:bCs/>
          <w:color w:val="000000" w:themeColor="text1"/>
          <w:szCs w:val="21"/>
          <w:lang w:eastAsia="zh-CN"/>
          <w14:textFill>
            <w14:solidFill>
              <w14:schemeClr w14:val="tx1"/>
            </w14:solidFill>
          </w14:textFill>
        </w:rPr>
        <w:t>投标人</w:t>
      </w:r>
      <w:r>
        <w:rPr>
          <w:rFonts w:hint="eastAsia" w:ascii="宋体" w:hAnsi="宋体" w:cs="宋体"/>
          <w:bCs/>
          <w:color w:val="000000" w:themeColor="text1"/>
          <w:szCs w:val="21"/>
          <w14:textFill>
            <w14:solidFill>
              <w14:schemeClr w14:val="tx1"/>
            </w14:solidFill>
          </w14:textFill>
        </w:rPr>
        <w:t>为上述人员距开标日近</w:t>
      </w:r>
      <w:r>
        <w:rPr>
          <w:rFonts w:hint="eastAsia" w:ascii="宋体" w:hAnsi="宋体" w:cs="宋体"/>
          <w:bCs/>
          <w:color w:val="000000" w:themeColor="text1"/>
          <w:szCs w:val="21"/>
          <w:lang w:val="en-US" w:eastAsia="zh-CN"/>
          <w14:textFill>
            <w14:solidFill>
              <w14:schemeClr w14:val="tx1"/>
            </w14:solidFill>
          </w14:textFill>
        </w:rPr>
        <w:t>3个月</w:t>
      </w:r>
      <w:r>
        <w:rPr>
          <w:rFonts w:hint="eastAsia" w:ascii="宋体" w:hAnsi="宋体" w:cs="宋体"/>
          <w:bCs/>
          <w:color w:val="000000" w:themeColor="text1"/>
          <w:szCs w:val="21"/>
          <w14:textFill>
            <w14:solidFill>
              <w14:schemeClr w14:val="tx1"/>
            </w14:solidFill>
          </w14:textFill>
        </w:rPr>
        <w:t>内</w:t>
      </w:r>
      <w:r>
        <w:rPr>
          <w:rFonts w:hint="eastAsia" w:ascii="宋体" w:hAnsi="宋体" w:cs="宋体"/>
          <w:bCs/>
          <w:color w:val="000000" w:themeColor="text1"/>
          <w:szCs w:val="21"/>
          <w:lang w:val="en-US" w:eastAsia="zh-CN"/>
          <w14:textFill>
            <w14:solidFill>
              <w14:schemeClr w14:val="tx1"/>
            </w14:solidFill>
          </w14:textFill>
        </w:rPr>
        <w:t>任意1</w:t>
      </w:r>
      <w:r>
        <w:rPr>
          <w:rFonts w:hint="eastAsia" w:ascii="宋体" w:hAnsi="宋体" w:cs="宋体"/>
          <w:bCs/>
          <w:color w:val="000000" w:themeColor="text1"/>
          <w:szCs w:val="21"/>
          <w14:textFill>
            <w14:solidFill>
              <w14:schemeClr w14:val="tx1"/>
            </w14:solidFill>
          </w14:textFill>
        </w:rPr>
        <w:t>个月社保缴纳证明复印件加盖公章、相关人员职称证书复印件加盖公章（如有请提供）。</w:t>
      </w:r>
      <w:r>
        <w:rPr>
          <w:rFonts w:hint="eastAsia" w:ascii="宋体" w:hAnsi="宋体" w:cs="宋体"/>
          <w:b/>
          <w:color w:val="000000" w:themeColor="text1"/>
          <w:szCs w:val="21"/>
          <w14:textFill>
            <w14:solidFill>
              <w14:schemeClr w14:val="tx1"/>
            </w14:solidFill>
          </w14:textFill>
        </w:rPr>
        <w:t>在备注栏明确项目负责人、技术负责人。</w:t>
      </w:r>
    </w:p>
    <w:p>
      <w:pPr>
        <w:widowControl/>
        <w:adjustRightInd w:val="0"/>
        <w:snapToGrid w:val="0"/>
        <w:spacing w:line="360" w:lineRule="auto"/>
        <w:textAlignment w:val="baseline"/>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2、表格不够用时可自行扩展。</w:t>
      </w:r>
    </w:p>
    <w:p>
      <w:pPr>
        <w:snapToGrid w:val="0"/>
        <w:spacing w:before="50" w:after="50" w:line="360" w:lineRule="auto"/>
        <w:ind w:left="-21" w:leftChars="-72" w:right="-817" w:rightChars="-389" w:hanging="130" w:hangingChars="62"/>
        <w:rPr>
          <w:rFonts w:ascii="宋体" w:hAnsi="宋体" w:cs="宋体"/>
          <w:color w:val="000000" w:themeColor="text1"/>
          <w:szCs w:val="21"/>
          <w14:textFill>
            <w14:solidFill>
              <w14:schemeClr w14:val="tx1"/>
            </w14:solidFill>
          </w14:textFill>
        </w:rPr>
      </w:pPr>
    </w:p>
    <w:p>
      <w:pPr>
        <w:snapToGrid w:val="0"/>
        <w:spacing w:before="50" w:after="50" w:line="360" w:lineRule="auto"/>
        <w:ind w:left="-21" w:leftChars="-72" w:right="-817" w:rightChars="-389" w:hanging="130" w:hangingChars="62"/>
        <w:rPr>
          <w:rFonts w:ascii="宋体" w:hAnsi="宋体" w:cs="宋体"/>
          <w:color w:val="000000" w:themeColor="text1"/>
          <w:szCs w:val="21"/>
          <w14:textFill>
            <w14:solidFill>
              <w14:schemeClr w14:val="tx1"/>
            </w14:solidFill>
          </w14:textFill>
        </w:rPr>
      </w:pPr>
    </w:p>
    <w:p>
      <w:pPr>
        <w:snapToGrid w:val="0"/>
        <w:spacing w:before="50" w:after="50" w:line="360" w:lineRule="auto"/>
        <w:ind w:left="-21" w:leftChars="-72" w:right="-817" w:rightChars="-389" w:hanging="130" w:hangingChars="62"/>
        <w:rPr>
          <w:rFonts w:ascii="宋体" w:hAnsi="宋体" w:cs="宋体"/>
          <w:color w:val="000000" w:themeColor="text1"/>
          <w:szCs w:val="21"/>
          <w14:textFill>
            <w14:solidFill>
              <w14:schemeClr w14:val="tx1"/>
            </w14:solidFill>
          </w14:textFill>
        </w:rPr>
      </w:pPr>
    </w:p>
    <w:p>
      <w:pPr>
        <w:snapToGrid w:val="0"/>
        <w:spacing w:before="50" w:after="50" w:line="360" w:lineRule="auto"/>
        <w:ind w:left="-21" w:leftChars="-72" w:right="-817" w:rightChars="-389" w:hanging="130" w:hangingChars="62"/>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法定代表人或授权代表签</w:t>
      </w:r>
      <w:r>
        <w:rPr>
          <w:rFonts w:hint="eastAsia" w:ascii="宋体" w:hAnsi="宋体" w:cs="宋体"/>
          <w:color w:val="000000" w:themeColor="text1"/>
          <w:szCs w:val="21"/>
          <w:lang w:val="en-US" w:eastAsia="zh-CN"/>
          <w14:textFill>
            <w14:solidFill>
              <w14:schemeClr w14:val="tx1"/>
            </w14:solidFill>
          </w14:textFill>
        </w:rPr>
        <w:t>名</w:t>
      </w:r>
      <w:r>
        <w:rPr>
          <w:rFonts w:hint="eastAsia" w:ascii="宋体" w:hAnsi="宋体" w:eastAsia="宋体" w:cs="宋体"/>
          <w:color w:val="000000" w:themeColor="text1"/>
          <w:sz w:val="21"/>
          <w:szCs w:val="21"/>
          <w:lang w:val="en-US" w:eastAsia="zh-CN"/>
          <w14:textFill>
            <w14:solidFill>
              <w14:schemeClr w14:val="tx1"/>
            </w14:solidFill>
          </w14:textFill>
        </w:rPr>
        <w:t>（签字或签章）</w:t>
      </w:r>
      <w:r>
        <w:rPr>
          <w:rFonts w:hint="eastAsia" w:ascii="宋体" w:hAnsi="宋体" w:cs="宋体"/>
          <w:color w:val="000000" w:themeColor="text1"/>
          <w:szCs w:val="21"/>
          <w14:textFill>
            <w14:solidFill>
              <w14:schemeClr w14:val="tx1"/>
            </w14:solidFill>
          </w14:textFill>
        </w:rPr>
        <w:t xml:space="preserve">：                    </w:t>
      </w:r>
    </w:p>
    <w:p>
      <w:pPr>
        <w:snapToGrid w:val="0"/>
        <w:spacing w:before="50" w:after="50" w:line="360" w:lineRule="auto"/>
        <w:ind w:left="-21" w:leftChars="-72" w:right="-817" w:rightChars="-389" w:hanging="130" w:hangingChars="62"/>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投标人名称（盖章）：                                日期：    年   月   日</w:t>
      </w:r>
    </w:p>
    <w:p>
      <w:pPr>
        <w:pStyle w:val="44"/>
        <w:ind w:firstLine="0" w:firstLineChars="0"/>
        <w:rPr>
          <w:color w:val="000000" w:themeColor="text1"/>
          <w14:textFill>
            <w14:solidFill>
              <w14:schemeClr w14:val="tx1"/>
            </w14:solidFill>
          </w14:textFill>
        </w:rPr>
      </w:pPr>
    </w:p>
    <w:p>
      <w:pPr>
        <w:widowControl/>
        <w:snapToGrid w:val="0"/>
        <w:jc w:val="center"/>
        <w:rPr>
          <w:rFonts w:cs="宋体" w:asciiTheme="minorEastAsia" w:hAnsiTheme="minorEastAsia" w:eastAsiaTheme="minorEastAsia"/>
          <w:b/>
          <w:bCs/>
          <w:color w:val="000000" w:themeColor="text1"/>
          <w14:textFill>
            <w14:solidFill>
              <w14:schemeClr w14:val="tx1"/>
            </w14:solidFill>
          </w14:textFill>
        </w:rPr>
        <w:sectPr>
          <w:footerReference r:id="rId10" w:type="default"/>
          <w:footnotePr>
            <w:numFmt w:val="decimalEnclosedCircleChinese"/>
          </w:footnotePr>
          <w:pgSz w:w="11906" w:h="16838"/>
          <w:pgMar w:top="1701" w:right="1134" w:bottom="1304" w:left="1134" w:header="964" w:footer="567" w:gutter="567"/>
          <w:pgNumType w:fmt="decimal"/>
          <w:cols w:space="720" w:num="1"/>
          <w:docGrid w:type="lines" w:linePitch="312" w:charSpace="0"/>
        </w:sectPr>
      </w:pPr>
    </w:p>
    <w:p>
      <w:pPr>
        <w:snapToGrid w:val="0"/>
        <w:spacing w:before="50" w:after="120" w:afterLines="50" w:line="360" w:lineRule="auto"/>
        <w:jc w:val="left"/>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lang w:val="en-US" w:eastAsia="zh-CN"/>
          <w14:textFill>
            <w14:solidFill>
              <w14:schemeClr w14:val="tx1"/>
            </w14:solidFill>
          </w14:textFill>
        </w:rPr>
        <w:t>12</w:t>
      </w:r>
      <w:r>
        <w:rPr>
          <w:rFonts w:hint="eastAsia" w:ascii="宋体" w:hAnsi="宋体" w:cs="宋体"/>
          <w:b/>
          <w:bCs/>
          <w:color w:val="000000" w:themeColor="text1"/>
          <w:szCs w:val="21"/>
          <w14:textFill>
            <w14:solidFill>
              <w14:schemeClr w14:val="tx1"/>
            </w14:solidFill>
          </w14:textFill>
        </w:rPr>
        <w:t>.开标一览表</w:t>
      </w:r>
    </w:p>
    <w:p>
      <w:pPr>
        <w:snapToGrid w:val="0"/>
        <w:spacing w:before="50" w:after="5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开标一览表</w:t>
      </w:r>
    </w:p>
    <w:p>
      <w:pPr>
        <w:snapToGrid w:val="0"/>
        <w:spacing w:before="50" w:after="50" w:line="360" w:lineRule="auto"/>
        <w:rPr>
          <w:rFonts w:ascii="宋体" w:hAnsi="宋体" w:cs="宋体"/>
          <w:b/>
          <w:color w:val="000000" w:themeColor="text1"/>
          <w:szCs w:val="21"/>
          <w14:textFill>
            <w14:solidFill>
              <w14:schemeClr w14:val="tx1"/>
            </w14:solidFill>
          </w14:textFill>
        </w:rPr>
      </w:pPr>
    </w:p>
    <w:p>
      <w:pPr>
        <w:snapToGrid w:val="0"/>
        <w:spacing w:before="50" w:after="50" w:line="360" w:lineRule="auto"/>
        <w:rPr>
          <w:rFonts w:hint="eastAsia"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项目编号：</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项目名称：</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 xml:space="preserve">        </w:t>
      </w:r>
      <w:r>
        <w:rPr>
          <w:rFonts w:hint="eastAsia" w:ascii="宋体" w:hAnsi="宋体" w:cs="宋体"/>
          <w:color w:val="000000" w:themeColor="text1"/>
          <w:szCs w:val="21"/>
          <w:u w:val="single"/>
          <w14:textFill>
            <w14:solidFill>
              <w14:schemeClr w14:val="tx1"/>
            </w14:solidFill>
          </w14:textFill>
        </w:rPr>
        <w:t xml:space="preserve">     </w:t>
      </w:r>
    </w:p>
    <w:tbl>
      <w:tblPr>
        <w:tblStyle w:val="46"/>
        <w:tblW w:w="881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1"/>
        <w:gridCol w:w="3142"/>
        <w:gridCol w:w="47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序号</w:t>
            </w:r>
          </w:p>
        </w:tc>
        <w:tc>
          <w:tcPr>
            <w:tcW w:w="3142"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项目名称</w:t>
            </w:r>
          </w:p>
        </w:tc>
        <w:tc>
          <w:tcPr>
            <w:tcW w:w="470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hint="default" w:ascii="宋体" w:hAnsi="宋体" w:eastAsia="宋体" w:cs="宋体"/>
                <w:b/>
                <w:color w:val="000000" w:themeColor="text1"/>
                <w:sz w:val="21"/>
                <w:szCs w:val="21"/>
                <w:lang w:val="en-US" w:eastAsia="zh-CN"/>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投标报价（人民币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88"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w:t>
            </w:r>
          </w:p>
        </w:tc>
        <w:tc>
          <w:tcPr>
            <w:tcW w:w="31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eastAsia="宋体" w:cs="宋体"/>
                <w:color w:val="000000" w:themeColor="text1"/>
                <w:kern w:val="0"/>
                <w:sz w:val="21"/>
                <w:szCs w:val="21"/>
                <w:lang w:eastAsia="zh-CN"/>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宁波市公安局镇海分局数侦云觅服务项目（第二次）</w:t>
            </w:r>
          </w:p>
        </w:tc>
        <w:tc>
          <w:tcPr>
            <w:tcW w:w="470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ind w:firstLine="420" w:firstLineChars="20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大写：</w:t>
            </w:r>
            <w:r>
              <w:rPr>
                <w:rFonts w:hint="eastAsia" w:ascii="宋体" w:hAnsi="宋体" w:cs="宋体"/>
                <w:color w:val="000000" w:themeColor="text1"/>
                <w:sz w:val="21"/>
                <w:szCs w:val="21"/>
                <w:u w:val="single"/>
                <w14:textFill>
                  <w14:solidFill>
                    <w14:schemeClr w14:val="tx1"/>
                  </w14:solidFill>
                </w14:textFill>
              </w:rPr>
              <w:t xml:space="preserve">                     </w:t>
            </w:r>
          </w:p>
          <w:p>
            <w:pPr>
              <w:snapToGrid w:val="0"/>
              <w:spacing w:before="50" w:after="50" w:line="400" w:lineRule="exact"/>
              <w:ind w:firstLine="420" w:firstLineChars="200"/>
              <w:jc w:val="both"/>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小写：</w:t>
            </w:r>
            <w:r>
              <w:rPr>
                <w:rFonts w:hint="eastAsia" w:ascii="宋体" w:hAnsi="宋体" w:cs="宋体"/>
                <w:color w:val="000000" w:themeColor="text1"/>
                <w:sz w:val="21"/>
                <w:szCs w:val="21"/>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9"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投标</w:t>
            </w:r>
          </w:p>
          <w:p>
            <w:pPr>
              <w:snapToGrid w:val="0"/>
              <w:spacing w:before="50" w:after="50" w:line="400" w:lineRule="exac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声明</w:t>
            </w:r>
          </w:p>
        </w:tc>
        <w:tc>
          <w:tcPr>
            <w:tcW w:w="7846"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若无，请写“/”</w:t>
            </w:r>
          </w:p>
        </w:tc>
      </w:tr>
    </w:tbl>
    <w:p>
      <w:pPr>
        <w:snapToGrid w:val="0"/>
        <w:spacing w:before="50" w:after="50"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注: 1.报价一经涂改，应在涂改处加盖单位公章或者由法定代表人或授权委托人签字或盖章，否则其投标作无效标处理。</w:t>
      </w:r>
    </w:p>
    <w:p>
      <w:pPr>
        <w:pStyle w:val="45"/>
        <w:ind w:left="0" w:leftChars="0" w:firstLine="0" w:firstLineChars="0"/>
        <w:rPr>
          <w:rFonts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pStyle w:val="45"/>
        <w:ind w:firstLine="404"/>
        <w:rPr>
          <w:rFonts w:hAnsi="宋体" w:cs="宋体"/>
          <w:color w:val="000000" w:themeColor="text1"/>
          <w14:textFill>
            <w14:solidFill>
              <w14:schemeClr w14:val="tx1"/>
            </w14:solidFill>
          </w14:textFill>
        </w:rPr>
      </w:pPr>
    </w:p>
    <w:p>
      <w:pPr>
        <w:snapToGrid w:val="0"/>
        <w:spacing w:before="50" w:after="50" w:line="360" w:lineRule="auto"/>
        <w:ind w:left="-21" w:leftChars="-72" w:right="-817" w:rightChars="-389" w:hanging="130" w:hangingChars="62"/>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法定代表人或授权代表签</w:t>
      </w:r>
      <w:r>
        <w:rPr>
          <w:rFonts w:hint="eastAsia" w:ascii="宋体" w:hAnsi="宋体" w:cs="宋体"/>
          <w:color w:val="000000" w:themeColor="text1"/>
          <w:szCs w:val="21"/>
          <w:lang w:val="en-US" w:eastAsia="zh-CN"/>
          <w14:textFill>
            <w14:solidFill>
              <w14:schemeClr w14:val="tx1"/>
            </w14:solidFill>
          </w14:textFill>
        </w:rPr>
        <w:t>名</w:t>
      </w:r>
      <w:r>
        <w:rPr>
          <w:rFonts w:hint="eastAsia" w:ascii="宋体" w:hAnsi="宋体" w:eastAsia="宋体" w:cs="宋体"/>
          <w:color w:val="000000" w:themeColor="text1"/>
          <w:sz w:val="21"/>
          <w:szCs w:val="21"/>
          <w:lang w:val="en-US" w:eastAsia="zh-CN"/>
          <w14:textFill>
            <w14:solidFill>
              <w14:schemeClr w14:val="tx1"/>
            </w14:solidFill>
          </w14:textFill>
        </w:rPr>
        <w:t>（签字或签章）</w:t>
      </w:r>
      <w:r>
        <w:rPr>
          <w:rFonts w:hint="eastAsia" w:ascii="宋体" w:hAnsi="宋体" w:cs="宋体"/>
          <w:color w:val="000000" w:themeColor="text1"/>
          <w:szCs w:val="21"/>
          <w14:textFill>
            <w14:solidFill>
              <w14:schemeClr w14:val="tx1"/>
            </w14:solidFill>
          </w14:textFill>
        </w:rPr>
        <w:t xml:space="preserve">：                    </w:t>
      </w:r>
    </w:p>
    <w:p>
      <w:pPr>
        <w:snapToGrid w:val="0"/>
        <w:spacing w:before="50" w:after="50" w:line="360" w:lineRule="auto"/>
        <w:ind w:left="-21" w:leftChars="-72" w:right="-817" w:rightChars="-389" w:hanging="130" w:hangingChars="62"/>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投标人名称（盖章）：                                日期：    年   月   日</w:t>
      </w:r>
    </w:p>
    <w:p>
      <w:pPr>
        <w:rPr>
          <w:rFonts w:hint="eastAsia" w:ascii="宋体" w:hAnsi="宋体" w:eastAsia="宋体" w:cs="宋体"/>
          <w:color w:val="000000" w:themeColor="text1"/>
          <w:szCs w:val="21"/>
          <w:lang w:val="en-US" w:eastAsia="zh-CN"/>
          <w14:textFill>
            <w14:solidFill>
              <w14:schemeClr w14:val="tx1"/>
            </w14:solidFill>
          </w14:textFill>
        </w:rPr>
      </w:pPr>
    </w:p>
    <w:sectPr>
      <w:footerReference r:id="rId11" w:type="default"/>
      <w:pgSz w:w="11906" w:h="16838"/>
      <w:pgMar w:top="1588" w:right="1644" w:bottom="1985" w:left="1531" w:header="851" w:footer="992" w:gutter="0"/>
      <w:pgNumType w:fmt="decimal"/>
      <w:cols w:space="720" w:num="1"/>
      <w:docGrid w:linePitch="602"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汉鼎简细圆">
    <w:altName w:val="宋体"/>
    <w:panose1 w:val="00000000000000000000"/>
    <w:charset w:val="86"/>
    <w:family w:val="modern"/>
    <w:pitch w:val="default"/>
    <w:sig w:usb0="00000000" w:usb1="00000000" w:usb2="00000010" w:usb3="00000000" w:csb0="00040000" w:csb1="00000000"/>
  </w:font>
  <w:font w:name="Helvetica">
    <w:altName w:val="Arial"/>
    <w:panose1 w:val="020B0504020202020204"/>
    <w:charset w:val="00"/>
    <w:family w:val="swiss"/>
    <w:pitch w:val="default"/>
    <w:sig w:usb0="00000000" w:usb1="00000000" w:usb2="00000000" w:usb3="00000000" w:csb0="00000000" w:csb1="00000000"/>
  </w:font>
  <w:font w:name="ヒラギノ角ゴ Pro W3">
    <w:altName w:val="Yu Gothic"/>
    <w:panose1 w:val="00000000000000000000"/>
    <w:charset w:val="80"/>
    <w:family w:val="auto"/>
    <w:pitch w:val="default"/>
    <w:sig w:usb0="00000000" w:usb1="00000000" w:usb2="00000012" w:usb3="00000000" w:csb0="0002000D" w:csb1="00000000"/>
  </w:font>
  <w:font w:name="Yu Gothic">
    <w:panose1 w:val="020B0400000000000000"/>
    <w:charset w:val="80"/>
    <w:family w:val="auto"/>
    <w:pitch w:val="default"/>
    <w:sig w:usb0="E00002FF" w:usb1="2AC7FDFF" w:usb2="00000016" w:usb3="00000000" w:csb0="2002009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0"/>
      </w:rPr>
    </w:pPr>
    <w:r>
      <w:fldChar w:fldCharType="begin"/>
    </w:r>
    <w:r>
      <w:rPr>
        <w:rStyle w:val="50"/>
      </w:rPr>
      <w:instrText xml:space="preserve">PAGE  </w:instrText>
    </w:r>
    <w:r>
      <w:fldChar w:fldCharType="separate"/>
    </w:r>
    <w:r>
      <w:rPr>
        <w:rStyle w:val="50"/>
      </w:rPr>
      <w:t>1</w:t>
    </w:r>
    <w:r>
      <w:fldChar w:fldCharType="end"/>
    </w:r>
  </w:p>
  <w:p>
    <w:pPr>
      <w:pStyle w:val="3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1"/>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3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31"/>
                    </w:pPr>
                    <w:r>
                      <w:fldChar w:fldCharType="begin"/>
                    </w:r>
                    <w:r>
                      <w:instrText xml:space="preserve"> PAGE  \* MERGEFORMAT </w:instrText>
                    </w:r>
                    <w:r>
                      <w:fldChar w:fldCharType="separate"/>
                    </w:r>
                    <w:r>
                      <w:t>50</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2743200</wp:posOffset>
              </wp:positionH>
              <wp:positionV relativeFrom="paragraph">
                <wp:posOffset>-18415</wp:posOffset>
              </wp:positionV>
              <wp:extent cx="240665" cy="152400"/>
              <wp:effectExtent l="0" t="0" r="0" b="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40665" cy="152400"/>
                      </a:xfrm>
                      <a:prstGeom prst="rect">
                        <a:avLst/>
                      </a:prstGeom>
                      <a:noFill/>
                      <a:ln>
                        <a:noFill/>
                      </a:ln>
                      <a:effectLst/>
                    </wps:spPr>
                    <wps:txbx>
                      <w:txbxContent>
                        <w:p>
                          <w:pPr>
                            <w:pStyle w:val="31"/>
                          </w:pPr>
                        </w:p>
                      </w:txbxContent>
                    </wps:txbx>
                    <wps:bodyPr rot="0" vert="horz" wrap="square" lIns="0" tIns="0" rIns="0" bIns="0" anchor="t" anchorCtr="0" upright="1">
                      <a:spAutoFit/>
                    </wps:bodyPr>
                  </wps:wsp>
                </a:graphicData>
              </a:graphic>
            </wp:anchor>
          </w:drawing>
        </mc:Choice>
        <mc:Fallback>
          <w:pict>
            <v:shape id="_x0000_s1026" o:spid="_x0000_s1026" o:spt="202" type="#_x0000_t202" style="position:absolute;left:0pt;margin-left:216pt;margin-top:-1.45pt;height:12pt;width:18.95pt;mso-position-horizontal-relative:margin;z-index:251659264;mso-width-relative:page;mso-height-relative:page;" filled="f" stroked="f" coordsize="21600,21600" o:gfxdata="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sf3ANYAAAAJAQAADwAAAAAAAAABACAA&#10;AAAiAAAAZHJzL2Rvd25yZXYueG1sUEsBAhQAFAAAAAgAh07iQATTEpEPAgAAEgQAAA4AAAAAAAAA&#10;AQAgAAAAJQEAAGRycy9lMm9Eb2MueG1sUEsFBgAAAAAGAAYAWQEAAKYFAAAAAA==&#10;">
              <v:fill on="f" focussize="0,0"/>
              <v:stroke on="f"/>
              <v:imagedata o:title=""/>
              <o:lock v:ext="edit" aspectratio="f"/>
              <v:textbox inset="0mm,0mm,0mm,0mm" style="mso-fit-shape-to-text:t;">
                <w:txbxContent>
                  <w:p>
                    <w:pPr>
                      <w:pStyle w:val="31"/>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firstLine="36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pPr>
                          <w:r>
                            <w:fldChar w:fldCharType="begin"/>
                          </w:r>
                          <w:r>
                            <w:instrText xml:space="preserve"> PAGE  \* MERGEFORMAT </w:instrText>
                          </w:r>
                          <w:r>
                            <w:fldChar w:fldCharType="separate"/>
                          </w:r>
                          <w:r>
                            <w:t>51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31"/>
                    </w:pPr>
                    <w:r>
                      <w:fldChar w:fldCharType="begin"/>
                    </w:r>
                    <w:r>
                      <w:instrText xml:space="preserve"> PAGE  \* MERGEFORMAT </w:instrText>
                    </w:r>
                    <w:r>
                      <w:fldChar w:fldCharType="separate"/>
                    </w:r>
                    <w:r>
                      <w:t>51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6B01F8"/>
    <w:multiLevelType w:val="singleLevel"/>
    <w:tmpl w:val="BB6B01F8"/>
    <w:lvl w:ilvl="0" w:tentative="0">
      <w:start w:val="1"/>
      <w:numFmt w:val="decimal"/>
      <w:suff w:val="nothing"/>
      <w:lvlText w:val="（%1）"/>
      <w:lvlJc w:val="left"/>
      <w:rPr>
        <w:rFonts w:hint="default"/>
        <w:highlight w:val="none"/>
      </w:rPr>
    </w:lvl>
  </w:abstractNum>
  <w:abstractNum w:abstractNumId="1">
    <w:nsid w:val="F48432B2"/>
    <w:multiLevelType w:val="singleLevel"/>
    <w:tmpl w:val="F48432B2"/>
    <w:lvl w:ilvl="0" w:tentative="0">
      <w:start w:val="1"/>
      <w:numFmt w:val="decimal"/>
      <w:suff w:val="nothing"/>
      <w:lvlText w:val="（%1）"/>
      <w:lvlJc w:val="left"/>
    </w:lvl>
  </w:abstractNum>
  <w:abstractNum w:abstractNumId="2">
    <w:nsid w:val="0000000B"/>
    <w:multiLevelType w:val="singleLevel"/>
    <w:tmpl w:val="0000000B"/>
    <w:lvl w:ilvl="0" w:tentative="0">
      <w:start w:val="1"/>
      <w:numFmt w:val="decimal"/>
      <w:pStyle w:val="21"/>
      <w:lvlText w:val="%1."/>
      <w:lvlJc w:val="left"/>
      <w:pPr>
        <w:tabs>
          <w:tab w:val="left" w:pos="1200"/>
        </w:tabs>
        <w:ind w:left="1200" w:hanging="360"/>
      </w:pPr>
    </w:lvl>
  </w:abstractNum>
  <w:abstractNum w:abstractNumId="3">
    <w:nsid w:val="00000020"/>
    <w:multiLevelType w:val="singleLevel"/>
    <w:tmpl w:val="00000020"/>
    <w:lvl w:ilvl="0" w:tentative="0">
      <w:start w:val="1"/>
      <w:numFmt w:val="chineseCounting"/>
      <w:suff w:val="nothing"/>
      <w:lvlText w:val="（%1）"/>
      <w:lvlJc w:val="left"/>
    </w:lvl>
  </w:abstractNum>
  <w:abstractNum w:abstractNumId="4">
    <w:nsid w:val="3FD4B791"/>
    <w:multiLevelType w:val="singleLevel"/>
    <w:tmpl w:val="3FD4B791"/>
    <w:lvl w:ilvl="0" w:tentative="0">
      <w:start w:val="1"/>
      <w:numFmt w:val="decimal"/>
      <w:suff w:val="nothing"/>
      <w:lvlText w:val="%1、"/>
      <w:lvlJc w:val="left"/>
    </w:lvl>
  </w:abstractNum>
  <w:abstractNum w:abstractNumId="5">
    <w:nsid w:val="47886AF8"/>
    <w:multiLevelType w:val="multilevel"/>
    <w:tmpl w:val="47886AF8"/>
    <w:lvl w:ilvl="0" w:tentative="0">
      <w:start w:val="1"/>
      <w:numFmt w:val="decimal"/>
      <w:lvlText w:val="%1."/>
      <w:lvlJc w:val="left"/>
      <w:pPr>
        <w:ind w:left="773" w:hanging="360"/>
      </w:pPr>
      <w:rPr>
        <w:rFonts w:hint="default"/>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6">
    <w:nsid w:val="697B3B0C"/>
    <w:multiLevelType w:val="singleLevel"/>
    <w:tmpl w:val="697B3B0C"/>
    <w:lvl w:ilvl="0" w:tentative="0">
      <w:start w:val="1"/>
      <w:numFmt w:val="decimal"/>
      <w:suff w:val="nothing"/>
      <w:lvlText w:val="%1、"/>
      <w:lvlJc w:val="left"/>
    </w:lvl>
  </w:abstractNum>
  <w:num w:numId="1">
    <w:abstractNumId w:val="2"/>
  </w:num>
  <w:num w:numId="2">
    <w:abstractNumId w:val="5"/>
  </w:num>
  <w:num w:numId="3">
    <w:abstractNumId w:val="1"/>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okNames" w:val="year1_2;filetype1_2"/>
    <w:docVar w:name="commondata" w:val="eyJoZGlkIjoiYjljMDBjNjMyYWEwNGUyNjA5MzI1MDM3MjBhMTJiNGUifQ=="/>
    <w:docVar w:name="CurUserName" w:val="采购监管处收发室"/>
    <w:docVar w:name="DeleteMarces" w:val="False"/>
    <w:docVar w:name="DocName" w:val="0EF90D4B09DBFB9E4825742B0028ACBF_1.doc"/>
    <w:docVar w:name="haha" w:val="100"/>
    <w:docVar w:name="NewInfo" w:val="〔2009〕20&amp;;&amp;浙财采监字"/>
    <w:docVar w:name="OldInfo" w:val=" "/>
    <w:docVar w:name="SplitTool" w:val="False"/>
    <w:docVar w:name="TitleStr" w:val="浙江省财政厅;文件;"/>
    <w:docVar w:name="TrackMark" w:val="1"/>
  </w:docVars>
  <w:rsids>
    <w:rsidRoot w:val="00172A27"/>
    <w:rsid w:val="00000742"/>
    <w:rsid w:val="00004117"/>
    <w:rsid w:val="000068C0"/>
    <w:rsid w:val="00014FC8"/>
    <w:rsid w:val="00020948"/>
    <w:rsid w:val="00022E67"/>
    <w:rsid w:val="0002303F"/>
    <w:rsid w:val="00035840"/>
    <w:rsid w:val="00046EAB"/>
    <w:rsid w:val="0007169B"/>
    <w:rsid w:val="0007248B"/>
    <w:rsid w:val="00074937"/>
    <w:rsid w:val="00082677"/>
    <w:rsid w:val="00086F61"/>
    <w:rsid w:val="000A2DA7"/>
    <w:rsid w:val="000B0711"/>
    <w:rsid w:val="000B4206"/>
    <w:rsid w:val="000C2F56"/>
    <w:rsid w:val="000C6932"/>
    <w:rsid w:val="000D0373"/>
    <w:rsid w:val="000D6460"/>
    <w:rsid w:val="000E0A31"/>
    <w:rsid w:val="000E4874"/>
    <w:rsid w:val="000E56F1"/>
    <w:rsid w:val="000E5D0E"/>
    <w:rsid w:val="000F2770"/>
    <w:rsid w:val="000F3D50"/>
    <w:rsid w:val="0010437E"/>
    <w:rsid w:val="00120511"/>
    <w:rsid w:val="001300B5"/>
    <w:rsid w:val="00140E52"/>
    <w:rsid w:val="0014288A"/>
    <w:rsid w:val="001432CE"/>
    <w:rsid w:val="00152D0A"/>
    <w:rsid w:val="00166A9E"/>
    <w:rsid w:val="00172A27"/>
    <w:rsid w:val="001743AB"/>
    <w:rsid w:val="001770BE"/>
    <w:rsid w:val="001900AA"/>
    <w:rsid w:val="00192F12"/>
    <w:rsid w:val="00195288"/>
    <w:rsid w:val="001973EE"/>
    <w:rsid w:val="001A729F"/>
    <w:rsid w:val="001C408D"/>
    <w:rsid w:val="001D10B9"/>
    <w:rsid w:val="001D57A6"/>
    <w:rsid w:val="001E0139"/>
    <w:rsid w:val="001E532A"/>
    <w:rsid w:val="00207DAB"/>
    <w:rsid w:val="00210FEE"/>
    <w:rsid w:val="00222FF5"/>
    <w:rsid w:val="002264E8"/>
    <w:rsid w:val="0023406F"/>
    <w:rsid w:val="00246A68"/>
    <w:rsid w:val="0024769E"/>
    <w:rsid w:val="00254259"/>
    <w:rsid w:val="00254B98"/>
    <w:rsid w:val="00262991"/>
    <w:rsid w:val="00265F3E"/>
    <w:rsid w:val="00271DBC"/>
    <w:rsid w:val="00277B29"/>
    <w:rsid w:val="00282635"/>
    <w:rsid w:val="00292BAB"/>
    <w:rsid w:val="002A5024"/>
    <w:rsid w:val="002B1BD8"/>
    <w:rsid w:val="002B1CF0"/>
    <w:rsid w:val="002B4517"/>
    <w:rsid w:val="002C6EA3"/>
    <w:rsid w:val="002D51B2"/>
    <w:rsid w:val="002E01C1"/>
    <w:rsid w:val="002F282B"/>
    <w:rsid w:val="00300E5F"/>
    <w:rsid w:val="00304D33"/>
    <w:rsid w:val="00306A68"/>
    <w:rsid w:val="0032138D"/>
    <w:rsid w:val="0032572E"/>
    <w:rsid w:val="00340E59"/>
    <w:rsid w:val="00347520"/>
    <w:rsid w:val="00347DA5"/>
    <w:rsid w:val="003532FE"/>
    <w:rsid w:val="00370616"/>
    <w:rsid w:val="00384D44"/>
    <w:rsid w:val="0038599D"/>
    <w:rsid w:val="003966FA"/>
    <w:rsid w:val="0039751B"/>
    <w:rsid w:val="00397781"/>
    <w:rsid w:val="003C6C65"/>
    <w:rsid w:val="003F46D3"/>
    <w:rsid w:val="003F7AAB"/>
    <w:rsid w:val="00424A1D"/>
    <w:rsid w:val="0043260B"/>
    <w:rsid w:val="00432EBE"/>
    <w:rsid w:val="00434E8F"/>
    <w:rsid w:val="00441793"/>
    <w:rsid w:val="00450365"/>
    <w:rsid w:val="0045148F"/>
    <w:rsid w:val="00476FF4"/>
    <w:rsid w:val="00482A73"/>
    <w:rsid w:val="00483922"/>
    <w:rsid w:val="00484208"/>
    <w:rsid w:val="00492D0E"/>
    <w:rsid w:val="00493400"/>
    <w:rsid w:val="00495944"/>
    <w:rsid w:val="004A0566"/>
    <w:rsid w:val="004B4D61"/>
    <w:rsid w:val="004B5C61"/>
    <w:rsid w:val="004C55DA"/>
    <w:rsid w:val="004C6B25"/>
    <w:rsid w:val="004D581D"/>
    <w:rsid w:val="004D6899"/>
    <w:rsid w:val="004D776F"/>
    <w:rsid w:val="004F67BB"/>
    <w:rsid w:val="005051D1"/>
    <w:rsid w:val="0050582D"/>
    <w:rsid w:val="00512759"/>
    <w:rsid w:val="005218C6"/>
    <w:rsid w:val="0052465E"/>
    <w:rsid w:val="0055291F"/>
    <w:rsid w:val="005537D8"/>
    <w:rsid w:val="005537EC"/>
    <w:rsid w:val="005608B7"/>
    <w:rsid w:val="00562237"/>
    <w:rsid w:val="005755B2"/>
    <w:rsid w:val="005765FC"/>
    <w:rsid w:val="00583159"/>
    <w:rsid w:val="00586B5D"/>
    <w:rsid w:val="005877CE"/>
    <w:rsid w:val="00587961"/>
    <w:rsid w:val="005955FF"/>
    <w:rsid w:val="005A632B"/>
    <w:rsid w:val="005B05EC"/>
    <w:rsid w:val="005B0C30"/>
    <w:rsid w:val="005C16B5"/>
    <w:rsid w:val="005C2271"/>
    <w:rsid w:val="005E18F5"/>
    <w:rsid w:val="005E24A4"/>
    <w:rsid w:val="005F4528"/>
    <w:rsid w:val="005F6E28"/>
    <w:rsid w:val="00600F55"/>
    <w:rsid w:val="00601727"/>
    <w:rsid w:val="006033F9"/>
    <w:rsid w:val="00607938"/>
    <w:rsid w:val="00612B7D"/>
    <w:rsid w:val="00612DC8"/>
    <w:rsid w:val="00624D63"/>
    <w:rsid w:val="00626071"/>
    <w:rsid w:val="00633458"/>
    <w:rsid w:val="00640770"/>
    <w:rsid w:val="00641E35"/>
    <w:rsid w:val="006574EE"/>
    <w:rsid w:val="00661990"/>
    <w:rsid w:val="006636C8"/>
    <w:rsid w:val="00673286"/>
    <w:rsid w:val="00680352"/>
    <w:rsid w:val="00680A9B"/>
    <w:rsid w:val="00690910"/>
    <w:rsid w:val="006D1D0B"/>
    <w:rsid w:val="007362A1"/>
    <w:rsid w:val="007363A2"/>
    <w:rsid w:val="007453DC"/>
    <w:rsid w:val="00760B8F"/>
    <w:rsid w:val="00774219"/>
    <w:rsid w:val="00776CD3"/>
    <w:rsid w:val="007822E7"/>
    <w:rsid w:val="0078691E"/>
    <w:rsid w:val="00790E75"/>
    <w:rsid w:val="007A60DC"/>
    <w:rsid w:val="007A7BDB"/>
    <w:rsid w:val="007B1A13"/>
    <w:rsid w:val="007C193B"/>
    <w:rsid w:val="007C3B0B"/>
    <w:rsid w:val="007C40FF"/>
    <w:rsid w:val="007D3E89"/>
    <w:rsid w:val="007E143F"/>
    <w:rsid w:val="007E6000"/>
    <w:rsid w:val="007F01F0"/>
    <w:rsid w:val="007F4259"/>
    <w:rsid w:val="007F5B69"/>
    <w:rsid w:val="00820B8C"/>
    <w:rsid w:val="00836191"/>
    <w:rsid w:val="00844A8F"/>
    <w:rsid w:val="008457DB"/>
    <w:rsid w:val="008475A9"/>
    <w:rsid w:val="0085570F"/>
    <w:rsid w:val="00857824"/>
    <w:rsid w:val="00893666"/>
    <w:rsid w:val="00893998"/>
    <w:rsid w:val="008A10DB"/>
    <w:rsid w:val="008A55EE"/>
    <w:rsid w:val="008A6E96"/>
    <w:rsid w:val="008C05C3"/>
    <w:rsid w:val="008C1677"/>
    <w:rsid w:val="008C6C74"/>
    <w:rsid w:val="008C7183"/>
    <w:rsid w:val="008D1225"/>
    <w:rsid w:val="008D32AE"/>
    <w:rsid w:val="008D767D"/>
    <w:rsid w:val="008E4B8A"/>
    <w:rsid w:val="008F3424"/>
    <w:rsid w:val="008F458F"/>
    <w:rsid w:val="009019A7"/>
    <w:rsid w:val="00910BBE"/>
    <w:rsid w:val="00917CFC"/>
    <w:rsid w:val="00927FD0"/>
    <w:rsid w:val="009373FD"/>
    <w:rsid w:val="00940AE1"/>
    <w:rsid w:val="00941816"/>
    <w:rsid w:val="0095017D"/>
    <w:rsid w:val="00952D50"/>
    <w:rsid w:val="00962B36"/>
    <w:rsid w:val="00975C18"/>
    <w:rsid w:val="00977AD2"/>
    <w:rsid w:val="009857AE"/>
    <w:rsid w:val="00987196"/>
    <w:rsid w:val="00987597"/>
    <w:rsid w:val="009942FC"/>
    <w:rsid w:val="00996C23"/>
    <w:rsid w:val="009A0DE7"/>
    <w:rsid w:val="009A3288"/>
    <w:rsid w:val="009A627F"/>
    <w:rsid w:val="009B3A7A"/>
    <w:rsid w:val="009B705E"/>
    <w:rsid w:val="009B78C6"/>
    <w:rsid w:val="009C661A"/>
    <w:rsid w:val="009D5E4A"/>
    <w:rsid w:val="009D62DE"/>
    <w:rsid w:val="009D7D7A"/>
    <w:rsid w:val="009E1ED1"/>
    <w:rsid w:val="009E2A00"/>
    <w:rsid w:val="009F4C1B"/>
    <w:rsid w:val="00A06F79"/>
    <w:rsid w:val="00A119A8"/>
    <w:rsid w:val="00A152D9"/>
    <w:rsid w:val="00A17420"/>
    <w:rsid w:val="00A27190"/>
    <w:rsid w:val="00A35A92"/>
    <w:rsid w:val="00A4141C"/>
    <w:rsid w:val="00A41FE7"/>
    <w:rsid w:val="00A47399"/>
    <w:rsid w:val="00A51A48"/>
    <w:rsid w:val="00A51A86"/>
    <w:rsid w:val="00A526FC"/>
    <w:rsid w:val="00A54FC9"/>
    <w:rsid w:val="00A556B5"/>
    <w:rsid w:val="00A55F14"/>
    <w:rsid w:val="00A643AF"/>
    <w:rsid w:val="00A647A2"/>
    <w:rsid w:val="00A67D58"/>
    <w:rsid w:val="00A80E18"/>
    <w:rsid w:val="00A87313"/>
    <w:rsid w:val="00A966C7"/>
    <w:rsid w:val="00A973D3"/>
    <w:rsid w:val="00AA2906"/>
    <w:rsid w:val="00AD30AB"/>
    <w:rsid w:val="00AD3187"/>
    <w:rsid w:val="00AD4095"/>
    <w:rsid w:val="00AE0351"/>
    <w:rsid w:val="00AE0E57"/>
    <w:rsid w:val="00AE48B4"/>
    <w:rsid w:val="00AF0D15"/>
    <w:rsid w:val="00B03919"/>
    <w:rsid w:val="00B0526A"/>
    <w:rsid w:val="00B10213"/>
    <w:rsid w:val="00B17ADB"/>
    <w:rsid w:val="00B25BBC"/>
    <w:rsid w:val="00B267DB"/>
    <w:rsid w:val="00B4746F"/>
    <w:rsid w:val="00B5443F"/>
    <w:rsid w:val="00B653B9"/>
    <w:rsid w:val="00B719B9"/>
    <w:rsid w:val="00B825B7"/>
    <w:rsid w:val="00B8451A"/>
    <w:rsid w:val="00B86E19"/>
    <w:rsid w:val="00BD1CBA"/>
    <w:rsid w:val="00BF3756"/>
    <w:rsid w:val="00BF3D02"/>
    <w:rsid w:val="00C10186"/>
    <w:rsid w:val="00C12573"/>
    <w:rsid w:val="00C21695"/>
    <w:rsid w:val="00C21B3D"/>
    <w:rsid w:val="00C25426"/>
    <w:rsid w:val="00C36D7A"/>
    <w:rsid w:val="00C44EB0"/>
    <w:rsid w:val="00C474DB"/>
    <w:rsid w:val="00C5252F"/>
    <w:rsid w:val="00C64A4D"/>
    <w:rsid w:val="00C66E29"/>
    <w:rsid w:val="00C807B5"/>
    <w:rsid w:val="00C96AFD"/>
    <w:rsid w:val="00CA6037"/>
    <w:rsid w:val="00CB378E"/>
    <w:rsid w:val="00CB57DC"/>
    <w:rsid w:val="00CC4DF7"/>
    <w:rsid w:val="00CC59CA"/>
    <w:rsid w:val="00CF0AD6"/>
    <w:rsid w:val="00CF12E4"/>
    <w:rsid w:val="00D00277"/>
    <w:rsid w:val="00D00BED"/>
    <w:rsid w:val="00D021BE"/>
    <w:rsid w:val="00D046DD"/>
    <w:rsid w:val="00D12B6A"/>
    <w:rsid w:val="00D46F5D"/>
    <w:rsid w:val="00D52816"/>
    <w:rsid w:val="00D5392F"/>
    <w:rsid w:val="00D54054"/>
    <w:rsid w:val="00D63ECC"/>
    <w:rsid w:val="00D667BD"/>
    <w:rsid w:val="00D93250"/>
    <w:rsid w:val="00D9606A"/>
    <w:rsid w:val="00DA532B"/>
    <w:rsid w:val="00DD30F9"/>
    <w:rsid w:val="00DD6E1A"/>
    <w:rsid w:val="00DD7B7E"/>
    <w:rsid w:val="00DF1DCF"/>
    <w:rsid w:val="00E0014F"/>
    <w:rsid w:val="00E02504"/>
    <w:rsid w:val="00E1065B"/>
    <w:rsid w:val="00E12216"/>
    <w:rsid w:val="00E17BB9"/>
    <w:rsid w:val="00E208E1"/>
    <w:rsid w:val="00E2152B"/>
    <w:rsid w:val="00E23ED1"/>
    <w:rsid w:val="00E256AD"/>
    <w:rsid w:val="00E33588"/>
    <w:rsid w:val="00E42557"/>
    <w:rsid w:val="00E43359"/>
    <w:rsid w:val="00E43841"/>
    <w:rsid w:val="00E63CD0"/>
    <w:rsid w:val="00E64910"/>
    <w:rsid w:val="00E7325C"/>
    <w:rsid w:val="00E76A1E"/>
    <w:rsid w:val="00E964CE"/>
    <w:rsid w:val="00E97A70"/>
    <w:rsid w:val="00EA05A9"/>
    <w:rsid w:val="00EB2B8A"/>
    <w:rsid w:val="00EC08F0"/>
    <w:rsid w:val="00ED37D9"/>
    <w:rsid w:val="00ED7D9A"/>
    <w:rsid w:val="00ED7DC7"/>
    <w:rsid w:val="00EE7131"/>
    <w:rsid w:val="00F10209"/>
    <w:rsid w:val="00F17029"/>
    <w:rsid w:val="00F173FD"/>
    <w:rsid w:val="00F235F5"/>
    <w:rsid w:val="00F321FF"/>
    <w:rsid w:val="00F4011B"/>
    <w:rsid w:val="00F41C64"/>
    <w:rsid w:val="00F64F3D"/>
    <w:rsid w:val="00F70F5F"/>
    <w:rsid w:val="00F8052B"/>
    <w:rsid w:val="00F84859"/>
    <w:rsid w:val="00F91DAA"/>
    <w:rsid w:val="00FA408A"/>
    <w:rsid w:val="00FB0787"/>
    <w:rsid w:val="00FB4405"/>
    <w:rsid w:val="00FB7D7D"/>
    <w:rsid w:val="00FD0F53"/>
    <w:rsid w:val="00FF142C"/>
    <w:rsid w:val="00FF3BC4"/>
    <w:rsid w:val="00FF3E4F"/>
    <w:rsid w:val="010B2569"/>
    <w:rsid w:val="01172A03"/>
    <w:rsid w:val="01206974"/>
    <w:rsid w:val="012706AB"/>
    <w:rsid w:val="01297CA0"/>
    <w:rsid w:val="013730A5"/>
    <w:rsid w:val="01374E54"/>
    <w:rsid w:val="01395070"/>
    <w:rsid w:val="015B6D94"/>
    <w:rsid w:val="015D585D"/>
    <w:rsid w:val="01786540"/>
    <w:rsid w:val="018B7D8A"/>
    <w:rsid w:val="01B23A13"/>
    <w:rsid w:val="01C857E6"/>
    <w:rsid w:val="01CD57FF"/>
    <w:rsid w:val="01D453F0"/>
    <w:rsid w:val="01DA4DB5"/>
    <w:rsid w:val="01E46594"/>
    <w:rsid w:val="01F80836"/>
    <w:rsid w:val="01F8416A"/>
    <w:rsid w:val="02076F1C"/>
    <w:rsid w:val="021D1844"/>
    <w:rsid w:val="021D1CB0"/>
    <w:rsid w:val="02535CBD"/>
    <w:rsid w:val="02624152"/>
    <w:rsid w:val="02707F17"/>
    <w:rsid w:val="02714D38"/>
    <w:rsid w:val="027A7612"/>
    <w:rsid w:val="027F6AB2"/>
    <w:rsid w:val="02814118"/>
    <w:rsid w:val="02832643"/>
    <w:rsid w:val="02897931"/>
    <w:rsid w:val="029C4CB1"/>
    <w:rsid w:val="029E2444"/>
    <w:rsid w:val="02A07FDC"/>
    <w:rsid w:val="02B60E06"/>
    <w:rsid w:val="02CA1EB1"/>
    <w:rsid w:val="02D74204"/>
    <w:rsid w:val="02DF389F"/>
    <w:rsid w:val="02ED7EC0"/>
    <w:rsid w:val="030D604F"/>
    <w:rsid w:val="031075BB"/>
    <w:rsid w:val="031B60F3"/>
    <w:rsid w:val="032F07A2"/>
    <w:rsid w:val="03347F53"/>
    <w:rsid w:val="035D43B0"/>
    <w:rsid w:val="036A37CB"/>
    <w:rsid w:val="038B0D51"/>
    <w:rsid w:val="03903C1F"/>
    <w:rsid w:val="039447DF"/>
    <w:rsid w:val="03AD10E5"/>
    <w:rsid w:val="03C249D5"/>
    <w:rsid w:val="03C86237"/>
    <w:rsid w:val="04091C6F"/>
    <w:rsid w:val="042E47B2"/>
    <w:rsid w:val="0431202E"/>
    <w:rsid w:val="04385E02"/>
    <w:rsid w:val="044031CE"/>
    <w:rsid w:val="044238F6"/>
    <w:rsid w:val="044A0592"/>
    <w:rsid w:val="045875B5"/>
    <w:rsid w:val="04613C48"/>
    <w:rsid w:val="04715D30"/>
    <w:rsid w:val="04783BC9"/>
    <w:rsid w:val="048A4669"/>
    <w:rsid w:val="048C0345"/>
    <w:rsid w:val="04925647"/>
    <w:rsid w:val="049A3A21"/>
    <w:rsid w:val="049D3B67"/>
    <w:rsid w:val="04A84F35"/>
    <w:rsid w:val="04B62533"/>
    <w:rsid w:val="04B85ED2"/>
    <w:rsid w:val="04C10992"/>
    <w:rsid w:val="04CD7FA9"/>
    <w:rsid w:val="04DA571D"/>
    <w:rsid w:val="04F12507"/>
    <w:rsid w:val="050E68EF"/>
    <w:rsid w:val="05375C27"/>
    <w:rsid w:val="055D7941"/>
    <w:rsid w:val="056E7DE1"/>
    <w:rsid w:val="057619AD"/>
    <w:rsid w:val="0580326D"/>
    <w:rsid w:val="05A11814"/>
    <w:rsid w:val="05C35F5A"/>
    <w:rsid w:val="066346CD"/>
    <w:rsid w:val="066466EB"/>
    <w:rsid w:val="067508F8"/>
    <w:rsid w:val="06BF6017"/>
    <w:rsid w:val="06C71C5E"/>
    <w:rsid w:val="06C8492D"/>
    <w:rsid w:val="06E5236E"/>
    <w:rsid w:val="06E71034"/>
    <w:rsid w:val="06FD269B"/>
    <w:rsid w:val="07083D36"/>
    <w:rsid w:val="071F4C8D"/>
    <w:rsid w:val="07241C47"/>
    <w:rsid w:val="07260350"/>
    <w:rsid w:val="072F69D8"/>
    <w:rsid w:val="0736320D"/>
    <w:rsid w:val="073F0F06"/>
    <w:rsid w:val="075E138C"/>
    <w:rsid w:val="076016E4"/>
    <w:rsid w:val="07726BE5"/>
    <w:rsid w:val="077A6C97"/>
    <w:rsid w:val="07B76CEE"/>
    <w:rsid w:val="07BD2286"/>
    <w:rsid w:val="07EA0E72"/>
    <w:rsid w:val="07FA3F64"/>
    <w:rsid w:val="0808084B"/>
    <w:rsid w:val="083D2F5E"/>
    <w:rsid w:val="084C5688"/>
    <w:rsid w:val="085B58CB"/>
    <w:rsid w:val="085D0A47"/>
    <w:rsid w:val="086329D2"/>
    <w:rsid w:val="08852948"/>
    <w:rsid w:val="088E37D8"/>
    <w:rsid w:val="089669FA"/>
    <w:rsid w:val="089B1EC4"/>
    <w:rsid w:val="08A13C26"/>
    <w:rsid w:val="08BF22FE"/>
    <w:rsid w:val="08C10CE0"/>
    <w:rsid w:val="08C300D8"/>
    <w:rsid w:val="08C87478"/>
    <w:rsid w:val="08DA2C94"/>
    <w:rsid w:val="0902518B"/>
    <w:rsid w:val="090533B3"/>
    <w:rsid w:val="094E01BB"/>
    <w:rsid w:val="09615163"/>
    <w:rsid w:val="09664528"/>
    <w:rsid w:val="096C4286"/>
    <w:rsid w:val="098858E1"/>
    <w:rsid w:val="09CE1C05"/>
    <w:rsid w:val="09FC6193"/>
    <w:rsid w:val="0A2148F3"/>
    <w:rsid w:val="0A2600F6"/>
    <w:rsid w:val="0A39721C"/>
    <w:rsid w:val="0A3E078F"/>
    <w:rsid w:val="0A4C1AD0"/>
    <w:rsid w:val="0A52152C"/>
    <w:rsid w:val="0A5C592B"/>
    <w:rsid w:val="0A6B77AC"/>
    <w:rsid w:val="0A6E5D8A"/>
    <w:rsid w:val="0A6F38B0"/>
    <w:rsid w:val="0A7E3AF3"/>
    <w:rsid w:val="0A8C0D82"/>
    <w:rsid w:val="0A924BC5"/>
    <w:rsid w:val="0AA108B0"/>
    <w:rsid w:val="0AAF3C91"/>
    <w:rsid w:val="0AE334A1"/>
    <w:rsid w:val="0AF50657"/>
    <w:rsid w:val="0AF80F8B"/>
    <w:rsid w:val="0AFB1BC7"/>
    <w:rsid w:val="0B093D05"/>
    <w:rsid w:val="0B1C0C2C"/>
    <w:rsid w:val="0B260413"/>
    <w:rsid w:val="0B4067EB"/>
    <w:rsid w:val="0B421562"/>
    <w:rsid w:val="0B4F45BF"/>
    <w:rsid w:val="0B7708A6"/>
    <w:rsid w:val="0B82222A"/>
    <w:rsid w:val="0B896AF0"/>
    <w:rsid w:val="0B94572A"/>
    <w:rsid w:val="0B963D21"/>
    <w:rsid w:val="0B974E6D"/>
    <w:rsid w:val="0B9C7D1B"/>
    <w:rsid w:val="0BA359A9"/>
    <w:rsid w:val="0BAB4DCA"/>
    <w:rsid w:val="0BB767ED"/>
    <w:rsid w:val="0BC8771C"/>
    <w:rsid w:val="0BE81B6C"/>
    <w:rsid w:val="0BF73B5D"/>
    <w:rsid w:val="0BFE313E"/>
    <w:rsid w:val="0C0D143F"/>
    <w:rsid w:val="0C2972BF"/>
    <w:rsid w:val="0C472848"/>
    <w:rsid w:val="0C49264E"/>
    <w:rsid w:val="0C4B3C09"/>
    <w:rsid w:val="0C5837CD"/>
    <w:rsid w:val="0C6A432F"/>
    <w:rsid w:val="0C77670D"/>
    <w:rsid w:val="0C985340"/>
    <w:rsid w:val="0CB63A18"/>
    <w:rsid w:val="0CB804E7"/>
    <w:rsid w:val="0CBD4FCC"/>
    <w:rsid w:val="0CCA3020"/>
    <w:rsid w:val="0CD01940"/>
    <w:rsid w:val="0CDA7CB4"/>
    <w:rsid w:val="0CDB522D"/>
    <w:rsid w:val="0CF32EB9"/>
    <w:rsid w:val="0D29727C"/>
    <w:rsid w:val="0D3F756A"/>
    <w:rsid w:val="0D5A0848"/>
    <w:rsid w:val="0D613984"/>
    <w:rsid w:val="0D644613"/>
    <w:rsid w:val="0D67678E"/>
    <w:rsid w:val="0D6D6BDD"/>
    <w:rsid w:val="0D895F5D"/>
    <w:rsid w:val="0DAB400E"/>
    <w:rsid w:val="0DB63D4A"/>
    <w:rsid w:val="0DC363ED"/>
    <w:rsid w:val="0DDD6D83"/>
    <w:rsid w:val="0DDF6F9F"/>
    <w:rsid w:val="0DF827DA"/>
    <w:rsid w:val="0E26072A"/>
    <w:rsid w:val="0E682AF0"/>
    <w:rsid w:val="0E717C07"/>
    <w:rsid w:val="0E822B53"/>
    <w:rsid w:val="0E954768"/>
    <w:rsid w:val="0E9C09EC"/>
    <w:rsid w:val="0EA855E3"/>
    <w:rsid w:val="0EBE33D9"/>
    <w:rsid w:val="0EBE4AF8"/>
    <w:rsid w:val="0EC85EC3"/>
    <w:rsid w:val="0EDA1438"/>
    <w:rsid w:val="0EE24651"/>
    <w:rsid w:val="0EEB7B1C"/>
    <w:rsid w:val="0EF572A1"/>
    <w:rsid w:val="0EFB1BB6"/>
    <w:rsid w:val="0F0867DF"/>
    <w:rsid w:val="0F593FEA"/>
    <w:rsid w:val="0F5D017B"/>
    <w:rsid w:val="0F706100"/>
    <w:rsid w:val="0F70699C"/>
    <w:rsid w:val="0F713C26"/>
    <w:rsid w:val="0F8135EB"/>
    <w:rsid w:val="0F8306C9"/>
    <w:rsid w:val="0F841B59"/>
    <w:rsid w:val="0F9811B3"/>
    <w:rsid w:val="0FAF5D5A"/>
    <w:rsid w:val="0FB1741D"/>
    <w:rsid w:val="0FC95811"/>
    <w:rsid w:val="0FCC3926"/>
    <w:rsid w:val="0FD06C62"/>
    <w:rsid w:val="102165A8"/>
    <w:rsid w:val="102709F1"/>
    <w:rsid w:val="10345380"/>
    <w:rsid w:val="10354C54"/>
    <w:rsid w:val="10563C24"/>
    <w:rsid w:val="106E4B7E"/>
    <w:rsid w:val="107D3656"/>
    <w:rsid w:val="10802373"/>
    <w:rsid w:val="10A67900"/>
    <w:rsid w:val="10BD38CF"/>
    <w:rsid w:val="10C7057C"/>
    <w:rsid w:val="10C9732B"/>
    <w:rsid w:val="10E92C6E"/>
    <w:rsid w:val="11005262"/>
    <w:rsid w:val="110227A3"/>
    <w:rsid w:val="112360E2"/>
    <w:rsid w:val="11537A88"/>
    <w:rsid w:val="11595CB9"/>
    <w:rsid w:val="11633F35"/>
    <w:rsid w:val="11B2781B"/>
    <w:rsid w:val="11B86D77"/>
    <w:rsid w:val="11C41482"/>
    <w:rsid w:val="11CE5360"/>
    <w:rsid w:val="11FD2924"/>
    <w:rsid w:val="120C165E"/>
    <w:rsid w:val="122E4B42"/>
    <w:rsid w:val="123C2A45"/>
    <w:rsid w:val="12631A0A"/>
    <w:rsid w:val="126606C4"/>
    <w:rsid w:val="127203E1"/>
    <w:rsid w:val="128679E9"/>
    <w:rsid w:val="12896C4E"/>
    <w:rsid w:val="129F443D"/>
    <w:rsid w:val="12C025AA"/>
    <w:rsid w:val="12CE0786"/>
    <w:rsid w:val="12E0534B"/>
    <w:rsid w:val="12E12E71"/>
    <w:rsid w:val="12ED4198"/>
    <w:rsid w:val="12FA6E89"/>
    <w:rsid w:val="130D399B"/>
    <w:rsid w:val="131C64E2"/>
    <w:rsid w:val="132B6A32"/>
    <w:rsid w:val="1334692D"/>
    <w:rsid w:val="133616FF"/>
    <w:rsid w:val="13426006"/>
    <w:rsid w:val="13451652"/>
    <w:rsid w:val="13710699"/>
    <w:rsid w:val="13822D59"/>
    <w:rsid w:val="138E2216"/>
    <w:rsid w:val="13D1738A"/>
    <w:rsid w:val="13E7095B"/>
    <w:rsid w:val="13EB5139"/>
    <w:rsid w:val="13EE5846"/>
    <w:rsid w:val="13FE3E6C"/>
    <w:rsid w:val="14022569"/>
    <w:rsid w:val="140D3B87"/>
    <w:rsid w:val="14135229"/>
    <w:rsid w:val="141B14C7"/>
    <w:rsid w:val="14214C4A"/>
    <w:rsid w:val="14284673"/>
    <w:rsid w:val="142B3247"/>
    <w:rsid w:val="14337830"/>
    <w:rsid w:val="143F42F3"/>
    <w:rsid w:val="144216E5"/>
    <w:rsid w:val="14435ECB"/>
    <w:rsid w:val="14457A7C"/>
    <w:rsid w:val="144E4536"/>
    <w:rsid w:val="145A112D"/>
    <w:rsid w:val="147437F2"/>
    <w:rsid w:val="148077BA"/>
    <w:rsid w:val="1486422A"/>
    <w:rsid w:val="14A55A2C"/>
    <w:rsid w:val="14A625C4"/>
    <w:rsid w:val="14D902A4"/>
    <w:rsid w:val="150C0679"/>
    <w:rsid w:val="150E2D97"/>
    <w:rsid w:val="150F419D"/>
    <w:rsid w:val="15115C90"/>
    <w:rsid w:val="15284ADE"/>
    <w:rsid w:val="152C2AC9"/>
    <w:rsid w:val="1542187A"/>
    <w:rsid w:val="15593144"/>
    <w:rsid w:val="155A34EB"/>
    <w:rsid w:val="156274DF"/>
    <w:rsid w:val="15725F11"/>
    <w:rsid w:val="15843434"/>
    <w:rsid w:val="158A65B6"/>
    <w:rsid w:val="15955BFE"/>
    <w:rsid w:val="159E1BD6"/>
    <w:rsid w:val="159F5D0C"/>
    <w:rsid w:val="15A21234"/>
    <w:rsid w:val="15C34BB9"/>
    <w:rsid w:val="15C61161"/>
    <w:rsid w:val="15CC70C4"/>
    <w:rsid w:val="15D45AC3"/>
    <w:rsid w:val="15E1363F"/>
    <w:rsid w:val="15FF01DE"/>
    <w:rsid w:val="15FF1F8C"/>
    <w:rsid w:val="1607010F"/>
    <w:rsid w:val="16290A58"/>
    <w:rsid w:val="165169FF"/>
    <w:rsid w:val="166B4467"/>
    <w:rsid w:val="16747E6A"/>
    <w:rsid w:val="16756F08"/>
    <w:rsid w:val="16A15219"/>
    <w:rsid w:val="16BF2B88"/>
    <w:rsid w:val="16C67B60"/>
    <w:rsid w:val="16D50F3F"/>
    <w:rsid w:val="16D62899"/>
    <w:rsid w:val="16F60C2B"/>
    <w:rsid w:val="17016C26"/>
    <w:rsid w:val="17081B21"/>
    <w:rsid w:val="1720040C"/>
    <w:rsid w:val="172804CB"/>
    <w:rsid w:val="172B0B5F"/>
    <w:rsid w:val="172F5083"/>
    <w:rsid w:val="173773AA"/>
    <w:rsid w:val="174340FA"/>
    <w:rsid w:val="1756598F"/>
    <w:rsid w:val="175B0856"/>
    <w:rsid w:val="17625094"/>
    <w:rsid w:val="1768590F"/>
    <w:rsid w:val="177F1864"/>
    <w:rsid w:val="1792676B"/>
    <w:rsid w:val="17A76437"/>
    <w:rsid w:val="17AB10BD"/>
    <w:rsid w:val="17AF76B7"/>
    <w:rsid w:val="17E83F4C"/>
    <w:rsid w:val="180D7774"/>
    <w:rsid w:val="182A4CFD"/>
    <w:rsid w:val="1833777D"/>
    <w:rsid w:val="184B4098"/>
    <w:rsid w:val="18616BEA"/>
    <w:rsid w:val="187F34B7"/>
    <w:rsid w:val="18A15A72"/>
    <w:rsid w:val="18B97CAA"/>
    <w:rsid w:val="18BE156D"/>
    <w:rsid w:val="18DC3421"/>
    <w:rsid w:val="18ED4079"/>
    <w:rsid w:val="190478B9"/>
    <w:rsid w:val="19144051"/>
    <w:rsid w:val="1934019F"/>
    <w:rsid w:val="19390784"/>
    <w:rsid w:val="193A5CCA"/>
    <w:rsid w:val="19436634"/>
    <w:rsid w:val="19492697"/>
    <w:rsid w:val="194F4FD8"/>
    <w:rsid w:val="195725A1"/>
    <w:rsid w:val="195E6FCA"/>
    <w:rsid w:val="19716D12"/>
    <w:rsid w:val="198F754D"/>
    <w:rsid w:val="19925ACB"/>
    <w:rsid w:val="19DC3E19"/>
    <w:rsid w:val="19DE1A34"/>
    <w:rsid w:val="19ED3EA6"/>
    <w:rsid w:val="19FB0CBC"/>
    <w:rsid w:val="1A1B01C2"/>
    <w:rsid w:val="1A1B135F"/>
    <w:rsid w:val="1A2E102C"/>
    <w:rsid w:val="1A3F0230"/>
    <w:rsid w:val="1A564145"/>
    <w:rsid w:val="1A633C55"/>
    <w:rsid w:val="1A8244B9"/>
    <w:rsid w:val="1A83323F"/>
    <w:rsid w:val="1A974E89"/>
    <w:rsid w:val="1AAC0209"/>
    <w:rsid w:val="1AB1581F"/>
    <w:rsid w:val="1AB5530F"/>
    <w:rsid w:val="1ABC1C22"/>
    <w:rsid w:val="1AD27A37"/>
    <w:rsid w:val="1ADC12A8"/>
    <w:rsid w:val="1AE10A2D"/>
    <w:rsid w:val="1AE532C2"/>
    <w:rsid w:val="1AE856E5"/>
    <w:rsid w:val="1AFE1B04"/>
    <w:rsid w:val="1B013B1E"/>
    <w:rsid w:val="1B0A7218"/>
    <w:rsid w:val="1B0F1B5C"/>
    <w:rsid w:val="1B112759"/>
    <w:rsid w:val="1B2125C9"/>
    <w:rsid w:val="1B6603B7"/>
    <w:rsid w:val="1B7C5E2D"/>
    <w:rsid w:val="1B7E4864"/>
    <w:rsid w:val="1B8A22F8"/>
    <w:rsid w:val="1B982E35"/>
    <w:rsid w:val="1B98664F"/>
    <w:rsid w:val="1BB26287"/>
    <w:rsid w:val="1BC21D75"/>
    <w:rsid w:val="1BDE0896"/>
    <w:rsid w:val="1BE94471"/>
    <w:rsid w:val="1C18194D"/>
    <w:rsid w:val="1C1B57B1"/>
    <w:rsid w:val="1C206483"/>
    <w:rsid w:val="1C220782"/>
    <w:rsid w:val="1C42209F"/>
    <w:rsid w:val="1C623275"/>
    <w:rsid w:val="1C772591"/>
    <w:rsid w:val="1C796B0B"/>
    <w:rsid w:val="1C821221"/>
    <w:rsid w:val="1CA54054"/>
    <w:rsid w:val="1CAC6A7E"/>
    <w:rsid w:val="1CB3587E"/>
    <w:rsid w:val="1CBD494F"/>
    <w:rsid w:val="1CBE39F5"/>
    <w:rsid w:val="1CCC4EAC"/>
    <w:rsid w:val="1CDE7E4D"/>
    <w:rsid w:val="1CE24E9A"/>
    <w:rsid w:val="1CF37A3E"/>
    <w:rsid w:val="1CFB0616"/>
    <w:rsid w:val="1D014635"/>
    <w:rsid w:val="1D1C625D"/>
    <w:rsid w:val="1D266EFE"/>
    <w:rsid w:val="1D37200B"/>
    <w:rsid w:val="1D383779"/>
    <w:rsid w:val="1D440BCC"/>
    <w:rsid w:val="1D552DD9"/>
    <w:rsid w:val="1D682B0D"/>
    <w:rsid w:val="1D6F6FFB"/>
    <w:rsid w:val="1D72025A"/>
    <w:rsid w:val="1D79298C"/>
    <w:rsid w:val="1D8E3FE2"/>
    <w:rsid w:val="1D8F0099"/>
    <w:rsid w:val="1D9C0B66"/>
    <w:rsid w:val="1DA43419"/>
    <w:rsid w:val="1DA84CB7"/>
    <w:rsid w:val="1DAC6342"/>
    <w:rsid w:val="1DB775F0"/>
    <w:rsid w:val="1DBC4C07"/>
    <w:rsid w:val="1DE43E33"/>
    <w:rsid w:val="1DFE521F"/>
    <w:rsid w:val="1E0C1593"/>
    <w:rsid w:val="1E11752C"/>
    <w:rsid w:val="1E1E766F"/>
    <w:rsid w:val="1E231C8B"/>
    <w:rsid w:val="1E2367DE"/>
    <w:rsid w:val="1E3322A6"/>
    <w:rsid w:val="1E367197"/>
    <w:rsid w:val="1E5E1F5C"/>
    <w:rsid w:val="1E7270C6"/>
    <w:rsid w:val="1E890F8D"/>
    <w:rsid w:val="1E8D7F3C"/>
    <w:rsid w:val="1E9D4129"/>
    <w:rsid w:val="1EB678A8"/>
    <w:rsid w:val="1EEC5078"/>
    <w:rsid w:val="1F0B44C1"/>
    <w:rsid w:val="1F127D8D"/>
    <w:rsid w:val="1F1F369F"/>
    <w:rsid w:val="1F262749"/>
    <w:rsid w:val="1F35399F"/>
    <w:rsid w:val="1F454DC7"/>
    <w:rsid w:val="1F495970"/>
    <w:rsid w:val="1F4D1FF3"/>
    <w:rsid w:val="1F587630"/>
    <w:rsid w:val="1F6B347B"/>
    <w:rsid w:val="1F7A3F57"/>
    <w:rsid w:val="1FD57AFD"/>
    <w:rsid w:val="1FE40C90"/>
    <w:rsid w:val="202427EF"/>
    <w:rsid w:val="204333BD"/>
    <w:rsid w:val="204809D3"/>
    <w:rsid w:val="204844EF"/>
    <w:rsid w:val="20534EA2"/>
    <w:rsid w:val="205A4218"/>
    <w:rsid w:val="205E3D53"/>
    <w:rsid w:val="20684BD2"/>
    <w:rsid w:val="206D3F96"/>
    <w:rsid w:val="207E7A99"/>
    <w:rsid w:val="2085279F"/>
    <w:rsid w:val="2087666D"/>
    <w:rsid w:val="208A6AA5"/>
    <w:rsid w:val="20A268CA"/>
    <w:rsid w:val="20A3166D"/>
    <w:rsid w:val="20B56020"/>
    <w:rsid w:val="20B94930"/>
    <w:rsid w:val="20BC50D1"/>
    <w:rsid w:val="20C22856"/>
    <w:rsid w:val="20C834E7"/>
    <w:rsid w:val="20CE2C87"/>
    <w:rsid w:val="20D34376"/>
    <w:rsid w:val="20EB31B4"/>
    <w:rsid w:val="21022FBC"/>
    <w:rsid w:val="210C7C53"/>
    <w:rsid w:val="21117017"/>
    <w:rsid w:val="21472A39"/>
    <w:rsid w:val="214E3DC8"/>
    <w:rsid w:val="21533CA8"/>
    <w:rsid w:val="21544B20"/>
    <w:rsid w:val="215F5FD5"/>
    <w:rsid w:val="2173267B"/>
    <w:rsid w:val="21765654"/>
    <w:rsid w:val="21792144"/>
    <w:rsid w:val="219522F1"/>
    <w:rsid w:val="21A460DD"/>
    <w:rsid w:val="21A644B7"/>
    <w:rsid w:val="21B33138"/>
    <w:rsid w:val="21BE06FC"/>
    <w:rsid w:val="21CA7A41"/>
    <w:rsid w:val="21EF4B5E"/>
    <w:rsid w:val="21FF3314"/>
    <w:rsid w:val="221943D6"/>
    <w:rsid w:val="221B0635"/>
    <w:rsid w:val="221F598D"/>
    <w:rsid w:val="222C075C"/>
    <w:rsid w:val="22370D00"/>
    <w:rsid w:val="223D1624"/>
    <w:rsid w:val="22635651"/>
    <w:rsid w:val="226A32CF"/>
    <w:rsid w:val="227B0BEC"/>
    <w:rsid w:val="227D45EB"/>
    <w:rsid w:val="227D72DF"/>
    <w:rsid w:val="22842F43"/>
    <w:rsid w:val="229B752C"/>
    <w:rsid w:val="229D7991"/>
    <w:rsid w:val="22AA7723"/>
    <w:rsid w:val="22B365D8"/>
    <w:rsid w:val="22B8599C"/>
    <w:rsid w:val="22C75BE0"/>
    <w:rsid w:val="22E32420"/>
    <w:rsid w:val="22E42C35"/>
    <w:rsid w:val="23076924"/>
    <w:rsid w:val="23184F46"/>
    <w:rsid w:val="232623FE"/>
    <w:rsid w:val="233901C8"/>
    <w:rsid w:val="23406759"/>
    <w:rsid w:val="23451A70"/>
    <w:rsid w:val="23767606"/>
    <w:rsid w:val="23773C65"/>
    <w:rsid w:val="238166D6"/>
    <w:rsid w:val="239C70C7"/>
    <w:rsid w:val="23B24AE2"/>
    <w:rsid w:val="23CD52D2"/>
    <w:rsid w:val="23D762F6"/>
    <w:rsid w:val="23DF51AB"/>
    <w:rsid w:val="24024244"/>
    <w:rsid w:val="241F7156"/>
    <w:rsid w:val="24307E33"/>
    <w:rsid w:val="24394EC0"/>
    <w:rsid w:val="24617CAD"/>
    <w:rsid w:val="2466767A"/>
    <w:rsid w:val="2475719B"/>
    <w:rsid w:val="247E451D"/>
    <w:rsid w:val="248D3E0E"/>
    <w:rsid w:val="248D5F2E"/>
    <w:rsid w:val="248F4E23"/>
    <w:rsid w:val="24977834"/>
    <w:rsid w:val="249D7540"/>
    <w:rsid w:val="24F856F2"/>
    <w:rsid w:val="25113E0C"/>
    <w:rsid w:val="2512595D"/>
    <w:rsid w:val="25203CCD"/>
    <w:rsid w:val="25213E48"/>
    <w:rsid w:val="252C2672"/>
    <w:rsid w:val="25552AA0"/>
    <w:rsid w:val="25643BBA"/>
    <w:rsid w:val="256711CF"/>
    <w:rsid w:val="25675458"/>
    <w:rsid w:val="257537F7"/>
    <w:rsid w:val="25801525"/>
    <w:rsid w:val="25893620"/>
    <w:rsid w:val="25AA2393"/>
    <w:rsid w:val="25AC5561"/>
    <w:rsid w:val="25BD32CA"/>
    <w:rsid w:val="25CA3B84"/>
    <w:rsid w:val="25CF1A65"/>
    <w:rsid w:val="25D74E40"/>
    <w:rsid w:val="25E25090"/>
    <w:rsid w:val="25E72B54"/>
    <w:rsid w:val="25EC3BAF"/>
    <w:rsid w:val="25FC0296"/>
    <w:rsid w:val="261E783A"/>
    <w:rsid w:val="26354676"/>
    <w:rsid w:val="26564347"/>
    <w:rsid w:val="26594A5E"/>
    <w:rsid w:val="26747E2C"/>
    <w:rsid w:val="2675655C"/>
    <w:rsid w:val="2679798B"/>
    <w:rsid w:val="267C4F33"/>
    <w:rsid w:val="268663ED"/>
    <w:rsid w:val="26A821CC"/>
    <w:rsid w:val="26AA7CF2"/>
    <w:rsid w:val="26CC710B"/>
    <w:rsid w:val="26D94133"/>
    <w:rsid w:val="26F45411"/>
    <w:rsid w:val="26FF5DBA"/>
    <w:rsid w:val="270F0925"/>
    <w:rsid w:val="272924A0"/>
    <w:rsid w:val="27343601"/>
    <w:rsid w:val="27383550"/>
    <w:rsid w:val="27615207"/>
    <w:rsid w:val="2768496E"/>
    <w:rsid w:val="276B56D3"/>
    <w:rsid w:val="2790513A"/>
    <w:rsid w:val="27952750"/>
    <w:rsid w:val="27A74A76"/>
    <w:rsid w:val="27BD5803"/>
    <w:rsid w:val="27C44B22"/>
    <w:rsid w:val="27C65BB4"/>
    <w:rsid w:val="27D92271"/>
    <w:rsid w:val="27DB2A37"/>
    <w:rsid w:val="27E772EE"/>
    <w:rsid w:val="280D3C24"/>
    <w:rsid w:val="28445F24"/>
    <w:rsid w:val="28541BD2"/>
    <w:rsid w:val="285D1E99"/>
    <w:rsid w:val="286E67CB"/>
    <w:rsid w:val="287531A2"/>
    <w:rsid w:val="287B7B98"/>
    <w:rsid w:val="28843D57"/>
    <w:rsid w:val="28962738"/>
    <w:rsid w:val="28983B19"/>
    <w:rsid w:val="28B02089"/>
    <w:rsid w:val="28BE5CD7"/>
    <w:rsid w:val="28C23FD3"/>
    <w:rsid w:val="28E62B38"/>
    <w:rsid w:val="2919115F"/>
    <w:rsid w:val="29430DF1"/>
    <w:rsid w:val="29451F54"/>
    <w:rsid w:val="29474AE4"/>
    <w:rsid w:val="295F3022"/>
    <w:rsid w:val="297D349C"/>
    <w:rsid w:val="298638C2"/>
    <w:rsid w:val="29915199"/>
    <w:rsid w:val="299506C7"/>
    <w:rsid w:val="299D769A"/>
    <w:rsid w:val="29A30B6B"/>
    <w:rsid w:val="29B41FC4"/>
    <w:rsid w:val="29FB008B"/>
    <w:rsid w:val="2A1060BE"/>
    <w:rsid w:val="2A24600D"/>
    <w:rsid w:val="2A2A6D57"/>
    <w:rsid w:val="2A813870"/>
    <w:rsid w:val="2A8F5174"/>
    <w:rsid w:val="2AD90DEE"/>
    <w:rsid w:val="2AE92139"/>
    <w:rsid w:val="2AEB271C"/>
    <w:rsid w:val="2AED53DD"/>
    <w:rsid w:val="2AFE70EA"/>
    <w:rsid w:val="2AFE7BD8"/>
    <w:rsid w:val="2B0127B1"/>
    <w:rsid w:val="2B3578F3"/>
    <w:rsid w:val="2B3E30FF"/>
    <w:rsid w:val="2B452B06"/>
    <w:rsid w:val="2B4759C9"/>
    <w:rsid w:val="2B6E5792"/>
    <w:rsid w:val="2B6F425F"/>
    <w:rsid w:val="2B936FA7"/>
    <w:rsid w:val="2BA613A2"/>
    <w:rsid w:val="2BD202AE"/>
    <w:rsid w:val="2C171CC1"/>
    <w:rsid w:val="2C4A08A7"/>
    <w:rsid w:val="2C6423B2"/>
    <w:rsid w:val="2C6A6B16"/>
    <w:rsid w:val="2C796DBD"/>
    <w:rsid w:val="2C7D37B3"/>
    <w:rsid w:val="2C842D93"/>
    <w:rsid w:val="2CA87BF3"/>
    <w:rsid w:val="2CAE0769"/>
    <w:rsid w:val="2CB23094"/>
    <w:rsid w:val="2CBC252D"/>
    <w:rsid w:val="2CC55E02"/>
    <w:rsid w:val="2CD869F3"/>
    <w:rsid w:val="2CDE60DC"/>
    <w:rsid w:val="2CE77F92"/>
    <w:rsid w:val="2D083ED8"/>
    <w:rsid w:val="2D1A320A"/>
    <w:rsid w:val="2D247047"/>
    <w:rsid w:val="2D335F62"/>
    <w:rsid w:val="2D3B5B48"/>
    <w:rsid w:val="2D490E41"/>
    <w:rsid w:val="2D780364"/>
    <w:rsid w:val="2D8D14F8"/>
    <w:rsid w:val="2D8D5C78"/>
    <w:rsid w:val="2D8E211C"/>
    <w:rsid w:val="2D944C91"/>
    <w:rsid w:val="2DB15E0A"/>
    <w:rsid w:val="2DB31B82"/>
    <w:rsid w:val="2DB41456"/>
    <w:rsid w:val="2DC4273E"/>
    <w:rsid w:val="2E166CE2"/>
    <w:rsid w:val="2E1D757D"/>
    <w:rsid w:val="2E2D10B6"/>
    <w:rsid w:val="2E3216D6"/>
    <w:rsid w:val="2E356494"/>
    <w:rsid w:val="2E3A5291"/>
    <w:rsid w:val="2E3F6F72"/>
    <w:rsid w:val="2E424C8B"/>
    <w:rsid w:val="2E786928"/>
    <w:rsid w:val="2E8C4181"/>
    <w:rsid w:val="2EA80FBB"/>
    <w:rsid w:val="2EB35574"/>
    <w:rsid w:val="2EBB5196"/>
    <w:rsid w:val="2EBD4ED8"/>
    <w:rsid w:val="2F124686"/>
    <w:rsid w:val="2F132F31"/>
    <w:rsid w:val="2F1E7104"/>
    <w:rsid w:val="2F2850AE"/>
    <w:rsid w:val="2F3445FD"/>
    <w:rsid w:val="2F4405B8"/>
    <w:rsid w:val="2F4B1E85"/>
    <w:rsid w:val="2F5B38F4"/>
    <w:rsid w:val="2F6534BC"/>
    <w:rsid w:val="2F6A001E"/>
    <w:rsid w:val="2F6B1FE9"/>
    <w:rsid w:val="2F7314D4"/>
    <w:rsid w:val="2F9A2B9A"/>
    <w:rsid w:val="2FBF3D7D"/>
    <w:rsid w:val="2FEB14BE"/>
    <w:rsid w:val="30176F2B"/>
    <w:rsid w:val="30495115"/>
    <w:rsid w:val="305111DE"/>
    <w:rsid w:val="30511DB2"/>
    <w:rsid w:val="3064303D"/>
    <w:rsid w:val="308B0B94"/>
    <w:rsid w:val="308E41E1"/>
    <w:rsid w:val="30937A49"/>
    <w:rsid w:val="309816C2"/>
    <w:rsid w:val="30BE080C"/>
    <w:rsid w:val="30C97060"/>
    <w:rsid w:val="30D75B88"/>
    <w:rsid w:val="30D93DB7"/>
    <w:rsid w:val="30F77FD8"/>
    <w:rsid w:val="3102072B"/>
    <w:rsid w:val="31061FC9"/>
    <w:rsid w:val="31083F93"/>
    <w:rsid w:val="310C7F80"/>
    <w:rsid w:val="31143629"/>
    <w:rsid w:val="311A527C"/>
    <w:rsid w:val="3126091D"/>
    <w:rsid w:val="3128278E"/>
    <w:rsid w:val="312E1520"/>
    <w:rsid w:val="31466869"/>
    <w:rsid w:val="31541FA6"/>
    <w:rsid w:val="31545A86"/>
    <w:rsid w:val="316B62D0"/>
    <w:rsid w:val="31A13AFD"/>
    <w:rsid w:val="31B1462B"/>
    <w:rsid w:val="31CB082A"/>
    <w:rsid w:val="31D90DB0"/>
    <w:rsid w:val="31E51174"/>
    <w:rsid w:val="31FD176B"/>
    <w:rsid w:val="321D1044"/>
    <w:rsid w:val="32235361"/>
    <w:rsid w:val="326D1D05"/>
    <w:rsid w:val="326D7CE5"/>
    <w:rsid w:val="32A5786D"/>
    <w:rsid w:val="32A74B16"/>
    <w:rsid w:val="32A76025"/>
    <w:rsid w:val="32BA306B"/>
    <w:rsid w:val="32C959A4"/>
    <w:rsid w:val="32D225A9"/>
    <w:rsid w:val="32ED71B1"/>
    <w:rsid w:val="330B1BBE"/>
    <w:rsid w:val="331778DB"/>
    <w:rsid w:val="33374F8C"/>
    <w:rsid w:val="334D0383"/>
    <w:rsid w:val="33596D28"/>
    <w:rsid w:val="33732D77"/>
    <w:rsid w:val="339523C9"/>
    <w:rsid w:val="33984010"/>
    <w:rsid w:val="339F04B3"/>
    <w:rsid w:val="33A1247D"/>
    <w:rsid w:val="33B91574"/>
    <w:rsid w:val="33BE2FBB"/>
    <w:rsid w:val="33C5616B"/>
    <w:rsid w:val="33D72A06"/>
    <w:rsid w:val="33EB0FE6"/>
    <w:rsid w:val="33FC5905"/>
    <w:rsid w:val="34076784"/>
    <w:rsid w:val="340877E3"/>
    <w:rsid w:val="34180AFB"/>
    <w:rsid w:val="341B1CD8"/>
    <w:rsid w:val="341C3168"/>
    <w:rsid w:val="344165C4"/>
    <w:rsid w:val="344A4CA9"/>
    <w:rsid w:val="34503642"/>
    <w:rsid w:val="349C7E6A"/>
    <w:rsid w:val="34B33D14"/>
    <w:rsid w:val="34ED7013"/>
    <w:rsid w:val="34FA0097"/>
    <w:rsid w:val="351429B9"/>
    <w:rsid w:val="35304C26"/>
    <w:rsid w:val="35431A3E"/>
    <w:rsid w:val="354B5396"/>
    <w:rsid w:val="35571DF7"/>
    <w:rsid w:val="355D23D3"/>
    <w:rsid w:val="35804C41"/>
    <w:rsid w:val="35834689"/>
    <w:rsid w:val="35887DDB"/>
    <w:rsid w:val="35A96B39"/>
    <w:rsid w:val="35BF24A9"/>
    <w:rsid w:val="35D1164F"/>
    <w:rsid w:val="35DF52F8"/>
    <w:rsid w:val="35E71443"/>
    <w:rsid w:val="36116DAA"/>
    <w:rsid w:val="36227D77"/>
    <w:rsid w:val="3623361D"/>
    <w:rsid w:val="36334CEA"/>
    <w:rsid w:val="36637F57"/>
    <w:rsid w:val="367D0BD9"/>
    <w:rsid w:val="367F6AB9"/>
    <w:rsid w:val="368F2A60"/>
    <w:rsid w:val="369260AD"/>
    <w:rsid w:val="36A91D74"/>
    <w:rsid w:val="36AF19C0"/>
    <w:rsid w:val="36B9744C"/>
    <w:rsid w:val="36C85AB1"/>
    <w:rsid w:val="36D30B9F"/>
    <w:rsid w:val="36D6114E"/>
    <w:rsid w:val="36E0506A"/>
    <w:rsid w:val="36F164FB"/>
    <w:rsid w:val="36FB3DC5"/>
    <w:rsid w:val="37037A88"/>
    <w:rsid w:val="37070849"/>
    <w:rsid w:val="371F5B92"/>
    <w:rsid w:val="372C6501"/>
    <w:rsid w:val="37454358"/>
    <w:rsid w:val="37753A04"/>
    <w:rsid w:val="37820824"/>
    <w:rsid w:val="378E43E0"/>
    <w:rsid w:val="37985D7C"/>
    <w:rsid w:val="37A90ADD"/>
    <w:rsid w:val="37B92F56"/>
    <w:rsid w:val="37C60704"/>
    <w:rsid w:val="37CE5077"/>
    <w:rsid w:val="37E32E49"/>
    <w:rsid w:val="37F063E3"/>
    <w:rsid w:val="37FD6D6A"/>
    <w:rsid w:val="3814295B"/>
    <w:rsid w:val="38206250"/>
    <w:rsid w:val="382F5AF1"/>
    <w:rsid w:val="38433B03"/>
    <w:rsid w:val="38602906"/>
    <w:rsid w:val="38613F89"/>
    <w:rsid w:val="386D70AE"/>
    <w:rsid w:val="388A181B"/>
    <w:rsid w:val="38936601"/>
    <w:rsid w:val="38A65C20"/>
    <w:rsid w:val="38AC12EF"/>
    <w:rsid w:val="38B22A36"/>
    <w:rsid w:val="38F028BF"/>
    <w:rsid w:val="38FB618B"/>
    <w:rsid w:val="390C1B6D"/>
    <w:rsid w:val="390E6E47"/>
    <w:rsid w:val="39113C01"/>
    <w:rsid w:val="3914549F"/>
    <w:rsid w:val="39532732"/>
    <w:rsid w:val="395A7AFE"/>
    <w:rsid w:val="39671A73"/>
    <w:rsid w:val="39691347"/>
    <w:rsid w:val="39747696"/>
    <w:rsid w:val="39897C3B"/>
    <w:rsid w:val="39933E38"/>
    <w:rsid w:val="399D4784"/>
    <w:rsid w:val="39A50EA1"/>
    <w:rsid w:val="39B6139D"/>
    <w:rsid w:val="39C476D3"/>
    <w:rsid w:val="39C649EB"/>
    <w:rsid w:val="39CA0185"/>
    <w:rsid w:val="39DA2245"/>
    <w:rsid w:val="39E57C4F"/>
    <w:rsid w:val="39EB26A4"/>
    <w:rsid w:val="39FA6830"/>
    <w:rsid w:val="3A1031D4"/>
    <w:rsid w:val="3A1A0893"/>
    <w:rsid w:val="3A2F5FEC"/>
    <w:rsid w:val="3A663AD8"/>
    <w:rsid w:val="3A6C642E"/>
    <w:rsid w:val="3A7F393B"/>
    <w:rsid w:val="3A873D4C"/>
    <w:rsid w:val="3A9471DC"/>
    <w:rsid w:val="3AAD1707"/>
    <w:rsid w:val="3ABD5DEE"/>
    <w:rsid w:val="3AC845BE"/>
    <w:rsid w:val="3AD3513C"/>
    <w:rsid w:val="3AD46F39"/>
    <w:rsid w:val="3AD73496"/>
    <w:rsid w:val="3AF35AF7"/>
    <w:rsid w:val="3B042005"/>
    <w:rsid w:val="3B2A44D7"/>
    <w:rsid w:val="3B2A5F37"/>
    <w:rsid w:val="3B581673"/>
    <w:rsid w:val="3B6D66AC"/>
    <w:rsid w:val="3B6F0FCC"/>
    <w:rsid w:val="3B7C7A57"/>
    <w:rsid w:val="3B7F268E"/>
    <w:rsid w:val="3B8C493B"/>
    <w:rsid w:val="3BBD597A"/>
    <w:rsid w:val="3BC731D0"/>
    <w:rsid w:val="3BDC3532"/>
    <w:rsid w:val="3BE21884"/>
    <w:rsid w:val="3BF54F98"/>
    <w:rsid w:val="3BFA6208"/>
    <w:rsid w:val="3C0B2B89"/>
    <w:rsid w:val="3C1557B6"/>
    <w:rsid w:val="3C1C1A90"/>
    <w:rsid w:val="3C2D1575"/>
    <w:rsid w:val="3C2D4D23"/>
    <w:rsid w:val="3C336E3B"/>
    <w:rsid w:val="3C3F2833"/>
    <w:rsid w:val="3C5C50CF"/>
    <w:rsid w:val="3C667DC0"/>
    <w:rsid w:val="3C7F531D"/>
    <w:rsid w:val="3C921449"/>
    <w:rsid w:val="3C9A11D3"/>
    <w:rsid w:val="3CC3186F"/>
    <w:rsid w:val="3CC974A4"/>
    <w:rsid w:val="3CCC056A"/>
    <w:rsid w:val="3CD504A1"/>
    <w:rsid w:val="3CDB07AE"/>
    <w:rsid w:val="3CF44022"/>
    <w:rsid w:val="3D0B0176"/>
    <w:rsid w:val="3D1E599F"/>
    <w:rsid w:val="3D2D389D"/>
    <w:rsid w:val="3D36185F"/>
    <w:rsid w:val="3D3A1978"/>
    <w:rsid w:val="3D3D4FC4"/>
    <w:rsid w:val="3D5C4FEC"/>
    <w:rsid w:val="3D61764C"/>
    <w:rsid w:val="3D620BEA"/>
    <w:rsid w:val="3D906AA1"/>
    <w:rsid w:val="3D996EFE"/>
    <w:rsid w:val="3DAA3342"/>
    <w:rsid w:val="3DB72442"/>
    <w:rsid w:val="3DC05237"/>
    <w:rsid w:val="3DC95134"/>
    <w:rsid w:val="3DCF0AB9"/>
    <w:rsid w:val="3DD77F4E"/>
    <w:rsid w:val="3DDD0DA2"/>
    <w:rsid w:val="3DE90CA8"/>
    <w:rsid w:val="3DFA2EB5"/>
    <w:rsid w:val="3E104487"/>
    <w:rsid w:val="3E204BB6"/>
    <w:rsid w:val="3E3D317A"/>
    <w:rsid w:val="3E4660FB"/>
    <w:rsid w:val="3E594080"/>
    <w:rsid w:val="3E5B2F1D"/>
    <w:rsid w:val="3E7E5894"/>
    <w:rsid w:val="3E9B36AB"/>
    <w:rsid w:val="3EAE5A4E"/>
    <w:rsid w:val="3EC55271"/>
    <w:rsid w:val="3ED71449"/>
    <w:rsid w:val="3ED944FA"/>
    <w:rsid w:val="3EE25EAF"/>
    <w:rsid w:val="3EE41C7B"/>
    <w:rsid w:val="3EE46E43"/>
    <w:rsid w:val="3F2139E8"/>
    <w:rsid w:val="3F2759C2"/>
    <w:rsid w:val="3F2D314C"/>
    <w:rsid w:val="3F2E7FC7"/>
    <w:rsid w:val="3F362430"/>
    <w:rsid w:val="3F4F493F"/>
    <w:rsid w:val="3F5852D2"/>
    <w:rsid w:val="3F5E197C"/>
    <w:rsid w:val="3F632CDC"/>
    <w:rsid w:val="3F636838"/>
    <w:rsid w:val="3F6D7950"/>
    <w:rsid w:val="3F706F53"/>
    <w:rsid w:val="3F83631C"/>
    <w:rsid w:val="3F97075B"/>
    <w:rsid w:val="3F9B2476"/>
    <w:rsid w:val="3FB04D5C"/>
    <w:rsid w:val="3FCF6064"/>
    <w:rsid w:val="3FD054AD"/>
    <w:rsid w:val="3FD529B5"/>
    <w:rsid w:val="3FE91433"/>
    <w:rsid w:val="3FF22A5A"/>
    <w:rsid w:val="40082F6B"/>
    <w:rsid w:val="403501D5"/>
    <w:rsid w:val="40410D15"/>
    <w:rsid w:val="40436D8C"/>
    <w:rsid w:val="404F2269"/>
    <w:rsid w:val="405368AD"/>
    <w:rsid w:val="40540034"/>
    <w:rsid w:val="4063700D"/>
    <w:rsid w:val="407135B4"/>
    <w:rsid w:val="407C6265"/>
    <w:rsid w:val="40880423"/>
    <w:rsid w:val="408F760C"/>
    <w:rsid w:val="40B7508E"/>
    <w:rsid w:val="40C1308E"/>
    <w:rsid w:val="40C652D1"/>
    <w:rsid w:val="411B4E7D"/>
    <w:rsid w:val="41256923"/>
    <w:rsid w:val="4133398F"/>
    <w:rsid w:val="413B4B8E"/>
    <w:rsid w:val="414032D5"/>
    <w:rsid w:val="41410DFB"/>
    <w:rsid w:val="41500A63"/>
    <w:rsid w:val="41550197"/>
    <w:rsid w:val="415B3C6B"/>
    <w:rsid w:val="416A0352"/>
    <w:rsid w:val="416A466C"/>
    <w:rsid w:val="4181509F"/>
    <w:rsid w:val="419358C1"/>
    <w:rsid w:val="41A73354"/>
    <w:rsid w:val="41D35EF7"/>
    <w:rsid w:val="41D5167A"/>
    <w:rsid w:val="41D6122B"/>
    <w:rsid w:val="41DA3381"/>
    <w:rsid w:val="41E41548"/>
    <w:rsid w:val="42042555"/>
    <w:rsid w:val="42100EF9"/>
    <w:rsid w:val="421156DC"/>
    <w:rsid w:val="42415557"/>
    <w:rsid w:val="42492C9C"/>
    <w:rsid w:val="424E5742"/>
    <w:rsid w:val="425E3E47"/>
    <w:rsid w:val="4286052D"/>
    <w:rsid w:val="428C0CF8"/>
    <w:rsid w:val="42937435"/>
    <w:rsid w:val="42A961F2"/>
    <w:rsid w:val="42B6123C"/>
    <w:rsid w:val="42B878CE"/>
    <w:rsid w:val="42BA2C13"/>
    <w:rsid w:val="42F309BC"/>
    <w:rsid w:val="430004F7"/>
    <w:rsid w:val="431736E3"/>
    <w:rsid w:val="43291B47"/>
    <w:rsid w:val="4334069B"/>
    <w:rsid w:val="437A5FEE"/>
    <w:rsid w:val="437E0B80"/>
    <w:rsid w:val="43805C0B"/>
    <w:rsid w:val="4396542E"/>
    <w:rsid w:val="43A11BDF"/>
    <w:rsid w:val="43A155B7"/>
    <w:rsid w:val="43A90C74"/>
    <w:rsid w:val="43AE2905"/>
    <w:rsid w:val="43AF4742"/>
    <w:rsid w:val="43CA10CC"/>
    <w:rsid w:val="43D6255F"/>
    <w:rsid w:val="44083A83"/>
    <w:rsid w:val="44116432"/>
    <w:rsid w:val="441A23CF"/>
    <w:rsid w:val="444104BA"/>
    <w:rsid w:val="44490664"/>
    <w:rsid w:val="44970CF7"/>
    <w:rsid w:val="44CD1324"/>
    <w:rsid w:val="44CE70B1"/>
    <w:rsid w:val="451B0980"/>
    <w:rsid w:val="45412D85"/>
    <w:rsid w:val="45447C0B"/>
    <w:rsid w:val="456A4550"/>
    <w:rsid w:val="456F3AF6"/>
    <w:rsid w:val="45714975"/>
    <w:rsid w:val="457E43CC"/>
    <w:rsid w:val="45A51959"/>
    <w:rsid w:val="45BC6B8F"/>
    <w:rsid w:val="45CD1BD9"/>
    <w:rsid w:val="45D43D3F"/>
    <w:rsid w:val="45E22BAD"/>
    <w:rsid w:val="45E306D3"/>
    <w:rsid w:val="45FE550D"/>
    <w:rsid w:val="461B1C1B"/>
    <w:rsid w:val="46281354"/>
    <w:rsid w:val="4642004E"/>
    <w:rsid w:val="4642026C"/>
    <w:rsid w:val="46453DB0"/>
    <w:rsid w:val="4659090B"/>
    <w:rsid w:val="465F2DBB"/>
    <w:rsid w:val="46845A12"/>
    <w:rsid w:val="46874B19"/>
    <w:rsid w:val="469320F9"/>
    <w:rsid w:val="46955E71"/>
    <w:rsid w:val="469A087A"/>
    <w:rsid w:val="46A9191C"/>
    <w:rsid w:val="46C422B2"/>
    <w:rsid w:val="46DF533E"/>
    <w:rsid w:val="46E841F3"/>
    <w:rsid w:val="46F10D88"/>
    <w:rsid w:val="46F87BA3"/>
    <w:rsid w:val="46FC0964"/>
    <w:rsid w:val="47131808"/>
    <w:rsid w:val="471D34DB"/>
    <w:rsid w:val="471F4587"/>
    <w:rsid w:val="47431498"/>
    <w:rsid w:val="47440D69"/>
    <w:rsid w:val="47547694"/>
    <w:rsid w:val="475A2C17"/>
    <w:rsid w:val="475A5F5D"/>
    <w:rsid w:val="475C24EB"/>
    <w:rsid w:val="476B0980"/>
    <w:rsid w:val="477D7E68"/>
    <w:rsid w:val="47AF69F2"/>
    <w:rsid w:val="47B10B50"/>
    <w:rsid w:val="47B715B5"/>
    <w:rsid w:val="47CC377E"/>
    <w:rsid w:val="47D06A35"/>
    <w:rsid w:val="47EA7AF7"/>
    <w:rsid w:val="4829517C"/>
    <w:rsid w:val="482D3E87"/>
    <w:rsid w:val="483762D2"/>
    <w:rsid w:val="48493091"/>
    <w:rsid w:val="48623172"/>
    <w:rsid w:val="486F26F2"/>
    <w:rsid w:val="489B15FB"/>
    <w:rsid w:val="48A5149A"/>
    <w:rsid w:val="48C3017D"/>
    <w:rsid w:val="490B41C9"/>
    <w:rsid w:val="491625A2"/>
    <w:rsid w:val="4922090B"/>
    <w:rsid w:val="492418A5"/>
    <w:rsid w:val="493C2BF3"/>
    <w:rsid w:val="494B1258"/>
    <w:rsid w:val="49592DBD"/>
    <w:rsid w:val="496549D0"/>
    <w:rsid w:val="496B08BC"/>
    <w:rsid w:val="4970499D"/>
    <w:rsid w:val="498F4DBB"/>
    <w:rsid w:val="499A379E"/>
    <w:rsid w:val="499A7D74"/>
    <w:rsid w:val="499D7C02"/>
    <w:rsid w:val="499E503D"/>
    <w:rsid w:val="49A455B6"/>
    <w:rsid w:val="49A76B6F"/>
    <w:rsid w:val="49CD09E3"/>
    <w:rsid w:val="49D57801"/>
    <w:rsid w:val="49EB2377"/>
    <w:rsid w:val="49F77DE9"/>
    <w:rsid w:val="49FE3D2D"/>
    <w:rsid w:val="49FF7BAB"/>
    <w:rsid w:val="4A17094B"/>
    <w:rsid w:val="4A2003DB"/>
    <w:rsid w:val="4A201EF6"/>
    <w:rsid w:val="4A2C479A"/>
    <w:rsid w:val="4A5F68A6"/>
    <w:rsid w:val="4A613819"/>
    <w:rsid w:val="4A7E09CA"/>
    <w:rsid w:val="4A834998"/>
    <w:rsid w:val="4A9F2C7F"/>
    <w:rsid w:val="4AA57B0B"/>
    <w:rsid w:val="4AAC44E4"/>
    <w:rsid w:val="4AB80380"/>
    <w:rsid w:val="4ADC2719"/>
    <w:rsid w:val="4ADE5B84"/>
    <w:rsid w:val="4AE80325"/>
    <w:rsid w:val="4AEB0C79"/>
    <w:rsid w:val="4AF40C36"/>
    <w:rsid w:val="4B15132F"/>
    <w:rsid w:val="4B2A1485"/>
    <w:rsid w:val="4B31194B"/>
    <w:rsid w:val="4B333DED"/>
    <w:rsid w:val="4B490FD8"/>
    <w:rsid w:val="4B63541B"/>
    <w:rsid w:val="4B6778DA"/>
    <w:rsid w:val="4B706B47"/>
    <w:rsid w:val="4B8D5369"/>
    <w:rsid w:val="4BAD5A0B"/>
    <w:rsid w:val="4BEB29F9"/>
    <w:rsid w:val="4C0E7673"/>
    <w:rsid w:val="4C3158E1"/>
    <w:rsid w:val="4C432D60"/>
    <w:rsid w:val="4C455C43"/>
    <w:rsid w:val="4C46376A"/>
    <w:rsid w:val="4C52210E"/>
    <w:rsid w:val="4C5E3352"/>
    <w:rsid w:val="4C9038B4"/>
    <w:rsid w:val="4C910E89"/>
    <w:rsid w:val="4CB8457A"/>
    <w:rsid w:val="4CE750B1"/>
    <w:rsid w:val="4D0C2959"/>
    <w:rsid w:val="4D453716"/>
    <w:rsid w:val="4D8119CB"/>
    <w:rsid w:val="4D822E70"/>
    <w:rsid w:val="4DA655D6"/>
    <w:rsid w:val="4DB31898"/>
    <w:rsid w:val="4DCF7EBB"/>
    <w:rsid w:val="4DD52FF7"/>
    <w:rsid w:val="4DFC0584"/>
    <w:rsid w:val="4E015B6C"/>
    <w:rsid w:val="4E16510D"/>
    <w:rsid w:val="4E185752"/>
    <w:rsid w:val="4E2B2C17"/>
    <w:rsid w:val="4E3640E5"/>
    <w:rsid w:val="4E3715BC"/>
    <w:rsid w:val="4E4318AC"/>
    <w:rsid w:val="4E4F4393"/>
    <w:rsid w:val="4E5B3FA1"/>
    <w:rsid w:val="4E6E28B8"/>
    <w:rsid w:val="4E7F59C6"/>
    <w:rsid w:val="4EBD0261"/>
    <w:rsid w:val="4EC512BE"/>
    <w:rsid w:val="4ECF3EEA"/>
    <w:rsid w:val="4ECF5026"/>
    <w:rsid w:val="4F076778"/>
    <w:rsid w:val="4F142BEF"/>
    <w:rsid w:val="4F3F4BCC"/>
    <w:rsid w:val="4F4472E1"/>
    <w:rsid w:val="4F512B51"/>
    <w:rsid w:val="4F5B5FA2"/>
    <w:rsid w:val="4F607AAC"/>
    <w:rsid w:val="4F6A1362"/>
    <w:rsid w:val="4F8A39F8"/>
    <w:rsid w:val="4FAA2A4D"/>
    <w:rsid w:val="4FB01626"/>
    <w:rsid w:val="4FC8656E"/>
    <w:rsid w:val="4FCE5FEA"/>
    <w:rsid w:val="500801D9"/>
    <w:rsid w:val="500B5452"/>
    <w:rsid w:val="502F4C40"/>
    <w:rsid w:val="50333832"/>
    <w:rsid w:val="50577CF3"/>
    <w:rsid w:val="505823C9"/>
    <w:rsid w:val="50604613"/>
    <w:rsid w:val="50633C92"/>
    <w:rsid w:val="50657B1D"/>
    <w:rsid w:val="50A078EC"/>
    <w:rsid w:val="50B05655"/>
    <w:rsid w:val="50CB4D46"/>
    <w:rsid w:val="50CC43F9"/>
    <w:rsid w:val="50D321B4"/>
    <w:rsid w:val="50FD76CF"/>
    <w:rsid w:val="51071719"/>
    <w:rsid w:val="5119769F"/>
    <w:rsid w:val="51254F7B"/>
    <w:rsid w:val="51424ACB"/>
    <w:rsid w:val="514D02E8"/>
    <w:rsid w:val="5154593B"/>
    <w:rsid w:val="515733CB"/>
    <w:rsid w:val="516C77CE"/>
    <w:rsid w:val="516D590B"/>
    <w:rsid w:val="516F1D6B"/>
    <w:rsid w:val="519F7883"/>
    <w:rsid w:val="51AE7DE7"/>
    <w:rsid w:val="51B657BF"/>
    <w:rsid w:val="51BD2EC4"/>
    <w:rsid w:val="51C578C6"/>
    <w:rsid w:val="51C84229"/>
    <w:rsid w:val="51D806C5"/>
    <w:rsid w:val="51D93BB4"/>
    <w:rsid w:val="51DA0C16"/>
    <w:rsid w:val="51DB0B9F"/>
    <w:rsid w:val="51FF0643"/>
    <w:rsid w:val="52297A2E"/>
    <w:rsid w:val="5248427D"/>
    <w:rsid w:val="526037D7"/>
    <w:rsid w:val="526D22C6"/>
    <w:rsid w:val="527D16B9"/>
    <w:rsid w:val="52823A74"/>
    <w:rsid w:val="5291771F"/>
    <w:rsid w:val="52A01E26"/>
    <w:rsid w:val="52A25052"/>
    <w:rsid w:val="52A64E63"/>
    <w:rsid w:val="52AA5997"/>
    <w:rsid w:val="52B773A9"/>
    <w:rsid w:val="52E31D12"/>
    <w:rsid w:val="52E90B37"/>
    <w:rsid w:val="52E923B8"/>
    <w:rsid w:val="52EA0546"/>
    <w:rsid w:val="52FC23C3"/>
    <w:rsid w:val="52FD70ED"/>
    <w:rsid w:val="531977BE"/>
    <w:rsid w:val="531C0483"/>
    <w:rsid w:val="53281907"/>
    <w:rsid w:val="534A1D91"/>
    <w:rsid w:val="536710C1"/>
    <w:rsid w:val="53794425"/>
    <w:rsid w:val="53881C2A"/>
    <w:rsid w:val="538F3EF9"/>
    <w:rsid w:val="53A812C4"/>
    <w:rsid w:val="53A9156F"/>
    <w:rsid w:val="53C138F8"/>
    <w:rsid w:val="53E31B79"/>
    <w:rsid w:val="53F35F85"/>
    <w:rsid w:val="53FB3B1D"/>
    <w:rsid w:val="543107DE"/>
    <w:rsid w:val="54372316"/>
    <w:rsid w:val="54662BFB"/>
    <w:rsid w:val="5470741A"/>
    <w:rsid w:val="547370C6"/>
    <w:rsid w:val="548F1073"/>
    <w:rsid w:val="549B4897"/>
    <w:rsid w:val="549B548E"/>
    <w:rsid w:val="54C02294"/>
    <w:rsid w:val="54EA7388"/>
    <w:rsid w:val="54EC48F6"/>
    <w:rsid w:val="54FE72D7"/>
    <w:rsid w:val="55081F04"/>
    <w:rsid w:val="5528196E"/>
    <w:rsid w:val="552A00CC"/>
    <w:rsid w:val="5543118E"/>
    <w:rsid w:val="555F0923"/>
    <w:rsid w:val="555F71DF"/>
    <w:rsid w:val="55690BF5"/>
    <w:rsid w:val="55712FCB"/>
    <w:rsid w:val="55760637"/>
    <w:rsid w:val="55823A64"/>
    <w:rsid w:val="558444E0"/>
    <w:rsid w:val="55857A6A"/>
    <w:rsid w:val="558A0B6B"/>
    <w:rsid w:val="558A3AB9"/>
    <w:rsid w:val="55A0267B"/>
    <w:rsid w:val="55A42E38"/>
    <w:rsid w:val="55A576A2"/>
    <w:rsid w:val="55C976E5"/>
    <w:rsid w:val="55DA38A0"/>
    <w:rsid w:val="55EE06D6"/>
    <w:rsid w:val="55F62B6B"/>
    <w:rsid w:val="55FB4FCC"/>
    <w:rsid w:val="55FF6E63"/>
    <w:rsid w:val="56026953"/>
    <w:rsid w:val="56114DE8"/>
    <w:rsid w:val="56133344"/>
    <w:rsid w:val="561C5C67"/>
    <w:rsid w:val="56214CCC"/>
    <w:rsid w:val="563121C0"/>
    <w:rsid w:val="563D1109"/>
    <w:rsid w:val="5647080A"/>
    <w:rsid w:val="56486A5C"/>
    <w:rsid w:val="56622B2B"/>
    <w:rsid w:val="566D0271"/>
    <w:rsid w:val="566E1A91"/>
    <w:rsid w:val="5679256C"/>
    <w:rsid w:val="56A1127A"/>
    <w:rsid w:val="56A47A0A"/>
    <w:rsid w:val="56A56D10"/>
    <w:rsid w:val="56B12842"/>
    <w:rsid w:val="56E30533"/>
    <w:rsid w:val="57086286"/>
    <w:rsid w:val="570979CD"/>
    <w:rsid w:val="570F44A3"/>
    <w:rsid w:val="57296533"/>
    <w:rsid w:val="572F5526"/>
    <w:rsid w:val="57364CC8"/>
    <w:rsid w:val="57544E4F"/>
    <w:rsid w:val="57727B09"/>
    <w:rsid w:val="57743881"/>
    <w:rsid w:val="57972E71"/>
    <w:rsid w:val="57A066D0"/>
    <w:rsid w:val="57A51C8C"/>
    <w:rsid w:val="57AF48B9"/>
    <w:rsid w:val="57C03270"/>
    <w:rsid w:val="57D85BBE"/>
    <w:rsid w:val="57EA778E"/>
    <w:rsid w:val="57F73FEF"/>
    <w:rsid w:val="57FA3D86"/>
    <w:rsid w:val="581D5B34"/>
    <w:rsid w:val="5825158A"/>
    <w:rsid w:val="584C31CE"/>
    <w:rsid w:val="584D05CA"/>
    <w:rsid w:val="58556159"/>
    <w:rsid w:val="58625C2F"/>
    <w:rsid w:val="586D0483"/>
    <w:rsid w:val="587673A6"/>
    <w:rsid w:val="58831FCD"/>
    <w:rsid w:val="589C6DD5"/>
    <w:rsid w:val="58B24994"/>
    <w:rsid w:val="58B2624A"/>
    <w:rsid w:val="58C73406"/>
    <w:rsid w:val="58E62E0E"/>
    <w:rsid w:val="59113C10"/>
    <w:rsid w:val="591D473C"/>
    <w:rsid w:val="59312A3A"/>
    <w:rsid w:val="593132EC"/>
    <w:rsid w:val="593A439E"/>
    <w:rsid w:val="593F0B2C"/>
    <w:rsid w:val="596671F9"/>
    <w:rsid w:val="597219DE"/>
    <w:rsid w:val="598F3C8E"/>
    <w:rsid w:val="59A533A7"/>
    <w:rsid w:val="59AB1BA3"/>
    <w:rsid w:val="59B47F65"/>
    <w:rsid w:val="59FE56A9"/>
    <w:rsid w:val="5A0336E3"/>
    <w:rsid w:val="5A0B6D6A"/>
    <w:rsid w:val="5A0D0C4A"/>
    <w:rsid w:val="5A315147"/>
    <w:rsid w:val="5A3F54C6"/>
    <w:rsid w:val="5A736072"/>
    <w:rsid w:val="5A8220AD"/>
    <w:rsid w:val="5A8E7193"/>
    <w:rsid w:val="5A901727"/>
    <w:rsid w:val="5AA3381D"/>
    <w:rsid w:val="5AB0697E"/>
    <w:rsid w:val="5AC05821"/>
    <w:rsid w:val="5AEC4E40"/>
    <w:rsid w:val="5B150ADD"/>
    <w:rsid w:val="5B4C6079"/>
    <w:rsid w:val="5B532586"/>
    <w:rsid w:val="5B55046B"/>
    <w:rsid w:val="5B59111E"/>
    <w:rsid w:val="5B5E63DA"/>
    <w:rsid w:val="5B880BDD"/>
    <w:rsid w:val="5B8F680A"/>
    <w:rsid w:val="5BA66C84"/>
    <w:rsid w:val="5BC53DAB"/>
    <w:rsid w:val="5BCD22B6"/>
    <w:rsid w:val="5BCE0230"/>
    <w:rsid w:val="5BD60F55"/>
    <w:rsid w:val="5C0A0310"/>
    <w:rsid w:val="5C15339B"/>
    <w:rsid w:val="5C270CFF"/>
    <w:rsid w:val="5C2C34B6"/>
    <w:rsid w:val="5C337E68"/>
    <w:rsid w:val="5C3839BE"/>
    <w:rsid w:val="5C4C7641"/>
    <w:rsid w:val="5C8670A3"/>
    <w:rsid w:val="5C9740B5"/>
    <w:rsid w:val="5CB84210"/>
    <w:rsid w:val="5CC11316"/>
    <w:rsid w:val="5CC1233F"/>
    <w:rsid w:val="5CC26E3C"/>
    <w:rsid w:val="5CEE19B1"/>
    <w:rsid w:val="5CF25F5A"/>
    <w:rsid w:val="5D07484F"/>
    <w:rsid w:val="5D166D00"/>
    <w:rsid w:val="5D243548"/>
    <w:rsid w:val="5D2673CB"/>
    <w:rsid w:val="5D2F3896"/>
    <w:rsid w:val="5D4000D9"/>
    <w:rsid w:val="5D5C0FB3"/>
    <w:rsid w:val="5DBE2E25"/>
    <w:rsid w:val="5DBE5444"/>
    <w:rsid w:val="5DF136A3"/>
    <w:rsid w:val="5DF91C6C"/>
    <w:rsid w:val="5E022B26"/>
    <w:rsid w:val="5E3B0FF8"/>
    <w:rsid w:val="5E5379A8"/>
    <w:rsid w:val="5E550FAC"/>
    <w:rsid w:val="5E655CD1"/>
    <w:rsid w:val="5E6F4DA2"/>
    <w:rsid w:val="5E9232F8"/>
    <w:rsid w:val="5E9C63D1"/>
    <w:rsid w:val="5EAF5F88"/>
    <w:rsid w:val="5EB00087"/>
    <w:rsid w:val="5EB34C8F"/>
    <w:rsid w:val="5EDF5A84"/>
    <w:rsid w:val="5F0F017D"/>
    <w:rsid w:val="5F30084D"/>
    <w:rsid w:val="5F7A089F"/>
    <w:rsid w:val="5FBC7B73"/>
    <w:rsid w:val="5FC01094"/>
    <w:rsid w:val="5FCD3B2E"/>
    <w:rsid w:val="5FDE3F8D"/>
    <w:rsid w:val="5FF369E1"/>
    <w:rsid w:val="60010F8F"/>
    <w:rsid w:val="60145C01"/>
    <w:rsid w:val="603C144B"/>
    <w:rsid w:val="603E7E4C"/>
    <w:rsid w:val="604E0F2F"/>
    <w:rsid w:val="60600E46"/>
    <w:rsid w:val="6062071A"/>
    <w:rsid w:val="60652108"/>
    <w:rsid w:val="606607A5"/>
    <w:rsid w:val="608C5797"/>
    <w:rsid w:val="60A50444"/>
    <w:rsid w:val="60B31FEA"/>
    <w:rsid w:val="60B531C6"/>
    <w:rsid w:val="60C07B37"/>
    <w:rsid w:val="60C73B44"/>
    <w:rsid w:val="60E03D35"/>
    <w:rsid w:val="61096DE8"/>
    <w:rsid w:val="61265BEC"/>
    <w:rsid w:val="6129403D"/>
    <w:rsid w:val="6129748A"/>
    <w:rsid w:val="612B3202"/>
    <w:rsid w:val="613A6A65"/>
    <w:rsid w:val="61471ACE"/>
    <w:rsid w:val="616A6B1B"/>
    <w:rsid w:val="61720E31"/>
    <w:rsid w:val="61993B80"/>
    <w:rsid w:val="61A32A6F"/>
    <w:rsid w:val="61A3723C"/>
    <w:rsid w:val="61CE0027"/>
    <w:rsid w:val="61D51FCF"/>
    <w:rsid w:val="61D814EE"/>
    <w:rsid w:val="61DC44FC"/>
    <w:rsid w:val="61E76A89"/>
    <w:rsid w:val="61FA4982"/>
    <w:rsid w:val="62185625"/>
    <w:rsid w:val="622D678C"/>
    <w:rsid w:val="624A46F0"/>
    <w:rsid w:val="624A7B20"/>
    <w:rsid w:val="625A1243"/>
    <w:rsid w:val="625E3163"/>
    <w:rsid w:val="626A5FAC"/>
    <w:rsid w:val="62897FF7"/>
    <w:rsid w:val="62B92ACF"/>
    <w:rsid w:val="62C038F4"/>
    <w:rsid w:val="62C14FA7"/>
    <w:rsid w:val="62D022B3"/>
    <w:rsid w:val="62DE42A4"/>
    <w:rsid w:val="62F835B8"/>
    <w:rsid w:val="62F87A1E"/>
    <w:rsid w:val="62FF591F"/>
    <w:rsid w:val="63013A7C"/>
    <w:rsid w:val="63061E97"/>
    <w:rsid w:val="63355D16"/>
    <w:rsid w:val="633C78C1"/>
    <w:rsid w:val="635D2D85"/>
    <w:rsid w:val="63626C83"/>
    <w:rsid w:val="63AA3121"/>
    <w:rsid w:val="63B30D72"/>
    <w:rsid w:val="63B639CF"/>
    <w:rsid w:val="63BF7C32"/>
    <w:rsid w:val="63E860D7"/>
    <w:rsid w:val="63EE0517"/>
    <w:rsid w:val="640D333A"/>
    <w:rsid w:val="642151B4"/>
    <w:rsid w:val="643A0656"/>
    <w:rsid w:val="645273AA"/>
    <w:rsid w:val="64556998"/>
    <w:rsid w:val="6456548C"/>
    <w:rsid w:val="64676FB8"/>
    <w:rsid w:val="646D1D84"/>
    <w:rsid w:val="64756840"/>
    <w:rsid w:val="6481138B"/>
    <w:rsid w:val="648A46E4"/>
    <w:rsid w:val="649B069F"/>
    <w:rsid w:val="649F57AD"/>
    <w:rsid w:val="64BA4FBE"/>
    <w:rsid w:val="64D33BDF"/>
    <w:rsid w:val="64DB1D80"/>
    <w:rsid w:val="64DE058B"/>
    <w:rsid w:val="64E36AC4"/>
    <w:rsid w:val="64F62DF6"/>
    <w:rsid w:val="65016273"/>
    <w:rsid w:val="65404047"/>
    <w:rsid w:val="65424385"/>
    <w:rsid w:val="654F4FE5"/>
    <w:rsid w:val="655A5E64"/>
    <w:rsid w:val="655E28EA"/>
    <w:rsid w:val="6569254B"/>
    <w:rsid w:val="65724145"/>
    <w:rsid w:val="65736F26"/>
    <w:rsid w:val="657B69CF"/>
    <w:rsid w:val="65866172"/>
    <w:rsid w:val="65A36249"/>
    <w:rsid w:val="65A672FB"/>
    <w:rsid w:val="65CD54EE"/>
    <w:rsid w:val="65D75707"/>
    <w:rsid w:val="65DE2082"/>
    <w:rsid w:val="65DE529D"/>
    <w:rsid w:val="65DF280D"/>
    <w:rsid w:val="65E10333"/>
    <w:rsid w:val="65E469F5"/>
    <w:rsid w:val="65FD3034"/>
    <w:rsid w:val="660E550F"/>
    <w:rsid w:val="66255251"/>
    <w:rsid w:val="663C75EE"/>
    <w:rsid w:val="669B6734"/>
    <w:rsid w:val="66BB6B8A"/>
    <w:rsid w:val="66BF6449"/>
    <w:rsid w:val="66CA7019"/>
    <w:rsid w:val="66DE6971"/>
    <w:rsid w:val="66E039BD"/>
    <w:rsid w:val="66E14363"/>
    <w:rsid w:val="66E300DB"/>
    <w:rsid w:val="66E520A5"/>
    <w:rsid w:val="66EA76BB"/>
    <w:rsid w:val="66F51AC3"/>
    <w:rsid w:val="66FE6CC3"/>
    <w:rsid w:val="67310E46"/>
    <w:rsid w:val="675F59B3"/>
    <w:rsid w:val="676440C2"/>
    <w:rsid w:val="6784541A"/>
    <w:rsid w:val="67994442"/>
    <w:rsid w:val="67AA4EA5"/>
    <w:rsid w:val="67B850C4"/>
    <w:rsid w:val="67D74084"/>
    <w:rsid w:val="67DB076F"/>
    <w:rsid w:val="67E77B84"/>
    <w:rsid w:val="68030A35"/>
    <w:rsid w:val="6810174C"/>
    <w:rsid w:val="68183DB4"/>
    <w:rsid w:val="682C4391"/>
    <w:rsid w:val="682F47F9"/>
    <w:rsid w:val="683E024C"/>
    <w:rsid w:val="684677F9"/>
    <w:rsid w:val="68555008"/>
    <w:rsid w:val="686A0AB4"/>
    <w:rsid w:val="687C0156"/>
    <w:rsid w:val="687F7FD1"/>
    <w:rsid w:val="68890C27"/>
    <w:rsid w:val="688960C0"/>
    <w:rsid w:val="68CA77A4"/>
    <w:rsid w:val="68E0044C"/>
    <w:rsid w:val="68E63EB3"/>
    <w:rsid w:val="68F106B1"/>
    <w:rsid w:val="69605A13"/>
    <w:rsid w:val="69BC28BE"/>
    <w:rsid w:val="69BF53B0"/>
    <w:rsid w:val="69EA44BA"/>
    <w:rsid w:val="69FA0715"/>
    <w:rsid w:val="6A036A2F"/>
    <w:rsid w:val="6A041C7E"/>
    <w:rsid w:val="6A213ECC"/>
    <w:rsid w:val="6A301889"/>
    <w:rsid w:val="6A325601"/>
    <w:rsid w:val="6A334ED5"/>
    <w:rsid w:val="6A471681"/>
    <w:rsid w:val="6A486F2B"/>
    <w:rsid w:val="6A5F2917"/>
    <w:rsid w:val="6A815C41"/>
    <w:rsid w:val="6A895812"/>
    <w:rsid w:val="6A9E040D"/>
    <w:rsid w:val="6AA71193"/>
    <w:rsid w:val="6AC81AC2"/>
    <w:rsid w:val="6AF3359B"/>
    <w:rsid w:val="6AFA3FEB"/>
    <w:rsid w:val="6B030DD1"/>
    <w:rsid w:val="6B0B2D59"/>
    <w:rsid w:val="6B2F1B41"/>
    <w:rsid w:val="6B3B32F1"/>
    <w:rsid w:val="6B3B3C56"/>
    <w:rsid w:val="6B3E1BB0"/>
    <w:rsid w:val="6B454EC0"/>
    <w:rsid w:val="6B522586"/>
    <w:rsid w:val="6B5B2AA6"/>
    <w:rsid w:val="6B7E03D2"/>
    <w:rsid w:val="6B871A67"/>
    <w:rsid w:val="6B8F2B6B"/>
    <w:rsid w:val="6BAD1D41"/>
    <w:rsid w:val="6BBC3C6F"/>
    <w:rsid w:val="6BBC4EB5"/>
    <w:rsid w:val="6BC9041D"/>
    <w:rsid w:val="6BCC7E83"/>
    <w:rsid w:val="6BD03485"/>
    <w:rsid w:val="6BF55BDD"/>
    <w:rsid w:val="6BFF4C9D"/>
    <w:rsid w:val="6C0E180D"/>
    <w:rsid w:val="6C33316B"/>
    <w:rsid w:val="6C3D33A3"/>
    <w:rsid w:val="6C700183"/>
    <w:rsid w:val="6C830396"/>
    <w:rsid w:val="6CAD67BB"/>
    <w:rsid w:val="6CB0280D"/>
    <w:rsid w:val="6CB322FE"/>
    <w:rsid w:val="6CBA2A1A"/>
    <w:rsid w:val="6CC548D4"/>
    <w:rsid w:val="6CED1CB3"/>
    <w:rsid w:val="6CFD3965"/>
    <w:rsid w:val="6D0065A0"/>
    <w:rsid w:val="6D102F88"/>
    <w:rsid w:val="6D1549FF"/>
    <w:rsid w:val="6D155E60"/>
    <w:rsid w:val="6D340359"/>
    <w:rsid w:val="6D45122C"/>
    <w:rsid w:val="6D647338"/>
    <w:rsid w:val="6D6E737F"/>
    <w:rsid w:val="6D7A289E"/>
    <w:rsid w:val="6D7B2A0F"/>
    <w:rsid w:val="6D88378A"/>
    <w:rsid w:val="6D9739CD"/>
    <w:rsid w:val="6DA27C7A"/>
    <w:rsid w:val="6DBE5BA3"/>
    <w:rsid w:val="6DE74955"/>
    <w:rsid w:val="6E076DA5"/>
    <w:rsid w:val="6E0E03F4"/>
    <w:rsid w:val="6E14501E"/>
    <w:rsid w:val="6E166FE8"/>
    <w:rsid w:val="6E2D4F56"/>
    <w:rsid w:val="6E5B7F41"/>
    <w:rsid w:val="6E66128D"/>
    <w:rsid w:val="6E69536A"/>
    <w:rsid w:val="6E7C3109"/>
    <w:rsid w:val="6E7F693B"/>
    <w:rsid w:val="6E9F7379"/>
    <w:rsid w:val="6EA77C40"/>
    <w:rsid w:val="6EB462A8"/>
    <w:rsid w:val="6EB55F2F"/>
    <w:rsid w:val="6EB93445"/>
    <w:rsid w:val="6EE2110B"/>
    <w:rsid w:val="6EEC1A3A"/>
    <w:rsid w:val="6EEE555E"/>
    <w:rsid w:val="6F01303C"/>
    <w:rsid w:val="6F0D221B"/>
    <w:rsid w:val="6F160602"/>
    <w:rsid w:val="6F215C44"/>
    <w:rsid w:val="6F340D22"/>
    <w:rsid w:val="6F3B64CA"/>
    <w:rsid w:val="6F694EA3"/>
    <w:rsid w:val="6F6D48B9"/>
    <w:rsid w:val="6F7246F2"/>
    <w:rsid w:val="6F751AEC"/>
    <w:rsid w:val="6F9F6319"/>
    <w:rsid w:val="6FC14D32"/>
    <w:rsid w:val="6FD455D0"/>
    <w:rsid w:val="6FF3138F"/>
    <w:rsid w:val="6FF3658A"/>
    <w:rsid w:val="701557A9"/>
    <w:rsid w:val="702A0B29"/>
    <w:rsid w:val="702B3633"/>
    <w:rsid w:val="702B38FB"/>
    <w:rsid w:val="70316E71"/>
    <w:rsid w:val="7048022E"/>
    <w:rsid w:val="70556C09"/>
    <w:rsid w:val="705B0CE2"/>
    <w:rsid w:val="706B1E80"/>
    <w:rsid w:val="70752739"/>
    <w:rsid w:val="7097427D"/>
    <w:rsid w:val="709B47C5"/>
    <w:rsid w:val="70A416CB"/>
    <w:rsid w:val="70B54896"/>
    <w:rsid w:val="70F61D6F"/>
    <w:rsid w:val="71033AE0"/>
    <w:rsid w:val="71175987"/>
    <w:rsid w:val="711D243B"/>
    <w:rsid w:val="714300F4"/>
    <w:rsid w:val="715C325B"/>
    <w:rsid w:val="717604C9"/>
    <w:rsid w:val="719E17CE"/>
    <w:rsid w:val="71B86786"/>
    <w:rsid w:val="71BF3A88"/>
    <w:rsid w:val="71C72630"/>
    <w:rsid w:val="71DD6B0B"/>
    <w:rsid w:val="71F41064"/>
    <w:rsid w:val="72262086"/>
    <w:rsid w:val="72265CB5"/>
    <w:rsid w:val="722E1CDD"/>
    <w:rsid w:val="724F2AC9"/>
    <w:rsid w:val="72535843"/>
    <w:rsid w:val="72565C05"/>
    <w:rsid w:val="725B76BF"/>
    <w:rsid w:val="72606E27"/>
    <w:rsid w:val="726D052F"/>
    <w:rsid w:val="727067FE"/>
    <w:rsid w:val="7278105A"/>
    <w:rsid w:val="727D45B0"/>
    <w:rsid w:val="729F60D2"/>
    <w:rsid w:val="72AA7D31"/>
    <w:rsid w:val="72C418DB"/>
    <w:rsid w:val="72CE1C3F"/>
    <w:rsid w:val="72D6185B"/>
    <w:rsid w:val="72E37031"/>
    <w:rsid w:val="72EB21ED"/>
    <w:rsid w:val="72FF629D"/>
    <w:rsid w:val="73082679"/>
    <w:rsid w:val="730C22C9"/>
    <w:rsid w:val="73287A76"/>
    <w:rsid w:val="732A1892"/>
    <w:rsid w:val="732E2E5A"/>
    <w:rsid w:val="733676C5"/>
    <w:rsid w:val="734C0DB6"/>
    <w:rsid w:val="735937A8"/>
    <w:rsid w:val="736678A7"/>
    <w:rsid w:val="7389061E"/>
    <w:rsid w:val="7392524F"/>
    <w:rsid w:val="73A23C9D"/>
    <w:rsid w:val="73AB1F81"/>
    <w:rsid w:val="73AD7AA7"/>
    <w:rsid w:val="73DB21E0"/>
    <w:rsid w:val="73E35AD0"/>
    <w:rsid w:val="73E40234"/>
    <w:rsid w:val="73E71148"/>
    <w:rsid w:val="73F14162"/>
    <w:rsid w:val="73F76F74"/>
    <w:rsid w:val="740E3197"/>
    <w:rsid w:val="740F3564"/>
    <w:rsid w:val="7429230C"/>
    <w:rsid w:val="743C0E2B"/>
    <w:rsid w:val="74502BD9"/>
    <w:rsid w:val="745030E5"/>
    <w:rsid w:val="745D2DAF"/>
    <w:rsid w:val="74895C51"/>
    <w:rsid w:val="74AC7D5E"/>
    <w:rsid w:val="74AE284C"/>
    <w:rsid w:val="74CC21AE"/>
    <w:rsid w:val="74CF7E71"/>
    <w:rsid w:val="74DB208E"/>
    <w:rsid w:val="74E67BE8"/>
    <w:rsid w:val="74EB6AD9"/>
    <w:rsid w:val="74F636CF"/>
    <w:rsid w:val="75064FD0"/>
    <w:rsid w:val="750B72A4"/>
    <w:rsid w:val="75131A2F"/>
    <w:rsid w:val="75387A71"/>
    <w:rsid w:val="75395B04"/>
    <w:rsid w:val="759F78C3"/>
    <w:rsid w:val="75B3511C"/>
    <w:rsid w:val="75B811C6"/>
    <w:rsid w:val="75F54AE5"/>
    <w:rsid w:val="75F92528"/>
    <w:rsid w:val="75FB5F74"/>
    <w:rsid w:val="76040E5A"/>
    <w:rsid w:val="76086D93"/>
    <w:rsid w:val="7613219C"/>
    <w:rsid w:val="76171EA7"/>
    <w:rsid w:val="76422D32"/>
    <w:rsid w:val="7646258A"/>
    <w:rsid w:val="764E2B3D"/>
    <w:rsid w:val="76540DD5"/>
    <w:rsid w:val="767825EE"/>
    <w:rsid w:val="769A2AE8"/>
    <w:rsid w:val="769F4A44"/>
    <w:rsid w:val="76AF7FDA"/>
    <w:rsid w:val="76B43FD3"/>
    <w:rsid w:val="76B6096D"/>
    <w:rsid w:val="76B63116"/>
    <w:rsid w:val="76BB28DB"/>
    <w:rsid w:val="771509A7"/>
    <w:rsid w:val="77324E93"/>
    <w:rsid w:val="774A24F6"/>
    <w:rsid w:val="77510F5D"/>
    <w:rsid w:val="775D17E4"/>
    <w:rsid w:val="776B5CAF"/>
    <w:rsid w:val="776E067A"/>
    <w:rsid w:val="777D248A"/>
    <w:rsid w:val="77955421"/>
    <w:rsid w:val="77A90E61"/>
    <w:rsid w:val="77B05830"/>
    <w:rsid w:val="77D45F4A"/>
    <w:rsid w:val="77ED3420"/>
    <w:rsid w:val="780B2DAC"/>
    <w:rsid w:val="780D6D66"/>
    <w:rsid w:val="782B18E2"/>
    <w:rsid w:val="78373395"/>
    <w:rsid w:val="78383202"/>
    <w:rsid w:val="78817358"/>
    <w:rsid w:val="78881EB8"/>
    <w:rsid w:val="78A3591C"/>
    <w:rsid w:val="78AA2E65"/>
    <w:rsid w:val="78D705A5"/>
    <w:rsid w:val="78DE6954"/>
    <w:rsid w:val="78F246B6"/>
    <w:rsid w:val="79065899"/>
    <w:rsid w:val="7915569C"/>
    <w:rsid w:val="79165EAD"/>
    <w:rsid w:val="79262204"/>
    <w:rsid w:val="79264371"/>
    <w:rsid w:val="79337BDE"/>
    <w:rsid w:val="79707737"/>
    <w:rsid w:val="79737B93"/>
    <w:rsid w:val="797B24D4"/>
    <w:rsid w:val="799245A2"/>
    <w:rsid w:val="7998413F"/>
    <w:rsid w:val="79B040D6"/>
    <w:rsid w:val="79BD2A0E"/>
    <w:rsid w:val="79CC65C1"/>
    <w:rsid w:val="79FC10BE"/>
    <w:rsid w:val="7A007658"/>
    <w:rsid w:val="7A112616"/>
    <w:rsid w:val="7A1829E1"/>
    <w:rsid w:val="7A2860D9"/>
    <w:rsid w:val="7A377BCE"/>
    <w:rsid w:val="7A5275FA"/>
    <w:rsid w:val="7A5E3428"/>
    <w:rsid w:val="7A634A4B"/>
    <w:rsid w:val="7A634DEF"/>
    <w:rsid w:val="7A644B7F"/>
    <w:rsid w:val="7A8552D9"/>
    <w:rsid w:val="7A950461"/>
    <w:rsid w:val="7AC754CB"/>
    <w:rsid w:val="7AF462EC"/>
    <w:rsid w:val="7B0708A6"/>
    <w:rsid w:val="7B110F15"/>
    <w:rsid w:val="7B125713"/>
    <w:rsid w:val="7B2519B0"/>
    <w:rsid w:val="7B256931"/>
    <w:rsid w:val="7B260E18"/>
    <w:rsid w:val="7B2E0096"/>
    <w:rsid w:val="7B3F64A4"/>
    <w:rsid w:val="7B783090"/>
    <w:rsid w:val="7B791D12"/>
    <w:rsid w:val="7B947765"/>
    <w:rsid w:val="7B954CFC"/>
    <w:rsid w:val="7B9B28DB"/>
    <w:rsid w:val="7BA1493C"/>
    <w:rsid w:val="7BB86445"/>
    <w:rsid w:val="7BC64E83"/>
    <w:rsid w:val="7BD54D8E"/>
    <w:rsid w:val="7BF24BF0"/>
    <w:rsid w:val="7C091F3A"/>
    <w:rsid w:val="7C684646"/>
    <w:rsid w:val="7C7663AF"/>
    <w:rsid w:val="7C841778"/>
    <w:rsid w:val="7C8C193A"/>
    <w:rsid w:val="7C8C2AE3"/>
    <w:rsid w:val="7C9948E3"/>
    <w:rsid w:val="7CA659DB"/>
    <w:rsid w:val="7CC3218C"/>
    <w:rsid w:val="7CCA3477"/>
    <w:rsid w:val="7CE7713B"/>
    <w:rsid w:val="7CFA23A7"/>
    <w:rsid w:val="7D380D29"/>
    <w:rsid w:val="7D3905FD"/>
    <w:rsid w:val="7D536DD8"/>
    <w:rsid w:val="7D5C0BC3"/>
    <w:rsid w:val="7D5C5358"/>
    <w:rsid w:val="7D6B744C"/>
    <w:rsid w:val="7D8201F6"/>
    <w:rsid w:val="7D902D06"/>
    <w:rsid w:val="7D9225A0"/>
    <w:rsid w:val="7DA32BE1"/>
    <w:rsid w:val="7DA366B8"/>
    <w:rsid w:val="7DC074E2"/>
    <w:rsid w:val="7DE42161"/>
    <w:rsid w:val="7DEC1126"/>
    <w:rsid w:val="7DFF1847"/>
    <w:rsid w:val="7E30709B"/>
    <w:rsid w:val="7E404800"/>
    <w:rsid w:val="7E46467D"/>
    <w:rsid w:val="7E572CB5"/>
    <w:rsid w:val="7E6E6866"/>
    <w:rsid w:val="7E800C02"/>
    <w:rsid w:val="7E8143FB"/>
    <w:rsid w:val="7E846766"/>
    <w:rsid w:val="7E8D0C00"/>
    <w:rsid w:val="7EA10112"/>
    <w:rsid w:val="7EC40767"/>
    <w:rsid w:val="7ECE63C6"/>
    <w:rsid w:val="7ED54355"/>
    <w:rsid w:val="7ED56104"/>
    <w:rsid w:val="7ED713A5"/>
    <w:rsid w:val="7EE55CA2"/>
    <w:rsid w:val="7EED5D32"/>
    <w:rsid w:val="7EFC18E2"/>
    <w:rsid w:val="7F29028D"/>
    <w:rsid w:val="7F2A46A1"/>
    <w:rsid w:val="7F2B02B7"/>
    <w:rsid w:val="7F2F75B4"/>
    <w:rsid w:val="7F4170B6"/>
    <w:rsid w:val="7F5160D2"/>
    <w:rsid w:val="7F5B0CFF"/>
    <w:rsid w:val="7F6C5C65"/>
    <w:rsid w:val="7F6F4450"/>
    <w:rsid w:val="7F6F4A47"/>
    <w:rsid w:val="7F737DF6"/>
    <w:rsid w:val="7F86440E"/>
    <w:rsid w:val="7F956761"/>
    <w:rsid w:val="7FA11DDA"/>
    <w:rsid w:val="7FA91A6A"/>
    <w:rsid w:val="7FAC50B6"/>
    <w:rsid w:val="7FC44AF6"/>
    <w:rsid w:val="7FDB18A6"/>
    <w:rsid w:val="7FDD6E7F"/>
    <w:rsid w:val="7FE83438"/>
    <w:rsid w:val="7FEB5D6F"/>
    <w:rsid w:val="7FEF2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91"/>
    <w:qFormat/>
    <w:uiPriority w:val="0"/>
    <w:pPr>
      <w:keepNext/>
      <w:keepLines/>
      <w:spacing w:before="340" w:after="330" w:line="576" w:lineRule="auto"/>
      <w:jc w:val="center"/>
      <w:outlineLvl w:val="0"/>
    </w:pPr>
    <w:rPr>
      <w:b/>
      <w:bCs/>
      <w:kern w:val="44"/>
      <w:sz w:val="30"/>
      <w:szCs w:val="44"/>
    </w:rPr>
  </w:style>
  <w:style w:type="paragraph" w:styleId="2">
    <w:name w:val="heading 2"/>
    <w:basedOn w:val="1"/>
    <w:next w:val="1"/>
    <w:link w:val="80"/>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link w:val="56"/>
    <w:qFormat/>
    <w:uiPriority w:val="0"/>
    <w:pPr>
      <w:keepNext/>
      <w:keepLines/>
      <w:spacing w:before="260" w:after="260" w:line="413" w:lineRule="auto"/>
      <w:jc w:val="center"/>
      <w:outlineLvl w:val="2"/>
    </w:pPr>
    <w:rPr>
      <w:rFonts w:ascii="Calibri" w:hAnsi="Calibri"/>
      <w:b/>
      <w:bCs/>
      <w:sz w:val="28"/>
      <w:szCs w:val="32"/>
    </w:rPr>
  </w:style>
  <w:style w:type="paragraph" w:styleId="5">
    <w:name w:val="heading 4"/>
    <w:basedOn w:val="1"/>
    <w:next w:val="1"/>
    <w:link w:val="63"/>
    <w:qFormat/>
    <w:uiPriority w:val="0"/>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link w:val="88"/>
    <w:qFormat/>
    <w:uiPriority w:val="0"/>
    <w:pPr>
      <w:keepNext/>
      <w:keepLines/>
      <w:tabs>
        <w:tab w:val="left" w:pos="1800"/>
      </w:tabs>
      <w:spacing w:before="280" w:after="290" w:line="372" w:lineRule="auto"/>
      <w:ind w:left="1800" w:hanging="1800"/>
      <w:outlineLvl w:val="4"/>
    </w:pPr>
    <w:rPr>
      <w:b/>
      <w:bCs/>
      <w:sz w:val="28"/>
      <w:szCs w:val="28"/>
    </w:rPr>
  </w:style>
  <w:style w:type="paragraph" w:styleId="7">
    <w:name w:val="heading 6"/>
    <w:basedOn w:val="1"/>
    <w:next w:val="1"/>
    <w:link w:val="78"/>
    <w:qFormat/>
    <w:uiPriority w:val="0"/>
    <w:pPr>
      <w:keepNext/>
      <w:keepLines/>
      <w:adjustRightInd w:val="0"/>
      <w:spacing w:before="240" w:after="64" w:line="317" w:lineRule="auto"/>
      <w:textAlignment w:val="baseline"/>
      <w:outlineLvl w:val="5"/>
    </w:pPr>
    <w:rPr>
      <w:rFonts w:ascii="Arial" w:hAnsi="Arial" w:eastAsia="黑体"/>
      <w:b/>
      <w:szCs w:val="20"/>
    </w:rPr>
  </w:style>
  <w:style w:type="paragraph" w:styleId="8">
    <w:name w:val="heading 7"/>
    <w:basedOn w:val="1"/>
    <w:next w:val="1"/>
    <w:link w:val="86"/>
    <w:qFormat/>
    <w:uiPriority w:val="0"/>
    <w:pPr>
      <w:keepNext/>
      <w:keepLines/>
      <w:adjustRightInd w:val="0"/>
      <w:spacing w:before="240" w:after="64" w:line="317" w:lineRule="auto"/>
      <w:textAlignment w:val="baseline"/>
      <w:outlineLvl w:val="6"/>
    </w:pPr>
    <w:rPr>
      <w:b/>
      <w:szCs w:val="20"/>
    </w:rPr>
  </w:style>
  <w:style w:type="paragraph" w:styleId="9">
    <w:name w:val="heading 8"/>
    <w:basedOn w:val="1"/>
    <w:next w:val="1"/>
    <w:link w:val="94"/>
    <w:qFormat/>
    <w:uiPriority w:val="0"/>
    <w:pPr>
      <w:keepNext/>
      <w:keepLines/>
      <w:adjustRightInd w:val="0"/>
      <w:spacing w:before="240" w:after="64" w:line="317" w:lineRule="auto"/>
      <w:textAlignment w:val="baseline"/>
      <w:outlineLvl w:val="7"/>
    </w:pPr>
    <w:rPr>
      <w:rFonts w:ascii="Arial" w:hAnsi="Arial" w:eastAsia="黑体"/>
      <w:szCs w:val="20"/>
    </w:rPr>
  </w:style>
  <w:style w:type="paragraph" w:styleId="10">
    <w:name w:val="heading 9"/>
    <w:basedOn w:val="1"/>
    <w:next w:val="1"/>
    <w:link w:val="76"/>
    <w:qFormat/>
    <w:uiPriority w:val="0"/>
    <w:pPr>
      <w:keepNext/>
      <w:keepLines/>
      <w:adjustRightInd w:val="0"/>
      <w:spacing w:before="240" w:after="64" w:line="317" w:lineRule="auto"/>
      <w:textAlignment w:val="baseline"/>
      <w:outlineLvl w:val="8"/>
    </w:pPr>
    <w:rPr>
      <w:rFonts w:ascii="Arial" w:hAnsi="Arial" w:eastAsia="黑体"/>
      <w:szCs w:val="20"/>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rFonts w:ascii="Calibri" w:hAnsi="Calibri" w:cs="Calibri"/>
      <w:sz w:val="18"/>
      <w:szCs w:val="18"/>
    </w:rPr>
  </w:style>
  <w:style w:type="paragraph" w:styleId="12">
    <w:name w:val="List Number"/>
    <w:basedOn w:val="1"/>
    <w:qFormat/>
    <w:uiPriority w:val="0"/>
    <w:pPr>
      <w:widowControl/>
      <w:tabs>
        <w:tab w:val="left" w:pos="454"/>
        <w:tab w:val="left" w:pos="720"/>
      </w:tabs>
      <w:spacing w:after="156" w:afterLines="50"/>
      <w:ind w:left="454" w:hanging="284"/>
      <w:jc w:val="left"/>
    </w:pPr>
    <w:rPr>
      <w:kern w:val="0"/>
      <w:sz w:val="24"/>
      <w:szCs w:val="20"/>
    </w:rPr>
  </w:style>
  <w:style w:type="paragraph" w:styleId="13">
    <w:name w:val="Normal Indent"/>
    <w:basedOn w:val="1"/>
    <w:next w:val="1"/>
    <w:qFormat/>
    <w:uiPriority w:val="0"/>
    <w:pPr>
      <w:ind w:firstLine="420"/>
    </w:pPr>
    <w:rPr>
      <w:szCs w:val="20"/>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Document Map"/>
    <w:basedOn w:val="1"/>
    <w:qFormat/>
    <w:uiPriority w:val="0"/>
    <w:pPr>
      <w:shd w:val="clear" w:color="auto" w:fill="000080"/>
    </w:pPr>
  </w:style>
  <w:style w:type="paragraph" w:styleId="16">
    <w:name w:val="annotation text"/>
    <w:basedOn w:val="1"/>
    <w:link w:val="74"/>
    <w:qFormat/>
    <w:uiPriority w:val="0"/>
    <w:pPr>
      <w:jc w:val="left"/>
    </w:pPr>
    <w:rPr>
      <w:szCs w:val="20"/>
    </w:rPr>
  </w:style>
  <w:style w:type="paragraph" w:styleId="17">
    <w:name w:val="Body Text 3"/>
    <w:basedOn w:val="1"/>
    <w:link w:val="75"/>
    <w:qFormat/>
    <w:uiPriority w:val="0"/>
    <w:pPr>
      <w:snapToGrid w:val="0"/>
      <w:spacing w:before="50" w:after="50"/>
    </w:pPr>
    <w:rPr>
      <w:rFonts w:hAnsi="宋体" w:eastAsia="仿宋_GB2312"/>
      <w:b/>
      <w:bCs/>
      <w:sz w:val="24"/>
      <w:szCs w:val="20"/>
    </w:rPr>
  </w:style>
  <w:style w:type="paragraph" w:styleId="18">
    <w:name w:val="Body Text"/>
    <w:basedOn w:val="1"/>
    <w:next w:val="19"/>
    <w:link w:val="72"/>
    <w:qFormat/>
    <w:uiPriority w:val="0"/>
    <w:pPr>
      <w:spacing w:after="120"/>
    </w:pPr>
    <w:rPr>
      <w:sz w:val="28"/>
    </w:rPr>
  </w:style>
  <w:style w:type="paragraph" w:styleId="19">
    <w:name w:val="toc 4"/>
    <w:basedOn w:val="1"/>
    <w:next w:val="1"/>
    <w:qFormat/>
    <w:uiPriority w:val="0"/>
    <w:pPr>
      <w:ind w:left="630"/>
      <w:jc w:val="left"/>
    </w:pPr>
    <w:rPr>
      <w:rFonts w:ascii="Calibri" w:hAnsi="Calibri" w:cs="Calibri"/>
      <w:sz w:val="18"/>
      <w:szCs w:val="18"/>
    </w:rPr>
  </w:style>
  <w:style w:type="paragraph" w:styleId="20">
    <w:name w:val="Body Text Indent"/>
    <w:basedOn w:val="1"/>
    <w:next w:val="1"/>
    <w:link w:val="69"/>
    <w:qFormat/>
    <w:uiPriority w:val="0"/>
    <w:pPr>
      <w:spacing w:line="200" w:lineRule="exact"/>
      <w:ind w:firstLine="301"/>
    </w:pPr>
    <w:rPr>
      <w:rFonts w:ascii="宋体" w:hAnsi="Courier New"/>
      <w:spacing w:val="-4"/>
      <w:sz w:val="18"/>
      <w:szCs w:val="20"/>
    </w:rPr>
  </w:style>
  <w:style w:type="paragraph" w:styleId="21">
    <w:name w:val="List Number 3"/>
    <w:basedOn w:val="1"/>
    <w:qFormat/>
    <w:uiPriority w:val="0"/>
    <w:pPr>
      <w:numPr>
        <w:ilvl w:val="0"/>
        <w:numId w:val="1"/>
      </w:numPr>
    </w:pPr>
  </w:style>
  <w:style w:type="paragraph" w:styleId="22">
    <w:name w:val="List 2"/>
    <w:basedOn w:val="1"/>
    <w:qFormat/>
    <w:uiPriority w:val="0"/>
    <w:pPr>
      <w:ind w:left="100" w:leftChars="200" w:hanging="200" w:hangingChars="200"/>
    </w:pPr>
    <w:rPr>
      <w:sz w:val="28"/>
    </w:rPr>
  </w:style>
  <w:style w:type="paragraph" w:styleId="23">
    <w:name w:val="toc 5"/>
    <w:basedOn w:val="1"/>
    <w:next w:val="1"/>
    <w:qFormat/>
    <w:uiPriority w:val="0"/>
    <w:pPr>
      <w:ind w:left="840"/>
      <w:jc w:val="left"/>
    </w:pPr>
    <w:rPr>
      <w:rFonts w:ascii="Calibri" w:hAnsi="Calibri" w:cs="Calibri"/>
      <w:sz w:val="18"/>
      <w:szCs w:val="18"/>
    </w:rPr>
  </w:style>
  <w:style w:type="paragraph" w:styleId="24">
    <w:name w:val="toc 3"/>
    <w:basedOn w:val="1"/>
    <w:next w:val="1"/>
    <w:qFormat/>
    <w:uiPriority w:val="0"/>
    <w:pPr>
      <w:ind w:left="840" w:leftChars="400"/>
    </w:pPr>
  </w:style>
  <w:style w:type="paragraph" w:styleId="25">
    <w:name w:val="Plain Text"/>
    <w:basedOn w:val="1"/>
    <w:qFormat/>
    <w:uiPriority w:val="0"/>
    <w:pPr>
      <w:spacing w:beforeLines="50" w:afterLines="50" w:line="400" w:lineRule="exact"/>
    </w:pPr>
    <w:rPr>
      <w:rFonts w:ascii="宋体"/>
      <w:sz w:val="24"/>
    </w:rPr>
  </w:style>
  <w:style w:type="paragraph" w:styleId="26">
    <w:name w:val="toc 8"/>
    <w:basedOn w:val="1"/>
    <w:next w:val="1"/>
    <w:qFormat/>
    <w:uiPriority w:val="0"/>
    <w:pPr>
      <w:ind w:left="1470"/>
      <w:jc w:val="left"/>
    </w:pPr>
    <w:rPr>
      <w:rFonts w:ascii="Calibri" w:hAnsi="Calibri" w:cs="Calibri"/>
      <w:sz w:val="18"/>
      <w:szCs w:val="18"/>
    </w:rPr>
  </w:style>
  <w:style w:type="paragraph" w:styleId="27">
    <w:name w:val="Date"/>
    <w:basedOn w:val="1"/>
    <w:next w:val="1"/>
    <w:link w:val="65"/>
    <w:qFormat/>
    <w:uiPriority w:val="0"/>
    <w:pPr>
      <w:ind w:left="2500" w:leftChars="2500"/>
    </w:pPr>
    <w:rPr>
      <w:rFonts w:eastAsia="楷体_GB2312"/>
      <w:sz w:val="32"/>
      <w:szCs w:val="20"/>
    </w:rPr>
  </w:style>
  <w:style w:type="paragraph" w:styleId="28">
    <w:name w:val="Body Text Indent 2"/>
    <w:basedOn w:val="1"/>
    <w:link w:val="58"/>
    <w:qFormat/>
    <w:uiPriority w:val="0"/>
    <w:pPr>
      <w:snapToGrid w:val="0"/>
      <w:ind w:firstLine="542" w:firstLineChars="225"/>
    </w:pPr>
    <w:rPr>
      <w:rFonts w:ascii="仿宋_GB2312" w:hAnsi="宋体"/>
      <w:b/>
      <w:bCs/>
      <w:color w:val="000000"/>
      <w:sz w:val="24"/>
    </w:rPr>
  </w:style>
  <w:style w:type="paragraph" w:styleId="29">
    <w:name w:val="endnote text"/>
    <w:basedOn w:val="1"/>
    <w:link w:val="66"/>
    <w:qFormat/>
    <w:uiPriority w:val="0"/>
    <w:pPr>
      <w:snapToGrid w:val="0"/>
      <w:jc w:val="left"/>
    </w:pPr>
  </w:style>
  <w:style w:type="paragraph" w:styleId="30">
    <w:name w:val="Balloon Text"/>
    <w:basedOn w:val="1"/>
    <w:link w:val="61"/>
    <w:qFormat/>
    <w:uiPriority w:val="0"/>
    <w:rPr>
      <w:sz w:val="18"/>
      <w:szCs w:val="18"/>
    </w:rPr>
  </w:style>
  <w:style w:type="paragraph" w:styleId="31">
    <w:name w:val="footer"/>
    <w:basedOn w:val="1"/>
    <w:link w:val="79"/>
    <w:qFormat/>
    <w:uiPriority w:val="0"/>
    <w:pPr>
      <w:tabs>
        <w:tab w:val="center" w:pos="4153"/>
        <w:tab w:val="right" w:pos="8306"/>
      </w:tabs>
      <w:snapToGrid w:val="0"/>
      <w:jc w:val="left"/>
    </w:pPr>
    <w:rPr>
      <w:rFonts w:eastAsia="黑体"/>
      <w:snapToGrid w:val="0"/>
      <w:kern w:val="0"/>
      <w:sz w:val="18"/>
      <w:szCs w:val="18"/>
    </w:rPr>
  </w:style>
  <w:style w:type="paragraph" w:styleId="32">
    <w:name w:val="header"/>
    <w:basedOn w:val="1"/>
    <w:link w:val="60"/>
    <w:qFormat/>
    <w:uiPriority w:val="0"/>
    <w:pPr>
      <w:pBdr>
        <w:bottom w:val="single" w:color="auto" w:sz="6" w:space="1"/>
      </w:pBdr>
      <w:tabs>
        <w:tab w:val="center" w:pos="4153"/>
        <w:tab w:val="right" w:pos="8306"/>
      </w:tabs>
      <w:snapToGrid w:val="0"/>
      <w:jc w:val="center"/>
    </w:pPr>
    <w:rPr>
      <w:rFonts w:eastAsia="仿宋_GB2312"/>
      <w:sz w:val="18"/>
      <w:szCs w:val="20"/>
    </w:rPr>
  </w:style>
  <w:style w:type="paragraph" w:styleId="33">
    <w:name w:val="toc 1"/>
    <w:basedOn w:val="1"/>
    <w:next w:val="1"/>
    <w:qFormat/>
    <w:uiPriority w:val="0"/>
    <w:pPr>
      <w:spacing w:before="600" w:after="600"/>
    </w:pPr>
    <w:rPr>
      <w:b/>
      <w:sz w:val="32"/>
    </w:rPr>
  </w:style>
  <w:style w:type="paragraph" w:styleId="34">
    <w:name w:val="Subtitle"/>
    <w:basedOn w:val="1"/>
    <w:next w:val="1"/>
    <w:link w:val="87"/>
    <w:qFormat/>
    <w:uiPriority w:val="11"/>
    <w:pPr>
      <w:spacing w:before="240" w:after="60" w:line="312" w:lineRule="auto"/>
      <w:jc w:val="center"/>
      <w:outlineLvl w:val="1"/>
    </w:pPr>
    <w:rPr>
      <w:rFonts w:ascii="Cambria" w:hAnsi="Cambria"/>
      <w:b/>
      <w:bCs/>
      <w:kern w:val="28"/>
      <w:sz w:val="32"/>
      <w:szCs w:val="32"/>
    </w:rPr>
  </w:style>
  <w:style w:type="paragraph" w:styleId="35">
    <w:name w:val="List"/>
    <w:basedOn w:val="1"/>
    <w:qFormat/>
    <w:uiPriority w:val="0"/>
    <w:pPr>
      <w:ind w:left="200" w:hanging="200" w:hangingChars="200"/>
    </w:pPr>
    <w:rPr>
      <w:sz w:val="28"/>
    </w:rPr>
  </w:style>
  <w:style w:type="paragraph" w:styleId="36">
    <w:name w:val="footnote text"/>
    <w:basedOn w:val="1"/>
    <w:link w:val="73"/>
    <w:qFormat/>
    <w:uiPriority w:val="0"/>
    <w:pPr>
      <w:snapToGrid w:val="0"/>
      <w:jc w:val="left"/>
    </w:pPr>
    <w:rPr>
      <w:sz w:val="18"/>
      <w:szCs w:val="18"/>
    </w:rPr>
  </w:style>
  <w:style w:type="paragraph" w:styleId="37">
    <w:name w:val="toc 6"/>
    <w:basedOn w:val="1"/>
    <w:next w:val="1"/>
    <w:qFormat/>
    <w:uiPriority w:val="0"/>
    <w:pPr>
      <w:ind w:left="1050"/>
      <w:jc w:val="left"/>
    </w:pPr>
    <w:rPr>
      <w:rFonts w:ascii="Calibri" w:hAnsi="Calibri" w:cs="Calibri"/>
      <w:sz w:val="18"/>
      <w:szCs w:val="18"/>
    </w:rPr>
  </w:style>
  <w:style w:type="paragraph" w:styleId="38">
    <w:name w:val="Body Text Indent 3"/>
    <w:basedOn w:val="1"/>
    <w:link w:val="82"/>
    <w:qFormat/>
    <w:uiPriority w:val="0"/>
    <w:pPr>
      <w:snapToGrid w:val="0"/>
      <w:ind w:firstLine="480" w:firstLineChars="200"/>
      <w:jc w:val="left"/>
    </w:pPr>
    <w:rPr>
      <w:rFonts w:ascii="仿宋_GB2312" w:hAnsi="宋体" w:eastAsia="仿宋_GB2312"/>
      <w:color w:val="000000"/>
      <w:sz w:val="24"/>
    </w:rPr>
  </w:style>
  <w:style w:type="paragraph" w:styleId="39">
    <w:name w:val="toc 2"/>
    <w:basedOn w:val="1"/>
    <w:next w:val="1"/>
    <w:qFormat/>
    <w:uiPriority w:val="0"/>
    <w:pPr>
      <w:ind w:left="420" w:leftChars="200"/>
    </w:pPr>
  </w:style>
  <w:style w:type="paragraph" w:styleId="40">
    <w:name w:val="toc 9"/>
    <w:basedOn w:val="1"/>
    <w:next w:val="1"/>
    <w:qFormat/>
    <w:uiPriority w:val="0"/>
    <w:pPr>
      <w:ind w:left="1680"/>
      <w:jc w:val="left"/>
    </w:pPr>
    <w:rPr>
      <w:rFonts w:ascii="Calibri" w:hAnsi="Calibri" w:cs="Calibri"/>
      <w:sz w:val="18"/>
      <w:szCs w:val="18"/>
    </w:rPr>
  </w:style>
  <w:style w:type="paragraph" w:styleId="41">
    <w:name w:val="Body Text 2"/>
    <w:basedOn w:val="1"/>
    <w:link w:val="95"/>
    <w:qFormat/>
    <w:uiPriority w:val="0"/>
    <w:pPr>
      <w:widowControl/>
      <w:snapToGrid w:val="0"/>
      <w:spacing w:before="50" w:after="156" w:afterLines="50" w:line="400" w:lineRule="exact"/>
      <w:jc w:val="left"/>
    </w:pPr>
    <w:rPr>
      <w:rFonts w:ascii="宋体" w:hAnsi="宋体"/>
      <w:color w:val="000000"/>
      <w:sz w:val="24"/>
    </w:rPr>
  </w:style>
  <w:style w:type="paragraph" w:styleId="42">
    <w:name w:val="Normal (Web)"/>
    <w:basedOn w:val="1"/>
    <w:qFormat/>
    <w:uiPriority w:val="0"/>
    <w:pPr>
      <w:widowControl/>
      <w:spacing w:before="100" w:beforeAutospacing="1" w:after="100" w:afterAutospacing="1"/>
      <w:jc w:val="left"/>
    </w:pPr>
    <w:rPr>
      <w:kern w:val="0"/>
      <w:sz w:val="24"/>
    </w:rPr>
  </w:style>
  <w:style w:type="paragraph" w:styleId="43">
    <w:name w:val="annotation subject"/>
    <w:basedOn w:val="16"/>
    <w:next w:val="16"/>
    <w:link w:val="85"/>
    <w:qFormat/>
    <w:uiPriority w:val="0"/>
  </w:style>
  <w:style w:type="paragraph" w:styleId="44">
    <w:name w:val="Body Text First Indent"/>
    <w:basedOn w:val="18"/>
    <w:next w:val="1"/>
    <w:qFormat/>
    <w:uiPriority w:val="0"/>
    <w:pPr>
      <w:ind w:firstLine="420" w:firstLineChars="100"/>
    </w:pPr>
  </w:style>
  <w:style w:type="paragraph" w:styleId="45">
    <w:name w:val="Body Text First Indent 2"/>
    <w:basedOn w:val="20"/>
    <w:next w:val="1"/>
    <w:link w:val="92"/>
    <w:unhideWhenUsed/>
    <w:qFormat/>
    <w:uiPriority w:val="99"/>
    <w:pPr>
      <w:spacing w:after="120" w:line="240" w:lineRule="auto"/>
      <w:ind w:left="420" w:leftChars="200" w:firstLine="420" w:firstLineChars="200"/>
    </w:pPr>
    <w:rPr>
      <w:sz w:val="21"/>
      <w:szCs w:val="24"/>
    </w:rPr>
  </w:style>
  <w:style w:type="table" w:styleId="47">
    <w:name w:val="Table Grid"/>
    <w:basedOn w:val="4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qFormat/>
    <w:uiPriority w:val="0"/>
    <w:rPr>
      <w:b/>
      <w:bCs/>
    </w:rPr>
  </w:style>
  <w:style w:type="character" w:styleId="50">
    <w:name w:val="page number"/>
    <w:basedOn w:val="48"/>
    <w:qFormat/>
    <w:uiPriority w:val="0"/>
  </w:style>
  <w:style w:type="character" w:styleId="51">
    <w:name w:val="FollowedHyperlink"/>
    <w:qFormat/>
    <w:uiPriority w:val="0"/>
    <w:rPr>
      <w:color w:val="800080"/>
      <w:u w:val="single"/>
    </w:rPr>
  </w:style>
  <w:style w:type="character" w:styleId="52">
    <w:name w:val="Hyperlink"/>
    <w:qFormat/>
    <w:uiPriority w:val="0"/>
    <w:rPr>
      <w:color w:val="0000FF"/>
      <w:u w:val="single"/>
    </w:rPr>
  </w:style>
  <w:style w:type="character" w:styleId="53">
    <w:name w:val="annotation reference"/>
    <w:qFormat/>
    <w:uiPriority w:val="0"/>
    <w:rPr>
      <w:sz w:val="21"/>
      <w:szCs w:val="21"/>
    </w:rPr>
  </w:style>
  <w:style w:type="paragraph" w:customStyle="1" w:styleId="54">
    <w:name w:val="自动更正"/>
    <w:unhideWhenUsed/>
    <w:qFormat/>
    <w:uiPriority w:val="0"/>
    <w:pPr>
      <w:widowControl w:val="0"/>
      <w:spacing w:beforeLines="0" w:afterLines="0"/>
      <w:jc w:val="both"/>
    </w:pPr>
    <w:rPr>
      <w:rFonts w:hint="default" w:ascii="Times New Roman" w:hAnsi="Times New Roman" w:eastAsia="宋体" w:cs="Times New Roman"/>
      <w:kern w:val="2"/>
      <w:sz w:val="21"/>
      <w:lang w:val="en-US" w:eastAsia="zh-CN"/>
    </w:rPr>
  </w:style>
  <w:style w:type="paragraph" w:customStyle="1" w:styleId="55">
    <w:name w:val="表格文字"/>
    <w:basedOn w:val="1"/>
    <w:next w:val="18"/>
    <w:qFormat/>
    <w:uiPriority w:val="0"/>
    <w:pPr>
      <w:adjustRightInd w:val="0"/>
      <w:spacing w:line="420" w:lineRule="atLeast"/>
      <w:textAlignment w:val="baseline"/>
    </w:pPr>
  </w:style>
  <w:style w:type="character" w:customStyle="1" w:styleId="56">
    <w:name w:val="标题 3 字符"/>
    <w:link w:val="4"/>
    <w:qFormat/>
    <w:uiPriority w:val="0"/>
    <w:rPr>
      <w:rFonts w:ascii="Calibri" w:hAnsi="Calibri"/>
      <w:b/>
      <w:bCs/>
      <w:kern w:val="2"/>
      <w:sz w:val="28"/>
      <w:szCs w:val="32"/>
    </w:rPr>
  </w:style>
  <w:style w:type="character" w:customStyle="1" w:styleId="57">
    <w:name w:val="纯文本 字符"/>
    <w:qFormat/>
    <w:uiPriority w:val="0"/>
    <w:rPr>
      <w:rFonts w:ascii="宋体" w:hAnsi="Times New Roman" w:eastAsia="宋体" w:cs="Times New Roman"/>
      <w:sz w:val="24"/>
      <w:szCs w:val="24"/>
    </w:rPr>
  </w:style>
  <w:style w:type="character" w:customStyle="1" w:styleId="58">
    <w:name w:val="正文文本缩进 2 字符"/>
    <w:link w:val="28"/>
    <w:qFormat/>
    <w:uiPriority w:val="0"/>
    <w:rPr>
      <w:rFonts w:ascii="仿宋_GB2312" w:hAnsi="宋体" w:cs="Arial"/>
      <w:b/>
      <w:bCs/>
      <w:color w:val="000000"/>
      <w:kern w:val="2"/>
      <w:sz w:val="24"/>
      <w:szCs w:val="24"/>
    </w:rPr>
  </w:style>
  <w:style w:type="character" w:customStyle="1" w:styleId="59">
    <w:name w:val="font14zd"/>
    <w:basedOn w:val="48"/>
    <w:qFormat/>
    <w:uiPriority w:val="0"/>
  </w:style>
  <w:style w:type="character" w:customStyle="1" w:styleId="60">
    <w:name w:val="页眉 字符"/>
    <w:link w:val="32"/>
    <w:qFormat/>
    <w:uiPriority w:val="0"/>
    <w:rPr>
      <w:rFonts w:eastAsia="仿宋_GB2312"/>
      <w:kern w:val="2"/>
      <w:sz w:val="18"/>
    </w:rPr>
  </w:style>
  <w:style w:type="character" w:customStyle="1" w:styleId="61">
    <w:name w:val="批注框文本 字符"/>
    <w:link w:val="30"/>
    <w:qFormat/>
    <w:uiPriority w:val="0"/>
    <w:rPr>
      <w:kern w:val="2"/>
      <w:sz w:val="18"/>
      <w:szCs w:val="18"/>
    </w:rPr>
  </w:style>
  <w:style w:type="character" w:customStyle="1" w:styleId="62">
    <w:name w:val="未处理的提及1"/>
    <w:unhideWhenUsed/>
    <w:qFormat/>
    <w:uiPriority w:val="99"/>
    <w:rPr>
      <w:color w:val="605E5C"/>
      <w:shd w:val="clear" w:color="auto" w:fill="E1DFDD"/>
    </w:rPr>
  </w:style>
  <w:style w:type="character" w:customStyle="1" w:styleId="63">
    <w:name w:val="标题 4 字符"/>
    <w:link w:val="5"/>
    <w:qFormat/>
    <w:uiPriority w:val="0"/>
    <w:rPr>
      <w:rFonts w:ascii="Arial" w:hAnsi="Arial" w:eastAsia="黑体"/>
      <w:b/>
      <w:bCs/>
      <w:kern w:val="2"/>
      <w:sz w:val="28"/>
      <w:szCs w:val="28"/>
    </w:rPr>
  </w:style>
  <w:style w:type="character" w:customStyle="1" w:styleId="64">
    <w:name w:val="m_491"/>
    <w:qFormat/>
    <w:uiPriority w:val="0"/>
  </w:style>
  <w:style w:type="character" w:customStyle="1" w:styleId="65">
    <w:name w:val="日期 字符"/>
    <w:link w:val="27"/>
    <w:qFormat/>
    <w:uiPriority w:val="0"/>
    <w:rPr>
      <w:rFonts w:eastAsia="楷体_GB2312"/>
      <w:kern w:val="2"/>
      <w:sz w:val="32"/>
    </w:rPr>
  </w:style>
  <w:style w:type="character" w:customStyle="1" w:styleId="66">
    <w:name w:val="尾注文本 字符"/>
    <w:link w:val="29"/>
    <w:qFormat/>
    <w:uiPriority w:val="0"/>
    <w:rPr>
      <w:kern w:val="2"/>
      <w:sz w:val="21"/>
      <w:szCs w:val="24"/>
    </w:rPr>
  </w:style>
  <w:style w:type="character" w:customStyle="1" w:styleId="67">
    <w:name w:val="font31"/>
    <w:basedOn w:val="48"/>
    <w:qFormat/>
    <w:uiPriority w:val="0"/>
    <w:rPr>
      <w:rFonts w:hint="eastAsia" w:ascii="宋体" w:hAnsi="宋体" w:eastAsia="宋体" w:cs="宋体"/>
      <w:color w:val="FF0000"/>
      <w:sz w:val="20"/>
      <w:szCs w:val="20"/>
      <w:u w:val="none"/>
    </w:rPr>
  </w:style>
  <w:style w:type="character" w:customStyle="1" w:styleId="68">
    <w:name w:val="纯文本 字符1"/>
    <w:qFormat/>
    <w:uiPriority w:val="0"/>
    <w:rPr>
      <w:rFonts w:ascii="宋体" w:hAnsi="Courier New" w:eastAsia="宋体"/>
      <w:kern w:val="2"/>
      <w:sz w:val="24"/>
      <w:szCs w:val="24"/>
      <w:lang w:val="en-US" w:eastAsia="zh-CN" w:bidi="ar-SA"/>
    </w:rPr>
  </w:style>
  <w:style w:type="character" w:customStyle="1" w:styleId="69">
    <w:name w:val="正文文本缩进 字符"/>
    <w:link w:val="20"/>
    <w:qFormat/>
    <w:uiPriority w:val="0"/>
    <w:rPr>
      <w:rFonts w:ascii="宋体" w:hAnsi="Courier New"/>
      <w:spacing w:val="-4"/>
      <w:kern w:val="2"/>
      <w:sz w:val="18"/>
    </w:rPr>
  </w:style>
  <w:style w:type="character" w:customStyle="1" w:styleId="70">
    <w:name w:val="m_391"/>
    <w:qFormat/>
    <w:uiPriority w:val="0"/>
  </w:style>
  <w:style w:type="character" w:customStyle="1" w:styleId="71">
    <w:name w:val="font01"/>
    <w:basedOn w:val="48"/>
    <w:qFormat/>
    <w:uiPriority w:val="0"/>
    <w:rPr>
      <w:rFonts w:hint="eastAsia" w:ascii="宋体" w:hAnsi="宋体" w:eastAsia="宋体" w:cs="宋体"/>
      <w:color w:val="FF0000"/>
      <w:sz w:val="20"/>
      <w:szCs w:val="20"/>
      <w:u w:val="none"/>
    </w:rPr>
  </w:style>
  <w:style w:type="character" w:customStyle="1" w:styleId="72">
    <w:name w:val="正文文本 字符"/>
    <w:link w:val="18"/>
    <w:qFormat/>
    <w:uiPriority w:val="0"/>
    <w:rPr>
      <w:kern w:val="2"/>
      <w:sz w:val="28"/>
      <w:szCs w:val="24"/>
    </w:rPr>
  </w:style>
  <w:style w:type="character" w:customStyle="1" w:styleId="73">
    <w:name w:val="脚注文本 字符"/>
    <w:link w:val="36"/>
    <w:qFormat/>
    <w:uiPriority w:val="0"/>
    <w:rPr>
      <w:kern w:val="2"/>
      <w:sz w:val="18"/>
      <w:szCs w:val="18"/>
    </w:rPr>
  </w:style>
  <w:style w:type="character" w:customStyle="1" w:styleId="74">
    <w:name w:val="批注文字 字符"/>
    <w:link w:val="16"/>
    <w:qFormat/>
    <w:uiPriority w:val="0"/>
    <w:rPr>
      <w:kern w:val="2"/>
      <w:sz w:val="21"/>
    </w:rPr>
  </w:style>
  <w:style w:type="character" w:customStyle="1" w:styleId="75">
    <w:name w:val="正文文本 3 字符"/>
    <w:link w:val="17"/>
    <w:qFormat/>
    <w:uiPriority w:val="0"/>
    <w:rPr>
      <w:rFonts w:hAnsi="宋体" w:eastAsia="仿宋_GB2312"/>
      <w:b/>
      <w:bCs/>
      <w:kern w:val="2"/>
      <w:sz w:val="24"/>
    </w:rPr>
  </w:style>
  <w:style w:type="character" w:customStyle="1" w:styleId="76">
    <w:name w:val="标题 9 字符"/>
    <w:link w:val="10"/>
    <w:qFormat/>
    <w:uiPriority w:val="0"/>
    <w:rPr>
      <w:rFonts w:ascii="Arial" w:hAnsi="Arial" w:eastAsia="黑体"/>
      <w:kern w:val="2"/>
      <w:sz w:val="21"/>
    </w:rPr>
  </w:style>
  <w:style w:type="character" w:customStyle="1" w:styleId="77">
    <w:name w:val="标题 1 Char Char"/>
    <w:qFormat/>
    <w:uiPriority w:val="0"/>
    <w:rPr>
      <w:rFonts w:eastAsia="宋体"/>
      <w:b/>
      <w:spacing w:val="-2"/>
      <w:sz w:val="24"/>
      <w:lang w:val="en-US" w:eastAsia="zh-CN" w:bidi="ar-SA"/>
    </w:rPr>
  </w:style>
  <w:style w:type="character" w:customStyle="1" w:styleId="78">
    <w:name w:val="标题 6 字符"/>
    <w:link w:val="7"/>
    <w:qFormat/>
    <w:uiPriority w:val="0"/>
    <w:rPr>
      <w:rFonts w:ascii="Arial" w:hAnsi="Arial" w:eastAsia="黑体"/>
      <w:b/>
      <w:kern w:val="2"/>
      <w:sz w:val="21"/>
    </w:rPr>
  </w:style>
  <w:style w:type="character" w:customStyle="1" w:styleId="79">
    <w:name w:val="页脚 字符"/>
    <w:link w:val="31"/>
    <w:qFormat/>
    <w:uiPriority w:val="0"/>
    <w:rPr>
      <w:rFonts w:eastAsia="黑体"/>
      <w:snapToGrid w:val="0"/>
      <w:sz w:val="18"/>
      <w:szCs w:val="18"/>
      <w:lang w:val="en-US" w:eastAsia="zh-CN" w:bidi="ar-SA"/>
    </w:rPr>
  </w:style>
  <w:style w:type="character" w:customStyle="1" w:styleId="80">
    <w:name w:val="标题 2 字符1"/>
    <w:link w:val="2"/>
    <w:qFormat/>
    <w:uiPriority w:val="0"/>
    <w:rPr>
      <w:rFonts w:ascii="Arial" w:hAnsi="Arial" w:eastAsia="黑体"/>
      <w:b/>
      <w:bCs/>
      <w:kern w:val="2"/>
      <w:sz w:val="32"/>
      <w:szCs w:val="32"/>
    </w:rPr>
  </w:style>
  <w:style w:type="character" w:customStyle="1" w:styleId="81">
    <w:name w:val="m_461"/>
    <w:qFormat/>
    <w:uiPriority w:val="0"/>
  </w:style>
  <w:style w:type="character" w:customStyle="1" w:styleId="82">
    <w:name w:val="正文文本缩进 3 字符"/>
    <w:link w:val="38"/>
    <w:qFormat/>
    <w:uiPriority w:val="0"/>
    <w:rPr>
      <w:rFonts w:ascii="仿宋_GB2312" w:hAnsi="宋体" w:eastAsia="仿宋_GB2312"/>
      <w:color w:val="000000"/>
      <w:kern w:val="2"/>
      <w:sz w:val="24"/>
      <w:szCs w:val="24"/>
    </w:rPr>
  </w:style>
  <w:style w:type="character" w:customStyle="1" w:styleId="83">
    <w:name w:val="m_171"/>
    <w:qFormat/>
    <w:uiPriority w:val="0"/>
  </w:style>
  <w:style w:type="character" w:customStyle="1" w:styleId="84">
    <w:name w:val="标题 2 字符"/>
    <w:qFormat/>
    <w:uiPriority w:val="0"/>
    <w:rPr>
      <w:rFonts w:hint="default" w:ascii="Arial" w:hAnsi="Arial" w:eastAsia="黑体" w:cs="Arial"/>
      <w:b/>
      <w:kern w:val="2"/>
      <w:sz w:val="32"/>
      <w:szCs w:val="32"/>
    </w:rPr>
  </w:style>
  <w:style w:type="character" w:customStyle="1" w:styleId="85">
    <w:name w:val="批注主题 字符"/>
    <w:basedOn w:val="74"/>
    <w:link w:val="43"/>
    <w:qFormat/>
    <w:uiPriority w:val="0"/>
    <w:rPr>
      <w:kern w:val="2"/>
      <w:sz w:val="21"/>
    </w:rPr>
  </w:style>
  <w:style w:type="character" w:customStyle="1" w:styleId="86">
    <w:name w:val="标题 7 字符"/>
    <w:link w:val="8"/>
    <w:qFormat/>
    <w:uiPriority w:val="0"/>
    <w:rPr>
      <w:b/>
      <w:kern w:val="2"/>
      <w:sz w:val="21"/>
    </w:rPr>
  </w:style>
  <w:style w:type="character" w:customStyle="1" w:styleId="87">
    <w:name w:val="副标题 字符"/>
    <w:link w:val="34"/>
    <w:qFormat/>
    <w:uiPriority w:val="11"/>
    <w:rPr>
      <w:rFonts w:ascii="Cambria" w:hAnsi="Cambria"/>
      <w:b/>
      <w:bCs/>
      <w:kern w:val="28"/>
      <w:sz w:val="32"/>
      <w:szCs w:val="32"/>
    </w:rPr>
  </w:style>
  <w:style w:type="character" w:customStyle="1" w:styleId="88">
    <w:name w:val="标题 5 字符"/>
    <w:link w:val="6"/>
    <w:qFormat/>
    <w:uiPriority w:val="0"/>
    <w:rPr>
      <w:b/>
      <w:bCs/>
      <w:kern w:val="2"/>
      <w:sz w:val="28"/>
      <w:szCs w:val="28"/>
    </w:rPr>
  </w:style>
  <w:style w:type="character" w:customStyle="1" w:styleId="89">
    <w:name w:val="m_51"/>
    <w:qFormat/>
    <w:uiPriority w:val="0"/>
  </w:style>
  <w:style w:type="character" w:customStyle="1" w:styleId="90">
    <w:name w:val="样式 标题 1合同标题卷标题H1h1Level 1 Topic HeadingH11H12H111H13H1... Char"/>
    <w:qFormat/>
    <w:uiPriority w:val="0"/>
    <w:rPr>
      <w:rFonts w:ascii="宋体" w:hAnsi="宋体" w:eastAsia="宋体"/>
      <w:b/>
      <w:bCs/>
      <w:kern w:val="44"/>
      <w:sz w:val="24"/>
      <w:szCs w:val="44"/>
      <w:lang w:val="en-US" w:eastAsia="zh-CN" w:bidi="ar-SA"/>
    </w:rPr>
  </w:style>
  <w:style w:type="character" w:customStyle="1" w:styleId="91">
    <w:name w:val="标题 1 字符"/>
    <w:link w:val="3"/>
    <w:qFormat/>
    <w:uiPriority w:val="0"/>
    <w:rPr>
      <w:b/>
      <w:bCs/>
      <w:kern w:val="44"/>
      <w:sz w:val="30"/>
      <w:szCs w:val="44"/>
    </w:rPr>
  </w:style>
  <w:style w:type="character" w:customStyle="1" w:styleId="92">
    <w:name w:val="正文文本首行缩进 2 字符"/>
    <w:link w:val="45"/>
    <w:semiHidden/>
    <w:qFormat/>
    <w:uiPriority w:val="99"/>
    <w:rPr>
      <w:rFonts w:ascii="宋体" w:hAnsi="Courier New"/>
      <w:spacing w:val="-4"/>
      <w:kern w:val="2"/>
      <w:sz w:val="21"/>
      <w:szCs w:val="24"/>
    </w:rPr>
  </w:style>
  <w:style w:type="character" w:customStyle="1" w:styleId="93">
    <w:name w:val="m_01"/>
    <w:qFormat/>
    <w:uiPriority w:val="0"/>
  </w:style>
  <w:style w:type="character" w:customStyle="1" w:styleId="94">
    <w:name w:val="标题 8 字符"/>
    <w:link w:val="9"/>
    <w:qFormat/>
    <w:uiPriority w:val="0"/>
    <w:rPr>
      <w:rFonts w:ascii="Arial" w:hAnsi="Arial" w:eastAsia="黑体"/>
      <w:kern w:val="2"/>
      <w:sz w:val="21"/>
    </w:rPr>
  </w:style>
  <w:style w:type="character" w:customStyle="1" w:styleId="95">
    <w:name w:val="正文文本 2 字符"/>
    <w:link w:val="41"/>
    <w:qFormat/>
    <w:uiPriority w:val="0"/>
    <w:rPr>
      <w:rFonts w:ascii="宋体" w:hAnsi="宋体"/>
      <w:color w:val="000000"/>
      <w:kern w:val="2"/>
      <w:sz w:val="24"/>
      <w:szCs w:val="24"/>
    </w:rPr>
  </w:style>
  <w:style w:type="paragraph" w:customStyle="1" w:styleId="96">
    <w:name w:val="此正文"/>
    <w:basedOn w:val="1"/>
    <w:qFormat/>
    <w:uiPriority w:val="0"/>
    <w:pPr>
      <w:spacing w:line="360" w:lineRule="auto"/>
      <w:ind w:firstLine="200" w:firstLineChars="200"/>
    </w:pPr>
    <w:rPr>
      <w:sz w:val="24"/>
    </w:rPr>
  </w:style>
  <w:style w:type="paragraph" w:customStyle="1" w:styleId="97">
    <w:name w:val="样式1"/>
    <w:basedOn w:val="5"/>
    <w:qFormat/>
    <w:uiPriority w:val="0"/>
  </w:style>
  <w:style w:type="paragraph" w:customStyle="1" w:styleId="98">
    <w:name w:val="正文段"/>
    <w:basedOn w:val="1"/>
    <w:qFormat/>
    <w:uiPriority w:val="0"/>
    <w:pPr>
      <w:widowControl/>
      <w:snapToGrid w:val="0"/>
      <w:spacing w:after="156" w:afterLines="50"/>
      <w:ind w:firstLine="200" w:firstLineChars="200"/>
    </w:pPr>
    <w:rPr>
      <w:kern w:val="0"/>
      <w:sz w:val="24"/>
      <w:szCs w:val="20"/>
    </w:rPr>
  </w:style>
  <w:style w:type="paragraph" w:customStyle="1" w:styleId="99">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00">
    <w:name w:val="彩色底纹 - 着色 11"/>
    <w:qFormat/>
    <w:uiPriority w:val="62"/>
    <w:rPr>
      <w:rFonts w:ascii="Times New Roman" w:hAnsi="Times New Roman" w:eastAsia="宋体" w:cs="Times New Roman"/>
      <w:kern w:val="2"/>
      <w:sz w:val="21"/>
      <w:szCs w:val="24"/>
      <w:lang w:val="en-US" w:eastAsia="zh-CN" w:bidi="ar-SA"/>
    </w:rPr>
  </w:style>
  <w:style w:type="paragraph" w:customStyle="1" w:styleId="101">
    <w:name w:val="浅色网格 - 着色 31"/>
    <w:basedOn w:val="1"/>
    <w:qFormat/>
    <w:uiPriority w:val="34"/>
    <w:pPr>
      <w:ind w:firstLine="420" w:firstLineChars="200"/>
    </w:pPr>
    <w:rPr>
      <w:rFonts w:ascii="Calibri" w:hAnsi="Calibri"/>
      <w:szCs w:val="22"/>
    </w:rPr>
  </w:style>
  <w:style w:type="paragraph" w:customStyle="1" w:styleId="102">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103">
    <w:name w:val="Plain Text1"/>
    <w:basedOn w:val="1"/>
    <w:qFormat/>
    <w:uiPriority w:val="0"/>
    <w:pPr>
      <w:spacing w:before="156" w:beforeLines="50" w:after="156" w:afterLines="50" w:line="400" w:lineRule="exact"/>
    </w:pPr>
    <w:rPr>
      <w:rFonts w:ascii="宋体" w:hAnsi="Courier New"/>
      <w:sz w:val="24"/>
    </w:rPr>
  </w:style>
  <w:style w:type="paragraph" w:customStyle="1" w:styleId="104">
    <w:name w:val="列出段落1"/>
    <w:basedOn w:val="1"/>
    <w:qFormat/>
    <w:uiPriority w:val="0"/>
    <w:pPr>
      <w:ind w:firstLine="420" w:firstLineChars="200"/>
    </w:pPr>
    <w:rPr>
      <w:rFonts w:ascii="Calibri" w:hAnsi="Calibri"/>
      <w:szCs w:val="22"/>
    </w:rPr>
  </w:style>
  <w:style w:type="paragraph" w:customStyle="1" w:styleId="105">
    <w:name w:val="Char1"/>
    <w:basedOn w:val="1"/>
    <w:qFormat/>
    <w:uiPriority w:val="0"/>
    <w:rPr>
      <w:rFonts w:ascii="Tahoma" w:hAnsi="Tahoma"/>
      <w:sz w:val="24"/>
      <w:szCs w:val="20"/>
    </w:rPr>
  </w:style>
  <w:style w:type="paragraph" w:customStyle="1" w:styleId="106">
    <w:name w:val="列出段落2"/>
    <w:basedOn w:val="1"/>
    <w:qFormat/>
    <w:uiPriority w:val="0"/>
    <w:pPr>
      <w:ind w:firstLine="420" w:firstLineChars="200"/>
    </w:pPr>
    <w:rPr>
      <w:rFonts w:ascii="Calibri" w:hAnsi="Calibri" w:cs="Calibri"/>
    </w:rPr>
  </w:style>
  <w:style w:type="paragraph" w:customStyle="1" w:styleId="107">
    <w:name w:val="big"/>
    <w:basedOn w:val="1"/>
    <w:qFormat/>
    <w:uiPriority w:val="0"/>
    <w:pPr>
      <w:widowControl/>
      <w:spacing w:before="100" w:beforeAutospacing="1" w:after="100" w:afterAutospacing="1"/>
      <w:jc w:val="left"/>
    </w:pPr>
    <w:rPr>
      <w:rFonts w:ascii="宋体" w:hAnsi="宋体"/>
      <w:kern w:val="0"/>
      <w:sz w:val="24"/>
    </w:rPr>
  </w:style>
  <w:style w:type="paragraph" w:customStyle="1" w:styleId="108">
    <w:name w:val="中等深浅列表 2 - 着色 21"/>
    <w:qFormat/>
    <w:uiPriority w:val="71"/>
    <w:rPr>
      <w:rFonts w:ascii="Times New Roman" w:hAnsi="Times New Roman" w:eastAsia="宋体" w:cs="Times New Roman"/>
      <w:kern w:val="2"/>
      <w:sz w:val="21"/>
      <w:szCs w:val="24"/>
      <w:lang w:val="en-US" w:eastAsia="zh-CN" w:bidi="ar-SA"/>
    </w:rPr>
  </w:style>
  <w:style w:type="paragraph" w:customStyle="1" w:styleId="109">
    <w:name w:val="样式 标题 3 +1"/>
    <w:basedOn w:val="4"/>
    <w:qFormat/>
    <w:uiPriority w:val="0"/>
    <w:rPr>
      <w:kern w:val="0"/>
    </w:rPr>
  </w:style>
  <w:style w:type="paragraph" w:customStyle="1" w:styleId="110">
    <w:name w:val="默认段落字体 Para Char Char Char Char Char Char Char Char Char1 Char Char Char Char"/>
    <w:basedOn w:val="1"/>
    <w:qFormat/>
    <w:uiPriority w:val="0"/>
    <w:rPr>
      <w:rFonts w:ascii="Tahoma" w:hAnsi="Tahoma"/>
      <w:sz w:val="24"/>
      <w:szCs w:val="20"/>
    </w:rPr>
  </w:style>
  <w:style w:type="paragraph" w:customStyle="1" w:styleId="111">
    <w:name w:val="Char"/>
    <w:basedOn w:val="1"/>
    <w:qFormat/>
    <w:uiPriority w:val="0"/>
    <w:pPr>
      <w:widowControl/>
      <w:spacing w:after="160" w:line="240" w:lineRule="exact"/>
      <w:jc w:val="left"/>
    </w:pPr>
    <w:rPr>
      <w:szCs w:val="20"/>
    </w:rPr>
  </w:style>
  <w:style w:type="paragraph" w:customStyle="1" w:styleId="112">
    <w:name w:val="样式 标题 1 + 两端对齐"/>
    <w:basedOn w:val="2"/>
    <w:next w:val="2"/>
    <w:qFormat/>
    <w:uiPriority w:val="0"/>
    <w:pPr>
      <w:autoSpaceDE w:val="0"/>
      <w:autoSpaceDN w:val="0"/>
      <w:adjustRightInd w:val="0"/>
      <w:spacing w:before="340" w:after="330" w:line="240" w:lineRule="auto"/>
      <w:jc w:val="center"/>
    </w:pPr>
    <w:rPr>
      <w:rFonts w:ascii="汉鼎简细圆" w:hAnsi="Times New Roman" w:eastAsia="宋体" w:cs="宋体"/>
      <w:kern w:val="44"/>
      <w:sz w:val="28"/>
      <w:szCs w:val="20"/>
    </w:rPr>
  </w:style>
  <w:style w:type="paragraph" w:customStyle="1" w:styleId="113">
    <w:name w:val="证文"/>
    <w:basedOn w:val="1"/>
    <w:qFormat/>
    <w:uiPriority w:val="0"/>
    <w:pPr>
      <w:spacing w:line="360" w:lineRule="auto"/>
    </w:pPr>
    <w:rPr>
      <w:sz w:val="24"/>
      <w:szCs w:val="20"/>
    </w:rPr>
  </w:style>
  <w:style w:type="paragraph" w:customStyle="1" w:styleId="114">
    <w:name w:val="图表"/>
    <w:basedOn w:val="1"/>
    <w:qFormat/>
    <w:uiPriority w:val="0"/>
    <w:pPr>
      <w:jc w:val="center"/>
    </w:pPr>
    <w:rPr>
      <w:kern w:val="0"/>
      <w:sz w:val="20"/>
      <w:szCs w:val="21"/>
    </w:rPr>
  </w:style>
  <w:style w:type="paragraph" w:customStyle="1" w:styleId="115">
    <w:name w:val="自由格式 A"/>
    <w:qFormat/>
    <w:uiPriority w:val="0"/>
    <w:rPr>
      <w:rFonts w:ascii="Helvetica" w:hAnsi="Helvetica" w:eastAsia="ヒラギノ角ゴ Pro W3" w:cs="Times New Roman"/>
      <w:color w:val="000000"/>
      <w:sz w:val="24"/>
      <w:lang w:val="en-US" w:eastAsia="zh-CN" w:bidi="ar-SA"/>
    </w:rPr>
  </w:style>
  <w:style w:type="paragraph" w:customStyle="1" w:styleId="116">
    <w:name w:val="Char11"/>
    <w:basedOn w:val="1"/>
    <w:qFormat/>
    <w:uiPriority w:val="0"/>
    <w:rPr>
      <w:rFonts w:ascii="Tahoma" w:hAnsi="Tahoma"/>
      <w:sz w:val="24"/>
      <w:szCs w:val="20"/>
    </w:rPr>
  </w:style>
  <w:style w:type="paragraph" w:customStyle="1" w:styleId="117">
    <w:name w:val="样式 标题 3 +"/>
    <w:basedOn w:val="4"/>
    <w:qFormat/>
    <w:uiPriority w:val="0"/>
    <w:rPr>
      <w:kern w:val="0"/>
    </w:rPr>
  </w:style>
  <w:style w:type="paragraph" w:customStyle="1" w:styleId="118">
    <w:name w:val="纯文本1"/>
    <w:basedOn w:val="1"/>
    <w:qFormat/>
    <w:uiPriority w:val="0"/>
    <w:pPr>
      <w:spacing w:beforeLines="50" w:afterLines="50" w:line="400" w:lineRule="exact"/>
    </w:pPr>
    <w:rPr>
      <w:rFonts w:ascii="宋体" w:hAnsi="Courier New"/>
      <w:sz w:val="24"/>
    </w:rPr>
  </w:style>
  <w:style w:type="paragraph" w:customStyle="1" w:styleId="119">
    <w:name w:val="Char Char Char Char Char Char Char Char Char Char Char Char1 Char"/>
    <w:basedOn w:val="15"/>
    <w:qFormat/>
    <w:uiPriority w:val="0"/>
    <w:rPr>
      <w:rFonts w:ascii="Tahoma" w:hAnsi="Tahoma"/>
      <w:sz w:val="24"/>
    </w:rPr>
  </w:style>
  <w:style w:type="paragraph" w:customStyle="1" w:styleId="120">
    <w:name w:val="p16"/>
    <w:basedOn w:val="1"/>
    <w:qFormat/>
    <w:uiPriority w:val="0"/>
    <w:pPr>
      <w:widowControl/>
      <w:spacing w:before="100" w:after="100"/>
      <w:jc w:val="left"/>
    </w:pPr>
    <w:rPr>
      <w:rFonts w:ascii="宋体" w:hAnsi="宋体" w:cs="宋体"/>
      <w:kern w:val="0"/>
      <w:sz w:val="24"/>
    </w:rPr>
  </w:style>
  <w:style w:type="paragraph" w:customStyle="1" w:styleId="121">
    <w:name w:val="xl24"/>
    <w:basedOn w:val="1"/>
    <w:qFormat/>
    <w:uiPriority w:val="0"/>
    <w:pPr>
      <w:widowControl/>
      <w:spacing w:before="100" w:beforeAutospacing="1" w:after="100" w:afterAutospacing="1"/>
      <w:jc w:val="center"/>
      <w:textAlignment w:val="center"/>
    </w:pPr>
    <w:rPr>
      <w:rFonts w:ascii="宋体" w:hAnsi="宋体"/>
      <w:kern w:val="0"/>
      <w:sz w:val="24"/>
    </w:rPr>
  </w:style>
  <w:style w:type="paragraph" w:customStyle="1" w:styleId="122">
    <w:name w:val="地址内"/>
    <w:basedOn w:val="1"/>
    <w:qFormat/>
    <w:uiPriority w:val="0"/>
    <w:rPr>
      <w:szCs w:val="20"/>
    </w:rPr>
  </w:style>
  <w:style w:type="paragraph" w:customStyle="1" w:styleId="123">
    <w:name w:val="Char2"/>
    <w:basedOn w:val="1"/>
    <w:qFormat/>
    <w:uiPriority w:val="0"/>
    <w:rPr>
      <w:rFonts w:ascii="仿宋_GB2312" w:eastAsia="仿宋_GB2312"/>
      <w:b/>
      <w:sz w:val="32"/>
      <w:szCs w:val="32"/>
    </w:rPr>
  </w:style>
  <w:style w:type="paragraph" w:customStyle="1" w:styleId="124">
    <w:name w:val="网格表 3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25">
    <w:name w:val="普通(网站)1"/>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126">
    <w:name w:val="xl66"/>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kern w:val="0"/>
      <w:sz w:val="24"/>
    </w:rPr>
  </w:style>
  <w:style w:type="paragraph" w:customStyle="1" w:styleId="127">
    <w:name w:val="Char Char1 Char Char Char Char Char Char Char Char"/>
    <w:basedOn w:val="1"/>
    <w:qFormat/>
    <w:uiPriority w:val="0"/>
    <w:pPr>
      <w:widowControl/>
      <w:spacing w:after="160" w:line="240" w:lineRule="exact"/>
      <w:jc w:val="left"/>
    </w:pPr>
    <w:rPr>
      <w:szCs w:val="20"/>
    </w:rPr>
  </w:style>
  <w:style w:type="paragraph" w:customStyle="1" w:styleId="128">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29">
    <w:name w:val="样式 楷体_GB2312 小四 行距: 1.5 倍行距"/>
    <w:basedOn w:val="1"/>
    <w:qFormat/>
    <w:uiPriority w:val="99"/>
    <w:pPr>
      <w:spacing w:line="360" w:lineRule="auto"/>
      <w:ind w:firstLine="200" w:firstLineChars="200"/>
    </w:pPr>
    <w:rPr>
      <w:rFonts w:ascii="楷体_GB2312" w:eastAsia="楷体_GB2312" w:cs="宋体"/>
      <w:sz w:val="24"/>
      <w:szCs w:val="20"/>
    </w:rPr>
  </w:style>
  <w:style w:type="paragraph" w:customStyle="1" w:styleId="130">
    <w:name w:val="正文（首行缩进2字符）"/>
    <w:basedOn w:val="1"/>
    <w:qFormat/>
    <w:uiPriority w:val="99"/>
    <w:pPr>
      <w:spacing w:line="360" w:lineRule="auto"/>
      <w:ind w:firstLine="480" w:firstLineChars="200"/>
    </w:pPr>
    <w:rPr>
      <w:kern w:val="0"/>
      <w:sz w:val="24"/>
    </w:rPr>
  </w:style>
  <w:style w:type="character" w:customStyle="1" w:styleId="131">
    <w:name w:val="未处理的提及2"/>
    <w:basedOn w:val="48"/>
    <w:semiHidden/>
    <w:unhideWhenUsed/>
    <w:qFormat/>
    <w:uiPriority w:val="99"/>
    <w:rPr>
      <w:color w:val="605E5C"/>
      <w:shd w:val="clear" w:color="auto" w:fill="E1DFDD"/>
    </w:rPr>
  </w:style>
  <w:style w:type="paragraph" w:customStyle="1" w:styleId="132">
    <w:name w:val="Table Paragraph"/>
    <w:basedOn w:val="1"/>
    <w:qFormat/>
    <w:uiPriority w:val="0"/>
    <w:rPr>
      <w:rFonts w:ascii="宋体" w:hAnsi="宋体" w:cs="宋体"/>
      <w:lang w:val="zh-CN"/>
    </w:rPr>
  </w:style>
  <w:style w:type="paragraph" w:customStyle="1" w:styleId="133">
    <w:name w:val="BodyTextIndent"/>
    <w:basedOn w:val="1"/>
    <w:next w:val="1"/>
    <w:qFormat/>
    <w:uiPriority w:val="0"/>
    <w:pPr>
      <w:spacing w:after="120"/>
      <w:ind w:left="420" w:leftChars="200"/>
    </w:pPr>
  </w:style>
  <w:style w:type="paragraph" w:styleId="134">
    <w:name w:val="List Paragraph"/>
    <w:basedOn w:val="1"/>
    <w:qFormat/>
    <w:uiPriority w:val="34"/>
    <w:pPr>
      <w:adjustRightInd w:val="0"/>
      <w:spacing w:line="360" w:lineRule="auto"/>
      <w:ind w:firstLine="420" w:firstLineChars="200"/>
      <w:jc w:val="left"/>
      <w:textAlignment w:val="baseline"/>
    </w:pPr>
    <w:rPr>
      <w:rFonts w:ascii="Calibri" w:hAnsi="Calibri"/>
      <w:szCs w:val="21"/>
    </w:rPr>
  </w:style>
  <w:style w:type="paragraph" w:customStyle="1" w:styleId="135">
    <w:name w:val="*正文"/>
    <w:basedOn w:val="1"/>
    <w:qFormat/>
    <w:uiPriority w:val="0"/>
    <w:pPr>
      <w:widowControl/>
      <w:spacing w:line="360" w:lineRule="auto"/>
      <w:ind w:firstLine="200" w:firstLineChars="200"/>
    </w:pPr>
    <w:rPr>
      <w:rFonts w:ascii="宋体" w:hAnsi="宋体"/>
      <w:kern w:val="0"/>
      <w:sz w:val="24"/>
      <w:szCs w:val="24"/>
    </w:rPr>
  </w:style>
  <w:style w:type="character" w:customStyle="1" w:styleId="136">
    <w:name w:val="font131"/>
    <w:basedOn w:val="48"/>
    <w:qFormat/>
    <w:uiPriority w:val="0"/>
    <w:rPr>
      <w:rFonts w:hint="default" w:ascii="Times New Roman" w:hAnsi="Times New Roman" w:cs="Times New Roman"/>
      <w:b/>
      <w:bCs/>
      <w:color w:val="000000"/>
      <w:sz w:val="24"/>
      <w:szCs w:val="24"/>
      <w:u w:val="none"/>
    </w:rPr>
  </w:style>
  <w:style w:type="character" w:customStyle="1" w:styleId="137">
    <w:name w:val="font61"/>
    <w:basedOn w:val="48"/>
    <w:qFormat/>
    <w:uiPriority w:val="0"/>
    <w:rPr>
      <w:rFonts w:hint="eastAsia" w:ascii="宋体" w:hAnsi="宋体" w:eastAsia="宋体" w:cs="宋体"/>
      <w:b/>
      <w:bCs/>
      <w:color w:val="000000"/>
      <w:sz w:val="24"/>
      <w:szCs w:val="24"/>
      <w:u w:val="none"/>
    </w:rPr>
  </w:style>
  <w:style w:type="character" w:customStyle="1" w:styleId="138">
    <w:name w:val="font141"/>
    <w:basedOn w:val="48"/>
    <w:qFormat/>
    <w:uiPriority w:val="0"/>
    <w:rPr>
      <w:rFonts w:hint="eastAsia" w:ascii="宋体" w:hAnsi="宋体" w:eastAsia="宋体" w:cs="宋体"/>
      <w:color w:val="000000"/>
      <w:sz w:val="20"/>
      <w:szCs w:val="20"/>
      <w:u w:val="none"/>
    </w:rPr>
  </w:style>
  <w:style w:type="character" w:customStyle="1" w:styleId="139">
    <w:name w:val="font91"/>
    <w:basedOn w:val="48"/>
    <w:qFormat/>
    <w:uiPriority w:val="0"/>
    <w:rPr>
      <w:rFonts w:hint="default" w:ascii="Times New Roman" w:hAnsi="Times New Roman" w:cs="Times New Roman"/>
      <w:color w:val="000000"/>
      <w:sz w:val="20"/>
      <w:szCs w:val="20"/>
      <w:u w:val="none"/>
    </w:rPr>
  </w:style>
  <w:style w:type="character" w:customStyle="1" w:styleId="140">
    <w:name w:val="font101"/>
    <w:basedOn w:val="48"/>
    <w:qFormat/>
    <w:uiPriority w:val="0"/>
    <w:rPr>
      <w:rFonts w:hint="eastAsia" w:ascii="宋体" w:hAnsi="宋体" w:eastAsia="宋体" w:cs="宋体"/>
      <w:color w:val="000000"/>
      <w:sz w:val="20"/>
      <w:szCs w:val="20"/>
      <w:u w:val="none"/>
    </w:rPr>
  </w:style>
  <w:style w:type="paragraph" w:customStyle="1" w:styleId="141">
    <w:name w:val="Fließtext"/>
    <w:basedOn w:val="1"/>
    <w:qFormat/>
    <w:uiPriority w:val="0"/>
    <w:pPr>
      <w:overflowPunct w:val="0"/>
      <w:autoSpaceDE w:val="0"/>
      <w:autoSpaceDN w:val="0"/>
      <w:adjustRightInd w:val="0"/>
      <w:textAlignment w:val="baseline"/>
    </w:pPr>
    <w:rPr>
      <w:kern w:val="28"/>
      <w:szCs w:val="20"/>
    </w:rPr>
  </w:style>
  <w:style w:type="paragraph" w:customStyle="1" w:styleId="142">
    <w:name w:val="Plain Text"/>
    <w:qFormat/>
    <w:uiPriority w:val="0"/>
    <w:pPr>
      <w:spacing w:before="156" w:beforeLines="50" w:after="156" w:afterLines="50" w:line="400" w:lineRule="exact"/>
    </w:pPr>
    <w:rPr>
      <w:rFonts w:ascii="宋体" w:hAnsi="Courier New" w:eastAsia="宋体" w:cs="Times New Roman"/>
      <w:kern w:val="2"/>
      <w:sz w:val="24"/>
      <w:szCs w:val="24"/>
      <w:lang w:val="en-US" w:eastAsia="zh-CN" w:bidi="ar-SA"/>
    </w:rPr>
  </w:style>
  <w:style w:type="paragraph" w:customStyle="1" w:styleId="143">
    <w:name w:val="正文 "/>
    <w:basedOn w:val="1"/>
    <w:qFormat/>
    <w:uiPriority w:val="0"/>
    <w:pPr>
      <w:widowControl w:val="0"/>
      <w:adjustRightInd w:val="0"/>
      <w:spacing w:line="318" w:lineRule="atLeast"/>
      <w:ind w:left="369" w:firstLine="369"/>
      <w:jc w:val="both"/>
      <w:textAlignment w:val="baseline"/>
    </w:pPr>
    <w:rPr>
      <w:rFonts w:ascii="宋体"/>
      <w:sz w:val="21"/>
      <w:szCs w:val="20"/>
    </w:rPr>
  </w:style>
  <w:style w:type="character" w:customStyle="1" w:styleId="144">
    <w:name w:val="NormalCharacter"/>
    <w:semiHidden/>
    <w:qFormat/>
    <w:uiPriority w:val="0"/>
  </w:style>
  <w:style w:type="paragraph" w:customStyle="1" w:styleId="145">
    <w:name w:val="No Spacing"/>
    <w:qFormat/>
    <w:uiPriority w:val="2"/>
    <w:pPr>
      <w:widowControl/>
      <w:suppressAutoHyphens w:val="0"/>
      <w:bidi w:val="0"/>
    </w:pPr>
    <w:rPr>
      <w:rFonts w:ascii="宋体" w:hAnsi="宋体" w:eastAsia="宋体" w:cs="宋体"/>
      <w:color w:val="auto"/>
      <w:kern w:val="0"/>
      <w:sz w:val="24"/>
      <w:szCs w:val="24"/>
      <w:lang w:val="en-US" w:eastAsia="zh-CN" w:bidi="ar-SA"/>
    </w:rPr>
  </w:style>
  <w:style w:type="paragraph" w:customStyle="1" w:styleId="146">
    <w:name w:val="正文首行缩进 21"/>
    <w:next w:val="1"/>
    <w:qFormat/>
    <w:uiPriority w:val="2457"/>
    <w:pPr>
      <w:ind w:left="420" w:right="0" w:firstLine="420"/>
    </w:pPr>
    <w:rPr>
      <w:rFonts w:ascii="Times New Roman" w:hAnsi="Times New Roman" w:eastAsia="宋体" w:cs="Times New Roman"/>
    </w:rPr>
  </w:style>
  <w:style w:type="paragraph" w:customStyle="1" w:styleId="147">
    <w:name w:val="普通(网站)11"/>
    <w:basedOn w:val="1"/>
    <w:qFormat/>
    <w:uiPriority w:val="2"/>
    <w:pPr>
      <w:widowControl/>
      <w:spacing w:before="100" w:after="100"/>
      <w:jc w:val="left"/>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青鸟杭办</Company>
  <Pages>45</Pages>
  <Words>24605</Words>
  <Characters>25646</Characters>
  <Lines>460</Lines>
  <Paragraphs>129</Paragraphs>
  <TotalTime>12</TotalTime>
  <ScaleCrop>false</ScaleCrop>
  <LinksUpToDate>false</LinksUpToDate>
  <CharactersWithSpaces>27422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2020-11-17T02:17:00Z</dcterms:created>
  <dc:creator>黄旭明</dc:creator>
  <cp:lastModifiedBy>中基招标公司</cp:lastModifiedBy>
  <cp:lastPrinted>2021-10-13T05:37:00Z</cp:lastPrinted>
  <dcterms:modified xsi:type="dcterms:W3CDTF">2022-11-11T10:09:59Z</dcterms:modified>
  <dc:title>北仑区湿地保护规划项目</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1CF6E674805D42DF8D68CDE6D312C652</vt:lpwstr>
  </property>
</Properties>
</file>