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overflowPunct/>
        <w:bidi w:val="0"/>
        <w:spacing w:line="600" w:lineRule="exact"/>
        <w:jc w:val="center"/>
        <w:outlineLvl w:val="9"/>
        <w:rPr>
          <w:rFonts w:ascii="宋体" w:hAnsi="宋体" w:cs="宋体"/>
          <w:color w:val="auto"/>
          <w:sz w:val="32"/>
          <w:szCs w:val="32"/>
          <w:highlight w:val="none"/>
        </w:rPr>
      </w:pPr>
    </w:p>
    <w:p>
      <w:pPr>
        <w:pageBreakBefore w:val="0"/>
        <w:kinsoku/>
        <w:overflowPunct/>
        <w:bidi w:val="0"/>
        <w:jc w:val="center"/>
        <w:outlineLvl w:val="9"/>
        <w:rPr>
          <w:rFonts w:ascii="宋体" w:hAnsi="宋体" w:cs="宋体"/>
          <w:color w:val="auto"/>
          <w:sz w:val="44"/>
          <w:szCs w:val="20"/>
          <w:highlight w:val="none"/>
        </w:rPr>
      </w:pPr>
    </w:p>
    <w:p>
      <w:pPr>
        <w:keepNext w:val="0"/>
        <w:keepLines w:val="0"/>
        <w:pageBreakBefore w:val="0"/>
        <w:widowControl w:val="0"/>
        <w:kinsoku/>
        <w:wordWrap/>
        <w:overflowPunct/>
        <w:topLinePunct w:val="0"/>
        <w:autoSpaceDE/>
        <w:autoSpaceDN/>
        <w:bidi w:val="0"/>
        <w:adjustRightInd/>
        <w:snapToGrid/>
        <w:spacing w:beforeLines="50" w:line="360" w:lineRule="auto"/>
        <w:jc w:val="center"/>
        <w:textAlignment w:val="auto"/>
        <w:outlineLvl w:val="9"/>
        <w:rPr>
          <w:rFonts w:hint="eastAsia" w:ascii="宋体" w:hAnsi="宋体" w:eastAsia="宋体" w:cs="宋体"/>
          <w:b/>
          <w:color w:val="auto"/>
          <w:sz w:val="44"/>
          <w:szCs w:val="44"/>
          <w:highlight w:val="none"/>
          <w:lang w:eastAsia="zh-CN"/>
        </w:rPr>
      </w:pPr>
      <w:r>
        <w:rPr>
          <w:rFonts w:hint="eastAsia" w:ascii="宋体" w:hAnsi="宋体" w:cs="宋体"/>
          <w:b/>
          <w:color w:val="auto"/>
          <w:sz w:val="44"/>
          <w:szCs w:val="44"/>
          <w:highlight w:val="none"/>
          <w:lang w:eastAsia="zh-CN"/>
        </w:rPr>
        <w:t>宁波市文化广电旅游局</w:t>
      </w:r>
    </w:p>
    <w:p>
      <w:pPr>
        <w:keepNext w:val="0"/>
        <w:keepLines w:val="0"/>
        <w:pageBreakBefore w:val="0"/>
        <w:widowControl w:val="0"/>
        <w:kinsoku/>
        <w:wordWrap/>
        <w:overflowPunct/>
        <w:topLinePunct w:val="0"/>
        <w:autoSpaceDE/>
        <w:autoSpaceDN/>
        <w:bidi w:val="0"/>
        <w:adjustRightInd/>
        <w:snapToGrid/>
        <w:spacing w:beforeLines="50" w:line="360" w:lineRule="auto"/>
        <w:jc w:val="center"/>
        <w:textAlignment w:val="auto"/>
        <w:outlineLvl w:val="9"/>
        <w:rPr>
          <w:rFonts w:hint="eastAsia" w:ascii="宋体" w:hAnsi="宋体" w:eastAsia="宋体" w:cs="宋体"/>
          <w:b/>
          <w:color w:val="auto"/>
          <w:sz w:val="44"/>
          <w:szCs w:val="44"/>
          <w:highlight w:val="none"/>
          <w:lang w:eastAsia="zh-CN"/>
        </w:rPr>
      </w:pPr>
      <w:r>
        <w:rPr>
          <w:rFonts w:hint="eastAsia" w:ascii="宋体" w:hAnsi="宋体" w:cs="宋体"/>
          <w:b/>
          <w:color w:val="auto"/>
          <w:sz w:val="44"/>
          <w:szCs w:val="44"/>
          <w:highlight w:val="none"/>
          <w:lang w:eastAsia="zh-CN"/>
        </w:rPr>
        <w:t>“甬尚文旅”综合服务建设</w:t>
      </w:r>
    </w:p>
    <w:p>
      <w:pPr>
        <w:pageBreakBefore w:val="0"/>
        <w:kinsoku/>
        <w:overflowPunct/>
        <w:bidi w:val="0"/>
        <w:spacing w:beforeLines="50"/>
        <w:jc w:val="center"/>
        <w:outlineLvl w:val="9"/>
        <w:rPr>
          <w:rFonts w:ascii="宋体" w:hAnsi="宋体" w:cs="宋体"/>
          <w:b/>
          <w:color w:val="auto"/>
          <w:sz w:val="48"/>
          <w:szCs w:val="48"/>
          <w:highlight w:val="none"/>
        </w:rPr>
      </w:pPr>
    </w:p>
    <w:p>
      <w:pPr>
        <w:pageBreakBefore w:val="0"/>
        <w:kinsoku/>
        <w:overflowPunct/>
        <w:bidi w:val="0"/>
        <w:spacing w:beforeLines="50"/>
        <w:jc w:val="center"/>
        <w:outlineLvl w:val="9"/>
        <w:rPr>
          <w:rFonts w:ascii="宋体" w:hAnsi="宋体" w:cs="宋体"/>
          <w:color w:val="auto"/>
          <w:sz w:val="52"/>
          <w:szCs w:val="52"/>
          <w:highlight w:val="none"/>
        </w:rPr>
      </w:pPr>
      <w:r>
        <w:rPr>
          <w:rFonts w:hint="eastAsia" w:ascii="宋体" w:hAnsi="宋体" w:cs="宋体"/>
          <w:color w:val="auto"/>
          <w:sz w:val="52"/>
          <w:szCs w:val="52"/>
          <w:highlight w:val="none"/>
        </w:rPr>
        <w:t>公开招标文件</w:t>
      </w:r>
    </w:p>
    <w:p>
      <w:pPr>
        <w:pageBreakBefore w:val="0"/>
        <w:kinsoku/>
        <w:overflowPunct/>
        <w:bidi w:val="0"/>
        <w:snapToGrid w:val="0"/>
        <w:spacing w:beforeLines="50" w:line="360" w:lineRule="auto"/>
        <w:outlineLvl w:val="9"/>
        <w:rPr>
          <w:rFonts w:ascii="宋体" w:hAnsi="宋体" w:cs="宋体"/>
          <w:color w:val="auto"/>
          <w:sz w:val="30"/>
          <w:szCs w:val="72"/>
          <w:highlight w:val="none"/>
        </w:rPr>
      </w:pPr>
    </w:p>
    <w:p>
      <w:pPr>
        <w:pageBreakBefore w:val="0"/>
        <w:kinsoku/>
        <w:overflowPunct/>
        <w:bidi w:val="0"/>
        <w:snapToGrid w:val="0"/>
        <w:spacing w:beforeLines="50" w:line="360" w:lineRule="auto"/>
        <w:outlineLvl w:val="9"/>
        <w:rPr>
          <w:rFonts w:ascii="宋体" w:hAnsi="宋体" w:cs="宋体"/>
          <w:color w:val="auto"/>
          <w:sz w:val="30"/>
          <w:szCs w:val="72"/>
          <w:highlight w:val="none"/>
        </w:rPr>
      </w:pPr>
    </w:p>
    <w:p>
      <w:pPr>
        <w:pageBreakBefore w:val="0"/>
        <w:kinsoku/>
        <w:overflowPunct/>
        <w:bidi w:val="0"/>
        <w:snapToGrid w:val="0"/>
        <w:spacing w:beforeLines="50" w:line="360" w:lineRule="auto"/>
        <w:outlineLvl w:val="9"/>
        <w:rPr>
          <w:rFonts w:ascii="宋体" w:hAnsi="宋体" w:cs="宋体"/>
          <w:color w:val="auto"/>
          <w:sz w:val="30"/>
          <w:szCs w:val="72"/>
          <w:highlight w:val="none"/>
        </w:rPr>
      </w:pPr>
    </w:p>
    <w:p>
      <w:pPr>
        <w:pStyle w:val="3"/>
        <w:pageBreakBefore w:val="0"/>
        <w:kinsoku/>
        <w:overflowPunct/>
        <w:bidi w:val="0"/>
        <w:snapToGrid w:val="0"/>
        <w:spacing w:beforeLines="0" w:afterLines="0" w:line="360" w:lineRule="auto"/>
        <w:outlineLvl w:val="9"/>
        <w:rPr>
          <w:rFonts w:hint="eastAsia" w:hAnsi="宋体" w:eastAsia="宋体" w:cs="宋体"/>
          <w:b/>
          <w:bCs/>
          <w:color w:val="auto"/>
          <w:sz w:val="36"/>
          <w:szCs w:val="36"/>
          <w:highlight w:val="none"/>
          <w:lang w:eastAsia="zh-CN"/>
        </w:rPr>
      </w:pPr>
      <w:r>
        <w:rPr>
          <w:rFonts w:hint="eastAsia" w:hAnsi="宋体" w:cs="宋体"/>
          <w:b/>
          <w:bCs/>
          <w:color w:val="auto"/>
          <w:sz w:val="32"/>
          <w:szCs w:val="32"/>
          <w:highlight w:val="none"/>
        </w:rPr>
        <w:t>项目编号：</w:t>
      </w:r>
      <w:r>
        <w:rPr>
          <w:rFonts w:hint="eastAsia" w:hAnsi="宋体" w:cs="宋体"/>
          <w:b/>
          <w:bCs/>
          <w:color w:val="auto"/>
          <w:sz w:val="32"/>
          <w:szCs w:val="32"/>
          <w:highlight w:val="none"/>
          <w:lang w:eastAsia="zh-CN"/>
        </w:rPr>
        <w:t>CBZJ-20226183G</w:t>
      </w:r>
    </w:p>
    <w:p>
      <w:pPr>
        <w:pageBreakBefore w:val="0"/>
        <w:kinsoku/>
        <w:overflowPunct/>
        <w:bidi w:val="0"/>
        <w:spacing w:beforeLines="50" w:line="360" w:lineRule="auto"/>
        <w:outlineLvl w:val="9"/>
        <w:rPr>
          <w:rFonts w:hint="eastAsia" w:ascii="宋体" w:hAnsi="宋体" w:eastAsia="宋体" w:cs="宋体"/>
          <w:b/>
          <w:color w:val="auto"/>
          <w:sz w:val="32"/>
          <w:szCs w:val="52"/>
          <w:highlight w:val="none"/>
          <w:lang w:eastAsia="zh-CN"/>
        </w:rPr>
      </w:pPr>
      <w:r>
        <w:rPr>
          <w:rFonts w:hint="eastAsia" w:ascii="宋体" w:hAnsi="宋体" w:cs="宋体"/>
          <w:b/>
          <w:color w:val="auto"/>
          <w:sz w:val="32"/>
          <w:szCs w:val="96"/>
          <w:highlight w:val="none"/>
        </w:rPr>
        <w:t>项目</w:t>
      </w:r>
      <w:r>
        <w:rPr>
          <w:rFonts w:hint="eastAsia" w:ascii="宋体" w:hAnsi="宋体" w:cs="宋体"/>
          <w:b/>
          <w:color w:val="auto"/>
          <w:sz w:val="32"/>
          <w:szCs w:val="52"/>
          <w:highlight w:val="none"/>
        </w:rPr>
        <w:t>名称：</w:t>
      </w:r>
      <w:r>
        <w:rPr>
          <w:rFonts w:hint="eastAsia" w:ascii="宋体" w:hAnsi="宋体" w:cs="宋体"/>
          <w:b/>
          <w:color w:val="auto"/>
          <w:sz w:val="32"/>
          <w:szCs w:val="52"/>
          <w:highlight w:val="none"/>
          <w:lang w:eastAsia="zh-CN"/>
        </w:rPr>
        <w:t>“甬尚文旅”综合服务建设</w:t>
      </w:r>
    </w:p>
    <w:p>
      <w:pPr>
        <w:pageBreakBefore w:val="0"/>
        <w:kinsoku/>
        <w:overflowPunct/>
        <w:bidi w:val="0"/>
        <w:spacing w:beforeLines="50" w:line="360" w:lineRule="auto"/>
        <w:outlineLvl w:val="9"/>
        <w:rPr>
          <w:rFonts w:hint="eastAsia" w:ascii="宋体" w:hAnsi="宋体" w:eastAsia="宋体" w:cs="宋体"/>
          <w:b/>
          <w:color w:val="auto"/>
          <w:sz w:val="32"/>
          <w:szCs w:val="52"/>
          <w:highlight w:val="none"/>
          <w:lang w:eastAsia="zh-CN"/>
        </w:rPr>
      </w:pPr>
      <w:r>
        <w:rPr>
          <w:rFonts w:hint="eastAsia" w:ascii="宋体" w:hAnsi="宋体" w:cs="宋体"/>
          <w:b/>
          <w:color w:val="auto"/>
          <w:sz w:val="32"/>
          <w:szCs w:val="52"/>
          <w:highlight w:val="none"/>
        </w:rPr>
        <w:t>采购单位：</w:t>
      </w:r>
      <w:r>
        <w:rPr>
          <w:rFonts w:hint="eastAsia" w:ascii="宋体" w:hAnsi="宋体" w:cs="宋体"/>
          <w:b/>
          <w:color w:val="auto"/>
          <w:sz w:val="32"/>
          <w:szCs w:val="52"/>
          <w:highlight w:val="none"/>
          <w:lang w:eastAsia="zh-CN"/>
        </w:rPr>
        <w:t>宁波市文化广电旅游局</w:t>
      </w:r>
    </w:p>
    <w:p>
      <w:pPr>
        <w:pageBreakBefore w:val="0"/>
        <w:kinsoku/>
        <w:overflowPunct/>
        <w:bidi w:val="0"/>
        <w:spacing w:beforeLines="50" w:line="360" w:lineRule="auto"/>
        <w:outlineLvl w:val="9"/>
        <w:rPr>
          <w:rFonts w:ascii="宋体" w:hAnsi="宋体" w:cs="宋体"/>
          <w:b/>
          <w:color w:val="auto"/>
          <w:sz w:val="32"/>
          <w:szCs w:val="52"/>
          <w:highlight w:val="none"/>
        </w:rPr>
      </w:pPr>
      <w:r>
        <w:rPr>
          <w:rFonts w:hint="eastAsia" w:ascii="宋体" w:hAnsi="宋体" w:cs="宋体"/>
          <w:b/>
          <w:color w:val="auto"/>
          <w:sz w:val="32"/>
          <w:szCs w:val="52"/>
          <w:highlight w:val="none"/>
        </w:rPr>
        <w:t>代理机构：浙江中基正采管理咨询有限公司</w:t>
      </w:r>
    </w:p>
    <w:p>
      <w:pPr>
        <w:pageBreakBefore w:val="0"/>
        <w:kinsoku/>
        <w:overflowPunct/>
        <w:bidi w:val="0"/>
        <w:snapToGrid w:val="0"/>
        <w:spacing w:beforeLines="50" w:line="360" w:lineRule="auto"/>
        <w:jc w:val="center"/>
        <w:outlineLvl w:val="9"/>
        <w:rPr>
          <w:rFonts w:ascii="宋体" w:hAnsi="宋体" w:cs="宋体"/>
          <w:b/>
          <w:bCs/>
          <w:color w:val="auto"/>
          <w:w w:val="95"/>
          <w:sz w:val="30"/>
          <w:szCs w:val="30"/>
          <w:highlight w:val="none"/>
        </w:rPr>
      </w:pPr>
    </w:p>
    <w:p>
      <w:pPr>
        <w:pageBreakBefore w:val="0"/>
        <w:kinsoku/>
        <w:overflowPunct/>
        <w:bidi w:val="0"/>
        <w:snapToGrid w:val="0"/>
        <w:spacing w:beforeLines="50" w:line="360" w:lineRule="auto"/>
        <w:jc w:val="center"/>
        <w:outlineLvl w:val="9"/>
        <w:rPr>
          <w:rFonts w:ascii="宋体" w:hAnsi="宋体" w:cs="宋体"/>
          <w:b/>
          <w:bCs/>
          <w:color w:val="auto"/>
          <w:w w:val="95"/>
          <w:sz w:val="30"/>
          <w:szCs w:val="30"/>
          <w:highlight w:val="none"/>
        </w:rPr>
      </w:pPr>
    </w:p>
    <w:p>
      <w:pPr>
        <w:pageBreakBefore w:val="0"/>
        <w:kinsoku/>
        <w:overflowPunct/>
        <w:bidi w:val="0"/>
        <w:snapToGrid w:val="0"/>
        <w:spacing w:beforeLines="50" w:line="360" w:lineRule="auto"/>
        <w:jc w:val="center"/>
        <w:outlineLvl w:val="9"/>
        <w:rPr>
          <w:rFonts w:ascii="宋体" w:hAnsi="宋体" w:cs="宋体"/>
          <w:b/>
          <w:bCs/>
          <w:color w:val="auto"/>
          <w:w w:val="95"/>
          <w:sz w:val="30"/>
          <w:szCs w:val="30"/>
          <w:highlight w:val="none"/>
        </w:rPr>
      </w:pPr>
    </w:p>
    <w:p>
      <w:pPr>
        <w:pageBreakBefore w:val="0"/>
        <w:kinsoku/>
        <w:overflowPunct/>
        <w:bidi w:val="0"/>
        <w:snapToGrid w:val="0"/>
        <w:spacing w:beforeLines="50" w:line="360" w:lineRule="auto"/>
        <w:ind w:left="2940" w:firstLine="420"/>
        <w:outlineLvl w:val="9"/>
        <w:rPr>
          <w:rFonts w:ascii="宋体" w:hAnsi="宋体" w:cs="宋体"/>
          <w:b/>
          <w:bCs/>
          <w:color w:val="auto"/>
          <w:w w:val="95"/>
          <w:sz w:val="30"/>
          <w:szCs w:val="30"/>
          <w:highlight w:val="none"/>
        </w:rPr>
      </w:pPr>
      <w:r>
        <w:rPr>
          <w:rFonts w:hint="eastAsia" w:ascii="宋体" w:hAnsi="宋体" w:cs="宋体"/>
          <w:b/>
          <w:bCs/>
          <w:color w:val="auto"/>
          <w:w w:val="95"/>
          <w:sz w:val="30"/>
          <w:szCs w:val="30"/>
          <w:highlight w:val="none"/>
          <w:lang w:val="en-US" w:eastAsia="zh-CN"/>
        </w:rPr>
        <w:t>2022</w:t>
      </w:r>
      <w:r>
        <w:rPr>
          <w:rFonts w:hint="eastAsia" w:ascii="宋体" w:hAnsi="宋体" w:cs="宋体"/>
          <w:b/>
          <w:bCs/>
          <w:color w:val="auto"/>
          <w:w w:val="95"/>
          <w:sz w:val="30"/>
          <w:szCs w:val="30"/>
          <w:highlight w:val="none"/>
        </w:rPr>
        <w:t>年</w:t>
      </w:r>
      <w:r>
        <w:rPr>
          <w:rFonts w:hint="eastAsia" w:ascii="宋体" w:hAnsi="宋体" w:cs="宋体"/>
          <w:b/>
          <w:bCs/>
          <w:color w:val="auto"/>
          <w:w w:val="95"/>
          <w:sz w:val="30"/>
          <w:szCs w:val="30"/>
          <w:highlight w:val="none"/>
          <w:lang w:val="en-US" w:eastAsia="zh-CN"/>
        </w:rPr>
        <w:t>11</w:t>
      </w:r>
      <w:r>
        <w:rPr>
          <w:rFonts w:hint="eastAsia" w:ascii="宋体" w:hAnsi="宋体" w:cs="宋体"/>
          <w:b/>
          <w:bCs/>
          <w:color w:val="auto"/>
          <w:w w:val="95"/>
          <w:sz w:val="30"/>
          <w:szCs w:val="30"/>
          <w:highlight w:val="none"/>
        </w:rPr>
        <w:t>月</w:t>
      </w:r>
    </w:p>
    <w:p>
      <w:pPr>
        <w:pStyle w:val="3"/>
        <w:pageBreakBefore w:val="0"/>
        <w:kinsoku/>
        <w:overflowPunct/>
        <w:bidi w:val="0"/>
        <w:spacing w:before="120" w:after="120"/>
        <w:outlineLvl w:val="9"/>
        <w:rPr>
          <w:rFonts w:hAnsi="宋体" w:cs="宋体"/>
          <w:b/>
          <w:bCs/>
          <w:color w:val="auto"/>
          <w:w w:val="95"/>
          <w:sz w:val="30"/>
          <w:szCs w:val="30"/>
          <w:highlight w:val="none"/>
        </w:rPr>
      </w:pPr>
    </w:p>
    <w:p>
      <w:pPr>
        <w:pStyle w:val="3"/>
        <w:pageBreakBefore w:val="0"/>
        <w:kinsoku/>
        <w:overflowPunct/>
        <w:bidi w:val="0"/>
        <w:spacing w:before="120" w:after="120"/>
        <w:outlineLvl w:val="9"/>
        <w:rPr>
          <w:rFonts w:hAnsi="宋体" w:cs="宋体"/>
          <w:b/>
          <w:bCs/>
          <w:color w:val="auto"/>
          <w:w w:val="95"/>
          <w:sz w:val="30"/>
          <w:szCs w:val="30"/>
          <w:highlight w:val="none"/>
        </w:rPr>
        <w:sectPr>
          <w:headerReference r:id="rId5" w:type="first"/>
          <w:headerReference r:id="rId3" w:type="default"/>
          <w:footerReference r:id="rId6" w:type="default"/>
          <w:headerReference r:id="rId4" w:type="even"/>
          <w:footerReference r:id="rId7" w:type="even"/>
          <w:pgSz w:w="11906" w:h="16838"/>
          <w:pgMar w:top="1474" w:right="1797" w:bottom="1247" w:left="1797" w:header="851" w:footer="851" w:gutter="0"/>
          <w:pgNumType w:start="1"/>
          <w:cols w:space="720" w:num="1"/>
          <w:titlePg/>
          <w:docGrid w:linePitch="312" w:charSpace="0"/>
        </w:sectPr>
      </w:pPr>
    </w:p>
    <w:p>
      <w:pPr>
        <w:pageBreakBefore w:val="0"/>
        <w:kinsoku/>
        <w:overflowPunct/>
        <w:bidi w:val="0"/>
        <w:snapToGrid w:val="0"/>
        <w:spacing w:beforeLines="50" w:line="360" w:lineRule="auto"/>
        <w:outlineLvl w:val="9"/>
        <w:rPr>
          <w:rFonts w:ascii="宋体" w:hAnsi="宋体" w:cs="宋体"/>
          <w:b/>
          <w:bCs/>
          <w:color w:val="auto"/>
          <w:w w:val="95"/>
          <w:sz w:val="30"/>
          <w:szCs w:val="30"/>
          <w:highlight w:val="none"/>
        </w:rPr>
      </w:pPr>
    </w:p>
    <w:p>
      <w:pPr>
        <w:pageBreakBefore w:val="0"/>
        <w:kinsoku/>
        <w:overflowPunct/>
        <w:bidi w:val="0"/>
        <w:jc w:val="center"/>
        <w:outlineLvl w:val="9"/>
        <w:rPr>
          <w:rFonts w:ascii="宋体" w:hAnsi="宋体" w:cs="宋体"/>
          <w:b/>
          <w:color w:val="auto"/>
          <w:sz w:val="44"/>
          <w:szCs w:val="44"/>
          <w:highlight w:val="none"/>
        </w:rPr>
      </w:pPr>
      <w:r>
        <w:rPr>
          <w:rFonts w:hint="eastAsia" w:ascii="宋体" w:hAnsi="宋体" w:cs="宋体"/>
          <w:b/>
          <w:color w:val="auto"/>
          <w:sz w:val="44"/>
          <w:szCs w:val="44"/>
          <w:highlight w:val="none"/>
        </w:rPr>
        <w:br w:type="page"/>
      </w:r>
    </w:p>
    <w:p>
      <w:pPr>
        <w:pageBreakBefore w:val="0"/>
        <w:kinsoku/>
        <w:overflowPunct/>
        <w:bidi w:val="0"/>
        <w:jc w:val="center"/>
        <w:outlineLvl w:val="9"/>
        <w:rPr>
          <w:rFonts w:ascii="宋体" w:hAnsi="宋体" w:cs="宋体"/>
          <w:b/>
          <w:color w:val="auto"/>
          <w:sz w:val="44"/>
          <w:szCs w:val="44"/>
          <w:highlight w:val="none"/>
        </w:rPr>
      </w:pPr>
    </w:p>
    <w:p>
      <w:pPr>
        <w:pageBreakBefore w:val="0"/>
        <w:kinsoku/>
        <w:overflowPunct/>
        <w:bidi w:val="0"/>
        <w:jc w:val="center"/>
        <w:outlineLvl w:val="9"/>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pageBreakBefore w:val="0"/>
        <w:tabs>
          <w:tab w:val="left" w:pos="855"/>
        </w:tabs>
        <w:kinsoku/>
        <w:overflowPunct/>
        <w:bidi w:val="0"/>
        <w:outlineLvl w:val="9"/>
        <w:rPr>
          <w:rFonts w:ascii="宋体" w:hAnsi="宋体" w:cs="宋体"/>
          <w:color w:val="auto"/>
          <w:highlight w:val="none"/>
        </w:rPr>
      </w:pPr>
    </w:p>
    <w:p>
      <w:pPr>
        <w:pageBreakBefore w:val="0"/>
        <w:kinsoku/>
        <w:overflowPunct/>
        <w:bidi w:val="0"/>
        <w:spacing w:line="480" w:lineRule="auto"/>
        <w:outlineLvl w:val="9"/>
        <w:rPr>
          <w:rFonts w:ascii="宋体" w:hAnsi="宋体" w:cs="宋体"/>
          <w:color w:val="auto"/>
          <w:sz w:val="24"/>
          <w:highlight w:val="none"/>
        </w:rPr>
      </w:pPr>
    </w:p>
    <w:p>
      <w:pPr>
        <w:pStyle w:val="25"/>
        <w:pageBreakBefore w:val="0"/>
        <w:kinsoku/>
        <w:overflowPunct/>
        <w:bidi w:val="0"/>
        <w:outlineLvl w:val="9"/>
        <w:rPr>
          <w:rFonts w:ascii="宋体" w:hAnsi="宋体" w:cs="宋体"/>
          <w:color w:val="auto"/>
          <w:highlight w:val="none"/>
        </w:rPr>
      </w:pPr>
    </w:p>
    <w:p>
      <w:pPr>
        <w:pStyle w:val="25"/>
        <w:keepNext w:val="0"/>
        <w:keepLines w:val="0"/>
        <w:pageBreakBefore w:val="0"/>
        <w:widowControl w:val="0"/>
        <w:tabs>
          <w:tab w:val="right" w:leader="dot" w:pos="8312"/>
        </w:tabs>
        <w:kinsoku/>
        <w:wordWrap/>
        <w:overflowPunct/>
        <w:topLinePunct w:val="0"/>
        <w:autoSpaceDE/>
        <w:autoSpaceDN/>
        <w:bidi w:val="0"/>
        <w:adjustRightInd/>
        <w:snapToGrid/>
        <w:spacing w:before="313" w:beforeLines="100" w:after="313" w:afterLines="100" w:line="360" w:lineRule="auto"/>
        <w:textAlignment w:val="auto"/>
        <w:rPr>
          <w:b/>
          <w:bCs/>
          <w:sz w:val="36"/>
          <w:szCs w:val="44"/>
        </w:rPr>
      </w:pPr>
      <w:r>
        <w:rPr>
          <w:rFonts w:hint="eastAsia" w:ascii="宋体" w:hAnsi="宋体" w:eastAsia="宋体" w:cs="宋体"/>
          <w:b/>
          <w:bCs/>
          <w:color w:val="auto"/>
          <w:sz w:val="56"/>
          <w:szCs w:val="56"/>
          <w:highlight w:val="none"/>
        </w:rPr>
        <w:fldChar w:fldCharType="begin"/>
      </w:r>
      <w:r>
        <w:rPr>
          <w:rFonts w:hint="eastAsia" w:ascii="宋体" w:hAnsi="宋体" w:eastAsia="宋体" w:cs="宋体"/>
          <w:b/>
          <w:bCs/>
          <w:color w:val="auto"/>
          <w:sz w:val="56"/>
          <w:szCs w:val="56"/>
          <w:highlight w:val="none"/>
        </w:rPr>
        <w:instrText xml:space="preserve"> TOC \o "1-3" \h \z \u </w:instrText>
      </w:r>
      <w:r>
        <w:rPr>
          <w:rFonts w:hint="eastAsia" w:ascii="宋体" w:hAnsi="宋体" w:eastAsia="宋体" w:cs="宋体"/>
          <w:b/>
          <w:bCs/>
          <w:color w:val="auto"/>
          <w:sz w:val="56"/>
          <w:szCs w:val="56"/>
          <w:highlight w:val="none"/>
        </w:rPr>
        <w:fldChar w:fldCharType="separate"/>
      </w:r>
      <w:r>
        <w:rPr>
          <w:rFonts w:hint="eastAsia" w:ascii="宋体" w:hAnsi="宋体" w:eastAsia="宋体" w:cs="宋体"/>
          <w:b/>
          <w:bCs/>
          <w:color w:val="auto"/>
          <w:sz w:val="36"/>
          <w:szCs w:val="56"/>
          <w:highlight w:val="none"/>
        </w:rPr>
        <w:fldChar w:fldCharType="begin"/>
      </w:r>
      <w:r>
        <w:rPr>
          <w:rFonts w:hint="eastAsia" w:ascii="宋体" w:hAnsi="宋体" w:eastAsia="宋体" w:cs="宋体"/>
          <w:b/>
          <w:bCs/>
          <w:sz w:val="36"/>
          <w:szCs w:val="56"/>
          <w:highlight w:val="none"/>
        </w:rPr>
        <w:instrText xml:space="preserve"> HYPERLINK \l _Toc4962 </w:instrText>
      </w:r>
      <w:r>
        <w:rPr>
          <w:rFonts w:hint="eastAsia" w:ascii="宋体" w:hAnsi="宋体" w:eastAsia="宋体" w:cs="宋体"/>
          <w:b/>
          <w:bCs/>
          <w:sz w:val="36"/>
          <w:szCs w:val="56"/>
          <w:highlight w:val="none"/>
        </w:rPr>
        <w:fldChar w:fldCharType="separate"/>
      </w:r>
      <w:r>
        <w:rPr>
          <w:rFonts w:hint="eastAsia" w:ascii="宋体" w:hAnsi="宋体" w:cs="宋体"/>
          <w:b/>
          <w:bCs/>
          <w:sz w:val="36"/>
          <w:szCs w:val="48"/>
          <w:highlight w:val="none"/>
        </w:rPr>
        <w:t xml:space="preserve">第一章 </w:t>
      </w:r>
      <w:r>
        <w:rPr>
          <w:rFonts w:hint="eastAsia" w:ascii="宋体" w:hAnsi="宋体" w:cs="宋体"/>
          <w:b/>
          <w:bCs/>
          <w:sz w:val="36"/>
          <w:szCs w:val="48"/>
          <w:highlight w:val="none"/>
          <w:lang w:val="en-US" w:eastAsia="zh-CN"/>
        </w:rPr>
        <w:t xml:space="preserve"> </w:t>
      </w:r>
      <w:r>
        <w:rPr>
          <w:rFonts w:hint="eastAsia" w:ascii="宋体" w:hAnsi="宋体" w:cs="宋体"/>
          <w:b/>
          <w:bCs/>
          <w:sz w:val="36"/>
          <w:szCs w:val="48"/>
          <w:highlight w:val="none"/>
        </w:rPr>
        <w:t>公开招标公告</w:t>
      </w:r>
      <w:r>
        <w:rPr>
          <w:b/>
          <w:bCs/>
          <w:sz w:val="36"/>
          <w:szCs w:val="44"/>
        </w:rPr>
        <w:tab/>
      </w:r>
      <w:r>
        <w:rPr>
          <w:b/>
          <w:bCs/>
          <w:sz w:val="36"/>
          <w:szCs w:val="44"/>
        </w:rPr>
        <w:fldChar w:fldCharType="begin"/>
      </w:r>
      <w:r>
        <w:rPr>
          <w:b/>
          <w:bCs/>
          <w:sz w:val="36"/>
          <w:szCs w:val="44"/>
        </w:rPr>
        <w:instrText xml:space="preserve"> PAGEREF _Toc4962 \h </w:instrText>
      </w:r>
      <w:r>
        <w:rPr>
          <w:b/>
          <w:bCs/>
          <w:sz w:val="36"/>
          <w:szCs w:val="44"/>
        </w:rPr>
        <w:fldChar w:fldCharType="separate"/>
      </w:r>
      <w:r>
        <w:rPr>
          <w:b/>
          <w:bCs/>
          <w:sz w:val="36"/>
          <w:szCs w:val="44"/>
        </w:rPr>
        <w:t>1</w:t>
      </w:r>
      <w:r>
        <w:rPr>
          <w:b/>
          <w:bCs/>
          <w:sz w:val="36"/>
          <w:szCs w:val="44"/>
        </w:rPr>
        <w:fldChar w:fldCharType="end"/>
      </w:r>
      <w:r>
        <w:rPr>
          <w:rFonts w:hint="eastAsia" w:ascii="宋体" w:hAnsi="宋体" w:eastAsia="宋体" w:cs="宋体"/>
          <w:b/>
          <w:bCs/>
          <w:color w:val="auto"/>
          <w:sz w:val="36"/>
          <w:szCs w:val="56"/>
          <w:highlight w:val="none"/>
        </w:rPr>
        <w:fldChar w:fldCharType="end"/>
      </w:r>
    </w:p>
    <w:p>
      <w:pPr>
        <w:pStyle w:val="25"/>
        <w:keepNext w:val="0"/>
        <w:keepLines w:val="0"/>
        <w:pageBreakBefore w:val="0"/>
        <w:widowControl w:val="0"/>
        <w:tabs>
          <w:tab w:val="right" w:leader="dot" w:pos="8312"/>
        </w:tabs>
        <w:kinsoku/>
        <w:wordWrap/>
        <w:overflowPunct/>
        <w:topLinePunct w:val="0"/>
        <w:autoSpaceDE/>
        <w:autoSpaceDN/>
        <w:bidi w:val="0"/>
        <w:adjustRightInd/>
        <w:snapToGrid/>
        <w:spacing w:before="313" w:beforeLines="100" w:after="313" w:afterLines="100" w:line="360" w:lineRule="auto"/>
        <w:textAlignment w:val="auto"/>
        <w:rPr>
          <w:b/>
          <w:bCs/>
          <w:sz w:val="36"/>
          <w:szCs w:val="44"/>
        </w:rPr>
      </w:pPr>
      <w:r>
        <w:rPr>
          <w:rFonts w:hint="eastAsia" w:ascii="宋体" w:hAnsi="宋体" w:eastAsia="宋体" w:cs="宋体"/>
          <w:b/>
          <w:bCs/>
          <w:color w:val="auto"/>
          <w:sz w:val="36"/>
          <w:szCs w:val="56"/>
          <w:highlight w:val="none"/>
        </w:rPr>
        <w:fldChar w:fldCharType="begin"/>
      </w:r>
      <w:r>
        <w:rPr>
          <w:rFonts w:hint="eastAsia" w:ascii="宋体" w:hAnsi="宋体" w:eastAsia="宋体" w:cs="宋体"/>
          <w:b/>
          <w:bCs/>
          <w:sz w:val="36"/>
          <w:szCs w:val="56"/>
          <w:highlight w:val="none"/>
        </w:rPr>
        <w:instrText xml:space="preserve"> HYPERLINK \l _Toc16425 </w:instrText>
      </w:r>
      <w:r>
        <w:rPr>
          <w:rFonts w:hint="eastAsia" w:ascii="宋体" w:hAnsi="宋体" w:eastAsia="宋体" w:cs="宋体"/>
          <w:b/>
          <w:bCs/>
          <w:sz w:val="36"/>
          <w:szCs w:val="56"/>
          <w:highlight w:val="none"/>
        </w:rPr>
        <w:fldChar w:fldCharType="separate"/>
      </w:r>
      <w:r>
        <w:rPr>
          <w:rFonts w:hint="eastAsia" w:ascii="宋体" w:hAnsi="宋体" w:cs="宋体"/>
          <w:b/>
          <w:bCs/>
          <w:sz w:val="36"/>
          <w:szCs w:val="48"/>
          <w:highlight w:val="none"/>
        </w:rPr>
        <w:t>第二章  采购需求</w:t>
      </w:r>
      <w:r>
        <w:rPr>
          <w:b/>
          <w:bCs/>
          <w:sz w:val="36"/>
          <w:szCs w:val="44"/>
        </w:rPr>
        <w:tab/>
      </w:r>
      <w:r>
        <w:rPr>
          <w:b/>
          <w:bCs/>
          <w:sz w:val="36"/>
          <w:szCs w:val="44"/>
        </w:rPr>
        <w:fldChar w:fldCharType="begin"/>
      </w:r>
      <w:r>
        <w:rPr>
          <w:b/>
          <w:bCs/>
          <w:sz w:val="36"/>
          <w:szCs w:val="44"/>
        </w:rPr>
        <w:instrText xml:space="preserve"> PAGEREF _Toc16425 \h </w:instrText>
      </w:r>
      <w:r>
        <w:rPr>
          <w:b/>
          <w:bCs/>
          <w:sz w:val="36"/>
          <w:szCs w:val="44"/>
        </w:rPr>
        <w:fldChar w:fldCharType="separate"/>
      </w:r>
      <w:r>
        <w:rPr>
          <w:b/>
          <w:bCs/>
          <w:sz w:val="36"/>
          <w:szCs w:val="44"/>
        </w:rPr>
        <w:t>5</w:t>
      </w:r>
      <w:r>
        <w:rPr>
          <w:b/>
          <w:bCs/>
          <w:sz w:val="36"/>
          <w:szCs w:val="44"/>
        </w:rPr>
        <w:fldChar w:fldCharType="end"/>
      </w:r>
      <w:r>
        <w:rPr>
          <w:rFonts w:hint="eastAsia" w:ascii="宋体" w:hAnsi="宋体" w:eastAsia="宋体" w:cs="宋体"/>
          <w:b/>
          <w:bCs/>
          <w:color w:val="auto"/>
          <w:sz w:val="36"/>
          <w:szCs w:val="56"/>
          <w:highlight w:val="none"/>
        </w:rPr>
        <w:fldChar w:fldCharType="end"/>
      </w:r>
    </w:p>
    <w:p>
      <w:pPr>
        <w:pStyle w:val="25"/>
        <w:keepNext w:val="0"/>
        <w:keepLines w:val="0"/>
        <w:pageBreakBefore w:val="0"/>
        <w:widowControl w:val="0"/>
        <w:tabs>
          <w:tab w:val="right" w:leader="dot" w:pos="8312"/>
        </w:tabs>
        <w:kinsoku/>
        <w:wordWrap/>
        <w:overflowPunct/>
        <w:topLinePunct w:val="0"/>
        <w:autoSpaceDE/>
        <w:autoSpaceDN/>
        <w:bidi w:val="0"/>
        <w:adjustRightInd/>
        <w:snapToGrid/>
        <w:spacing w:before="313" w:beforeLines="100" w:after="313" w:afterLines="100" w:line="360" w:lineRule="auto"/>
        <w:textAlignment w:val="auto"/>
        <w:rPr>
          <w:b/>
          <w:bCs/>
          <w:sz w:val="36"/>
          <w:szCs w:val="44"/>
        </w:rPr>
      </w:pPr>
      <w:r>
        <w:rPr>
          <w:rFonts w:hint="eastAsia" w:ascii="宋体" w:hAnsi="宋体" w:eastAsia="宋体" w:cs="宋体"/>
          <w:b/>
          <w:bCs/>
          <w:color w:val="auto"/>
          <w:sz w:val="36"/>
          <w:szCs w:val="56"/>
          <w:highlight w:val="none"/>
        </w:rPr>
        <w:fldChar w:fldCharType="begin"/>
      </w:r>
      <w:r>
        <w:rPr>
          <w:rFonts w:hint="eastAsia" w:ascii="宋体" w:hAnsi="宋体" w:eastAsia="宋体" w:cs="宋体"/>
          <w:b/>
          <w:bCs/>
          <w:sz w:val="36"/>
          <w:szCs w:val="56"/>
          <w:highlight w:val="none"/>
        </w:rPr>
        <w:instrText xml:space="preserve"> HYPERLINK \l _Toc18754 </w:instrText>
      </w:r>
      <w:r>
        <w:rPr>
          <w:rFonts w:hint="eastAsia" w:ascii="宋体" w:hAnsi="宋体" w:eastAsia="宋体" w:cs="宋体"/>
          <w:b/>
          <w:bCs/>
          <w:sz w:val="36"/>
          <w:szCs w:val="56"/>
          <w:highlight w:val="none"/>
        </w:rPr>
        <w:fldChar w:fldCharType="separate"/>
      </w:r>
      <w:r>
        <w:rPr>
          <w:rFonts w:hint="eastAsia" w:ascii="宋体" w:hAnsi="宋体" w:cs="宋体"/>
          <w:b/>
          <w:bCs/>
          <w:sz w:val="36"/>
          <w:szCs w:val="48"/>
          <w:highlight w:val="none"/>
        </w:rPr>
        <w:t>第三章  供应商须知</w:t>
      </w:r>
      <w:r>
        <w:rPr>
          <w:b/>
          <w:bCs/>
          <w:sz w:val="36"/>
          <w:szCs w:val="44"/>
        </w:rPr>
        <w:tab/>
      </w:r>
      <w:r>
        <w:rPr>
          <w:b/>
          <w:bCs/>
          <w:sz w:val="36"/>
          <w:szCs w:val="44"/>
        </w:rPr>
        <w:fldChar w:fldCharType="begin"/>
      </w:r>
      <w:r>
        <w:rPr>
          <w:b/>
          <w:bCs/>
          <w:sz w:val="36"/>
          <w:szCs w:val="44"/>
        </w:rPr>
        <w:instrText xml:space="preserve"> PAGEREF _Toc18754 \h </w:instrText>
      </w:r>
      <w:r>
        <w:rPr>
          <w:b/>
          <w:bCs/>
          <w:sz w:val="36"/>
          <w:szCs w:val="44"/>
        </w:rPr>
        <w:fldChar w:fldCharType="separate"/>
      </w:r>
      <w:r>
        <w:rPr>
          <w:b/>
          <w:bCs/>
          <w:sz w:val="36"/>
          <w:szCs w:val="44"/>
        </w:rPr>
        <w:t>17</w:t>
      </w:r>
      <w:r>
        <w:rPr>
          <w:b/>
          <w:bCs/>
          <w:sz w:val="36"/>
          <w:szCs w:val="44"/>
        </w:rPr>
        <w:fldChar w:fldCharType="end"/>
      </w:r>
      <w:r>
        <w:rPr>
          <w:rFonts w:hint="eastAsia" w:ascii="宋体" w:hAnsi="宋体" w:eastAsia="宋体" w:cs="宋体"/>
          <w:b/>
          <w:bCs/>
          <w:color w:val="auto"/>
          <w:sz w:val="36"/>
          <w:szCs w:val="56"/>
          <w:highlight w:val="none"/>
        </w:rPr>
        <w:fldChar w:fldCharType="end"/>
      </w:r>
    </w:p>
    <w:p>
      <w:pPr>
        <w:pStyle w:val="25"/>
        <w:keepNext w:val="0"/>
        <w:keepLines w:val="0"/>
        <w:pageBreakBefore w:val="0"/>
        <w:widowControl w:val="0"/>
        <w:tabs>
          <w:tab w:val="right" w:leader="dot" w:pos="8312"/>
        </w:tabs>
        <w:kinsoku/>
        <w:wordWrap/>
        <w:overflowPunct/>
        <w:topLinePunct w:val="0"/>
        <w:autoSpaceDE/>
        <w:autoSpaceDN/>
        <w:bidi w:val="0"/>
        <w:adjustRightInd/>
        <w:snapToGrid/>
        <w:spacing w:before="313" w:beforeLines="100" w:after="313" w:afterLines="100" w:line="360" w:lineRule="auto"/>
        <w:textAlignment w:val="auto"/>
        <w:rPr>
          <w:b/>
          <w:bCs/>
          <w:sz w:val="36"/>
          <w:szCs w:val="44"/>
        </w:rPr>
      </w:pPr>
      <w:r>
        <w:rPr>
          <w:rFonts w:hint="eastAsia" w:ascii="宋体" w:hAnsi="宋体" w:eastAsia="宋体" w:cs="宋体"/>
          <w:b/>
          <w:bCs/>
          <w:color w:val="auto"/>
          <w:sz w:val="36"/>
          <w:szCs w:val="56"/>
          <w:highlight w:val="none"/>
        </w:rPr>
        <w:fldChar w:fldCharType="begin"/>
      </w:r>
      <w:r>
        <w:rPr>
          <w:rFonts w:hint="eastAsia" w:ascii="宋体" w:hAnsi="宋体" w:eastAsia="宋体" w:cs="宋体"/>
          <w:b/>
          <w:bCs/>
          <w:sz w:val="36"/>
          <w:szCs w:val="56"/>
          <w:highlight w:val="none"/>
        </w:rPr>
        <w:instrText xml:space="preserve"> HYPERLINK \l _Toc863 </w:instrText>
      </w:r>
      <w:r>
        <w:rPr>
          <w:rFonts w:hint="eastAsia" w:ascii="宋体" w:hAnsi="宋体" w:eastAsia="宋体" w:cs="宋体"/>
          <w:b/>
          <w:bCs/>
          <w:sz w:val="36"/>
          <w:szCs w:val="56"/>
          <w:highlight w:val="none"/>
        </w:rPr>
        <w:fldChar w:fldCharType="separate"/>
      </w:r>
      <w:r>
        <w:rPr>
          <w:rFonts w:hint="eastAsia" w:ascii="宋体" w:hAnsi="宋体" w:cs="宋体"/>
          <w:b/>
          <w:bCs/>
          <w:sz w:val="36"/>
          <w:szCs w:val="48"/>
          <w:highlight w:val="none"/>
        </w:rPr>
        <w:t>第四章  评标办法及评分标准</w:t>
      </w:r>
      <w:r>
        <w:rPr>
          <w:b/>
          <w:bCs/>
          <w:sz w:val="36"/>
          <w:szCs w:val="44"/>
        </w:rPr>
        <w:tab/>
      </w:r>
      <w:r>
        <w:rPr>
          <w:b/>
          <w:bCs/>
          <w:sz w:val="36"/>
          <w:szCs w:val="44"/>
        </w:rPr>
        <w:fldChar w:fldCharType="begin"/>
      </w:r>
      <w:r>
        <w:rPr>
          <w:b/>
          <w:bCs/>
          <w:sz w:val="36"/>
          <w:szCs w:val="44"/>
        </w:rPr>
        <w:instrText xml:space="preserve"> PAGEREF _Toc863 \h </w:instrText>
      </w:r>
      <w:r>
        <w:rPr>
          <w:b/>
          <w:bCs/>
          <w:sz w:val="36"/>
          <w:szCs w:val="44"/>
        </w:rPr>
        <w:fldChar w:fldCharType="separate"/>
      </w:r>
      <w:r>
        <w:rPr>
          <w:b/>
          <w:bCs/>
          <w:sz w:val="36"/>
          <w:szCs w:val="44"/>
        </w:rPr>
        <w:t>25</w:t>
      </w:r>
      <w:r>
        <w:rPr>
          <w:b/>
          <w:bCs/>
          <w:sz w:val="36"/>
          <w:szCs w:val="44"/>
        </w:rPr>
        <w:fldChar w:fldCharType="end"/>
      </w:r>
      <w:r>
        <w:rPr>
          <w:rFonts w:hint="eastAsia" w:ascii="宋体" w:hAnsi="宋体" w:eastAsia="宋体" w:cs="宋体"/>
          <w:b/>
          <w:bCs/>
          <w:color w:val="auto"/>
          <w:sz w:val="36"/>
          <w:szCs w:val="56"/>
          <w:highlight w:val="none"/>
        </w:rPr>
        <w:fldChar w:fldCharType="end"/>
      </w:r>
    </w:p>
    <w:p>
      <w:pPr>
        <w:pStyle w:val="25"/>
        <w:keepNext w:val="0"/>
        <w:keepLines w:val="0"/>
        <w:pageBreakBefore w:val="0"/>
        <w:widowControl w:val="0"/>
        <w:tabs>
          <w:tab w:val="right" w:leader="dot" w:pos="8312"/>
        </w:tabs>
        <w:kinsoku/>
        <w:wordWrap/>
        <w:overflowPunct/>
        <w:topLinePunct w:val="0"/>
        <w:autoSpaceDE/>
        <w:autoSpaceDN/>
        <w:bidi w:val="0"/>
        <w:adjustRightInd/>
        <w:snapToGrid/>
        <w:spacing w:before="313" w:beforeLines="100" w:after="313" w:afterLines="100" w:line="360" w:lineRule="auto"/>
        <w:textAlignment w:val="auto"/>
        <w:rPr>
          <w:b/>
          <w:bCs/>
          <w:sz w:val="36"/>
          <w:szCs w:val="44"/>
        </w:rPr>
      </w:pPr>
      <w:r>
        <w:rPr>
          <w:rFonts w:hint="eastAsia" w:ascii="宋体" w:hAnsi="宋体" w:eastAsia="宋体" w:cs="宋体"/>
          <w:b/>
          <w:bCs/>
          <w:color w:val="auto"/>
          <w:sz w:val="36"/>
          <w:szCs w:val="56"/>
          <w:highlight w:val="none"/>
        </w:rPr>
        <w:fldChar w:fldCharType="begin"/>
      </w:r>
      <w:r>
        <w:rPr>
          <w:rFonts w:hint="eastAsia" w:ascii="宋体" w:hAnsi="宋体" w:eastAsia="宋体" w:cs="宋体"/>
          <w:b/>
          <w:bCs/>
          <w:sz w:val="36"/>
          <w:szCs w:val="56"/>
          <w:highlight w:val="none"/>
        </w:rPr>
        <w:instrText xml:space="preserve"> HYPERLINK \l _Toc2493 </w:instrText>
      </w:r>
      <w:r>
        <w:rPr>
          <w:rFonts w:hint="eastAsia" w:ascii="宋体" w:hAnsi="宋体" w:eastAsia="宋体" w:cs="宋体"/>
          <w:b/>
          <w:bCs/>
          <w:sz w:val="36"/>
          <w:szCs w:val="56"/>
          <w:highlight w:val="none"/>
        </w:rPr>
        <w:fldChar w:fldCharType="separate"/>
      </w:r>
      <w:r>
        <w:rPr>
          <w:rFonts w:hint="eastAsia" w:ascii="宋体" w:hAnsi="宋体" w:cs="宋体"/>
          <w:b/>
          <w:bCs/>
          <w:sz w:val="36"/>
          <w:szCs w:val="48"/>
          <w:highlight w:val="none"/>
        </w:rPr>
        <w:t xml:space="preserve">第五章 </w:t>
      </w:r>
      <w:r>
        <w:rPr>
          <w:rFonts w:hint="eastAsia" w:ascii="宋体" w:hAnsi="宋体" w:cs="宋体"/>
          <w:b/>
          <w:bCs/>
          <w:sz w:val="36"/>
          <w:szCs w:val="48"/>
          <w:highlight w:val="none"/>
          <w:lang w:val="en-US" w:eastAsia="zh-CN"/>
        </w:rPr>
        <w:t xml:space="preserve"> </w:t>
      </w:r>
      <w:r>
        <w:rPr>
          <w:rFonts w:hint="eastAsia" w:ascii="宋体" w:hAnsi="宋体" w:cs="宋体"/>
          <w:b/>
          <w:bCs/>
          <w:sz w:val="36"/>
          <w:szCs w:val="48"/>
          <w:highlight w:val="none"/>
        </w:rPr>
        <w:t>政府采购合同主要条款</w:t>
      </w:r>
      <w:r>
        <w:rPr>
          <w:b/>
          <w:bCs/>
          <w:sz w:val="36"/>
          <w:szCs w:val="44"/>
        </w:rPr>
        <w:tab/>
      </w:r>
      <w:r>
        <w:rPr>
          <w:b/>
          <w:bCs/>
          <w:sz w:val="36"/>
          <w:szCs w:val="44"/>
        </w:rPr>
        <w:fldChar w:fldCharType="begin"/>
      </w:r>
      <w:r>
        <w:rPr>
          <w:b/>
          <w:bCs/>
          <w:sz w:val="36"/>
          <w:szCs w:val="44"/>
        </w:rPr>
        <w:instrText xml:space="preserve"> PAGEREF _Toc2493 \h </w:instrText>
      </w:r>
      <w:r>
        <w:rPr>
          <w:b/>
          <w:bCs/>
          <w:sz w:val="36"/>
          <w:szCs w:val="44"/>
        </w:rPr>
        <w:fldChar w:fldCharType="separate"/>
      </w:r>
      <w:r>
        <w:rPr>
          <w:b/>
          <w:bCs/>
          <w:sz w:val="36"/>
          <w:szCs w:val="44"/>
        </w:rPr>
        <w:t>40</w:t>
      </w:r>
      <w:r>
        <w:rPr>
          <w:b/>
          <w:bCs/>
          <w:sz w:val="36"/>
          <w:szCs w:val="44"/>
        </w:rPr>
        <w:fldChar w:fldCharType="end"/>
      </w:r>
      <w:r>
        <w:rPr>
          <w:rFonts w:hint="eastAsia" w:ascii="宋体" w:hAnsi="宋体" w:eastAsia="宋体" w:cs="宋体"/>
          <w:b/>
          <w:bCs/>
          <w:color w:val="auto"/>
          <w:sz w:val="36"/>
          <w:szCs w:val="56"/>
          <w:highlight w:val="none"/>
        </w:rPr>
        <w:fldChar w:fldCharType="end"/>
      </w:r>
    </w:p>
    <w:p>
      <w:pPr>
        <w:pStyle w:val="25"/>
        <w:keepNext w:val="0"/>
        <w:keepLines w:val="0"/>
        <w:pageBreakBefore w:val="0"/>
        <w:widowControl w:val="0"/>
        <w:tabs>
          <w:tab w:val="right" w:leader="dot" w:pos="8312"/>
        </w:tabs>
        <w:kinsoku/>
        <w:wordWrap/>
        <w:overflowPunct/>
        <w:topLinePunct w:val="0"/>
        <w:autoSpaceDE/>
        <w:autoSpaceDN/>
        <w:bidi w:val="0"/>
        <w:adjustRightInd/>
        <w:snapToGrid/>
        <w:spacing w:before="313" w:beforeLines="100" w:after="313" w:afterLines="100" w:line="360" w:lineRule="auto"/>
        <w:textAlignment w:val="auto"/>
        <w:rPr>
          <w:b/>
          <w:bCs/>
          <w:sz w:val="36"/>
          <w:szCs w:val="44"/>
        </w:rPr>
      </w:pPr>
      <w:r>
        <w:rPr>
          <w:rFonts w:hint="eastAsia" w:ascii="宋体" w:hAnsi="宋体" w:eastAsia="宋体" w:cs="宋体"/>
          <w:b/>
          <w:bCs/>
          <w:color w:val="auto"/>
          <w:sz w:val="36"/>
          <w:szCs w:val="56"/>
          <w:highlight w:val="none"/>
        </w:rPr>
        <w:fldChar w:fldCharType="begin"/>
      </w:r>
      <w:r>
        <w:rPr>
          <w:rFonts w:hint="eastAsia" w:ascii="宋体" w:hAnsi="宋体" w:eastAsia="宋体" w:cs="宋体"/>
          <w:b/>
          <w:bCs/>
          <w:sz w:val="36"/>
          <w:szCs w:val="56"/>
          <w:highlight w:val="none"/>
        </w:rPr>
        <w:instrText xml:space="preserve"> HYPERLINK \l _Toc31153 </w:instrText>
      </w:r>
      <w:r>
        <w:rPr>
          <w:rFonts w:hint="eastAsia" w:ascii="宋体" w:hAnsi="宋体" w:eastAsia="宋体" w:cs="宋体"/>
          <w:b/>
          <w:bCs/>
          <w:sz w:val="36"/>
          <w:szCs w:val="56"/>
          <w:highlight w:val="none"/>
        </w:rPr>
        <w:fldChar w:fldCharType="separate"/>
      </w:r>
      <w:r>
        <w:rPr>
          <w:rFonts w:hint="eastAsia" w:ascii="宋体" w:hAnsi="宋体" w:cs="宋体"/>
          <w:b/>
          <w:bCs/>
          <w:sz w:val="36"/>
          <w:szCs w:val="48"/>
          <w:highlight w:val="none"/>
        </w:rPr>
        <w:t>第六章　投标文件格式</w:t>
      </w:r>
      <w:r>
        <w:rPr>
          <w:b/>
          <w:bCs/>
          <w:sz w:val="36"/>
          <w:szCs w:val="44"/>
        </w:rPr>
        <w:tab/>
      </w:r>
      <w:r>
        <w:rPr>
          <w:b/>
          <w:bCs/>
          <w:sz w:val="36"/>
          <w:szCs w:val="44"/>
        </w:rPr>
        <w:fldChar w:fldCharType="begin"/>
      </w:r>
      <w:r>
        <w:rPr>
          <w:b/>
          <w:bCs/>
          <w:sz w:val="36"/>
          <w:szCs w:val="44"/>
        </w:rPr>
        <w:instrText xml:space="preserve"> PAGEREF _Toc31153 \h </w:instrText>
      </w:r>
      <w:r>
        <w:rPr>
          <w:b/>
          <w:bCs/>
          <w:sz w:val="36"/>
          <w:szCs w:val="44"/>
        </w:rPr>
        <w:fldChar w:fldCharType="separate"/>
      </w:r>
      <w:r>
        <w:rPr>
          <w:b/>
          <w:bCs/>
          <w:sz w:val="36"/>
          <w:szCs w:val="44"/>
        </w:rPr>
        <w:t>43</w:t>
      </w:r>
      <w:r>
        <w:rPr>
          <w:b/>
          <w:bCs/>
          <w:sz w:val="36"/>
          <w:szCs w:val="44"/>
        </w:rPr>
        <w:fldChar w:fldCharType="end"/>
      </w:r>
      <w:r>
        <w:rPr>
          <w:rFonts w:hint="eastAsia" w:ascii="宋体" w:hAnsi="宋体" w:eastAsia="宋体" w:cs="宋体"/>
          <w:b/>
          <w:bCs/>
          <w:color w:val="auto"/>
          <w:sz w:val="36"/>
          <w:szCs w:val="56"/>
          <w:highlight w:val="none"/>
        </w:rPr>
        <w:fldChar w:fldCharType="end"/>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both"/>
        <w:textAlignment w:val="auto"/>
        <w:outlineLvl w:val="9"/>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56"/>
          <w:highlight w:val="none"/>
        </w:rPr>
        <w:fldChar w:fldCharType="end"/>
      </w:r>
    </w:p>
    <w:p>
      <w:pPr>
        <w:pStyle w:val="15"/>
        <w:pageBreakBefore w:val="0"/>
        <w:kinsoku/>
        <w:overflowPunct/>
        <w:bidi w:val="0"/>
        <w:outlineLvl w:val="9"/>
        <w:rPr>
          <w:color w:val="auto"/>
          <w:highlight w:val="none"/>
        </w:rPr>
      </w:pPr>
    </w:p>
    <w:p>
      <w:pPr>
        <w:pStyle w:val="25"/>
        <w:pageBreakBefore w:val="0"/>
        <w:kinsoku/>
        <w:overflowPunct/>
        <w:bidi w:val="0"/>
        <w:outlineLvl w:val="9"/>
        <w:rPr>
          <w:rFonts w:ascii="宋体" w:hAnsi="宋体" w:cs="宋体"/>
          <w:color w:val="auto"/>
          <w:highlight w:val="none"/>
        </w:rPr>
        <w:sectPr>
          <w:pgSz w:w="11906" w:h="16838"/>
          <w:pgMar w:top="1474" w:right="1797" w:bottom="1247" w:left="1797" w:header="851" w:footer="851" w:gutter="0"/>
          <w:pgNumType w:start="1"/>
          <w:cols w:space="720" w:num="1"/>
          <w:titlePg/>
          <w:docGrid w:linePitch="312" w:charSpace="0"/>
        </w:sectPr>
      </w:pPr>
    </w:p>
    <w:p>
      <w:pPr>
        <w:pageBreakBefore w:val="0"/>
        <w:kinsoku/>
        <w:overflowPunct/>
        <w:bidi w:val="0"/>
        <w:spacing w:line="480" w:lineRule="auto"/>
        <w:outlineLvl w:val="9"/>
        <w:rPr>
          <w:rFonts w:ascii="宋体" w:hAnsi="宋体" w:cs="宋体"/>
          <w:color w:val="auto"/>
          <w:sz w:val="28"/>
          <w:szCs w:val="28"/>
          <w:highlight w:val="none"/>
        </w:rPr>
      </w:pPr>
    </w:p>
    <w:p>
      <w:pPr>
        <w:pageBreakBefore w:val="0"/>
        <w:kinsoku/>
        <w:overflowPunct/>
        <w:bidi w:val="0"/>
        <w:spacing w:line="480" w:lineRule="auto"/>
        <w:jc w:val="center"/>
        <w:outlineLvl w:val="9"/>
        <w:rPr>
          <w:rFonts w:ascii="宋体" w:hAnsi="宋体" w:cs="宋体"/>
          <w:color w:val="auto"/>
          <w:sz w:val="28"/>
          <w:szCs w:val="28"/>
          <w:highlight w:val="none"/>
        </w:rPr>
      </w:pPr>
      <w:r>
        <w:rPr>
          <w:rFonts w:hint="eastAsia" w:ascii="宋体" w:hAnsi="宋体" w:cs="宋体"/>
          <w:color w:val="auto"/>
          <w:highlight w:val="none"/>
        </w:rPr>
        <w:t xml:space="preserve"> </w:t>
      </w:r>
      <w:r>
        <w:rPr>
          <w:rFonts w:hint="eastAsia" w:ascii="宋体" w:hAnsi="宋体" w:cs="宋体"/>
          <w:color w:val="auto"/>
          <w:sz w:val="28"/>
          <w:szCs w:val="28"/>
          <w:highlight w:val="none"/>
        </w:rPr>
        <w:t xml:space="preserve"> </w:t>
      </w:r>
    </w:p>
    <w:p>
      <w:pPr>
        <w:pageBreakBefore w:val="0"/>
        <w:kinsoku/>
        <w:overflowPunct/>
        <w:bidi w:val="0"/>
        <w:spacing w:line="480" w:lineRule="auto"/>
        <w:jc w:val="center"/>
        <w:outlineLvl w:val="9"/>
        <w:rPr>
          <w:rFonts w:ascii="宋体" w:hAnsi="宋体" w:cs="宋体"/>
          <w:color w:val="auto"/>
          <w:sz w:val="28"/>
          <w:szCs w:val="28"/>
          <w:highlight w:val="none"/>
        </w:rPr>
        <w:sectPr>
          <w:pgSz w:w="11906" w:h="16838"/>
          <w:pgMar w:top="1474" w:right="1797" w:bottom="1247" w:left="1797" w:header="851" w:footer="851" w:gutter="0"/>
          <w:pgNumType w:start="1"/>
          <w:cols w:space="720" w:num="1"/>
          <w:titlePg/>
          <w:docGrid w:linePitch="312" w:charSpace="0"/>
        </w:sect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Fonts w:ascii="宋体" w:hAnsi="宋体" w:cs="宋体"/>
          <w:b/>
          <w:bCs/>
          <w:color w:val="auto"/>
          <w:sz w:val="28"/>
          <w:szCs w:val="28"/>
          <w:highlight w:val="none"/>
        </w:rPr>
      </w:pPr>
      <w:bookmarkStart w:id="0" w:name="_Toc41577661"/>
      <w:bookmarkStart w:id="1" w:name="_Toc4962"/>
      <w:r>
        <w:rPr>
          <w:rFonts w:hint="eastAsia" w:ascii="宋体" w:hAnsi="宋体" w:cs="宋体"/>
          <w:b/>
          <w:bCs/>
          <w:color w:val="auto"/>
          <w:sz w:val="28"/>
          <w:szCs w:val="28"/>
          <w:highlight w:val="none"/>
        </w:rPr>
        <w:t>第一章 公开招标公告</w:t>
      </w:r>
      <w:bookmarkEnd w:id="0"/>
      <w:bookmarkEnd w:id="1"/>
    </w:p>
    <w:tbl>
      <w:tblPr>
        <w:tblStyle w:val="36"/>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7" w:type="dxa"/>
          </w:tcPr>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 w:val="21"/>
                <w:szCs w:val="21"/>
                <w:highlight w:val="none"/>
              </w:rPr>
            </w:pPr>
            <w:bookmarkStart w:id="2" w:name="_Toc28359079"/>
            <w:bookmarkStart w:id="3" w:name="_Toc35393790"/>
            <w:bookmarkStart w:id="4" w:name="_Toc35393621"/>
            <w:bookmarkStart w:id="5" w:name="_Toc28359002"/>
            <w:bookmarkStart w:id="6" w:name="_Hlk24379207"/>
            <w:r>
              <w:rPr>
                <w:rFonts w:hint="eastAsia" w:ascii="宋体" w:hAnsi="宋体" w:eastAsia="宋体" w:cs="宋体"/>
                <w:color w:val="auto"/>
                <w:sz w:val="21"/>
                <w:szCs w:val="21"/>
                <w:highlight w:val="none"/>
              </w:rPr>
              <w:t>项目概况：</w:t>
            </w:r>
          </w:p>
          <w:p>
            <w:pPr>
              <w:pageBreakBefore w:val="0"/>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w:t>
            </w:r>
            <w:r>
              <w:rPr>
                <w:rFonts w:hint="eastAsia" w:ascii="宋体" w:hAnsi="宋体" w:cs="宋体"/>
                <w:color w:val="auto"/>
                <w:sz w:val="21"/>
                <w:szCs w:val="21"/>
                <w:highlight w:val="none"/>
                <w:u w:val="single"/>
                <w:lang w:eastAsia="zh-CN"/>
              </w:rPr>
              <w:t>“甬尚文旅”综合服务建设</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招标项目的潜在投标人应在</w:t>
            </w:r>
            <w:r>
              <w:rPr>
                <w:rFonts w:hint="eastAsia" w:ascii="宋体" w:hAnsi="宋体" w:cs="宋体"/>
                <w:bCs/>
                <w:color w:val="auto"/>
                <w:sz w:val="21"/>
                <w:szCs w:val="21"/>
                <w:highlight w:val="none"/>
                <w:u w:val="single"/>
                <w:lang w:eastAsia="zh-CN"/>
              </w:rPr>
              <w:t>政府采购云平台</w:t>
            </w:r>
            <w:r>
              <w:rPr>
                <w:rFonts w:hint="eastAsia" w:ascii="宋体" w:hAnsi="宋体" w:eastAsia="宋体" w:cs="宋体"/>
                <w:bCs/>
                <w:color w:val="auto"/>
                <w:sz w:val="21"/>
                <w:szCs w:val="21"/>
                <w:highlight w:val="none"/>
                <w:u w:val="single"/>
              </w:rPr>
              <w:t>（http://www.zcygov.cn/）</w:t>
            </w:r>
            <w:r>
              <w:rPr>
                <w:rFonts w:hint="eastAsia" w:ascii="宋体" w:hAnsi="宋体" w:eastAsia="宋体" w:cs="宋体"/>
                <w:color w:val="auto"/>
                <w:sz w:val="21"/>
                <w:szCs w:val="21"/>
                <w:highlight w:val="none"/>
              </w:rPr>
              <w:t>获取（下载）招标文件，并于</w:t>
            </w:r>
            <w:r>
              <w:rPr>
                <w:rFonts w:hint="eastAsia" w:ascii="宋体" w:hAnsi="宋体" w:eastAsia="宋体" w:cs="宋体"/>
                <w:color w:val="auto"/>
                <w:sz w:val="21"/>
                <w:szCs w:val="21"/>
                <w:highlight w:val="none"/>
                <w:u w:val="single"/>
                <w:lang w:val="en-US" w:eastAsia="zh-CN"/>
              </w:rPr>
              <w:t>2022年</w:t>
            </w:r>
            <w:r>
              <w:rPr>
                <w:rFonts w:hint="eastAsia" w:ascii="宋体" w:hAnsi="宋体" w:cs="宋体"/>
                <w:color w:val="auto"/>
                <w:sz w:val="21"/>
                <w:szCs w:val="21"/>
                <w:highlight w:val="none"/>
                <w:u w:val="single"/>
                <w:lang w:val="en-US" w:eastAsia="zh-CN"/>
              </w:rPr>
              <w:t>12</w:t>
            </w:r>
            <w:r>
              <w:rPr>
                <w:rFonts w:hint="eastAsia" w:ascii="宋体" w:hAnsi="宋体" w:eastAsia="宋体" w:cs="宋体"/>
                <w:color w:val="auto"/>
                <w:sz w:val="21"/>
                <w:szCs w:val="21"/>
                <w:highlight w:val="none"/>
                <w:u w:val="single"/>
                <w:lang w:val="en-US" w:eastAsia="zh-CN"/>
              </w:rPr>
              <w:t>月</w:t>
            </w:r>
            <w:r>
              <w:rPr>
                <w:rFonts w:hint="eastAsia" w:ascii="宋体" w:hAnsi="宋体" w:cs="宋体"/>
                <w:color w:val="auto"/>
                <w:sz w:val="21"/>
                <w:szCs w:val="21"/>
                <w:highlight w:val="none"/>
                <w:u w:val="single"/>
                <w:lang w:val="en-US" w:eastAsia="zh-CN"/>
              </w:rPr>
              <w:t>09</w:t>
            </w:r>
            <w:r>
              <w:rPr>
                <w:rFonts w:hint="eastAsia" w:ascii="宋体" w:hAnsi="宋体" w:eastAsia="宋体" w:cs="宋体"/>
                <w:color w:val="auto"/>
                <w:sz w:val="21"/>
                <w:szCs w:val="21"/>
                <w:highlight w:val="none"/>
                <w:u w:val="single"/>
                <w:lang w:val="en-US" w:eastAsia="zh-CN"/>
              </w:rPr>
              <w:t>日</w:t>
            </w:r>
            <w:r>
              <w:rPr>
                <w:rFonts w:hint="eastAsia" w:ascii="宋体" w:hAnsi="宋体" w:cs="宋体"/>
                <w:color w:val="auto"/>
                <w:sz w:val="21"/>
                <w:szCs w:val="21"/>
                <w:highlight w:val="none"/>
                <w:u w:val="single"/>
                <w:lang w:val="en-US" w:eastAsia="zh-CN"/>
              </w:rPr>
              <w:t>09</w:t>
            </w:r>
            <w:r>
              <w:rPr>
                <w:rFonts w:hint="eastAsia" w:ascii="宋体" w:hAnsi="宋体" w:eastAsia="宋体" w:cs="宋体"/>
                <w:color w:val="auto"/>
                <w:sz w:val="21"/>
                <w:szCs w:val="21"/>
                <w:highlight w:val="none"/>
                <w:u w:val="single"/>
                <w:lang w:val="en-US" w:eastAsia="zh-CN"/>
              </w:rPr>
              <w:t>:</w:t>
            </w:r>
            <w:r>
              <w:rPr>
                <w:rFonts w:hint="eastAsia" w:ascii="宋体" w:hAnsi="宋体" w:cs="宋体"/>
                <w:color w:val="auto"/>
                <w:sz w:val="21"/>
                <w:szCs w:val="21"/>
                <w:highlight w:val="none"/>
                <w:u w:val="single"/>
                <w:lang w:val="en-US" w:eastAsia="zh-CN"/>
              </w:rPr>
              <w:t>30</w:t>
            </w:r>
            <w:r>
              <w:rPr>
                <w:rFonts w:hint="eastAsia" w:ascii="宋体" w:hAnsi="宋体" w:eastAsia="宋体" w:cs="宋体"/>
                <w:bCs/>
                <w:color w:val="auto"/>
                <w:sz w:val="21"/>
                <w:szCs w:val="21"/>
                <w:highlight w:val="none"/>
                <w:u w:val="none"/>
              </w:rPr>
              <w:t>（</w:t>
            </w:r>
            <w:r>
              <w:rPr>
                <w:rFonts w:hint="eastAsia" w:ascii="宋体" w:hAnsi="宋体" w:eastAsia="宋体" w:cs="宋体"/>
                <w:bCs/>
                <w:color w:val="auto"/>
                <w:sz w:val="21"/>
                <w:szCs w:val="21"/>
                <w:highlight w:val="none"/>
              </w:rPr>
              <w:t>北京时间）前递交（上传）投标文件</w:t>
            </w:r>
            <w:r>
              <w:rPr>
                <w:rFonts w:hint="eastAsia" w:ascii="宋体" w:hAnsi="宋体" w:eastAsia="宋体" w:cs="宋体"/>
                <w:color w:val="auto"/>
                <w:sz w:val="21"/>
                <w:szCs w:val="21"/>
                <w:highlight w:val="none"/>
              </w:rPr>
              <w:t>。</w:t>
            </w:r>
          </w:p>
        </w:tc>
      </w:tr>
    </w:tbl>
    <w:p>
      <w:pPr>
        <w:keepNext/>
        <w:keepLines/>
        <w:pageBreakBefore w:val="0"/>
        <w:kinsoku/>
        <w:wordWrap/>
        <w:overflowPunct/>
        <w:topLinePunct w:val="0"/>
        <w:autoSpaceDE/>
        <w:autoSpaceDN/>
        <w:bidi w:val="0"/>
        <w:adjustRightInd/>
        <w:spacing w:line="348" w:lineRule="auto"/>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一、项目基本情况</w:t>
      </w:r>
      <w:bookmarkEnd w:id="2"/>
      <w:bookmarkEnd w:id="3"/>
      <w:bookmarkEnd w:id="4"/>
      <w:bookmarkEnd w:id="5"/>
    </w:p>
    <w:p>
      <w:pPr>
        <w:pageBreakBefore w:val="0"/>
        <w:kinsoku/>
        <w:wordWrap/>
        <w:overflowPunct/>
        <w:topLinePunct w:val="0"/>
        <w:autoSpaceDE/>
        <w:autoSpaceDN/>
        <w:bidi w:val="0"/>
        <w:adjustRightInd/>
        <w:spacing w:line="348"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1.项目编号：</w:t>
      </w:r>
      <w:r>
        <w:rPr>
          <w:rFonts w:hint="eastAsia" w:ascii="宋体" w:hAnsi="宋体" w:eastAsia="宋体" w:cs="宋体"/>
          <w:color w:val="auto"/>
          <w:sz w:val="21"/>
          <w:szCs w:val="21"/>
          <w:highlight w:val="none"/>
          <w:lang w:eastAsia="zh-CN"/>
        </w:rPr>
        <w:t>CBZJ-</w:t>
      </w:r>
      <w:r>
        <w:rPr>
          <w:rFonts w:hint="eastAsia" w:ascii="宋体" w:hAnsi="宋体" w:cs="宋体"/>
          <w:color w:val="auto"/>
          <w:sz w:val="21"/>
          <w:szCs w:val="21"/>
          <w:highlight w:val="none"/>
          <w:lang w:eastAsia="zh-CN"/>
        </w:rPr>
        <w:t>20226183G</w:t>
      </w:r>
    </w:p>
    <w:p>
      <w:pPr>
        <w:pageBreakBefore w:val="0"/>
        <w:kinsoku/>
        <w:wordWrap/>
        <w:overflowPunct/>
        <w:topLinePunct w:val="0"/>
        <w:autoSpaceDE/>
        <w:autoSpaceDN/>
        <w:bidi w:val="0"/>
        <w:adjustRightInd/>
        <w:spacing w:line="348"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2.项目名称：</w:t>
      </w:r>
      <w:r>
        <w:rPr>
          <w:rFonts w:hint="eastAsia" w:ascii="宋体" w:hAnsi="宋体" w:cs="宋体"/>
          <w:color w:val="auto"/>
          <w:sz w:val="21"/>
          <w:szCs w:val="21"/>
          <w:highlight w:val="none"/>
          <w:lang w:eastAsia="zh-CN"/>
        </w:rPr>
        <w:t>“甬尚文旅”综合服务建设</w:t>
      </w:r>
    </w:p>
    <w:p>
      <w:pPr>
        <w:pageBreakBefore w:val="0"/>
        <w:kinsoku/>
        <w:wordWrap/>
        <w:overflowPunct/>
        <w:topLinePunct w:val="0"/>
        <w:autoSpaceDE/>
        <w:autoSpaceDN/>
        <w:bidi w:val="0"/>
        <w:adjustRightInd/>
        <w:spacing w:line="348" w:lineRule="auto"/>
        <w:ind w:firstLine="420" w:firstLineChars="200"/>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eastAsia="zh-CN"/>
        </w:rPr>
        <w:t>项目总</w:t>
      </w:r>
      <w:r>
        <w:rPr>
          <w:rFonts w:hint="eastAsia" w:ascii="宋体" w:hAnsi="宋体" w:eastAsia="宋体" w:cs="宋体"/>
          <w:color w:val="auto"/>
          <w:sz w:val="21"/>
          <w:szCs w:val="21"/>
          <w:highlight w:val="none"/>
        </w:rPr>
        <w:t>预算金额（元）：</w:t>
      </w:r>
      <w:r>
        <w:rPr>
          <w:rFonts w:hint="eastAsia" w:ascii="宋体" w:hAnsi="宋体" w:cs="宋体"/>
          <w:color w:val="auto"/>
          <w:sz w:val="21"/>
          <w:szCs w:val="21"/>
          <w:highlight w:val="none"/>
          <w:lang w:val="en-US" w:eastAsia="zh-CN"/>
        </w:rPr>
        <w:t>9248000.00</w:t>
      </w:r>
    </w:p>
    <w:p>
      <w:pPr>
        <w:pageBreakBefore w:val="0"/>
        <w:kinsoku/>
        <w:wordWrap/>
        <w:overflowPunct/>
        <w:topLinePunct w:val="0"/>
        <w:autoSpaceDE/>
        <w:autoSpaceDN/>
        <w:bidi w:val="0"/>
        <w:adjustRightInd/>
        <w:spacing w:line="348" w:lineRule="auto"/>
        <w:ind w:firstLine="420" w:firstLineChars="200"/>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4.最高限价（元）：</w:t>
      </w:r>
      <w:r>
        <w:rPr>
          <w:rFonts w:hint="eastAsia" w:ascii="宋体" w:hAnsi="宋体" w:cs="宋体"/>
          <w:color w:val="auto"/>
          <w:sz w:val="21"/>
          <w:szCs w:val="21"/>
          <w:highlight w:val="none"/>
          <w:lang w:eastAsia="zh-CN"/>
        </w:rPr>
        <w:t>标项一：</w:t>
      </w:r>
      <w:r>
        <w:rPr>
          <w:rFonts w:hint="eastAsia" w:ascii="宋体" w:hAnsi="宋体" w:cs="宋体"/>
          <w:color w:val="auto"/>
          <w:sz w:val="21"/>
          <w:szCs w:val="21"/>
          <w:highlight w:val="none"/>
          <w:lang w:val="en-US" w:eastAsia="zh-CN"/>
        </w:rPr>
        <w:t>6250000，标项二：1998000,标项三：1000000</w:t>
      </w:r>
    </w:p>
    <w:p>
      <w:pPr>
        <w:pageBreakBefore w:val="0"/>
        <w:kinsoku/>
        <w:wordWrap/>
        <w:overflowPunct/>
        <w:topLinePunct w:val="0"/>
        <w:autoSpaceDE/>
        <w:autoSpaceDN/>
        <w:bidi w:val="0"/>
        <w:adjustRightInd/>
        <w:spacing w:line="348"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5.采购需求：</w:t>
      </w:r>
    </w:p>
    <w:p>
      <w:pPr>
        <w:pageBreakBefore w:val="0"/>
        <w:kinsoku/>
        <w:wordWrap/>
        <w:overflowPunct/>
        <w:topLinePunct w:val="0"/>
        <w:autoSpaceDE/>
        <w:autoSpaceDN/>
        <w:bidi w:val="0"/>
        <w:adjustRightInd/>
        <w:spacing w:line="348" w:lineRule="auto"/>
        <w:ind w:firstLine="630" w:firstLineChars="3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标项一:</w:t>
      </w:r>
    </w:p>
    <w:p>
      <w:pPr>
        <w:pageBreakBefore w:val="0"/>
        <w:kinsoku/>
        <w:wordWrap/>
        <w:overflowPunct/>
        <w:topLinePunct w:val="0"/>
        <w:autoSpaceDE/>
        <w:autoSpaceDN/>
        <w:bidi w:val="0"/>
        <w:adjustRightInd/>
        <w:spacing w:line="348" w:lineRule="auto"/>
        <w:ind w:firstLine="630" w:firstLineChars="3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标项名称:</w:t>
      </w:r>
      <w:r>
        <w:rPr>
          <w:rFonts w:hint="eastAsia" w:ascii="宋体" w:hAnsi="宋体" w:cs="宋体"/>
          <w:color w:val="auto"/>
          <w:sz w:val="21"/>
          <w:szCs w:val="21"/>
          <w:highlight w:val="none"/>
          <w:lang w:eastAsia="zh-CN"/>
        </w:rPr>
        <w:t>天一阁·月湖景区数字孪生综合系统建设</w:t>
      </w:r>
    </w:p>
    <w:p>
      <w:pPr>
        <w:pageBreakBefore w:val="0"/>
        <w:kinsoku/>
        <w:wordWrap/>
        <w:overflowPunct/>
        <w:topLinePunct w:val="0"/>
        <w:autoSpaceDE/>
        <w:autoSpaceDN/>
        <w:bidi w:val="0"/>
        <w:adjustRightInd/>
        <w:spacing w:line="348" w:lineRule="auto"/>
        <w:ind w:firstLine="630" w:firstLineChars="3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数量:1</w:t>
      </w:r>
      <w:r>
        <w:rPr>
          <w:rFonts w:hint="eastAsia" w:ascii="宋体" w:hAnsi="宋体" w:cs="宋体"/>
          <w:color w:val="auto"/>
          <w:sz w:val="21"/>
          <w:szCs w:val="21"/>
          <w:highlight w:val="none"/>
          <w:lang w:val="en-US" w:eastAsia="zh-CN"/>
        </w:rPr>
        <w:t>项</w:t>
      </w:r>
    </w:p>
    <w:p>
      <w:pPr>
        <w:pageBreakBefore w:val="0"/>
        <w:kinsoku/>
        <w:wordWrap/>
        <w:overflowPunct/>
        <w:topLinePunct w:val="0"/>
        <w:autoSpaceDE/>
        <w:autoSpaceDN/>
        <w:bidi w:val="0"/>
        <w:adjustRightInd/>
        <w:spacing w:line="348" w:lineRule="auto"/>
        <w:ind w:firstLine="630" w:firstLineChars="3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预算金额（元）</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6250000</w:t>
      </w:r>
    </w:p>
    <w:p>
      <w:pPr>
        <w:pageBreakBefore w:val="0"/>
        <w:kinsoku/>
        <w:wordWrap/>
        <w:overflowPunct/>
        <w:topLinePunct w:val="0"/>
        <w:autoSpaceDE/>
        <w:autoSpaceDN/>
        <w:bidi w:val="0"/>
        <w:adjustRightInd/>
        <w:spacing w:line="348" w:lineRule="auto"/>
        <w:ind w:firstLine="630" w:firstLineChars="3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简要规格描述或项目基本概况介绍、用途：详见《第二章 采购需求》。</w:t>
      </w:r>
    </w:p>
    <w:p>
      <w:pPr>
        <w:pageBreakBefore w:val="0"/>
        <w:kinsoku/>
        <w:wordWrap/>
        <w:overflowPunct/>
        <w:topLinePunct w:val="0"/>
        <w:autoSpaceDE/>
        <w:autoSpaceDN/>
        <w:bidi w:val="0"/>
        <w:adjustRightInd/>
        <w:spacing w:line="348" w:lineRule="auto"/>
        <w:ind w:firstLine="420" w:firstLineChars="200"/>
        <w:textAlignment w:val="auto"/>
        <w:outlineLvl w:val="9"/>
        <w:rPr>
          <w:rFonts w:hint="eastAsia" w:ascii="宋体" w:hAnsi="宋体" w:eastAsia="宋体" w:cs="宋体"/>
          <w:color w:val="auto"/>
          <w:sz w:val="21"/>
          <w:szCs w:val="21"/>
          <w:highlight w:val="none"/>
        </w:rPr>
      </w:pPr>
    </w:p>
    <w:p>
      <w:pPr>
        <w:pageBreakBefore w:val="0"/>
        <w:kinsoku/>
        <w:wordWrap/>
        <w:overflowPunct/>
        <w:topLinePunct w:val="0"/>
        <w:autoSpaceDE/>
        <w:autoSpaceDN/>
        <w:bidi w:val="0"/>
        <w:adjustRightInd/>
        <w:spacing w:line="348" w:lineRule="auto"/>
        <w:ind w:firstLine="630" w:firstLineChars="3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标项</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w:t>
      </w:r>
    </w:p>
    <w:p>
      <w:pPr>
        <w:pageBreakBefore w:val="0"/>
        <w:kinsoku/>
        <w:wordWrap/>
        <w:overflowPunct/>
        <w:topLinePunct w:val="0"/>
        <w:autoSpaceDE/>
        <w:autoSpaceDN/>
        <w:bidi w:val="0"/>
        <w:adjustRightInd/>
        <w:spacing w:line="348" w:lineRule="auto"/>
        <w:ind w:firstLine="630" w:firstLineChars="3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标项名称:文物安全智治系统建设</w:t>
      </w:r>
    </w:p>
    <w:p>
      <w:pPr>
        <w:pageBreakBefore w:val="0"/>
        <w:kinsoku/>
        <w:wordWrap/>
        <w:overflowPunct/>
        <w:topLinePunct w:val="0"/>
        <w:autoSpaceDE/>
        <w:autoSpaceDN/>
        <w:bidi w:val="0"/>
        <w:adjustRightInd/>
        <w:spacing w:line="348" w:lineRule="auto"/>
        <w:ind w:firstLine="630" w:firstLineChars="3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数量:1</w:t>
      </w:r>
      <w:r>
        <w:rPr>
          <w:rFonts w:hint="eastAsia" w:ascii="宋体" w:hAnsi="宋体" w:eastAsia="宋体" w:cs="宋体"/>
          <w:color w:val="auto"/>
          <w:sz w:val="21"/>
          <w:szCs w:val="21"/>
          <w:highlight w:val="none"/>
          <w:lang w:val="en-US" w:eastAsia="zh-CN"/>
        </w:rPr>
        <w:t>项</w:t>
      </w:r>
    </w:p>
    <w:p>
      <w:pPr>
        <w:pageBreakBefore w:val="0"/>
        <w:kinsoku/>
        <w:wordWrap/>
        <w:overflowPunct/>
        <w:topLinePunct w:val="0"/>
        <w:autoSpaceDE/>
        <w:autoSpaceDN/>
        <w:bidi w:val="0"/>
        <w:adjustRightInd/>
        <w:spacing w:line="348" w:lineRule="auto"/>
        <w:ind w:firstLine="630" w:firstLineChars="3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预算金额（元）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1998000</w:t>
      </w:r>
    </w:p>
    <w:p>
      <w:pPr>
        <w:pageBreakBefore w:val="0"/>
        <w:kinsoku/>
        <w:wordWrap/>
        <w:overflowPunct/>
        <w:topLinePunct w:val="0"/>
        <w:autoSpaceDE/>
        <w:autoSpaceDN/>
        <w:bidi w:val="0"/>
        <w:adjustRightInd/>
        <w:spacing w:line="348" w:lineRule="auto"/>
        <w:ind w:firstLine="630" w:firstLineChars="3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简要规格描述或项目基本概况介绍、用途：详见《第二章 采购需求》。</w:t>
      </w:r>
    </w:p>
    <w:p>
      <w:pPr>
        <w:pageBreakBefore w:val="0"/>
        <w:kinsoku/>
        <w:wordWrap/>
        <w:overflowPunct/>
        <w:topLinePunct w:val="0"/>
        <w:autoSpaceDE/>
        <w:autoSpaceDN/>
        <w:bidi w:val="0"/>
        <w:adjustRightInd/>
        <w:spacing w:line="348" w:lineRule="auto"/>
        <w:ind w:firstLine="420" w:firstLineChars="200"/>
        <w:textAlignment w:val="auto"/>
        <w:outlineLvl w:val="9"/>
        <w:rPr>
          <w:rFonts w:hint="eastAsia" w:ascii="宋体" w:hAnsi="宋体" w:eastAsia="宋体" w:cs="宋体"/>
          <w:color w:val="auto"/>
          <w:sz w:val="21"/>
          <w:szCs w:val="21"/>
          <w:highlight w:val="none"/>
        </w:rPr>
      </w:pPr>
    </w:p>
    <w:p>
      <w:pPr>
        <w:pageBreakBefore w:val="0"/>
        <w:kinsoku/>
        <w:wordWrap/>
        <w:overflowPunct/>
        <w:topLinePunct w:val="0"/>
        <w:autoSpaceDE/>
        <w:autoSpaceDN/>
        <w:bidi w:val="0"/>
        <w:adjustRightInd/>
        <w:spacing w:line="348" w:lineRule="auto"/>
        <w:ind w:firstLine="630" w:firstLineChars="3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标项</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w:t>
      </w:r>
    </w:p>
    <w:p>
      <w:pPr>
        <w:pageBreakBefore w:val="0"/>
        <w:kinsoku/>
        <w:wordWrap/>
        <w:overflowPunct/>
        <w:topLinePunct w:val="0"/>
        <w:autoSpaceDE/>
        <w:autoSpaceDN/>
        <w:bidi w:val="0"/>
        <w:adjustRightInd/>
        <w:spacing w:line="348" w:lineRule="auto"/>
        <w:ind w:firstLine="630" w:firstLineChars="3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标项名称:</w:t>
      </w:r>
      <w:r>
        <w:rPr>
          <w:rFonts w:hint="eastAsia" w:ascii="宋体" w:hAnsi="宋体" w:eastAsia="宋体" w:cs="宋体"/>
          <w:color w:val="auto"/>
          <w:sz w:val="21"/>
          <w:szCs w:val="21"/>
          <w:highlight w:val="none"/>
          <w:lang w:eastAsia="zh-CN"/>
        </w:rPr>
        <w:t>景区治理应用系统建设</w:t>
      </w:r>
    </w:p>
    <w:p>
      <w:pPr>
        <w:pageBreakBefore w:val="0"/>
        <w:kinsoku/>
        <w:wordWrap/>
        <w:overflowPunct/>
        <w:topLinePunct w:val="0"/>
        <w:autoSpaceDE/>
        <w:autoSpaceDN/>
        <w:bidi w:val="0"/>
        <w:adjustRightInd/>
        <w:spacing w:line="348" w:lineRule="auto"/>
        <w:ind w:firstLine="630" w:firstLineChars="3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数量:1</w:t>
      </w:r>
      <w:r>
        <w:rPr>
          <w:rFonts w:hint="eastAsia" w:ascii="宋体" w:hAnsi="宋体" w:eastAsia="宋体" w:cs="宋体"/>
          <w:color w:val="auto"/>
          <w:sz w:val="21"/>
          <w:szCs w:val="21"/>
          <w:highlight w:val="none"/>
          <w:lang w:val="en-US" w:eastAsia="zh-CN"/>
        </w:rPr>
        <w:t>项</w:t>
      </w:r>
    </w:p>
    <w:p>
      <w:pPr>
        <w:pageBreakBefore w:val="0"/>
        <w:kinsoku/>
        <w:wordWrap/>
        <w:overflowPunct/>
        <w:topLinePunct w:val="0"/>
        <w:autoSpaceDE/>
        <w:autoSpaceDN/>
        <w:bidi w:val="0"/>
        <w:adjustRightInd/>
        <w:spacing w:line="348" w:lineRule="auto"/>
        <w:ind w:firstLine="630" w:firstLineChars="3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预算金额（元）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1000000</w:t>
      </w:r>
    </w:p>
    <w:p>
      <w:pPr>
        <w:pageBreakBefore w:val="0"/>
        <w:kinsoku/>
        <w:wordWrap/>
        <w:overflowPunct/>
        <w:topLinePunct w:val="0"/>
        <w:autoSpaceDE/>
        <w:autoSpaceDN/>
        <w:bidi w:val="0"/>
        <w:adjustRightInd/>
        <w:spacing w:line="348" w:lineRule="auto"/>
        <w:ind w:firstLine="630" w:firstLineChars="300"/>
        <w:textAlignment w:val="auto"/>
        <w:outlineLvl w:val="9"/>
        <w:rPr>
          <w:rFonts w:hint="eastAsia"/>
          <w:highlight w:val="none"/>
        </w:rPr>
      </w:pPr>
      <w:r>
        <w:rPr>
          <w:rFonts w:hint="eastAsia" w:ascii="宋体" w:hAnsi="宋体" w:eastAsia="宋体" w:cs="宋体"/>
          <w:color w:val="auto"/>
          <w:sz w:val="21"/>
          <w:szCs w:val="21"/>
          <w:highlight w:val="none"/>
        </w:rPr>
        <w:t>简要规格描述或项目基本概况介绍、用途：详见《第二章 采购需求》。</w:t>
      </w:r>
    </w:p>
    <w:p>
      <w:pPr>
        <w:pStyle w:val="33"/>
        <w:pageBreakBefore w:val="0"/>
        <w:kinsoku/>
        <w:wordWrap/>
        <w:overflowPunct/>
        <w:topLinePunct w:val="0"/>
        <w:bidi w:val="0"/>
        <w:spacing w:line="348" w:lineRule="auto"/>
        <w:textAlignment w:val="auto"/>
        <w:outlineLvl w:val="9"/>
        <w:rPr>
          <w:rFonts w:hint="eastAsia"/>
        </w:rPr>
      </w:pPr>
    </w:p>
    <w:p>
      <w:pPr>
        <w:pageBreakBefore w:val="0"/>
        <w:kinsoku/>
        <w:wordWrap/>
        <w:overflowPunct/>
        <w:topLinePunct w:val="0"/>
        <w:autoSpaceDE/>
        <w:autoSpaceDN/>
        <w:bidi w:val="0"/>
        <w:adjustRightInd/>
        <w:spacing w:line="348" w:lineRule="auto"/>
        <w:ind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6.合同履行期限</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工期</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标项一、标项二、标项三：</w:t>
      </w:r>
      <w:r>
        <w:rPr>
          <w:rFonts w:hint="eastAsia" w:ascii="宋体" w:hAnsi="宋体" w:eastAsia="宋体" w:cs="宋体"/>
          <w:color w:val="auto"/>
          <w:sz w:val="21"/>
          <w:szCs w:val="21"/>
          <w:highlight w:val="none"/>
        </w:rPr>
        <w:t>合同签订之日起</w:t>
      </w:r>
      <w:r>
        <w:rPr>
          <w:rFonts w:hint="eastAsia" w:ascii="宋体" w:hAnsi="宋体" w:cs="宋体"/>
          <w:color w:val="auto"/>
          <w:sz w:val="21"/>
          <w:szCs w:val="21"/>
          <w:highlight w:val="none"/>
          <w:lang w:val="en-US" w:eastAsia="zh-CN"/>
        </w:rPr>
        <w:t>12个月</w:t>
      </w:r>
      <w:r>
        <w:rPr>
          <w:rFonts w:hint="eastAsia" w:ascii="宋体" w:hAnsi="宋体" w:eastAsia="宋体" w:cs="宋体"/>
          <w:color w:val="auto"/>
          <w:sz w:val="21"/>
          <w:szCs w:val="21"/>
          <w:highlight w:val="none"/>
        </w:rPr>
        <w:t>内建设完</w:t>
      </w:r>
      <w:r>
        <w:rPr>
          <w:rFonts w:hint="eastAsia" w:ascii="宋体" w:hAnsi="宋体" w:cs="宋体"/>
          <w:color w:val="auto"/>
          <w:sz w:val="21"/>
          <w:szCs w:val="21"/>
          <w:highlight w:val="none"/>
          <w:lang w:val="en-US" w:eastAsia="zh-CN"/>
        </w:rPr>
        <w:t>成</w:t>
      </w:r>
      <w:r>
        <w:rPr>
          <w:rFonts w:hint="eastAsia" w:ascii="宋体" w:hAnsi="宋体" w:eastAsia="宋体" w:cs="宋体"/>
          <w:color w:val="auto"/>
          <w:sz w:val="21"/>
          <w:szCs w:val="21"/>
          <w:highlight w:val="none"/>
        </w:rPr>
        <w:t>。</w:t>
      </w:r>
    </w:p>
    <w:p>
      <w:pPr>
        <w:pageBreakBefore w:val="0"/>
        <w:kinsoku/>
        <w:wordWrap/>
        <w:overflowPunct/>
        <w:topLinePunct w:val="0"/>
        <w:autoSpaceDE/>
        <w:autoSpaceDN/>
        <w:bidi w:val="0"/>
        <w:adjustRightInd/>
        <w:spacing w:line="348"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7.本项目（</w:t>
      </w:r>
      <w:r>
        <w:rPr>
          <w:rFonts w:hint="eastAsia" w:ascii="宋体" w:hAnsi="宋体" w:cs="宋体"/>
          <w:color w:val="auto"/>
          <w:sz w:val="21"/>
          <w:szCs w:val="21"/>
          <w:highlight w:val="none"/>
          <w:lang w:val="en-US" w:eastAsia="zh-CN"/>
        </w:rPr>
        <w:t>否</w:t>
      </w:r>
      <w:r>
        <w:rPr>
          <w:rFonts w:hint="eastAsia" w:ascii="宋体" w:hAnsi="宋体" w:eastAsia="宋体" w:cs="宋体"/>
          <w:color w:val="auto"/>
          <w:sz w:val="21"/>
          <w:szCs w:val="21"/>
          <w:highlight w:val="none"/>
        </w:rPr>
        <w:t>）接受联合体投标。</w:t>
      </w:r>
    </w:p>
    <w:p>
      <w:pPr>
        <w:pageBreakBefore w:val="0"/>
        <w:kinsoku/>
        <w:wordWrap/>
        <w:overflowPunct/>
        <w:topLinePunct w:val="0"/>
        <w:autoSpaceDE/>
        <w:autoSpaceDN/>
        <w:bidi w:val="0"/>
        <w:adjustRightInd/>
        <w:spacing w:line="348"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8.备注：/</w:t>
      </w:r>
    </w:p>
    <w:bookmarkEnd w:id="6"/>
    <w:p>
      <w:pPr>
        <w:keepNext/>
        <w:keepLines/>
        <w:pageBreakBefore w:val="0"/>
        <w:kinsoku/>
        <w:wordWrap/>
        <w:overflowPunct/>
        <w:topLinePunct w:val="0"/>
        <w:autoSpaceDE/>
        <w:autoSpaceDN/>
        <w:bidi w:val="0"/>
        <w:adjustRightInd/>
        <w:spacing w:line="348" w:lineRule="auto"/>
        <w:textAlignment w:val="auto"/>
        <w:outlineLvl w:val="9"/>
        <w:rPr>
          <w:rFonts w:hint="eastAsia" w:ascii="宋体" w:hAnsi="宋体" w:eastAsia="宋体" w:cs="宋体"/>
          <w:b/>
          <w:color w:val="auto"/>
          <w:sz w:val="21"/>
          <w:szCs w:val="21"/>
          <w:highlight w:val="none"/>
        </w:rPr>
      </w:pPr>
      <w:bookmarkStart w:id="7" w:name="_Toc28359080"/>
      <w:bookmarkStart w:id="8" w:name="_Toc35393791"/>
      <w:bookmarkStart w:id="9" w:name="_Toc35393622"/>
      <w:bookmarkStart w:id="10" w:name="_Toc28359003"/>
      <w:r>
        <w:rPr>
          <w:rFonts w:hint="eastAsia" w:ascii="宋体" w:hAnsi="宋体" w:eastAsia="宋体" w:cs="宋体"/>
          <w:b/>
          <w:color w:val="auto"/>
          <w:sz w:val="21"/>
          <w:szCs w:val="21"/>
          <w:highlight w:val="none"/>
        </w:rPr>
        <w:t>二、申请人的资格要求：</w:t>
      </w:r>
      <w:bookmarkEnd w:id="7"/>
      <w:bookmarkEnd w:id="8"/>
      <w:bookmarkEnd w:id="9"/>
      <w:bookmarkEnd w:id="10"/>
    </w:p>
    <w:p>
      <w:pPr>
        <w:pageBreakBefore w:val="0"/>
        <w:kinsoku/>
        <w:wordWrap/>
        <w:overflowPunct/>
        <w:topLinePunct w:val="0"/>
        <w:autoSpaceDE/>
        <w:autoSpaceDN/>
        <w:bidi w:val="0"/>
        <w:adjustRightInd/>
        <w:spacing w:line="348" w:lineRule="auto"/>
        <w:ind w:firstLine="420" w:firstLineChars="200"/>
        <w:textAlignment w:val="auto"/>
        <w:outlineLvl w:val="9"/>
        <w:rPr>
          <w:rFonts w:hint="eastAsia" w:ascii="宋体" w:hAnsi="宋体" w:eastAsia="宋体" w:cs="宋体"/>
          <w:color w:val="auto"/>
          <w:sz w:val="21"/>
          <w:szCs w:val="21"/>
          <w:highlight w:val="none"/>
        </w:rPr>
      </w:pPr>
      <w:bookmarkStart w:id="11" w:name="_Toc28359081"/>
      <w:bookmarkStart w:id="12" w:name="_Toc28359004"/>
      <w:r>
        <w:rPr>
          <w:rFonts w:hint="eastAsia" w:ascii="宋体" w:hAnsi="宋体" w:eastAsia="宋体" w:cs="宋体"/>
          <w:color w:val="auto"/>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pageBreakBefore w:val="0"/>
        <w:kinsoku/>
        <w:wordWrap/>
        <w:overflowPunct/>
        <w:topLinePunct w:val="0"/>
        <w:autoSpaceDE/>
        <w:autoSpaceDN/>
        <w:bidi w:val="0"/>
        <w:adjustRightInd/>
        <w:spacing w:line="348"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2.落实政府采购政策需满足的资格要求：</w:t>
      </w:r>
    </w:p>
    <w:p>
      <w:pPr>
        <w:pageBreakBefore w:val="0"/>
        <w:kinsoku/>
        <w:wordWrap/>
        <w:overflowPunct/>
        <w:topLinePunct w:val="0"/>
        <w:autoSpaceDE/>
        <w:autoSpaceDN/>
        <w:bidi w:val="0"/>
        <w:adjustRightInd/>
        <w:spacing w:line="348"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标项一、标项三：</w:t>
      </w:r>
      <w:r>
        <w:rPr>
          <w:rFonts w:hint="eastAsia" w:asciiTheme="minorEastAsia" w:hAnsiTheme="minorEastAsia" w:eastAsiaTheme="minorEastAsia" w:cstheme="minorEastAsia"/>
          <w:color w:val="auto"/>
          <w:sz w:val="21"/>
          <w:szCs w:val="21"/>
          <w:highlight w:val="none"/>
          <w:lang w:val="en-US" w:eastAsia="zh-CN"/>
        </w:rPr>
        <w:t>本标项为专门面向中小企业招标，供应商须为中型企业或小型企业或微型企业</w:t>
      </w:r>
      <w:r>
        <w:rPr>
          <w:rFonts w:hint="eastAsia" w:asciiTheme="minorEastAsia" w:hAnsiTheme="minorEastAsia" w:eastAsiaTheme="minorEastAsia" w:cstheme="minorEastAsia"/>
          <w:color w:val="auto"/>
          <w:sz w:val="21"/>
          <w:szCs w:val="21"/>
          <w:highlight w:val="none"/>
        </w:rPr>
        <w:t>。</w:t>
      </w:r>
    </w:p>
    <w:p>
      <w:pPr>
        <w:pageBreakBefore w:val="0"/>
        <w:kinsoku/>
        <w:wordWrap/>
        <w:overflowPunct/>
        <w:topLinePunct w:val="0"/>
        <w:autoSpaceDE/>
        <w:autoSpaceDN/>
        <w:bidi w:val="0"/>
        <w:adjustRightInd/>
        <w:spacing w:line="348"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标项二</w:t>
      </w:r>
      <w:r>
        <w:rPr>
          <w:rFonts w:hint="eastAsia" w:ascii="宋体" w:hAnsi="宋体" w:cs="宋体"/>
          <w:color w:val="auto"/>
          <w:sz w:val="21"/>
          <w:szCs w:val="21"/>
          <w:highlight w:val="none"/>
          <w:lang w:val="en-US" w:eastAsia="zh-CN"/>
        </w:rPr>
        <w:t>：无。</w:t>
      </w:r>
    </w:p>
    <w:p>
      <w:pPr>
        <w:pageBreakBefore w:val="0"/>
        <w:kinsoku/>
        <w:wordWrap/>
        <w:overflowPunct/>
        <w:topLinePunct w:val="0"/>
        <w:autoSpaceDE/>
        <w:autoSpaceDN/>
        <w:bidi w:val="0"/>
        <w:adjustRightInd/>
        <w:spacing w:line="348"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3.本项目的特定资格要求：</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w:t>
      </w:r>
    </w:p>
    <w:p>
      <w:pPr>
        <w:keepNext/>
        <w:keepLines/>
        <w:pageBreakBefore w:val="0"/>
        <w:kinsoku/>
        <w:wordWrap/>
        <w:overflowPunct/>
        <w:topLinePunct w:val="0"/>
        <w:autoSpaceDE/>
        <w:autoSpaceDN/>
        <w:bidi w:val="0"/>
        <w:adjustRightInd/>
        <w:spacing w:line="348" w:lineRule="auto"/>
        <w:textAlignment w:val="auto"/>
        <w:outlineLvl w:val="9"/>
        <w:rPr>
          <w:rFonts w:hint="eastAsia" w:ascii="宋体" w:hAnsi="宋体" w:eastAsia="宋体" w:cs="宋体"/>
          <w:b/>
          <w:color w:val="auto"/>
          <w:sz w:val="21"/>
          <w:szCs w:val="21"/>
          <w:highlight w:val="none"/>
        </w:rPr>
      </w:pPr>
      <w:bookmarkStart w:id="13" w:name="_Toc35393792"/>
      <w:bookmarkStart w:id="14" w:name="_Toc35393623"/>
      <w:r>
        <w:rPr>
          <w:rFonts w:hint="eastAsia" w:ascii="宋体" w:hAnsi="宋体" w:eastAsia="宋体" w:cs="宋体"/>
          <w:b/>
          <w:color w:val="auto"/>
          <w:sz w:val="21"/>
          <w:szCs w:val="21"/>
          <w:highlight w:val="none"/>
        </w:rPr>
        <w:t>三、获取招标文件</w:t>
      </w:r>
      <w:bookmarkEnd w:id="11"/>
      <w:bookmarkEnd w:id="12"/>
      <w:bookmarkEnd w:id="13"/>
      <w:bookmarkEnd w:id="14"/>
    </w:p>
    <w:p>
      <w:pPr>
        <w:pageBreakBefore w:val="0"/>
        <w:kinsoku/>
        <w:wordWrap/>
        <w:overflowPunct/>
        <w:topLinePunct w:val="0"/>
        <w:autoSpaceDE/>
        <w:autoSpaceDN/>
        <w:bidi w:val="0"/>
        <w:adjustRightInd/>
        <w:spacing w:line="348" w:lineRule="auto"/>
        <w:ind w:firstLine="54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1.时间：</w:t>
      </w:r>
      <w:r>
        <w:rPr>
          <w:rFonts w:hint="eastAsia" w:ascii="宋体" w:hAnsi="宋体" w:eastAsia="宋体" w:cs="宋体"/>
          <w:color w:val="auto"/>
          <w:sz w:val="21"/>
          <w:szCs w:val="21"/>
          <w:highlight w:val="none"/>
          <w:u w:val="single"/>
          <w:lang w:val="en-US" w:eastAsia="zh-CN"/>
        </w:rPr>
        <w:t>2022</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11</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18</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lang w:val="en-US" w:eastAsia="zh-CN"/>
        </w:rPr>
        <w:t>2022</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11</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25</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，每天上午</w:t>
      </w:r>
      <w:r>
        <w:rPr>
          <w:rFonts w:hint="eastAsia" w:ascii="宋体" w:hAnsi="宋体" w:eastAsia="宋体" w:cs="宋体"/>
          <w:color w:val="auto"/>
          <w:sz w:val="21"/>
          <w:szCs w:val="21"/>
          <w:highlight w:val="none"/>
          <w:u w:val="single"/>
        </w:rPr>
        <w:t>00:00</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rPr>
        <w:t>12:00</w:t>
      </w:r>
      <w:r>
        <w:rPr>
          <w:rFonts w:hint="eastAsia" w:ascii="宋体" w:hAnsi="宋体" w:eastAsia="宋体" w:cs="宋体"/>
          <w:color w:val="auto"/>
          <w:sz w:val="21"/>
          <w:szCs w:val="21"/>
          <w:highlight w:val="none"/>
        </w:rPr>
        <w:t>，下午</w:t>
      </w:r>
      <w:r>
        <w:rPr>
          <w:rFonts w:hint="eastAsia" w:ascii="宋体" w:hAnsi="宋体" w:eastAsia="宋体" w:cs="宋体"/>
          <w:color w:val="auto"/>
          <w:sz w:val="21"/>
          <w:szCs w:val="21"/>
          <w:highlight w:val="none"/>
          <w:u w:val="single"/>
        </w:rPr>
        <w:t>12:00</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rPr>
        <w:t>23:59</w:t>
      </w:r>
      <w:r>
        <w:rPr>
          <w:rFonts w:hint="eastAsia" w:ascii="宋体" w:hAnsi="宋体" w:eastAsia="宋体" w:cs="宋体"/>
          <w:color w:val="auto"/>
          <w:sz w:val="21"/>
          <w:szCs w:val="21"/>
          <w:highlight w:val="none"/>
        </w:rPr>
        <w:t>（北京时间，线上获取法定节假日均可，线下获取文件法定节假日除外）。</w:t>
      </w:r>
    </w:p>
    <w:p>
      <w:pPr>
        <w:pageBreakBefore w:val="0"/>
        <w:kinsoku/>
        <w:wordWrap/>
        <w:overflowPunct/>
        <w:topLinePunct w:val="0"/>
        <w:autoSpaceDE/>
        <w:autoSpaceDN/>
        <w:bidi w:val="0"/>
        <w:adjustRightInd/>
        <w:spacing w:line="348" w:lineRule="auto"/>
        <w:ind w:firstLine="54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2.地点（网址）：</w:t>
      </w:r>
      <w:r>
        <w:rPr>
          <w:rFonts w:hint="eastAsia" w:ascii="宋体" w:hAnsi="宋体" w:cs="宋体"/>
          <w:color w:val="auto"/>
          <w:sz w:val="21"/>
          <w:szCs w:val="21"/>
          <w:highlight w:val="none"/>
          <w:lang w:eastAsia="zh-CN"/>
        </w:rPr>
        <w:t>政府采购云平台</w:t>
      </w:r>
      <w:r>
        <w:rPr>
          <w:rFonts w:hint="eastAsia" w:ascii="宋体" w:hAnsi="宋体" w:eastAsia="宋体" w:cs="宋体"/>
          <w:color w:val="auto"/>
          <w:sz w:val="21"/>
          <w:szCs w:val="21"/>
          <w:highlight w:val="none"/>
        </w:rPr>
        <w:t>（http://www.zcygov.cn/）</w:t>
      </w:r>
    </w:p>
    <w:p>
      <w:pPr>
        <w:pageBreakBefore w:val="0"/>
        <w:kinsoku/>
        <w:wordWrap/>
        <w:overflowPunct/>
        <w:topLinePunct w:val="0"/>
        <w:autoSpaceDE/>
        <w:autoSpaceDN/>
        <w:bidi w:val="0"/>
        <w:adjustRightInd/>
        <w:spacing w:line="348" w:lineRule="auto"/>
        <w:ind w:firstLine="54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3.方式：供应商注册后直接</w:t>
      </w:r>
      <w:r>
        <w:rPr>
          <w:rFonts w:hint="eastAsia" w:ascii="宋体" w:hAnsi="宋体" w:cs="宋体"/>
          <w:color w:val="auto"/>
          <w:sz w:val="21"/>
          <w:szCs w:val="21"/>
          <w:highlight w:val="none"/>
          <w:lang w:val="en-US" w:eastAsia="zh-CN"/>
        </w:rPr>
        <w:t>登录</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政府采购云平台</w:t>
      </w:r>
      <w:r>
        <w:rPr>
          <w:rFonts w:hint="eastAsia" w:ascii="宋体" w:hAnsi="宋体" w:eastAsia="宋体" w:cs="宋体"/>
          <w:color w:val="auto"/>
          <w:sz w:val="21"/>
          <w:szCs w:val="21"/>
          <w:highlight w:val="none"/>
        </w:rPr>
        <w:t>”（http://www.zcygov.cn/）下载电子招标文件。供应商未在规定时间内或未按上述方式获取招标文件的，其投标无效。</w:t>
      </w:r>
    </w:p>
    <w:p>
      <w:pPr>
        <w:pageBreakBefore w:val="0"/>
        <w:kinsoku/>
        <w:wordWrap/>
        <w:overflowPunct/>
        <w:topLinePunct w:val="0"/>
        <w:autoSpaceDE/>
        <w:autoSpaceDN/>
        <w:bidi w:val="0"/>
        <w:adjustRightInd/>
        <w:spacing w:line="348" w:lineRule="auto"/>
        <w:ind w:firstLine="54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4.售价（元）：0</w:t>
      </w:r>
    </w:p>
    <w:p>
      <w:pPr>
        <w:keepNext/>
        <w:keepLines/>
        <w:pageBreakBefore w:val="0"/>
        <w:kinsoku/>
        <w:wordWrap/>
        <w:overflowPunct/>
        <w:topLinePunct w:val="0"/>
        <w:autoSpaceDE/>
        <w:autoSpaceDN/>
        <w:bidi w:val="0"/>
        <w:adjustRightInd/>
        <w:spacing w:line="348" w:lineRule="auto"/>
        <w:textAlignment w:val="auto"/>
        <w:outlineLvl w:val="9"/>
        <w:rPr>
          <w:rFonts w:hint="eastAsia" w:ascii="宋体" w:hAnsi="宋体" w:eastAsia="宋体" w:cs="宋体"/>
          <w:b/>
          <w:color w:val="auto"/>
          <w:sz w:val="21"/>
          <w:szCs w:val="21"/>
          <w:highlight w:val="none"/>
        </w:rPr>
      </w:pPr>
      <w:bookmarkStart w:id="15" w:name="_Toc28359082"/>
      <w:bookmarkStart w:id="16" w:name="_Toc28359005"/>
      <w:bookmarkStart w:id="17" w:name="_Toc35393624"/>
      <w:bookmarkStart w:id="18" w:name="_Toc35393793"/>
      <w:r>
        <w:rPr>
          <w:rFonts w:hint="eastAsia" w:ascii="宋体" w:hAnsi="宋体" w:eastAsia="宋体" w:cs="宋体"/>
          <w:b/>
          <w:color w:val="auto"/>
          <w:sz w:val="21"/>
          <w:szCs w:val="21"/>
          <w:highlight w:val="none"/>
        </w:rPr>
        <w:t>四、提交投标文件</w:t>
      </w:r>
      <w:bookmarkEnd w:id="15"/>
      <w:bookmarkEnd w:id="16"/>
      <w:r>
        <w:rPr>
          <w:rFonts w:hint="eastAsia" w:ascii="宋体" w:hAnsi="宋体" w:eastAsia="宋体" w:cs="宋体"/>
          <w:b/>
          <w:color w:val="auto"/>
          <w:sz w:val="21"/>
          <w:szCs w:val="21"/>
          <w:highlight w:val="none"/>
        </w:rPr>
        <w:t>截止时间、开标时间和地点</w:t>
      </w:r>
      <w:bookmarkEnd w:id="17"/>
      <w:bookmarkEnd w:id="18"/>
    </w:p>
    <w:p>
      <w:pPr>
        <w:pageBreakBefore w:val="0"/>
        <w:kinsoku/>
        <w:wordWrap/>
        <w:overflowPunct/>
        <w:topLinePunct w:val="0"/>
        <w:autoSpaceDE/>
        <w:autoSpaceDN/>
        <w:bidi w:val="0"/>
        <w:adjustRightInd/>
        <w:spacing w:line="348" w:lineRule="auto"/>
        <w:ind w:firstLine="54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1.提交投标文件截止时间：</w:t>
      </w:r>
      <w:r>
        <w:rPr>
          <w:rFonts w:hint="eastAsia" w:ascii="宋体" w:hAnsi="宋体" w:eastAsia="宋体" w:cs="宋体"/>
          <w:color w:val="auto"/>
          <w:sz w:val="21"/>
          <w:szCs w:val="21"/>
          <w:highlight w:val="none"/>
          <w:lang w:val="en-US" w:eastAsia="zh-CN"/>
        </w:rPr>
        <w:t>2022</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09</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09</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（北京时间）。</w:t>
      </w:r>
    </w:p>
    <w:p>
      <w:pPr>
        <w:pageBreakBefore w:val="0"/>
        <w:kinsoku/>
        <w:wordWrap/>
        <w:overflowPunct/>
        <w:topLinePunct w:val="0"/>
        <w:autoSpaceDE/>
        <w:autoSpaceDN/>
        <w:bidi w:val="0"/>
        <w:adjustRightInd/>
        <w:spacing w:line="348" w:lineRule="auto"/>
        <w:ind w:firstLine="54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2.投标地点（网址）：供应商应于上述时间前将电子投标文件上传到政府采购云平台www.zcygov.cn，未上传电子投标文件，视为供应商放弃投标。</w:t>
      </w:r>
    </w:p>
    <w:p>
      <w:pPr>
        <w:pageBreakBefore w:val="0"/>
        <w:kinsoku/>
        <w:wordWrap/>
        <w:overflowPunct/>
        <w:topLinePunct w:val="0"/>
        <w:autoSpaceDE/>
        <w:autoSpaceDN/>
        <w:bidi w:val="0"/>
        <w:adjustRightInd/>
        <w:spacing w:line="348" w:lineRule="auto"/>
        <w:ind w:firstLine="54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3.开标时间：</w:t>
      </w:r>
      <w:r>
        <w:rPr>
          <w:rFonts w:hint="eastAsia" w:ascii="宋体" w:hAnsi="宋体" w:eastAsia="宋体" w:cs="宋体"/>
          <w:color w:val="auto"/>
          <w:sz w:val="21"/>
          <w:szCs w:val="21"/>
          <w:highlight w:val="none"/>
          <w:lang w:val="en-US" w:eastAsia="zh-CN"/>
        </w:rPr>
        <w:t>2022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09</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09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（北京时间）。</w:t>
      </w:r>
    </w:p>
    <w:p>
      <w:pPr>
        <w:pageBreakBefore w:val="0"/>
        <w:kinsoku/>
        <w:wordWrap/>
        <w:overflowPunct/>
        <w:topLinePunct w:val="0"/>
        <w:autoSpaceDE/>
        <w:autoSpaceDN/>
        <w:bidi w:val="0"/>
        <w:adjustRightInd/>
        <w:spacing w:line="348" w:lineRule="auto"/>
        <w:ind w:firstLine="54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4.开标地点（网址）：政府采购云平台www.zcygov.cn</w:t>
      </w:r>
    </w:p>
    <w:p>
      <w:pPr>
        <w:keepNext/>
        <w:keepLines/>
        <w:pageBreakBefore w:val="0"/>
        <w:kinsoku/>
        <w:wordWrap/>
        <w:overflowPunct/>
        <w:topLinePunct w:val="0"/>
        <w:autoSpaceDE/>
        <w:autoSpaceDN/>
        <w:bidi w:val="0"/>
        <w:adjustRightInd/>
        <w:spacing w:line="348" w:lineRule="auto"/>
        <w:textAlignment w:val="auto"/>
        <w:outlineLvl w:val="9"/>
        <w:rPr>
          <w:rFonts w:hint="eastAsia" w:ascii="宋体" w:hAnsi="宋体" w:eastAsia="宋体" w:cs="宋体"/>
          <w:b/>
          <w:color w:val="auto"/>
          <w:sz w:val="21"/>
          <w:szCs w:val="21"/>
          <w:highlight w:val="none"/>
        </w:rPr>
      </w:pPr>
      <w:bookmarkStart w:id="19" w:name="_Toc28359007"/>
      <w:bookmarkStart w:id="20" w:name="_Toc35393794"/>
      <w:bookmarkStart w:id="21" w:name="_Toc28359084"/>
      <w:bookmarkStart w:id="22" w:name="_Toc35393625"/>
      <w:r>
        <w:rPr>
          <w:rFonts w:hint="eastAsia" w:ascii="宋体" w:hAnsi="宋体" w:eastAsia="宋体" w:cs="宋体"/>
          <w:b/>
          <w:color w:val="auto"/>
          <w:sz w:val="21"/>
          <w:szCs w:val="21"/>
          <w:highlight w:val="none"/>
        </w:rPr>
        <w:t>五、公告期限</w:t>
      </w:r>
      <w:bookmarkEnd w:id="19"/>
      <w:bookmarkEnd w:id="20"/>
      <w:bookmarkEnd w:id="21"/>
      <w:bookmarkEnd w:id="22"/>
    </w:p>
    <w:p>
      <w:pPr>
        <w:pageBreakBefore w:val="0"/>
        <w:kinsoku/>
        <w:wordWrap/>
        <w:overflowPunct/>
        <w:topLinePunct w:val="0"/>
        <w:autoSpaceDE/>
        <w:autoSpaceDN/>
        <w:bidi w:val="0"/>
        <w:adjustRightInd/>
        <w:spacing w:line="348"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自本公告发布之日起5个工作日。</w:t>
      </w:r>
    </w:p>
    <w:p>
      <w:pPr>
        <w:keepNext/>
        <w:keepLines/>
        <w:pageBreakBefore w:val="0"/>
        <w:kinsoku/>
        <w:wordWrap/>
        <w:overflowPunct/>
        <w:topLinePunct w:val="0"/>
        <w:autoSpaceDE/>
        <w:autoSpaceDN/>
        <w:bidi w:val="0"/>
        <w:adjustRightInd/>
        <w:spacing w:line="348" w:lineRule="auto"/>
        <w:textAlignment w:val="auto"/>
        <w:outlineLvl w:val="9"/>
        <w:rPr>
          <w:rFonts w:hint="eastAsia" w:ascii="宋体" w:hAnsi="宋体" w:eastAsia="宋体" w:cs="宋体"/>
          <w:b/>
          <w:color w:val="auto"/>
          <w:sz w:val="21"/>
          <w:szCs w:val="21"/>
          <w:highlight w:val="none"/>
        </w:rPr>
      </w:pPr>
      <w:bookmarkStart w:id="23" w:name="_Toc35393626"/>
      <w:bookmarkStart w:id="24" w:name="_Toc35393795"/>
      <w:r>
        <w:rPr>
          <w:rFonts w:hint="eastAsia" w:ascii="宋体" w:hAnsi="宋体" w:eastAsia="宋体" w:cs="宋体"/>
          <w:b/>
          <w:color w:val="auto"/>
          <w:sz w:val="21"/>
          <w:szCs w:val="21"/>
          <w:highlight w:val="none"/>
        </w:rPr>
        <w:t>六、其他补充事宜</w:t>
      </w:r>
      <w:bookmarkEnd w:id="23"/>
      <w:bookmarkEnd w:id="24"/>
    </w:p>
    <w:p>
      <w:pPr>
        <w:pageBreakBefore w:val="0"/>
        <w:widowControl/>
        <w:kinsoku/>
        <w:wordWrap/>
        <w:overflowPunct/>
        <w:topLinePunct w:val="0"/>
        <w:autoSpaceDE/>
        <w:autoSpaceDN/>
        <w:bidi w:val="0"/>
        <w:adjustRightInd/>
        <w:spacing w:line="348"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ageBreakBefore w:val="0"/>
        <w:widowControl/>
        <w:kinsoku/>
        <w:wordWrap/>
        <w:overflowPunct/>
        <w:topLinePunct w:val="0"/>
        <w:autoSpaceDE/>
        <w:autoSpaceDN/>
        <w:bidi w:val="0"/>
        <w:adjustRightInd/>
        <w:spacing w:line="348"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2.其他事项：</w:t>
      </w:r>
    </w:p>
    <w:p>
      <w:pPr>
        <w:pageBreakBefore w:val="0"/>
        <w:widowControl/>
        <w:kinsoku/>
        <w:wordWrap/>
        <w:overflowPunct/>
        <w:topLinePunct w:val="0"/>
        <w:autoSpaceDE/>
        <w:autoSpaceDN/>
        <w:bidi w:val="0"/>
        <w:adjustRightInd/>
        <w:spacing w:line="348"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2.1落实的政策：</w:t>
      </w:r>
    </w:p>
    <w:p>
      <w:pPr>
        <w:pageBreakBefore w:val="0"/>
        <w:widowControl/>
        <w:kinsoku/>
        <w:wordWrap/>
        <w:overflowPunct/>
        <w:topLinePunct w:val="0"/>
        <w:autoSpaceDE/>
        <w:autoSpaceDN/>
        <w:bidi w:val="0"/>
        <w:adjustRightInd/>
        <w:spacing w:line="348"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2.1.1对小微企业的产品给予价格优惠（监狱企业、残疾人福利性单位视同小微企业；残疾人福利性单位属于小型、微型企业的，不重复享受政策）；</w:t>
      </w:r>
    </w:p>
    <w:p>
      <w:pPr>
        <w:pageBreakBefore w:val="0"/>
        <w:widowControl/>
        <w:kinsoku/>
        <w:wordWrap/>
        <w:overflowPunct/>
        <w:topLinePunct w:val="0"/>
        <w:autoSpaceDE/>
        <w:autoSpaceDN/>
        <w:bidi w:val="0"/>
        <w:adjustRightInd/>
        <w:spacing w:line="348"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投标与开标注意事项</w:t>
      </w:r>
    </w:p>
    <w:p>
      <w:pPr>
        <w:pageBreakBefore w:val="0"/>
        <w:widowControl/>
        <w:kinsoku/>
        <w:wordWrap/>
        <w:overflowPunct/>
        <w:topLinePunct w:val="0"/>
        <w:autoSpaceDE/>
        <w:autoSpaceDN/>
        <w:bidi w:val="0"/>
        <w:adjustRightInd/>
        <w:spacing w:line="348"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.1本项目实行网上投标，采用电子投标文件。若供应商参与投标，自行承担投标一切费用。</w:t>
      </w:r>
    </w:p>
    <w:p>
      <w:pPr>
        <w:pageBreakBefore w:val="0"/>
        <w:widowControl/>
        <w:kinsoku/>
        <w:wordWrap/>
        <w:overflowPunct/>
        <w:topLinePunct w:val="0"/>
        <w:autoSpaceDE/>
        <w:autoSpaceDN/>
        <w:bidi w:val="0"/>
        <w:adjustRightInd/>
        <w:spacing w:line="348"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.2标前准备：各供应商应在开标前确保成为浙江政府采购网正式注册入库供应商，并完成CA数字证书办理。因未注册入库、未办理CA数字证书等原因造成无法投标或投标失败等后果由供应商自行承担。</w:t>
      </w:r>
    </w:p>
    <w:p>
      <w:pPr>
        <w:pageBreakBefore w:val="0"/>
        <w:widowControl/>
        <w:kinsoku/>
        <w:wordWrap/>
        <w:overflowPunct/>
        <w:topLinePunct w:val="0"/>
        <w:autoSpaceDE/>
        <w:autoSpaceDN/>
        <w:bidi w:val="0"/>
        <w:adjustRightInd/>
        <w:spacing w:line="348"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.3投标文件制作：</w:t>
      </w:r>
    </w:p>
    <w:p>
      <w:pPr>
        <w:pageBreakBefore w:val="0"/>
        <w:widowControl/>
        <w:kinsoku/>
        <w:wordWrap/>
        <w:overflowPunct/>
        <w:topLinePunct w:val="0"/>
        <w:autoSpaceDE/>
        <w:autoSpaceDN/>
        <w:bidi w:val="0"/>
        <w:adjustRightInd/>
        <w:spacing w:line="348"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3.1应按照本项目招标文件和政府采购云平台的要求编制、加密并递交投标文件。供应商在使用系统进行投标的过程中遇到涉及平台使用的任何问题，可致电政府采购云平台技术支持热线咨询，联系方式：400-8817190。</w:t>
      </w:r>
    </w:p>
    <w:p>
      <w:pPr>
        <w:pageBreakBefore w:val="0"/>
        <w:widowControl/>
        <w:kinsoku/>
        <w:wordWrap/>
        <w:overflowPunct/>
        <w:topLinePunct w:val="0"/>
        <w:autoSpaceDE/>
        <w:autoSpaceDN/>
        <w:bidi w:val="0"/>
        <w:adjustRightInd/>
        <w:spacing w:line="348"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.3.2供应商通过政府采购云平台电子投标工具制作投标文件，电子投标工具请供应商自行前往浙江政府采购网下载并安装，投标文件制作具体流程详见政府采购云平台。</w:t>
      </w:r>
    </w:p>
    <w:p>
      <w:pPr>
        <w:pageBreakBefore w:val="0"/>
        <w:widowControl/>
        <w:kinsoku/>
        <w:wordWrap/>
        <w:overflowPunct/>
        <w:topLinePunct w:val="0"/>
        <w:autoSpaceDE/>
        <w:autoSpaceDN/>
        <w:bidi w:val="0"/>
        <w:adjustRightInd/>
        <w:spacing w:line="348"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.3.3以U盘存储的电子备份投标文件1份，按政府采购云平台要求</w:t>
      </w:r>
      <w:r>
        <w:rPr>
          <w:rFonts w:hint="eastAsia" w:ascii="宋体" w:hAnsi="宋体" w:eastAsia="宋体" w:cs="宋体"/>
          <w:color w:val="auto"/>
          <w:sz w:val="21"/>
          <w:szCs w:val="21"/>
          <w:highlight w:val="none"/>
        </w:rPr>
        <w:t>制作的电子备份文件</w:t>
      </w:r>
      <w:r>
        <w:rPr>
          <w:rFonts w:hint="eastAsia" w:ascii="宋体" w:hAnsi="宋体" w:eastAsia="宋体" w:cs="宋体"/>
          <w:color w:val="auto"/>
          <w:kern w:val="0"/>
          <w:sz w:val="21"/>
          <w:szCs w:val="21"/>
          <w:highlight w:val="none"/>
        </w:rPr>
        <w:t>，以用于异常情况处理。</w:t>
      </w:r>
    </w:p>
    <w:p>
      <w:pPr>
        <w:pageBreakBefore w:val="0"/>
        <w:kinsoku/>
        <w:wordWrap/>
        <w:overflowPunct/>
        <w:topLinePunct w:val="0"/>
        <w:autoSpaceDE/>
        <w:autoSpaceDN/>
        <w:bidi w:val="0"/>
        <w:adjustRightInd/>
        <w:snapToGrid w:val="0"/>
        <w:spacing w:line="348" w:lineRule="auto"/>
        <w:ind w:firstLine="42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本招标公告附件中的招标文件仅供阅览使用，供应商应在规定的招标文件获取期限内在政采云平台登录供应商注册的账号后获取招标文件，未按上述方式获取招标文件的，不得对招标文件提起质疑投诉。</w:t>
      </w:r>
    </w:p>
    <w:p>
      <w:pPr>
        <w:pageBreakBefore w:val="0"/>
        <w:widowControl/>
        <w:kinsoku/>
        <w:wordWrap/>
        <w:overflowPunct/>
        <w:topLinePunct w:val="0"/>
        <w:autoSpaceDE/>
        <w:autoSpaceDN/>
        <w:bidi w:val="0"/>
        <w:adjustRightInd/>
        <w:spacing w:line="348"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供应商应于投标截止时间前将电子投标文件上传到政府采购云平台www.zcygov.cn，未上传电子投标文件，视为供应商放弃投标。</w:t>
      </w:r>
    </w:p>
    <w:p>
      <w:pPr>
        <w:pageBreakBefore w:val="0"/>
        <w:widowControl/>
        <w:kinsoku/>
        <w:wordWrap/>
        <w:overflowPunct/>
        <w:topLinePunct w:val="0"/>
        <w:autoSpaceDE/>
        <w:autoSpaceDN/>
        <w:bidi w:val="0"/>
        <w:adjustRightInd/>
        <w:spacing w:line="348"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供应商如提供备份投标文件的，应于提交投标文件截止时间前，将以U盘存储的电子备份投标文件密封，递交至</w:t>
      </w:r>
      <w:r>
        <w:rPr>
          <w:rFonts w:hint="eastAsia" w:ascii="宋体" w:hAnsi="宋体" w:eastAsia="宋体" w:cs="宋体"/>
          <w:color w:val="auto"/>
          <w:sz w:val="21"/>
          <w:szCs w:val="21"/>
          <w:highlight w:val="none"/>
          <w:u w:val="single"/>
        </w:rPr>
        <w:t>中基招标会议中心开标室（宁波市鄞州区天童南路666号中基大厦1楼）</w:t>
      </w:r>
      <w:r>
        <w:rPr>
          <w:rFonts w:hint="eastAsia" w:ascii="宋体" w:hAnsi="宋体" w:eastAsia="宋体" w:cs="宋体"/>
          <w:color w:val="auto"/>
          <w:kern w:val="0"/>
          <w:sz w:val="21"/>
          <w:szCs w:val="21"/>
          <w:highlight w:val="none"/>
        </w:rPr>
        <w:t>，逾期送达或未密封将予以拒收。供应商仅提供备份投标文件的，投标无效。</w:t>
      </w:r>
    </w:p>
    <w:p>
      <w:pPr>
        <w:pageBreakBefore w:val="0"/>
        <w:widowControl/>
        <w:kinsoku/>
        <w:wordWrap/>
        <w:overflowPunct/>
        <w:topLinePunct w:val="0"/>
        <w:autoSpaceDE/>
        <w:autoSpaceDN/>
        <w:bidi w:val="0"/>
        <w:adjustRightInd/>
        <w:spacing w:line="348"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采购代理机构将在招标文件规定的开标时间通过政府采购云平台组织开标、开启投标文件，所有供应商均应准时在线参加。开标时间后30分钟内供应商可以登录政府采购云平台www.zcygov.cn，用“项目采购-开标评标”功能进行解密投标文件。</w:t>
      </w:r>
    </w:p>
    <w:p>
      <w:pPr>
        <w:pageBreakBefore w:val="0"/>
        <w:kinsoku/>
        <w:wordWrap/>
        <w:overflowPunct/>
        <w:topLinePunct w:val="0"/>
        <w:autoSpaceDE/>
        <w:autoSpaceDN/>
        <w:bidi w:val="0"/>
        <w:adjustRightInd/>
        <w:snapToGrid w:val="0"/>
        <w:spacing w:line="348" w:lineRule="auto"/>
        <w:ind w:firstLine="42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供应商可采用邮寄（含快递）方式或现场方式递交备份投标文件。</w:t>
      </w:r>
    </w:p>
    <w:p>
      <w:pPr>
        <w:pageBreakBefore w:val="0"/>
        <w:kinsoku/>
        <w:wordWrap/>
        <w:overflowPunct/>
        <w:topLinePunct w:val="0"/>
        <w:autoSpaceDE/>
        <w:autoSpaceDN/>
        <w:bidi w:val="0"/>
        <w:adjustRightInd/>
        <w:snapToGrid w:val="0"/>
        <w:spacing w:line="348" w:lineRule="auto"/>
        <w:ind w:firstLine="42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.1采用邮寄方式递交备份投标文件，需按以下要求递交：</w:t>
      </w:r>
    </w:p>
    <w:p>
      <w:pPr>
        <w:pageBreakBefore w:val="0"/>
        <w:kinsoku/>
        <w:wordWrap/>
        <w:overflowPunct/>
        <w:topLinePunct w:val="0"/>
        <w:autoSpaceDE/>
        <w:autoSpaceDN/>
        <w:bidi w:val="0"/>
        <w:adjustRightInd/>
        <w:snapToGrid w:val="0"/>
        <w:spacing w:line="348" w:lineRule="auto"/>
        <w:ind w:firstLine="42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供应商应在</w:t>
      </w:r>
      <w:r>
        <w:rPr>
          <w:rFonts w:hint="eastAsia" w:ascii="宋体" w:hAnsi="宋体" w:eastAsia="宋体" w:cs="宋体"/>
          <w:color w:val="auto"/>
          <w:kern w:val="0"/>
          <w:sz w:val="21"/>
          <w:szCs w:val="21"/>
          <w:highlight w:val="none"/>
          <w:lang w:val="en-US" w:eastAsia="zh-CN"/>
        </w:rPr>
        <w:t>2022</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lang w:val="en-US" w:eastAsia="zh-CN"/>
        </w:rPr>
        <w:t>09</w:t>
      </w:r>
      <w:r>
        <w:rPr>
          <w:rFonts w:hint="eastAsia" w:ascii="宋体" w:hAnsi="宋体" w:eastAsia="宋体" w:cs="宋体"/>
          <w:color w:val="auto"/>
          <w:kern w:val="0"/>
          <w:sz w:val="21"/>
          <w:szCs w:val="21"/>
          <w:highlight w:val="none"/>
        </w:rPr>
        <w:t>日</w:t>
      </w:r>
      <w:r>
        <w:rPr>
          <w:rFonts w:hint="eastAsia" w:ascii="宋体" w:hAnsi="宋体" w:eastAsia="宋体" w:cs="宋体"/>
          <w:color w:val="auto"/>
          <w:kern w:val="0"/>
          <w:sz w:val="21"/>
          <w:szCs w:val="21"/>
          <w:highlight w:val="none"/>
          <w:lang w:val="en-US" w:eastAsia="zh-CN"/>
        </w:rPr>
        <w:t>09</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rPr>
        <w:t>（含）前将备份投标文件邮寄至规定地点，邮寄地址为：宁波市鄞州区天童南路666号中基大厦19楼业务六部，收件人：周工，联系方式：0574-87426203。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pPr>
        <w:pageBreakBefore w:val="0"/>
        <w:kinsoku/>
        <w:wordWrap/>
        <w:overflowPunct/>
        <w:topLinePunct w:val="0"/>
        <w:autoSpaceDE/>
        <w:autoSpaceDN/>
        <w:bidi w:val="0"/>
        <w:adjustRightInd/>
        <w:snapToGrid w:val="0"/>
        <w:spacing w:line="348" w:lineRule="auto"/>
        <w:ind w:firstLine="42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.2采用现场方式送达备份投标文件，需按以下要求递交：</w:t>
      </w:r>
    </w:p>
    <w:p>
      <w:pPr>
        <w:pageBreakBefore w:val="0"/>
        <w:kinsoku/>
        <w:wordWrap/>
        <w:overflowPunct/>
        <w:topLinePunct w:val="0"/>
        <w:autoSpaceDE/>
        <w:autoSpaceDN/>
        <w:bidi w:val="0"/>
        <w:adjustRightInd/>
        <w:snapToGrid w:val="0"/>
        <w:spacing w:line="348" w:lineRule="auto"/>
        <w:ind w:firstLine="42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所有供应商安排“</w:t>
      </w:r>
      <w:r>
        <w:rPr>
          <w:rFonts w:hint="eastAsia" w:ascii="宋体" w:hAnsi="宋体" w:cs="宋体"/>
          <w:color w:val="auto"/>
          <w:sz w:val="21"/>
          <w:szCs w:val="21"/>
          <w:highlight w:val="none"/>
          <w:lang w:eastAsia="zh-CN"/>
        </w:rPr>
        <w:t>健康</w:t>
      </w:r>
      <w:r>
        <w:rPr>
          <w:rFonts w:hint="eastAsia" w:ascii="宋体" w:hAnsi="宋体" w:eastAsia="宋体" w:cs="宋体"/>
          <w:color w:val="auto"/>
          <w:sz w:val="21"/>
          <w:szCs w:val="21"/>
          <w:highlight w:val="none"/>
        </w:rPr>
        <w:t>码”为绿色的相关人员（原则上不超过一名）在投标截止时间前将备份投标文件送至指定地点。投标文件递交时需同时递交供应商的法定代表人（或其委托代理人）联系方式，并保证开标期间联系方式的畅通。</w:t>
      </w:r>
    </w:p>
    <w:p>
      <w:pPr>
        <w:pageBreakBefore w:val="0"/>
        <w:kinsoku/>
        <w:wordWrap/>
        <w:overflowPunct/>
        <w:topLinePunct w:val="0"/>
        <w:autoSpaceDE/>
        <w:autoSpaceDN/>
        <w:bidi w:val="0"/>
        <w:adjustRightInd/>
        <w:snapToGrid w:val="0"/>
        <w:spacing w:line="348" w:lineRule="auto"/>
        <w:ind w:firstLine="42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cs="宋体"/>
          <w:bCs/>
          <w:color w:val="auto"/>
          <w:sz w:val="21"/>
          <w:szCs w:val="21"/>
          <w:highlight w:val="none"/>
          <w:lang w:val="en-US" w:eastAsia="zh-CN"/>
        </w:rPr>
        <w:t>8</w:t>
      </w:r>
      <w:r>
        <w:rPr>
          <w:rFonts w:hint="eastAsia" w:ascii="宋体" w:hAnsi="宋体" w:eastAsia="宋体" w:cs="宋体"/>
          <w:bCs/>
          <w:color w:val="auto"/>
          <w:sz w:val="21"/>
          <w:szCs w:val="21"/>
          <w:highlight w:val="none"/>
        </w:rPr>
        <w:t>投标人员须做好佩戴口罩、手套等防护措施，自觉接受体温检测、接受防疫询问，并如实报告相关情况，在投标文件递交工作完成后应立即离开，无故不得在现场逗留。</w:t>
      </w:r>
    </w:p>
    <w:p>
      <w:pPr>
        <w:pageBreakBefore w:val="0"/>
        <w:kinsoku/>
        <w:wordWrap/>
        <w:overflowPunct/>
        <w:topLinePunct w:val="0"/>
        <w:autoSpaceDE/>
        <w:autoSpaceDN/>
        <w:bidi w:val="0"/>
        <w:adjustRightInd/>
        <w:snapToGrid w:val="0"/>
        <w:spacing w:line="348" w:lineRule="auto"/>
        <w:ind w:firstLine="42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cs="宋体"/>
          <w:bCs/>
          <w:color w:val="auto"/>
          <w:sz w:val="21"/>
          <w:szCs w:val="21"/>
          <w:highlight w:val="none"/>
          <w:lang w:val="en-US" w:eastAsia="zh-CN"/>
        </w:rPr>
        <w:t>9</w:t>
      </w:r>
      <w:r>
        <w:rPr>
          <w:rFonts w:hint="eastAsia" w:ascii="宋体" w:hAnsi="宋体" w:eastAsia="宋体" w:cs="宋体"/>
          <w:bCs/>
          <w:color w:val="auto"/>
          <w:sz w:val="21"/>
          <w:szCs w:val="21"/>
          <w:highlight w:val="none"/>
        </w:rPr>
        <w:t>投标人员还需配合做好疫情防控“五个一律”：一律全面消毒、一律体温检测、一律承诺登记、一律按序办事、一律服从管理。</w:t>
      </w:r>
    </w:p>
    <w:p>
      <w:pPr>
        <w:pageBreakBefore w:val="0"/>
        <w:kinsoku/>
        <w:wordWrap/>
        <w:overflowPunct/>
        <w:topLinePunct w:val="0"/>
        <w:autoSpaceDE/>
        <w:autoSpaceDN/>
        <w:bidi w:val="0"/>
        <w:adjustRightInd/>
        <w:snapToGrid w:val="0"/>
        <w:spacing w:line="348" w:lineRule="auto"/>
        <w:ind w:firstLine="42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如投标截止时间前疫情解除，上述第2.</w:t>
      </w:r>
      <w:r>
        <w:rPr>
          <w:rFonts w:hint="eastAsia" w:ascii="宋体" w:hAnsi="宋体" w:cs="宋体"/>
          <w:bCs/>
          <w:color w:val="auto"/>
          <w:sz w:val="21"/>
          <w:szCs w:val="21"/>
          <w:highlight w:val="none"/>
          <w:lang w:val="en-US" w:eastAsia="zh-CN"/>
        </w:rPr>
        <w:t>8</w:t>
      </w:r>
      <w:r>
        <w:rPr>
          <w:rFonts w:hint="eastAsia" w:ascii="宋体" w:hAnsi="宋体" w:eastAsia="宋体" w:cs="宋体"/>
          <w:bCs/>
          <w:color w:val="auto"/>
          <w:sz w:val="21"/>
          <w:szCs w:val="21"/>
          <w:highlight w:val="none"/>
        </w:rPr>
        <w:t>-2.</w:t>
      </w:r>
      <w:r>
        <w:rPr>
          <w:rFonts w:hint="eastAsia" w:ascii="宋体" w:hAnsi="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条内容废止。</w:t>
      </w:r>
    </w:p>
    <w:p>
      <w:pPr>
        <w:pageBreakBefore w:val="0"/>
        <w:widowControl/>
        <w:kinsoku/>
        <w:wordWrap/>
        <w:overflowPunct/>
        <w:topLinePunct w:val="0"/>
        <w:autoSpaceDE/>
        <w:autoSpaceDN/>
        <w:bidi w:val="0"/>
        <w:adjustRightInd/>
        <w:spacing w:line="348"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11</w:t>
      </w:r>
      <w:r>
        <w:rPr>
          <w:rFonts w:hint="eastAsia" w:ascii="宋体" w:hAnsi="宋体" w:cs="宋体"/>
          <w:bCs/>
          <w:color w:val="auto"/>
          <w:sz w:val="21"/>
          <w:szCs w:val="21"/>
          <w:highlight w:val="none"/>
          <w:lang w:val="en-US" w:eastAsia="zh-CN"/>
        </w:rPr>
        <w:t>新冠</w:t>
      </w:r>
      <w:r>
        <w:rPr>
          <w:rFonts w:hint="eastAsia" w:ascii="宋体" w:hAnsi="宋体" w:eastAsia="宋体" w:cs="宋体"/>
          <w:bCs/>
          <w:color w:val="auto"/>
          <w:sz w:val="21"/>
          <w:szCs w:val="21"/>
          <w:highlight w:val="none"/>
        </w:rPr>
        <w:t>肺炎防疫期间，请各供应商遵守各项防疫措施规定。</w:t>
      </w:r>
    </w:p>
    <w:p>
      <w:pPr>
        <w:pageBreakBefore w:val="0"/>
        <w:widowControl/>
        <w:kinsoku/>
        <w:wordWrap/>
        <w:overflowPunct/>
        <w:topLinePunct w:val="0"/>
        <w:autoSpaceDE/>
        <w:autoSpaceDN/>
        <w:bidi w:val="0"/>
        <w:adjustRightInd/>
        <w:spacing w:line="348" w:lineRule="auto"/>
        <w:ind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2.12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ageBreakBefore w:val="0"/>
        <w:widowControl/>
        <w:kinsoku/>
        <w:wordWrap/>
        <w:overflowPunct/>
        <w:topLinePunct w:val="0"/>
        <w:autoSpaceDE/>
        <w:autoSpaceDN/>
        <w:bidi w:val="0"/>
        <w:adjustRightInd/>
        <w:spacing w:line="348"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2.13</w:t>
      </w:r>
      <w:r>
        <w:rPr>
          <w:rFonts w:hint="eastAsia" w:ascii="宋体" w:hAnsi="宋体" w:eastAsia="宋体" w:cs="宋体"/>
          <w:bCs/>
          <w:color w:val="auto"/>
          <w:sz w:val="21"/>
          <w:szCs w:val="21"/>
          <w:highlight w:val="none"/>
          <w:lang w:val="en-US" w:eastAsia="zh-CN"/>
        </w:rPr>
        <w:t>本招标公告中二、申请人的资格要求：第一条中的“重大税收违法案件当事人名单”即为“重大税收违法失信主体”。</w:t>
      </w:r>
    </w:p>
    <w:p>
      <w:pPr>
        <w:keepNext/>
        <w:keepLines/>
        <w:pageBreakBefore w:val="0"/>
        <w:widowControl w:val="0"/>
        <w:kinsoku/>
        <w:wordWrap/>
        <w:overflowPunct/>
        <w:topLinePunct w:val="0"/>
        <w:autoSpaceDE/>
        <w:autoSpaceDN/>
        <w:bidi w:val="0"/>
        <w:adjustRightInd/>
        <w:spacing w:line="348" w:lineRule="auto"/>
        <w:textAlignment w:val="auto"/>
        <w:outlineLvl w:val="9"/>
        <w:rPr>
          <w:rFonts w:ascii="宋体" w:hAnsi="宋体" w:cs="宋体"/>
          <w:b/>
          <w:color w:val="auto"/>
          <w:szCs w:val="21"/>
          <w:highlight w:val="none"/>
        </w:rPr>
      </w:pPr>
      <w:bookmarkStart w:id="25" w:name="_Toc28359085"/>
      <w:bookmarkStart w:id="26" w:name="_Toc35393627"/>
      <w:bookmarkStart w:id="27" w:name="_Toc35393796"/>
      <w:bookmarkStart w:id="28" w:name="_Toc28359008"/>
      <w:r>
        <w:rPr>
          <w:rFonts w:hint="eastAsia" w:ascii="宋体" w:hAnsi="宋体" w:cs="宋体"/>
          <w:b/>
          <w:color w:val="auto"/>
          <w:szCs w:val="21"/>
          <w:highlight w:val="none"/>
        </w:rPr>
        <w:t>七、对本次招标提出询问，请按以下方式联系。</w:t>
      </w:r>
      <w:bookmarkEnd w:id="25"/>
      <w:bookmarkEnd w:id="26"/>
      <w:bookmarkEnd w:id="27"/>
      <w:bookmarkEnd w:id="28"/>
    </w:p>
    <w:p>
      <w:pPr>
        <w:pageBreakBefore w:val="0"/>
        <w:widowControl w:val="0"/>
        <w:kinsoku/>
        <w:wordWrap/>
        <w:overflowPunct/>
        <w:topLinePunct w:val="0"/>
        <w:autoSpaceDE/>
        <w:autoSpaceDN/>
        <w:bidi w:val="0"/>
        <w:adjustRightInd/>
        <w:spacing w:line="348" w:lineRule="auto"/>
        <w:ind w:firstLine="630" w:firstLineChars="300"/>
        <w:textAlignment w:val="auto"/>
        <w:outlineLvl w:val="9"/>
        <w:rPr>
          <w:rFonts w:ascii="宋体" w:hAnsi="宋体" w:cs="宋体"/>
          <w:color w:val="auto"/>
          <w:szCs w:val="21"/>
          <w:highlight w:val="none"/>
        </w:rPr>
      </w:pPr>
      <w:r>
        <w:rPr>
          <w:rFonts w:hint="eastAsia" w:ascii="宋体" w:hAnsi="宋体" w:cs="宋体"/>
          <w:color w:val="auto"/>
          <w:szCs w:val="21"/>
          <w:highlight w:val="none"/>
        </w:rPr>
        <w:t>1.采购人信息</w:t>
      </w:r>
    </w:p>
    <w:p>
      <w:pPr>
        <w:pageBreakBefore w:val="0"/>
        <w:widowControl w:val="0"/>
        <w:kinsoku/>
        <w:wordWrap/>
        <w:overflowPunct/>
        <w:topLinePunct w:val="0"/>
        <w:autoSpaceDE/>
        <w:autoSpaceDN/>
        <w:bidi w:val="0"/>
        <w:adjustRightInd/>
        <w:spacing w:line="348" w:lineRule="auto"/>
        <w:ind w:firstLine="630" w:firstLineChars="300"/>
        <w:textAlignment w:val="auto"/>
        <w:outlineLvl w:val="9"/>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宁波市文化广电旅游局</w:t>
      </w:r>
    </w:p>
    <w:p>
      <w:pPr>
        <w:pageBreakBefore w:val="0"/>
        <w:widowControl w:val="0"/>
        <w:kinsoku/>
        <w:wordWrap/>
        <w:overflowPunct/>
        <w:topLinePunct w:val="0"/>
        <w:autoSpaceDE/>
        <w:autoSpaceDN/>
        <w:bidi w:val="0"/>
        <w:adjustRightInd/>
        <w:spacing w:line="348" w:lineRule="auto"/>
        <w:ind w:firstLine="630" w:firstLineChars="300"/>
        <w:textAlignment w:val="auto"/>
        <w:outlineLvl w:val="9"/>
        <w:rPr>
          <w:rFonts w:ascii="宋体" w:hAnsi="宋体" w:cs="宋体"/>
          <w:color w:val="auto"/>
          <w:szCs w:val="21"/>
          <w:highlight w:val="none"/>
        </w:rPr>
      </w:pPr>
      <w:r>
        <w:rPr>
          <w:rFonts w:hint="eastAsia" w:ascii="宋体" w:hAnsi="宋体" w:cs="宋体"/>
          <w:color w:val="auto"/>
          <w:szCs w:val="21"/>
          <w:highlight w:val="none"/>
        </w:rPr>
        <w:t>地    址：浙江省宁波市鄞州区宁东路835号B座</w:t>
      </w:r>
    </w:p>
    <w:p>
      <w:pPr>
        <w:pageBreakBefore w:val="0"/>
        <w:widowControl w:val="0"/>
        <w:kinsoku/>
        <w:wordWrap/>
        <w:overflowPunct/>
        <w:topLinePunct w:val="0"/>
        <w:autoSpaceDE/>
        <w:autoSpaceDN/>
        <w:bidi w:val="0"/>
        <w:adjustRightInd/>
        <w:spacing w:line="348" w:lineRule="auto"/>
        <w:ind w:firstLine="630" w:firstLineChars="300"/>
        <w:textAlignment w:val="auto"/>
        <w:outlineLvl w:val="9"/>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传    真：</w:t>
      </w:r>
      <w:r>
        <w:rPr>
          <w:rFonts w:hint="eastAsia" w:ascii="宋体" w:hAnsi="宋体" w:cs="宋体"/>
          <w:color w:val="auto"/>
          <w:szCs w:val="21"/>
          <w:highlight w:val="none"/>
          <w:lang w:val="en-US" w:eastAsia="zh-CN"/>
        </w:rPr>
        <w:t>/</w:t>
      </w:r>
    </w:p>
    <w:p>
      <w:pPr>
        <w:pageBreakBefore w:val="0"/>
        <w:widowControl w:val="0"/>
        <w:kinsoku/>
        <w:wordWrap/>
        <w:overflowPunct/>
        <w:topLinePunct w:val="0"/>
        <w:autoSpaceDE/>
        <w:autoSpaceDN/>
        <w:bidi w:val="0"/>
        <w:adjustRightInd/>
        <w:spacing w:line="348" w:lineRule="auto"/>
        <w:ind w:firstLine="630" w:firstLineChars="3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项目联系人</w:t>
      </w:r>
      <w:r>
        <w:rPr>
          <w:rFonts w:hint="eastAsia" w:ascii="宋体" w:hAnsi="宋体" w:cs="宋体"/>
          <w:color w:val="auto"/>
          <w:szCs w:val="21"/>
          <w:highlight w:val="none"/>
          <w:lang w:eastAsia="zh-CN"/>
        </w:rPr>
        <w:t>（标项一）</w:t>
      </w:r>
      <w:r>
        <w:rPr>
          <w:rFonts w:hint="eastAsia" w:ascii="宋体" w:hAnsi="宋体" w:cs="宋体"/>
          <w:color w:val="auto"/>
          <w:szCs w:val="21"/>
          <w:highlight w:val="none"/>
        </w:rPr>
        <w:t>（询问）：陆</w:t>
      </w:r>
      <w:r>
        <w:rPr>
          <w:rFonts w:hint="eastAsia" w:ascii="宋体" w:hAnsi="宋体" w:cs="宋体"/>
          <w:color w:val="auto"/>
          <w:szCs w:val="21"/>
          <w:highlight w:val="none"/>
          <w:lang w:eastAsia="zh-CN"/>
        </w:rPr>
        <w:t>老师，</w:t>
      </w:r>
      <w:r>
        <w:rPr>
          <w:rFonts w:hint="eastAsia" w:ascii="宋体" w:hAnsi="宋体" w:cs="宋体"/>
          <w:color w:val="auto"/>
          <w:szCs w:val="21"/>
          <w:highlight w:val="none"/>
        </w:rPr>
        <w:t>0574-27866013</w:t>
      </w:r>
    </w:p>
    <w:p>
      <w:pPr>
        <w:spacing w:line="348" w:lineRule="auto"/>
        <w:ind w:firstLine="630" w:firstLineChars="300"/>
        <w:outlineLvl w:val="9"/>
        <w:rPr>
          <w:rFonts w:hint="eastAsia" w:ascii="宋体" w:hAnsi="宋体" w:cs="宋体"/>
          <w:color w:val="auto"/>
          <w:szCs w:val="21"/>
          <w:highlight w:val="none"/>
        </w:rPr>
      </w:pPr>
      <w:r>
        <w:rPr>
          <w:rFonts w:hint="eastAsia" w:ascii="宋体" w:hAnsi="宋体" w:cs="宋体"/>
          <w:color w:val="auto"/>
          <w:szCs w:val="21"/>
          <w:highlight w:val="none"/>
        </w:rPr>
        <w:t>项目联系人</w:t>
      </w:r>
      <w:r>
        <w:rPr>
          <w:rFonts w:hint="eastAsia" w:ascii="宋体" w:hAnsi="宋体" w:cs="宋体"/>
          <w:color w:val="auto"/>
          <w:szCs w:val="21"/>
          <w:highlight w:val="none"/>
          <w:lang w:eastAsia="zh-CN"/>
        </w:rPr>
        <w:t>（标项二）</w:t>
      </w:r>
      <w:r>
        <w:rPr>
          <w:rFonts w:hint="eastAsia" w:ascii="宋体" w:hAnsi="宋体" w:cs="宋体"/>
          <w:color w:val="auto"/>
          <w:szCs w:val="21"/>
          <w:highlight w:val="none"/>
        </w:rPr>
        <w:t>（询问）：王老师</w:t>
      </w:r>
      <w:r>
        <w:rPr>
          <w:rFonts w:hint="eastAsia" w:ascii="宋体" w:hAnsi="宋体" w:cs="宋体"/>
          <w:color w:val="auto"/>
          <w:szCs w:val="21"/>
          <w:highlight w:val="none"/>
          <w:lang w:eastAsia="zh-CN"/>
        </w:rPr>
        <w:t>，</w:t>
      </w:r>
      <w:r>
        <w:rPr>
          <w:rFonts w:hint="eastAsia" w:ascii="宋体" w:hAnsi="宋体" w:cs="宋体"/>
          <w:color w:val="auto"/>
          <w:szCs w:val="21"/>
          <w:highlight w:val="none"/>
        </w:rPr>
        <w:t>0574-89181352</w:t>
      </w:r>
    </w:p>
    <w:p>
      <w:pPr>
        <w:spacing w:line="348" w:lineRule="auto"/>
        <w:ind w:firstLine="630" w:firstLineChars="300"/>
        <w:outlineLvl w:val="9"/>
        <w:rPr>
          <w:rFonts w:hint="eastAsia" w:ascii="宋体" w:hAnsi="宋体" w:cs="宋体"/>
          <w:color w:val="auto"/>
          <w:szCs w:val="21"/>
          <w:highlight w:val="none"/>
        </w:rPr>
      </w:pPr>
      <w:r>
        <w:rPr>
          <w:rFonts w:hint="eastAsia" w:ascii="宋体" w:hAnsi="宋体" w:cs="宋体"/>
          <w:color w:val="auto"/>
          <w:szCs w:val="21"/>
          <w:highlight w:val="none"/>
          <w:lang w:eastAsia="zh-CN"/>
        </w:rPr>
        <w:t>项目</w:t>
      </w:r>
      <w:r>
        <w:rPr>
          <w:rFonts w:hint="eastAsia" w:ascii="宋体" w:hAnsi="宋体" w:cs="宋体"/>
          <w:color w:val="auto"/>
          <w:szCs w:val="21"/>
          <w:highlight w:val="none"/>
        </w:rPr>
        <w:t>联系人</w:t>
      </w:r>
      <w:r>
        <w:rPr>
          <w:rFonts w:hint="eastAsia" w:ascii="宋体" w:hAnsi="宋体" w:cs="宋体"/>
          <w:color w:val="auto"/>
          <w:szCs w:val="21"/>
          <w:highlight w:val="none"/>
          <w:lang w:eastAsia="zh-CN"/>
        </w:rPr>
        <w:t>（标项三）</w:t>
      </w:r>
      <w:r>
        <w:rPr>
          <w:rFonts w:hint="eastAsia" w:ascii="宋体" w:hAnsi="宋体" w:cs="宋体"/>
          <w:color w:val="auto"/>
          <w:szCs w:val="21"/>
          <w:highlight w:val="none"/>
        </w:rPr>
        <w:t>（询问）：黄老师</w:t>
      </w:r>
      <w:r>
        <w:rPr>
          <w:rFonts w:hint="eastAsia" w:ascii="宋体" w:hAnsi="宋体" w:cs="宋体"/>
          <w:color w:val="auto"/>
          <w:szCs w:val="21"/>
          <w:highlight w:val="none"/>
          <w:lang w:eastAsia="zh-CN"/>
        </w:rPr>
        <w:t>，</w:t>
      </w:r>
      <w:r>
        <w:rPr>
          <w:rFonts w:hint="eastAsia" w:ascii="宋体" w:hAnsi="宋体" w:cs="宋体"/>
          <w:color w:val="auto"/>
          <w:szCs w:val="21"/>
          <w:highlight w:val="none"/>
        </w:rPr>
        <w:t>0574-87293526</w:t>
      </w:r>
    </w:p>
    <w:p>
      <w:pPr>
        <w:pageBreakBefore w:val="0"/>
        <w:widowControl w:val="0"/>
        <w:kinsoku/>
        <w:wordWrap/>
        <w:overflowPunct/>
        <w:topLinePunct w:val="0"/>
        <w:autoSpaceDE/>
        <w:autoSpaceDN/>
        <w:bidi w:val="0"/>
        <w:adjustRightInd/>
        <w:spacing w:line="348" w:lineRule="auto"/>
        <w:ind w:firstLine="630" w:firstLineChars="300"/>
        <w:textAlignment w:val="auto"/>
        <w:outlineLvl w:val="9"/>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质疑联系人：</w:t>
      </w:r>
      <w:r>
        <w:rPr>
          <w:rFonts w:hint="eastAsia" w:ascii="宋体" w:hAnsi="宋体" w:cs="宋体"/>
          <w:color w:val="auto"/>
          <w:szCs w:val="21"/>
          <w:highlight w:val="none"/>
          <w:lang w:eastAsia="zh-CN"/>
        </w:rPr>
        <w:t>金老师</w:t>
      </w:r>
    </w:p>
    <w:p>
      <w:pPr>
        <w:pageBreakBefore w:val="0"/>
        <w:widowControl w:val="0"/>
        <w:kinsoku/>
        <w:wordWrap/>
        <w:overflowPunct/>
        <w:topLinePunct w:val="0"/>
        <w:autoSpaceDE/>
        <w:autoSpaceDN/>
        <w:bidi w:val="0"/>
        <w:adjustRightInd/>
        <w:spacing w:line="348" w:lineRule="auto"/>
        <w:ind w:firstLine="630" w:firstLineChars="300"/>
        <w:textAlignment w:val="auto"/>
        <w:outlineLvl w:val="9"/>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质疑联系方式：0574-</w:t>
      </w:r>
      <w:r>
        <w:rPr>
          <w:rFonts w:hint="eastAsia" w:ascii="宋体" w:hAnsi="宋体" w:cs="宋体"/>
          <w:color w:val="auto"/>
          <w:szCs w:val="21"/>
          <w:highlight w:val="none"/>
          <w:lang w:val="en-US" w:eastAsia="zh-CN"/>
        </w:rPr>
        <w:t>87175578</w:t>
      </w:r>
    </w:p>
    <w:p>
      <w:pPr>
        <w:pageBreakBefore w:val="0"/>
        <w:widowControl w:val="0"/>
        <w:kinsoku/>
        <w:wordWrap/>
        <w:overflowPunct/>
        <w:topLinePunct w:val="0"/>
        <w:autoSpaceDE/>
        <w:autoSpaceDN/>
        <w:bidi w:val="0"/>
        <w:adjustRightInd/>
        <w:spacing w:line="348" w:lineRule="auto"/>
        <w:ind w:firstLine="630" w:firstLineChars="300"/>
        <w:textAlignment w:val="auto"/>
        <w:outlineLvl w:val="9"/>
        <w:rPr>
          <w:rFonts w:ascii="宋体" w:hAnsi="宋体" w:cs="宋体"/>
          <w:color w:val="auto"/>
          <w:szCs w:val="21"/>
          <w:highlight w:val="none"/>
        </w:rPr>
      </w:pPr>
      <w:bookmarkStart w:id="29" w:name="_Toc28359086"/>
      <w:bookmarkStart w:id="30" w:name="_Toc28359009"/>
      <w:r>
        <w:rPr>
          <w:rFonts w:hint="eastAsia" w:ascii="宋体" w:hAnsi="宋体" w:cs="宋体"/>
          <w:color w:val="auto"/>
          <w:szCs w:val="21"/>
          <w:highlight w:val="none"/>
        </w:rPr>
        <w:t>2.采购代理机构信息</w:t>
      </w:r>
      <w:bookmarkEnd w:id="29"/>
      <w:bookmarkEnd w:id="30"/>
    </w:p>
    <w:p>
      <w:pPr>
        <w:pageBreakBefore w:val="0"/>
        <w:widowControl w:val="0"/>
        <w:kinsoku/>
        <w:wordWrap/>
        <w:overflowPunct/>
        <w:topLinePunct w:val="0"/>
        <w:autoSpaceDE/>
        <w:autoSpaceDN/>
        <w:bidi w:val="0"/>
        <w:adjustRightInd/>
        <w:spacing w:line="348" w:lineRule="auto"/>
        <w:ind w:firstLine="630" w:firstLineChars="300"/>
        <w:textAlignment w:val="auto"/>
        <w:outlineLvl w:val="9"/>
        <w:rPr>
          <w:rFonts w:ascii="宋体" w:hAnsi="宋体" w:cs="宋体"/>
          <w:color w:val="auto"/>
          <w:szCs w:val="21"/>
          <w:highlight w:val="none"/>
        </w:rPr>
      </w:pPr>
      <w:r>
        <w:rPr>
          <w:rFonts w:hint="eastAsia" w:ascii="宋体" w:hAnsi="宋体" w:cs="宋体"/>
          <w:color w:val="auto"/>
          <w:szCs w:val="21"/>
          <w:highlight w:val="none"/>
        </w:rPr>
        <w:t>名    称：浙江中基正采管理咨询有限公司</w:t>
      </w:r>
    </w:p>
    <w:p>
      <w:pPr>
        <w:pageBreakBefore w:val="0"/>
        <w:widowControl w:val="0"/>
        <w:kinsoku/>
        <w:wordWrap/>
        <w:overflowPunct/>
        <w:topLinePunct w:val="0"/>
        <w:autoSpaceDE/>
        <w:autoSpaceDN/>
        <w:bidi w:val="0"/>
        <w:adjustRightInd/>
        <w:spacing w:line="348" w:lineRule="auto"/>
        <w:ind w:firstLine="630" w:firstLineChars="300"/>
        <w:textAlignment w:val="auto"/>
        <w:outlineLvl w:val="9"/>
        <w:rPr>
          <w:rFonts w:ascii="宋体" w:hAnsi="宋体" w:cs="宋体"/>
          <w:color w:val="auto"/>
          <w:szCs w:val="21"/>
          <w:highlight w:val="none"/>
        </w:rPr>
      </w:pPr>
      <w:r>
        <w:rPr>
          <w:rFonts w:hint="eastAsia" w:ascii="宋体" w:hAnsi="宋体" w:cs="宋体"/>
          <w:color w:val="auto"/>
          <w:szCs w:val="21"/>
          <w:highlight w:val="none"/>
        </w:rPr>
        <w:t>地    址：宁波市鄞州区天童南路666号中基大厦19楼</w:t>
      </w:r>
    </w:p>
    <w:p>
      <w:pPr>
        <w:pageBreakBefore w:val="0"/>
        <w:widowControl w:val="0"/>
        <w:kinsoku/>
        <w:wordWrap/>
        <w:overflowPunct/>
        <w:topLinePunct w:val="0"/>
        <w:autoSpaceDE/>
        <w:autoSpaceDN/>
        <w:bidi w:val="0"/>
        <w:adjustRightInd/>
        <w:spacing w:line="348" w:lineRule="auto"/>
        <w:ind w:firstLine="630" w:firstLineChars="300"/>
        <w:textAlignment w:val="auto"/>
        <w:outlineLvl w:val="9"/>
        <w:rPr>
          <w:rFonts w:ascii="宋体" w:hAnsi="宋体" w:cs="宋体"/>
          <w:color w:val="auto"/>
          <w:szCs w:val="21"/>
          <w:highlight w:val="none"/>
        </w:rPr>
      </w:pPr>
      <w:r>
        <w:rPr>
          <w:rFonts w:hint="eastAsia" w:ascii="宋体" w:hAnsi="宋体" w:cs="宋体"/>
          <w:color w:val="auto"/>
          <w:szCs w:val="21"/>
          <w:highlight w:val="none"/>
        </w:rPr>
        <w:t>传    真：0574-87425373</w:t>
      </w:r>
    </w:p>
    <w:p>
      <w:pPr>
        <w:pageBreakBefore w:val="0"/>
        <w:widowControl w:val="0"/>
        <w:kinsoku/>
        <w:wordWrap/>
        <w:overflowPunct/>
        <w:topLinePunct w:val="0"/>
        <w:autoSpaceDE/>
        <w:autoSpaceDN/>
        <w:bidi w:val="0"/>
        <w:adjustRightInd/>
        <w:spacing w:line="348" w:lineRule="auto"/>
        <w:ind w:firstLine="630" w:firstLineChars="300"/>
        <w:textAlignment w:val="auto"/>
        <w:outlineLvl w:val="9"/>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项目联系人（询问）：王近娜</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朱贤东、汪淑莉</w:t>
      </w:r>
    </w:p>
    <w:p>
      <w:pPr>
        <w:pageBreakBefore w:val="0"/>
        <w:widowControl w:val="0"/>
        <w:kinsoku/>
        <w:wordWrap/>
        <w:overflowPunct/>
        <w:topLinePunct w:val="0"/>
        <w:autoSpaceDE/>
        <w:autoSpaceDN/>
        <w:bidi w:val="0"/>
        <w:adjustRightInd/>
        <w:spacing w:line="348" w:lineRule="auto"/>
        <w:ind w:firstLine="630" w:firstLineChars="300"/>
        <w:textAlignment w:val="auto"/>
        <w:outlineLvl w:val="9"/>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项目联系方式（询问）：0574-</w:t>
      </w:r>
      <w:r>
        <w:rPr>
          <w:rFonts w:hint="eastAsia" w:ascii="宋体" w:hAnsi="宋体" w:cs="宋体"/>
          <w:color w:val="auto"/>
          <w:szCs w:val="21"/>
          <w:highlight w:val="none"/>
          <w:lang w:val="en-US" w:eastAsia="zh-CN"/>
        </w:rPr>
        <w:t>87426203</w:t>
      </w:r>
    </w:p>
    <w:p>
      <w:pPr>
        <w:pageBreakBefore w:val="0"/>
        <w:widowControl w:val="0"/>
        <w:kinsoku/>
        <w:wordWrap/>
        <w:overflowPunct/>
        <w:topLinePunct w:val="0"/>
        <w:autoSpaceDE/>
        <w:autoSpaceDN/>
        <w:bidi w:val="0"/>
        <w:adjustRightInd/>
        <w:spacing w:line="348" w:lineRule="auto"/>
        <w:ind w:firstLine="630" w:firstLineChars="300"/>
        <w:textAlignment w:val="auto"/>
        <w:outlineLvl w:val="9"/>
        <w:rPr>
          <w:rFonts w:ascii="宋体" w:hAnsi="宋体" w:cs="宋体"/>
          <w:color w:val="auto"/>
          <w:szCs w:val="21"/>
          <w:highlight w:val="none"/>
        </w:rPr>
      </w:pPr>
      <w:r>
        <w:rPr>
          <w:rFonts w:hint="eastAsia" w:ascii="宋体" w:hAnsi="宋体" w:cs="宋体"/>
          <w:color w:val="auto"/>
          <w:szCs w:val="21"/>
          <w:highlight w:val="none"/>
        </w:rPr>
        <w:t>质疑联系人：王燕</w:t>
      </w:r>
    </w:p>
    <w:p>
      <w:pPr>
        <w:pageBreakBefore w:val="0"/>
        <w:widowControl w:val="0"/>
        <w:kinsoku/>
        <w:wordWrap/>
        <w:overflowPunct/>
        <w:topLinePunct w:val="0"/>
        <w:autoSpaceDE/>
        <w:autoSpaceDN/>
        <w:bidi w:val="0"/>
        <w:adjustRightInd/>
        <w:spacing w:line="348" w:lineRule="auto"/>
        <w:ind w:firstLine="630" w:firstLineChars="300"/>
        <w:textAlignment w:val="auto"/>
        <w:outlineLvl w:val="9"/>
        <w:rPr>
          <w:rFonts w:ascii="宋体" w:hAnsi="宋体" w:cs="宋体"/>
          <w:color w:val="auto"/>
          <w:szCs w:val="21"/>
          <w:highlight w:val="none"/>
        </w:rPr>
      </w:pPr>
      <w:r>
        <w:rPr>
          <w:rFonts w:hint="eastAsia" w:ascii="宋体" w:hAnsi="宋体" w:cs="宋体"/>
          <w:color w:val="auto"/>
          <w:szCs w:val="21"/>
          <w:highlight w:val="none"/>
        </w:rPr>
        <w:t>质疑联系方式：0574-87425583</w:t>
      </w:r>
    </w:p>
    <w:p>
      <w:pPr>
        <w:pageBreakBefore w:val="0"/>
        <w:widowControl w:val="0"/>
        <w:kinsoku/>
        <w:wordWrap/>
        <w:overflowPunct/>
        <w:topLinePunct w:val="0"/>
        <w:autoSpaceDE/>
        <w:autoSpaceDN/>
        <w:bidi w:val="0"/>
        <w:adjustRightInd/>
        <w:spacing w:line="348" w:lineRule="auto"/>
        <w:ind w:firstLine="630" w:firstLineChars="300"/>
        <w:textAlignment w:val="auto"/>
        <w:outlineLvl w:val="9"/>
        <w:rPr>
          <w:rFonts w:ascii="宋体" w:hAnsi="宋体" w:cs="宋体"/>
          <w:color w:val="auto"/>
          <w:szCs w:val="21"/>
          <w:highlight w:val="none"/>
        </w:rPr>
      </w:pPr>
      <w:r>
        <w:rPr>
          <w:rFonts w:hint="eastAsia" w:ascii="宋体" w:hAnsi="宋体" w:cs="宋体"/>
          <w:color w:val="auto"/>
          <w:szCs w:val="21"/>
          <w:highlight w:val="none"/>
        </w:rPr>
        <w:t>3.同级政府采购监督管理部门：</w:t>
      </w:r>
    </w:p>
    <w:p>
      <w:pPr>
        <w:pageBreakBefore w:val="0"/>
        <w:widowControl w:val="0"/>
        <w:kinsoku/>
        <w:wordWrap/>
        <w:overflowPunct/>
        <w:topLinePunct w:val="0"/>
        <w:autoSpaceDE/>
        <w:autoSpaceDN/>
        <w:bidi w:val="0"/>
        <w:adjustRightInd/>
        <w:spacing w:line="348" w:lineRule="auto"/>
        <w:ind w:firstLine="630" w:firstLineChars="300"/>
        <w:textAlignment w:val="auto"/>
        <w:outlineLvl w:val="9"/>
        <w:rPr>
          <w:rFonts w:ascii="宋体" w:hAnsi="宋体" w:cs="宋体"/>
          <w:color w:val="auto"/>
          <w:szCs w:val="21"/>
          <w:highlight w:val="none"/>
        </w:rPr>
      </w:pPr>
      <w:r>
        <w:rPr>
          <w:rFonts w:hint="eastAsia" w:ascii="宋体" w:hAnsi="宋体" w:cs="宋体"/>
          <w:color w:val="auto"/>
          <w:szCs w:val="21"/>
          <w:highlight w:val="none"/>
        </w:rPr>
        <w:t>名    称：宁波市政府采购管理办公室</w:t>
      </w:r>
    </w:p>
    <w:p>
      <w:pPr>
        <w:pageBreakBefore w:val="0"/>
        <w:widowControl w:val="0"/>
        <w:kinsoku/>
        <w:wordWrap/>
        <w:overflowPunct/>
        <w:topLinePunct w:val="0"/>
        <w:autoSpaceDE/>
        <w:autoSpaceDN/>
        <w:bidi w:val="0"/>
        <w:adjustRightInd/>
        <w:spacing w:line="348" w:lineRule="auto"/>
        <w:ind w:firstLine="630" w:firstLineChars="300"/>
        <w:textAlignment w:val="auto"/>
        <w:outlineLvl w:val="9"/>
        <w:rPr>
          <w:rFonts w:ascii="宋体" w:hAnsi="宋体" w:cs="宋体"/>
          <w:color w:val="auto"/>
          <w:szCs w:val="21"/>
          <w:highlight w:val="none"/>
        </w:rPr>
      </w:pPr>
      <w:r>
        <w:rPr>
          <w:rFonts w:hint="eastAsia" w:ascii="宋体" w:hAnsi="宋体" w:cs="宋体"/>
          <w:color w:val="auto"/>
          <w:szCs w:val="21"/>
          <w:highlight w:val="none"/>
        </w:rPr>
        <w:t>地    址：宁波市海曙区中山西路19号</w:t>
      </w:r>
    </w:p>
    <w:p>
      <w:pPr>
        <w:pageBreakBefore w:val="0"/>
        <w:widowControl w:val="0"/>
        <w:kinsoku/>
        <w:wordWrap/>
        <w:overflowPunct/>
        <w:topLinePunct w:val="0"/>
        <w:autoSpaceDE/>
        <w:autoSpaceDN/>
        <w:bidi w:val="0"/>
        <w:adjustRightInd/>
        <w:spacing w:line="348" w:lineRule="auto"/>
        <w:ind w:firstLine="630" w:firstLineChars="300"/>
        <w:textAlignment w:val="auto"/>
        <w:outlineLvl w:val="9"/>
        <w:rPr>
          <w:rFonts w:ascii="宋体" w:hAnsi="宋体" w:cs="宋体"/>
          <w:color w:val="auto"/>
          <w:szCs w:val="21"/>
          <w:highlight w:val="none"/>
        </w:rPr>
      </w:pPr>
      <w:r>
        <w:rPr>
          <w:rFonts w:hint="eastAsia" w:ascii="宋体" w:hAnsi="宋体" w:cs="宋体"/>
          <w:color w:val="auto"/>
          <w:szCs w:val="21"/>
          <w:highlight w:val="none"/>
        </w:rPr>
        <w:t xml:space="preserve">传    真：/ </w:t>
      </w:r>
    </w:p>
    <w:p>
      <w:pPr>
        <w:pageBreakBefore w:val="0"/>
        <w:widowControl w:val="0"/>
        <w:kinsoku/>
        <w:wordWrap/>
        <w:overflowPunct/>
        <w:topLinePunct w:val="0"/>
        <w:autoSpaceDE/>
        <w:autoSpaceDN/>
        <w:bidi w:val="0"/>
        <w:adjustRightInd/>
        <w:spacing w:line="348" w:lineRule="auto"/>
        <w:ind w:firstLine="630" w:firstLineChars="300"/>
        <w:textAlignment w:val="auto"/>
        <w:outlineLvl w:val="9"/>
        <w:rPr>
          <w:rFonts w:ascii="宋体" w:hAnsi="宋体" w:cs="宋体"/>
          <w:color w:val="auto"/>
          <w:szCs w:val="21"/>
          <w:highlight w:val="none"/>
        </w:rPr>
      </w:pPr>
      <w:r>
        <w:rPr>
          <w:rFonts w:hint="eastAsia" w:ascii="宋体" w:hAnsi="宋体" w:cs="宋体"/>
          <w:color w:val="auto"/>
          <w:szCs w:val="21"/>
          <w:highlight w:val="none"/>
        </w:rPr>
        <w:t>联系人 ：</w:t>
      </w:r>
      <w:r>
        <w:rPr>
          <w:rFonts w:hint="eastAsia" w:ascii="宋体" w:hAnsi="宋体" w:cs="宋体"/>
          <w:color w:val="auto"/>
          <w:szCs w:val="21"/>
          <w:highlight w:val="none"/>
          <w:lang w:val="en-US" w:eastAsia="zh-CN"/>
        </w:rPr>
        <w:t>李</w:t>
      </w:r>
      <w:r>
        <w:rPr>
          <w:rFonts w:hint="eastAsia" w:ascii="宋体" w:hAnsi="宋体" w:cs="宋体"/>
          <w:color w:val="auto"/>
          <w:szCs w:val="21"/>
          <w:highlight w:val="none"/>
        </w:rPr>
        <w:t xml:space="preserve">老师 </w:t>
      </w:r>
    </w:p>
    <w:p>
      <w:pPr>
        <w:pageBreakBefore w:val="0"/>
        <w:widowControl w:val="0"/>
        <w:kinsoku/>
        <w:wordWrap/>
        <w:overflowPunct/>
        <w:topLinePunct w:val="0"/>
        <w:autoSpaceDE/>
        <w:autoSpaceDN/>
        <w:bidi w:val="0"/>
        <w:adjustRightInd/>
        <w:spacing w:line="348" w:lineRule="auto"/>
        <w:ind w:firstLine="630" w:firstLineChars="300"/>
        <w:textAlignment w:val="auto"/>
        <w:outlineLvl w:val="9"/>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投诉电话：0574-</w:t>
      </w:r>
      <w:r>
        <w:rPr>
          <w:rFonts w:hint="eastAsia" w:ascii="宋体" w:hAnsi="宋体" w:cs="宋体"/>
          <w:color w:val="auto"/>
          <w:szCs w:val="21"/>
          <w:highlight w:val="none"/>
          <w:lang w:val="en-US" w:eastAsia="zh-CN"/>
        </w:rPr>
        <w:t>89388042</w:t>
      </w:r>
    </w:p>
    <w:p>
      <w:pPr>
        <w:pageBreakBefore w:val="0"/>
        <w:widowControl w:val="0"/>
        <w:kinsoku/>
        <w:wordWrap/>
        <w:overflowPunct/>
        <w:topLinePunct w:val="0"/>
        <w:autoSpaceDE/>
        <w:autoSpaceDN/>
        <w:bidi w:val="0"/>
        <w:adjustRightInd/>
        <w:spacing w:line="348" w:lineRule="auto"/>
        <w:ind w:firstLine="420" w:firstLineChars="200"/>
        <w:textAlignment w:val="auto"/>
        <w:outlineLvl w:val="9"/>
        <w:rPr>
          <w:rFonts w:ascii="宋体" w:hAnsi="宋体" w:cs="宋体"/>
          <w:color w:val="auto"/>
          <w:highlight w:val="none"/>
        </w:rPr>
      </w:pPr>
      <w:r>
        <w:rPr>
          <w:rFonts w:hint="eastAsia" w:ascii="宋体" w:hAnsi="宋体" w:cs="宋体"/>
          <w:color w:val="auto"/>
          <w:highlight w:val="none"/>
        </w:rPr>
        <w:t>若对项目采购电子交易系统操作有疑问，可登录政采云（https://www.zcygov.cn/），点击右侧咨询小采，获取采小蜜智能服务管家帮助，或拨打政采云服务热线400-881-7190获取热线服务帮助。</w:t>
      </w:r>
    </w:p>
    <w:p>
      <w:pPr>
        <w:pageBreakBefore w:val="0"/>
        <w:widowControl w:val="0"/>
        <w:kinsoku/>
        <w:wordWrap/>
        <w:overflowPunct/>
        <w:topLinePunct w:val="0"/>
        <w:autoSpaceDE/>
        <w:autoSpaceDN/>
        <w:bidi w:val="0"/>
        <w:adjustRightInd/>
        <w:snapToGrid w:val="0"/>
        <w:spacing w:line="348" w:lineRule="auto"/>
        <w:ind w:firstLine="420"/>
        <w:textAlignment w:val="auto"/>
        <w:outlineLvl w:val="9"/>
        <w:rPr>
          <w:rFonts w:ascii="宋体" w:hAnsi="宋体" w:cs="宋体"/>
          <w:color w:val="auto"/>
          <w:szCs w:val="21"/>
          <w:highlight w:val="none"/>
        </w:rPr>
      </w:pPr>
      <w:r>
        <w:rPr>
          <w:rFonts w:hint="eastAsia" w:ascii="宋体" w:hAnsi="宋体" w:cs="宋体"/>
          <w:color w:val="auto"/>
          <w:highlight w:val="none"/>
        </w:rPr>
        <w:t>CA问题联系电话（人工）：汇信CA 400-888-4636；天谷CA 400-087-8198。</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宋体" w:hAnsi="宋体" w:cs="宋体"/>
          <w:b/>
          <w:bCs/>
          <w:color w:val="auto"/>
          <w:sz w:val="30"/>
          <w:szCs w:val="30"/>
          <w:highlight w:val="none"/>
        </w:rPr>
      </w:pPr>
      <w:r>
        <w:rPr>
          <w:rFonts w:hint="eastAsia" w:ascii="宋体" w:hAnsi="宋体" w:cs="宋体"/>
          <w:b/>
          <w:bCs/>
          <w:color w:val="auto"/>
          <w:highlight w:val="none"/>
        </w:rPr>
        <w:br w:type="page"/>
      </w:r>
      <w:bookmarkStart w:id="31" w:name="_Toc16425"/>
      <w:r>
        <w:rPr>
          <w:rFonts w:hint="eastAsia" w:ascii="宋体" w:hAnsi="宋体" w:cs="宋体"/>
          <w:b/>
          <w:bCs/>
          <w:color w:val="auto"/>
          <w:sz w:val="28"/>
          <w:szCs w:val="28"/>
          <w:highlight w:val="none"/>
        </w:rPr>
        <w:t>第二章  采购需求</w:t>
      </w:r>
      <w:bookmarkEnd w:id="31"/>
    </w:p>
    <w:p>
      <w:pPr>
        <w:pageBreakBefore w:val="0"/>
        <w:kinsoku/>
        <w:overflowPunct/>
        <w:bidi w:val="0"/>
        <w:spacing w:line="320" w:lineRule="exact"/>
        <w:jc w:val="center"/>
        <w:outlineLvl w:val="9"/>
        <w:rPr>
          <w:rFonts w:ascii="宋体" w:hAnsi="宋体" w:cs="宋体"/>
          <w:color w:val="auto"/>
          <w:szCs w:val="21"/>
          <w:highlight w:val="none"/>
        </w:rPr>
      </w:pPr>
      <w:r>
        <w:rPr>
          <w:rFonts w:hint="eastAsia" w:ascii="宋体" w:hAnsi="宋体" w:cs="宋体"/>
          <w:color w:val="auto"/>
          <w:szCs w:val="21"/>
          <w:highlight w:val="none"/>
        </w:rPr>
        <w:t>前附表</w:t>
      </w:r>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417"/>
        <w:gridCol w:w="53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49" w:type="dxa"/>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417" w:type="dxa"/>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5363" w:type="dxa"/>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招标需求内容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417" w:type="dxa"/>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采购内容</w:t>
            </w:r>
          </w:p>
        </w:tc>
        <w:tc>
          <w:tcPr>
            <w:tcW w:w="5363" w:type="dxa"/>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“甬尚文旅”综合服务建设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417" w:type="dxa"/>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单位及数量</w:t>
            </w:r>
          </w:p>
        </w:tc>
        <w:tc>
          <w:tcPr>
            <w:tcW w:w="5363" w:type="dxa"/>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417" w:type="dxa"/>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交付或者实施的时间和地点</w:t>
            </w:r>
          </w:p>
        </w:tc>
        <w:tc>
          <w:tcPr>
            <w:tcW w:w="5363" w:type="dxa"/>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417" w:type="dxa"/>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需实现的功能或者目标</w:t>
            </w:r>
          </w:p>
        </w:tc>
        <w:tc>
          <w:tcPr>
            <w:tcW w:w="5363" w:type="dxa"/>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417" w:type="dxa"/>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执行的国家相关标准、行业标准、地方标准或者其它标准、规范</w:t>
            </w:r>
          </w:p>
        </w:tc>
        <w:tc>
          <w:tcPr>
            <w:tcW w:w="5363" w:type="dxa"/>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执行的国家相关标准、行业标准、地方标准或者其它标准、规范（如有）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 w:hRule="atLeast"/>
          <w:jc w:val="center"/>
        </w:trPr>
        <w:tc>
          <w:tcPr>
            <w:tcW w:w="649" w:type="dxa"/>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417" w:type="dxa"/>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技术规格要求</w:t>
            </w:r>
          </w:p>
        </w:tc>
        <w:tc>
          <w:tcPr>
            <w:tcW w:w="5363" w:type="dxa"/>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417" w:type="dxa"/>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物理特性要求</w:t>
            </w:r>
          </w:p>
        </w:tc>
        <w:tc>
          <w:tcPr>
            <w:tcW w:w="5363" w:type="dxa"/>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417" w:type="dxa"/>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质量、安全要求</w:t>
            </w:r>
          </w:p>
        </w:tc>
        <w:tc>
          <w:tcPr>
            <w:tcW w:w="5363" w:type="dxa"/>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sz w:val="21"/>
                <w:szCs w:val="21"/>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417" w:type="dxa"/>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服务标准、期限、效率</w:t>
            </w:r>
          </w:p>
        </w:tc>
        <w:tc>
          <w:tcPr>
            <w:tcW w:w="5363" w:type="dxa"/>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417" w:type="dxa"/>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验收标准</w:t>
            </w:r>
          </w:p>
        </w:tc>
        <w:tc>
          <w:tcPr>
            <w:tcW w:w="5363" w:type="dxa"/>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符合国家、浙江省、宁波市验收规范（从高）验收合格标准及相关部门验收合格。采购人负责对中标供应商的履约行为进行验收。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417" w:type="dxa"/>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现场踏勘</w:t>
            </w:r>
          </w:p>
        </w:tc>
        <w:tc>
          <w:tcPr>
            <w:tcW w:w="5363" w:type="dxa"/>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default"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rPr>
              <w:t>本项目</w:t>
            </w:r>
            <w:r>
              <w:rPr>
                <w:rFonts w:hint="eastAsia" w:ascii="宋体" w:hAnsi="宋体" w:cs="宋体"/>
                <w:b w:val="0"/>
                <w:bCs w:val="0"/>
                <w:color w:val="auto"/>
                <w:sz w:val="21"/>
                <w:szCs w:val="21"/>
                <w:highlight w:val="none"/>
                <w:lang w:eastAsia="zh-CN"/>
              </w:rPr>
              <w:t>不统一</w:t>
            </w:r>
            <w:r>
              <w:rPr>
                <w:rFonts w:hint="eastAsia" w:ascii="宋体" w:hAnsi="宋体" w:eastAsia="宋体" w:cs="宋体"/>
                <w:b w:val="0"/>
                <w:bCs w:val="0"/>
                <w:color w:val="auto"/>
                <w:sz w:val="21"/>
                <w:szCs w:val="21"/>
                <w:highlight w:val="none"/>
              </w:rPr>
              <w:t>组织现场勘察，</w:t>
            </w:r>
            <w:r>
              <w:rPr>
                <w:rFonts w:hint="eastAsia" w:ascii="宋体" w:hAnsi="宋体" w:cs="宋体"/>
                <w:b w:val="0"/>
                <w:bCs w:val="0"/>
                <w:color w:val="auto"/>
                <w:sz w:val="21"/>
                <w:szCs w:val="21"/>
                <w:highlight w:val="none"/>
                <w:lang w:eastAsia="zh-CN"/>
              </w:rPr>
              <w:t>供应商</w:t>
            </w:r>
            <w:r>
              <w:rPr>
                <w:rFonts w:hint="eastAsia" w:ascii="宋体" w:hAnsi="宋体" w:cs="宋体"/>
                <w:b w:val="0"/>
                <w:bCs w:val="0"/>
                <w:color w:val="auto"/>
                <w:sz w:val="21"/>
                <w:szCs w:val="21"/>
                <w:highlight w:val="none"/>
                <w:lang w:val="en-US" w:eastAsia="zh-CN"/>
              </w:rPr>
              <w:t>需</w:t>
            </w:r>
            <w:r>
              <w:rPr>
                <w:rFonts w:hint="eastAsia" w:ascii="宋体" w:hAnsi="宋体" w:cs="宋体"/>
                <w:b w:val="0"/>
                <w:bCs w:val="0"/>
                <w:color w:val="auto"/>
                <w:sz w:val="21"/>
                <w:szCs w:val="21"/>
                <w:highlight w:val="none"/>
                <w:lang w:eastAsia="zh-CN"/>
              </w:rPr>
              <w:t>在</w:t>
            </w:r>
            <w:r>
              <w:rPr>
                <w:rFonts w:hint="eastAsia" w:ascii="宋体" w:hAnsi="宋体" w:cs="宋体"/>
                <w:b w:val="0"/>
                <w:bCs w:val="0"/>
                <w:color w:val="auto"/>
                <w:sz w:val="21"/>
                <w:szCs w:val="21"/>
                <w:highlight w:val="none"/>
                <w:lang w:val="en-US" w:eastAsia="zh-CN"/>
              </w:rPr>
              <w:t>项目报名（</w:t>
            </w:r>
            <w:r>
              <w:rPr>
                <w:rFonts w:hint="eastAsia" w:ascii="宋体" w:hAnsi="宋体" w:eastAsia="宋体" w:cs="宋体"/>
                <w:b w:val="0"/>
                <w:bCs w:val="0"/>
                <w:color w:val="auto"/>
                <w:sz w:val="21"/>
                <w:szCs w:val="21"/>
                <w:highlight w:val="none"/>
              </w:rPr>
              <w:t>获取招标文件</w:t>
            </w:r>
            <w:r>
              <w:rPr>
                <w:rFonts w:hint="eastAsia" w:ascii="宋体" w:hAnsi="宋体" w:cs="宋体"/>
                <w:b w:val="0"/>
                <w:bCs w:val="0"/>
                <w:color w:val="auto"/>
                <w:sz w:val="21"/>
                <w:szCs w:val="21"/>
                <w:highlight w:val="none"/>
                <w:lang w:val="en-US" w:eastAsia="zh-CN"/>
              </w:rPr>
              <w:t>）结束后至</w:t>
            </w:r>
            <w:r>
              <w:rPr>
                <w:rFonts w:hint="eastAsia" w:ascii="宋体" w:hAnsi="宋体" w:eastAsia="宋体" w:cs="宋体"/>
                <w:b w:val="0"/>
                <w:bCs w:val="0"/>
                <w:color w:val="auto"/>
                <w:sz w:val="21"/>
                <w:szCs w:val="21"/>
                <w:highlight w:val="none"/>
              </w:rPr>
              <w:t>提交投标文件截止时间</w:t>
            </w:r>
            <w:r>
              <w:rPr>
                <w:rFonts w:hint="eastAsia" w:ascii="宋体" w:hAnsi="宋体" w:cs="宋体"/>
                <w:b w:val="0"/>
                <w:bCs w:val="0"/>
                <w:color w:val="auto"/>
                <w:sz w:val="21"/>
                <w:szCs w:val="21"/>
                <w:highlight w:val="none"/>
                <w:lang w:val="en-US" w:eastAsia="zh-CN"/>
              </w:rPr>
              <w:t>前（工作日上午10:00-11:00，下午2:30-5:00），自行前往采购人指定地点踏勘了解项目情况，踏勘前请提前预约。</w:t>
            </w:r>
          </w:p>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标项一：</w:t>
            </w:r>
          </w:p>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踏勘地点：宁波市文化广电旅游局</w:t>
            </w:r>
          </w:p>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联系人：丁老师</w:t>
            </w:r>
          </w:p>
          <w:p>
            <w:pPr>
              <w:keepNext w:val="0"/>
              <w:keepLines w:val="0"/>
              <w:pageBreakBefore w:val="0"/>
              <w:widowControl w:val="0"/>
              <w:tabs>
                <w:tab w:val="center" w:pos="2573"/>
              </w:tabs>
              <w:kinsoku/>
              <w:wordWrap/>
              <w:overflowPunct/>
              <w:topLinePunct w:val="0"/>
              <w:autoSpaceDE/>
              <w:autoSpaceDN/>
              <w:bidi w:val="0"/>
              <w:adjustRightInd/>
              <w:snapToGrid/>
              <w:spacing w:line="264" w:lineRule="auto"/>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联系电话：</w:t>
            </w:r>
            <w:r>
              <w:rPr>
                <w:rFonts w:hint="eastAsia" w:ascii="宋体" w:hAnsi="宋体" w:cs="宋体"/>
                <w:color w:val="auto"/>
                <w:sz w:val="21"/>
                <w:szCs w:val="21"/>
                <w:highlight w:val="none"/>
                <w:lang w:val="en-US" w:eastAsia="zh-CN"/>
              </w:rPr>
              <w:t>0574-89186973</w:t>
            </w:r>
          </w:p>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标项二：</w:t>
            </w:r>
          </w:p>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踏勘地点：宁波市文化广电旅游局</w:t>
            </w:r>
          </w:p>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联系人：王老师</w:t>
            </w:r>
          </w:p>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联系电话：</w:t>
            </w:r>
            <w:r>
              <w:rPr>
                <w:rFonts w:hint="eastAsia" w:ascii="宋体" w:hAnsi="宋体" w:cs="宋体"/>
                <w:color w:val="auto"/>
                <w:szCs w:val="21"/>
                <w:highlight w:val="none"/>
                <w:lang w:val="en-US" w:eastAsia="zh-CN"/>
              </w:rPr>
              <w:t>0574-89181352</w:t>
            </w:r>
          </w:p>
          <w:p>
            <w:pPr>
              <w:keepNext w:val="0"/>
              <w:keepLines w:val="0"/>
              <w:pageBreakBefore w:val="0"/>
              <w:widowControl w:val="0"/>
              <w:tabs>
                <w:tab w:val="left" w:pos="1637"/>
              </w:tabs>
              <w:kinsoku/>
              <w:wordWrap/>
              <w:overflowPunct/>
              <w:topLinePunct w:val="0"/>
              <w:autoSpaceDE/>
              <w:autoSpaceDN/>
              <w:bidi w:val="0"/>
              <w:adjustRightInd/>
              <w:snapToGrid/>
              <w:spacing w:line="264" w:lineRule="auto"/>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标项三：</w:t>
            </w:r>
          </w:p>
          <w:p>
            <w:pPr>
              <w:keepNext w:val="0"/>
              <w:keepLines w:val="0"/>
              <w:pageBreakBefore w:val="0"/>
              <w:widowControl w:val="0"/>
              <w:tabs>
                <w:tab w:val="left" w:pos="1637"/>
              </w:tabs>
              <w:kinsoku/>
              <w:wordWrap/>
              <w:overflowPunct/>
              <w:topLinePunct w:val="0"/>
              <w:autoSpaceDE/>
              <w:autoSpaceDN/>
              <w:bidi w:val="0"/>
              <w:adjustRightInd/>
              <w:snapToGrid/>
              <w:spacing w:line="264" w:lineRule="auto"/>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踏勘地点：天一阁博物院</w:t>
            </w:r>
          </w:p>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联系人：黄老师</w:t>
            </w:r>
          </w:p>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联系电话：</w:t>
            </w:r>
            <w:r>
              <w:rPr>
                <w:rFonts w:hint="eastAsia" w:ascii="宋体" w:hAnsi="宋体" w:cs="宋体"/>
                <w:color w:val="auto"/>
                <w:sz w:val="21"/>
                <w:szCs w:val="21"/>
                <w:highlight w:val="none"/>
                <w:lang w:val="en-US" w:eastAsia="zh-CN"/>
              </w:rPr>
              <w:t>0574-87293526</w:t>
            </w:r>
          </w:p>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勘察现场所发生的费用由供应商自己承担。不论何种原因所造成，在勘察过程中，供应商自行对由此次踏勘现场而造成的死亡、人身伤害、财产损失、损害以及任何其它损失、损害和引起的费用和开支承担责任。</w:t>
            </w:r>
            <w:r>
              <w:rPr>
                <w:rFonts w:hint="eastAsia" w:ascii="宋体" w:hAnsi="宋体" w:eastAsia="宋体" w:cs="宋体"/>
                <w:color w:val="auto"/>
                <w:sz w:val="21"/>
                <w:szCs w:val="21"/>
                <w:highlight w:val="none"/>
                <w:lang w:eastAsia="zh-CN"/>
              </w:rPr>
              <w:t>若因供应商自身原因未参加踏勘而对项目理解有误造成自身损失等后果均由供应商自己承担。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417" w:type="dxa"/>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演示时间及地点</w:t>
            </w:r>
          </w:p>
        </w:tc>
        <w:tc>
          <w:tcPr>
            <w:tcW w:w="5363" w:type="dxa"/>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演示时间</w:t>
            </w:r>
            <w:r>
              <w:rPr>
                <w:rFonts w:hint="eastAsia" w:ascii="宋体" w:hAnsi="宋体" w:eastAsia="宋体" w:cs="宋体"/>
                <w:color w:val="auto"/>
                <w:sz w:val="21"/>
                <w:szCs w:val="21"/>
                <w:highlight w:val="none"/>
                <w:lang w:val="en-US" w:eastAsia="zh-CN"/>
              </w:rPr>
              <w:t>：评审阶段；</w:t>
            </w:r>
          </w:p>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演示地点：评审现场。</w:t>
            </w:r>
          </w:p>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注：供应商须自带U盘、电脑、转换器等现场演示工具。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417" w:type="dxa"/>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本项目的核心产品</w:t>
            </w:r>
          </w:p>
        </w:tc>
        <w:tc>
          <w:tcPr>
            <w:tcW w:w="5363" w:type="dxa"/>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417" w:type="dxa"/>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样品</w:t>
            </w:r>
          </w:p>
        </w:tc>
        <w:tc>
          <w:tcPr>
            <w:tcW w:w="5363" w:type="dxa"/>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9" w:type="dxa"/>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2417" w:type="dxa"/>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是否允许采购进口产品</w:t>
            </w:r>
          </w:p>
        </w:tc>
        <w:tc>
          <w:tcPr>
            <w:tcW w:w="5363" w:type="dxa"/>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否</w:t>
            </w:r>
          </w:p>
        </w:tc>
      </w:tr>
    </w:tbl>
    <w:p>
      <w:pPr>
        <w:rPr>
          <w:rFonts w:hint="eastAsia" w:ascii="宋体" w:hAnsi="宋体" w:cs="宋体"/>
          <w:b/>
          <w:color w:val="auto"/>
          <w:sz w:val="21"/>
          <w:szCs w:val="21"/>
          <w:highlight w:val="yellow"/>
        </w:rPr>
      </w:pPr>
      <w:r>
        <w:rPr>
          <w:rFonts w:hint="eastAsia" w:ascii="宋体" w:hAnsi="宋体" w:cs="宋体"/>
          <w:b/>
          <w:color w:val="auto"/>
          <w:sz w:val="21"/>
          <w:szCs w:val="21"/>
          <w:highlight w:val="yellow"/>
        </w:rPr>
        <w:br w:type="page"/>
      </w:r>
    </w:p>
    <w:p>
      <w:pPr>
        <w:pageBreakBefore w:val="0"/>
        <w:kinsoku/>
        <w:overflowPunct/>
        <w:bidi w:val="0"/>
        <w:spacing w:line="360" w:lineRule="auto"/>
        <w:outlineLvl w:val="9"/>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rPr>
        <w:t>一、重要商务要求一览表</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适用于各标项</w:t>
      </w:r>
      <w:r>
        <w:rPr>
          <w:rFonts w:hint="eastAsia" w:ascii="宋体" w:hAnsi="宋体" w:cs="宋体"/>
          <w:b/>
          <w:color w:val="auto"/>
          <w:sz w:val="21"/>
          <w:szCs w:val="21"/>
          <w:highlight w:val="none"/>
          <w:lang w:eastAsia="zh-CN"/>
        </w:rPr>
        <w:t>）</w:t>
      </w:r>
    </w:p>
    <w:tbl>
      <w:tblPr>
        <w:tblStyle w:val="35"/>
        <w:tblW w:w="89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5"/>
        <w:gridCol w:w="7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baseline"/>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1、工期</w:t>
            </w:r>
          </w:p>
        </w:tc>
        <w:tc>
          <w:tcPr>
            <w:tcW w:w="7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baseline"/>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详见“第一章 公开招标公告”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6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baseline"/>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服务</w:t>
            </w:r>
            <w:r>
              <w:rPr>
                <w:rFonts w:hint="eastAsia" w:ascii="宋体" w:hAnsi="宋体" w:eastAsia="宋体" w:cs="宋体"/>
                <w:b/>
                <w:bCs/>
                <w:color w:val="auto"/>
                <w:sz w:val="21"/>
                <w:szCs w:val="21"/>
                <w:highlight w:val="none"/>
              </w:rPr>
              <w:t>地点</w:t>
            </w:r>
          </w:p>
        </w:tc>
        <w:tc>
          <w:tcPr>
            <w:tcW w:w="7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6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baseline"/>
              <w:outlineLvl w:val="9"/>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3、履约保证金</w:t>
            </w:r>
          </w:p>
        </w:tc>
        <w:tc>
          <w:tcPr>
            <w:tcW w:w="7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baseline"/>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4、付款方式</w:t>
            </w:r>
          </w:p>
        </w:tc>
        <w:tc>
          <w:tcPr>
            <w:tcW w:w="7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1"/>
                <w:numId w:val="0"/>
              </w:numPr>
              <w:kinsoku/>
              <w:wordWrap/>
              <w:overflowPunct/>
              <w:topLinePunct w:val="0"/>
              <w:autoSpaceDE/>
              <w:autoSpaceDN/>
              <w:bidi w:val="0"/>
              <w:adjustRightInd/>
              <w:snapToGrid/>
              <w:spacing w:line="360" w:lineRule="auto"/>
              <w:jc w:val="left"/>
              <w:outlineLvl w:val="9"/>
              <w:rPr>
                <w:rFonts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1）合同</w:t>
            </w:r>
            <w:r>
              <w:rPr>
                <w:rFonts w:hint="eastAsia" w:ascii="宋体" w:hAnsi="宋体" w:cs="宋体"/>
                <w:color w:val="000000" w:themeColor="text1"/>
                <w:highlight w:val="none"/>
                <w:lang w:val="en-US" w:eastAsia="zh-CN"/>
                <w14:textFill>
                  <w14:solidFill>
                    <w14:schemeClr w14:val="tx1"/>
                  </w14:solidFill>
                </w14:textFill>
              </w:rPr>
              <w:t>生效并具备实施条件后7</w:t>
            </w:r>
            <w:r>
              <w:rPr>
                <w:rFonts w:hint="eastAsia" w:ascii="宋体" w:hAnsi="宋体" w:cs="宋体"/>
                <w:color w:val="000000" w:themeColor="text1"/>
                <w:lang w:val="en-US" w:eastAsia="zh-CN"/>
                <w14:textFill>
                  <w14:solidFill>
                    <w14:schemeClr w14:val="tx1"/>
                  </w14:solidFill>
                </w14:textFill>
              </w:rPr>
              <w:t>个工作日内，采购人支付中标人28%的</w:t>
            </w:r>
            <w:r>
              <w:rPr>
                <w:rFonts w:hint="eastAsia" w:ascii="宋体" w:hAnsi="宋体" w:cs="宋体"/>
                <w:color w:val="000000" w:themeColor="text1"/>
                <w14:textFill>
                  <w14:solidFill>
                    <w14:schemeClr w14:val="tx1"/>
                  </w14:solidFill>
                </w14:textFill>
              </w:rPr>
              <w:t>合同金额</w:t>
            </w:r>
            <w:r>
              <w:rPr>
                <w:rFonts w:hint="eastAsia" w:ascii="宋体" w:hAnsi="宋体" w:cs="宋体"/>
                <w:color w:val="000000" w:themeColor="text1"/>
                <w:lang w:val="en-US" w:eastAsia="zh-CN"/>
                <w14:textFill>
                  <w14:solidFill>
                    <w14:schemeClr w14:val="tx1"/>
                  </w14:solidFill>
                </w14:textFill>
              </w:rPr>
              <w:t>作为预付款</w:t>
            </w:r>
            <w:r>
              <w:rPr>
                <w:rFonts w:hint="eastAsia" w:ascii="宋体" w:hAnsi="宋体" w:cs="宋体"/>
                <w:color w:val="000000" w:themeColor="text1"/>
                <w14:textFill>
                  <w14:solidFill>
                    <w14:schemeClr w14:val="tx1"/>
                  </w14:solidFill>
                </w14:textFill>
              </w:rPr>
              <w:t>；</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jc w:val="left"/>
              <w:outlineLvl w:val="9"/>
              <w:rPr>
                <w:rFonts w:ascii="宋体" w:hAnsi="宋体" w:cs="宋体"/>
              </w:rPr>
            </w:pPr>
            <w:r>
              <w:rPr>
                <w:rFonts w:hint="eastAsia" w:ascii="宋体" w:hAnsi="宋体" w:cs="宋体"/>
                <w:color w:val="000000" w:themeColor="text1"/>
                <w:lang w:val="en-US" w:eastAsia="zh-CN"/>
                <w14:textFill>
                  <w14:solidFill>
                    <w14:schemeClr w14:val="tx1"/>
                  </w14:solidFill>
                </w14:textFill>
              </w:rPr>
              <w:t>2）</w:t>
            </w:r>
            <w:r>
              <w:rPr>
                <w:rFonts w:hint="eastAsia" w:ascii="宋体" w:hAnsi="宋体" w:cs="宋体"/>
                <w:color w:val="000000" w:themeColor="text1"/>
                <w14:textFill>
                  <w14:solidFill>
                    <w14:schemeClr w14:val="tx1"/>
                  </w14:solidFill>
                </w14:textFill>
              </w:rPr>
              <w:t>项目通过初验后，采购人支付中标人</w:t>
            </w:r>
            <w:r>
              <w:rPr>
                <w:rFonts w:hint="eastAsia" w:ascii="宋体" w:hAnsi="宋体" w:cs="宋体"/>
                <w:color w:val="000000" w:themeColor="text1"/>
                <w:lang w:val="en-US" w:eastAsia="zh-CN"/>
                <w14:textFill>
                  <w14:solidFill>
                    <w14:schemeClr w14:val="tx1"/>
                  </w14:solidFill>
                </w14:textFill>
              </w:rPr>
              <w:t>22</w:t>
            </w:r>
            <w:r>
              <w:rPr>
                <w:rFonts w:hint="eastAsia" w:ascii="宋体" w:hAnsi="宋体" w:cs="宋体"/>
                <w:color w:val="000000" w:themeColor="text1"/>
                <w14:textFill>
                  <w14:solidFill>
                    <w14:schemeClr w14:val="tx1"/>
                  </w14:solidFill>
                </w14:textFill>
              </w:rPr>
              <w:t>%的合同金额；</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jc w:val="left"/>
              <w:outlineLvl w:val="9"/>
              <w:rPr>
                <w:rFonts w:hint="eastAsia" w:ascii="宋体" w:hAnsi="宋体" w:cs="宋体"/>
                <w:color w:val="000000" w:themeColor="text1"/>
                <w:lang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3）</w:t>
            </w:r>
            <w:r>
              <w:rPr>
                <w:rFonts w:hint="eastAsia" w:ascii="宋体" w:hAnsi="宋体" w:cs="宋体"/>
                <w:color w:val="000000" w:themeColor="text1"/>
                <w14:textFill>
                  <w14:solidFill>
                    <w14:schemeClr w14:val="tx1"/>
                  </w14:solidFill>
                </w14:textFill>
              </w:rPr>
              <w:t>项目通过专项验收后，采购人支付中标人</w:t>
            </w:r>
            <w:r>
              <w:rPr>
                <w:rFonts w:hint="eastAsia" w:ascii="宋体" w:hAnsi="宋体" w:cs="宋体"/>
                <w:color w:val="000000" w:themeColor="text1"/>
                <w:lang w:val="en-US" w:eastAsia="zh-CN"/>
                <w14:textFill>
                  <w14:solidFill>
                    <w14:schemeClr w14:val="tx1"/>
                  </w14:solidFill>
                </w14:textFill>
              </w:rPr>
              <w:t>45</w:t>
            </w:r>
            <w:r>
              <w:rPr>
                <w:rFonts w:hint="eastAsia" w:ascii="宋体" w:hAnsi="宋体" w:cs="宋体"/>
                <w:color w:val="000000" w:themeColor="text1"/>
                <w14:textFill>
                  <w14:solidFill>
                    <w14:schemeClr w14:val="tx1"/>
                  </w14:solidFill>
                </w14:textFill>
              </w:rPr>
              <w:t>%的合同金额</w:t>
            </w:r>
            <w:r>
              <w:rPr>
                <w:rFonts w:hint="eastAsia" w:ascii="宋体" w:hAnsi="宋体" w:cs="宋体"/>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jc w:val="left"/>
              <w:outlineLvl w:val="9"/>
              <w:rPr>
                <w:rFonts w:hint="eastAsia" w:ascii="宋体" w:hAnsi="宋体" w:eastAsia="宋体" w:cs="宋体"/>
                <w:kern w:val="2"/>
                <w:sz w:val="21"/>
                <w:szCs w:val="21"/>
                <w:highlight w:val="none"/>
                <w:lang w:val="en-US" w:eastAsia="zh-CN" w:bidi="ar-SA"/>
              </w:rPr>
            </w:pPr>
            <w:r>
              <w:rPr>
                <w:rFonts w:hint="eastAsia" w:ascii="宋体" w:hAnsi="宋体" w:cs="宋体"/>
                <w:color w:val="000000" w:themeColor="text1"/>
                <w:lang w:val="en-US" w:eastAsia="zh-CN"/>
                <w14:textFill>
                  <w14:solidFill>
                    <w14:schemeClr w14:val="tx1"/>
                  </w14:solidFill>
                </w14:textFill>
              </w:rPr>
              <w:t>4）项目通过竣工验收后，</w:t>
            </w:r>
            <w:r>
              <w:rPr>
                <w:rFonts w:hint="eastAsia" w:ascii="宋体" w:hAnsi="宋体" w:cs="宋体"/>
                <w:color w:val="000000" w:themeColor="text1"/>
                <w14:textFill>
                  <w14:solidFill>
                    <w14:schemeClr w14:val="tx1"/>
                  </w14:solidFill>
                </w14:textFill>
              </w:rPr>
              <w:t>采购人支付中标人</w:t>
            </w:r>
            <w:r>
              <w:rPr>
                <w:rFonts w:hint="eastAsia" w:ascii="宋体" w:hAnsi="宋体" w:cs="宋体"/>
                <w:color w:val="000000" w:themeColor="text1"/>
                <w:lang w:val="en-US" w:eastAsia="zh-CN"/>
                <w14:textFill>
                  <w14:solidFill>
                    <w14:schemeClr w14:val="tx1"/>
                  </w14:solidFill>
                </w14:textFill>
              </w:rPr>
              <w:t>5</w:t>
            </w:r>
            <w:r>
              <w:rPr>
                <w:rFonts w:hint="eastAsia" w:ascii="宋体" w:hAnsi="宋体" w:cs="宋体"/>
                <w:color w:val="000000" w:themeColor="text1"/>
                <w14:textFill>
                  <w14:solidFill>
                    <w14:schemeClr w14:val="tx1"/>
                  </w14:solidFill>
                </w14:textFill>
              </w:rPr>
              <w:t>%的合同金额</w:t>
            </w:r>
            <w:r>
              <w:rPr>
                <w:rFonts w:hint="eastAsia" w:ascii="宋体" w:hAnsi="宋体" w:cs="宋体"/>
                <w:color w:val="000000" w:themeColor="text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baseline"/>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5、质保期</w:t>
            </w:r>
            <w:r>
              <w:rPr>
                <w:rFonts w:hint="eastAsia" w:ascii="宋体" w:hAnsi="宋体" w:eastAsia="宋体" w:cs="宋体"/>
                <w:b/>
                <w:bCs/>
                <w:color w:val="auto"/>
                <w:sz w:val="21"/>
                <w:szCs w:val="21"/>
                <w:highlight w:val="none"/>
                <w:lang w:eastAsia="zh-CN"/>
              </w:rPr>
              <w:t>（免费维护期）</w:t>
            </w:r>
          </w:p>
        </w:tc>
        <w:tc>
          <w:tcPr>
            <w:tcW w:w="7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1、由中标人提供软件开发、测试、调试、维护服务，免费维护期</w:t>
            </w:r>
            <w:r>
              <w:rPr>
                <w:rFonts w:hint="eastAsia" w:ascii="宋体" w:hAnsi="宋体" w:eastAsia="宋体" w:cs="宋体"/>
                <w:color w:val="auto"/>
                <w:sz w:val="21"/>
                <w:szCs w:val="21"/>
                <w:highlight w:val="none"/>
                <w:lang w:val="en-US" w:eastAsia="zh-CN"/>
              </w:rPr>
              <w:t>不少于1</w:t>
            </w:r>
            <w:r>
              <w:rPr>
                <w:rFonts w:hint="eastAsia" w:ascii="宋体" w:hAnsi="宋体" w:eastAsia="宋体" w:cs="宋体"/>
                <w:color w:val="auto"/>
                <w:sz w:val="21"/>
                <w:szCs w:val="21"/>
                <w:highlight w:val="none"/>
              </w:rPr>
              <w:t>年。</w:t>
            </w:r>
          </w:p>
          <w:p>
            <w:pPr>
              <w:keepNext w:val="0"/>
              <w:keepLines w:val="0"/>
              <w:pageBreakBefore w:val="0"/>
              <w:widowControl w:val="0"/>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2、本次项目涉及成品软件采购</w:t>
            </w:r>
            <w:r>
              <w:rPr>
                <w:rFonts w:hint="eastAsia" w:ascii="宋体" w:hAnsi="宋体" w:eastAsia="宋体" w:cs="宋体"/>
                <w:color w:val="auto"/>
                <w:sz w:val="21"/>
                <w:szCs w:val="21"/>
                <w:highlight w:val="none"/>
                <w:lang w:val="en-US" w:eastAsia="zh-CN"/>
              </w:rPr>
              <w:t>部分</w:t>
            </w:r>
            <w:r>
              <w:rPr>
                <w:rFonts w:hint="eastAsia" w:ascii="宋体" w:hAnsi="宋体" w:eastAsia="宋体" w:cs="宋体"/>
                <w:color w:val="auto"/>
                <w:sz w:val="21"/>
                <w:szCs w:val="21"/>
                <w:highlight w:val="none"/>
              </w:rPr>
              <w:t>，需提供原厂商年软件原厂服务。保修和售后维护服务时间从项目终验之日起计算。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baseline"/>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、免费维修的响应期限</w:t>
            </w:r>
          </w:p>
        </w:tc>
        <w:tc>
          <w:tcPr>
            <w:tcW w:w="7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outlineLvl w:val="9"/>
              <w:rPr>
                <w:rFonts w:hint="eastAsia" w:ascii="宋体" w:hAnsi="宋体" w:eastAsia="宋体" w:cs="宋体"/>
                <w:kern w:val="2"/>
                <w:sz w:val="21"/>
                <w:szCs w:val="21"/>
                <w:lang w:val="en-US" w:eastAsia="zh-CN" w:bidi="ar-SA"/>
              </w:rPr>
            </w:pPr>
            <w:r>
              <w:rPr>
                <w:rFonts w:hint="eastAsia" w:ascii="宋体" w:hAnsi="宋体" w:eastAsia="宋体" w:cs="宋体"/>
                <w:sz w:val="21"/>
                <w:szCs w:val="21"/>
              </w:rPr>
              <w:t>质保期内，在接到故障通知后，</w:t>
            </w:r>
            <w:r>
              <w:rPr>
                <w:rFonts w:hint="eastAsia" w:ascii="宋体" w:hAnsi="宋体" w:eastAsia="宋体" w:cs="宋体"/>
                <w:sz w:val="21"/>
                <w:szCs w:val="21"/>
                <w:lang w:val="en-US" w:eastAsia="zh-CN"/>
              </w:rPr>
              <w:t>供应商</w:t>
            </w:r>
            <w:r>
              <w:rPr>
                <w:rFonts w:hint="eastAsia" w:ascii="宋体" w:hAnsi="宋体" w:eastAsia="宋体" w:cs="宋体"/>
                <w:sz w:val="21"/>
                <w:szCs w:val="21"/>
              </w:rPr>
              <w:t>必须在30分钟内响应。对于影响正常运行的严重故障，</w:t>
            </w:r>
            <w:r>
              <w:rPr>
                <w:rFonts w:hint="eastAsia" w:ascii="宋体" w:hAnsi="宋体" w:eastAsia="宋体" w:cs="宋体"/>
                <w:sz w:val="21"/>
                <w:szCs w:val="21"/>
                <w:lang w:val="en-US" w:eastAsia="zh-CN"/>
              </w:rPr>
              <w:t>供应商的</w:t>
            </w:r>
            <w:r>
              <w:rPr>
                <w:rFonts w:hint="eastAsia" w:ascii="宋体" w:hAnsi="宋体" w:eastAsia="宋体" w:cs="宋体"/>
                <w:sz w:val="21"/>
                <w:szCs w:val="21"/>
              </w:rPr>
              <w:t>工程师及其它相关技术人员必须在在接到故障通知后2小时内赶到现场，查找原因，提出解决方案，并工作直至故障修妥完全恢复正常服务为止，一般要求保证系统在6小时之内修复，并需要提供确保承诺实现的措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baseline"/>
              <w:outlineLvl w:val="9"/>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、验收</w:t>
            </w:r>
            <w:r>
              <w:rPr>
                <w:rFonts w:hint="eastAsia" w:ascii="宋体" w:hAnsi="宋体" w:eastAsia="宋体" w:cs="宋体"/>
                <w:b/>
                <w:bCs/>
                <w:color w:val="auto"/>
                <w:sz w:val="21"/>
                <w:szCs w:val="21"/>
                <w:highlight w:val="none"/>
                <w:lang w:val="en-US" w:eastAsia="zh-CN"/>
              </w:rPr>
              <w:t>要求</w:t>
            </w:r>
          </w:p>
        </w:tc>
        <w:tc>
          <w:tcPr>
            <w:tcW w:w="7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baseline"/>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按照工期要求完成合同约定的调研、设计、开发、调试、测试各项工作后，由</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书面提出专项初验申请，经监理及</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审批通过后，由</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组织专项初步验收。专项初步验收通过之日起进入试运行阶段，正常试运行三个月后，由</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书面提请专项验收，经监理及</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审批通过后，由</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组织专项验收。</w:t>
            </w:r>
            <w:r>
              <w:rPr>
                <w:rFonts w:hint="eastAsia" w:ascii="宋体" w:hAnsi="宋体" w:cs="宋体"/>
                <w:color w:val="auto"/>
                <w:sz w:val="21"/>
                <w:szCs w:val="21"/>
                <w:highlight w:val="none"/>
                <w:lang w:val="en-US" w:eastAsia="zh-CN"/>
              </w:rPr>
              <w:t>注：本项目可能存在多次验收，中标人需无条件响应采购人实际验收要求。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baseline"/>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知识产权</w:t>
            </w:r>
          </w:p>
        </w:tc>
        <w:tc>
          <w:tcPr>
            <w:tcW w:w="7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本项目应用软件定制开发部分，知识产权归属</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所有。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baseline"/>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、其他说明</w:t>
            </w:r>
          </w:p>
        </w:tc>
        <w:tc>
          <w:tcPr>
            <w:tcW w:w="7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1、本招标所提的要求仅为主要要求，不应作为完整的详细的要求；</w:t>
            </w:r>
          </w:p>
          <w:p>
            <w:pPr>
              <w:keepNext w:val="0"/>
              <w:keepLines w:val="0"/>
              <w:pageBreakBefore w:val="0"/>
              <w:widowControl w:val="0"/>
              <w:kinsoku/>
              <w:wordWrap/>
              <w:overflowPunct/>
              <w:topLinePunct w:val="0"/>
              <w:autoSpaceDE/>
              <w:autoSpaceDN/>
              <w:bidi w:val="0"/>
              <w:adjustRightInd/>
              <w:snapToGrid/>
              <w:spacing w:line="360" w:lineRule="auto"/>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2、供应商应对投标材料的一切专利承担责任，并负责保护采购人的利益不受损害；一切由于文字、商标和技术专利侵权引起的法律裁决、诉讼及其费用均与采购人无关。</w:t>
            </w:r>
          </w:p>
        </w:tc>
      </w:tr>
    </w:tbl>
    <w:p>
      <w:pPr>
        <w:pageBreakBefore w:val="0"/>
        <w:kinsoku/>
        <w:overflowPunct/>
        <w:bidi w:val="0"/>
        <w:outlineLvl w:val="9"/>
        <w:rPr>
          <w:rFonts w:hint="eastAsia" w:ascii="宋体" w:hAnsi="宋体" w:cs="宋体"/>
          <w:b/>
          <w:color w:val="auto"/>
          <w:highlight w:val="none"/>
        </w:rPr>
      </w:pPr>
      <w:r>
        <w:rPr>
          <w:rFonts w:hint="eastAsia" w:ascii="宋体" w:hAnsi="宋体" w:cs="宋体"/>
          <w:b/>
          <w:color w:val="auto"/>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宋体" w:hAnsi="宋体" w:eastAsia="宋体" w:cs="宋体"/>
          <w:b/>
          <w:color w:val="auto"/>
          <w:szCs w:val="21"/>
          <w:highlight w:val="none"/>
          <w:lang w:val="en-US" w:eastAsia="zh-CN"/>
        </w:rPr>
      </w:pPr>
      <w:r>
        <w:rPr>
          <w:rFonts w:hint="eastAsia" w:ascii="宋体" w:hAnsi="宋体" w:cs="宋体"/>
          <w:b/>
          <w:color w:val="auto"/>
          <w:highlight w:val="none"/>
        </w:rPr>
        <w:t>二、</w:t>
      </w:r>
      <w:r>
        <w:rPr>
          <w:rFonts w:hint="eastAsia" w:ascii="宋体" w:hAnsi="宋体" w:cs="宋体"/>
          <w:b/>
          <w:color w:val="auto"/>
          <w:szCs w:val="21"/>
          <w:highlight w:val="none"/>
          <w:lang w:val="en-US" w:eastAsia="zh-CN"/>
        </w:rPr>
        <w:t>技术要求</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default" w:ascii="宋体" w:hAnsi="宋体" w:eastAsia="宋体" w:cs="Times New Roman"/>
          <w:b/>
          <w:bCs w:val="0"/>
          <w:color w:val="auto"/>
          <w:kern w:val="0"/>
          <w:sz w:val="24"/>
          <w:szCs w:val="24"/>
          <w:highlight w:val="none"/>
          <w:lang w:val="en-US" w:eastAsia="zh-CN"/>
        </w:rPr>
      </w:pPr>
      <w:r>
        <w:rPr>
          <w:rFonts w:hint="eastAsia" w:ascii="宋体" w:hAnsi="宋体" w:cs="Times New Roman"/>
          <w:b/>
          <w:bCs w:val="0"/>
          <w:color w:val="auto"/>
          <w:kern w:val="0"/>
          <w:sz w:val="24"/>
          <w:szCs w:val="24"/>
          <w:highlight w:val="none"/>
          <w:lang w:val="en-US" w:eastAsia="zh-CN"/>
        </w:rPr>
        <w:t>标项一：天一阁·月湖景区数字孪生综合系统建设</w:t>
      </w:r>
    </w:p>
    <w:tbl>
      <w:tblPr>
        <w:tblStyle w:val="36"/>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475"/>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序号</w:t>
            </w:r>
          </w:p>
        </w:tc>
        <w:tc>
          <w:tcPr>
            <w:tcW w:w="74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技术要求</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1</w:t>
            </w:r>
          </w:p>
        </w:tc>
        <w:tc>
          <w:tcPr>
            <w:tcW w:w="74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b/>
                <w:bCs/>
                <w:sz w:val="21"/>
                <w:szCs w:val="21"/>
              </w:rPr>
              <w:t>建设内容</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74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9"/>
              <w:rPr>
                <w:rFonts w:hint="eastAsia" w:ascii="宋体" w:hAnsi="宋体" w:eastAsia="宋体" w:cs="宋体"/>
                <w:b/>
                <w:bCs/>
                <w:sz w:val="21"/>
                <w:szCs w:val="21"/>
              </w:rPr>
            </w:pPr>
            <w:r>
              <w:rPr>
                <w:rFonts w:hint="eastAsia" w:ascii="宋体" w:hAnsi="宋体" w:eastAsia="宋体" w:cs="宋体"/>
                <w:sz w:val="21"/>
                <w:szCs w:val="21"/>
              </w:rPr>
              <w:t>软件开发：包括景区服务应用、服务管理系统、景区服务移动端；</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74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应用支撑系统建设：VR漫游引擎建设、数字孪生公共服务组件建设、游客码模块建设；</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74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数据资源建设：文化拾遗数据采集、景区室外数据采集、景区室内数据采集、景区POI数据采集及相应的数据库建库；数据接入及数据接口等。</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bCs/>
                <w:sz w:val="21"/>
                <w:szCs w:val="21"/>
                <w:highlight w:val="yellow"/>
              </w:rPr>
            </w:pPr>
            <w:r>
              <w:rPr>
                <w:rFonts w:hint="eastAsia" w:ascii="宋体" w:hAnsi="宋体" w:eastAsia="宋体" w:cs="宋体"/>
                <w:b/>
                <w:bCs/>
                <w:sz w:val="21"/>
                <w:szCs w:val="21"/>
              </w:rPr>
              <w:t>2</w:t>
            </w:r>
          </w:p>
        </w:tc>
        <w:tc>
          <w:tcPr>
            <w:tcW w:w="74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9"/>
              <w:rPr>
                <w:rFonts w:hint="eastAsia" w:ascii="宋体" w:hAnsi="宋体" w:eastAsia="宋体" w:cs="宋体"/>
                <w:b/>
                <w:bCs/>
                <w:sz w:val="21"/>
                <w:szCs w:val="21"/>
                <w:highlight w:val="yellow"/>
              </w:rPr>
            </w:pPr>
            <w:r>
              <w:rPr>
                <w:rFonts w:hint="eastAsia" w:ascii="宋体" w:hAnsi="宋体" w:eastAsia="宋体" w:cs="宋体"/>
                <w:b/>
                <w:bCs/>
                <w:sz w:val="21"/>
                <w:szCs w:val="21"/>
              </w:rPr>
              <w:t>软件开发技术需求</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2.1</w:t>
            </w:r>
          </w:p>
        </w:tc>
        <w:tc>
          <w:tcPr>
            <w:tcW w:w="74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rPr>
              <w:t>景区服务应用</w:t>
            </w:r>
            <w:r>
              <w:rPr>
                <w:rFonts w:hint="eastAsia" w:ascii="宋体" w:hAnsi="宋体" w:eastAsia="宋体" w:cs="宋体"/>
                <w:b/>
                <w:bCs/>
                <w:sz w:val="21"/>
                <w:szCs w:val="21"/>
                <w:lang w:eastAsia="zh-CN"/>
              </w:rPr>
              <w:t>：基于数字孪生技术，开发景区服务应用WEB端，方便群众通过电脑直观体验景区全貌，给用户有种身临其境的感觉。将景区导览电子化、智能化，并且具有全程真人自动语音讲解，让游客获得全面、丰富的导游导览服务。包括景区数字看板、导游导览一键通、初级AI客服、虚拟游戏间、文化拾遗、文化传播、文化商城等功能模块。</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2.1.1</w:t>
            </w:r>
          </w:p>
        </w:tc>
        <w:tc>
          <w:tcPr>
            <w:tcW w:w="74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景区数字看板</w:t>
            </w:r>
            <w:r>
              <w:rPr>
                <w:rFonts w:hint="eastAsia" w:ascii="宋体" w:hAnsi="宋体" w:eastAsia="宋体" w:cs="宋体"/>
                <w:b w:val="0"/>
                <w:bCs w:val="0"/>
                <w:sz w:val="21"/>
                <w:szCs w:val="21"/>
                <w:lang w:eastAsia="zh-CN"/>
              </w:rPr>
              <w:t>：将景区相关数据叠加在三维数字孪生地图之上，将景区的各类数据信息、景区服务信息、视频资源等按需集中展示，提供数字孪生服务门户，形成数据可视化系统，包括实景点分布、景区客流量展示、景区综合服务、景区全景展示等功能。</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2.1.2</w:t>
            </w:r>
          </w:p>
        </w:tc>
        <w:tc>
          <w:tcPr>
            <w:tcW w:w="74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导游导览一键通：线上获取一对一的智慧导游导览服务，满足游客对景区信息查找需求，实现全景展示、语音讲解、路线规划、信息传递、停车场导览、预约一条龙、景点沉浸游等一体化导览服务，包括内容推荐、景点推荐、门票服务、住宿服务、餐饮服务、实时行程、服务评价、体验分享等功能。</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2.1.3</w:t>
            </w:r>
          </w:p>
        </w:tc>
        <w:tc>
          <w:tcPr>
            <w:tcW w:w="74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初级AI客服：借助AI技术提供的智能虚拟人及其视频生产与编辑云服务平台，基于用户定位，依托三维地图，为游客提供服务，包括参观导览、讲解服务、社教服务、专题知识服务、文创体验等功能。</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2.1.4</w:t>
            </w:r>
          </w:p>
        </w:tc>
        <w:tc>
          <w:tcPr>
            <w:tcW w:w="74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虚拟游戏间：通过三维建模将与景区相关的历史名人的典故事件与实际景区场景进行融合，通过在不同的景点可以触发特定的交互事件。包括场景构建、融合渲染、人机交互等功能。</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2.1.5</w:t>
            </w:r>
          </w:p>
        </w:tc>
        <w:tc>
          <w:tcPr>
            <w:tcW w:w="74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文化拾遗：根据真实展馆进行1：1还原，构建线上数字文化展馆，展馆内文物、展品、图文介绍采集为高分辨率图像，数字展馆内热点区域支持交互式浏览，也为后续历史文化资源的数字化上墙提供相应的服务。</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2.1.6</w:t>
            </w:r>
          </w:p>
        </w:tc>
        <w:tc>
          <w:tcPr>
            <w:tcW w:w="74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文化传播：在数字孪生服务应用嵌入主流第三方直播平台，为游客到馆前，提供信息推送、咨询、活动参与等网上直播服务。</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2.1.7</w:t>
            </w:r>
          </w:p>
        </w:tc>
        <w:tc>
          <w:tcPr>
            <w:tcW w:w="74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文化商城：开发景区特色文化网上商城，为游客提供线上商品选购、下单、购买等服务，打通第三方支付通道，搭建线上支付方式。</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2.2</w:t>
            </w:r>
          </w:p>
        </w:tc>
        <w:tc>
          <w:tcPr>
            <w:tcW w:w="74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服务管理系统：对接浙政钉和浙江政务服务网用户身份认证等系统，实现对用户信息的统一管理，集中统一的系统用户信息，以及对景区服务应用进行统一维护管理。包括用户管理及系统管理等功能模块。</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2.2.1</w:t>
            </w:r>
          </w:p>
        </w:tc>
        <w:tc>
          <w:tcPr>
            <w:tcW w:w="74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用户管理：对接浙政钉和浙江政务服务网用户身份认证等系统，实现对用户信息的统一管理，集中统一的系统用户信息，为所有用户在综合服务应用平台内所有场景建立统一的认证，使用户使用统一账号密码登录系统；集中管理所有应用授权信息。</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2.2.2</w:t>
            </w:r>
          </w:p>
        </w:tc>
        <w:tc>
          <w:tcPr>
            <w:tcW w:w="74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系统管理：实现对景区信息进行统一维护管理，为初级AI客服、文化拾遗场景、路线推荐等提供管理，涉及商品、资源、公告等内容，包括支持信息新增、语音编辑、图片编辑、编辑修改、删除功能。包括商品管理、初级AI客服管理、订单管理、文化拾遗信息管理、全景资源管理、3D建模资源管理、文化景点发布管理、文化专题管理及日志管理等功能。</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2.3</w:t>
            </w:r>
          </w:p>
        </w:tc>
        <w:tc>
          <w:tcPr>
            <w:tcW w:w="74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景区服务移动端：基于浙里办开发景区服务应用，通过手机在浙里办中获取相关的服务，实现线上游玩的功能。</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3</w:t>
            </w:r>
          </w:p>
        </w:tc>
        <w:tc>
          <w:tcPr>
            <w:tcW w:w="74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应用支撑系统技术需求</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3.1</w:t>
            </w:r>
          </w:p>
        </w:tc>
        <w:tc>
          <w:tcPr>
            <w:tcW w:w="74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VR漫游引擎建设</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3.1.1</w:t>
            </w:r>
          </w:p>
        </w:tc>
        <w:tc>
          <w:tcPr>
            <w:tcW w:w="74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对景区三维数字孪生地图进行重构，实现VR场景中的接口封装、模型渲染、场景构建等功能对景区进行虚拟可视化展示，支持进行高精度模型的光影优化及实时渲染，保证模型的流畅体验及细腻视觉感受；场景支持基于物理材质的实时光影渲染，包括金属度、粗糙度、高光强度、自发光、法向等物理参数都可以真实在引擎中体现材质的动态渲染模拟；支持日夜景模拟、支持按时间维度的光照角度、强度模拟；含实时光影渲染模块；支持通过实时光照系数的参照，对光照效果进行还原。支持天气效果模拟，如晴、云、雾、雨、雪、雷暴等天气。包括虚拟场景构建、虚拟场景交互、定制界面功能、接口封装等功能模块。</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3.2</w:t>
            </w:r>
          </w:p>
        </w:tc>
        <w:tc>
          <w:tcPr>
            <w:tcW w:w="74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数字孪生公共服务组件建设</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3.2.1</w:t>
            </w:r>
          </w:p>
        </w:tc>
        <w:tc>
          <w:tcPr>
            <w:tcW w:w="74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开发数字孪生公共服务组件，为不同的文旅服务相关平台提供标准化的相关数据需求对接服务及三维引擎组件服务。支持与文广旅下属企业、第三方旅游业企业等的相关服务平台对接，实现业务和数据的互联互通。包括三维引擎需求对接组件、数据接口封装、需求审批对接组件、服务配置管理等功能模块。</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3.3</w:t>
            </w:r>
          </w:p>
        </w:tc>
        <w:tc>
          <w:tcPr>
            <w:tcW w:w="74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游客码模块建设</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3.3.1</w:t>
            </w:r>
          </w:p>
        </w:tc>
        <w:tc>
          <w:tcPr>
            <w:tcW w:w="74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通过获取来自健康码数据、行程码数据、场所码数据与文旅系统（票仓系统、文旅数据协同仓）的支付码、订单信息等数据集合成游客码，使游客可通过游客码实现一码在景区、住宿消费、餐饮、购物等消费。</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4</w:t>
            </w:r>
          </w:p>
        </w:tc>
        <w:tc>
          <w:tcPr>
            <w:tcW w:w="74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数据资源建设技术要求</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4.1</w:t>
            </w:r>
          </w:p>
        </w:tc>
        <w:tc>
          <w:tcPr>
            <w:tcW w:w="74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文化拾遗数据采集：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30套六大主题的年代影像资料采集，并制作3部短视频，含影像授权包括历史资料收集、根据场馆特殊构建虚拟展馆模型或进行线下实体展馆复刻等数据，包括数据建库等工作。</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4.2</w:t>
            </w:r>
          </w:p>
        </w:tc>
        <w:tc>
          <w:tcPr>
            <w:tcW w:w="74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景区室外数据采集：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对天一阁·月湖景区内全景、主建筑及街道周边环境进行倾斜数据采集，并对数据进行三维建模，包括数据预处理、实景三维模型建立等工作，外立面精度优于10cm，包括数据建库等工作。</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4.3</w:t>
            </w:r>
          </w:p>
        </w:tc>
        <w:tc>
          <w:tcPr>
            <w:tcW w:w="74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景区室内数据采集：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对天一阁·月湖景区不少于5000㎡（立体面）的景区室内数据进行采集，采集精度优于5cm，包括数据建库等工作。</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4.4</w:t>
            </w:r>
          </w:p>
        </w:tc>
        <w:tc>
          <w:tcPr>
            <w:tcW w:w="74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文物基础数据采集：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市本级40处文保点文物基础数据（文物巡检记录、文物体检数据、文物整治数据等）的采集工作；基础数据采集，非激光，三防数据采集及结构数据，包括数据建库等工作。</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4.5</w:t>
            </w:r>
          </w:p>
        </w:tc>
        <w:tc>
          <w:tcPr>
            <w:tcW w:w="74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景区POI数据采集：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天一阁·月湖景区内及景区周边的停车场、住宿、餐饮、购物等空间位置数据和属性数据采集。景区内视频监控点位的空间位置数据和属性数据采集，包括数据建库等工作。</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4.6</w:t>
            </w:r>
          </w:p>
        </w:tc>
        <w:tc>
          <w:tcPr>
            <w:tcW w:w="74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数据接入：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原有文物档案数据、海曙区与鄞州区文物安全体检数据、文保巡查等数据接入工作。</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4.7</w:t>
            </w:r>
          </w:p>
        </w:tc>
        <w:tc>
          <w:tcPr>
            <w:tcW w:w="74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数据接口：</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包括数据协同仓接口、票仓系统接口、一馆一景系统接口、天一阁业务系统及宁波市智能公共数据平台接口对接。</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rPr>
            </w:pPr>
          </w:p>
        </w:tc>
      </w:tr>
    </w:tbl>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Times New Roman"/>
          <w:bCs/>
          <w:color w:val="auto"/>
          <w:kern w:val="0"/>
          <w:sz w:val="21"/>
          <w:szCs w:val="21"/>
          <w:highlight w:val="none"/>
          <w:lang w:val="en-US" w:eastAsia="zh-CN"/>
        </w:rPr>
      </w:pPr>
    </w:p>
    <w:p>
      <w:pPr>
        <w:pageBreakBefore w:val="0"/>
        <w:kinsoku/>
        <w:overflowPunct/>
        <w:bidi w:val="0"/>
        <w:outlineLvl w:val="9"/>
        <w:rPr>
          <w:rFonts w:hint="eastAsia" w:ascii="宋体" w:hAnsi="宋体" w:eastAsia="宋体" w:cs="Times New Roman"/>
          <w:bCs/>
          <w:color w:val="auto"/>
          <w:kern w:val="0"/>
          <w:sz w:val="21"/>
          <w:szCs w:val="21"/>
          <w:highlight w:val="none"/>
          <w:lang w:val="en-US" w:eastAsia="zh-CN"/>
        </w:rPr>
      </w:pPr>
      <w:r>
        <w:rPr>
          <w:rFonts w:hint="eastAsia" w:ascii="宋体" w:hAnsi="宋体" w:eastAsia="宋体" w:cs="Times New Roman"/>
          <w:bCs/>
          <w:color w:val="auto"/>
          <w:kern w:val="0"/>
          <w:sz w:val="21"/>
          <w:szCs w:val="21"/>
          <w:highlight w:val="none"/>
          <w:lang w:val="en-US" w:eastAsia="zh-CN"/>
        </w:rPr>
        <w:br w:type="page"/>
      </w:r>
    </w:p>
    <w:p>
      <w:pPr>
        <w:pStyle w:val="117"/>
        <w:pageBreakBefore w:val="0"/>
        <w:kinsoku/>
        <w:overflowPunct/>
        <w:bidi w:val="0"/>
        <w:outlineLvl w:val="9"/>
        <w:rPr>
          <w:rFonts w:hint="eastAsia" w:ascii="宋体" w:hAnsi="宋体" w:eastAsia="宋体" w:cs="宋体"/>
          <w:b/>
          <w:bCs/>
          <w:lang w:val="en-US" w:eastAsia="zh-CN"/>
        </w:rPr>
      </w:pPr>
      <w:r>
        <w:rPr>
          <w:rFonts w:hint="eastAsia" w:ascii="宋体" w:hAnsi="宋体" w:eastAsia="宋体" w:cs="宋体"/>
          <w:b/>
          <w:bCs/>
          <w:lang w:val="en-US" w:eastAsia="zh-CN"/>
        </w:rPr>
        <w:t>标项二：文物安全智治系统建设</w:t>
      </w:r>
    </w:p>
    <w:tbl>
      <w:tblPr>
        <w:tblStyle w:val="36"/>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7220"/>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序号</w:t>
            </w:r>
          </w:p>
        </w:tc>
        <w:tc>
          <w:tcPr>
            <w:tcW w:w="72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技术要求</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w:t>
            </w:r>
          </w:p>
        </w:tc>
        <w:tc>
          <w:tcPr>
            <w:tcW w:w="72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建设内容</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w:t>
            </w:r>
          </w:p>
        </w:tc>
        <w:tc>
          <w:tcPr>
            <w:tcW w:w="72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软件开发：文物安全智治系统建设、移动端建设。</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w:t>
            </w:r>
          </w:p>
        </w:tc>
        <w:tc>
          <w:tcPr>
            <w:tcW w:w="72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软件购置：国产化数据库、国产化中间件、国产化操作系统购置。</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0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w:t>
            </w:r>
          </w:p>
        </w:tc>
        <w:tc>
          <w:tcPr>
            <w:tcW w:w="72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标准体系建设：文物安全体检标准体系建设。</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2</w:t>
            </w:r>
          </w:p>
        </w:tc>
        <w:tc>
          <w:tcPr>
            <w:tcW w:w="72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软件开发技术需求</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2.1</w:t>
            </w:r>
          </w:p>
        </w:tc>
        <w:tc>
          <w:tcPr>
            <w:tcW w:w="72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文物安全智治系统建设：在现有平台的建设基础上，升级改造为宁波市文物安全智治系统。整体提升我市文化遗产基础信息系统、GIS系统、巡查系统、隐患处置系统、监测预警系统等功能；新建文物安全体检场景，制定体检标准，开发体检工具，形成体检报告、任务清单，与省平台相衔接，共享基础数据，共用功能模块。宁波市文物安全智治系统主要功能包括基础信息管理升级、文物安全体检工具、文物安全巡查升级、隐患处置任务闭环、文物安全三防管理、分析研判、后台管理、应用综合集成，以及相关数据接口的开发。</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2.1.1</w:t>
            </w:r>
          </w:p>
        </w:tc>
        <w:tc>
          <w:tcPr>
            <w:tcW w:w="72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基础信息管理</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2.1.1.1</w:t>
            </w:r>
          </w:p>
        </w:tc>
        <w:tc>
          <w:tcPr>
            <w:tcW w:w="72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为文物建立安全档案，按照文物“一库一图”的管理方式规范化、标准化管理文物资源总账薄，按照省文物局对国保、省保文保单位（点）数据标准规范要求，将宁波市原有系统中国保、省保文保单位（点）的表单进行标准化改造，并提供信息自动更新功能，支持增量信息更新，支持基于日志管理模块实现对用户操作记录的管理。包括基础信息同步、现有表单改造、安全体检数据管理、文物安全档案管理、文物体检风险清单管理等功能。</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2.1.1.2</w:t>
            </w:r>
          </w:p>
        </w:tc>
        <w:tc>
          <w:tcPr>
            <w:tcW w:w="72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9"/>
              <w:rPr>
                <w:rFonts w:hint="eastAsia" w:ascii="宋体" w:hAnsi="宋体" w:eastAsia="宋体" w:cs="宋体"/>
                <w:b w:val="0"/>
                <w:bCs w:val="0"/>
                <w:sz w:val="21"/>
                <w:szCs w:val="21"/>
                <w:highlight w:val="green"/>
                <w:lang w:val="en-US" w:eastAsia="zh-CN"/>
              </w:rPr>
            </w:pPr>
            <w:r>
              <w:rPr>
                <w:rFonts w:hint="eastAsia" w:ascii="宋体" w:hAnsi="宋体" w:eastAsia="宋体" w:cs="宋体"/>
                <w:b w:val="0"/>
                <w:bCs w:val="0"/>
                <w:sz w:val="21"/>
                <w:szCs w:val="21"/>
                <w:highlight w:val="none"/>
                <w:lang w:val="en-US" w:eastAsia="zh-CN"/>
              </w:rPr>
              <w:t>通过和省平台数据对接，建立省/市级平台数据同步机制，实现省平台和市级平台基础信息的实时稳定统一（同步平台，含且不仅于省市公共数据共享平台）。</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2.1.2</w:t>
            </w:r>
          </w:p>
        </w:tc>
        <w:tc>
          <w:tcPr>
            <w:tcW w:w="72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9"/>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文物安全体检工具</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2.1.2.1</w:t>
            </w:r>
          </w:p>
        </w:tc>
        <w:tc>
          <w:tcPr>
            <w:tcW w:w="72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9"/>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利用现行的体检标准对文保单位（文保点）逐一开展体检工作，形成出全省通用的、可复制的、细化的不可移动文物安全体检标准和开发一套文物安全体检工具。依据文物体检标准、体检流程和安全体检清单制定体检任务清单，利用文物安全体检工具开展体检工作，并将文物体检数据整理形成区域体检报告、四张清单后形成反馈，保证体检任务的闭环。包括文物体检任务接收与分派、文物体检标准管理、文物体检报告管理、文物安全体检勘察报告模板、文物安全体检数据分析、文物安全体检勘察报告生成、文物安全体检数据导出等功能。</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2.1.3</w:t>
            </w:r>
          </w:p>
        </w:tc>
        <w:tc>
          <w:tcPr>
            <w:tcW w:w="72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9"/>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文物安全巡查任务闭环</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2.1.3.1</w:t>
            </w:r>
          </w:p>
        </w:tc>
        <w:tc>
          <w:tcPr>
            <w:tcW w:w="72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9"/>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以文物巡查标准规范为依据，结合文物安全体检结果和文保员日常巡查数据为依据，生成文物巡查任务和巡查事项清单，并根据文物安全体检结果制定适用于每个文物巡查的表格，并将文物体检结果同步至省文物安全监管平台中。包括一物一表、巡查任务清单、日常巡查等功能。</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2.1.4</w:t>
            </w:r>
          </w:p>
        </w:tc>
        <w:tc>
          <w:tcPr>
            <w:tcW w:w="72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9"/>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隐患整改任务闭环</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2.1.4.1</w:t>
            </w:r>
          </w:p>
        </w:tc>
        <w:tc>
          <w:tcPr>
            <w:tcW w:w="72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9"/>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由宁波市文物安全智治系统中生成的隐患处置清单后，经过平台隐患处置任务筛选和推送功能，将隐患处置事件流转到协同部门。包括隐患处置任务下发、申诉受理核实、信息提醒、挂牌督办、处置反馈、处置跟踪、地图联动、文物安全分析、信息检索等功能。</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2.1.5</w:t>
            </w:r>
          </w:p>
        </w:tc>
        <w:tc>
          <w:tcPr>
            <w:tcW w:w="72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9"/>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绩效评估管理</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2.1.5.1</w:t>
            </w:r>
          </w:p>
        </w:tc>
        <w:tc>
          <w:tcPr>
            <w:tcW w:w="72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9"/>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针对不同层级的文物局（文保所），制定不同的绩效评估考核机制对其进行考核。</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2.1.5.2</w:t>
            </w:r>
          </w:p>
        </w:tc>
        <w:tc>
          <w:tcPr>
            <w:tcW w:w="72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9"/>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对区县文物局考核包括文物风险考核、文物巡查考核、文物隐患整治考核。</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2.1.5.3</w:t>
            </w:r>
          </w:p>
        </w:tc>
        <w:tc>
          <w:tcPr>
            <w:tcW w:w="72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9"/>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对文保所考核包括文保所巡查考核、文物隐患整治考核。对文保单位或文保所属企业考核包含文保安全隐患的识别辨识考核、文物隐患整治考核。</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2.1.6</w:t>
            </w:r>
          </w:p>
        </w:tc>
        <w:tc>
          <w:tcPr>
            <w:tcW w:w="72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9"/>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文物安全三防管理</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2.1.6.1</w:t>
            </w:r>
          </w:p>
        </w:tc>
        <w:tc>
          <w:tcPr>
            <w:tcW w:w="72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9"/>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实现对文物三防设备信息的专项管理，通过开发安防、消防等设备统一接口，实现文保单位相关的安防和消防设备实时运行状态和有关安全数据的接入，安、消防系统运行状态监测和预警，本次需完成文物三防数据的综合展示和管控分析功能。包括三防设备信息管理异常、安防系统集成展示、消防系统集成展示及三防数据综合集成展示等功能。</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2.1.7</w:t>
            </w:r>
          </w:p>
        </w:tc>
        <w:tc>
          <w:tcPr>
            <w:tcW w:w="72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9"/>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分析研判</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2.1.7.1</w:t>
            </w:r>
          </w:p>
        </w:tc>
        <w:tc>
          <w:tcPr>
            <w:tcW w:w="72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9"/>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基于文物基础数据、安全体检数据、巡查数据、隐患整治数据，构建多层次文物安全态势分析，以驾驶舱形式实现对重点时段安全风险趋势的全方位监管。包括辖区统计分析、文物风险态势分析、文物保护综合主题分析等功能。</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2.2</w:t>
            </w:r>
          </w:p>
        </w:tc>
        <w:tc>
          <w:tcPr>
            <w:tcW w:w="72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9"/>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移动端建设：移动端包括浙里办、浙政钉开发，需实现与省移动端的应用集成，统一集成到“数字文化——文物在线——文物安全——文物安全体检”中。</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2.2.1</w:t>
            </w:r>
          </w:p>
        </w:tc>
        <w:tc>
          <w:tcPr>
            <w:tcW w:w="72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9"/>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浙政钉：</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9"/>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对接浙政钉开放平台，主要包括文物基础信息查看、巡检任务查看（复用省移动端功能）、隐患信息查看、报表查看、体检工具（复用鄞州区移动端功能）等常用的管理端入口和关键任务信息。</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2.2.2</w:t>
            </w:r>
          </w:p>
        </w:tc>
        <w:tc>
          <w:tcPr>
            <w:tcW w:w="72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9"/>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浙里办：</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9"/>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通过对接浙里办实现包括文物基础信息查看、文物安全巡查（复用省移动端功能）、隐患信息查看、报表查看、体检工具复用鄞州区移动端功能）等常用的管理端入口和关键任务信息查看。</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3</w:t>
            </w:r>
          </w:p>
        </w:tc>
        <w:tc>
          <w:tcPr>
            <w:tcW w:w="72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9"/>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软件购置</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3.1</w:t>
            </w:r>
          </w:p>
        </w:tc>
        <w:tc>
          <w:tcPr>
            <w:tcW w:w="72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9"/>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国产化数据库</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3.1.1</w:t>
            </w:r>
          </w:p>
        </w:tc>
        <w:tc>
          <w:tcPr>
            <w:tcW w:w="72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9"/>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本次共采购3套，需具备数据存储、访问控制、身份鉴别、安全审计和数据备份恢复等功能。产品部署在服务器，以后台服务形式运行，数据库管理员及用户在管理主机上通过图形化管理工具或命令行工具可实现对数据对象（表、视图、约束、索引、触发器、存储过程等）的配置管理。开发人员可通过标准化数据库访问接口，开发基于数据库的应用系统和软件产品。</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w:t>
            </w:r>
          </w:p>
        </w:tc>
        <w:tc>
          <w:tcPr>
            <w:tcW w:w="72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9"/>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国产化WEB应用中间件</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3.2.1</w:t>
            </w:r>
          </w:p>
        </w:tc>
        <w:tc>
          <w:tcPr>
            <w:tcW w:w="72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9"/>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本次共采购1套，需具备WEB应用、EJB应用、虚拟主机、应用服务器集群、身份验证、日志审计等基本工作，提供类库管理、集成环境管理、图形化监控、JVM配置、垃圾回收配置等工具、支持实例部署、数据库连接服务，为业务系统提供运行环境。</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w:t>
            </w:r>
          </w:p>
        </w:tc>
        <w:tc>
          <w:tcPr>
            <w:tcW w:w="72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9"/>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国产化服务器操作系统</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3.3.1</w:t>
            </w:r>
          </w:p>
        </w:tc>
        <w:tc>
          <w:tcPr>
            <w:tcW w:w="72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9"/>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本次共采购8套，需具备文件管理、设备管理、用户管理、日志管理、服务管理、进程和监控管理、网络管理、资源管理、软件包管理、磁盘管理、安全中心等基本功能，提供语言支持工具、文件共享服务、集成开发平台、更新管理器、备份还原等常用工具，并提供本地和远程批量部署。</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0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w:t>
            </w:r>
          </w:p>
        </w:tc>
        <w:tc>
          <w:tcPr>
            <w:tcW w:w="7220" w:type="dxa"/>
            <w:tcBorders>
              <w:tl2br w:val="nil"/>
              <w:tr2bl w:val="nil"/>
            </w:tcBorders>
            <w:vAlign w:val="center"/>
          </w:tcPr>
          <w:p>
            <w:pPr>
              <w:pageBreakBefore w:val="0"/>
              <w:kinsoku/>
              <w:overflowPunct/>
              <w:bidi w:val="0"/>
              <w:adjustRightInd w:val="0"/>
              <w:snapToGrid w:val="0"/>
              <w:spacing w:line="360" w:lineRule="auto"/>
              <w:outlineLvl w:val="9"/>
              <w:rPr>
                <w:rFonts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标准体系建设要求：</w:t>
            </w:r>
          </w:p>
          <w:p>
            <w:pPr>
              <w:keepNext w:val="0"/>
              <w:keepLines w:val="0"/>
              <w:pageBreakBefore w:val="0"/>
              <w:widowControl w:val="0"/>
              <w:tabs>
                <w:tab w:val="left" w:pos="1890"/>
              </w:tabs>
              <w:kinsoku/>
              <w:wordWrap/>
              <w:overflowPunct/>
              <w:topLinePunct w:val="0"/>
              <w:autoSpaceDE/>
              <w:autoSpaceDN/>
              <w:bidi w:val="0"/>
              <w:adjustRightInd/>
              <w:snapToGrid/>
              <w:spacing w:line="360" w:lineRule="auto"/>
              <w:ind w:firstLine="0" w:firstLineChars="0"/>
              <w:jc w:val="both"/>
              <w:textAlignment w:val="auto"/>
              <w:outlineLvl w:val="9"/>
              <w:rPr>
                <w:rFonts w:hint="eastAsia" w:ascii="宋体" w:hAnsi="宋体" w:eastAsia="宋体" w:cs="宋体"/>
                <w:b w:val="0"/>
                <w:bCs w:val="0"/>
                <w:sz w:val="21"/>
                <w:szCs w:val="21"/>
                <w:highlight w:val="none"/>
                <w:lang w:val="en-US" w:eastAsia="zh-CN"/>
              </w:rPr>
            </w:pPr>
            <w:r>
              <w:rPr>
                <w:rFonts w:ascii="Times New Roman" w:hAnsi="Times New Roman" w:eastAsia="宋体" w:cs="Times New Roman"/>
                <w:sz w:val="21"/>
                <w:szCs w:val="21"/>
                <w:highlight w:val="none"/>
              </w:rPr>
              <w:t>基于</w:t>
            </w:r>
            <w:r>
              <w:rPr>
                <w:rFonts w:hint="eastAsia" w:ascii="Times New Roman" w:hAnsi="Times New Roman" w:eastAsia="宋体" w:cs="Times New Roman"/>
                <w:sz w:val="21"/>
                <w:szCs w:val="21"/>
                <w:highlight w:val="none"/>
              </w:rPr>
              <w:t>现有</w:t>
            </w:r>
            <w:r>
              <w:rPr>
                <w:rFonts w:ascii="Times New Roman" w:hAnsi="Times New Roman" w:eastAsia="宋体" w:cs="Times New Roman"/>
                <w:sz w:val="21"/>
                <w:szCs w:val="21"/>
                <w:highlight w:val="none"/>
              </w:rPr>
              <w:t>成果，结合浙江省和宁波市的文物安全总体管理要求，邀请相关专家论证、评审，形成宁波市文物安全体检标准体系</w:t>
            </w:r>
            <w:r>
              <w:rPr>
                <w:rFonts w:hint="eastAsia" w:ascii="Times New Roman" w:hAnsi="Times New Roman" w:eastAsia="宋体" w:cs="Times New Roman"/>
                <w:sz w:val="21"/>
                <w:szCs w:val="21"/>
                <w:highlight w:val="none"/>
              </w:rPr>
              <w:t>成果，需在省</w:t>
            </w:r>
            <w:r>
              <w:rPr>
                <w:rFonts w:hint="eastAsia" w:cs="Times New Roman"/>
                <w:sz w:val="21"/>
                <w:szCs w:val="21"/>
                <w:highlight w:val="none"/>
                <w:lang w:eastAsia="zh-CN"/>
              </w:rPr>
              <w:t>级期刊</w:t>
            </w:r>
            <w:r>
              <w:rPr>
                <w:rFonts w:hint="eastAsia" w:ascii="Times New Roman" w:hAnsi="Times New Roman" w:eastAsia="宋体" w:cs="Times New Roman"/>
                <w:sz w:val="21"/>
                <w:szCs w:val="21"/>
                <w:highlight w:val="none"/>
              </w:rPr>
              <w:t>发布</w:t>
            </w:r>
            <w:r>
              <w:rPr>
                <w:rFonts w:ascii="Times New Roman" w:hAnsi="Times New Roman" w:eastAsia="宋体" w:cs="Times New Roman"/>
                <w:sz w:val="21"/>
                <w:szCs w:val="21"/>
                <w:highlight w:val="none"/>
              </w:rPr>
              <w:t>。</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bCs/>
                <w:sz w:val="21"/>
                <w:szCs w:val="21"/>
                <w:lang w:val="en-US" w:eastAsia="zh-CN"/>
              </w:rPr>
            </w:pPr>
          </w:p>
        </w:tc>
      </w:tr>
    </w:tbl>
    <w:p>
      <w:pPr>
        <w:pageBreakBefore w:val="0"/>
        <w:kinsoku/>
        <w:overflowPunct/>
        <w:bidi w:val="0"/>
        <w:outlineLvl w:val="9"/>
        <w:rPr>
          <w:rFonts w:hint="eastAsia" w:ascii="宋体" w:hAnsi="宋体" w:eastAsia="宋体" w:cs="Times New Roman"/>
          <w:bCs/>
          <w:color w:val="auto"/>
          <w:kern w:val="0"/>
          <w:sz w:val="21"/>
          <w:szCs w:val="21"/>
          <w:highlight w:val="none"/>
          <w:lang w:val="en-US" w:eastAsia="zh-CN"/>
        </w:rPr>
      </w:pPr>
      <w:r>
        <w:rPr>
          <w:rFonts w:hint="eastAsia" w:ascii="宋体" w:hAnsi="宋体" w:eastAsia="宋体" w:cs="Times New Roman"/>
          <w:bCs/>
          <w:color w:val="auto"/>
          <w:kern w:val="0"/>
          <w:sz w:val="21"/>
          <w:szCs w:val="21"/>
          <w:highlight w:val="none"/>
          <w:lang w:val="en-US" w:eastAsia="zh-CN"/>
        </w:rPr>
        <w:br w:type="page"/>
      </w:r>
    </w:p>
    <w:p>
      <w:pPr>
        <w:pStyle w:val="117"/>
        <w:pageBreakBefore w:val="0"/>
        <w:kinsoku/>
        <w:overflowPunct/>
        <w:bidi w:val="0"/>
        <w:outlineLvl w:val="9"/>
        <w:rPr>
          <w:rFonts w:hint="default"/>
          <w:b/>
          <w:bCs/>
          <w:lang w:val="en-US" w:eastAsia="zh-CN"/>
        </w:rPr>
      </w:pPr>
      <w:r>
        <w:rPr>
          <w:rFonts w:hint="eastAsia"/>
          <w:b/>
          <w:bCs/>
          <w:lang w:val="en-US" w:eastAsia="zh-CN"/>
        </w:rPr>
        <w:t>标项三：景区治理应用系统建设</w:t>
      </w:r>
    </w:p>
    <w:tbl>
      <w:tblPr>
        <w:tblStyle w:val="36"/>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7220"/>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序号</w:t>
            </w:r>
          </w:p>
        </w:tc>
        <w:tc>
          <w:tcPr>
            <w:tcW w:w="72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技术要求</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w:t>
            </w:r>
          </w:p>
        </w:tc>
        <w:tc>
          <w:tcPr>
            <w:tcW w:w="72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建设内容</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w:t>
            </w:r>
          </w:p>
        </w:tc>
        <w:tc>
          <w:tcPr>
            <w:tcW w:w="72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软件开发：景区治理应用</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2</w:t>
            </w:r>
          </w:p>
        </w:tc>
        <w:tc>
          <w:tcPr>
            <w:tcW w:w="72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软件开发技术需求</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2.1</w:t>
            </w:r>
          </w:p>
        </w:tc>
        <w:tc>
          <w:tcPr>
            <w:tcW w:w="72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景区治理应用：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整合包括客流、消费、监控、环境、消防等多方面数据，多维度反映景区当前运行情况。对景观资源、自然环境、景区客流、停车管理、基础设施运维等管理领域的关键指标进行综合监测分析，实现景区人、事、物统一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bCs/>
                <w:sz w:val="21"/>
                <w:szCs w:val="21"/>
                <w:lang w:val="en-US" w:eastAsia="zh-CN"/>
              </w:rPr>
            </w:pPr>
            <w:r>
              <w:rPr>
                <w:rFonts w:hint="eastAsia" w:ascii="宋体" w:hAnsi="宋体" w:eastAsia="宋体" w:cs="宋体"/>
                <w:b w:val="0"/>
                <w:bCs w:val="0"/>
                <w:sz w:val="21"/>
                <w:szCs w:val="21"/>
                <w:lang w:val="en-US" w:eastAsia="zh-CN"/>
              </w:rPr>
              <w:t>景区治理应用主要包括：客流实时分析、游客综合画像、交通流量辅助引导、监控识别分析、环境监测报警、消防安全预警、行业监督管理、应急处置管理等功能模块。</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2.1.1</w:t>
            </w:r>
          </w:p>
        </w:tc>
        <w:tc>
          <w:tcPr>
            <w:tcW w:w="72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客流实时分析：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汇聚票务、客流监控等实时数据，对景区内的游客态势进行分析。支持对景区售票系统、检票系统、景点实时监控系统等业务系统集成，可实时监测入园游客数量、在园游客数量、位置、运行轨迹、密度等信息。包括客流一图总览、客流信息展示、客流分布热力图、客流预警、出入口客流分析及客流影响因素分析等功能。</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2.1.2</w:t>
            </w:r>
          </w:p>
        </w:tc>
        <w:tc>
          <w:tcPr>
            <w:tcW w:w="72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游客综合画像：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bCs/>
                <w:sz w:val="21"/>
                <w:szCs w:val="21"/>
                <w:lang w:val="en-US" w:eastAsia="zh-CN"/>
              </w:rPr>
            </w:pPr>
            <w:r>
              <w:rPr>
                <w:rFonts w:hint="eastAsia" w:ascii="宋体" w:hAnsi="宋体" w:eastAsia="宋体" w:cs="宋体"/>
                <w:b w:val="0"/>
                <w:bCs w:val="0"/>
                <w:sz w:val="21"/>
                <w:szCs w:val="21"/>
                <w:lang w:val="en-US" w:eastAsia="zh-CN"/>
              </w:rPr>
              <w:t>对游客进行多维度的分析后进行群体画像，包括年龄、性别构成、地域分布等，针对不同类型的游客尤其是特殊游客群体，制定相应的管理和服务方案。包括实时游客画像、历史游客画像等功能。</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2.1.3</w:t>
            </w:r>
          </w:p>
        </w:tc>
        <w:tc>
          <w:tcPr>
            <w:tcW w:w="72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交通流量辅助引导：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获取景区内道路、停车场等交通信息，通过与甬城泊车平台及景区内部停车场系统对接，查看景区内部和周边停车场的位置分布，每个停车场的实时运营使用状态，以及进出车辆的实时信息。包括停车场总览、停车场基本信息、停车场运营信息、进出车辆信息及车闸统计信息等功能。</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2.1.4</w:t>
            </w:r>
          </w:p>
        </w:tc>
        <w:tc>
          <w:tcPr>
            <w:tcW w:w="72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监控识别分析：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汇聚景区内视频监控，在三维数字孪生地图上进行标注，展示安防监控系统总体布控和实时安防情况。包括监控点位总览、监控点位添加、实时监控视频查看、监控设备信息等功能。</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2.1.5</w:t>
            </w:r>
          </w:p>
        </w:tc>
        <w:tc>
          <w:tcPr>
            <w:tcW w:w="72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环境监测报警：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接入景区内的传感器、气象站等感知信息，建立环境监测机制。支持对绿地、植被、水域等环境要素位置分布、面积等信息进行可视化监测，支持集成各传感器监测数据，对景区天气、水质、温湿度、空气质量、水质等数据进行实时监测分析，对恶劣天气、污染、植被破坏等信息进行可视化预警告警。包括环境监测设备总览、环境监测设备信息、实时环境监测信息、环境监测报警提示、报警信息统计等功能。</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0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2.1.6</w:t>
            </w:r>
          </w:p>
        </w:tc>
        <w:tc>
          <w:tcPr>
            <w:tcW w:w="72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消防安全预警：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对接现有消防用水智能监测系统，实时获取各个建筑的消防用水状态，包括消防水池液位实时数据、消防水箱液位实时数据、喷淋管网压力实时数据、消火栓管网压力实时数据等。包括消防设施总览、消防设施工作状态、消防设备异常预警、消防预案管理、消防报警信息统计等功能。</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2.1.7</w:t>
            </w:r>
          </w:p>
        </w:tc>
        <w:tc>
          <w:tcPr>
            <w:tcW w:w="72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应急处置管理：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建立游客疏散模型，并展示在三维地图之上，对客流量/人群密度对疏散效率的影响进行分析，形成景区客流疏散预案管理功能，重点高亮展示各类应急资源、应急通道的分布，对突然事件点进行标注，快速查询周边的应急设施。包括疏散预案管理、疏散预案动态模拟、应急指挥、设备联动控制等功能。</w:t>
            </w:r>
          </w:p>
        </w:tc>
        <w:tc>
          <w:tcPr>
            <w:tcW w:w="7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bCs/>
                <w:sz w:val="21"/>
                <w:szCs w:val="21"/>
                <w:lang w:val="en-US" w:eastAsia="zh-CN"/>
              </w:rPr>
            </w:pPr>
          </w:p>
        </w:tc>
      </w:tr>
    </w:tbl>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cs="宋体"/>
          <w:b/>
          <w:bCs/>
          <w:color w:val="auto"/>
          <w:sz w:val="28"/>
          <w:szCs w:val="28"/>
          <w:highlight w:val="none"/>
        </w:rPr>
      </w:pPr>
    </w:p>
    <w:p>
      <w:pPr>
        <w:keepNext w:val="0"/>
        <w:keepLines w:val="0"/>
        <w:pageBreakBefore w:val="0"/>
        <w:widowControl/>
        <w:kinsoku/>
        <w:wordWrap/>
        <w:overflowPunct/>
        <w:topLinePunct w:val="0"/>
        <w:autoSpaceDE/>
        <w:autoSpaceDN/>
        <w:bidi w:val="0"/>
        <w:adjustRightInd/>
        <w:snapToGrid/>
        <w:spacing w:line="336" w:lineRule="auto"/>
        <w:jc w:val="lef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三、项目实施及运维要求（适用于各标项）</w:t>
      </w:r>
    </w:p>
    <w:p>
      <w:pPr>
        <w:keepNext w:val="0"/>
        <w:keepLines w:val="0"/>
        <w:pageBreakBefore w:val="0"/>
        <w:kinsoku/>
        <w:wordWrap/>
        <w:overflowPunct/>
        <w:topLinePunct w:val="0"/>
        <w:autoSpaceDE/>
        <w:autoSpaceDN/>
        <w:bidi w:val="0"/>
        <w:adjustRightInd w:val="0"/>
        <w:snapToGrid w:val="0"/>
        <w:spacing w:line="336" w:lineRule="auto"/>
        <w:ind w:firstLine="422" w:firstLineChars="20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（一）项目实施总体要求</w:t>
      </w:r>
    </w:p>
    <w:p>
      <w:pPr>
        <w:keepNext w:val="0"/>
        <w:keepLines w:val="0"/>
        <w:pageBreakBefore w:val="0"/>
        <w:kinsoku/>
        <w:wordWrap/>
        <w:overflowPunct/>
        <w:topLinePunct w:val="0"/>
        <w:autoSpaceDE/>
        <w:autoSpaceDN/>
        <w:bidi w:val="0"/>
        <w:adjustRightInd w:val="0"/>
        <w:snapToGrid w:val="0"/>
        <w:spacing w:line="336"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1、供应商</w:t>
      </w:r>
      <w:r>
        <w:rPr>
          <w:rFonts w:hint="eastAsia" w:ascii="宋体" w:hAnsi="宋体" w:eastAsia="宋体" w:cs="宋体"/>
          <w:sz w:val="21"/>
          <w:szCs w:val="21"/>
        </w:rPr>
        <w:t>应负责在规定的期限内完成满足</w:t>
      </w:r>
      <w:r>
        <w:rPr>
          <w:rFonts w:hint="eastAsia" w:ascii="宋体" w:hAnsi="宋体" w:eastAsia="宋体" w:cs="宋体"/>
          <w:sz w:val="21"/>
          <w:szCs w:val="21"/>
          <w:lang w:val="en-US" w:eastAsia="zh-CN"/>
        </w:rPr>
        <w:t>采购人</w:t>
      </w:r>
      <w:r>
        <w:rPr>
          <w:rFonts w:hint="eastAsia" w:ascii="宋体" w:hAnsi="宋体" w:eastAsia="宋体" w:cs="宋体"/>
          <w:sz w:val="21"/>
          <w:szCs w:val="21"/>
        </w:rPr>
        <w:t>需求的应用软件的开发工作，并承担此过程中的其它一切费用。</w:t>
      </w:r>
    </w:p>
    <w:p>
      <w:pPr>
        <w:keepNext w:val="0"/>
        <w:keepLines w:val="0"/>
        <w:pageBreakBefore w:val="0"/>
        <w:kinsoku/>
        <w:wordWrap/>
        <w:overflowPunct/>
        <w:topLinePunct w:val="0"/>
        <w:autoSpaceDE/>
        <w:autoSpaceDN/>
        <w:bidi w:val="0"/>
        <w:adjustRightInd w:val="0"/>
        <w:snapToGrid w:val="0"/>
        <w:spacing w:line="336"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如果本次提供成品软件的授权所对应的最终用户不是</w:t>
      </w:r>
      <w:r>
        <w:rPr>
          <w:rFonts w:hint="eastAsia" w:ascii="宋体" w:hAnsi="宋体" w:eastAsia="宋体" w:cs="宋体"/>
          <w:sz w:val="21"/>
          <w:szCs w:val="21"/>
          <w:lang w:val="en-US" w:eastAsia="zh-CN"/>
        </w:rPr>
        <w:t>采购人</w:t>
      </w:r>
      <w:r>
        <w:rPr>
          <w:rFonts w:hint="eastAsia" w:ascii="宋体" w:hAnsi="宋体" w:eastAsia="宋体" w:cs="宋体"/>
          <w:sz w:val="21"/>
          <w:szCs w:val="21"/>
        </w:rPr>
        <w:t>的情况，一经查实将不予支付相关货款。</w:t>
      </w:r>
    </w:p>
    <w:p>
      <w:pPr>
        <w:keepNext w:val="0"/>
        <w:keepLines w:val="0"/>
        <w:pageBreakBefore w:val="0"/>
        <w:kinsoku/>
        <w:wordWrap/>
        <w:overflowPunct/>
        <w:topLinePunct w:val="0"/>
        <w:autoSpaceDE/>
        <w:autoSpaceDN/>
        <w:bidi w:val="0"/>
        <w:adjustRightInd w:val="0"/>
        <w:snapToGrid w:val="0"/>
        <w:spacing w:line="336"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3、供应商</w:t>
      </w:r>
      <w:r>
        <w:rPr>
          <w:rFonts w:hint="eastAsia" w:ascii="宋体" w:hAnsi="宋体" w:eastAsia="宋体" w:cs="宋体"/>
          <w:sz w:val="21"/>
          <w:szCs w:val="21"/>
        </w:rPr>
        <w:t>应承担投标成品软件的安装、调试和配置工作，并须保证系统的稳定和平滑过渡，同时应提供安装的系统配置文件和文件档案。</w:t>
      </w:r>
    </w:p>
    <w:p>
      <w:pPr>
        <w:keepNext w:val="0"/>
        <w:keepLines w:val="0"/>
        <w:pageBreakBefore w:val="0"/>
        <w:kinsoku/>
        <w:wordWrap/>
        <w:overflowPunct/>
        <w:topLinePunct w:val="0"/>
        <w:autoSpaceDE/>
        <w:autoSpaceDN/>
        <w:bidi w:val="0"/>
        <w:adjustRightInd w:val="0"/>
        <w:snapToGrid w:val="0"/>
        <w:spacing w:line="336"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以上所有与（多次）安装、调试和验收相关的费用均需计入报价总价。</w:t>
      </w:r>
    </w:p>
    <w:p>
      <w:pPr>
        <w:keepNext w:val="0"/>
        <w:keepLines w:val="0"/>
        <w:pageBreakBefore w:val="0"/>
        <w:kinsoku/>
        <w:wordWrap/>
        <w:overflowPunct/>
        <w:topLinePunct w:val="0"/>
        <w:autoSpaceDE/>
        <w:autoSpaceDN/>
        <w:bidi w:val="0"/>
        <w:adjustRightInd w:val="0"/>
        <w:snapToGrid w:val="0"/>
        <w:spacing w:line="336"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项目开发实施具体地点由</w:t>
      </w:r>
      <w:r>
        <w:rPr>
          <w:rFonts w:hint="eastAsia" w:ascii="宋体" w:hAnsi="宋体" w:eastAsia="宋体" w:cs="宋体"/>
          <w:sz w:val="21"/>
          <w:szCs w:val="21"/>
          <w:lang w:val="en-US" w:eastAsia="zh-CN"/>
        </w:rPr>
        <w:t>采购人</w:t>
      </w:r>
      <w:r>
        <w:rPr>
          <w:rFonts w:hint="eastAsia" w:ascii="宋体" w:hAnsi="宋体" w:eastAsia="宋体" w:cs="宋体"/>
          <w:sz w:val="21"/>
          <w:szCs w:val="21"/>
        </w:rPr>
        <w:t>指定。</w:t>
      </w:r>
      <w:r>
        <w:rPr>
          <w:rFonts w:hint="eastAsia" w:ascii="宋体" w:hAnsi="宋体" w:eastAsia="宋体" w:cs="宋体"/>
          <w:color w:val="auto"/>
          <w:sz w:val="21"/>
          <w:szCs w:val="21"/>
          <w:lang w:val="en-US" w:eastAsia="zh-CN"/>
        </w:rPr>
        <w:t>采购人</w:t>
      </w:r>
      <w:r>
        <w:rPr>
          <w:rFonts w:hint="eastAsia" w:ascii="宋体" w:hAnsi="宋体" w:eastAsia="宋体" w:cs="宋体"/>
          <w:color w:val="auto"/>
          <w:sz w:val="21"/>
          <w:szCs w:val="21"/>
        </w:rPr>
        <w:t>提供整个项目测试环境。</w:t>
      </w:r>
      <w:r>
        <w:rPr>
          <w:rFonts w:hint="eastAsia" w:ascii="宋体" w:hAnsi="宋体" w:eastAsia="宋体" w:cs="宋体"/>
          <w:sz w:val="21"/>
          <w:szCs w:val="21"/>
        </w:rPr>
        <w:t>软件开发环境由</w:t>
      </w:r>
      <w:r>
        <w:rPr>
          <w:rFonts w:hint="eastAsia" w:ascii="宋体" w:hAnsi="宋体" w:eastAsia="宋体" w:cs="宋体"/>
          <w:sz w:val="21"/>
          <w:szCs w:val="21"/>
          <w:lang w:val="en-US" w:eastAsia="zh-CN"/>
        </w:rPr>
        <w:t>供应商</w:t>
      </w:r>
      <w:r>
        <w:rPr>
          <w:rFonts w:hint="eastAsia" w:ascii="宋体" w:hAnsi="宋体" w:eastAsia="宋体" w:cs="宋体"/>
          <w:sz w:val="21"/>
          <w:szCs w:val="21"/>
        </w:rPr>
        <w:t>负责搭建。</w:t>
      </w:r>
    </w:p>
    <w:p>
      <w:pPr>
        <w:keepNext w:val="0"/>
        <w:keepLines w:val="0"/>
        <w:pageBreakBefore w:val="0"/>
        <w:kinsoku/>
        <w:wordWrap/>
        <w:overflowPunct/>
        <w:topLinePunct w:val="0"/>
        <w:autoSpaceDE/>
        <w:autoSpaceDN/>
        <w:bidi w:val="0"/>
        <w:adjustRightInd w:val="0"/>
        <w:snapToGrid w:val="0"/>
        <w:spacing w:line="336"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6、供应商</w:t>
      </w:r>
      <w:r>
        <w:rPr>
          <w:rFonts w:hint="eastAsia" w:ascii="宋体" w:hAnsi="宋体" w:eastAsia="宋体" w:cs="宋体"/>
          <w:sz w:val="21"/>
          <w:szCs w:val="21"/>
        </w:rPr>
        <w:t>应按照</w:t>
      </w:r>
      <w:r>
        <w:rPr>
          <w:rFonts w:hint="eastAsia" w:ascii="宋体" w:hAnsi="宋体" w:eastAsia="宋体" w:cs="宋体"/>
          <w:sz w:val="21"/>
          <w:szCs w:val="21"/>
          <w:lang w:val="en-US" w:eastAsia="zh-CN"/>
        </w:rPr>
        <w:t>采购人</w:t>
      </w:r>
      <w:r>
        <w:rPr>
          <w:rFonts w:hint="eastAsia" w:ascii="宋体" w:hAnsi="宋体" w:eastAsia="宋体" w:cs="宋体"/>
          <w:sz w:val="21"/>
          <w:szCs w:val="21"/>
        </w:rPr>
        <w:t>要求的期限内，完成项目的需求调研、详细设计等工作，形成相应的实施方案。</w:t>
      </w:r>
    </w:p>
    <w:p>
      <w:pPr>
        <w:keepNext w:val="0"/>
        <w:keepLines w:val="0"/>
        <w:pageBreakBefore w:val="0"/>
        <w:kinsoku/>
        <w:wordWrap/>
        <w:overflowPunct/>
        <w:topLinePunct w:val="0"/>
        <w:autoSpaceDE/>
        <w:autoSpaceDN/>
        <w:bidi w:val="0"/>
        <w:adjustRightInd w:val="0"/>
        <w:snapToGrid w:val="0"/>
        <w:spacing w:line="336"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7、供应商</w:t>
      </w:r>
      <w:r>
        <w:rPr>
          <w:rFonts w:hint="eastAsia" w:ascii="宋体" w:hAnsi="宋体" w:eastAsia="宋体" w:cs="宋体"/>
          <w:sz w:val="21"/>
          <w:szCs w:val="21"/>
        </w:rPr>
        <w:t>在服务期内，解决涉及项目的全部技术问题。对</w:t>
      </w:r>
      <w:r>
        <w:rPr>
          <w:rFonts w:hint="eastAsia" w:ascii="宋体" w:hAnsi="宋体" w:eastAsia="宋体" w:cs="宋体"/>
          <w:sz w:val="21"/>
          <w:szCs w:val="21"/>
          <w:lang w:val="en-US" w:eastAsia="zh-CN"/>
        </w:rPr>
        <w:t>采购人</w:t>
      </w:r>
      <w:r>
        <w:rPr>
          <w:rFonts w:hint="eastAsia" w:ascii="宋体" w:hAnsi="宋体" w:eastAsia="宋体" w:cs="宋体"/>
          <w:sz w:val="21"/>
          <w:szCs w:val="21"/>
        </w:rPr>
        <w:t>在项目建设中碰到的其他技术问题，有责任和义务提供咨询和帮助。</w:t>
      </w:r>
    </w:p>
    <w:p>
      <w:pPr>
        <w:keepNext w:val="0"/>
        <w:keepLines w:val="0"/>
        <w:pageBreakBefore w:val="0"/>
        <w:kinsoku/>
        <w:wordWrap/>
        <w:overflowPunct/>
        <w:topLinePunct w:val="0"/>
        <w:autoSpaceDE/>
        <w:autoSpaceDN/>
        <w:bidi w:val="0"/>
        <w:adjustRightInd w:val="0"/>
        <w:snapToGrid w:val="0"/>
        <w:spacing w:line="336"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8、采购人</w:t>
      </w:r>
      <w:r>
        <w:rPr>
          <w:rFonts w:hint="eastAsia" w:ascii="宋体" w:hAnsi="宋体" w:eastAsia="宋体" w:cs="宋体"/>
          <w:sz w:val="21"/>
          <w:szCs w:val="21"/>
        </w:rPr>
        <w:t>组织自身团队参与整个项目的实施。</w:t>
      </w:r>
      <w:r>
        <w:rPr>
          <w:rFonts w:hint="eastAsia" w:ascii="宋体" w:hAnsi="宋体" w:eastAsia="宋体" w:cs="宋体"/>
          <w:sz w:val="21"/>
          <w:szCs w:val="21"/>
          <w:lang w:val="en-US" w:eastAsia="zh-CN"/>
        </w:rPr>
        <w:t>供应商</w:t>
      </w:r>
      <w:r>
        <w:rPr>
          <w:rFonts w:hint="eastAsia" w:ascii="宋体" w:hAnsi="宋体" w:eastAsia="宋体" w:cs="宋体"/>
          <w:sz w:val="21"/>
          <w:szCs w:val="21"/>
        </w:rPr>
        <w:t>需在实施过程中做好相关指导工作，并负责为该团队参与项目实施做好培训，使得在项目验收结束后，</w:t>
      </w:r>
      <w:r>
        <w:rPr>
          <w:rFonts w:hint="eastAsia" w:ascii="宋体" w:hAnsi="宋体" w:eastAsia="宋体" w:cs="宋体"/>
          <w:sz w:val="21"/>
          <w:szCs w:val="21"/>
          <w:lang w:val="en-US" w:eastAsia="zh-CN"/>
        </w:rPr>
        <w:t>采购人</w:t>
      </w:r>
      <w:r>
        <w:rPr>
          <w:rFonts w:hint="eastAsia" w:ascii="宋体" w:hAnsi="宋体" w:eastAsia="宋体" w:cs="宋体"/>
          <w:sz w:val="21"/>
          <w:szCs w:val="21"/>
        </w:rPr>
        <w:t>能组织团队能够进行独立运行维护和二次开发。</w:t>
      </w:r>
    </w:p>
    <w:p>
      <w:pPr>
        <w:keepNext w:val="0"/>
        <w:keepLines w:val="0"/>
        <w:pageBreakBefore w:val="0"/>
        <w:kinsoku/>
        <w:wordWrap/>
        <w:overflowPunct/>
        <w:topLinePunct w:val="0"/>
        <w:autoSpaceDE/>
        <w:autoSpaceDN/>
        <w:bidi w:val="0"/>
        <w:adjustRightInd w:val="0"/>
        <w:snapToGrid w:val="0"/>
        <w:spacing w:line="336" w:lineRule="auto"/>
        <w:ind w:firstLine="422" w:firstLineChars="20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（二）项目管理要求</w:t>
      </w:r>
    </w:p>
    <w:p>
      <w:pPr>
        <w:keepNext w:val="0"/>
        <w:keepLines w:val="0"/>
        <w:pageBreakBefore w:val="0"/>
        <w:kinsoku/>
        <w:wordWrap/>
        <w:overflowPunct/>
        <w:topLinePunct w:val="0"/>
        <w:autoSpaceDE/>
        <w:autoSpaceDN/>
        <w:bidi w:val="0"/>
        <w:adjustRightInd w:val="0"/>
        <w:snapToGrid w:val="0"/>
        <w:spacing w:line="336" w:lineRule="auto"/>
        <w:ind w:firstLine="422" w:firstLineChars="20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1</w:t>
      </w:r>
      <w:r>
        <w:rPr>
          <w:rFonts w:hint="eastAsia" w:ascii="宋体" w:hAnsi="宋体" w:eastAsia="宋体" w:cs="宋体"/>
          <w:b/>
          <w:bCs/>
          <w:sz w:val="21"/>
          <w:szCs w:val="21"/>
          <w:lang w:eastAsia="zh-CN"/>
        </w:rPr>
        <w:t>、</w:t>
      </w:r>
      <w:r>
        <w:rPr>
          <w:rFonts w:hint="eastAsia" w:ascii="宋体" w:hAnsi="宋体" w:eastAsia="宋体" w:cs="宋体"/>
          <w:b/>
          <w:bCs/>
          <w:sz w:val="21"/>
          <w:szCs w:val="21"/>
        </w:rPr>
        <w:t>质量保证</w:t>
      </w:r>
    </w:p>
    <w:p>
      <w:pPr>
        <w:keepNext w:val="0"/>
        <w:keepLines w:val="0"/>
        <w:pageBreakBefore w:val="0"/>
        <w:kinsoku/>
        <w:wordWrap/>
        <w:overflowPunct/>
        <w:topLinePunct w:val="0"/>
        <w:autoSpaceDE/>
        <w:autoSpaceDN/>
        <w:bidi w:val="0"/>
        <w:adjustRightInd w:val="0"/>
        <w:snapToGrid w:val="0"/>
        <w:spacing w:line="336"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供应商</w:t>
      </w:r>
      <w:r>
        <w:rPr>
          <w:rFonts w:hint="eastAsia" w:ascii="宋体" w:hAnsi="宋体" w:eastAsia="宋体" w:cs="宋体"/>
          <w:sz w:val="21"/>
          <w:szCs w:val="21"/>
        </w:rPr>
        <w:t>须保证所提供产品具有合法的版权或使用权，本项目采购的产品，如在本项目范围内使用过程中出现版权或使用权纠纷，应由</w:t>
      </w:r>
      <w:r>
        <w:rPr>
          <w:rFonts w:hint="eastAsia" w:ascii="宋体" w:hAnsi="宋体" w:eastAsia="宋体" w:cs="宋体"/>
          <w:sz w:val="21"/>
          <w:szCs w:val="21"/>
          <w:lang w:val="en-US" w:eastAsia="zh-CN"/>
        </w:rPr>
        <w:t>供应商</w:t>
      </w:r>
      <w:r>
        <w:rPr>
          <w:rFonts w:hint="eastAsia" w:ascii="宋体" w:hAnsi="宋体" w:eastAsia="宋体" w:cs="宋体"/>
          <w:sz w:val="21"/>
          <w:szCs w:val="21"/>
        </w:rPr>
        <w:t>负责，</w:t>
      </w:r>
      <w:r>
        <w:rPr>
          <w:rFonts w:hint="eastAsia" w:ascii="宋体" w:hAnsi="宋体" w:eastAsia="宋体" w:cs="宋体"/>
          <w:sz w:val="21"/>
          <w:szCs w:val="21"/>
          <w:lang w:val="en-US" w:eastAsia="zh-CN"/>
        </w:rPr>
        <w:t>采购人</w:t>
      </w:r>
      <w:r>
        <w:rPr>
          <w:rFonts w:hint="eastAsia" w:ascii="宋体" w:hAnsi="宋体" w:eastAsia="宋体" w:cs="宋体"/>
          <w:sz w:val="21"/>
          <w:szCs w:val="21"/>
        </w:rPr>
        <w:t>不承担责任。</w:t>
      </w:r>
    </w:p>
    <w:p>
      <w:pPr>
        <w:keepNext w:val="0"/>
        <w:keepLines w:val="0"/>
        <w:pageBreakBefore w:val="0"/>
        <w:kinsoku/>
        <w:wordWrap/>
        <w:overflowPunct/>
        <w:topLinePunct w:val="0"/>
        <w:autoSpaceDE/>
        <w:autoSpaceDN/>
        <w:bidi w:val="0"/>
        <w:adjustRightInd w:val="0"/>
        <w:snapToGrid w:val="0"/>
        <w:spacing w:line="336"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供应商</w:t>
      </w:r>
      <w:r>
        <w:rPr>
          <w:rFonts w:hint="eastAsia" w:ascii="宋体" w:hAnsi="宋体" w:eastAsia="宋体" w:cs="宋体"/>
          <w:sz w:val="21"/>
          <w:szCs w:val="21"/>
        </w:rPr>
        <w:t>必须保证解决项目所涉及的技术问题，如因技术原因无法满足</w:t>
      </w:r>
      <w:r>
        <w:rPr>
          <w:rFonts w:hint="eastAsia" w:ascii="宋体" w:hAnsi="宋体" w:eastAsia="宋体" w:cs="宋体"/>
          <w:sz w:val="21"/>
          <w:szCs w:val="21"/>
          <w:lang w:val="en-US" w:eastAsia="zh-CN"/>
        </w:rPr>
        <w:t>采购人</w:t>
      </w:r>
      <w:r>
        <w:rPr>
          <w:rFonts w:hint="eastAsia" w:ascii="宋体" w:hAnsi="宋体" w:eastAsia="宋体" w:cs="宋体"/>
          <w:sz w:val="21"/>
          <w:szCs w:val="21"/>
        </w:rPr>
        <w:t>需求，由此产生的风险和损失由</w:t>
      </w:r>
      <w:r>
        <w:rPr>
          <w:rFonts w:hint="eastAsia" w:ascii="宋体" w:hAnsi="宋体" w:eastAsia="宋体" w:cs="宋体"/>
          <w:sz w:val="21"/>
          <w:szCs w:val="21"/>
          <w:lang w:val="en-US" w:eastAsia="zh-CN"/>
        </w:rPr>
        <w:t>供应商</w:t>
      </w:r>
      <w:r>
        <w:rPr>
          <w:rFonts w:hint="eastAsia" w:ascii="宋体" w:hAnsi="宋体" w:eastAsia="宋体" w:cs="宋体"/>
          <w:sz w:val="21"/>
          <w:szCs w:val="21"/>
        </w:rPr>
        <w:t xml:space="preserve">承担。 </w:t>
      </w:r>
    </w:p>
    <w:p>
      <w:pPr>
        <w:keepNext w:val="0"/>
        <w:keepLines w:val="0"/>
        <w:pageBreakBefore w:val="0"/>
        <w:kinsoku/>
        <w:wordWrap/>
        <w:overflowPunct/>
        <w:topLinePunct w:val="0"/>
        <w:autoSpaceDE/>
        <w:autoSpaceDN/>
        <w:bidi w:val="0"/>
        <w:adjustRightInd w:val="0"/>
        <w:snapToGrid w:val="0"/>
        <w:spacing w:line="336"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供应商</w:t>
      </w:r>
      <w:r>
        <w:rPr>
          <w:rFonts w:hint="eastAsia" w:ascii="宋体" w:hAnsi="宋体" w:eastAsia="宋体" w:cs="宋体"/>
          <w:sz w:val="21"/>
          <w:szCs w:val="21"/>
        </w:rPr>
        <w:t>在免费维护期内，如遇软件产品升级、改版，应免费提供更新、升级服务。</w:t>
      </w:r>
    </w:p>
    <w:p>
      <w:pPr>
        <w:keepNext w:val="0"/>
        <w:keepLines w:val="0"/>
        <w:pageBreakBefore w:val="0"/>
        <w:kinsoku/>
        <w:wordWrap/>
        <w:overflowPunct/>
        <w:topLinePunct w:val="0"/>
        <w:autoSpaceDE/>
        <w:autoSpaceDN/>
        <w:bidi w:val="0"/>
        <w:adjustRightInd w:val="0"/>
        <w:snapToGrid w:val="0"/>
        <w:spacing w:line="336"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4）软件交付时，要求具有完整的系统测试计划，包括根据用户需求编写的遍及系统 95%以上功能、性能的测试用例，合理的测试方案和测试方法。要求保留完整的测试报告。</w:t>
      </w:r>
    </w:p>
    <w:p>
      <w:pPr>
        <w:keepNext w:val="0"/>
        <w:keepLines w:val="0"/>
        <w:pageBreakBefore w:val="0"/>
        <w:kinsoku/>
        <w:wordWrap/>
        <w:overflowPunct/>
        <w:topLinePunct w:val="0"/>
        <w:autoSpaceDE/>
        <w:autoSpaceDN/>
        <w:bidi w:val="0"/>
        <w:adjustRightInd w:val="0"/>
        <w:snapToGrid w:val="0"/>
        <w:spacing w:line="336" w:lineRule="auto"/>
        <w:ind w:firstLine="420" w:firstLineChars="200"/>
        <w:textAlignment w:val="auto"/>
        <w:outlineLvl w:val="9"/>
        <w:rPr>
          <w:rFonts w:hint="eastAsia"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通过第三方机构的软件测试。</w:t>
      </w:r>
    </w:p>
    <w:p>
      <w:pPr>
        <w:keepNext w:val="0"/>
        <w:keepLines w:val="0"/>
        <w:pageBreakBefore w:val="0"/>
        <w:kinsoku/>
        <w:wordWrap/>
        <w:overflowPunct/>
        <w:topLinePunct w:val="0"/>
        <w:autoSpaceDE/>
        <w:autoSpaceDN/>
        <w:bidi w:val="0"/>
        <w:adjustRightInd w:val="0"/>
        <w:snapToGrid w:val="0"/>
        <w:spacing w:line="336" w:lineRule="auto"/>
        <w:ind w:firstLine="422" w:firstLineChars="20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2</w:t>
      </w:r>
      <w:r>
        <w:rPr>
          <w:rFonts w:hint="eastAsia" w:ascii="宋体" w:hAnsi="宋体" w:eastAsia="宋体" w:cs="宋体"/>
          <w:b/>
          <w:bCs/>
          <w:sz w:val="21"/>
          <w:szCs w:val="21"/>
          <w:lang w:eastAsia="zh-CN"/>
        </w:rPr>
        <w:t>、</w:t>
      </w:r>
      <w:r>
        <w:rPr>
          <w:rFonts w:hint="eastAsia" w:ascii="宋体" w:hAnsi="宋体" w:eastAsia="宋体" w:cs="宋体"/>
          <w:b/>
          <w:bCs/>
          <w:sz w:val="21"/>
          <w:szCs w:val="21"/>
        </w:rPr>
        <w:t>人员要求</w:t>
      </w:r>
    </w:p>
    <w:p>
      <w:pPr>
        <w:keepNext w:val="0"/>
        <w:keepLines w:val="0"/>
        <w:pageBreakBefore w:val="0"/>
        <w:kinsoku/>
        <w:wordWrap/>
        <w:overflowPunct/>
        <w:topLinePunct w:val="0"/>
        <w:autoSpaceDE/>
        <w:autoSpaceDN/>
        <w:bidi w:val="0"/>
        <w:adjustRightInd w:val="0"/>
        <w:snapToGrid w:val="0"/>
        <w:spacing w:line="336"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供应商</w:t>
      </w:r>
      <w:r>
        <w:rPr>
          <w:rFonts w:hint="eastAsia" w:ascii="宋体" w:hAnsi="宋体" w:eastAsia="宋体" w:cs="宋体"/>
          <w:sz w:val="21"/>
          <w:szCs w:val="21"/>
        </w:rPr>
        <w:t>中标后，需要成立专门的团队，指定1名专职的总项目经理，负责项目的协调与调度工作。配置相应的项目管理、培训、质量保证等人员。</w:t>
      </w:r>
      <w:r>
        <w:rPr>
          <w:rFonts w:hint="eastAsia" w:ascii="宋体" w:hAnsi="宋体" w:eastAsia="宋体" w:cs="宋体"/>
          <w:sz w:val="21"/>
          <w:szCs w:val="21"/>
          <w:lang w:val="en-US" w:eastAsia="zh-CN"/>
        </w:rPr>
        <w:t>供应商</w:t>
      </w:r>
      <w:r>
        <w:rPr>
          <w:rFonts w:hint="eastAsia" w:ascii="宋体" w:hAnsi="宋体" w:cs="宋体"/>
          <w:sz w:val="21"/>
          <w:szCs w:val="21"/>
          <w:lang w:val="en-US" w:eastAsia="zh-CN"/>
        </w:rPr>
        <w:t>根</w:t>
      </w:r>
      <w:r>
        <w:rPr>
          <w:rFonts w:hint="eastAsia" w:ascii="宋体" w:hAnsi="宋体" w:eastAsia="宋体" w:cs="宋体"/>
          <w:sz w:val="21"/>
          <w:szCs w:val="21"/>
        </w:rPr>
        <w:t>据项目建设内容要求，在投标时详细说明项目组织机构及各成员的职责。项目实施前，向</w:t>
      </w:r>
      <w:r>
        <w:rPr>
          <w:rFonts w:hint="eastAsia" w:ascii="宋体" w:hAnsi="宋体" w:eastAsia="宋体" w:cs="宋体"/>
          <w:sz w:val="21"/>
          <w:szCs w:val="21"/>
          <w:lang w:val="en-US" w:eastAsia="zh-CN"/>
        </w:rPr>
        <w:t>采购人</w:t>
      </w:r>
      <w:r>
        <w:rPr>
          <w:rFonts w:hint="eastAsia" w:ascii="宋体" w:hAnsi="宋体" w:eastAsia="宋体" w:cs="宋体"/>
          <w:sz w:val="21"/>
          <w:szCs w:val="21"/>
        </w:rPr>
        <w:t xml:space="preserve">及监理单位进行备案。 </w:t>
      </w:r>
    </w:p>
    <w:p>
      <w:pPr>
        <w:keepNext w:val="0"/>
        <w:keepLines w:val="0"/>
        <w:pageBreakBefore w:val="0"/>
        <w:kinsoku/>
        <w:wordWrap/>
        <w:overflowPunct/>
        <w:topLinePunct w:val="0"/>
        <w:autoSpaceDE/>
        <w:autoSpaceDN/>
        <w:bidi w:val="0"/>
        <w:adjustRightInd w:val="0"/>
        <w:snapToGrid w:val="0"/>
        <w:spacing w:line="336"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2）参与此项目的技术人员必须具有承担过同类型项目实施经验，能够与用户进行良好的沟通，掌握相关领域的相关基础知识，具备相关产品集成、应用和开发的能力。</w:t>
      </w:r>
    </w:p>
    <w:p>
      <w:pPr>
        <w:keepNext w:val="0"/>
        <w:keepLines w:val="0"/>
        <w:pageBreakBefore w:val="0"/>
        <w:kinsoku/>
        <w:wordWrap/>
        <w:overflowPunct/>
        <w:topLinePunct w:val="0"/>
        <w:autoSpaceDE/>
        <w:autoSpaceDN/>
        <w:bidi w:val="0"/>
        <w:adjustRightInd w:val="0"/>
        <w:snapToGrid w:val="0"/>
        <w:spacing w:line="336"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3）在合同生效以后，对</w:t>
      </w:r>
      <w:r>
        <w:rPr>
          <w:rFonts w:hint="eastAsia" w:ascii="宋体" w:hAnsi="宋体" w:eastAsia="宋体" w:cs="宋体"/>
          <w:sz w:val="21"/>
          <w:szCs w:val="21"/>
          <w:lang w:val="en-US" w:eastAsia="zh-CN"/>
        </w:rPr>
        <w:t>采购人</w:t>
      </w:r>
      <w:r>
        <w:rPr>
          <w:rFonts w:hint="eastAsia" w:ascii="宋体" w:hAnsi="宋体" w:eastAsia="宋体" w:cs="宋体"/>
          <w:sz w:val="21"/>
          <w:szCs w:val="21"/>
        </w:rPr>
        <w:t>认为其能力与本项目所要求的能力不相称而提出更换的项目负责人或者技术员，中标人必须予以更换。</w:t>
      </w:r>
    </w:p>
    <w:p>
      <w:pPr>
        <w:keepNext w:val="0"/>
        <w:keepLines w:val="0"/>
        <w:pageBreakBefore w:val="0"/>
        <w:kinsoku/>
        <w:wordWrap/>
        <w:overflowPunct/>
        <w:topLinePunct w:val="0"/>
        <w:autoSpaceDE/>
        <w:autoSpaceDN/>
        <w:bidi w:val="0"/>
        <w:adjustRightInd w:val="0"/>
        <w:snapToGrid w:val="0"/>
        <w:spacing w:line="336" w:lineRule="auto"/>
        <w:ind w:firstLine="422" w:firstLineChars="20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3.培训要求</w:t>
      </w:r>
    </w:p>
    <w:p>
      <w:pPr>
        <w:keepNext w:val="0"/>
        <w:keepLines w:val="0"/>
        <w:pageBreakBefore w:val="0"/>
        <w:kinsoku/>
        <w:wordWrap/>
        <w:overflowPunct/>
        <w:topLinePunct w:val="0"/>
        <w:autoSpaceDE/>
        <w:autoSpaceDN/>
        <w:bidi w:val="0"/>
        <w:adjustRightInd w:val="0"/>
        <w:snapToGrid w:val="0"/>
        <w:spacing w:line="336"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对于一般工作人员，应能灵活操作、使用本系统，对于系统管理人员和技术人员，要能够达到独立操作、分析、判断解决系统一般性问题。培训课程应包含领导交流与培训、技术培训、管理培训、使用培训等。</w:t>
      </w:r>
    </w:p>
    <w:p>
      <w:pPr>
        <w:keepNext w:val="0"/>
        <w:keepLines w:val="0"/>
        <w:pageBreakBefore w:val="0"/>
        <w:kinsoku/>
        <w:wordWrap/>
        <w:overflowPunct/>
        <w:topLinePunct w:val="0"/>
        <w:autoSpaceDE/>
        <w:autoSpaceDN/>
        <w:bidi w:val="0"/>
        <w:adjustRightInd w:val="0"/>
        <w:snapToGrid w:val="0"/>
        <w:spacing w:line="336"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培训方式采用集中培训、现场培训、发放技术培训材料等相结合的方式，针对不同层次的人员，开设不同的培训课程和确定培训方式。</w:t>
      </w:r>
    </w:p>
    <w:p>
      <w:pPr>
        <w:keepNext w:val="0"/>
        <w:keepLines w:val="0"/>
        <w:pageBreakBefore w:val="0"/>
        <w:kinsoku/>
        <w:wordWrap/>
        <w:overflowPunct/>
        <w:topLinePunct w:val="0"/>
        <w:autoSpaceDE/>
        <w:autoSpaceDN/>
        <w:bidi w:val="0"/>
        <w:adjustRightInd w:val="0"/>
        <w:snapToGrid w:val="0"/>
        <w:spacing w:line="336"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1）集中培训方式</w:t>
      </w:r>
    </w:p>
    <w:p>
      <w:pPr>
        <w:keepNext w:val="0"/>
        <w:keepLines w:val="0"/>
        <w:pageBreakBefore w:val="0"/>
        <w:kinsoku/>
        <w:wordWrap/>
        <w:overflowPunct/>
        <w:topLinePunct w:val="0"/>
        <w:autoSpaceDE/>
        <w:autoSpaceDN/>
        <w:bidi w:val="0"/>
        <w:adjustRightInd w:val="0"/>
        <w:snapToGrid w:val="0"/>
        <w:spacing w:line="336"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分别针对系统管理人员、系统维护人员和系统操作人员，开设集中培训课程，重点是系统维护人员和系统操作人员，采用集中授课的方式进行培训。</w:t>
      </w:r>
    </w:p>
    <w:p>
      <w:pPr>
        <w:keepNext w:val="0"/>
        <w:keepLines w:val="0"/>
        <w:pageBreakBefore w:val="0"/>
        <w:kinsoku/>
        <w:wordWrap/>
        <w:overflowPunct/>
        <w:topLinePunct w:val="0"/>
        <w:autoSpaceDE/>
        <w:autoSpaceDN/>
        <w:bidi w:val="0"/>
        <w:adjustRightInd w:val="0"/>
        <w:snapToGrid w:val="0"/>
        <w:spacing w:line="336"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2）现场培训方式</w:t>
      </w:r>
    </w:p>
    <w:p>
      <w:pPr>
        <w:keepNext w:val="0"/>
        <w:keepLines w:val="0"/>
        <w:pageBreakBefore w:val="0"/>
        <w:kinsoku/>
        <w:wordWrap/>
        <w:overflowPunct/>
        <w:topLinePunct w:val="0"/>
        <w:autoSpaceDE/>
        <w:autoSpaceDN/>
        <w:bidi w:val="0"/>
        <w:adjustRightInd w:val="0"/>
        <w:snapToGrid w:val="0"/>
        <w:spacing w:line="336"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重点针对系统管理人员，通过在现场的施工和培训，深层次掌握系统的使用、维护、故障检修和各种日常操作等。</w:t>
      </w:r>
    </w:p>
    <w:p>
      <w:pPr>
        <w:keepNext w:val="0"/>
        <w:keepLines w:val="0"/>
        <w:pageBreakBefore w:val="0"/>
        <w:kinsoku/>
        <w:wordWrap/>
        <w:overflowPunct/>
        <w:topLinePunct w:val="0"/>
        <w:autoSpaceDE/>
        <w:autoSpaceDN/>
        <w:bidi w:val="0"/>
        <w:adjustRightInd w:val="0"/>
        <w:snapToGrid w:val="0"/>
        <w:spacing w:line="336"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3）技术培训材料方式</w:t>
      </w:r>
    </w:p>
    <w:p>
      <w:pPr>
        <w:keepNext w:val="0"/>
        <w:keepLines w:val="0"/>
        <w:pageBreakBefore w:val="0"/>
        <w:kinsoku/>
        <w:wordWrap/>
        <w:overflowPunct/>
        <w:topLinePunct w:val="0"/>
        <w:autoSpaceDE/>
        <w:autoSpaceDN/>
        <w:bidi w:val="0"/>
        <w:adjustRightInd w:val="0"/>
        <w:snapToGrid w:val="0"/>
        <w:spacing w:line="336"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针对平时工作繁忙的大量普通用户，可以印制宣传材料在相应的职能部门向用户发放，促进其自学。</w:t>
      </w:r>
    </w:p>
    <w:p>
      <w:pPr>
        <w:keepNext w:val="0"/>
        <w:keepLines w:val="0"/>
        <w:pageBreakBefore w:val="0"/>
        <w:kinsoku/>
        <w:wordWrap/>
        <w:overflowPunct/>
        <w:topLinePunct w:val="0"/>
        <w:autoSpaceDE/>
        <w:autoSpaceDN/>
        <w:bidi w:val="0"/>
        <w:adjustRightInd w:val="0"/>
        <w:snapToGrid w:val="0"/>
        <w:spacing w:line="336"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4）网上培训方式</w:t>
      </w:r>
    </w:p>
    <w:p>
      <w:pPr>
        <w:keepNext w:val="0"/>
        <w:keepLines w:val="0"/>
        <w:pageBreakBefore w:val="0"/>
        <w:kinsoku/>
        <w:wordWrap/>
        <w:overflowPunct/>
        <w:topLinePunct w:val="0"/>
        <w:autoSpaceDE/>
        <w:autoSpaceDN/>
        <w:bidi w:val="0"/>
        <w:adjustRightInd w:val="0"/>
        <w:snapToGrid w:val="0"/>
        <w:spacing w:line="336"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为</w:t>
      </w:r>
      <w:r>
        <w:rPr>
          <w:rFonts w:hint="eastAsia" w:ascii="宋体" w:hAnsi="宋体" w:eastAsia="宋体" w:cs="宋体"/>
          <w:sz w:val="21"/>
          <w:szCs w:val="21"/>
          <w:lang w:val="en-US" w:eastAsia="zh-CN"/>
        </w:rPr>
        <w:t>采购人</w:t>
      </w:r>
      <w:r>
        <w:rPr>
          <w:rFonts w:hint="eastAsia" w:ascii="宋体" w:hAnsi="宋体" w:eastAsia="宋体" w:cs="宋体"/>
          <w:sz w:val="21"/>
          <w:szCs w:val="21"/>
        </w:rPr>
        <w:t>提供在线培训教程。</w:t>
      </w:r>
    </w:p>
    <w:p>
      <w:pPr>
        <w:keepNext w:val="0"/>
        <w:keepLines w:val="0"/>
        <w:pageBreakBefore w:val="0"/>
        <w:kinsoku/>
        <w:wordWrap/>
        <w:overflowPunct/>
        <w:topLinePunct w:val="0"/>
        <w:autoSpaceDE/>
        <w:autoSpaceDN/>
        <w:bidi w:val="0"/>
        <w:adjustRightInd w:val="0"/>
        <w:snapToGrid w:val="0"/>
        <w:spacing w:line="336" w:lineRule="auto"/>
        <w:ind w:firstLine="422" w:firstLineChars="20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（三）运维要求</w:t>
      </w:r>
    </w:p>
    <w:p>
      <w:pPr>
        <w:keepNext w:val="0"/>
        <w:keepLines w:val="0"/>
        <w:pageBreakBefore w:val="0"/>
        <w:kinsoku/>
        <w:wordWrap/>
        <w:overflowPunct/>
        <w:topLinePunct w:val="0"/>
        <w:autoSpaceDE/>
        <w:autoSpaceDN/>
        <w:bidi w:val="0"/>
        <w:adjustRightInd w:val="0"/>
        <w:snapToGrid w:val="0"/>
        <w:spacing w:line="336"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1.售后服务内容</w:t>
      </w:r>
    </w:p>
    <w:p>
      <w:pPr>
        <w:keepNext w:val="0"/>
        <w:keepLines w:val="0"/>
        <w:pageBreakBefore w:val="0"/>
        <w:kinsoku/>
        <w:wordWrap/>
        <w:overflowPunct/>
        <w:topLinePunct w:val="0"/>
        <w:autoSpaceDE/>
        <w:autoSpaceDN/>
        <w:bidi w:val="0"/>
        <w:adjustRightInd w:val="0"/>
        <w:snapToGrid w:val="0"/>
        <w:spacing w:line="336"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1）供应商</w:t>
      </w:r>
      <w:r>
        <w:rPr>
          <w:rFonts w:hint="eastAsia" w:ascii="宋体" w:hAnsi="宋体" w:eastAsia="宋体" w:cs="宋体"/>
          <w:sz w:val="21"/>
          <w:szCs w:val="21"/>
        </w:rPr>
        <w:t>必须按照本次采购、要求提供免费现场售后维护服务、以及相关系统软件的免费软件升级服务。</w:t>
      </w:r>
    </w:p>
    <w:p>
      <w:pPr>
        <w:keepNext w:val="0"/>
        <w:keepLines w:val="0"/>
        <w:pageBreakBefore w:val="0"/>
        <w:kinsoku/>
        <w:wordWrap/>
        <w:overflowPunct/>
        <w:topLinePunct w:val="0"/>
        <w:autoSpaceDE/>
        <w:autoSpaceDN/>
        <w:bidi w:val="0"/>
        <w:adjustRightInd w:val="0"/>
        <w:snapToGrid w:val="0"/>
        <w:spacing w:line="336"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保修和售后维护服务时间从项目终验之日起计算。</w:t>
      </w:r>
    </w:p>
    <w:p>
      <w:pPr>
        <w:keepNext w:val="0"/>
        <w:keepLines w:val="0"/>
        <w:pageBreakBefore w:val="0"/>
        <w:kinsoku/>
        <w:wordWrap/>
        <w:overflowPunct/>
        <w:topLinePunct w:val="0"/>
        <w:autoSpaceDE/>
        <w:autoSpaceDN/>
        <w:bidi w:val="0"/>
        <w:adjustRightInd w:val="0"/>
        <w:snapToGrid w:val="0"/>
        <w:spacing w:line="336"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针对本项目所提供产品，</w:t>
      </w:r>
      <w:r>
        <w:rPr>
          <w:rFonts w:hint="eastAsia" w:ascii="宋体" w:hAnsi="宋体" w:eastAsia="宋体" w:cs="宋体"/>
          <w:sz w:val="21"/>
          <w:szCs w:val="21"/>
          <w:lang w:val="en-US" w:eastAsia="zh-CN"/>
        </w:rPr>
        <w:t>供应商</w:t>
      </w:r>
      <w:r>
        <w:rPr>
          <w:rFonts w:hint="eastAsia" w:ascii="宋体" w:hAnsi="宋体" w:eastAsia="宋体" w:cs="宋体"/>
          <w:sz w:val="21"/>
          <w:szCs w:val="21"/>
        </w:rPr>
        <w:t>需在投标书中明确承诺维保服务</w:t>
      </w:r>
      <w:r>
        <w:rPr>
          <w:rFonts w:hint="eastAsia" w:ascii="宋体" w:hAnsi="宋体" w:eastAsia="宋体" w:cs="宋体"/>
          <w:sz w:val="21"/>
          <w:szCs w:val="21"/>
          <w:lang w:val="en-US" w:eastAsia="zh-CN"/>
        </w:rPr>
        <w:t>期限</w:t>
      </w: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adjustRightInd w:val="0"/>
        <w:snapToGrid w:val="0"/>
        <w:spacing w:line="336"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中标人向</w:t>
      </w:r>
      <w:r>
        <w:rPr>
          <w:rFonts w:hint="eastAsia" w:ascii="宋体" w:hAnsi="宋体" w:eastAsia="宋体" w:cs="宋体"/>
          <w:sz w:val="21"/>
          <w:szCs w:val="21"/>
          <w:lang w:val="en-US" w:eastAsia="zh-CN"/>
        </w:rPr>
        <w:t>采购人</w:t>
      </w:r>
      <w:r>
        <w:rPr>
          <w:rFonts w:hint="eastAsia" w:ascii="宋体" w:hAnsi="宋体" w:eastAsia="宋体" w:cs="宋体"/>
          <w:sz w:val="21"/>
          <w:szCs w:val="21"/>
        </w:rPr>
        <w:t>免费提供电话、E-Mail和Internet网站技术支持方式。能够在互联网站上查询、下载相关技术资料、提交问题并获得支持。E-MAIL至少需次日回复。</w:t>
      </w:r>
      <w:r>
        <w:rPr>
          <w:rFonts w:hint="eastAsia" w:ascii="宋体" w:hAnsi="宋体" w:eastAsia="宋体" w:cs="宋体"/>
          <w:sz w:val="21"/>
          <w:szCs w:val="21"/>
          <w:lang w:val="en-US" w:eastAsia="zh-CN"/>
        </w:rPr>
        <w:t>采购人</w:t>
      </w:r>
      <w:r>
        <w:rPr>
          <w:rFonts w:hint="eastAsia" w:ascii="宋体" w:hAnsi="宋体" w:eastAsia="宋体" w:cs="宋体"/>
          <w:sz w:val="21"/>
          <w:szCs w:val="21"/>
        </w:rPr>
        <w:t>需要时必须免费提供现场服务。</w:t>
      </w:r>
    </w:p>
    <w:p>
      <w:pPr>
        <w:keepNext w:val="0"/>
        <w:keepLines w:val="0"/>
        <w:pageBreakBefore w:val="0"/>
        <w:kinsoku/>
        <w:wordWrap/>
        <w:overflowPunct/>
        <w:topLinePunct w:val="0"/>
        <w:autoSpaceDE/>
        <w:autoSpaceDN/>
        <w:bidi w:val="0"/>
        <w:adjustRightInd w:val="0"/>
        <w:snapToGrid w:val="0"/>
        <w:spacing w:line="336" w:lineRule="auto"/>
        <w:ind w:firstLine="422" w:firstLineChars="200"/>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（四）项目安全要求</w:t>
      </w:r>
    </w:p>
    <w:p>
      <w:pPr>
        <w:keepNext w:val="0"/>
        <w:keepLines w:val="0"/>
        <w:pageBreakBefore w:val="0"/>
        <w:kinsoku/>
        <w:wordWrap/>
        <w:overflowPunct/>
        <w:topLinePunct w:val="0"/>
        <w:autoSpaceDE/>
        <w:autoSpaceDN/>
        <w:bidi w:val="0"/>
        <w:adjustRightInd w:val="0"/>
        <w:snapToGrid w:val="0"/>
        <w:spacing w:line="336"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本项目要求符合等保二级要求。中标人根据系统安全的等级评测的要求提供相关资料，由</w:t>
      </w:r>
      <w:r>
        <w:rPr>
          <w:rFonts w:hint="eastAsia" w:ascii="宋体" w:hAnsi="宋体" w:cs="宋体"/>
          <w:sz w:val="21"/>
          <w:szCs w:val="21"/>
          <w:lang w:eastAsia="zh-CN"/>
        </w:rPr>
        <w:t>采购</w:t>
      </w:r>
      <w:r>
        <w:rPr>
          <w:rFonts w:hint="eastAsia" w:ascii="宋体" w:hAnsi="宋体" w:eastAsia="宋体" w:cs="宋体"/>
          <w:sz w:val="21"/>
          <w:szCs w:val="21"/>
        </w:rPr>
        <w:t>人邀请具备安全等保评测资质的单位对本项目进行评测，首次评测的评测费用由</w:t>
      </w:r>
      <w:r>
        <w:rPr>
          <w:rFonts w:hint="eastAsia" w:ascii="宋体" w:hAnsi="宋体" w:cs="宋体"/>
          <w:sz w:val="21"/>
          <w:szCs w:val="21"/>
          <w:lang w:eastAsia="zh-CN"/>
        </w:rPr>
        <w:t>采购</w:t>
      </w:r>
      <w:r>
        <w:rPr>
          <w:rFonts w:hint="eastAsia" w:ascii="宋体" w:hAnsi="宋体" w:eastAsia="宋体" w:cs="宋体"/>
          <w:sz w:val="21"/>
          <w:szCs w:val="21"/>
        </w:rPr>
        <w:t>人落实，若中标人无法在首次通过安全评测，后续的费用由中标人承担。</w:t>
      </w:r>
    </w:p>
    <w:p>
      <w:pPr>
        <w:keepNext w:val="0"/>
        <w:keepLines w:val="0"/>
        <w:pageBreakBefore w:val="0"/>
        <w:kinsoku/>
        <w:wordWrap/>
        <w:overflowPunct/>
        <w:topLinePunct w:val="0"/>
        <w:autoSpaceDE/>
        <w:autoSpaceDN/>
        <w:bidi w:val="0"/>
        <w:adjustRightInd w:val="0"/>
        <w:snapToGrid w:val="0"/>
        <w:spacing w:line="336" w:lineRule="auto"/>
        <w:ind w:firstLine="422" w:firstLineChars="20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（五）其他要求</w:t>
      </w:r>
    </w:p>
    <w:p>
      <w:pPr>
        <w:keepNext w:val="0"/>
        <w:keepLines w:val="0"/>
        <w:pageBreakBefore w:val="0"/>
        <w:kinsoku/>
        <w:wordWrap/>
        <w:overflowPunct/>
        <w:topLinePunct w:val="0"/>
        <w:autoSpaceDE/>
        <w:autoSpaceDN/>
        <w:bidi w:val="0"/>
        <w:adjustRightInd w:val="0"/>
        <w:snapToGrid w:val="0"/>
        <w:spacing w:line="336" w:lineRule="auto"/>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供应商</w:t>
      </w:r>
      <w:r>
        <w:rPr>
          <w:rFonts w:hint="eastAsia" w:ascii="宋体" w:hAnsi="宋体" w:eastAsia="宋体" w:cs="宋体"/>
          <w:sz w:val="21"/>
          <w:szCs w:val="21"/>
        </w:rPr>
        <w:t>必须保证，</w:t>
      </w:r>
      <w:r>
        <w:rPr>
          <w:rFonts w:hint="eastAsia" w:ascii="宋体" w:hAnsi="宋体" w:eastAsia="宋体" w:cs="宋体"/>
          <w:sz w:val="21"/>
          <w:szCs w:val="21"/>
          <w:lang w:val="en-US" w:eastAsia="zh-CN"/>
        </w:rPr>
        <w:t>采购人</w:t>
      </w:r>
      <w:r>
        <w:rPr>
          <w:rFonts w:hint="eastAsia" w:ascii="宋体" w:hAnsi="宋体" w:eastAsia="宋体" w:cs="宋体"/>
          <w:sz w:val="21"/>
          <w:szCs w:val="21"/>
        </w:rPr>
        <w:t>在中华人民共和国境内使用投标货物、资料、技术、服务或其任何一部分时，享有不受限制的无偿使用权，如有第三方向</w:t>
      </w:r>
      <w:r>
        <w:rPr>
          <w:rFonts w:hint="eastAsia" w:ascii="宋体" w:hAnsi="宋体" w:eastAsia="宋体" w:cs="宋体"/>
          <w:sz w:val="21"/>
          <w:szCs w:val="21"/>
          <w:lang w:val="en-US" w:eastAsia="zh-CN"/>
        </w:rPr>
        <w:t>采购人</w:t>
      </w:r>
      <w:r>
        <w:rPr>
          <w:rFonts w:hint="eastAsia" w:ascii="宋体" w:hAnsi="宋体" w:eastAsia="宋体" w:cs="宋体"/>
          <w:sz w:val="21"/>
          <w:szCs w:val="21"/>
        </w:rPr>
        <w:t>提出侵犯其专利权、商标权或其它知识产权的主张，该责任应由</w:t>
      </w:r>
      <w:r>
        <w:rPr>
          <w:rFonts w:hint="eastAsia" w:ascii="宋体" w:hAnsi="宋体" w:eastAsia="宋体" w:cs="宋体"/>
          <w:sz w:val="21"/>
          <w:szCs w:val="21"/>
          <w:lang w:val="en-US" w:eastAsia="zh-CN"/>
        </w:rPr>
        <w:t>供应商</w:t>
      </w:r>
      <w:r>
        <w:rPr>
          <w:rFonts w:hint="eastAsia" w:ascii="宋体" w:hAnsi="宋体" w:eastAsia="宋体" w:cs="宋体"/>
          <w:sz w:val="21"/>
          <w:szCs w:val="21"/>
        </w:rPr>
        <w:t>承担。系统软件、通用软件必须是具有在中国境内的合法使用权或版权的正版软件，涉及到第三方提出侵权或知识产权的起诉及支付版税等费用由</w:t>
      </w:r>
      <w:r>
        <w:rPr>
          <w:rFonts w:hint="eastAsia" w:ascii="宋体" w:hAnsi="宋体" w:eastAsia="宋体" w:cs="宋体"/>
          <w:sz w:val="21"/>
          <w:szCs w:val="21"/>
          <w:lang w:val="en-US" w:eastAsia="zh-CN"/>
        </w:rPr>
        <w:t>供应商</w:t>
      </w:r>
      <w:r>
        <w:rPr>
          <w:rFonts w:hint="eastAsia" w:ascii="宋体" w:hAnsi="宋体" w:eastAsia="宋体" w:cs="宋体"/>
          <w:sz w:val="21"/>
          <w:szCs w:val="21"/>
        </w:rPr>
        <w:t>承担所有责任及费用。</w:t>
      </w:r>
    </w:p>
    <w:p>
      <w:pPr>
        <w:keepNext w:val="0"/>
        <w:keepLines w:val="0"/>
        <w:pageBreakBefore w:val="0"/>
        <w:kinsoku/>
        <w:wordWrap/>
        <w:overflowPunct/>
        <w:topLinePunct w:val="0"/>
        <w:autoSpaceDE/>
        <w:autoSpaceDN/>
        <w:bidi w:val="0"/>
        <w:adjustRightInd w:val="0"/>
        <w:snapToGrid w:val="0"/>
        <w:spacing w:line="336" w:lineRule="auto"/>
        <w:ind w:firstLine="420" w:firstLineChars="200"/>
        <w:textAlignment w:val="auto"/>
        <w:outlineLvl w:val="9"/>
        <w:rPr>
          <w:rFonts w:hint="eastAsia" w:ascii="宋体" w:hAnsi="宋体" w:cs="宋体"/>
          <w:b/>
          <w:bCs/>
          <w:color w:val="auto"/>
          <w:sz w:val="28"/>
          <w:szCs w:val="28"/>
          <w:highlight w:val="none"/>
        </w:rPr>
      </w:pPr>
      <w:r>
        <w:rPr>
          <w:rFonts w:hint="eastAsia" w:ascii="宋体" w:hAnsi="宋体" w:eastAsia="宋体" w:cs="宋体"/>
          <w:sz w:val="21"/>
          <w:szCs w:val="21"/>
        </w:rPr>
        <w:t>2.在合同履行过程中发生争议，双方应当协商解决。双方不愿协商、调解解决或者协商、调解不成的，提交</w:t>
      </w:r>
      <w:r>
        <w:rPr>
          <w:rFonts w:hint="eastAsia" w:ascii="宋体" w:hAnsi="宋体" w:eastAsia="宋体" w:cs="宋体"/>
          <w:sz w:val="21"/>
          <w:szCs w:val="21"/>
          <w:lang w:val="en-US" w:eastAsia="zh-CN"/>
        </w:rPr>
        <w:t>采购人</w:t>
      </w:r>
      <w:r>
        <w:rPr>
          <w:rFonts w:hint="eastAsia" w:ascii="宋体" w:hAnsi="宋体" w:eastAsia="宋体" w:cs="宋体"/>
          <w:sz w:val="21"/>
          <w:szCs w:val="21"/>
        </w:rPr>
        <w:t>所在地法院诉讼解决。</w:t>
      </w:r>
    </w:p>
    <w:p>
      <w:pPr>
        <w:keepNext w:val="0"/>
        <w:keepLines w:val="0"/>
        <w:pageBreakBefore w:val="0"/>
        <w:widowControl/>
        <w:kinsoku/>
        <w:wordWrap/>
        <w:overflowPunct/>
        <w:topLinePunct w:val="0"/>
        <w:autoSpaceDE/>
        <w:autoSpaceDN/>
        <w:bidi w:val="0"/>
        <w:adjustRightInd/>
        <w:snapToGrid/>
        <w:spacing w:line="336" w:lineRule="auto"/>
        <w:jc w:val="left"/>
        <w:textAlignment w:val="auto"/>
        <w:outlineLvl w:val="9"/>
        <w:rPr>
          <w:rFonts w:hint="eastAsia" w:ascii="宋体" w:hAnsi="宋体" w:cs="宋体"/>
          <w:b/>
          <w:bCs/>
          <w:color w:val="auto"/>
          <w:sz w:val="28"/>
          <w:szCs w:val="28"/>
          <w:highlight w:val="none"/>
        </w:rPr>
      </w:pPr>
    </w:p>
    <w:p>
      <w:pPr>
        <w:keepNext w:val="0"/>
        <w:keepLines w:val="0"/>
        <w:pageBreakBefore w:val="0"/>
        <w:widowControl/>
        <w:kinsoku/>
        <w:wordWrap/>
        <w:overflowPunct/>
        <w:topLinePunct w:val="0"/>
        <w:autoSpaceDE/>
        <w:autoSpaceDN/>
        <w:bidi w:val="0"/>
        <w:adjustRightInd/>
        <w:snapToGrid/>
        <w:spacing w:line="336" w:lineRule="auto"/>
        <w:jc w:val="left"/>
        <w:textAlignment w:val="auto"/>
        <w:outlineLvl w:val="9"/>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四、投标要求</w:t>
      </w:r>
    </w:p>
    <w:p>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标项一、三：供应商需在投标文件中提供技术响应情况，提供完整的项目理解情况、实施方案、系统对接方案、售后服务方案、培训方案，提供拟投入人员的相关资质证书复印件、履约能力相关证明材料、业绩相关合同复印件。供应商需在评审现场进行演示，</w:t>
      </w:r>
      <w:r>
        <w:rPr>
          <w:rFonts w:hint="eastAsia" w:ascii="宋体" w:hAnsi="宋体" w:eastAsia="宋体" w:cs="宋体"/>
          <w:color w:val="auto"/>
          <w:sz w:val="21"/>
          <w:szCs w:val="21"/>
          <w:highlight w:val="none"/>
          <w:lang w:val="en-US" w:eastAsia="zh-CN"/>
        </w:rPr>
        <w:t>演示时间不超过15分钟，</w:t>
      </w:r>
      <w:r>
        <w:rPr>
          <w:rFonts w:hint="eastAsia" w:ascii="Calibri" w:hAnsi="Calibri" w:eastAsia="宋体" w:cs="Times New Roman"/>
          <w:lang w:val="en-US" w:eastAsia="zh-CN"/>
        </w:rPr>
        <w:t>须自带U盘、电脑、转换器等现场演示工具。</w:t>
      </w:r>
    </w:p>
    <w:p>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default" w:ascii="Calibri" w:hAnsi="Calibri" w:eastAsia="宋体" w:cs="Times New Roman"/>
          <w:lang w:val="en-US" w:eastAsia="zh-CN"/>
        </w:rPr>
      </w:pPr>
    </w:p>
    <w:p>
      <w:pPr>
        <w:keepNext w:val="0"/>
        <w:keepLines w:val="0"/>
        <w:pageBreakBefore w:val="0"/>
        <w:widowControl/>
        <w:kinsoku/>
        <w:wordWrap/>
        <w:overflowPunct/>
        <w:topLinePunct w:val="0"/>
        <w:autoSpaceDE/>
        <w:autoSpaceDN/>
        <w:bidi w:val="0"/>
        <w:adjustRightInd/>
        <w:snapToGrid/>
        <w:spacing w:line="336" w:lineRule="auto"/>
        <w:ind w:firstLine="420" w:firstLineChars="200"/>
        <w:jc w:val="left"/>
        <w:textAlignment w:val="auto"/>
        <w:outlineLvl w:val="9"/>
        <w:rPr>
          <w:rFonts w:hint="eastAsia" w:ascii="宋体" w:hAnsi="宋体" w:cs="宋体"/>
          <w:b/>
          <w:bCs/>
          <w:color w:val="auto"/>
          <w:sz w:val="28"/>
          <w:szCs w:val="28"/>
          <w:highlight w:val="none"/>
        </w:rPr>
      </w:pPr>
      <w:r>
        <w:rPr>
          <w:rFonts w:hint="default" w:ascii="Calibri" w:hAnsi="Calibri" w:eastAsia="宋体" w:cs="Times New Roman"/>
          <w:lang w:val="en-US" w:eastAsia="zh-CN"/>
        </w:rPr>
        <w:t>标项</w:t>
      </w:r>
      <w:r>
        <w:rPr>
          <w:rFonts w:hint="eastAsia" w:ascii="Calibri" w:hAnsi="Calibri" w:eastAsia="宋体" w:cs="Times New Roman"/>
          <w:lang w:val="en-US" w:eastAsia="zh-CN"/>
        </w:rPr>
        <w:t>二</w:t>
      </w:r>
      <w:r>
        <w:rPr>
          <w:rFonts w:hint="default" w:ascii="Calibri" w:hAnsi="Calibri" w:eastAsia="宋体" w:cs="Times New Roman"/>
          <w:lang w:val="en-US" w:eastAsia="zh-CN"/>
        </w:rPr>
        <w:t>：供应商需在投标文件中提供技术响应情况，提供完整的项目理解情况、实施方案、系统对接方案、</w:t>
      </w:r>
      <w:r>
        <w:rPr>
          <w:rFonts w:hint="eastAsia" w:ascii="Calibri" w:hAnsi="Calibri" w:eastAsia="宋体" w:cs="Times New Roman"/>
          <w:lang w:val="en-US" w:eastAsia="zh-CN"/>
        </w:rPr>
        <w:t>标准体系梳理方案、</w:t>
      </w:r>
      <w:r>
        <w:rPr>
          <w:rFonts w:hint="default" w:ascii="Calibri" w:hAnsi="Calibri" w:eastAsia="宋体" w:cs="Times New Roman"/>
          <w:lang w:val="en-US" w:eastAsia="zh-CN"/>
        </w:rPr>
        <w:t>售后服务方案、培训方案，提供拟投入人员的相关资质证书复印件、履约能力相关证明材料、业绩相关合同复印件。供应商需在评审现场进行演示，演示时间不超过15分钟，须自带U盘、电脑、转换器等现场演示工具。</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宋体" w:hAnsi="宋体" w:cs="宋体"/>
          <w:color w:val="auto"/>
          <w:sz w:val="30"/>
          <w:szCs w:val="30"/>
          <w:highlight w:val="none"/>
        </w:rPr>
      </w:pPr>
      <w:bookmarkStart w:id="32" w:name="_Toc18754"/>
      <w:r>
        <w:rPr>
          <w:rFonts w:hint="eastAsia" w:ascii="宋体" w:hAnsi="宋体" w:cs="宋体"/>
          <w:b/>
          <w:bCs/>
          <w:color w:val="auto"/>
          <w:sz w:val="28"/>
          <w:szCs w:val="28"/>
          <w:highlight w:val="none"/>
        </w:rPr>
        <w:t>第三章  供应商须知</w:t>
      </w:r>
      <w:bookmarkEnd w:id="32"/>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cs="宋体"/>
          <w:color w:val="auto"/>
          <w:highlight w:val="none"/>
        </w:rPr>
      </w:pPr>
      <w:r>
        <w:rPr>
          <w:rFonts w:hint="eastAsia" w:ascii="宋体" w:hAnsi="宋体" w:cs="宋体"/>
          <w:color w:val="auto"/>
          <w:highlight w:val="none"/>
        </w:rPr>
        <w:t>前附表</w:t>
      </w:r>
    </w:p>
    <w:tbl>
      <w:tblPr>
        <w:tblStyle w:val="3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0"/>
        <w:gridCol w:w="75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288" w:lineRule="auto"/>
              <w:jc w:val="center"/>
              <w:outlineLvl w:val="9"/>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755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288" w:lineRule="auto"/>
              <w:jc w:val="center"/>
              <w:outlineLvl w:val="9"/>
              <w:rPr>
                <w:rFonts w:ascii="宋体" w:hAnsi="宋体" w:cs="宋体"/>
                <w:b/>
                <w:bCs/>
                <w:color w:val="auto"/>
                <w:szCs w:val="21"/>
                <w:highlight w:val="none"/>
              </w:rPr>
            </w:pPr>
            <w:r>
              <w:rPr>
                <w:rFonts w:hint="eastAsia" w:ascii="宋体" w:hAnsi="宋体" w:cs="宋体"/>
                <w:b/>
                <w:bCs/>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288" w:lineRule="auto"/>
              <w:jc w:val="center"/>
              <w:outlineLvl w:val="9"/>
              <w:rPr>
                <w:rFonts w:ascii="宋体" w:hAnsi="宋体" w:cs="宋体"/>
                <w:color w:val="auto"/>
                <w:szCs w:val="21"/>
                <w:highlight w:val="none"/>
              </w:rPr>
            </w:pPr>
            <w:r>
              <w:rPr>
                <w:rFonts w:hint="eastAsia" w:ascii="宋体" w:hAnsi="宋体" w:cs="宋体"/>
                <w:color w:val="auto"/>
                <w:szCs w:val="21"/>
                <w:highlight w:val="none"/>
              </w:rPr>
              <w:t>★1</w:t>
            </w:r>
          </w:p>
        </w:tc>
        <w:tc>
          <w:tcPr>
            <w:tcW w:w="755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288" w:lineRule="auto"/>
              <w:outlineLvl w:val="9"/>
              <w:rPr>
                <w:rFonts w:ascii="宋体" w:hAnsi="宋体" w:cs="宋体"/>
                <w:color w:val="auto"/>
                <w:highlight w:val="none"/>
              </w:rPr>
            </w:pPr>
            <w:r>
              <w:rPr>
                <w:rFonts w:hint="eastAsia" w:ascii="宋体" w:hAnsi="宋体" w:cs="宋体"/>
                <w:color w:val="auto"/>
                <w:highlight w:val="none"/>
              </w:rPr>
              <w:t>投标报价及费用：</w:t>
            </w:r>
          </w:p>
          <w:p>
            <w:pPr>
              <w:pageBreakBefore w:val="0"/>
              <w:kinsoku/>
              <w:overflowPunct/>
              <w:bidi w:val="0"/>
              <w:spacing w:line="288" w:lineRule="auto"/>
              <w:outlineLvl w:val="9"/>
              <w:rPr>
                <w:rFonts w:ascii="宋体" w:hAnsi="宋体" w:cs="宋体"/>
                <w:color w:val="auto"/>
                <w:highlight w:val="none"/>
              </w:rPr>
            </w:pPr>
            <w:r>
              <w:rPr>
                <w:rFonts w:hint="eastAsia" w:ascii="宋体" w:hAnsi="宋体" w:cs="宋体"/>
                <w:color w:val="auto"/>
                <w:highlight w:val="none"/>
              </w:rPr>
              <w:t>1、本项目投标报价须是完成本项目的所有费用，应包括涉及研究、分析、建设、优化工作的所有费用，如人工费、设备费、差旅费、管理费、保险费、安装费、调试费、</w:t>
            </w:r>
            <w:r>
              <w:rPr>
                <w:rFonts w:hint="eastAsia" w:ascii="宋体" w:hAnsi="宋体" w:cs="宋体"/>
                <w:color w:val="auto"/>
                <w:highlight w:val="none"/>
                <w:lang w:val="en-US" w:eastAsia="zh-CN"/>
              </w:rPr>
              <w:t>试</w:t>
            </w:r>
            <w:r>
              <w:rPr>
                <w:rFonts w:hint="eastAsia" w:ascii="宋体" w:hAnsi="宋体" w:cs="宋体"/>
                <w:color w:val="auto"/>
                <w:highlight w:val="none"/>
              </w:rPr>
              <w:t>运行、质保</w:t>
            </w:r>
            <w:r>
              <w:rPr>
                <w:rFonts w:hint="eastAsia" w:ascii="宋体" w:hAnsi="宋体" w:cs="宋体"/>
                <w:color w:val="auto"/>
                <w:highlight w:val="none"/>
                <w:lang w:eastAsia="zh-CN"/>
              </w:rPr>
              <w:t>（维保服务）</w:t>
            </w:r>
            <w:r>
              <w:rPr>
                <w:rFonts w:hint="eastAsia" w:ascii="宋体" w:hAnsi="宋体" w:cs="宋体"/>
                <w:color w:val="auto"/>
                <w:highlight w:val="none"/>
              </w:rPr>
              <w:t>、验收、利润和税金等全部费用。本项目相关费用包含在供应商的报价中，采购人后期不再追加费用，供应商自行考虑风险。</w:t>
            </w:r>
          </w:p>
          <w:p>
            <w:pPr>
              <w:pageBreakBefore w:val="0"/>
              <w:kinsoku/>
              <w:overflowPunct/>
              <w:bidi w:val="0"/>
              <w:spacing w:line="288" w:lineRule="auto"/>
              <w:outlineLvl w:val="9"/>
              <w:rPr>
                <w:rFonts w:ascii="宋体" w:hAnsi="宋体" w:cs="宋体"/>
                <w:color w:val="auto"/>
                <w:highlight w:val="none"/>
              </w:rPr>
            </w:pPr>
            <w:r>
              <w:rPr>
                <w:rFonts w:hint="eastAsia" w:ascii="宋体" w:hAnsi="宋体" w:cs="宋体"/>
                <w:color w:val="auto"/>
                <w:highlight w:val="none"/>
              </w:rPr>
              <w:t>2、本项目投标应以人民币报价；采购预算及最高限价详见《第一章  公开招标公告》；若供应商的投标报价超过采购预算或最高限价的，其投标作无效标处理。</w:t>
            </w:r>
          </w:p>
          <w:p>
            <w:pPr>
              <w:pageBreakBefore w:val="0"/>
              <w:kinsoku/>
              <w:overflowPunct/>
              <w:bidi w:val="0"/>
              <w:spacing w:line="288" w:lineRule="auto"/>
              <w:outlineLvl w:val="9"/>
              <w:rPr>
                <w:rFonts w:ascii="宋体" w:hAnsi="宋体" w:cs="宋体"/>
                <w:color w:val="auto"/>
                <w:highlight w:val="none"/>
              </w:rPr>
            </w:pPr>
            <w:r>
              <w:rPr>
                <w:rFonts w:hint="eastAsia" w:ascii="宋体" w:hAnsi="宋体" w:cs="宋体"/>
                <w:color w:val="auto"/>
                <w:highlight w:val="none"/>
              </w:rPr>
              <w:t>3、不论采购结果如何，供应商均应自行承担所有与采购有关的全部费用；</w:t>
            </w:r>
          </w:p>
          <w:p>
            <w:pPr>
              <w:pStyle w:val="13"/>
              <w:pageBreakBefore w:val="0"/>
              <w:kinsoku/>
              <w:overflowPunct/>
              <w:bidi w:val="0"/>
              <w:spacing w:line="288" w:lineRule="auto"/>
              <w:outlineLvl w:val="9"/>
              <w:rPr>
                <w:rFonts w:ascii="宋体" w:hAnsi="宋体" w:cs="宋体"/>
                <w:color w:val="auto"/>
                <w:szCs w:val="21"/>
                <w:highlight w:val="none"/>
              </w:rPr>
            </w:pPr>
            <w:r>
              <w:rPr>
                <w:rFonts w:hint="eastAsia" w:ascii="宋体" w:hAnsi="宋体" w:cs="宋体"/>
                <w:color w:val="auto"/>
                <w:highlight w:val="none"/>
              </w:rPr>
              <w:t>4、</w:t>
            </w:r>
            <w:r>
              <w:rPr>
                <w:rFonts w:hint="eastAsia" w:ascii="宋体" w:hAnsi="宋体" w:cs="宋体"/>
                <w:color w:val="auto"/>
                <w:highlight w:val="none"/>
                <w:lang w:eastAsia="zh-CN"/>
              </w:rPr>
              <w:t>招标代理服务费</w:t>
            </w:r>
            <w:r>
              <w:rPr>
                <w:rFonts w:hint="eastAsia" w:ascii="宋体" w:hAnsi="宋体" w:cs="宋体"/>
                <w:color w:val="auto"/>
                <w:highlight w:val="none"/>
              </w:rPr>
              <w:t>的收取标准：</w:t>
            </w:r>
            <w:r>
              <w:rPr>
                <w:rFonts w:hint="eastAsia" w:ascii="宋体" w:hAnsi="宋体" w:cs="宋体"/>
                <w:color w:val="auto"/>
                <w:szCs w:val="21"/>
                <w:highlight w:val="none"/>
              </w:rPr>
              <w:t>采购代理机构按下表中</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招标的标准</w:t>
            </w:r>
            <w:r>
              <w:rPr>
                <w:rFonts w:hint="eastAsia" w:ascii="宋体" w:hAnsi="宋体" w:cs="宋体"/>
                <w:color w:val="auto"/>
                <w:szCs w:val="21"/>
                <w:highlight w:val="none"/>
                <w:lang w:eastAsia="zh-CN"/>
              </w:rPr>
              <w:t>，</w:t>
            </w:r>
            <w:r>
              <w:rPr>
                <w:rFonts w:hint="eastAsia" w:ascii="宋体" w:hAnsi="宋体" w:cs="宋体"/>
                <w:color w:val="auto"/>
                <w:szCs w:val="21"/>
                <w:highlight w:val="none"/>
              </w:rPr>
              <w:t>根据</w:t>
            </w:r>
            <w:r>
              <w:rPr>
                <w:rFonts w:hint="eastAsia" w:ascii="宋体" w:hAnsi="宋体" w:cs="宋体"/>
                <w:color w:val="auto"/>
                <w:szCs w:val="21"/>
                <w:highlight w:val="none"/>
                <w:lang w:eastAsia="zh-CN"/>
              </w:rPr>
              <w:t>各标项的</w:t>
            </w:r>
            <w:r>
              <w:rPr>
                <w:rFonts w:hint="eastAsia" w:ascii="宋体" w:hAnsi="宋体" w:cs="宋体"/>
                <w:color w:val="auto"/>
                <w:szCs w:val="21"/>
                <w:highlight w:val="none"/>
              </w:rPr>
              <w:t>预算金额</w:t>
            </w:r>
            <w:r>
              <w:rPr>
                <w:rFonts w:hint="eastAsia" w:ascii="宋体" w:hAnsi="宋体" w:cs="宋体"/>
                <w:color w:val="auto"/>
                <w:szCs w:val="21"/>
                <w:highlight w:val="none"/>
                <w:lang w:eastAsia="zh-CN"/>
              </w:rPr>
              <w:t>，</w:t>
            </w:r>
            <w:r>
              <w:rPr>
                <w:rFonts w:hint="eastAsia" w:ascii="宋体" w:hAnsi="宋体" w:cs="宋体"/>
                <w:color w:val="auto"/>
                <w:szCs w:val="21"/>
                <w:highlight w:val="none"/>
              </w:rPr>
              <w:t>向</w:t>
            </w:r>
            <w:r>
              <w:rPr>
                <w:rFonts w:hint="eastAsia" w:ascii="宋体" w:hAnsi="宋体" w:cs="宋体"/>
                <w:color w:val="auto"/>
                <w:szCs w:val="21"/>
                <w:highlight w:val="none"/>
                <w:lang w:val="en-US" w:eastAsia="zh-CN"/>
              </w:rPr>
              <w:t>各标项</w:t>
            </w:r>
            <w:r>
              <w:rPr>
                <w:rFonts w:hint="eastAsia" w:ascii="宋体" w:hAnsi="宋体" w:cs="宋体"/>
                <w:color w:val="auto"/>
                <w:szCs w:val="21"/>
                <w:highlight w:val="none"/>
              </w:rPr>
              <w:t>中标供应商收取</w:t>
            </w:r>
            <w:r>
              <w:rPr>
                <w:rFonts w:hint="eastAsia" w:ascii="宋体" w:hAnsi="宋体" w:cs="宋体"/>
                <w:color w:val="auto"/>
                <w:szCs w:val="21"/>
                <w:highlight w:val="none"/>
                <w:lang w:eastAsia="zh-CN"/>
              </w:rPr>
              <w:t>招标代理服务费</w:t>
            </w:r>
            <w:r>
              <w:rPr>
                <w:rFonts w:hint="eastAsia" w:ascii="宋体" w:hAnsi="宋体" w:cs="宋体"/>
                <w:color w:val="auto"/>
                <w:szCs w:val="21"/>
                <w:highlight w:val="none"/>
              </w:rPr>
              <w:t>。</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999"/>
              <w:gridCol w:w="1360"/>
              <w:gridCol w:w="1360"/>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999" w:type="dxa"/>
                  <w:tcBorders>
                    <w:tl2br w:val="single" w:color="auto" w:sz="4" w:space="0"/>
                  </w:tcBorders>
                  <w:tcMar>
                    <w:top w:w="30" w:type="dxa"/>
                    <w:left w:w="150" w:type="dxa"/>
                    <w:bottom w:w="30" w:type="dxa"/>
                    <w:right w:w="150" w:type="dxa"/>
                  </w:tcMar>
                  <w:vAlign w:val="center"/>
                </w:tcPr>
                <w:p>
                  <w:pPr>
                    <w:pageBreakBefore w:val="0"/>
                    <w:kinsoku/>
                    <w:overflowPunct/>
                    <w:bidi w:val="0"/>
                    <w:spacing w:line="288" w:lineRule="auto"/>
                    <w:jc w:val="right"/>
                    <w:outlineLvl w:val="9"/>
                    <w:rPr>
                      <w:rFonts w:ascii="宋体" w:hAnsi="宋体" w:cs="宋体"/>
                      <w:color w:val="auto"/>
                      <w:sz w:val="18"/>
                      <w:highlight w:val="none"/>
                    </w:rPr>
                  </w:pPr>
                  <w:r>
                    <w:rPr>
                      <w:rFonts w:hint="eastAsia" w:ascii="宋体" w:hAnsi="宋体" w:cs="宋体"/>
                      <w:b/>
                      <w:color w:val="auto"/>
                      <w:sz w:val="18"/>
                      <w:highlight w:val="none"/>
                    </w:rPr>
                    <w:t>服务类型</w:t>
                  </w:r>
                </w:p>
                <w:p>
                  <w:pPr>
                    <w:pageBreakBefore w:val="0"/>
                    <w:kinsoku/>
                    <w:overflowPunct/>
                    <w:bidi w:val="0"/>
                    <w:spacing w:line="288" w:lineRule="auto"/>
                    <w:outlineLvl w:val="9"/>
                    <w:rPr>
                      <w:rFonts w:ascii="宋体" w:hAnsi="宋体" w:cs="宋体"/>
                      <w:color w:val="auto"/>
                      <w:sz w:val="18"/>
                      <w:highlight w:val="none"/>
                    </w:rPr>
                  </w:pPr>
                  <w:r>
                    <w:rPr>
                      <w:rFonts w:hint="eastAsia" w:ascii="宋体" w:hAnsi="宋体" w:cs="宋体"/>
                      <w:b/>
                      <w:color w:val="auto"/>
                      <w:sz w:val="18"/>
                      <w:highlight w:val="none"/>
                    </w:rPr>
                    <w:t>预算金额（万元）</w:t>
                  </w:r>
                </w:p>
              </w:tc>
              <w:tc>
                <w:tcPr>
                  <w:tcW w:w="1360" w:type="dxa"/>
                  <w:tcMar>
                    <w:top w:w="30" w:type="dxa"/>
                    <w:left w:w="150" w:type="dxa"/>
                    <w:bottom w:w="30" w:type="dxa"/>
                    <w:right w:w="150" w:type="dxa"/>
                  </w:tcMar>
                  <w:vAlign w:val="center"/>
                </w:tcPr>
                <w:p>
                  <w:pPr>
                    <w:pageBreakBefore w:val="0"/>
                    <w:kinsoku/>
                    <w:overflowPunct/>
                    <w:bidi w:val="0"/>
                    <w:spacing w:line="288" w:lineRule="auto"/>
                    <w:jc w:val="center"/>
                    <w:outlineLvl w:val="9"/>
                    <w:rPr>
                      <w:rFonts w:ascii="宋体" w:hAnsi="宋体" w:cs="宋体"/>
                      <w:color w:val="auto"/>
                      <w:sz w:val="18"/>
                      <w:highlight w:val="none"/>
                    </w:rPr>
                  </w:pPr>
                  <w:r>
                    <w:rPr>
                      <w:rFonts w:hint="eastAsia" w:ascii="宋体" w:hAnsi="宋体" w:cs="宋体"/>
                      <w:b/>
                      <w:color w:val="auto"/>
                      <w:sz w:val="18"/>
                      <w:highlight w:val="none"/>
                    </w:rPr>
                    <w:t>货物招标</w:t>
                  </w:r>
                </w:p>
              </w:tc>
              <w:tc>
                <w:tcPr>
                  <w:tcW w:w="1360" w:type="dxa"/>
                  <w:tcMar>
                    <w:top w:w="30" w:type="dxa"/>
                    <w:left w:w="150" w:type="dxa"/>
                    <w:bottom w:w="30" w:type="dxa"/>
                    <w:right w:w="150" w:type="dxa"/>
                  </w:tcMar>
                  <w:vAlign w:val="center"/>
                </w:tcPr>
                <w:p>
                  <w:pPr>
                    <w:pageBreakBefore w:val="0"/>
                    <w:kinsoku/>
                    <w:overflowPunct/>
                    <w:bidi w:val="0"/>
                    <w:spacing w:line="288" w:lineRule="auto"/>
                    <w:jc w:val="center"/>
                    <w:outlineLvl w:val="9"/>
                    <w:rPr>
                      <w:rFonts w:ascii="宋体" w:hAnsi="宋体" w:cs="宋体"/>
                      <w:color w:val="auto"/>
                      <w:sz w:val="18"/>
                      <w:highlight w:val="none"/>
                    </w:rPr>
                  </w:pPr>
                  <w:r>
                    <w:rPr>
                      <w:rFonts w:hint="eastAsia" w:ascii="宋体" w:hAnsi="宋体" w:cs="宋体"/>
                      <w:b/>
                      <w:color w:val="auto"/>
                      <w:sz w:val="18"/>
                      <w:highlight w:val="none"/>
                    </w:rPr>
                    <w:t>服务招标</w:t>
                  </w:r>
                </w:p>
              </w:tc>
              <w:tc>
                <w:tcPr>
                  <w:tcW w:w="1360" w:type="dxa"/>
                  <w:tcMar>
                    <w:top w:w="30" w:type="dxa"/>
                    <w:left w:w="150" w:type="dxa"/>
                    <w:bottom w:w="30" w:type="dxa"/>
                    <w:right w:w="150" w:type="dxa"/>
                  </w:tcMar>
                  <w:vAlign w:val="center"/>
                </w:tcPr>
                <w:p>
                  <w:pPr>
                    <w:pageBreakBefore w:val="0"/>
                    <w:kinsoku/>
                    <w:overflowPunct/>
                    <w:bidi w:val="0"/>
                    <w:spacing w:line="288" w:lineRule="auto"/>
                    <w:jc w:val="center"/>
                    <w:outlineLvl w:val="9"/>
                    <w:rPr>
                      <w:rFonts w:ascii="宋体" w:hAnsi="宋体" w:cs="宋体"/>
                      <w:color w:val="auto"/>
                      <w:sz w:val="18"/>
                      <w:highlight w:val="none"/>
                    </w:rPr>
                  </w:pPr>
                  <w:r>
                    <w:rPr>
                      <w:rFonts w:hint="eastAsia" w:ascii="宋体" w:hAnsi="宋体" w:cs="宋体"/>
                      <w:b/>
                      <w:color w:val="auto"/>
                      <w:sz w:val="18"/>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999" w:type="dxa"/>
                  <w:tcMar>
                    <w:top w:w="30" w:type="dxa"/>
                    <w:left w:w="150" w:type="dxa"/>
                    <w:bottom w:w="30" w:type="dxa"/>
                    <w:right w:w="150" w:type="dxa"/>
                  </w:tcMar>
                  <w:vAlign w:val="center"/>
                </w:tcPr>
                <w:p>
                  <w:pPr>
                    <w:pageBreakBefore w:val="0"/>
                    <w:kinsoku/>
                    <w:overflowPunct/>
                    <w:bidi w:val="0"/>
                    <w:spacing w:line="288" w:lineRule="auto"/>
                    <w:jc w:val="center"/>
                    <w:outlineLvl w:val="9"/>
                    <w:rPr>
                      <w:rFonts w:ascii="宋体" w:hAnsi="宋体" w:cs="宋体"/>
                      <w:color w:val="auto"/>
                      <w:sz w:val="18"/>
                      <w:highlight w:val="none"/>
                    </w:rPr>
                  </w:pPr>
                  <w:r>
                    <w:rPr>
                      <w:rFonts w:hint="eastAsia" w:ascii="宋体" w:hAnsi="宋体" w:cs="宋体"/>
                      <w:color w:val="auto"/>
                      <w:sz w:val="18"/>
                      <w:highlight w:val="none"/>
                    </w:rPr>
                    <w:t>100以下</w:t>
                  </w:r>
                </w:p>
              </w:tc>
              <w:tc>
                <w:tcPr>
                  <w:tcW w:w="1360" w:type="dxa"/>
                  <w:tcMar>
                    <w:top w:w="30" w:type="dxa"/>
                    <w:left w:w="150" w:type="dxa"/>
                    <w:bottom w:w="30" w:type="dxa"/>
                    <w:right w:w="150" w:type="dxa"/>
                  </w:tcMar>
                  <w:vAlign w:val="center"/>
                </w:tcPr>
                <w:p>
                  <w:pPr>
                    <w:pageBreakBefore w:val="0"/>
                    <w:kinsoku/>
                    <w:overflowPunct/>
                    <w:bidi w:val="0"/>
                    <w:spacing w:line="288" w:lineRule="auto"/>
                    <w:jc w:val="center"/>
                    <w:outlineLvl w:val="9"/>
                    <w:rPr>
                      <w:rFonts w:ascii="宋体" w:hAnsi="宋体" w:cs="宋体"/>
                      <w:color w:val="auto"/>
                      <w:sz w:val="18"/>
                      <w:highlight w:val="none"/>
                    </w:rPr>
                  </w:pPr>
                  <w:r>
                    <w:rPr>
                      <w:rFonts w:hint="eastAsia" w:ascii="宋体" w:hAnsi="宋体" w:cs="宋体"/>
                      <w:color w:val="auto"/>
                      <w:sz w:val="18"/>
                      <w:highlight w:val="none"/>
                    </w:rPr>
                    <w:t>1.5%</w:t>
                  </w:r>
                </w:p>
              </w:tc>
              <w:tc>
                <w:tcPr>
                  <w:tcW w:w="1360" w:type="dxa"/>
                  <w:tcMar>
                    <w:top w:w="30" w:type="dxa"/>
                    <w:left w:w="150" w:type="dxa"/>
                    <w:bottom w:w="30" w:type="dxa"/>
                    <w:right w:w="150" w:type="dxa"/>
                  </w:tcMar>
                  <w:vAlign w:val="center"/>
                </w:tcPr>
                <w:p>
                  <w:pPr>
                    <w:pageBreakBefore w:val="0"/>
                    <w:kinsoku/>
                    <w:overflowPunct/>
                    <w:bidi w:val="0"/>
                    <w:spacing w:line="288" w:lineRule="auto"/>
                    <w:jc w:val="center"/>
                    <w:outlineLvl w:val="9"/>
                    <w:rPr>
                      <w:rFonts w:ascii="宋体" w:hAnsi="宋体" w:cs="宋体"/>
                      <w:color w:val="auto"/>
                      <w:sz w:val="18"/>
                      <w:highlight w:val="none"/>
                    </w:rPr>
                  </w:pPr>
                  <w:r>
                    <w:rPr>
                      <w:rFonts w:hint="eastAsia" w:ascii="宋体" w:hAnsi="宋体" w:cs="宋体"/>
                      <w:color w:val="auto"/>
                      <w:sz w:val="18"/>
                      <w:highlight w:val="none"/>
                    </w:rPr>
                    <w:t>1.5%</w:t>
                  </w:r>
                </w:p>
              </w:tc>
              <w:tc>
                <w:tcPr>
                  <w:tcW w:w="1360" w:type="dxa"/>
                  <w:tcMar>
                    <w:top w:w="30" w:type="dxa"/>
                    <w:left w:w="150" w:type="dxa"/>
                    <w:bottom w:w="30" w:type="dxa"/>
                    <w:right w:w="150" w:type="dxa"/>
                  </w:tcMar>
                  <w:vAlign w:val="center"/>
                </w:tcPr>
                <w:p>
                  <w:pPr>
                    <w:pageBreakBefore w:val="0"/>
                    <w:kinsoku/>
                    <w:overflowPunct/>
                    <w:bidi w:val="0"/>
                    <w:spacing w:line="288" w:lineRule="auto"/>
                    <w:jc w:val="center"/>
                    <w:outlineLvl w:val="9"/>
                    <w:rPr>
                      <w:rFonts w:ascii="宋体" w:hAnsi="宋体" w:cs="宋体"/>
                      <w:color w:val="auto"/>
                      <w:sz w:val="18"/>
                      <w:highlight w:val="none"/>
                    </w:rPr>
                  </w:pPr>
                  <w:r>
                    <w:rPr>
                      <w:rFonts w:hint="eastAsia" w:ascii="宋体" w:hAnsi="宋体" w:cs="宋体"/>
                      <w:color w:val="auto"/>
                      <w:sz w:val="1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999" w:type="dxa"/>
                  <w:tcMar>
                    <w:top w:w="30" w:type="dxa"/>
                    <w:left w:w="150" w:type="dxa"/>
                    <w:bottom w:w="30" w:type="dxa"/>
                    <w:right w:w="150" w:type="dxa"/>
                  </w:tcMar>
                  <w:vAlign w:val="center"/>
                </w:tcPr>
                <w:p>
                  <w:pPr>
                    <w:pageBreakBefore w:val="0"/>
                    <w:kinsoku/>
                    <w:overflowPunct/>
                    <w:bidi w:val="0"/>
                    <w:spacing w:line="288" w:lineRule="auto"/>
                    <w:jc w:val="center"/>
                    <w:outlineLvl w:val="9"/>
                    <w:rPr>
                      <w:rFonts w:ascii="宋体" w:hAnsi="宋体" w:cs="宋体"/>
                      <w:color w:val="auto"/>
                      <w:sz w:val="18"/>
                      <w:highlight w:val="none"/>
                    </w:rPr>
                  </w:pPr>
                  <w:r>
                    <w:rPr>
                      <w:rFonts w:hint="eastAsia" w:ascii="宋体" w:hAnsi="宋体" w:cs="宋体"/>
                      <w:color w:val="auto"/>
                      <w:sz w:val="18"/>
                      <w:highlight w:val="none"/>
                    </w:rPr>
                    <w:t>100-500</w:t>
                  </w:r>
                </w:p>
              </w:tc>
              <w:tc>
                <w:tcPr>
                  <w:tcW w:w="1360" w:type="dxa"/>
                  <w:tcMar>
                    <w:top w:w="30" w:type="dxa"/>
                    <w:left w:w="150" w:type="dxa"/>
                    <w:bottom w:w="30" w:type="dxa"/>
                    <w:right w:w="150" w:type="dxa"/>
                  </w:tcMar>
                  <w:vAlign w:val="center"/>
                </w:tcPr>
                <w:p>
                  <w:pPr>
                    <w:pageBreakBefore w:val="0"/>
                    <w:kinsoku/>
                    <w:overflowPunct/>
                    <w:bidi w:val="0"/>
                    <w:spacing w:line="288" w:lineRule="auto"/>
                    <w:jc w:val="center"/>
                    <w:outlineLvl w:val="9"/>
                    <w:rPr>
                      <w:rFonts w:ascii="宋体" w:hAnsi="宋体" w:cs="宋体"/>
                      <w:color w:val="auto"/>
                      <w:sz w:val="18"/>
                      <w:highlight w:val="none"/>
                    </w:rPr>
                  </w:pPr>
                  <w:r>
                    <w:rPr>
                      <w:rFonts w:hint="eastAsia" w:ascii="宋体" w:hAnsi="宋体" w:cs="宋体"/>
                      <w:color w:val="auto"/>
                      <w:sz w:val="18"/>
                      <w:highlight w:val="none"/>
                    </w:rPr>
                    <w:t>1.1%</w:t>
                  </w:r>
                </w:p>
              </w:tc>
              <w:tc>
                <w:tcPr>
                  <w:tcW w:w="1360" w:type="dxa"/>
                  <w:tcMar>
                    <w:top w:w="30" w:type="dxa"/>
                    <w:left w:w="150" w:type="dxa"/>
                    <w:bottom w:w="30" w:type="dxa"/>
                    <w:right w:w="150" w:type="dxa"/>
                  </w:tcMar>
                  <w:vAlign w:val="center"/>
                </w:tcPr>
                <w:p>
                  <w:pPr>
                    <w:pageBreakBefore w:val="0"/>
                    <w:kinsoku/>
                    <w:overflowPunct/>
                    <w:bidi w:val="0"/>
                    <w:spacing w:line="288" w:lineRule="auto"/>
                    <w:jc w:val="center"/>
                    <w:outlineLvl w:val="9"/>
                    <w:rPr>
                      <w:rFonts w:ascii="宋体" w:hAnsi="宋体" w:cs="宋体"/>
                      <w:color w:val="auto"/>
                      <w:sz w:val="18"/>
                      <w:highlight w:val="none"/>
                    </w:rPr>
                  </w:pPr>
                  <w:r>
                    <w:rPr>
                      <w:rFonts w:hint="eastAsia" w:ascii="宋体" w:hAnsi="宋体" w:cs="宋体"/>
                      <w:color w:val="auto"/>
                      <w:sz w:val="18"/>
                      <w:highlight w:val="none"/>
                    </w:rPr>
                    <w:t>0.8%</w:t>
                  </w:r>
                </w:p>
              </w:tc>
              <w:tc>
                <w:tcPr>
                  <w:tcW w:w="1360" w:type="dxa"/>
                  <w:tcMar>
                    <w:top w:w="30" w:type="dxa"/>
                    <w:left w:w="150" w:type="dxa"/>
                    <w:bottom w:w="30" w:type="dxa"/>
                    <w:right w:w="150" w:type="dxa"/>
                  </w:tcMar>
                  <w:vAlign w:val="center"/>
                </w:tcPr>
                <w:p>
                  <w:pPr>
                    <w:pageBreakBefore w:val="0"/>
                    <w:kinsoku/>
                    <w:overflowPunct/>
                    <w:bidi w:val="0"/>
                    <w:spacing w:line="288" w:lineRule="auto"/>
                    <w:jc w:val="center"/>
                    <w:outlineLvl w:val="9"/>
                    <w:rPr>
                      <w:rFonts w:ascii="宋体" w:hAnsi="宋体" w:cs="宋体"/>
                      <w:color w:val="auto"/>
                      <w:sz w:val="18"/>
                      <w:highlight w:val="none"/>
                    </w:rPr>
                  </w:pPr>
                  <w:r>
                    <w:rPr>
                      <w:rFonts w:hint="eastAsia" w:ascii="宋体" w:hAnsi="宋体" w:cs="宋体"/>
                      <w:color w:val="auto"/>
                      <w:sz w:val="18"/>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999" w:type="dxa"/>
                  <w:tcMar>
                    <w:top w:w="30" w:type="dxa"/>
                    <w:left w:w="150" w:type="dxa"/>
                    <w:bottom w:w="30" w:type="dxa"/>
                    <w:right w:w="150" w:type="dxa"/>
                  </w:tcMar>
                  <w:vAlign w:val="center"/>
                </w:tcPr>
                <w:p>
                  <w:pPr>
                    <w:pageBreakBefore w:val="0"/>
                    <w:kinsoku/>
                    <w:overflowPunct/>
                    <w:bidi w:val="0"/>
                    <w:spacing w:line="288" w:lineRule="auto"/>
                    <w:jc w:val="center"/>
                    <w:outlineLvl w:val="9"/>
                    <w:rPr>
                      <w:rFonts w:ascii="宋体" w:hAnsi="宋体" w:cs="宋体"/>
                      <w:color w:val="auto"/>
                      <w:sz w:val="18"/>
                      <w:highlight w:val="none"/>
                    </w:rPr>
                  </w:pPr>
                  <w:r>
                    <w:rPr>
                      <w:rFonts w:hint="eastAsia" w:ascii="宋体" w:hAnsi="宋体" w:cs="宋体"/>
                      <w:color w:val="auto"/>
                      <w:sz w:val="18"/>
                      <w:highlight w:val="none"/>
                    </w:rPr>
                    <w:t>500-1000</w:t>
                  </w:r>
                </w:p>
              </w:tc>
              <w:tc>
                <w:tcPr>
                  <w:tcW w:w="1360" w:type="dxa"/>
                  <w:tcMar>
                    <w:top w:w="30" w:type="dxa"/>
                    <w:left w:w="150" w:type="dxa"/>
                    <w:bottom w:w="30" w:type="dxa"/>
                    <w:right w:w="150" w:type="dxa"/>
                  </w:tcMar>
                  <w:vAlign w:val="center"/>
                </w:tcPr>
                <w:p>
                  <w:pPr>
                    <w:pageBreakBefore w:val="0"/>
                    <w:kinsoku/>
                    <w:overflowPunct/>
                    <w:bidi w:val="0"/>
                    <w:spacing w:line="288" w:lineRule="auto"/>
                    <w:jc w:val="center"/>
                    <w:outlineLvl w:val="9"/>
                    <w:rPr>
                      <w:rFonts w:ascii="宋体" w:hAnsi="宋体" w:cs="宋体"/>
                      <w:color w:val="auto"/>
                      <w:sz w:val="18"/>
                      <w:highlight w:val="none"/>
                    </w:rPr>
                  </w:pPr>
                  <w:r>
                    <w:rPr>
                      <w:rFonts w:hint="eastAsia" w:ascii="宋体" w:hAnsi="宋体" w:cs="宋体"/>
                      <w:color w:val="auto"/>
                      <w:sz w:val="18"/>
                      <w:highlight w:val="none"/>
                    </w:rPr>
                    <w:t>0.8%</w:t>
                  </w:r>
                </w:p>
              </w:tc>
              <w:tc>
                <w:tcPr>
                  <w:tcW w:w="1360" w:type="dxa"/>
                  <w:tcMar>
                    <w:top w:w="30" w:type="dxa"/>
                    <w:left w:w="150" w:type="dxa"/>
                    <w:bottom w:w="30" w:type="dxa"/>
                    <w:right w:w="150" w:type="dxa"/>
                  </w:tcMar>
                  <w:vAlign w:val="center"/>
                </w:tcPr>
                <w:p>
                  <w:pPr>
                    <w:pageBreakBefore w:val="0"/>
                    <w:kinsoku/>
                    <w:overflowPunct/>
                    <w:bidi w:val="0"/>
                    <w:spacing w:line="288" w:lineRule="auto"/>
                    <w:jc w:val="center"/>
                    <w:outlineLvl w:val="9"/>
                    <w:rPr>
                      <w:rFonts w:ascii="宋体" w:hAnsi="宋体" w:cs="宋体"/>
                      <w:color w:val="auto"/>
                      <w:sz w:val="18"/>
                      <w:highlight w:val="none"/>
                    </w:rPr>
                  </w:pPr>
                  <w:r>
                    <w:rPr>
                      <w:rFonts w:hint="eastAsia" w:ascii="宋体" w:hAnsi="宋体" w:cs="宋体"/>
                      <w:color w:val="auto"/>
                      <w:sz w:val="18"/>
                      <w:highlight w:val="none"/>
                    </w:rPr>
                    <w:t>0.45%</w:t>
                  </w:r>
                </w:p>
              </w:tc>
              <w:tc>
                <w:tcPr>
                  <w:tcW w:w="1360" w:type="dxa"/>
                  <w:tcMar>
                    <w:top w:w="30" w:type="dxa"/>
                    <w:left w:w="150" w:type="dxa"/>
                    <w:bottom w:w="30" w:type="dxa"/>
                    <w:right w:w="150" w:type="dxa"/>
                  </w:tcMar>
                  <w:vAlign w:val="center"/>
                </w:tcPr>
                <w:p>
                  <w:pPr>
                    <w:pageBreakBefore w:val="0"/>
                    <w:kinsoku/>
                    <w:overflowPunct/>
                    <w:bidi w:val="0"/>
                    <w:spacing w:line="288" w:lineRule="auto"/>
                    <w:jc w:val="center"/>
                    <w:outlineLvl w:val="9"/>
                    <w:rPr>
                      <w:rFonts w:ascii="宋体" w:hAnsi="宋体" w:cs="宋体"/>
                      <w:color w:val="auto"/>
                      <w:sz w:val="18"/>
                      <w:highlight w:val="none"/>
                    </w:rPr>
                  </w:pPr>
                  <w:r>
                    <w:rPr>
                      <w:rFonts w:hint="eastAsia" w:ascii="宋体" w:hAnsi="宋体" w:cs="宋体"/>
                      <w:color w:val="auto"/>
                      <w:sz w:val="18"/>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999" w:type="dxa"/>
                  <w:tcMar>
                    <w:top w:w="30" w:type="dxa"/>
                    <w:left w:w="150" w:type="dxa"/>
                    <w:bottom w:w="30" w:type="dxa"/>
                    <w:right w:w="150" w:type="dxa"/>
                  </w:tcMar>
                  <w:vAlign w:val="center"/>
                </w:tcPr>
                <w:p>
                  <w:pPr>
                    <w:pageBreakBefore w:val="0"/>
                    <w:kinsoku/>
                    <w:overflowPunct/>
                    <w:bidi w:val="0"/>
                    <w:spacing w:line="288" w:lineRule="auto"/>
                    <w:jc w:val="center"/>
                    <w:outlineLvl w:val="9"/>
                    <w:rPr>
                      <w:rFonts w:ascii="宋体" w:hAnsi="宋体" w:cs="宋体"/>
                      <w:color w:val="auto"/>
                      <w:sz w:val="18"/>
                      <w:highlight w:val="none"/>
                    </w:rPr>
                  </w:pPr>
                  <w:r>
                    <w:rPr>
                      <w:rFonts w:hint="eastAsia" w:ascii="宋体" w:hAnsi="宋体" w:cs="宋体"/>
                      <w:color w:val="auto"/>
                      <w:sz w:val="18"/>
                      <w:highlight w:val="none"/>
                    </w:rPr>
                    <w:t>1000-5000</w:t>
                  </w:r>
                </w:p>
              </w:tc>
              <w:tc>
                <w:tcPr>
                  <w:tcW w:w="1360" w:type="dxa"/>
                  <w:tcMar>
                    <w:top w:w="30" w:type="dxa"/>
                    <w:left w:w="150" w:type="dxa"/>
                    <w:bottom w:w="30" w:type="dxa"/>
                    <w:right w:w="150" w:type="dxa"/>
                  </w:tcMar>
                  <w:vAlign w:val="center"/>
                </w:tcPr>
                <w:p>
                  <w:pPr>
                    <w:pageBreakBefore w:val="0"/>
                    <w:kinsoku/>
                    <w:overflowPunct/>
                    <w:bidi w:val="0"/>
                    <w:spacing w:line="288" w:lineRule="auto"/>
                    <w:jc w:val="center"/>
                    <w:outlineLvl w:val="9"/>
                    <w:rPr>
                      <w:rFonts w:ascii="宋体" w:hAnsi="宋体" w:cs="宋体"/>
                      <w:color w:val="auto"/>
                      <w:sz w:val="18"/>
                      <w:highlight w:val="none"/>
                    </w:rPr>
                  </w:pPr>
                  <w:r>
                    <w:rPr>
                      <w:rFonts w:hint="eastAsia" w:ascii="宋体" w:hAnsi="宋体" w:cs="宋体"/>
                      <w:color w:val="auto"/>
                      <w:sz w:val="18"/>
                      <w:highlight w:val="none"/>
                    </w:rPr>
                    <w:t>0.5%</w:t>
                  </w:r>
                </w:p>
              </w:tc>
              <w:tc>
                <w:tcPr>
                  <w:tcW w:w="1360" w:type="dxa"/>
                  <w:tcMar>
                    <w:top w:w="30" w:type="dxa"/>
                    <w:left w:w="150" w:type="dxa"/>
                    <w:bottom w:w="30" w:type="dxa"/>
                    <w:right w:w="150" w:type="dxa"/>
                  </w:tcMar>
                  <w:vAlign w:val="center"/>
                </w:tcPr>
                <w:p>
                  <w:pPr>
                    <w:pageBreakBefore w:val="0"/>
                    <w:kinsoku/>
                    <w:overflowPunct/>
                    <w:bidi w:val="0"/>
                    <w:spacing w:line="288" w:lineRule="auto"/>
                    <w:jc w:val="center"/>
                    <w:outlineLvl w:val="9"/>
                    <w:rPr>
                      <w:rFonts w:ascii="宋体" w:hAnsi="宋体" w:cs="宋体"/>
                      <w:color w:val="auto"/>
                      <w:sz w:val="18"/>
                      <w:highlight w:val="none"/>
                    </w:rPr>
                  </w:pPr>
                  <w:r>
                    <w:rPr>
                      <w:rFonts w:hint="eastAsia" w:ascii="宋体" w:hAnsi="宋体" w:cs="宋体"/>
                      <w:color w:val="auto"/>
                      <w:sz w:val="18"/>
                      <w:highlight w:val="none"/>
                    </w:rPr>
                    <w:t>0.25%</w:t>
                  </w:r>
                </w:p>
              </w:tc>
              <w:tc>
                <w:tcPr>
                  <w:tcW w:w="1360" w:type="dxa"/>
                  <w:tcMar>
                    <w:top w:w="30" w:type="dxa"/>
                    <w:left w:w="150" w:type="dxa"/>
                    <w:bottom w:w="30" w:type="dxa"/>
                    <w:right w:w="150" w:type="dxa"/>
                  </w:tcMar>
                  <w:vAlign w:val="center"/>
                </w:tcPr>
                <w:p>
                  <w:pPr>
                    <w:pageBreakBefore w:val="0"/>
                    <w:kinsoku/>
                    <w:overflowPunct/>
                    <w:bidi w:val="0"/>
                    <w:spacing w:line="288" w:lineRule="auto"/>
                    <w:jc w:val="center"/>
                    <w:outlineLvl w:val="9"/>
                    <w:rPr>
                      <w:rFonts w:ascii="宋体" w:hAnsi="宋体" w:cs="宋体"/>
                      <w:color w:val="auto"/>
                      <w:sz w:val="18"/>
                      <w:highlight w:val="none"/>
                    </w:rPr>
                  </w:pPr>
                  <w:r>
                    <w:rPr>
                      <w:rFonts w:hint="eastAsia" w:ascii="宋体" w:hAnsi="宋体" w:cs="宋体"/>
                      <w:color w:val="auto"/>
                      <w:sz w:val="18"/>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999" w:type="dxa"/>
                  <w:tcMar>
                    <w:top w:w="30" w:type="dxa"/>
                    <w:left w:w="150" w:type="dxa"/>
                    <w:bottom w:w="30" w:type="dxa"/>
                    <w:right w:w="150" w:type="dxa"/>
                  </w:tcMar>
                  <w:vAlign w:val="center"/>
                </w:tcPr>
                <w:p>
                  <w:pPr>
                    <w:pageBreakBefore w:val="0"/>
                    <w:kinsoku/>
                    <w:overflowPunct/>
                    <w:bidi w:val="0"/>
                    <w:spacing w:line="288" w:lineRule="auto"/>
                    <w:jc w:val="center"/>
                    <w:outlineLvl w:val="9"/>
                    <w:rPr>
                      <w:rFonts w:ascii="宋体" w:hAnsi="宋体" w:cs="宋体"/>
                      <w:color w:val="auto"/>
                      <w:sz w:val="18"/>
                      <w:highlight w:val="none"/>
                    </w:rPr>
                  </w:pPr>
                  <w:r>
                    <w:rPr>
                      <w:rFonts w:hint="eastAsia" w:ascii="宋体" w:hAnsi="宋体" w:cs="宋体"/>
                      <w:color w:val="auto"/>
                      <w:sz w:val="18"/>
                      <w:highlight w:val="none"/>
                    </w:rPr>
                    <w:t>5000-10000</w:t>
                  </w:r>
                </w:p>
              </w:tc>
              <w:tc>
                <w:tcPr>
                  <w:tcW w:w="1360" w:type="dxa"/>
                  <w:tcMar>
                    <w:top w:w="30" w:type="dxa"/>
                    <w:left w:w="150" w:type="dxa"/>
                    <w:bottom w:w="30" w:type="dxa"/>
                    <w:right w:w="150" w:type="dxa"/>
                  </w:tcMar>
                  <w:vAlign w:val="center"/>
                </w:tcPr>
                <w:p>
                  <w:pPr>
                    <w:pageBreakBefore w:val="0"/>
                    <w:kinsoku/>
                    <w:overflowPunct/>
                    <w:bidi w:val="0"/>
                    <w:spacing w:line="288" w:lineRule="auto"/>
                    <w:jc w:val="center"/>
                    <w:outlineLvl w:val="9"/>
                    <w:rPr>
                      <w:rFonts w:ascii="宋体" w:hAnsi="宋体" w:cs="宋体"/>
                      <w:color w:val="auto"/>
                      <w:sz w:val="18"/>
                      <w:highlight w:val="none"/>
                    </w:rPr>
                  </w:pPr>
                  <w:r>
                    <w:rPr>
                      <w:rFonts w:hint="eastAsia" w:ascii="宋体" w:hAnsi="宋体" w:cs="宋体"/>
                      <w:color w:val="auto"/>
                      <w:sz w:val="18"/>
                      <w:highlight w:val="none"/>
                    </w:rPr>
                    <w:t>0.25%</w:t>
                  </w:r>
                </w:p>
              </w:tc>
              <w:tc>
                <w:tcPr>
                  <w:tcW w:w="1360" w:type="dxa"/>
                  <w:tcMar>
                    <w:top w:w="30" w:type="dxa"/>
                    <w:left w:w="150" w:type="dxa"/>
                    <w:bottom w:w="30" w:type="dxa"/>
                    <w:right w:w="150" w:type="dxa"/>
                  </w:tcMar>
                  <w:vAlign w:val="center"/>
                </w:tcPr>
                <w:p>
                  <w:pPr>
                    <w:pageBreakBefore w:val="0"/>
                    <w:kinsoku/>
                    <w:overflowPunct/>
                    <w:bidi w:val="0"/>
                    <w:spacing w:line="288" w:lineRule="auto"/>
                    <w:jc w:val="center"/>
                    <w:outlineLvl w:val="9"/>
                    <w:rPr>
                      <w:rFonts w:ascii="宋体" w:hAnsi="宋体" w:cs="宋体"/>
                      <w:color w:val="auto"/>
                      <w:sz w:val="18"/>
                      <w:highlight w:val="none"/>
                    </w:rPr>
                  </w:pPr>
                  <w:r>
                    <w:rPr>
                      <w:rFonts w:hint="eastAsia" w:ascii="宋体" w:hAnsi="宋体" w:cs="宋体"/>
                      <w:color w:val="auto"/>
                      <w:sz w:val="18"/>
                      <w:highlight w:val="none"/>
                    </w:rPr>
                    <w:t>0.1%</w:t>
                  </w:r>
                </w:p>
              </w:tc>
              <w:tc>
                <w:tcPr>
                  <w:tcW w:w="1360" w:type="dxa"/>
                  <w:tcMar>
                    <w:top w:w="30" w:type="dxa"/>
                    <w:left w:w="150" w:type="dxa"/>
                    <w:bottom w:w="30" w:type="dxa"/>
                    <w:right w:w="150" w:type="dxa"/>
                  </w:tcMar>
                  <w:vAlign w:val="center"/>
                </w:tcPr>
                <w:p>
                  <w:pPr>
                    <w:pageBreakBefore w:val="0"/>
                    <w:kinsoku/>
                    <w:overflowPunct/>
                    <w:bidi w:val="0"/>
                    <w:spacing w:line="288" w:lineRule="auto"/>
                    <w:jc w:val="center"/>
                    <w:outlineLvl w:val="9"/>
                    <w:rPr>
                      <w:rFonts w:ascii="宋体" w:hAnsi="宋体" w:cs="宋体"/>
                      <w:color w:val="auto"/>
                      <w:sz w:val="18"/>
                      <w:highlight w:val="none"/>
                    </w:rPr>
                  </w:pPr>
                  <w:r>
                    <w:rPr>
                      <w:rFonts w:hint="eastAsia" w:ascii="宋体" w:hAnsi="宋体" w:cs="宋体"/>
                      <w:color w:val="auto"/>
                      <w:sz w:val="18"/>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999" w:type="dxa"/>
                  <w:tcMar>
                    <w:top w:w="30" w:type="dxa"/>
                    <w:left w:w="150" w:type="dxa"/>
                    <w:bottom w:w="30" w:type="dxa"/>
                    <w:right w:w="150" w:type="dxa"/>
                  </w:tcMar>
                  <w:vAlign w:val="center"/>
                </w:tcPr>
                <w:p>
                  <w:pPr>
                    <w:pageBreakBefore w:val="0"/>
                    <w:kinsoku/>
                    <w:overflowPunct/>
                    <w:bidi w:val="0"/>
                    <w:spacing w:line="288" w:lineRule="auto"/>
                    <w:jc w:val="center"/>
                    <w:outlineLvl w:val="9"/>
                    <w:rPr>
                      <w:rFonts w:ascii="宋体" w:hAnsi="宋体" w:cs="宋体"/>
                      <w:color w:val="auto"/>
                      <w:sz w:val="18"/>
                      <w:highlight w:val="none"/>
                    </w:rPr>
                  </w:pPr>
                  <w:r>
                    <w:rPr>
                      <w:rFonts w:hint="eastAsia" w:ascii="宋体" w:hAnsi="宋体" w:cs="宋体"/>
                      <w:color w:val="auto"/>
                      <w:sz w:val="18"/>
                      <w:highlight w:val="none"/>
                    </w:rPr>
                    <w:t>1亿～5亿</w:t>
                  </w:r>
                </w:p>
              </w:tc>
              <w:tc>
                <w:tcPr>
                  <w:tcW w:w="1360" w:type="dxa"/>
                  <w:tcMar>
                    <w:top w:w="30" w:type="dxa"/>
                    <w:left w:w="150" w:type="dxa"/>
                    <w:bottom w:w="30" w:type="dxa"/>
                    <w:right w:w="150" w:type="dxa"/>
                  </w:tcMar>
                  <w:vAlign w:val="center"/>
                </w:tcPr>
                <w:p>
                  <w:pPr>
                    <w:pageBreakBefore w:val="0"/>
                    <w:kinsoku/>
                    <w:overflowPunct/>
                    <w:bidi w:val="0"/>
                    <w:spacing w:line="288" w:lineRule="auto"/>
                    <w:jc w:val="center"/>
                    <w:outlineLvl w:val="9"/>
                    <w:rPr>
                      <w:rFonts w:ascii="宋体" w:hAnsi="宋体" w:cs="宋体"/>
                      <w:color w:val="auto"/>
                      <w:sz w:val="18"/>
                      <w:highlight w:val="none"/>
                    </w:rPr>
                  </w:pPr>
                  <w:r>
                    <w:rPr>
                      <w:rFonts w:hint="eastAsia" w:ascii="宋体" w:hAnsi="宋体" w:cs="宋体"/>
                      <w:color w:val="auto"/>
                      <w:sz w:val="18"/>
                      <w:highlight w:val="none"/>
                    </w:rPr>
                    <w:t>0.05%</w:t>
                  </w:r>
                </w:p>
              </w:tc>
              <w:tc>
                <w:tcPr>
                  <w:tcW w:w="1360" w:type="dxa"/>
                  <w:tcMar>
                    <w:top w:w="30" w:type="dxa"/>
                    <w:left w:w="150" w:type="dxa"/>
                    <w:bottom w:w="30" w:type="dxa"/>
                    <w:right w:w="150" w:type="dxa"/>
                  </w:tcMar>
                  <w:vAlign w:val="center"/>
                </w:tcPr>
                <w:p>
                  <w:pPr>
                    <w:pageBreakBefore w:val="0"/>
                    <w:kinsoku/>
                    <w:overflowPunct/>
                    <w:bidi w:val="0"/>
                    <w:spacing w:line="288" w:lineRule="auto"/>
                    <w:jc w:val="center"/>
                    <w:outlineLvl w:val="9"/>
                    <w:rPr>
                      <w:rFonts w:ascii="宋体" w:hAnsi="宋体" w:cs="宋体"/>
                      <w:color w:val="auto"/>
                      <w:sz w:val="18"/>
                      <w:highlight w:val="none"/>
                    </w:rPr>
                  </w:pPr>
                  <w:r>
                    <w:rPr>
                      <w:rFonts w:hint="eastAsia" w:ascii="宋体" w:hAnsi="宋体" w:cs="宋体"/>
                      <w:color w:val="auto"/>
                      <w:sz w:val="18"/>
                      <w:highlight w:val="none"/>
                    </w:rPr>
                    <w:t>0.05%</w:t>
                  </w:r>
                </w:p>
              </w:tc>
              <w:tc>
                <w:tcPr>
                  <w:tcW w:w="1360" w:type="dxa"/>
                  <w:tcMar>
                    <w:top w:w="30" w:type="dxa"/>
                    <w:left w:w="150" w:type="dxa"/>
                    <w:bottom w:w="30" w:type="dxa"/>
                    <w:right w:w="150" w:type="dxa"/>
                  </w:tcMar>
                  <w:vAlign w:val="center"/>
                </w:tcPr>
                <w:p>
                  <w:pPr>
                    <w:pageBreakBefore w:val="0"/>
                    <w:kinsoku/>
                    <w:overflowPunct/>
                    <w:bidi w:val="0"/>
                    <w:spacing w:line="288" w:lineRule="auto"/>
                    <w:jc w:val="center"/>
                    <w:outlineLvl w:val="9"/>
                    <w:rPr>
                      <w:rFonts w:ascii="宋体" w:hAnsi="宋体" w:cs="宋体"/>
                      <w:color w:val="auto"/>
                      <w:sz w:val="18"/>
                      <w:highlight w:val="none"/>
                    </w:rPr>
                  </w:pPr>
                  <w:r>
                    <w:rPr>
                      <w:rFonts w:hint="eastAsia" w:ascii="宋体" w:hAnsi="宋体" w:cs="宋体"/>
                      <w:color w:val="auto"/>
                      <w:sz w:val="18"/>
                      <w:highlight w:val="none"/>
                    </w:rPr>
                    <w:t>0.05%</w:t>
                  </w:r>
                </w:p>
              </w:tc>
            </w:tr>
          </w:tbl>
          <w:p>
            <w:pPr>
              <w:pageBreakBefore w:val="0"/>
              <w:kinsoku/>
              <w:overflowPunct/>
              <w:bidi w:val="0"/>
              <w:spacing w:line="288" w:lineRule="auto"/>
              <w:outlineLvl w:val="9"/>
              <w:rPr>
                <w:rFonts w:ascii="宋体" w:hAnsi="宋体" w:cs="宋体"/>
                <w:snapToGrid w:val="0"/>
                <w:color w:val="auto"/>
                <w:szCs w:val="21"/>
                <w:highlight w:val="none"/>
              </w:rPr>
            </w:pPr>
            <w:r>
              <w:rPr>
                <w:rFonts w:hint="eastAsia" w:ascii="宋体" w:hAnsi="宋体" w:cs="宋体"/>
                <w:snapToGrid w:val="0"/>
                <w:color w:val="auto"/>
                <w:szCs w:val="21"/>
                <w:highlight w:val="none"/>
              </w:rPr>
              <w:t>备注：（1）</w:t>
            </w:r>
            <w:r>
              <w:rPr>
                <w:rFonts w:hint="eastAsia" w:ascii="宋体" w:hAnsi="宋体" w:cs="宋体"/>
                <w:snapToGrid w:val="0"/>
                <w:color w:val="auto"/>
                <w:szCs w:val="21"/>
                <w:highlight w:val="none"/>
                <w:lang w:eastAsia="zh-CN"/>
              </w:rPr>
              <w:t>招标代理服务费</w:t>
            </w:r>
            <w:r>
              <w:rPr>
                <w:rFonts w:hint="eastAsia" w:ascii="宋体" w:hAnsi="宋体" w:cs="宋体"/>
                <w:snapToGrid w:val="0"/>
                <w:color w:val="auto"/>
                <w:szCs w:val="21"/>
                <w:highlight w:val="none"/>
              </w:rPr>
              <w:t>按差额定率累进法计算；（2）</w:t>
            </w:r>
            <w:r>
              <w:rPr>
                <w:rFonts w:hint="eastAsia" w:ascii="宋体" w:hAnsi="宋体" w:cs="宋体"/>
                <w:snapToGrid w:val="0"/>
                <w:color w:val="auto"/>
                <w:szCs w:val="21"/>
                <w:highlight w:val="none"/>
                <w:lang w:eastAsia="zh-CN"/>
              </w:rPr>
              <w:t>招标代理服务费</w:t>
            </w:r>
            <w:r>
              <w:rPr>
                <w:rFonts w:hint="eastAsia" w:ascii="宋体" w:hAnsi="宋体" w:cs="宋体"/>
                <w:snapToGrid w:val="0"/>
                <w:color w:val="auto"/>
                <w:szCs w:val="21"/>
                <w:highlight w:val="none"/>
              </w:rPr>
              <w:t>只收现金、银行票汇款、电汇款。</w:t>
            </w:r>
          </w:p>
          <w:p>
            <w:pPr>
              <w:pageBreakBefore w:val="0"/>
              <w:kinsoku/>
              <w:overflowPunct/>
              <w:bidi w:val="0"/>
              <w:spacing w:line="288" w:lineRule="auto"/>
              <w:outlineLvl w:val="9"/>
              <w:rPr>
                <w:rFonts w:ascii="宋体" w:hAnsi="宋体" w:cs="宋体"/>
                <w:color w:val="auto"/>
                <w:highlight w:val="none"/>
              </w:rPr>
            </w:pPr>
            <w:r>
              <w:rPr>
                <w:rFonts w:hint="eastAsia" w:ascii="宋体" w:hAnsi="宋体" w:cs="宋体"/>
                <w:color w:val="auto"/>
                <w:highlight w:val="none"/>
              </w:rPr>
              <w:t>5、采购代理机构财务信息：</w:t>
            </w:r>
          </w:p>
          <w:p>
            <w:pPr>
              <w:pageBreakBefore w:val="0"/>
              <w:kinsoku/>
              <w:overflowPunct/>
              <w:bidi w:val="0"/>
              <w:spacing w:line="288" w:lineRule="auto"/>
              <w:ind w:firstLine="420" w:firstLineChars="200"/>
              <w:outlineLvl w:val="9"/>
              <w:rPr>
                <w:rFonts w:ascii="宋体" w:hAnsi="宋体" w:cs="宋体"/>
                <w:color w:val="auto"/>
                <w:highlight w:val="none"/>
              </w:rPr>
            </w:pPr>
            <w:r>
              <w:rPr>
                <w:rFonts w:hint="eastAsia" w:ascii="宋体" w:hAnsi="宋体" w:cs="宋体"/>
                <w:color w:val="auto"/>
                <w:highlight w:val="none"/>
              </w:rPr>
              <w:t>开户银行：宁波银行股份有限公司鄞州中心区支行</w:t>
            </w:r>
          </w:p>
          <w:p>
            <w:pPr>
              <w:pageBreakBefore w:val="0"/>
              <w:kinsoku/>
              <w:overflowPunct/>
              <w:bidi w:val="0"/>
              <w:spacing w:line="288" w:lineRule="auto"/>
              <w:ind w:firstLine="420" w:firstLineChars="200"/>
              <w:outlineLvl w:val="9"/>
              <w:rPr>
                <w:rFonts w:ascii="宋体" w:hAnsi="宋体" w:cs="宋体"/>
                <w:color w:val="auto"/>
                <w:highlight w:val="none"/>
              </w:rPr>
            </w:pPr>
            <w:r>
              <w:rPr>
                <w:rFonts w:hint="eastAsia" w:ascii="宋体" w:hAnsi="宋体" w:cs="宋体"/>
                <w:color w:val="auto"/>
                <w:highlight w:val="none"/>
                <w:lang w:eastAsia="zh-CN"/>
              </w:rPr>
              <w:t>账</w:t>
            </w:r>
            <w:r>
              <w:rPr>
                <w:rFonts w:hint="eastAsia" w:ascii="宋体" w:hAnsi="宋体" w:cs="宋体"/>
                <w:color w:val="auto"/>
                <w:highlight w:val="none"/>
              </w:rPr>
              <w:t xml:space="preserve">    号：30010122001229488</w:t>
            </w:r>
          </w:p>
          <w:p>
            <w:pPr>
              <w:pageBreakBefore w:val="0"/>
              <w:kinsoku/>
              <w:overflowPunct/>
              <w:bidi w:val="0"/>
              <w:spacing w:line="288" w:lineRule="auto"/>
              <w:ind w:firstLine="420" w:firstLineChars="200"/>
              <w:outlineLvl w:val="9"/>
              <w:rPr>
                <w:rFonts w:ascii="宋体" w:hAnsi="宋体" w:cs="宋体"/>
                <w:color w:val="auto"/>
                <w:highlight w:val="none"/>
              </w:rPr>
            </w:pPr>
            <w:r>
              <w:rPr>
                <w:rFonts w:hint="eastAsia" w:ascii="宋体" w:hAnsi="宋体" w:cs="宋体"/>
                <w:color w:val="auto"/>
                <w:highlight w:val="none"/>
              </w:rPr>
              <w:t>户    名：浙江中基正采管理咨询有限公司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288" w:lineRule="auto"/>
              <w:jc w:val="center"/>
              <w:outlineLvl w:val="9"/>
              <w:rPr>
                <w:rFonts w:ascii="宋体" w:hAnsi="宋体" w:cs="宋体"/>
                <w:color w:val="auto"/>
                <w:szCs w:val="21"/>
                <w:highlight w:val="none"/>
              </w:rPr>
            </w:pPr>
            <w:r>
              <w:rPr>
                <w:rFonts w:hint="eastAsia" w:ascii="宋体" w:hAnsi="宋体" w:cs="宋体"/>
                <w:color w:val="auto"/>
                <w:szCs w:val="21"/>
                <w:highlight w:val="none"/>
              </w:rPr>
              <w:t>2</w:t>
            </w:r>
          </w:p>
        </w:tc>
        <w:tc>
          <w:tcPr>
            <w:tcW w:w="755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autoSpaceDE w:val="0"/>
              <w:autoSpaceDN w:val="0"/>
              <w:bidi w:val="0"/>
              <w:spacing w:line="288" w:lineRule="auto"/>
              <w:textAlignment w:val="bottom"/>
              <w:outlineLvl w:val="9"/>
              <w:rPr>
                <w:rFonts w:ascii="宋体" w:hAnsi="宋体" w:cs="宋体"/>
                <w:color w:val="auto"/>
                <w:szCs w:val="21"/>
                <w:highlight w:val="none"/>
              </w:rPr>
            </w:pPr>
            <w:r>
              <w:rPr>
                <w:rFonts w:hint="eastAsia" w:ascii="宋体" w:hAnsi="宋体" w:cs="宋体"/>
                <w:color w:val="auto"/>
                <w:szCs w:val="21"/>
                <w:highlight w:val="none"/>
              </w:rPr>
              <w:t>投标文件组成与份数：</w:t>
            </w:r>
          </w:p>
          <w:p>
            <w:pPr>
              <w:pageBreakBefore w:val="0"/>
              <w:numPr>
                <w:ilvl w:val="0"/>
                <w:numId w:val="1"/>
              </w:numPr>
              <w:kinsoku/>
              <w:overflowPunct/>
              <w:autoSpaceDE w:val="0"/>
              <w:autoSpaceDN w:val="0"/>
              <w:bidi w:val="0"/>
              <w:spacing w:line="288" w:lineRule="auto"/>
              <w:textAlignment w:val="bottom"/>
              <w:outlineLvl w:val="9"/>
              <w:rPr>
                <w:rFonts w:ascii="宋体" w:hAnsi="宋体" w:cs="宋体"/>
                <w:color w:val="auto"/>
                <w:szCs w:val="21"/>
                <w:highlight w:val="none"/>
              </w:rPr>
            </w:pPr>
            <w:r>
              <w:rPr>
                <w:rFonts w:hint="eastAsia" w:ascii="宋体" w:hAnsi="宋体" w:cs="宋体"/>
                <w:color w:val="auto"/>
                <w:szCs w:val="21"/>
                <w:highlight w:val="none"/>
              </w:rPr>
              <w:t>上传到政府采购云平台的电子投标文件（含资格文件、商务技术文件、报价文件）1份。</w:t>
            </w:r>
          </w:p>
          <w:p>
            <w:pPr>
              <w:pageBreakBefore w:val="0"/>
              <w:numPr>
                <w:ilvl w:val="0"/>
                <w:numId w:val="1"/>
              </w:numPr>
              <w:kinsoku/>
              <w:overflowPunct/>
              <w:autoSpaceDE w:val="0"/>
              <w:autoSpaceDN w:val="0"/>
              <w:bidi w:val="0"/>
              <w:spacing w:line="288" w:lineRule="auto"/>
              <w:textAlignment w:val="bottom"/>
              <w:outlineLvl w:val="9"/>
              <w:rPr>
                <w:rFonts w:ascii="宋体" w:hAnsi="宋体" w:cs="宋体"/>
                <w:color w:val="auto"/>
                <w:szCs w:val="21"/>
                <w:highlight w:val="none"/>
              </w:rPr>
            </w:pPr>
            <w:r>
              <w:rPr>
                <w:rFonts w:hint="eastAsia" w:ascii="宋体" w:hAnsi="宋体" w:cs="宋体"/>
                <w:color w:val="auto"/>
                <w:szCs w:val="21"/>
                <w:highlight w:val="none"/>
              </w:rPr>
              <w:t>以U盘存储的电子备份投标文件（含资格文件、商务技术文件、报价文件）1份。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288" w:lineRule="auto"/>
              <w:jc w:val="center"/>
              <w:outlineLvl w:val="9"/>
              <w:rPr>
                <w:rFonts w:ascii="宋体" w:hAnsi="宋体" w:cs="宋体"/>
                <w:color w:val="auto"/>
                <w:szCs w:val="21"/>
                <w:highlight w:val="none"/>
              </w:rPr>
            </w:pPr>
            <w:r>
              <w:rPr>
                <w:rFonts w:hint="eastAsia" w:ascii="宋体" w:hAnsi="宋体" w:cs="宋体"/>
                <w:color w:val="auto"/>
                <w:szCs w:val="21"/>
                <w:highlight w:val="none"/>
              </w:rPr>
              <w:t>3</w:t>
            </w:r>
          </w:p>
        </w:tc>
        <w:tc>
          <w:tcPr>
            <w:tcW w:w="755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288" w:lineRule="auto"/>
              <w:outlineLvl w:val="9"/>
              <w:rPr>
                <w:rFonts w:ascii="宋体" w:hAnsi="宋体" w:cs="宋体"/>
                <w:color w:val="auto"/>
                <w:szCs w:val="21"/>
                <w:highlight w:val="none"/>
              </w:rPr>
            </w:pPr>
            <w:r>
              <w:rPr>
                <w:rFonts w:hint="eastAsia" w:ascii="宋体" w:hAnsi="宋体" w:cs="宋体"/>
                <w:color w:val="auto"/>
                <w:szCs w:val="21"/>
                <w:highlight w:val="none"/>
              </w:rPr>
              <w:t>评标结果公示：评标结束后，评标结果公示于浙江政府采购网、宁波市政府采购网、浙江中基正采管理咨询有限公司（http://www.cbbidding.com/）等网站。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288" w:lineRule="auto"/>
              <w:jc w:val="center"/>
              <w:outlineLvl w:val="9"/>
              <w:rPr>
                <w:rFonts w:ascii="宋体" w:hAnsi="宋体" w:cs="宋体"/>
                <w:color w:val="auto"/>
                <w:szCs w:val="21"/>
                <w:highlight w:val="none"/>
              </w:rPr>
            </w:pPr>
            <w:r>
              <w:rPr>
                <w:rFonts w:hint="eastAsia" w:ascii="宋体" w:hAnsi="宋体" w:cs="宋体"/>
                <w:color w:val="auto"/>
                <w:szCs w:val="21"/>
                <w:highlight w:val="none"/>
              </w:rPr>
              <w:t>4</w:t>
            </w:r>
          </w:p>
        </w:tc>
        <w:tc>
          <w:tcPr>
            <w:tcW w:w="755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288" w:lineRule="auto"/>
              <w:outlineLvl w:val="9"/>
              <w:rPr>
                <w:rFonts w:ascii="宋体" w:hAnsi="宋体" w:cs="宋体"/>
                <w:color w:val="auto"/>
                <w:szCs w:val="21"/>
                <w:highlight w:val="none"/>
              </w:rPr>
            </w:pPr>
            <w:r>
              <w:rPr>
                <w:rFonts w:hint="eastAsia" w:ascii="宋体" w:hAnsi="宋体" w:cs="宋体"/>
                <w:color w:val="auto"/>
                <w:szCs w:val="21"/>
                <w:highlight w:val="none"/>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288" w:lineRule="auto"/>
              <w:jc w:val="center"/>
              <w:outlineLvl w:val="9"/>
              <w:rPr>
                <w:rFonts w:ascii="宋体" w:hAnsi="宋体" w:cs="宋体"/>
                <w:color w:val="auto"/>
                <w:szCs w:val="21"/>
                <w:highlight w:val="none"/>
              </w:rPr>
            </w:pPr>
            <w:r>
              <w:rPr>
                <w:rFonts w:hint="eastAsia" w:ascii="宋体" w:hAnsi="宋体" w:cs="宋体"/>
                <w:color w:val="auto"/>
                <w:szCs w:val="21"/>
                <w:highlight w:val="none"/>
              </w:rPr>
              <w:t>5</w:t>
            </w:r>
          </w:p>
        </w:tc>
        <w:tc>
          <w:tcPr>
            <w:tcW w:w="755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288" w:lineRule="auto"/>
              <w:outlineLvl w:val="9"/>
              <w:rPr>
                <w:rFonts w:ascii="宋体" w:hAnsi="宋体" w:cs="宋体"/>
                <w:color w:val="auto"/>
                <w:szCs w:val="21"/>
                <w:highlight w:val="none"/>
              </w:rPr>
            </w:pPr>
            <w:r>
              <w:rPr>
                <w:rFonts w:hint="eastAsia" w:ascii="宋体" w:hAnsi="宋体" w:cs="宋体"/>
                <w:color w:val="auto"/>
                <w:szCs w:val="21"/>
                <w:highlight w:val="none"/>
              </w:rPr>
              <w:t>采购资金来源：预算资金。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288" w:lineRule="auto"/>
              <w:jc w:val="center"/>
              <w:outlineLvl w:val="9"/>
              <w:rPr>
                <w:rFonts w:ascii="宋体" w:hAnsi="宋体" w:cs="宋体"/>
                <w:color w:val="auto"/>
                <w:szCs w:val="21"/>
                <w:highlight w:val="none"/>
              </w:rPr>
            </w:pPr>
            <w:r>
              <w:rPr>
                <w:rFonts w:hint="eastAsia" w:ascii="宋体" w:hAnsi="宋体" w:cs="宋体"/>
                <w:color w:val="auto"/>
                <w:szCs w:val="21"/>
                <w:highlight w:val="none"/>
              </w:rPr>
              <w:t>★6</w:t>
            </w:r>
          </w:p>
        </w:tc>
        <w:tc>
          <w:tcPr>
            <w:tcW w:w="755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288" w:lineRule="auto"/>
              <w:outlineLvl w:val="9"/>
              <w:rPr>
                <w:rFonts w:ascii="宋体" w:hAnsi="宋体" w:cs="宋体"/>
                <w:color w:val="auto"/>
                <w:szCs w:val="21"/>
                <w:highlight w:val="none"/>
              </w:rPr>
            </w:pPr>
            <w:r>
              <w:rPr>
                <w:rFonts w:hint="eastAsia" w:ascii="宋体" w:hAnsi="宋体" w:cs="宋体"/>
                <w:color w:val="auto"/>
                <w:szCs w:val="21"/>
                <w:highlight w:val="none"/>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288" w:lineRule="auto"/>
              <w:jc w:val="center"/>
              <w:outlineLvl w:val="9"/>
              <w:rPr>
                <w:rFonts w:ascii="宋体" w:hAnsi="宋体" w:cs="宋体"/>
                <w:color w:val="auto"/>
                <w:szCs w:val="21"/>
                <w:highlight w:val="none"/>
              </w:rPr>
            </w:pPr>
            <w:r>
              <w:rPr>
                <w:rFonts w:hint="eastAsia" w:ascii="宋体" w:hAnsi="宋体" w:cs="宋体"/>
                <w:color w:val="auto"/>
                <w:szCs w:val="21"/>
                <w:highlight w:val="none"/>
              </w:rPr>
              <w:t>7</w:t>
            </w:r>
          </w:p>
        </w:tc>
        <w:tc>
          <w:tcPr>
            <w:tcW w:w="755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288" w:lineRule="auto"/>
              <w:outlineLvl w:val="9"/>
              <w:rPr>
                <w:rFonts w:ascii="宋体" w:hAnsi="宋体" w:cs="宋体"/>
                <w:color w:val="auto"/>
                <w:szCs w:val="21"/>
                <w:highlight w:val="none"/>
              </w:rPr>
            </w:pPr>
            <w:r>
              <w:rPr>
                <w:rFonts w:hint="eastAsia" w:ascii="宋体" w:hAnsi="宋体" w:cs="宋体"/>
                <w:color w:val="auto"/>
                <w:szCs w:val="21"/>
                <w:highlight w:val="none"/>
              </w:rPr>
              <w:t>解释：本</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的解释权属于招标采购单位。</w:t>
            </w:r>
          </w:p>
        </w:tc>
      </w:tr>
    </w:tbl>
    <w:p>
      <w:pPr>
        <w:pageBreakBefore w:val="0"/>
        <w:kinsoku/>
        <w:overflowPunct/>
        <w:bidi w:val="0"/>
        <w:outlineLvl w:val="9"/>
        <w:rPr>
          <w:rFonts w:ascii="宋体" w:hAnsi="宋体" w:cs="宋体"/>
          <w:b/>
          <w:bCs/>
          <w:color w:val="auto"/>
          <w:szCs w:val="21"/>
          <w:highlight w:val="none"/>
        </w:rPr>
      </w:pPr>
      <w:r>
        <w:rPr>
          <w:rFonts w:hint="eastAsia" w:ascii="宋体" w:hAnsi="宋体" w:cs="宋体"/>
          <w:b/>
          <w:bCs/>
          <w:color w:val="auto"/>
          <w:szCs w:val="21"/>
          <w:highlight w:val="none"/>
        </w:rPr>
        <w:br w:type="page"/>
      </w:r>
    </w:p>
    <w:p>
      <w:pPr>
        <w:keepNext w:val="0"/>
        <w:keepLines w:val="0"/>
        <w:pageBreakBefore w:val="0"/>
        <w:kinsoku/>
        <w:wordWrap/>
        <w:overflowPunct/>
        <w:topLinePunct w:val="0"/>
        <w:autoSpaceDE/>
        <w:autoSpaceDN/>
        <w:bidi w:val="0"/>
        <w:adjustRightInd/>
        <w:spacing w:line="348" w:lineRule="auto"/>
        <w:ind w:left="0" w:leftChars="0"/>
        <w:textAlignment w:val="auto"/>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一、总  则</w:t>
      </w:r>
    </w:p>
    <w:p>
      <w:pPr>
        <w:keepNext w:val="0"/>
        <w:keepLines w:val="0"/>
        <w:pageBreakBefore w:val="0"/>
        <w:kinsoku/>
        <w:wordWrap/>
        <w:overflowPunct/>
        <w:topLinePunct w:val="0"/>
        <w:autoSpaceDE/>
        <w:autoSpaceDN/>
        <w:bidi w:val="0"/>
        <w:adjustRightInd/>
        <w:spacing w:line="348" w:lineRule="auto"/>
        <w:ind w:left="0" w:left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（一）适用范围</w:t>
      </w:r>
    </w:p>
    <w:p>
      <w:pPr>
        <w:keepNext w:val="0"/>
        <w:keepLines w:val="0"/>
        <w:pageBreakBefore w:val="0"/>
        <w:kinsoku/>
        <w:wordWrap/>
        <w:overflowPunct/>
        <w:topLinePunct w:val="0"/>
        <w:autoSpaceDE/>
        <w:autoSpaceDN/>
        <w:bidi w:val="0"/>
        <w:adjustRightInd/>
        <w:spacing w:line="348" w:lineRule="auto"/>
        <w:ind w:left="0" w:leftChars="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本招标文件适用于本项目的招标、投标、评标、定标、验收、合同履约、付款等行为（法律、法规另有规定的，从其规定）。</w:t>
      </w:r>
    </w:p>
    <w:p>
      <w:pPr>
        <w:keepNext w:val="0"/>
        <w:keepLines w:val="0"/>
        <w:pageBreakBefore w:val="0"/>
        <w:widowControl/>
        <w:kinsoku/>
        <w:wordWrap/>
        <w:overflowPunct/>
        <w:topLinePunct w:val="0"/>
        <w:autoSpaceDE/>
        <w:autoSpaceDN/>
        <w:bidi w:val="0"/>
        <w:adjustRightInd/>
        <w:spacing w:line="348" w:lineRule="auto"/>
        <w:ind w:left="0" w:lef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（二）定义</w:t>
      </w:r>
    </w:p>
    <w:p>
      <w:pPr>
        <w:keepNext w:val="0"/>
        <w:keepLines w:val="0"/>
        <w:pageBreakBefore w:val="0"/>
        <w:widowControl/>
        <w:kinsoku/>
        <w:wordWrap/>
        <w:overflowPunct/>
        <w:topLinePunct w:val="0"/>
        <w:autoSpaceDE/>
        <w:autoSpaceDN/>
        <w:bidi w:val="0"/>
        <w:adjustRightInd/>
        <w:snapToGrid w:val="0"/>
        <w:spacing w:line="348" w:lineRule="auto"/>
        <w:ind w:left="0" w:leftChars="0"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1、“招标采购单位”系指组织本次招标的采购代理机构和采购人。</w:t>
      </w:r>
    </w:p>
    <w:p>
      <w:pPr>
        <w:keepNext w:val="0"/>
        <w:keepLines w:val="0"/>
        <w:pageBreakBefore w:val="0"/>
        <w:widowControl/>
        <w:kinsoku/>
        <w:wordWrap/>
        <w:overflowPunct/>
        <w:topLinePunct w:val="0"/>
        <w:autoSpaceDE/>
        <w:autoSpaceDN/>
        <w:bidi w:val="0"/>
        <w:adjustRightInd/>
        <w:snapToGrid w:val="0"/>
        <w:spacing w:line="348" w:lineRule="auto"/>
        <w:ind w:left="0" w:leftChars="0"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2、“供应商”系指向采购人提交投标文件的单位或个人。</w:t>
      </w:r>
    </w:p>
    <w:p>
      <w:pPr>
        <w:keepNext w:val="0"/>
        <w:keepLines w:val="0"/>
        <w:pageBreakBefore w:val="0"/>
        <w:widowControl/>
        <w:kinsoku/>
        <w:wordWrap/>
        <w:overflowPunct/>
        <w:topLinePunct w:val="0"/>
        <w:autoSpaceDE/>
        <w:autoSpaceDN/>
        <w:bidi w:val="0"/>
        <w:adjustRightInd/>
        <w:snapToGrid w:val="0"/>
        <w:spacing w:line="348" w:lineRule="auto"/>
        <w:ind w:left="0" w:leftChars="0"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3、“产品”系指供应商按招标文件规定，须向采购人提供的一切设备、保险、税金、备品备件、工具、手册及其它有关技术资料和材料。</w:t>
      </w:r>
    </w:p>
    <w:p>
      <w:pPr>
        <w:keepNext w:val="0"/>
        <w:keepLines w:val="0"/>
        <w:pageBreakBefore w:val="0"/>
        <w:widowControl/>
        <w:kinsoku/>
        <w:wordWrap/>
        <w:overflowPunct/>
        <w:topLinePunct w:val="0"/>
        <w:autoSpaceDE/>
        <w:autoSpaceDN/>
        <w:bidi w:val="0"/>
        <w:adjustRightInd/>
        <w:snapToGrid w:val="0"/>
        <w:spacing w:line="348" w:lineRule="auto"/>
        <w:ind w:left="0" w:leftChars="0"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4、“服务”系指招标文件规定供应商须承担的安装、调试、技术协助、校准、培训、技术指导以及其他类似的义务。</w:t>
      </w:r>
    </w:p>
    <w:p>
      <w:pPr>
        <w:keepNext w:val="0"/>
        <w:keepLines w:val="0"/>
        <w:pageBreakBefore w:val="0"/>
        <w:widowControl/>
        <w:kinsoku/>
        <w:wordWrap/>
        <w:overflowPunct/>
        <w:topLinePunct w:val="0"/>
        <w:autoSpaceDE/>
        <w:autoSpaceDN/>
        <w:bidi w:val="0"/>
        <w:adjustRightInd/>
        <w:snapToGrid w:val="0"/>
        <w:spacing w:line="348" w:lineRule="auto"/>
        <w:ind w:left="0" w:leftChars="0"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5、“项目”系指供应商按招标文件规定向采购人提供的产品和服务。</w:t>
      </w:r>
    </w:p>
    <w:p>
      <w:pPr>
        <w:keepNext w:val="0"/>
        <w:keepLines w:val="0"/>
        <w:pageBreakBefore w:val="0"/>
        <w:widowControl/>
        <w:kinsoku/>
        <w:wordWrap/>
        <w:overflowPunct/>
        <w:topLinePunct w:val="0"/>
        <w:autoSpaceDE/>
        <w:autoSpaceDN/>
        <w:bidi w:val="0"/>
        <w:adjustRightInd/>
        <w:snapToGrid w:val="0"/>
        <w:spacing w:line="348" w:lineRule="auto"/>
        <w:ind w:left="0" w:leftChars="0"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6、“书面形式”包括信函、传真、电函等。</w:t>
      </w:r>
    </w:p>
    <w:p>
      <w:pPr>
        <w:keepNext w:val="0"/>
        <w:keepLines w:val="0"/>
        <w:pageBreakBefore w:val="0"/>
        <w:widowControl/>
        <w:kinsoku/>
        <w:wordWrap/>
        <w:overflowPunct/>
        <w:topLinePunct w:val="0"/>
        <w:autoSpaceDE/>
        <w:autoSpaceDN/>
        <w:bidi w:val="0"/>
        <w:adjustRightInd/>
        <w:spacing w:line="348" w:lineRule="auto"/>
        <w:ind w:left="0" w:leftChars="0"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7、“★”系指实质性要求条款，供应商的投标对任何带“★”号的重要商务和技术条款的偏离和未作实质性响应都将直接导致投标无效。</w:t>
      </w:r>
    </w:p>
    <w:p>
      <w:pPr>
        <w:keepNext w:val="0"/>
        <w:keepLines w:val="0"/>
        <w:pageBreakBefore w:val="0"/>
        <w:widowControl/>
        <w:kinsoku/>
        <w:wordWrap/>
        <w:overflowPunct/>
        <w:topLinePunct w:val="0"/>
        <w:autoSpaceDE/>
        <w:autoSpaceDN/>
        <w:bidi w:val="0"/>
        <w:adjustRightInd/>
        <w:spacing w:line="348" w:lineRule="auto"/>
        <w:ind w:left="0" w:leftChars="0" w:firstLine="420" w:firstLineChars="200"/>
        <w:jc w:val="left"/>
        <w:textAlignment w:val="auto"/>
        <w:outlineLvl w:val="9"/>
        <w:rPr>
          <w:rFonts w:hint="eastAsia" w:ascii="宋体" w:hAnsi="宋体" w:eastAsia="宋体" w:cs="宋体"/>
          <w:b/>
          <w:color w:val="auto"/>
          <w:kern w:val="0"/>
          <w:szCs w:val="21"/>
          <w:highlight w:val="none"/>
        </w:rPr>
      </w:pPr>
      <w:r>
        <w:rPr>
          <w:rFonts w:hint="eastAsia" w:ascii="宋体" w:hAnsi="宋体" w:eastAsia="宋体" w:cs="宋体"/>
          <w:color w:val="auto"/>
          <w:szCs w:val="21"/>
          <w:highlight w:val="none"/>
        </w:rPr>
        <w:t>★8、若采购货物属于国家实行许可证制度或生产注册证制度的，则应具备相应有效的证书。</w:t>
      </w:r>
    </w:p>
    <w:p>
      <w:pPr>
        <w:keepNext w:val="0"/>
        <w:keepLines w:val="0"/>
        <w:pageBreakBefore w:val="0"/>
        <w:widowControl/>
        <w:kinsoku/>
        <w:wordWrap/>
        <w:overflowPunct/>
        <w:topLinePunct w:val="0"/>
        <w:autoSpaceDE/>
        <w:autoSpaceDN/>
        <w:bidi w:val="0"/>
        <w:adjustRightInd/>
        <w:spacing w:line="348" w:lineRule="auto"/>
        <w:ind w:left="0" w:lef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（三）招标方式</w:t>
      </w:r>
    </w:p>
    <w:p>
      <w:pPr>
        <w:keepNext w:val="0"/>
        <w:keepLines w:val="0"/>
        <w:pageBreakBefore w:val="0"/>
        <w:widowControl/>
        <w:kinsoku/>
        <w:wordWrap/>
        <w:overflowPunct/>
        <w:topLinePunct w:val="0"/>
        <w:autoSpaceDE/>
        <w:autoSpaceDN/>
        <w:bidi w:val="0"/>
        <w:adjustRightInd/>
        <w:spacing w:line="348" w:lineRule="auto"/>
        <w:ind w:left="0" w:leftChars="0"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本次招标采用公开招标方式进行。</w:t>
      </w:r>
    </w:p>
    <w:p>
      <w:pPr>
        <w:keepNext w:val="0"/>
        <w:keepLines w:val="0"/>
        <w:pageBreakBefore w:val="0"/>
        <w:widowControl/>
        <w:kinsoku/>
        <w:wordWrap/>
        <w:overflowPunct/>
        <w:topLinePunct w:val="0"/>
        <w:autoSpaceDE/>
        <w:autoSpaceDN/>
        <w:bidi w:val="0"/>
        <w:adjustRightInd/>
        <w:spacing w:line="348" w:lineRule="auto"/>
        <w:ind w:left="0" w:lef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（四）投标委托</w:t>
      </w:r>
    </w:p>
    <w:p>
      <w:pPr>
        <w:keepNext w:val="0"/>
        <w:keepLines w:val="0"/>
        <w:pageBreakBefore w:val="0"/>
        <w:widowControl/>
        <w:kinsoku/>
        <w:wordWrap/>
        <w:overflowPunct/>
        <w:topLinePunct w:val="0"/>
        <w:autoSpaceDE/>
        <w:autoSpaceDN/>
        <w:bidi w:val="0"/>
        <w:adjustRightInd/>
        <w:spacing w:line="348" w:lineRule="auto"/>
        <w:ind w:left="0" w:leftChars="0"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如供应商派授权代表出席开标会议，授权代表须携带有效身份证件。如供应商代表不是法定代表人，须有法定代表人出具的授权委托书（正本用原件，副本用复印件，格式见第六章）。</w:t>
      </w:r>
    </w:p>
    <w:p>
      <w:pPr>
        <w:keepNext w:val="0"/>
        <w:keepLines w:val="0"/>
        <w:pageBreakBefore w:val="0"/>
        <w:widowControl/>
        <w:kinsoku/>
        <w:wordWrap/>
        <w:overflowPunct/>
        <w:topLinePunct w:val="0"/>
        <w:autoSpaceDE/>
        <w:autoSpaceDN/>
        <w:bidi w:val="0"/>
        <w:adjustRightInd/>
        <w:spacing w:line="348" w:lineRule="auto"/>
        <w:ind w:left="0" w:lef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（五）投标费用</w:t>
      </w:r>
    </w:p>
    <w:p>
      <w:pPr>
        <w:keepNext w:val="0"/>
        <w:keepLines w:val="0"/>
        <w:pageBreakBefore w:val="0"/>
        <w:widowControl/>
        <w:kinsoku/>
        <w:wordWrap/>
        <w:overflowPunct/>
        <w:topLinePunct w:val="0"/>
        <w:autoSpaceDE/>
        <w:autoSpaceDN/>
        <w:bidi w:val="0"/>
        <w:adjustRightInd/>
        <w:spacing w:line="348" w:lineRule="auto"/>
        <w:ind w:left="0" w:leftChars="0"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不论投标结果如何，供应商均应自行承担所有与投标有关的全部费用（招标文件有其他规定除外）。</w:t>
      </w:r>
    </w:p>
    <w:p>
      <w:pPr>
        <w:keepNext w:val="0"/>
        <w:keepLines w:val="0"/>
        <w:pageBreakBefore w:val="0"/>
        <w:widowControl/>
        <w:kinsoku/>
        <w:wordWrap/>
        <w:overflowPunct/>
        <w:topLinePunct w:val="0"/>
        <w:autoSpaceDE/>
        <w:autoSpaceDN/>
        <w:bidi w:val="0"/>
        <w:adjustRightInd/>
        <w:spacing w:line="348" w:lineRule="auto"/>
        <w:ind w:left="0" w:lef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（六）联合体投标</w:t>
      </w:r>
    </w:p>
    <w:p>
      <w:pPr>
        <w:keepNext w:val="0"/>
        <w:keepLines w:val="0"/>
        <w:pageBreakBefore w:val="0"/>
        <w:widowControl/>
        <w:kinsoku/>
        <w:wordWrap/>
        <w:overflowPunct/>
        <w:topLinePunct w:val="0"/>
        <w:autoSpaceDE/>
        <w:autoSpaceDN/>
        <w:bidi w:val="0"/>
        <w:adjustRightInd/>
        <w:spacing w:line="348" w:lineRule="auto"/>
        <w:ind w:left="0" w:leftChars="0"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w:t>
      </w:r>
      <w:r>
        <w:rPr>
          <w:rFonts w:hint="eastAsia" w:ascii="宋体" w:hAnsi="宋体" w:cs="宋体"/>
          <w:color w:val="auto"/>
          <w:kern w:val="0"/>
          <w:szCs w:val="21"/>
          <w:highlight w:val="none"/>
          <w:lang w:eastAsia="zh-CN"/>
        </w:rPr>
        <w:t>不</w:t>
      </w:r>
      <w:r>
        <w:rPr>
          <w:rFonts w:hint="eastAsia" w:ascii="宋体" w:hAnsi="宋体" w:eastAsia="宋体" w:cs="宋体"/>
          <w:color w:val="auto"/>
          <w:kern w:val="0"/>
          <w:szCs w:val="21"/>
          <w:highlight w:val="none"/>
        </w:rPr>
        <w:t>接受联合体投标。</w:t>
      </w:r>
    </w:p>
    <w:p>
      <w:pPr>
        <w:keepNext w:val="0"/>
        <w:keepLines w:val="0"/>
        <w:pageBreakBefore w:val="0"/>
        <w:widowControl/>
        <w:kinsoku/>
        <w:wordWrap/>
        <w:overflowPunct/>
        <w:topLinePunct w:val="0"/>
        <w:autoSpaceDE/>
        <w:autoSpaceDN/>
        <w:bidi w:val="0"/>
        <w:adjustRightInd/>
        <w:spacing w:line="348" w:lineRule="auto"/>
        <w:ind w:left="0" w:lef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（七）转包与分包</w:t>
      </w:r>
    </w:p>
    <w:p>
      <w:pPr>
        <w:keepNext w:val="0"/>
        <w:keepLines w:val="0"/>
        <w:pageBreakBefore w:val="0"/>
        <w:widowControl/>
        <w:kinsoku/>
        <w:wordWrap/>
        <w:overflowPunct/>
        <w:topLinePunct w:val="0"/>
        <w:autoSpaceDE/>
        <w:autoSpaceDN/>
        <w:bidi w:val="0"/>
        <w:adjustRightInd/>
        <w:spacing w:line="348" w:lineRule="auto"/>
        <w:ind w:left="0" w:leftChars="0"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本项目不允许转包；未经采购人同意，不允许分包。</w:t>
      </w:r>
    </w:p>
    <w:p>
      <w:pPr>
        <w:keepNext w:val="0"/>
        <w:keepLines w:val="0"/>
        <w:pageBreakBefore w:val="0"/>
        <w:widowControl/>
        <w:kinsoku/>
        <w:wordWrap/>
        <w:overflowPunct/>
        <w:topLinePunct w:val="0"/>
        <w:autoSpaceDE/>
        <w:autoSpaceDN/>
        <w:bidi w:val="0"/>
        <w:adjustRightInd/>
        <w:spacing w:line="348" w:lineRule="auto"/>
        <w:ind w:left="0" w:lef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（八）特别说明：</w:t>
      </w:r>
    </w:p>
    <w:p>
      <w:pPr>
        <w:keepNext w:val="0"/>
        <w:keepLines w:val="0"/>
        <w:pageBreakBefore w:val="0"/>
        <w:widowControl/>
        <w:kinsoku/>
        <w:wordWrap/>
        <w:overflowPunct/>
        <w:topLinePunct w:val="0"/>
        <w:autoSpaceDE/>
        <w:autoSpaceDN/>
        <w:bidi w:val="0"/>
        <w:adjustRightInd/>
        <w:spacing w:line="348" w:lineRule="auto"/>
        <w:ind w:left="0" w:leftChars="0"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1、提供相同品牌产品且通过资格审查、符合性审查的不同供应商参加同一合同项下投标的，按一家供应商计算。</w:t>
      </w:r>
    </w:p>
    <w:p>
      <w:pPr>
        <w:keepNext w:val="0"/>
        <w:keepLines w:val="0"/>
        <w:pageBreakBefore w:val="0"/>
        <w:widowControl/>
        <w:kinsoku/>
        <w:wordWrap/>
        <w:overflowPunct/>
        <w:topLinePunct w:val="0"/>
        <w:autoSpaceDE/>
        <w:autoSpaceDN/>
        <w:bidi w:val="0"/>
        <w:adjustRightInd/>
        <w:spacing w:line="348" w:lineRule="auto"/>
        <w:ind w:left="0" w:leftChars="0"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若采用综合评分法进行评审的，评审后得分最高的同品牌供应商获得中标人推荐资格；评审得分相同的，由评标委员会按照招标文件规定的方式确定一个供应商获得中标人的推荐资格，招标文件未规定的采取随机抽取的方式确定，其他同品牌供应商不作为中标候选人。</w:t>
      </w:r>
    </w:p>
    <w:p>
      <w:pPr>
        <w:keepNext w:val="0"/>
        <w:keepLines w:val="0"/>
        <w:pageBreakBefore w:val="0"/>
        <w:widowControl/>
        <w:kinsoku/>
        <w:wordWrap/>
        <w:overflowPunct/>
        <w:topLinePunct w:val="0"/>
        <w:autoSpaceDE/>
        <w:autoSpaceDN/>
        <w:bidi w:val="0"/>
        <w:adjustRightInd/>
        <w:spacing w:line="348" w:lineRule="auto"/>
        <w:ind w:left="0" w:leftChars="0"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若采用最低评标价法进行评审的，以报价最低的供应商参加评审，报价相同的，由评标委员会按照招标文件规定的方式确定一个供应商获得中标人的推荐资格，招标文件未规定的采取随机抽取的方式确定，其他投标无效。</w:t>
      </w:r>
    </w:p>
    <w:p>
      <w:pPr>
        <w:keepNext w:val="0"/>
        <w:keepLines w:val="0"/>
        <w:pageBreakBefore w:val="0"/>
        <w:widowControl/>
        <w:kinsoku/>
        <w:wordWrap/>
        <w:overflowPunct/>
        <w:topLinePunct w:val="0"/>
        <w:autoSpaceDE/>
        <w:autoSpaceDN/>
        <w:bidi w:val="0"/>
        <w:adjustRightInd/>
        <w:spacing w:line="348" w:lineRule="auto"/>
        <w:ind w:left="0" w:leftChars="0"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非单一产品采购项目，供应商使用相同制造产品（相同制造产品是指招标文件中指定的“核心产品”）作为其项目的一部分，按一家供应商认定。</w:t>
      </w:r>
    </w:p>
    <w:p>
      <w:pPr>
        <w:keepNext w:val="0"/>
        <w:keepLines w:val="0"/>
        <w:pageBreakBefore w:val="0"/>
        <w:widowControl/>
        <w:kinsoku/>
        <w:wordWrap/>
        <w:overflowPunct/>
        <w:topLinePunct w:val="0"/>
        <w:autoSpaceDE/>
        <w:autoSpaceDN/>
        <w:bidi w:val="0"/>
        <w:adjustRightInd/>
        <w:spacing w:line="348" w:lineRule="auto"/>
        <w:ind w:left="0" w:leftChars="0"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2、供应商在投标活动中提供任何虚假材料,其投标无效，并报监管部门查处；</w:t>
      </w:r>
      <w:r>
        <w:rPr>
          <w:rFonts w:hint="eastAsia" w:ascii="宋体" w:hAnsi="宋体" w:eastAsia="宋体" w:cs="宋体"/>
          <w:bCs/>
          <w:color w:val="auto"/>
          <w:kern w:val="0"/>
          <w:szCs w:val="20"/>
          <w:highlight w:val="none"/>
        </w:rPr>
        <w:t>中标后发现的,中标人须依照相关规定赔偿采购人，且民事赔偿并不免除违法供应商的行政与刑事责任。</w:t>
      </w:r>
    </w:p>
    <w:p>
      <w:pPr>
        <w:keepNext w:val="0"/>
        <w:keepLines w:val="0"/>
        <w:pageBreakBefore w:val="0"/>
        <w:widowControl/>
        <w:kinsoku/>
        <w:wordWrap/>
        <w:overflowPunct/>
        <w:topLinePunct w:val="0"/>
        <w:autoSpaceDE/>
        <w:autoSpaceDN/>
        <w:bidi w:val="0"/>
        <w:adjustRightInd/>
        <w:snapToGrid w:val="0"/>
        <w:spacing w:line="348" w:lineRule="auto"/>
        <w:ind w:left="0" w:leftChars="0" w:firstLine="420" w:firstLineChars="200"/>
        <w:jc w:val="left"/>
        <w:textAlignment w:val="auto"/>
        <w:outlineLvl w:val="9"/>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 xml:space="preserve">3、招标文件的澄清与修改 </w:t>
      </w:r>
    </w:p>
    <w:p>
      <w:pPr>
        <w:keepNext w:val="0"/>
        <w:keepLines w:val="0"/>
        <w:pageBreakBefore w:val="0"/>
        <w:widowControl/>
        <w:kinsoku/>
        <w:wordWrap/>
        <w:overflowPunct/>
        <w:topLinePunct w:val="0"/>
        <w:autoSpaceDE/>
        <w:autoSpaceDN/>
        <w:bidi w:val="0"/>
        <w:adjustRightInd/>
        <w:snapToGrid w:val="0"/>
        <w:spacing w:line="348" w:lineRule="auto"/>
        <w:ind w:left="0" w:leftChars="0" w:firstLine="420" w:firstLineChars="200"/>
        <w:jc w:val="left"/>
        <w:textAlignment w:val="auto"/>
        <w:outlineLvl w:val="9"/>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（1）采购人或者采购代理机构对招标文件进行必要的澄清或者修改的，澄清或者修改在原公告发布媒体上发布澄清公告。澄清或者修改的内容可能影响投标文件编制的，澄清公告</w:t>
      </w:r>
      <w:r>
        <w:rPr>
          <w:rFonts w:hint="eastAsia" w:ascii="宋体" w:hAnsi="宋体" w:eastAsia="宋体" w:cs="宋体"/>
          <w:color w:val="auto"/>
          <w:kern w:val="1"/>
          <w:szCs w:val="20"/>
          <w:highlight w:val="none"/>
        </w:rPr>
        <w:t>在投标截止时间至少15日前发出；</w:t>
      </w:r>
      <w:r>
        <w:rPr>
          <w:rFonts w:hint="eastAsia" w:ascii="宋体" w:hAnsi="宋体" w:eastAsia="宋体" w:cs="宋体"/>
          <w:bCs/>
          <w:color w:val="auto"/>
          <w:szCs w:val="20"/>
          <w:highlight w:val="none"/>
        </w:rPr>
        <w:t>不足15日的，顺延提交投标文件的截止时间。</w:t>
      </w:r>
    </w:p>
    <w:p>
      <w:pPr>
        <w:keepNext w:val="0"/>
        <w:keepLines w:val="0"/>
        <w:pageBreakBefore w:val="0"/>
        <w:widowControl/>
        <w:kinsoku/>
        <w:wordWrap/>
        <w:overflowPunct/>
        <w:topLinePunct w:val="0"/>
        <w:autoSpaceDE/>
        <w:autoSpaceDN/>
        <w:bidi w:val="0"/>
        <w:adjustRightInd/>
        <w:snapToGrid w:val="0"/>
        <w:spacing w:line="348" w:lineRule="auto"/>
        <w:ind w:left="0" w:leftChars="0" w:firstLine="420" w:firstLineChars="200"/>
        <w:jc w:val="left"/>
        <w:textAlignment w:val="auto"/>
        <w:outlineLvl w:val="9"/>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（2）澄清公告为招标文件的组成部分，一经在网站发布，视同已通知所有招标文件的收受人，不再采用其它方式传达相关信息, 若因未能及时了解到上述网站上发布的相关信息而导致的一切后果自行承担。</w:t>
      </w:r>
    </w:p>
    <w:p>
      <w:pPr>
        <w:keepNext w:val="0"/>
        <w:keepLines w:val="0"/>
        <w:pageBreakBefore w:val="0"/>
        <w:widowControl/>
        <w:kinsoku/>
        <w:wordWrap/>
        <w:overflowPunct/>
        <w:topLinePunct w:val="0"/>
        <w:autoSpaceDE/>
        <w:autoSpaceDN/>
        <w:bidi w:val="0"/>
        <w:adjustRightInd/>
        <w:snapToGrid w:val="0"/>
        <w:spacing w:line="348" w:lineRule="auto"/>
        <w:ind w:left="0" w:leftChars="0" w:firstLine="420" w:firstLineChars="200"/>
        <w:jc w:val="left"/>
        <w:textAlignment w:val="auto"/>
        <w:outlineLvl w:val="9"/>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（3）招标文件澄清、答复、修改、补充的内容为招标文件的组成部分。当招标文件与招标文件的答复、澄清、修改、补充通知就同一内容的表述不一致时，以最后发出的澄清公告为准。</w:t>
      </w:r>
    </w:p>
    <w:p>
      <w:pPr>
        <w:keepNext w:val="0"/>
        <w:keepLines w:val="0"/>
        <w:pageBreakBefore w:val="0"/>
        <w:widowControl/>
        <w:kinsoku/>
        <w:wordWrap/>
        <w:overflowPunct/>
        <w:topLinePunct w:val="0"/>
        <w:autoSpaceDE/>
        <w:autoSpaceDN/>
        <w:bidi w:val="0"/>
        <w:adjustRightInd/>
        <w:snapToGrid w:val="0"/>
        <w:spacing w:line="348" w:lineRule="auto"/>
        <w:ind w:left="0" w:leftChars="0" w:firstLine="420" w:firstLineChars="200"/>
        <w:jc w:val="left"/>
        <w:textAlignment w:val="auto"/>
        <w:outlineLvl w:val="9"/>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（4）招标文件的澄清、答复、修改或补充都应该通过本代理机构以法定形式发布，采购人非通过本机构，不得擅自澄清、答复、修改或补充招标文件。</w:t>
      </w:r>
    </w:p>
    <w:p>
      <w:pPr>
        <w:keepNext w:val="0"/>
        <w:keepLines w:val="0"/>
        <w:pageBreakBefore w:val="0"/>
        <w:widowControl/>
        <w:kinsoku/>
        <w:wordWrap/>
        <w:overflowPunct/>
        <w:topLinePunct w:val="0"/>
        <w:autoSpaceDE/>
        <w:autoSpaceDN/>
        <w:bidi w:val="0"/>
        <w:adjustRightInd/>
        <w:snapToGrid w:val="0"/>
        <w:spacing w:line="348" w:lineRule="auto"/>
        <w:ind w:left="0" w:leftChars="0" w:firstLine="420" w:firstLineChars="200"/>
        <w:jc w:val="left"/>
        <w:textAlignment w:val="auto"/>
        <w:outlineLvl w:val="9"/>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4、关于分公司投标</w:t>
      </w:r>
    </w:p>
    <w:p>
      <w:pPr>
        <w:keepNext w:val="0"/>
        <w:keepLines w:val="0"/>
        <w:pageBreakBefore w:val="0"/>
        <w:widowControl/>
        <w:kinsoku/>
        <w:wordWrap/>
        <w:overflowPunct/>
        <w:topLinePunct w:val="0"/>
        <w:autoSpaceDE/>
        <w:autoSpaceDN/>
        <w:bidi w:val="0"/>
        <w:adjustRightInd/>
        <w:snapToGrid w:val="0"/>
        <w:spacing w:line="348" w:lineRule="auto"/>
        <w:ind w:left="0" w:leftChars="0" w:firstLine="420" w:firstLineChars="200"/>
        <w:jc w:val="left"/>
        <w:textAlignment w:val="auto"/>
        <w:outlineLvl w:val="9"/>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p>
      <w:pPr>
        <w:keepNext w:val="0"/>
        <w:keepLines w:val="0"/>
        <w:pageBreakBefore w:val="0"/>
        <w:widowControl/>
        <w:kinsoku/>
        <w:wordWrap/>
        <w:overflowPunct/>
        <w:topLinePunct w:val="0"/>
        <w:autoSpaceDE/>
        <w:autoSpaceDN/>
        <w:bidi w:val="0"/>
        <w:adjustRightInd/>
        <w:snapToGrid w:val="0"/>
        <w:spacing w:line="348" w:lineRule="auto"/>
        <w:ind w:left="0" w:leftChars="0" w:firstLine="420" w:firstLineChars="200"/>
        <w:jc w:val="left"/>
        <w:textAlignment w:val="auto"/>
        <w:outlineLvl w:val="9"/>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5、关于知识产权</w:t>
      </w:r>
    </w:p>
    <w:p>
      <w:pPr>
        <w:keepNext w:val="0"/>
        <w:keepLines w:val="0"/>
        <w:pageBreakBefore w:val="0"/>
        <w:widowControl/>
        <w:kinsoku/>
        <w:wordWrap/>
        <w:overflowPunct/>
        <w:topLinePunct w:val="0"/>
        <w:autoSpaceDE/>
        <w:autoSpaceDN/>
        <w:bidi w:val="0"/>
        <w:adjustRightInd/>
        <w:snapToGrid w:val="0"/>
        <w:spacing w:line="348" w:lineRule="auto"/>
        <w:ind w:left="0" w:leftChars="0" w:firstLine="420" w:firstLineChars="200"/>
        <w:jc w:val="left"/>
        <w:textAlignment w:val="auto"/>
        <w:outlineLvl w:val="9"/>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1）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pPr>
        <w:keepNext w:val="0"/>
        <w:keepLines w:val="0"/>
        <w:pageBreakBefore w:val="0"/>
        <w:widowControl/>
        <w:kinsoku/>
        <w:wordWrap/>
        <w:overflowPunct/>
        <w:topLinePunct w:val="0"/>
        <w:autoSpaceDE/>
        <w:autoSpaceDN/>
        <w:bidi w:val="0"/>
        <w:adjustRightInd/>
        <w:snapToGrid w:val="0"/>
        <w:spacing w:line="348" w:lineRule="auto"/>
        <w:ind w:left="0" w:leftChars="0" w:firstLine="420" w:firstLineChars="200"/>
        <w:jc w:val="left"/>
        <w:textAlignment w:val="auto"/>
        <w:outlineLvl w:val="9"/>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（2）投标报价应包含所有应向所有权人支付的专利权、商标权或其它知识产权的一切相关费用。</w:t>
      </w:r>
    </w:p>
    <w:p>
      <w:pPr>
        <w:keepNext w:val="0"/>
        <w:keepLines w:val="0"/>
        <w:pageBreakBefore w:val="0"/>
        <w:widowControl/>
        <w:kinsoku/>
        <w:wordWrap/>
        <w:overflowPunct/>
        <w:topLinePunct w:val="0"/>
        <w:autoSpaceDE/>
        <w:autoSpaceDN/>
        <w:bidi w:val="0"/>
        <w:adjustRightInd/>
        <w:snapToGrid w:val="0"/>
        <w:spacing w:line="348" w:lineRule="auto"/>
        <w:ind w:left="0" w:leftChars="0" w:firstLine="420" w:firstLineChars="200"/>
        <w:jc w:val="left"/>
        <w:textAlignment w:val="auto"/>
        <w:outlineLvl w:val="9"/>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（3）系统软件、通用软件必须是具有在中国境内的合法使用权或版权的正版软件，涉及到第三方提出侵权或知识产权的起诉及支付版税等费用由供应商承担所有责任及费用。</w:t>
      </w:r>
    </w:p>
    <w:p>
      <w:pPr>
        <w:keepNext w:val="0"/>
        <w:keepLines w:val="0"/>
        <w:pageBreakBefore w:val="0"/>
        <w:widowControl/>
        <w:kinsoku/>
        <w:wordWrap/>
        <w:overflowPunct/>
        <w:topLinePunct w:val="0"/>
        <w:autoSpaceDE/>
        <w:autoSpaceDN/>
        <w:bidi w:val="0"/>
        <w:adjustRightInd/>
        <w:snapToGrid w:val="0"/>
        <w:spacing w:line="348" w:lineRule="auto"/>
        <w:ind w:left="0" w:leftChars="0" w:firstLine="420" w:firstLineChars="200"/>
        <w:jc w:val="left"/>
        <w:textAlignment w:val="auto"/>
        <w:outlineLvl w:val="9"/>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6、供应商的风险</w:t>
      </w:r>
    </w:p>
    <w:p>
      <w:pPr>
        <w:keepNext w:val="0"/>
        <w:keepLines w:val="0"/>
        <w:pageBreakBefore w:val="0"/>
        <w:widowControl/>
        <w:kinsoku/>
        <w:wordWrap/>
        <w:overflowPunct/>
        <w:topLinePunct w:val="0"/>
        <w:autoSpaceDE/>
        <w:autoSpaceDN/>
        <w:bidi w:val="0"/>
        <w:adjustRightInd/>
        <w:snapToGrid w:val="0"/>
        <w:spacing w:line="348" w:lineRule="auto"/>
        <w:ind w:left="0" w:leftChars="0" w:firstLine="420" w:firstLineChars="200"/>
        <w:jc w:val="left"/>
        <w:textAlignment w:val="auto"/>
        <w:outlineLvl w:val="9"/>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（1）供应商应详细阅读招标文件中的全部内容和要求，按照招标文件的要求提交投标文件，没有按照招标文件要求提供投标文件和资料导致的风险由供应商承担,并对所提供的全部资料的真实性承担法律责任。</w:t>
      </w:r>
    </w:p>
    <w:p>
      <w:pPr>
        <w:keepNext w:val="0"/>
        <w:keepLines w:val="0"/>
        <w:pageBreakBefore w:val="0"/>
        <w:widowControl/>
        <w:kinsoku/>
        <w:wordWrap/>
        <w:overflowPunct/>
        <w:topLinePunct w:val="0"/>
        <w:autoSpaceDE/>
        <w:autoSpaceDN/>
        <w:bidi w:val="0"/>
        <w:adjustRightInd/>
        <w:snapToGrid w:val="0"/>
        <w:spacing w:line="348" w:lineRule="auto"/>
        <w:ind w:left="0" w:leftChars="0" w:firstLine="420" w:firstLineChars="200"/>
        <w:jc w:val="left"/>
        <w:textAlignment w:val="auto"/>
        <w:outlineLvl w:val="9"/>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（2）无论因何种原因导致本次采购活动终止致供应商损失的，相关责任人均不承担任何责任。</w:t>
      </w:r>
    </w:p>
    <w:p>
      <w:pPr>
        <w:keepNext w:val="0"/>
        <w:keepLines w:val="0"/>
        <w:pageBreakBefore w:val="0"/>
        <w:widowControl/>
        <w:kinsoku/>
        <w:wordWrap/>
        <w:overflowPunct/>
        <w:topLinePunct w:val="0"/>
        <w:autoSpaceDE/>
        <w:autoSpaceDN/>
        <w:bidi w:val="0"/>
        <w:adjustRightInd/>
        <w:snapToGrid w:val="0"/>
        <w:spacing w:line="348" w:lineRule="auto"/>
        <w:ind w:left="0" w:leftChars="0" w:firstLine="420" w:firstLineChars="200"/>
        <w:jc w:val="left"/>
        <w:textAlignment w:val="auto"/>
        <w:outlineLvl w:val="9"/>
        <w:rPr>
          <w:rFonts w:hint="eastAsia" w:ascii="宋体" w:hAnsi="宋体" w:eastAsia="宋体" w:cs="宋体"/>
          <w:b/>
          <w:color w:val="auto"/>
          <w:szCs w:val="20"/>
          <w:highlight w:val="none"/>
        </w:rPr>
      </w:pPr>
      <w:r>
        <w:rPr>
          <w:rFonts w:hint="eastAsia" w:ascii="宋体" w:hAnsi="宋体" w:eastAsia="宋体" w:cs="宋体"/>
          <w:bCs/>
          <w:color w:val="auto"/>
          <w:szCs w:val="20"/>
          <w:highlight w:val="none"/>
        </w:rPr>
        <w:t>7、解释：本招标文件的解释权属于采购人。</w:t>
      </w:r>
    </w:p>
    <w:p>
      <w:pPr>
        <w:keepNext w:val="0"/>
        <w:keepLines w:val="0"/>
        <w:pageBreakBefore w:val="0"/>
        <w:widowControl/>
        <w:kinsoku/>
        <w:wordWrap/>
        <w:overflowPunct/>
        <w:topLinePunct w:val="0"/>
        <w:autoSpaceDE/>
        <w:autoSpaceDN/>
        <w:bidi w:val="0"/>
        <w:adjustRightInd/>
        <w:spacing w:line="348" w:lineRule="auto"/>
        <w:ind w:left="0" w:leftChars="0"/>
        <w:jc w:val="left"/>
        <w:textAlignment w:val="auto"/>
        <w:outlineLvl w:val="9"/>
        <w:rPr>
          <w:rFonts w:hint="eastAsia" w:ascii="宋体" w:hAnsi="宋体" w:eastAsia="宋体" w:cs="宋体"/>
          <w:color w:val="auto"/>
          <w:kern w:val="0"/>
          <w:szCs w:val="21"/>
          <w:highlight w:val="none"/>
        </w:rPr>
      </w:pPr>
      <w:bookmarkStart w:id="33" w:name="_Toc13650"/>
      <w:r>
        <w:rPr>
          <w:rFonts w:hint="eastAsia" w:ascii="宋体" w:hAnsi="宋体" w:eastAsia="宋体" w:cs="宋体"/>
          <w:color w:val="auto"/>
          <w:kern w:val="0"/>
          <w:szCs w:val="21"/>
          <w:highlight w:val="none"/>
        </w:rPr>
        <w:t>（九）质疑和投诉</w:t>
      </w:r>
      <w:bookmarkEnd w:id="33"/>
    </w:p>
    <w:p>
      <w:pPr>
        <w:keepNext w:val="0"/>
        <w:keepLines w:val="0"/>
        <w:pageBreakBefore w:val="0"/>
        <w:widowControl/>
        <w:kinsoku/>
        <w:wordWrap/>
        <w:overflowPunct/>
        <w:topLinePunct w:val="0"/>
        <w:autoSpaceDE/>
        <w:autoSpaceDN/>
        <w:bidi w:val="0"/>
        <w:adjustRightInd/>
        <w:spacing w:line="348" w:lineRule="auto"/>
        <w:ind w:left="0" w:leftChars="0" w:firstLine="420" w:firstLineChars="200"/>
        <w:jc w:val="left"/>
        <w:textAlignment w:val="auto"/>
        <w:outlineLvl w:val="9"/>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1、供应商认为招标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pPr>
        <w:keepNext w:val="0"/>
        <w:keepLines w:val="0"/>
        <w:pageBreakBefore w:val="0"/>
        <w:widowControl/>
        <w:kinsoku/>
        <w:wordWrap/>
        <w:overflowPunct/>
        <w:topLinePunct w:val="0"/>
        <w:autoSpaceDE/>
        <w:autoSpaceDN/>
        <w:bidi w:val="0"/>
        <w:adjustRightInd/>
        <w:spacing w:line="348" w:lineRule="auto"/>
        <w:ind w:left="0" w:leftChars="0" w:firstLine="420" w:firstLineChars="200"/>
        <w:jc w:val="left"/>
        <w:textAlignment w:val="auto"/>
        <w:outlineLvl w:val="9"/>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2、提出质疑的供应商应当是参与所质疑项目采购活动的供应商。未依法获取招标文件的，不得就招标文件提出质疑；未提交投标文件的供应商，视为与采购结果没有利害关系，不得就采购响应截止时间后的采购过程、采购结果提出质疑。</w:t>
      </w:r>
    </w:p>
    <w:p>
      <w:pPr>
        <w:keepNext w:val="0"/>
        <w:keepLines w:val="0"/>
        <w:pageBreakBefore w:val="0"/>
        <w:widowControl/>
        <w:kinsoku/>
        <w:wordWrap/>
        <w:overflowPunct/>
        <w:topLinePunct w:val="0"/>
        <w:autoSpaceDE/>
        <w:autoSpaceDN/>
        <w:bidi w:val="0"/>
        <w:adjustRightInd/>
        <w:spacing w:line="348" w:lineRule="auto"/>
        <w:ind w:left="0" w:leftChars="0" w:firstLine="420" w:firstLineChars="200"/>
        <w:jc w:val="left"/>
        <w:textAlignment w:val="auto"/>
        <w:outlineLvl w:val="9"/>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3、供应商提出质疑应当提交质疑函和必要的证明材料，质疑函应当面以书面形式提出，质疑函格式和内容须符合财政部《质疑函范本》要求，供应商可到浙江政府采购网下载专区下载。</w:t>
      </w:r>
    </w:p>
    <w:p>
      <w:pPr>
        <w:keepNext w:val="0"/>
        <w:keepLines w:val="0"/>
        <w:pageBreakBefore w:val="0"/>
        <w:widowControl/>
        <w:kinsoku/>
        <w:wordWrap/>
        <w:overflowPunct/>
        <w:topLinePunct w:val="0"/>
        <w:autoSpaceDE/>
        <w:autoSpaceDN/>
        <w:bidi w:val="0"/>
        <w:adjustRightInd/>
        <w:spacing w:line="348" w:lineRule="auto"/>
        <w:ind w:left="0" w:leftChars="0" w:firstLine="420" w:firstLineChars="200"/>
        <w:jc w:val="left"/>
        <w:textAlignment w:val="auto"/>
        <w:outlineLvl w:val="9"/>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招标文件第一章有关联系方式。</w:t>
      </w:r>
    </w:p>
    <w:p>
      <w:pPr>
        <w:keepNext w:val="0"/>
        <w:keepLines w:val="0"/>
        <w:pageBreakBefore w:val="0"/>
        <w:widowControl/>
        <w:kinsoku/>
        <w:wordWrap/>
        <w:overflowPunct/>
        <w:topLinePunct w:val="0"/>
        <w:autoSpaceDE/>
        <w:autoSpaceDN/>
        <w:bidi w:val="0"/>
        <w:adjustRightInd/>
        <w:spacing w:line="348" w:lineRule="auto"/>
        <w:ind w:left="0" w:leftChars="0" w:firstLine="420" w:firstLineChars="200"/>
        <w:jc w:val="left"/>
        <w:textAlignment w:val="auto"/>
        <w:outlineLvl w:val="9"/>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5、供应商对采购人或采购代理机构的质疑答复不满意或者采购人或采购代理机构未在规定时间内作出答复的，可以在答复期满后十五个工作日内向同级采购监管部门投诉。质疑函范本、投诉书范本请到浙江政府采购网下载专区下载。</w:t>
      </w:r>
    </w:p>
    <w:p>
      <w:pPr>
        <w:keepNext w:val="0"/>
        <w:keepLines w:val="0"/>
        <w:pageBreakBefore w:val="0"/>
        <w:widowControl/>
        <w:kinsoku/>
        <w:wordWrap/>
        <w:overflowPunct/>
        <w:topLinePunct w:val="0"/>
        <w:autoSpaceDE/>
        <w:autoSpaceDN/>
        <w:bidi w:val="0"/>
        <w:adjustRightInd/>
        <w:spacing w:line="348" w:lineRule="auto"/>
        <w:ind w:left="0" w:leftChars="0"/>
        <w:jc w:val="left"/>
        <w:textAlignment w:val="auto"/>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二、招标文件</w:t>
      </w:r>
    </w:p>
    <w:p>
      <w:pPr>
        <w:keepNext w:val="0"/>
        <w:keepLines w:val="0"/>
        <w:pageBreakBefore w:val="0"/>
        <w:widowControl/>
        <w:kinsoku/>
        <w:wordWrap/>
        <w:overflowPunct/>
        <w:topLinePunct w:val="0"/>
        <w:autoSpaceDE/>
        <w:autoSpaceDN/>
        <w:bidi w:val="0"/>
        <w:adjustRightInd/>
        <w:spacing w:line="348" w:lineRule="auto"/>
        <w:ind w:left="0" w:lef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（一）招标文件的构成。本招标文件由以下部分组成：</w:t>
      </w:r>
    </w:p>
    <w:p>
      <w:pPr>
        <w:keepNext w:val="0"/>
        <w:keepLines w:val="0"/>
        <w:pageBreakBefore w:val="0"/>
        <w:widowControl/>
        <w:kinsoku/>
        <w:wordWrap/>
        <w:overflowPunct/>
        <w:topLinePunct w:val="0"/>
        <w:autoSpaceDE/>
        <w:autoSpaceDN/>
        <w:bidi w:val="0"/>
        <w:adjustRightInd/>
        <w:spacing w:line="348" w:lineRule="auto"/>
        <w:ind w:left="0" w:leftChars="0"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1、公开招标公告</w:t>
      </w:r>
    </w:p>
    <w:p>
      <w:pPr>
        <w:keepNext w:val="0"/>
        <w:keepLines w:val="0"/>
        <w:pageBreakBefore w:val="0"/>
        <w:widowControl/>
        <w:kinsoku/>
        <w:wordWrap/>
        <w:overflowPunct/>
        <w:topLinePunct w:val="0"/>
        <w:autoSpaceDE/>
        <w:autoSpaceDN/>
        <w:bidi w:val="0"/>
        <w:adjustRightInd/>
        <w:spacing w:line="348" w:lineRule="auto"/>
        <w:ind w:left="0" w:leftChars="0"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2、采购需求</w:t>
      </w:r>
    </w:p>
    <w:p>
      <w:pPr>
        <w:keepNext w:val="0"/>
        <w:keepLines w:val="0"/>
        <w:pageBreakBefore w:val="0"/>
        <w:widowControl/>
        <w:kinsoku/>
        <w:wordWrap/>
        <w:overflowPunct/>
        <w:topLinePunct w:val="0"/>
        <w:autoSpaceDE/>
        <w:autoSpaceDN/>
        <w:bidi w:val="0"/>
        <w:adjustRightInd/>
        <w:spacing w:line="348" w:lineRule="auto"/>
        <w:ind w:left="0" w:leftChars="0"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3、供应商须知</w:t>
      </w:r>
    </w:p>
    <w:p>
      <w:pPr>
        <w:keepNext w:val="0"/>
        <w:keepLines w:val="0"/>
        <w:pageBreakBefore w:val="0"/>
        <w:widowControl/>
        <w:kinsoku/>
        <w:wordWrap/>
        <w:overflowPunct/>
        <w:topLinePunct w:val="0"/>
        <w:autoSpaceDE/>
        <w:autoSpaceDN/>
        <w:bidi w:val="0"/>
        <w:adjustRightInd/>
        <w:spacing w:line="348" w:lineRule="auto"/>
        <w:ind w:left="0" w:leftChars="0"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4、评标办法及评分标准</w:t>
      </w:r>
    </w:p>
    <w:p>
      <w:pPr>
        <w:keepNext w:val="0"/>
        <w:keepLines w:val="0"/>
        <w:pageBreakBefore w:val="0"/>
        <w:widowControl/>
        <w:kinsoku/>
        <w:wordWrap/>
        <w:overflowPunct/>
        <w:topLinePunct w:val="0"/>
        <w:autoSpaceDE/>
        <w:autoSpaceDN/>
        <w:bidi w:val="0"/>
        <w:adjustRightInd/>
        <w:spacing w:line="348" w:lineRule="auto"/>
        <w:ind w:left="0" w:leftChars="0"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5、政府采购合同主要条款</w:t>
      </w:r>
    </w:p>
    <w:p>
      <w:pPr>
        <w:keepNext w:val="0"/>
        <w:keepLines w:val="0"/>
        <w:pageBreakBefore w:val="0"/>
        <w:widowControl/>
        <w:kinsoku/>
        <w:wordWrap/>
        <w:overflowPunct/>
        <w:topLinePunct w:val="0"/>
        <w:autoSpaceDE/>
        <w:autoSpaceDN/>
        <w:bidi w:val="0"/>
        <w:adjustRightInd/>
        <w:spacing w:line="348" w:lineRule="auto"/>
        <w:ind w:left="0" w:leftChars="0"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6、投标文件格式</w:t>
      </w:r>
    </w:p>
    <w:p>
      <w:pPr>
        <w:keepNext w:val="0"/>
        <w:keepLines w:val="0"/>
        <w:pageBreakBefore w:val="0"/>
        <w:widowControl/>
        <w:kinsoku/>
        <w:wordWrap/>
        <w:overflowPunct/>
        <w:topLinePunct w:val="0"/>
        <w:autoSpaceDE/>
        <w:autoSpaceDN/>
        <w:bidi w:val="0"/>
        <w:adjustRightInd/>
        <w:spacing w:line="348" w:lineRule="auto"/>
        <w:ind w:left="0" w:leftChars="0"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7、本项目招标文件的澄清、答复、修改、补充的内容</w:t>
      </w:r>
    </w:p>
    <w:p>
      <w:pPr>
        <w:keepNext w:val="0"/>
        <w:keepLines w:val="0"/>
        <w:pageBreakBefore w:val="0"/>
        <w:widowControl/>
        <w:kinsoku/>
        <w:wordWrap/>
        <w:overflowPunct/>
        <w:topLinePunct w:val="0"/>
        <w:autoSpaceDE/>
        <w:autoSpaceDN/>
        <w:bidi w:val="0"/>
        <w:adjustRightInd/>
        <w:spacing w:line="348" w:lineRule="auto"/>
        <w:ind w:left="0" w:lef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（二）供应商的风险</w:t>
      </w:r>
    </w:p>
    <w:p>
      <w:pPr>
        <w:keepNext w:val="0"/>
        <w:keepLines w:val="0"/>
        <w:pageBreakBefore w:val="0"/>
        <w:widowControl/>
        <w:kinsoku/>
        <w:wordWrap/>
        <w:overflowPunct/>
        <w:topLinePunct w:val="0"/>
        <w:autoSpaceDE/>
        <w:autoSpaceDN/>
        <w:bidi w:val="0"/>
        <w:adjustRightInd/>
        <w:spacing w:line="348" w:lineRule="auto"/>
        <w:ind w:left="0" w:leftChars="0"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供应商没有按照招标文件要求提供全部资料，或者供应商没有对招标文件在各方面作出实质性响应是供应商的风险，并可能导致其投标被拒绝。</w:t>
      </w:r>
    </w:p>
    <w:p>
      <w:pPr>
        <w:keepNext w:val="0"/>
        <w:keepLines w:val="0"/>
        <w:pageBreakBefore w:val="0"/>
        <w:widowControl/>
        <w:kinsoku/>
        <w:wordWrap/>
        <w:overflowPunct/>
        <w:topLinePunct w:val="0"/>
        <w:autoSpaceDE/>
        <w:autoSpaceDN/>
        <w:bidi w:val="0"/>
        <w:adjustRightInd/>
        <w:spacing w:line="348" w:lineRule="auto"/>
        <w:ind w:left="0" w:leftChars="0"/>
        <w:jc w:val="left"/>
        <w:textAlignment w:val="auto"/>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三、投标文件的编制</w:t>
      </w:r>
    </w:p>
    <w:p>
      <w:pPr>
        <w:keepNext w:val="0"/>
        <w:keepLines w:val="0"/>
        <w:pageBreakBefore w:val="0"/>
        <w:widowControl/>
        <w:kinsoku/>
        <w:wordWrap/>
        <w:overflowPunct/>
        <w:topLinePunct w:val="0"/>
        <w:autoSpaceDE/>
        <w:autoSpaceDN/>
        <w:bidi w:val="0"/>
        <w:adjustRightInd/>
        <w:spacing w:line="348" w:lineRule="auto"/>
        <w:ind w:left="0" w:lef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（一）投标文件的组成</w:t>
      </w:r>
    </w:p>
    <w:p>
      <w:pPr>
        <w:keepNext w:val="0"/>
        <w:keepLines w:val="0"/>
        <w:pageBreakBefore w:val="0"/>
        <w:widowControl/>
        <w:kinsoku/>
        <w:wordWrap/>
        <w:overflowPunct/>
        <w:topLinePunct w:val="0"/>
        <w:autoSpaceDE/>
        <w:autoSpaceDN/>
        <w:bidi w:val="0"/>
        <w:adjustRightInd/>
        <w:spacing w:line="348" w:lineRule="auto"/>
        <w:ind w:left="0" w:leftChars="0"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投标文件由资格文件、商务技术文件和报价文件三部分组成。</w:t>
      </w:r>
    </w:p>
    <w:p>
      <w:pPr>
        <w:keepNext w:val="0"/>
        <w:keepLines w:val="0"/>
        <w:pageBreakBefore w:val="0"/>
        <w:kinsoku/>
        <w:wordWrap/>
        <w:overflowPunct/>
        <w:topLinePunct w:val="0"/>
        <w:autoSpaceDE/>
        <w:autoSpaceDN/>
        <w:bidi w:val="0"/>
        <w:adjustRightInd/>
        <w:snapToGrid w:val="0"/>
        <w:spacing w:line="348" w:lineRule="auto"/>
        <w:ind w:left="0" w:leftChars="0"/>
        <w:jc w:val="left"/>
        <w:textAlignment w:val="auto"/>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1、资格文件：</w:t>
      </w:r>
    </w:p>
    <w:p>
      <w:pPr>
        <w:keepNext w:val="0"/>
        <w:keepLines w:val="0"/>
        <w:pageBreakBefore w:val="0"/>
        <w:widowControl/>
        <w:numPr>
          <w:ilvl w:val="0"/>
          <w:numId w:val="2"/>
        </w:numPr>
        <w:kinsoku/>
        <w:wordWrap/>
        <w:overflowPunct/>
        <w:topLinePunct w:val="0"/>
        <w:autoSpaceDE/>
        <w:autoSpaceDN/>
        <w:bidi w:val="0"/>
        <w:adjustRightInd/>
        <w:snapToGrid w:val="0"/>
        <w:spacing w:line="348" w:lineRule="auto"/>
        <w:ind w:left="0" w:leftChars="0"/>
        <w:jc w:val="left"/>
        <w:textAlignment w:val="auto"/>
        <w:outlineLvl w:val="9"/>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供应商资格声明函（格式见附件）；</w:t>
      </w:r>
    </w:p>
    <w:p>
      <w:pPr>
        <w:keepNext w:val="0"/>
        <w:keepLines w:val="0"/>
        <w:pageBreakBefore w:val="0"/>
        <w:widowControl/>
        <w:numPr>
          <w:ilvl w:val="0"/>
          <w:numId w:val="2"/>
        </w:numPr>
        <w:kinsoku/>
        <w:wordWrap/>
        <w:overflowPunct/>
        <w:topLinePunct w:val="0"/>
        <w:autoSpaceDE/>
        <w:autoSpaceDN/>
        <w:bidi w:val="0"/>
        <w:adjustRightInd/>
        <w:snapToGrid w:val="0"/>
        <w:spacing w:line="348" w:lineRule="auto"/>
        <w:ind w:left="0" w:leftChars="0"/>
        <w:jc w:val="left"/>
        <w:textAlignment w:val="auto"/>
        <w:outlineLvl w:val="9"/>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有效的企业法人营业执照（或事业法人登记证）、其他组织（个体工商户）的营业执照或者民办非企业单位登记证书复印件；</w:t>
      </w:r>
      <w:r>
        <w:rPr>
          <w:rFonts w:hint="eastAsia" w:ascii="宋体" w:hAnsi="宋体" w:eastAsia="宋体" w:cs="宋体"/>
          <w:color w:val="auto"/>
          <w:kern w:val="0"/>
          <w:szCs w:val="21"/>
          <w:highlight w:val="none"/>
        </w:rPr>
        <w:t>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eastAsia="宋体" w:cs="宋体"/>
          <w:color w:val="auto"/>
          <w:kern w:val="0"/>
          <w:szCs w:val="20"/>
          <w:highlight w:val="none"/>
        </w:rPr>
        <w:t>；</w:t>
      </w:r>
    </w:p>
    <w:p>
      <w:pPr>
        <w:keepNext w:val="0"/>
        <w:keepLines w:val="0"/>
        <w:pageBreakBefore w:val="0"/>
        <w:widowControl/>
        <w:numPr>
          <w:ilvl w:val="0"/>
          <w:numId w:val="2"/>
        </w:numPr>
        <w:kinsoku/>
        <w:wordWrap/>
        <w:overflowPunct/>
        <w:topLinePunct w:val="0"/>
        <w:autoSpaceDE/>
        <w:autoSpaceDN/>
        <w:bidi w:val="0"/>
        <w:adjustRightInd/>
        <w:snapToGrid w:val="0"/>
        <w:spacing w:line="348" w:lineRule="auto"/>
        <w:ind w:left="0" w:leftChars="0"/>
        <w:jc w:val="left"/>
        <w:textAlignment w:val="auto"/>
        <w:outlineLvl w:val="9"/>
        <w:rPr>
          <w:rFonts w:hint="eastAsia" w:ascii="宋体" w:hAnsi="宋体" w:eastAsia="宋体" w:cs="宋体"/>
          <w:color w:val="auto"/>
          <w:kern w:val="0"/>
          <w:szCs w:val="22"/>
          <w:highlight w:val="none"/>
          <w:lang w:eastAsia="zh-CN"/>
        </w:rPr>
      </w:pPr>
      <w:r>
        <w:rPr>
          <w:rFonts w:hint="eastAsia" w:ascii="宋体" w:hAnsi="宋体" w:eastAsia="宋体" w:cs="宋体"/>
          <w:color w:val="auto"/>
          <w:kern w:val="0"/>
          <w:szCs w:val="20"/>
          <w:highlight w:val="none"/>
        </w:rPr>
        <w:t>供应商特定资格条件的证明文件：详见“第一章  公开招标公告 二、申请人的资格要求：3.本项目的特定资格要求”</w:t>
      </w:r>
      <w:r>
        <w:rPr>
          <w:rFonts w:hint="eastAsia" w:ascii="宋体" w:hAnsi="宋体" w:cs="宋体"/>
          <w:color w:val="auto"/>
          <w:kern w:val="0"/>
          <w:szCs w:val="20"/>
          <w:highlight w:val="none"/>
          <w:lang w:eastAsia="zh-CN"/>
        </w:rPr>
        <w:t>（</w:t>
      </w:r>
      <w:r>
        <w:rPr>
          <w:rFonts w:hint="eastAsia" w:ascii="宋体" w:hAnsi="宋体" w:cs="宋体"/>
          <w:color w:val="auto"/>
          <w:kern w:val="0"/>
          <w:szCs w:val="20"/>
          <w:highlight w:val="none"/>
          <w:lang w:val="en-US" w:eastAsia="zh-CN"/>
        </w:rPr>
        <w:t>如有</w:t>
      </w:r>
      <w:r>
        <w:rPr>
          <w:rFonts w:hint="eastAsia" w:ascii="宋体" w:hAnsi="宋体" w:cs="宋体"/>
          <w:color w:val="auto"/>
          <w:kern w:val="0"/>
          <w:szCs w:val="20"/>
          <w:highlight w:val="none"/>
          <w:lang w:eastAsia="zh-CN"/>
        </w:rPr>
        <w:t>）</w:t>
      </w:r>
      <w:r>
        <w:rPr>
          <w:rFonts w:hint="eastAsia" w:ascii="宋体" w:hAnsi="宋体" w:eastAsia="宋体" w:cs="宋体"/>
          <w:color w:val="auto"/>
          <w:kern w:val="0"/>
          <w:szCs w:val="20"/>
          <w:highlight w:val="none"/>
        </w:rPr>
        <w:t>；</w:t>
      </w:r>
    </w:p>
    <w:p>
      <w:pPr>
        <w:keepNext w:val="0"/>
        <w:keepLines w:val="0"/>
        <w:pageBreakBefore w:val="0"/>
        <w:widowControl/>
        <w:numPr>
          <w:ilvl w:val="0"/>
          <w:numId w:val="2"/>
        </w:numPr>
        <w:kinsoku/>
        <w:wordWrap/>
        <w:overflowPunct/>
        <w:topLinePunct w:val="0"/>
        <w:autoSpaceDE/>
        <w:autoSpaceDN/>
        <w:bidi w:val="0"/>
        <w:adjustRightInd/>
        <w:snapToGrid w:val="0"/>
        <w:spacing w:line="348" w:lineRule="auto"/>
        <w:ind w:left="0" w:leftChars="0"/>
        <w:jc w:val="left"/>
        <w:textAlignment w:val="auto"/>
        <w:outlineLvl w:val="9"/>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标项一、标项三：</w:t>
      </w:r>
      <w:r>
        <w:rPr>
          <w:rFonts w:hint="eastAsia" w:ascii="宋体" w:hAnsi="宋体" w:eastAsia="宋体" w:cs="宋体"/>
          <w:color w:val="auto"/>
          <w:kern w:val="0"/>
          <w:szCs w:val="21"/>
          <w:highlight w:val="none"/>
          <w:lang w:eastAsia="zh-CN"/>
        </w:rPr>
        <w:t>中小企业声明函[提供中小企业声明函或残疾人福利性单位声明函（非残疾人福利性单位无需提供本函)，格式见附件或提供由省级以上监狱管理局、戒毒管理局（含新疆生产建设兵团）出具的属于监狱企业的证明文件]；</w:t>
      </w:r>
    </w:p>
    <w:p>
      <w:pPr>
        <w:keepNext w:val="0"/>
        <w:keepLines w:val="0"/>
        <w:pageBreakBefore w:val="0"/>
        <w:widowControl/>
        <w:numPr>
          <w:ilvl w:val="0"/>
          <w:numId w:val="2"/>
        </w:numPr>
        <w:kinsoku/>
        <w:wordWrap/>
        <w:overflowPunct/>
        <w:topLinePunct w:val="0"/>
        <w:autoSpaceDE/>
        <w:autoSpaceDN/>
        <w:bidi w:val="0"/>
        <w:adjustRightInd/>
        <w:snapToGrid w:val="0"/>
        <w:spacing w:line="348" w:lineRule="auto"/>
        <w:ind w:left="0" w:leftChars="0"/>
        <w:jc w:val="left"/>
        <w:textAlignment w:val="auto"/>
        <w:outlineLvl w:val="9"/>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2"/>
          <w:highlight w:val="none"/>
        </w:rPr>
        <w:t>招标文件</w:t>
      </w:r>
      <w:r>
        <w:rPr>
          <w:rFonts w:hint="eastAsia" w:ascii="宋体" w:hAnsi="宋体" w:eastAsia="宋体" w:cs="宋体"/>
          <w:color w:val="auto"/>
          <w:kern w:val="0"/>
          <w:szCs w:val="21"/>
          <w:highlight w:val="none"/>
        </w:rPr>
        <w:t>要求的其他资格条件证明材料（如有）</w:t>
      </w:r>
      <w:r>
        <w:rPr>
          <w:rFonts w:hint="eastAsia" w:ascii="宋体" w:hAnsi="宋体" w:cs="宋体"/>
          <w:color w:val="auto"/>
          <w:kern w:val="0"/>
          <w:szCs w:val="21"/>
          <w:highlight w:val="none"/>
          <w:lang w:eastAsia="zh-CN"/>
        </w:rPr>
        <w:t>。</w:t>
      </w:r>
    </w:p>
    <w:p>
      <w:pPr>
        <w:keepNext w:val="0"/>
        <w:keepLines w:val="0"/>
        <w:pageBreakBefore w:val="0"/>
        <w:kinsoku/>
        <w:wordWrap/>
        <w:overflowPunct/>
        <w:topLinePunct w:val="0"/>
        <w:autoSpaceDE/>
        <w:autoSpaceDN/>
        <w:bidi w:val="0"/>
        <w:adjustRightInd/>
        <w:snapToGrid w:val="0"/>
        <w:spacing w:line="348" w:lineRule="auto"/>
        <w:ind w:left="0" w:leftChars="0"/>
        <w:jc w:val="left"/>
        <w:textAlignment w:val="auto"/>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2、商务技术文件</w:t>
      </w:r>
    </w:p>
    <w:p>
      <w:pPr>
        <w:keepNext w:val="0"/>
        <w:keepLines w:val="0"/>
        <w:pageBreakBefore w:val="0"/>
        <w:widowControl/>
        <w:numPr>
          <w:ilvl w:val="0"/>
          <w:numId w:val="3"/>
        </w:numPr>
        <w:kinsoku/>
        <w:wordWrap/>
        <w:overflowPunct/>
        <w:topLinePunct w:val="0"/>
        <w:autoSpaceDE/>
        <w:autoSpaceDN/>
        <w:bidi w:val="0"/>
        <w:adjustRightInd/>
        <w:snapToGrid w:val="0"/>
        <w:spacing w:line="348" w:lineRule="auto"/>
        <w:ind w:left="0" w:lef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符合性自查表</w:t>
      </w:r>
      <w:r>
        <w:rPr>
          <w:rFonts w:hint="eastAsia" w:ascii="宋体" w:hAnsi="宋体" w:eastAsia="宋体" w:cs="宋体"/>
          <w:color w:val="auto"/>
          <w:kern w:val="0"/>
          <w:szCs w:val="20"/>
          <w:highlight w:val="none"/>
        </w:rPr>
        <w:t>（格式见附件）</w:t>
      </w:r>
      <w:r>
        <w:rPr>
          <w:rFonts w:hint="eastAsia" w:ascii="宋体" w:hAnsi="宋体" w:eastAsia="宋体" w:cs="宋体"/>
          <w:color w:val="auto"/>
          <w:kern w:val="0"/>
          <w:szCs w:val="21"/>
          <w:highlight w:val="none"/>
        </w:rPr>
        <w:t>；</w:t>
      </w:r>
    </w:p>
    <w:p>
      <w:pPr>
        <w:keepNext w:val="0"/>
        <w:keepLines w:val="0"/>
        <w:pageBreakBefore w:val="0"/>
        <w:widowControl/>
        <w:numPr>
          <w:ilvl w:val="0"/>
          <w:numId w:val="3"/>
        </w:numPr>
        <w:kinsoku/>
        <w:wordWrap/>
        <w:overflowPunct/>
        <w:topLinePunct w:val="0"/>
        <w:autoSpaceDE/>
        <w:autoSpaceDN/>
        <w:bidi w:val="0"/>
        <w:adjustRightInd/>
        <w:snapToGrid w:val="0"/>
        <w:spacing w:line="348" w:lineRule="auto"/>
        <w:ind w:left="0" w:lef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供应商响应表</w:t>
      </w:r>
      <w:r>
        <w:rPr>
          <w:rFonts w:hint="eastAsia" w:ascii="宋体" w:hAnsi="宋体" w:eastAsia="宋体" w:cs="宋体"/>
          <w:color w:val="auto"/>
          <w:kern w:val="0"/>
          <w:szCs w:val="20"/>
          <w:highlight w:val="none"/>
        </w:rPr>
        <w:t>（格式见附件）</w:t>
      </w:r>
      <w:r>
        <w:rPr>
          <w:rFonts w:hint="eastAsia" w:ascii="宋体" w:hAnsi="宋体" w:eastAsia="宋体" w:cs="宋体"/>
          <w:color w:val="auto"/>
          <w:kern w:val="0"/>
          <w:szCs w:val="21"/>
          <w:highlight w:val="none"/>
        </w:rPr>
        <w:t>；</w:t>
      </w:r>
    </w:p>
    <w:p>
      <w:pPr>
        <w:keepNext w:val="0"/>
        <w:keepLines w:val="0"/>
        <w:pageBreakBefore w:val="0"/>
        <w:widowControl/>
        <w:numPr>
          <w:ilvl w:val="0"/>
          <w:numId w:val="3"/>
        </w:numPr>
        <w:kinsoku/>
        <w:wordWrap/>
        <w:overflowPunct/>
        <w:topLinePunct w:val="0"/>
        <w:autoSpaceDE/>
        <w:autoSpaceDN/>
        <w:bidi w:val="0"/>
        <w:adjustRightInd/>
        <w:snapToGrid w:val="0"/>
        <w:spacing w:line="348" w:lineRule="auto"/>
        <w:ind w:left="0" w:lef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技术部分：针对本项目第二章采购需求及第四章评分标准中的条款拟定各种方案，格式自拟；</w:t>
      </w:r>
    </w:p>
    <w:p>
      <w:pPr>
        <w:keepNext w:val="0"/>
        <w:keepLines w:val="0"/>
        <w:pageBreakBefore w:val="0"/>
        <w:widowControl/>
        <w:numPr>
          <w:ilvl w:val="0"/>
          <w:numId w:val="3"/>
        </w:numPr>
        <w:kinsoku/>
        <w:wordWrap/>
        <w:overflowPunct/>
        <w:topLinePunct w:val="0"/>
        <w:autoSpaceDE/>
        <w:autoSpaceDN/>
        <w:bidi w:val="0"/>
        <w:adjustRightInd/>
        <w:snapToGrid w:val="0"/>
        <w:spacing w:line="348" w:lineRule="auto"/>
        <w:ind w:left="0" w:lef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投标函</w:t>
      </w:r>
      <w:r>
        <w:rPr>
          <w:rFonts w:hint="eastAsia" w:ascii="宋体" w:hAnsi="宋体" w:eastAsia="宋体" w:cs="宋体"/>
          <w:color w:val="auto"/>
          <w:kern w:val="0"/>
          <w:szCs w:val="20"/>
          <w:highlight w:val="none"/>
        </w:rPr>
        <w:t>（格式见附件）</w:t>
      </w:r>
      <w:r>
        <w:rPr>
          <w:rFonts w:hint="eastAsia" w:ascii="宋体" w:hAnsi="宋体" w:eastAsia="宋体" w:cs="宋体"/>
          <w:color w:val="auto"/>
          <w:kern w:val="0"/>
          <w:szCs w:val="21"/>
          <w:highlight w:val="none"/>
        </w:rPr>
        <w:t>；</w:t>
      </w:r>
    </w:p>
    <w:p>
      <w:pPr>
        <w:keepNext w:val="0"/>
        <w:keepLines w:val="0"/>
        <w:pageBreakBefore w:val="0"/>
        <w:widowControl/>
        <w:numPr>
          <w:ilvl w:val="0"/>
          <w:numId w:val="3"/>
        </w:numPr>
        <w:kinsoku/>
        <w:wordWrap/>
        <w:overflowPunct/>
        <w:topLinePunct w:val="0"/>
        <w:autoSpaceDE/>
        <w:autoSpaceDN/>
        <w:bidi w:val="0"/>
        <w:adjustRightInd/>
        <w:snapToGrid w:val="0"/>
        <w:spacing w:line="348" w:lineRule="auto"/>
        <w:ind w:left="0" w:lef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法定代表人身份证明或法定代表人授权委托书</w:t>
      </w:r>
      <w:r>
        <w:rPr>
          <w:rFonts w:hint="eastAsia" w:ascii="宋体" w:hAnsi="宋体" w:eastAsia="宋体" w:cs="宋体"/>
          <w:color w:val="auto"/>
          <w:kern w:val="0"/>
          <w:szCs w:val="20"/>
          <w:highlight w:val="none"/>
        </w:rPr>
        <w:t>（格式见附件）</w:t>
      </w:r>
      <w:r>
        <w:rPr>
          <w:rFonts w:hint="eastAsia" w:ascii="宋体" w:hAnsi="宋体" w:eastAsia="宋体" w:cs="宋体"/>
          <w:color w:val="auto"/>
          <w:kern w:val="0"/>
          <w:szCs w:val="21"/>
          <w:highlight w:val="none"/>
        </w:rPr>
        <w:t>；</w:t>
      </w:r>
    </w:p>
    <w:p>
      <w:pPr>
        <w:keepNext w:val="0"/>
        <w:keepLines w:val="0"/>
        <w:pageBreakBefore w:val="0"/>
        <w:widowControl/>
        <w:numPr>
          <w:ilvl w:val="0"/>
          <w:numId w:val="3"/>
        </w:numPr>
        <w:kinsoku/>
        <w:wordWrap/>
        <w:overflowPunct/>
        <w:topLinePunct w:val="0"/>
        <w:autoSpaceDE/>
        <w:autoSpaceDN/>
        <w:bidi w:val="0"/>
        <w:adjustRightInd/>
        <w:snapToGrid w:val="0"/>
        <w:spacing w:line="348" w:lineRule="auto"/>
        <w:ind w:left="0" w:lef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技术（服务）条款偏离表</w:t>
      </w:r>
      <w:r>
        <w:rPr>
          <w:rFonts w:hint="eastAsia" w:ascii="宋体" w:hAnsi="宋体" w:eastAsia="宋体" w:cs="宋体"/>
          <w:color w:val="auto"/>
          <w:kern w:val="0"/>
          <w:szCs w:val="20"/>
          <w:highlight w:val="none"/>
        </w:rPr>
        <w:t>（格式见附件）</w:t>
      </w:r>
      <w:r>
        <w:rPr>
          <w:rFonts w:hint="eastAsia" w:ascii="宋体" w:hAnsi="宋体" w:eastAsia="宋体" w:cs="宋体"/>
          <w:color w:val="auto"/>
          <w:kern w:val="0"/>
          <w:szCs w:val="21"/>
          <w:highlight w:val="none"/>
        </w:rPr>
        <w:t>；</w:t>
      </w:r>
    </w:p>
    <w:p>
      <w:pPr>
        <w:keepNext w:val="0"/>
        <w:keepLines w:val="0"/>
        <w:pageBreakBefore w:val="0"/>
        <w:widowControl/>
        <w:numPr>
          <w:ilvl w:val="0"/>
          <w:numId w:val="3"/>
        </w:numPr>
        <w:kinsoku/>
        <w:wordWrap/>
        <w:overflowPunct/>
        <w:topLinePunct w:val="0"/>
        <w:autoSpaceDE/>
        <w:autoSpaceDN/>
        <w:bidi w:val="0"/>
        <w:adjustRightInd/>
        <w:snapToGrid w:val="0"/>
        <w:spacing w:line="348" w:lineRule="auto"/>
        <w:ind w:left="0" w:lef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商务条款偏离表</w:t>
      </w:r>
      <w:r>
        <w:rPr>
          <w:rFonts w:hint="eastAsia" w:ascii="宋体" w:hAnsi="宋体" w:eastAsia="宋体" w:cs="宋体"/>
          <w:color w:val="auto"/>
          <w:kern w:val="0"/>
          <w:szCs w:val="20"/>
          <w:highlight w:val="none"/>
        </w:rPr>
        <w:t>（格式见附件）</w:t>
      </w:r>
      <w:r>
        <w:rPr>
          <w:rFonts w:hint="eastAsia" w:ascii="宋体" w:hAnsi="宋体" w:eastAsia="宋体" w:cs="宋体"/>
          <w:color w:val="auto"/>
          <w:kern w:val="0"/>
          <w:szCs w:val="21"/>
          <w:highlight w:val="none"/>
        </w:rPr>
        <w:t>；</w:t>
      </w:r>
    </w:p>
    <w:p>
      <w:pPr>
        <w:keepNext w:val="0"/>
        <w:keepLines w:val="0"/>
        <w:pageBreakBefore w:val="0"/>
        <w:widowControl/>
        <w:numPr>
          <w:ilvl w:val="0"/>
          <w:numId w:val="3"/>
        </w:numPr>
        <w:kinsoku/>
        <w:wordWrap/>
        <w:overflowPunct/>
        <w:topLinePunct w:val="0"/>
        <w:autoSpaceDE/>
        <w:autoSpaceDN/>
        <w:bidi w:val="0"/>
        <w:adjustRightInd/>
        <w:snapToGrid w:val="0"/>
        <w:spacing w:line="348" w:lineRule="auto"/>
        <w:ind w:left="0" w:lef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供应商情况一览表</w:t>
      </w:r>
      <w:r>
        <w:rPr>
          <w:rFonts w:hint="eastAsia" w:ascii="宋体" w:hAnsi="宋体" w:eastAsia="宋体" w:cs="宋体"/>
          <w:color w:val="auto"/>
          <w:kern w:val="0"/>
          <w:szCs w:val="20"/>
          <w:highlight w:val="none"/>
        </w:rPr>
        <w:t>（格式见附件）</w:t>
      </w:r>
      <w:r>
        <w:rPr>
          <w:rFonts w:hint="eastAsia" w:ascii="宋体" w:hAnsi="宋体" w:eastAsia="宋体" w:cs="宋体"/>
          <w:color w:val="auto"/>
          <w:kern w:val="0"/>
          <w:szCs w:val="21"/>
          <w:highlight w:val="none"/>
        </w:rPr>
        <w:t>；</w:t>
      </w:r>
    </w:p>
    <w:p>
      <w:pPr>
        <w:keepNext w:val="0"/>
        <w:keepLines w:val="0"/>
        <w:pageBreakBefore w:val="0"/>
        <w:widowControl/>
        <w:numPr>
          <w:ilvl w:val="0"/>
          <w:numId w:val="3"/>
        </w:numPr>
        <w:kinsoku/>
        <w:wordWrap/>
        <w:overflowPunct/>
        <w:topLinePunct w:val="0"/>
        <w:autoSpaceDE/>
        <w:autoSpaceDN/>
        <w:bidi w:val="0"/>
        <w:adjustRightInd/>
        <w:snapToGrid w:val="0"/>
        <w:spacing w:line="348" w:lineRule="auto"/>
        <w:ind w:left="0" w:lef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企业业绩表</w:t>
      </w:r>
      <w:r>
        <w:rPr>
          <w:rFonts w:hint="eastAsia" w:ascii="宋体" w:hAnsi="宋体" w:eastAsia="宋体" w:cs="宋体"/>
          <w:color w:val="auto"/>
          <w:kern w:val="0"/>
          <w:szCs w:val="20"/>
          <w:highlight w:val="none"/>
        </w:rPr>
        <w:t>（格式见附件）</w:t>
      </w:r>
      <w:r>
        <w:rPr>
          <w:rFonts w:hint="eastAsia" w:ascii="宋体" w:hAnsi="宋体" w:eastAsia="宋体" w:cs="宋体"/>
          <w:color w:val="auto"/>
          <w:kern w:val="0"/>
          <w:szCs w:val="21"/>
          <w:highlight w:val="none"/>
        </w:rPr>
        <w:t>；</w:t>
      </w:r>
    </w:p>
    <w:p>
      <w:pPr>
        <w:keepNext w:val="0"/>
        <w:keepLines w:val="0"/>
        <w:pageBreakBefore w:val="0"/>
        <w:widowControl/>
        <w:numPr>
          <w:ilvl w:val="0"/>
          <w:numId w:val="3"/>
        </w:numPr>
        <w:kinsoku/>
        <w:wordWrap/>
        <w:overflowPunct/>
        <w:topLinePunct w:val="0"/>
        <w:autoSpaceDE/>
        <w:autoSpaceDN/>
        <w:bidi w:val="0"/>
        <w:adjustRightInd/>
        <w:snapToGrid w:val="0"/>
        <w:spacing w:line="348" w:lineRule="auto"/>
        <w:ind w:left="0" w:lef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第四章评标办法及评分标准中需提供的其他相关资质证书及合同复印件加盖公章；</w:t>
      </w:r>
    </w:p>
    <w:p>
      <w:pPr>
        <w:keepNext w:val="0"/>
        <w:keepLines w:val="0"/>
        <w:pageBreakBefore w:val="0"/>
        <w:widowControl/>
        <w:numPr>
          <w:ilvl w:val="0"/>
          <w:numId w:val="3"/>
        </w:numPr>
        <w:kinsoku/>
        <w:wordWrap/>
        <w:overflowPunct/>
        <w:topLinePunct w:val="0"/>
        <w:autoSpaceDE/>
        <w:autoSpaceDN/>
        <w:bidi w:val="0"/>
        <w:adjustRightInd/>
        <w:snapToGrid w:val="0"/>
        <w:spacing w:line="348" w:lineRule="auto"/>
        <w:ind w:left="0" w:lef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供应商认为有需要提供的其它证明资料。</w:t>
      </w:r>
    </w:p>
    <w:p>
      <w:pPr>
        <w:keepNext w:val="0"/>
        <w:keepLines w:val="0"/>
        <w:pageBreakBefore w:val="0"/>
        <w:kinsoku/>
        <w:wordWrap/>
        <w:overflowPunct/>
        <w:topLinePunct w:val="0"/>
        <w:autoSpaceDE/>
        <w:autoSpaceDN/>
        <w:bidi w:val="0"/>
        <w:adjustRightInd/>
        <w:snapToGrid w:val="0"/>
        <w:spacing w:line="348" w:lineRule="auto"/>
        <w:ind w:left="0" w:leftChars="0"/>
        <w:jc w:val="left"/>
        <w:textAlignment w:val="auto"/>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3、报价文件：</w:t>
      </w:r>
    </w:p>
    <w:p>
      <w:pPr>
        <w:keepNext w:val="0"/>
        <w:keepLines w:val="0"/>
        <w:pageBreakBefore w:val="0"/>
        <w:widowControl/>
        <w:numPr>
          <w:ilvl w:val="0"/>
          <w:numId w:val="4"/>
        </w:numPr>
        <w:kinsoku/>
        <w:wordWrap/>
        <w:overflowPunct/>
        <w:topLinePunct w:val="0"/>
        <w:autoSpaceDE/>
        <w:autoSpaceDN/>
        <w:bidi w:val="0"/>
        <w:adjustRightInd/>
        <w:snapToGrid w:val="0"/>
        <w:spacing w:line="348" w:lineRule="auto"/>
        <w:ind w:left="0" w:lef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开标一览表（格式见附件）；</w:t>
      </w:r>
    </w:p>
    <w:p>
      <w:pPr>
        <w:keepNext w:val="0"/>
        <w:keepLines w:val="0"/>
        <w:pageBreakBefore w:val="0"/>
        <w:widowControl/>
        <w:numPr>
          <w:ilvl w:val="0"/>
          <w:numId w:val="4"/>
        </w:numPr>
        <w:kinsoku/>
        <w:wordWrap/>
        <w:overflowPunct/>
        <w:topLinePunct w:val="0"/>
        <w:autoSpaceDE/>
        <w:autoSpaceDN/>
        <w:bidi w:val="0"/>
        <w:adjustRightInd/>
        <w:snapToGrid w:val="0"/>
        <w:spacing w:line="348" w:lineRule="auto"/>
        <w:ind w:left="0" w:lef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投标报价明细表（格式见附件）；</w:t>
      </w:r>
    </w:p>
    <w:p>
      <w:pPr>
        <w:keepNext w:val="0"/>
        <w:keepLines w:val="0"/>
        <w:pageBreakBefore w:val="0"/>
        <w:widowControl/>
        <w:numPr>
          <w:ilvl w:val="0"/>
          <w:numId w:val="4"/>
        </w:numPr>
        <w:kinsoku/>
        <w:wordWrap/>
        <w:overflowPunct/>
        <w:topLinePunct w:val="0"/>
        <w:autoSpaceDE/>
        <w:autoSpaceDN/>
        <w:bidi w:val="0"/>
        <w:adjustRightInd/>
        <w:snapToGrid w:val="0"/>
        <w:spacing w:line="348" w:lineRule="auto"/>
        <w:ind w:left="0" w:leftChars="0"/>
        <w:jc w:val="left"/>
        <w:textAlignment w:val="auto"/>
        <w:outlineLvl w:val="9"/>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标项二：</w:t>
      </w:r>
      <w:r>
        <w:rPr>
          <w:rFonts w:hint="eastAsia" w:ascii="宋体" w:hAnsi="宋体" w:eastAsia="宋体" w:cs="宋体"/>
          <w:color w:val="auto"/>
          <w:kern w:val="0"/>
          <w:szCs w:val="21"/>
          <w:highlight w:val="none"/>
          <w:lang w:eastAsia="zh-CN"/>
        </w:rPr>
        <w:t>中小企业声明函[提供中小企业声明函或残疾人福利性单位声明函（非残疾人福利性单位无需提供本函)，格式见附件或提供由省级以上监狱管理局、戒毒管理局（含新疆生产建设兵团）出具的属于监狱企业的证明文件]；</w:t>
      </w:r>
    </w:p>
    <w:p>
      <w:pPr>
        <w:keepNext w:val="0"/>
        <w:keepLines w:val="0"/>
        <w:pageBreakBefore w:val="0"/>
        <w:widowControl/>
        <w:numPr>
          <w:ilvl w:val="0"/>
          <w:numId w:val="4"/>
        </w:numPr>
        <w:kinsoku/>
        <w:wordWrap/>
        <w:overflowPunct/>
        <w:topLinePunct w:val="0"/>
        <w:autoSpaceDE/>
        <w:autoSpaceDN/>
        <w:bidi w:val="0"/>
        <w:adjustRightInd/>
        <w:snapToGrid w:val="0"/>
        <w:spacing w:line="348" w:lineRule="auto"/>
        <w:ind w:left="0" w:lef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供应商针对报价需要说明的其他文件和说明（</w:t>
      </w:r>
      <w:r>
        <w:rPr>
          <w:rFonts w:hint="eastAsia" w:ascii="宋体" w:hAnsi="宋体" w:eastAsia="宋体" w:cs="宋体"/>
          <w:color w:val="auto"/>
          <w:kern w:val="0"/>
          <w:szCs w:val="20"/>
          <w:highlight w:val="none"/>
        </w:rPr>
        <w:t>格式见附件</w:t>
      </w:r>
      <w:r>
        <w:rPr>
          <w:rFonts w:hint="eastAsia" w:ascii="宋体" w:hAnsi="宋体" w:eastAsia="宋体" w:cs="宋体"/>
          <w:color w:val="auto"/>
          <w:kern w:val="0"/>
          <w:szCs w:val="21"/>
          <w:highlight w:val="none"/>
        </w:rPr>
        <w:t>）。</w:t>
      </w:r>
    </w:p>
    <w:p>
      <w:pPr>
        <w:keepNext w:val="0"/>
        <w:keepLines w:val="0"/>
        <w:pageBreakBefore w:val="0"/>
        <w:widowControl/>
        <w:kinsoku/>
        <w:wordWrap/>
        <w:overflowPunct/>
        <w:topLinePunct w:val="0"/>
        <w:autoSpaceDE/>
        <w:autoSpaceDN/>
        <w:bidi w:val="0"/>
        <w:adjustRightInd/>
        <w:spacing w:line="348" w:lineRule="auto"/>
        <w:ind w:left="0" w:leftChars="0" w:firstLine="422" w:firstLineChars="200"/>
        <w:jc w:val="left"/>
        <w:textAlignment w:val="auto"/>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★注：法定代表人授权委托书必须由法定代表人签署（签名或印章）并加盖单位公章；供应商资格声明函、投标函、开标一览表必须由法定代表人或授权代表签署（签名或印章）并加盖单位公章。</w:t>
      </w:r>
    </w:p>
    <w:p>
      <w:pPr>
        <w:keepNext w:val="0"/>
        <w:keepLines w:val="0"/>
        <w:pageBreakBefore w:val="0"/>
        <w:kinsoku/>
        <w:wordWrap/>
        <w:overflowPunct/>
        <w:topLinePunct w:val="0"/>
        <w:autoSpaceDE/>
        <w:autoSpaceDN/>
        <w:bidi w:val="0"/>
        <w:adjustRightInd/>
        <w:spacing w:line="348" w:lineRule="auto"/>
        <w:ind w:left="0" w:left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（二）投标文件的语言及计量</w:t>
      </w:r>
    </w:p>
    <w:p>
      <w:pPr>
        <w:keepNext w:val="0"/>
        <w:keepLines w:val="0"/>
        <w:pageBreakBefore w:val="0"/>
        <w:widowControl/>
        <w:kinsoku/>
        <w:wordWrap/>
        <w:overflowPunct/>
        <w:topLinePunct w:val="0"/>
        <w:autoSpaceDE/>
        <w:autoSpaceDN/>
        <w:bidi w:val="0"/>
        <w:adjustRightInd/>
        <w:spacing w:line="348" w:lineRule="auto"/>
        <w:ind w:left="0" w:leftChars="0"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★1、投标文件以及供应商与采购人就有关投标事宜的所有来往函电，均应以中文汉语书写。除签名、盖章、专用名称等特殊情形外，以中文汉语以外的文字表述的投标文件视同未提供。</w:t>
      </w:r>
    </w:p>
    <w:p>
      <w:pPr>
        <w:keepNext w:val="0"/>
        <w:keepLines w:val="0"/>
        <w:pageBreakBefore w:val="0"/>
        <w:widowControl/>
        <w:kinsoku/>
        <w:wordWrap/>
        <w:overflowPunct/>
        <w:topLinePunct w:val="0"/>
        <w:autoSpaceDE/>
        <w:autoSpaceDN/>
        <w:bidi w:val="0"/>
        <w:adjustRightInd/>
        <w:spacing w:line="348" w:lineRule="auto"/>
        <w:ind w:left="0" w:leftChars="0"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★2、投标计量单位，招标文件已有明确规定的，使用招标文件规定的计量单位；招标文件没有规定的，应采用中华人民共和国法定计量单位（货币单位：人民币元），否则视同未响应。</w:t>
      </w:r>
    </w:p>
    <w:p>
      <w:pPr>
        <w:keepNext w:val="0"/>
        <w:keepLines w:val="0"/>
        <w:pageBreakBefore w:val="0"/>
        <w:widowControl/>
        <w:kinsoku/>
        <w:wordWrap/>
        <w:overflowPunct/>
        <w:topLinePunct w:val="0"/>
        <w:autoSpaceDE/>
        <w:autoSpaceDN/>
        <w:bidi w:val="0"/>
        <w:adjustRightInd/>
        <w:spacing w:line="348" w:lineRule="auto"/>
        <w:ind w:left="0" w:lef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（三）投标报价</w:t>
      </w:r>
    </w:p>
    <w:p>
      <w:pPr>
        <w:keepNext w:val="0"/>
        <w:keepLines w:val="0"/>
        <w:pageBreakBefore w:val="0"/>
        <w:widowControl/>
        <w:kinsoku/>
        <w:wordWrap/>
        <w:overflowPunct/>
        <w:topLinePunct w:val="0"/>
        <w:autoSpaceDE/>
        <w:autoSpaceDN/>
        <w:bidi w:val="0"/>
        <w:adjustRightInd/>
        <w:spacing w:line="348" w:lineRule="auto"/>
        <w:ind w:left="0" w:leftChars="0"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1、投标报价应按招标文件中相关附表格式填写。</w:t>
      </w:r>
    </w:p>
    <w:p>
      <w:pPr>
        <w:keepNext w:val="0"/>
        <w:keepLines w:val="0"/>
        <w:pageBreakBefore w:val="0"/>
        <w:widowControl/>
        <w:kinsoku/>
        <w:wordWrap/>
        <w:overflowPunct/>
        <w:topLinePunct w:val="0"/>
        <w:autoSpaceDE/>
        <w:autoSpaceDN/>
        <w:bidi w:val="0"/>
        <w:adjustRightInd/>
        <w:spacing w:line="348" w:lineRule="auto"/>
        <w:ind w:left="0" w:leftChars="0"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★2、投标报价是履行合同的最终价格，具体详见第三章 供应商须知。</w:t>
      </w:r>
    </w:p>
    <w:p>
      <w:pPr>
        <w:keepNext w:val="0"/>
        <w:keepLines w:val="0"/>
        <w:pageBreakBefore w:val="0"/>
        <w:widowControl/>
        <w:kinsoku/>
        <w:wordWrap/>
        <w:overflowPunct/>
        <w:topLinePunct w:val="0"/>
        <w:autoSpaceDE/>
        <w:autoSpaceDN/>
        <w:bidi w:val="0"/>
        <w:adjustRightInd/>
        <w:spacing w:line="348" w:lineRule="auto"/>
        <w:ind w:left="0" w:leftChars="0"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★3、投标文件只允许有一个报价，有选择的或有条件的报价将不予接受。</w:t>
      </w:r>
    </w:p>
    <w:p>
      <w:pPr>
        <w:keepNext w:val="0"/>
        <w:keepLines w:val="0"/>
        <w:pageBreakBefore w:val="0"/>
        <w:widowControl/>
        <w:kinsoku/>
        <w:wordWrap/>
        <w:overflowPunct/>
        <w:topLinePunct w:val="0"/>
        <w:autoSpaceDE/>
        <w:autoSpaceDN/>
        <w:bidi w:val="0"/>
        <w:adjustRightInd/>
        <w:spacing w:line="348" w:lineRule="auto"/>
        <w:ind w:left="0" w:lef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（四）投标文件的有效期</w:t>
      </w:r>
    </w:p>
    <w:p>
      <w:pPr>
        <w:keepNext w:val="0"/>
        <w:keepLines w:val="0"/>
        <w:pageBreakBefore w:val="0"/>
        <w:widowControl/>
        <w:kinsoku/>
        <w:wordWrap/>
        <w:overflowPunct/>
        <w:topLinePunct w:val="0"/>
        <w:autoSpaceDE/>
        <w:autoSpaceDN/>
        <w:bidi w:val="0"/>
        <w:adjustRightInd/>
        <w:spacing w:line="348" w:lineRule="auto"/>
        <w:ind w:left="0" w:leftChars="0"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★1、自投标截止日起90 天投标文件应保持有效。</w:t>
      </w:r>
    </w:p>
    <w:p>
      <w:pPr>
        <w:keepNext w:val="0"/>
        <w:keepLines w:val="0"/>
        <w:pageBreakBefore w:val="0"/>
        <w:widowControl/>
        <w:kinsoku/>
        <w:wordWrap/>
        <w:overflowPunct/>
        <w:topLinePunct w:val="0"/>
        <w:autoSpaceDE/>
        <w:autoSpaceDN/>
        <w:bidi w:val="0"/>
        <w:adjustRightInd/>
        <w:spacing w:line="348" w:lineRule="auto"/>
        <w:ind w:left="0" w:leftChars="0"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2、在特殊情况下，采购人可与供应商协商延长投标书的有效期，这种要求和答复均以书面形式进行。</w:t>
      </w:r>
    </w:p>
    <w:p>
      <w:pPr>
        <w:keepNext w:val="0"/>
        <w:keepLines w:val="0"/>
        <w:pageBreakBefore w:val="0"/>
        <w:widowControl/>
        <w:kinsoku/>
        <w:wordWrap/>
        <w:overflowPunct/>
        <w:topLinePunct w:val="0"/>
        <w:autoSpaceDE/>
        <w:autoSpaceDN/>
        <w:bidi w:val="0"/>
        <w:adjustRightInd/>
        <w:spacing w:line="348" w:lineRule="auto"/>
        <w:ind w:left="0" w:leftChars="0"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3、供应商同意延长有效期的，不能修改投标文件。 </w:t>
      </w:r>
    </w:p>
    <w:p>
      <w:pPr>
        <w:keepNext w:val="0"/>
        <w:keepLines w:val="0"/>
        <w:pageBreakBefore w:val="0"/>
        <w:widowControl/>
        <w:kinsoku/>
        <w:wordWrap/>
        <w:overflowPunct/>
        <w:topLinePunct w:val="0"/>
        <w:autoSpaceDE/>
        <w:autoSpaceDN/>
        <w:bidi w:val="0"/>
        <w:adjustRightInd/>
        <w:spacing w:line="348" w:lineRule="auto"/>
        <w:ind w:left="0" w:leftChars="0"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4、中标人的投标文件自开标之日起至合同履行完毕止均应保持有效。</w:t>
      </w:r>
    </w:p>
    <w:p>
      <w:pPr>
        <w:keepNext w:val="0"/>
        <w:keepLines w:val="0"/>
        <w:pageBreakBefore w:val="0"/>
        <w:widowControl/>
        <w:kinsoku/>
        <w:wordWrap/>
        <w:overflowPunct/>
        <w:topLinePunct w:val="0"/>
        <w:autoSpaceDE/>
        <w:autoSpaceDN/>
        <w:bidi w:val="0"/>
        <w:adjustRightInd/>
        <w:spacing w:line="348" w:lineRule="auto"/>
        <w:ind w:left="0" w:lef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（五）投标文件的签署和份数</w:t>
      </w:r>
    </w:p>
    <w:p>
      <w:pPr>
        <w:keepNext w:val="0"/>
        <w:keepLines w:val="0"/>
        <w:pageBreakBefore w:val="0"/>
        <w:widowControl/>
        <w:kinsoku/>
        <w:wordWrap/>
        <w:overflowPunct/>
        <w:topLinePunct w:val="0"/>
        <w:autoSpaceDE/>
        <w:autoSpaceDN/>
        <w:bidi w:val="0"/>
        <w:adjustRightInd/>
        <w:spacing w:line="348" w:lineRule="auto"/>
        <w:ind w:left="0" w:leftChars="0" w:firstLine="525" w:firstLineChars="250"/>
        <w:jc w:val="left"/>
        <w:textAlignment w:val="auto"/>
        <w:outlineLvl w:val="9"/>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1</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0"/>
          <w:highlight w:val="none"/>
        </w:rPr>
        <w:t>供应商应按本招标文件规定的格式和顺序编制、装订投标文件</w:t>
      </w:r>
      <w:r>
        <w:rPr>
          <w:rFonts w:hint="eastAsia" w:ascii="宋体" w:hAnsi="宋体" w:eastAsia="宋体" w:cs="宋体"/>
          <w:color w:val="auto"/>
          <w:kern w:val="0"/>
          <w:szCs w:val="21"/>
          <w:highlight w:val="none"/>
        </w:rPr>
        <w:t>，投标文件要求有目录并标注页码</w:t>
      </w:r>
      <w:r>
        <w:rPr>
          <w:rFonts w:hint="eastAsia" w:ascii="宋体" w:hAnsi="宋体" w:eastAsia="宋体" w:cs="宋体"/>
          <w:color w:val="auto"/>
          <w:kern w:val="0"/>
          <w:szCs w:val="20"/>
          <w:highlight w:val="none"/>
        </w:rPr>
        <w:t>，投标文件内容不完整、编排混乱导致投标文件被误读、漏读或者查找不到相关内容的，是供应商的责任。</w:t>
      </w:r>
    </w:p>
    <w:p>
      <w:pPr>
        <w:keepNext w:val="0"/>
        <w:keepLines w:val="0"/>
        <w:pageBreakBefore w:val="0"/>
        <w:widowControl/>
        <w:kinsoku/>
        <w:wordWrap/>
        <w:overflowPunct/>
        <w:topLinePunct w:val="0"/>
        <w:autoSpaceDE/>
        <w:autoSpaceDN/>
        <w:bidi w:val="0"/>
        <w:adjustRightInd/>
        <w:spacing w:line="348" w:lineRule="auto"/>
        <w:ind w:left="0" w:leftChars="0" w:firstLine="525" w:firstLineChars="250"/>
        <w:jc w:val="left"/>
        <w:textAlignment w:val="auto"/>
        <w:outlineLvl w:val="9"/>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2、投标文件的份数：</w:t>
      </w:r>
    </w:p>
    <w:p>
      <w:pPr>
        <w:keepNext w:val="0"/>
        <w:keepLines w:val="0"/>
        <w:pageBreakBefore w:val="0"/>
        <w:widowControl/>
        <w:kinsoku/>
        <w:wordWrap/>
        <w:overflowPunct/>
        <w:topLinePunct w:val="0"/>
        <w:autoSpaceDE/>
        <w:autoSpaceDN/>
        <w:bidi w:val="0"/>
        <w:adjustRightInd/>
        <w:spacing w:line="348" w:lineRule="auto"/>
        <w:ind w:left="0" w:leftChars="0" w:firstLine="525" w:firstLineChars="250"/>
        <w:jc w:val="left"/>
        <w:textAlignment w:val="auto"/>
        <w:outlineLvl w:val="9"/>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本项目实行网上投标，供应商应准备以下投标文件：</w:t>
      </w:r>
    </w:p>
    <w:p>
      <w:pPr>
        <w:keepNext w:val="0"/>
        <w:keepLines w:val="0"/>
        <w:pageBreakBefore w:val="0"/>
        <w:widowControl/>
        <w:kinsoku/>
        <w:wordWrap/>
        <w:overflowPunct/>
        <w:topLinePunct w:val="0"/>
        <w:autoSpaceDE/>
        <w:autoSpaceDN/>
        <w:bidi w:val="0"/>
        <w:adjustRightInd/>
        <w:spacing w:line="348" w:lineRule="auto"/>
        <w:ind w:left="0" w:leftChars="0" w:firstLine="525" w:firstLineChars="250"/>
        <w:jc w:val="left"/>
        <w:textAlignment w:val="auto"/>
        <w:outlineLvl w:val="9"/>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（1）上传到政府采购云平台的电子投标文件（含资格文件、商务技术文件、报价文件）1份。</w:t>
      </w:r>
    </w:p>
    <w:p>
      <w:pPr>
        <w:keepNext w:val="0"/>
        <w:keepLines w:val="0"/>
        <w:pageBreakBefore w:val="0"/>
        <w:widowControl/>
        <w:kinsoku/>
        <w:wordWrap/>
        <w:overflowPunct/>
        <w:topLinePunct w:val="0"/>
        <w:autoSpaceDE/>
        <w:autoSpaceDN/>
        <w:bidi w:val="0"/>
        <w:adjustRightInd/>
        <w:spacing w:line="348" w:lineRule="auto"/>
        <w:ind w:left="0" w:leftChars="0" w:firstLine="525" w:firstLineChars="250"/>
        <w:jc w:val="left"/>
        <w:textAlignment w:val="auto"/>
        <w:outlineLvl w:val="9"/>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（2）以U盘存储的电子备份投标文件（含资格文件、商务技术文件、报价文件）1份。</w:t>
      </w:r>
    </w:p>
    <w:p>
      <w:pPr>
        <w:keepNext w:val="0"/>
        <w:keepLines w:val="0"/>
        <w:pageBreakBefore w:val="0"/>
        <w:widowControl/>
        <w:kinsoku/>
        <w:wordWrap/>
        <w:overflowPunct/>
        <w:topLinePunct w:val="0"/>
        <w:autoSpaceDE/>
        <w:autoSpaceDN/>
        <w:bidi w:val="0"/>
        <w:adjustRightInd/>
        <w:spacing w:line="348" w:lineRule="auto"/>
        <w:ind w:left="0" w:leftChars="0" w:firstLine="525" w:firstLineChars="250"/>
        <w:jc w:val="left"/>
        <w:textAlignment w:val="auto"/>
        <w:outlineLvl w:val="9"/>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3、电子投标文件：</w:t>
      </w:r>
    </w:p>
    <w:p>
      <w:pPr>
        <w:keepNext w:val="0"/>
        <w:keepLines w:val="0"/>
        <w:pageBreakBefore w:val="0"/>
        <w:widowControl/>
        <w:kinsoku/>
        <w:wordWrap/>
        <w:overflowPunct/>
        <w:topLinePunct w:val="0"/>
        <w:autoSpaceDE/>
        <w:autoSpaceDN/>
        <w:bidi w:val="0"/>
        <w:adjustRightInd/>
        <w:spacing w:line="348" w:lineRule="auto"/>
        <w:ind w:left="0" w:leftChars="0" w:firstLine="525" w:firstLineChars="250"/>
        <w:jc w:val="left"/>
        <w:textAlignment w:val="auto"/>
        <w:outlineLvl w:val="9"/>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3.1供应商应根据</w:t>
      </w:r>
      <w:r>
        <w:rPr>
          <w:rFonts w:hint="eastAsia" w:ascii="宋体" w:hAnsi="宋体" w:eastAsia="宋体" w:cs="宋体"/>
          <w:color w:val="auto"/>
          <w:kern w:val="0"/>
          <w:szCs w:val="21"/>
          <w:highlight w:val="none"/>
        </w:rPr>
        <w:t>政府采购云平台的要求</w:t>
      </w:r>
      <w:r>
        <w:rPr>
          <w:rFonts w:hint="eastAsia" w:ascii="宋体" w:hAnsi="宋体" w:eastAsia="宋体" w:cs="宋体"/>
          <w:color w:val="auto"/>
          <w:kern w:val="0"/>
          <w:szCs w:val="20"/>
          <w:highlight w:val="none"/>
        </w:rPr>
        <w:t>及本招标文件规定的格式和顺序编制电子投标文件并进行关联定位。</w:t>
      </w:r>
    </w:p>
    <w:p>
      <w:pPr>
        <w:keepNext w:val="0"/>
        <w:keepLines w:val="0"/>
        <w:pageBreakBefore w:val="0"/>
        <w:widowControl/>
        <w:kinsoku/>
        <w:wordWrap/>
        <w:overflowPunct/>
        <w:topLinePunct w:val="0"/>
        <w:autoSpaceDE/>
        <w:autoSpaceDN/>
        <w:bidi w:val="0"/>
        <w:adjustRightInd/>
        <w:spacing w:line="348" w:lineRule="auto"/>
        <w:ind w:left="0" w:leftChars="0" w:firstLine="525" w:firstLineChars="250"/>
        <w:jc w:val="left"/>
        <w:textAlignment w:val="auto"/>
        <w:outlineLvl w:val="9"/>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4</w:t>
      </w:r>
      <w:r>
        <w:rPr>
          <w:rFonts w:hint="eastAsia" w:ascii="宋体" w:hAnsi="宋体" w:cs="宋体"/>
          <w:color w:val="auto"/>
          <w:kern w:val="0"/>
          <w:szCs w:val="20"/>
          <w:highlight w:val="none"/>
          <w:lang w:eastAsia="zh-CN"/>
        </w:rPr>
        <w:t>、</w:t>
      </w:r>
      <w:r>
        <w:rPr>
          <w:rFonts w:hint="eastAsia" w:ascii="宋体" w:hAnsi="宋体" w:eastAsia="宋体" w:cs="宋体"/>
          <w:color w:val="auto"/>
          <w:kern w:val="0"/>
          <w:szCs w:val="20"/>
          <w:highlight w:val="none"/>
        </w:rPr>
        <w:t>投标文件不得涂改，若有修改错漏处，须加盖单位公章或者法定代表人或授权委托人签名或盖章。投标文件因字迹潦草或表达不清所引起的后果由供应商负责。</w:t>
      </w:r>
    </w:p>
    <w:p>
      <w:pPr>
        <w:keepNext w:val="0"/>
        <w:keepLines w:val="0"/>
        <w:pageBreakBefore w:val="0"/>
        <w:widowControl/>
        <w:kinsoku/>
        <w:wordWrap/>
        <w:overflowPunct/>
        <w:topLinePunct w:val="0"/>
        <w:autoSpaceDE/>
        <w:autoSpaceDN/>
        <w:bidi w:val="0"/>
        <w:adjustRightInd/>
        <w:spacing w:line="348" w:lineRule="auto"/>
        <w:ind w:left="0" w:leftChars="0"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cs="宋体"/>
          <w:color w:val="auto"/>
          <w:kern w:val="0"/>
          <w:szCs w:val="20"/>
          <w:highlight w:val="none"/>
          <w:lang w:val="en-US" w:eastAsia="zh-CN"/>
        </w:rPr>
        <w:t>5、</w:t>
      </w:r>
      <w:r>
        <w:rPr>
          <w:rFonts w:hint="eastAsia" w:ascii="宋体" w:hAnsi="宋体" w:eastAsia="宋体" w:cs="宋体"/>
          <w:color w:val="auto"/>
          <w:kern w:val="0"/>
          <w:szCs w:val="20"/>
          <w:highlight w:val="none"/>
        </w:rPr>
        <w:t>投标文件须由供应商在规定位置盖章并由法定代表人或法定代表人的授权委托人签署，供应商应写全称。</w:t>
      </w:r>
    </w:p>
    <w:p>
      <w:pPr>
        <w:keepNext w:val="0"/>
        <w:keepLines w:val="0"/>
        <w:pageBreakBefore w:val="0"/>
        <w:widowControl/>
        <w:kinsoku/>
        <w:wordWrap/>
        <w:overflowPunct/>
        <w:topLinePunct w:val="0"/>
        <w:autoSpaceDE/>
        <w:autoSpaceDN/>
        <w:bidi w:val="0"/>
        <w:adjustRightInd/>
        <w:spacing w:line="348" w:lineRule="auto"/>
        <w:ind w:left="0" w:lef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（六）投标文件的包装、递交、修改和撤回</w:t>
      </w:r>
    </w:p>
    <w:p>
      <w:pPr>
        <w:keepNext w:val="0"/>
        <w:keepLines w:val="0"/>
        <w:pageBreakBefore w:val="0"/>
        <w:widowControl/>
        <w:kinsoku/>
        <w:wordWrap/>
        <w:overflowPunct/>
        <w:topLinePunct w:val="0"/>
        <w:autoSpaceDE/>
        <w:autoSpaceDN/>
        <w:bidi w:val="0"/>
        <w:adjustRightInd/>
        <w:snapToGrid w:val="0"/>
        <w:spacing w:line="348" w:lineRule="auto"/>
        <w:ind w:left="0" w:leftChars="0" w:firstLine="42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1、以U盘存储的电子备份投标文件用封袋密封后递交。</w:t>
      </w:r>
    </w:p>
    <w:p>
      <w:pPr>
        <w:keepNext w:val="0"/>
        <w:keepLines w:val="0"/>
        <w:pageBreakBefore w:val="0"/>
        <w:widowControl/>
        <w:kinsoku/>
        <w:wordWrap/>
        <w:overflowPunct/>
        <w:topLinePunct w:val="0"/>
        <w:autoSpaceDE/>
        <w:autoSpaceDN/>
        <w:bidi w:val="0"/>
        <w:adjustRightInd/>
        <w:snapToGrid w:val="0"/>
        <w:spacing w:line="348" w:lineRule="auto"/>
        <w:ind w:left="0" w:leftChars="0" w:firstLine="420"/>
        <w:jc w:val="left"/>
        <w:textAlignment w:val="auto"/>
        <w:outlineLvl w:val="9"/>
        <w:rPr>
          <w:rFonts w:hint="eastAsia" w:ascii="宋体" w:hAnsi="宋体" w:eastAsia="宋体" w:cs="宋体"/>
          <w:color w:val="auto"/>
          <w:kern w:val="0"/>
          <w:szCs w:val="21"/>
          <w:highlight w:val="none"/>
        </w:rPr>
      </w:pPr>
      <w:r>
        <w:rPr>
          <w:rFonts w:hint="eastAsia" w:ascii="宋体" w:hAnsi="宋体" w:cs="宋体"/>
          <w:bCs/>
          <w:color w:val="auto"/>
          <w:kern w:val="0"/>
          <w:szCs w:val="21"/>
          <w:highlight w:val="none"/>
          <w:lang w:val="en-US" w:eastAsia="zh-CN"/>
        </w:rPr>
        <w:t>2</w:t>
      </w:r>
      <w:r>
        <w:rPr>
          <w:rFonts w:hint="eastAsia" w:ascii="宋体" w:hAnsi="宋体" w:eastAsia="宋体" w:cs="宋体"/>
          <w:bCs/>
          <w:color w:val="auto"/>
          <w:kern w:val="0"/>
          <w:szCs w:val="21"/>
          <w:highlight w:val="none"/>
        </w:rPr>
        <w:t>、电子备份</w:t>
      </w:r>
      <w:r>
        <w:rPr>
          <w:rFonts w:hint="eastAsia" w:ascii="宋体" w:hAnsi="宋体" w:eastAsia="宋体" w:cs="宋体"/>
          <w:color w:val="auto"/>
          <w:kern w:val="0"/>
          <w:szCs w:val="21"/>
          <w:highlight w:val="none"/>
        </w:rPr>
        <w:t>投标文件的包装封面上应注明供应商名称、供应商地址、投标文件名称(电子备份投标文件/资格文件/商务技术文件/报价文件/资格、商务技术文件)、投标项目名称、项目编号、标项号，并加盖供应商公章。</w:t>
      </w:r>
    </w:p>
    <w:p>
      <w:pPr>
        <w:keepNext w:val="0"/>
        <w:keepLines w:val="0"/>
        <w:pageBreakBefore w:val="0"/>
        <w:widowControl/>
        <w:kinsoku/>
        <w:wordWrap/>
        <w:overflowPunct/>
        <w:topLinePunct w:val="0"/>
        <w:autoSpaceDE/>
        <w:autoSpaceDN/>
        <w:bidi w:val="0"/>
        <w:adjustRightInd/>
        <w:snapToGrid w:val="0"/>
        <w:spacing w:line="348" w:lineRule="auto"/>
        <w:ind w:left="0" w:leftChars="0" w:firstLine="420"/>
        <w:jc w:val="left"/>
        <w:textAlignment w:val="auto"/>
        <w:outlineLvl w:val="9"/>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、未按规定密封或标记的投标文件将被拒绝，由此造成投标文件被误投或提前拆封的风险由供应商承担。</w:t>
      </w:r>
    </w:p>
    <w:p>
      <w:pPr>
        <w:keepNext w:val="0"/>
        <w:keepLines w:val="0"/>
        <w:pageBreakBefore w:val="0"/>
        <w:widowControl/>
        <w:kinsoku/>
        <w:wordWrap/>
        <w:overflowPunct/>
        <w:topLinePunct w:val="0"/>
        <w:autoSpaceDE/>
        <w:autoSpaceDN/>
        <w:bidi w:val="0"/>
        <w:adjustRightInd/>
        <w:snapToGrid w:val="0"/>
        <w:spacing w:line="348" w:lineRule="auto"/>
        <w:ind w:left="0" w:leftChars="0" w:firstLine="420"/>
        <w:jc w:val="left"/>
        <w:textAlignment w:val="auto"/>
        <w:outlineLvl w:val="9"/>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供应商在投标截止时间之前，可以对已提交的电子备份投标文件进行修改或撤回；投标截止时间后，供应商不得撤回、修改投标文件。修改后重新递交的电子备份投标文件应当按本招标文件的要求签署、盖章和密封。</w:t>
      </w:r>
    </w:p>
    <w:p>
      <w:pPr>
        <w:keepNext w:val="0"/>
        <w:keepLines w:val="0"/>
        <w:pageBreakBefore w:val="0"/>
        <w:widowControl/>
        <w:kinsoku/>
        <w:wordWrap/>
        <w:overflowPunct/>
        <w:topLinePunct w:val="0"/>
        <w:autoSpaceDE/>
        <w:autoSpaceDN/>
        <w:bidi w:val="0"/>
        <w:adjustRightInd/>
        <w:spacing w:line="348" w:lineRule="auto"/>
        <w:ind w:left="0" w:leftChars="0"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keepNext w:val="0"/>
        <w:keepLines w:val="0"/>
        <w:pageBreakBefore w:val="0"/>
        <w:widowControl/>
        <w:kinsoku/>
        <w:wordWrap/>
        <w:overflowPunct/>
        <w:topLinePunct w:val="0"/>
        <w:autoSpaceDE/>
        <w:autoSpaceDN/>
        <w:bidi w:val="0"/>
        <w:adjustRightInd/>
        <w:spacing w:line="348" w:lineRule="auto"/>
        <w:ind w:left="0" w:leftChars="0"/>
        <w:jc w:val="left"/>
        <w:textAlignment w:val="auto"/>
        <w:outlineLvl w:val="9"/>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（七）投标文件的形式和效力</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jc w:val="left"/>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1、投标文件分为：“电子投标文件”和“电子备份投标文件”。</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jc w:val="left"/>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2、“电子投标文件”是指通过“政采云电子交易客户端”完成投标文件编制后生成并加密的数据电文形式的投标文件（文件后缀为：jmbs）。</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jc w:val="left"/>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3、“电子备份投标文件”是指与“电子投标文件”同时生成的数据电文形式的电子文件文件后缀为：bfbs（备份标书），其他方式编制的备份投标文件视为无效备份投标文件。</w:t>
      </w:r>
    </w:p>
    <w:p>
      <w:pPr>
        <w:keepNext w:val="0"/>
        <w:keepLines w:val="0"/>
        <w:pageBreakBefore w:val="0"/>
        <w:widowControl/>
        <w:kinsoku/>
        <w:wordWrap/>
        <w:overflowPunct/>
        <w:topLinePunct w:val="0"/>
        <w:autoSpaceDE/>
        <w:autoSpaceDN/>
        <w:bidi w:val="0"/>
        <w:adjustRightInd/>
        <w:spacing w:line="348" w:lineRule="auto"/>
        <w:ind w:left="0" w:leftChars="0"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4、投标文件的效力：投标文件的启用，按先后顺位分别为“电子投标文件”、“电子备份投标文件”。在“电子备份投标文件”启用时，“电子投标文件”自动失效。“电子投标文件”在规定解密时间内无法解密时，供应商若在投标截止时间之前递交了“电子备份投标文件”的，由采购代理机构上传“电子备份投标文件”进行异常处理，并对“电子备份投标文件”进行解密，未在投标截止时间之前递交“电子备份投标文件”的视为放弃投标。其余供应商通过“政府采购云平台”上传递交的已按时解密的“电子投标文件”继续有效，其“电子备份投标文件”自动失效。</w:t>
      </w:r>
    </w:p>
    <w:p>
      <w:pPr>
        <w:keepNext w:val="0"/>
        <w:keepLines w:val="0"/>
        <w:pageBreakBefore w:val="0"/>
        <w:widowControl/>
        <w:kinsoku/>
        <w:wordWrap/>
        <w:overflowPunct/>
        <w:topLinePunct w:val="0"/>
        <w:autoSpaceDE/>
        <w:autoSpaceDN/>
        <w:bidi w:val="0"/>
        <w:adjustRightInd/>
        <w:spacing w:line="348" w:lineRule="auto"/>
        <w:ind w:left="0" w:leftChars="0"/>
        <w:jc w:val="left"/>
        <w:textAlignment w:val="auto"/>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四、特别说明</w:t>
      </w:r>
    </w:p>
    <w:p>
      <w:pPr>
        <w:pStyle w:val="31"/>
        <w:keepNext w:val="0"/>
        <w:keepLines w:val="0"/>
        <w:pageBreakBefore w:val="0"/>
        <w:widowControl w:val="0"/>
        <w:kinsoku/>
        <w:wordWrap/>
        <w:overflowPunct/>
        <w:topLinePunct w:val="0"/>
        <w:autoSpaceDE/>
        <w:autoSpaceDN/>
        <w:bidi w:val="0"/>
        <w:adjustRightInd/>
        <w:spacing w:before="0" w:beforeAutospacing="0" w:after="0" w:afterAutospacing="0" w:line="348" w:lineRule="auto"/>
        <w:ind w:left="0" w:lef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1、本项目</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标项一、标项三</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u w:val="single"/>
        </w:rPr>
        <w:t xml:space="preserve"> </w:t>
      </w:r>
      <w:r>
        <w:rPr>
          <w:rFonts w:hint="eastAsia" w:ascii="宋体" w:hAnsi="宋体" w:cs="宋体"/>
          <w:color w:val="auto"/>
          <w:kern w:val="2"/>
          <w:sz w:val="21"/>
          <w:szCs w:val="21"/>
          <w:highlight w:val="none"/>
          <w:u w:val="single"/>
          <w:lang w:eastAsia="zh-CN"/>
        </w:rPr>
        <w:t>是</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专门面向中小企业采购。本项目</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标项二</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u w:val="single"/>
        </w:rPr>
        <w:t xml:space="preserve"> </w:t>
      </w:r>
      <w:r>
        <w:rPr>
          <w:rFonts w:hint="eastAsia" w:ascii="宋体" w:hAnsi="宋体" w:cs="宋体"/>
          <w:color w:val="auto"/>
          <w:kern w:val="2"/>
          <w:sz w:val="21"/>
          <w:szCs w:val="21"/>
          <w:highlight w:val="none"/>
          <w:u w:val="single"/>
          <w:lang w:val="en-US" w:eastAsia="zh-CN"/>
        </w:rPr>
        <w:t>非</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专门面向中小企业采购。</w:t>
      </w:r>
    </w:p>
    <w:p>
      <w:pPr>
        <w:pStyle w:val="31"/>
        <w:keepNext w:val="0"/>
        <w:keepLines w:val="0"/>
        <w:pageBreakBefore w:val="0"/>
        <w:widowControl w:val="0"/>
        <w:kinsoku/>
        <w:wordWrap/>
        <w:overflowPunct/>
        <w:topLinePunct w:val="0"/>
        <w:autoSpaceDE/>
        <w:autoSpaceDN/>
        <w:bidi w:val="0"/>
        <w:adjustRightInd/>
        <w:spacing w:before="0" w:beforeAutospacing="0" w:after="0" w:afterAutospacing="0" w:line="348" w:lineRule="auto"/>
        <w:ind w:left="0" w:leftChars="0" w:firstLine="422"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vertAlign w:val="baseline"/>
          <w:lang w:val="en-US" w:eastAsia="zh-CN" w:bidi="ar-SA"/>
        </w:rPr>
        <w:t>★所有参与本项目（标项一、标项三）的供应商均需提供</w:t>
      </w:r>
      <w:r>
        <w:rPr>
          <w:rFonts w:hint="eastAsia" w:ascii="宋体" w:hAnsi="宋体" w:eastAsia="宋体" w:cs="宋体"/>
          <w:b/>
          <w:bCs/>
          <w:color w:val="auto"/>
          <w:sz w:val="21"/>
          <w:szCs w:val="21"/>
          <w:highlight w:val="none"/>
          <w:vertAlign w:val="baseline"/>
          <w:lang w:val="en-US" w:eastAsia="zh-CN"/>
        </w:rPr>
        <w:t>《中小企业声明函》，否则予以无效标处理。</w:t>
      </w:r>
    </w:p>
    <w:p>
      <w:pPr>
        <w:pStyle w:val="31"/>
        <w:keepNext w:val="0"/>
        <w:keepLines w:val="0"/>
        <w:pageBreakBefore w:val="0"/>
        <w:widowControl w:val="0"/>
        <w:kinsoku/>
        <w:wordWrap/>
        <w:overflowPunct/>
        <w:topLinePunct w:val="0"/>
        <w:autoSpaceDE/>
        <w:autoSpaceDN/>
        <w:bidi w:val="0"/>
        <w:adjustRightInd/>
        <w:spacing w:before="0" w:beforeAutospacing="0" w:after="0" w:afterAutospacing="0" w:line="348" w:lineRule="auto"/>
        <w:ind w:left="0" w:lef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2、本项目对应的中小企业划分标准所属行业：</w:t>
      </w:r>
      <w:r>
        <w:rPr>
          <w:rFonts w:hint="eastAsia" w:ascii="宋体" w:hAnsi="宋体" w:eastAsia="宋体" w:cs="宋体"/>
          <w:b/>
          <w:bCs/>
          <w:color w:val="auto"/>
          <w:kern w:val="2"/>
          <w:sz w:val="21"/>
          <w:szCs w:val="21"/>
          <w:highlight w:val="none"/>
          <w:u w:val="single"/>
        </w:rPr>
        <w:t xml:space="preserve"> 软件和信息技术服务业 </w:t>
      </w:r>
      <w:r>
        <w:rPr>
          <w:rFonts w:hint="eastAsia" w:ascii="宋体" w:hAnsi="宋体" w:eastAsia="宋体" w:cs="宋体"/>
          <w:color w:val="auto"/>
          <w:kern w:val="2"/>
          <w:sz w:val="21"/>
          <w:szCs w:val="21"/>
          <w:highlight w:val="none"/>
        </w:rPr>
        <w:t xml:space="preserve">。 </w:t>
      </w:r>
    </w:p>
    <w:p>
      <w:pPr>
        <w:pStyle w:val="31"/>
        <w:keepNext w:val="0"/>
        <w:keepLines w:val="0"/>
        <w:pageBreakBefore w:val="0"/>
        <w:widowControl w:val="0"/>
        <w:kinsoku/>
        <w:wordWrap/>
        <w:overflowPunct/>
        <w:topLinePunct w:val="0"/>
        <w:autoSpaceDE/>
        <w:autoSpaceDN/>
        <w:bidi w:val="0"/>
        <w:adjustRightInd/>
        <w:spacing w:before="0" w:beforeAutospacing="0" w:after="0" w:afterAutospacing="0" w:line="348" w:lineRule="auto"/>
        <w:ind w:left="0" w:lef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3、小微企业是指中华人民共和国境内依法设立，依据国务院批准的中小企业划分标准确定的小型企业和微型企业，但与大企业的负责人为同一人，或者与大企业存在直接控股、管理关系的除外。</w:t>
      </w:r>
    </w:p>
    <w:p>
      <w:pPr>
        <w:pStyle w:val="31"/>
        <w:keepNext w:val="0"/>
        <w:keepLines w:val="0"/>
        <w:pageBreakBefore w:val="0"/>
        <w:widowControl w:val="0"/>
        <w:kinsoku/>
        <w:wordWrap/>
        <w:overflowPunct/>
        <w:topLinePunct w:val="0"/>
        <w:autoSpaceDE/>
        <w:autoSpaceDN/>
        <w:bidi w:val="0"/>
        <w:adjustRightInd/>
        <w:spacing w:before="0" w:beforeAutospacing="0" w:after="0" w:afterAutospacing="0" w:line="348" w:lineRule="auto"/>
        <w:ind w:left="0" w:lef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符合中小企业划分标准的个体工商户，在政府采购活动中视同中小企业。</w:t>
      </w:r>
    </w:p>
    <w:p>
      <w:pPr>
        <w:pStyle w:val="31"/>
        <w:keepNext w:val="0"/>
        <w:keepLines w:val="0"/>
        <w:pageBreakBefore w:val="0"/>
        <w:widowControl w:val="0"/>
        <w:kinsoku/>
        <w:wordWrap/>
        <w:overflowPunct/>
        <w:topLinePunct w:val="0"/>
        <w:autoSpaceDE/>
        <w:autoSpaceDN/>
        <w:bidi w:val="0"/>
        <w:adjustRightInd/>
        <w:spacing w:before="0" w:beforeAutospacing="0" w:after="0" w:afterAutospacing="0" w:line="348" w:lineRule="auto"/>
        <w:ind w:left="0" w:lef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国务院批准的中小企业划分标准：具体见工信部联企业[2011]300号。</w:t>
      </w:r>
    </w:p>
    <w:p>
      <w:pPr>
        <w:pStyle w:val="31"/>
        <w:keepNext w:val="0"/>
        <w:keepLines w:val="0"/>
        <w:pageBreakBefore w:val="0"/>
        <w:widowControl w:val="0"/>
        <w:kinsoku/>
        <w:wordWrap/>
        <w:overflowPunct/>
        <w:topLinePunct w:val="0"/>
        <w:autoSpaceDE/>
        <w:autoSpaceDN/>
        <w:bidi w:val="0"/>
        <w:adjustRightInd/>
        <w:spacing w:before="0" w:beforeAutospacing="0" w:after="0" w:afterAutospacing="0" w:line="348" w:lineRule="auto"/>
        <w:ind w:left="0" w:leftChars="0" w:firstLine="422"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cs="宋体"/>
          <w:b/>
          <w:bCs/>
          <w:color w:val="auto"/>
          <w:sz w:val="21"/>
          <w:szCs w:val="21"/>
          <w:highlight w:val="none"/>
          <w:lang w:eastAsia="zh-CN"/>
        </w:rPr>
        <w:t>（</w:t>
      </w:r>
      <w:r>
        <w:rPr>
          <w:rFonts w:hint="eastAsia" w:ascii="宋体" w:hAnsi="宋体" w:eastAsia="宋体" w:cs="宋体"/>
          <w:b/>
          <w:bCs/>
          <w:color w:val="auto"/>
          <w:kern w:val="2"/>
          <w:sz w:val="21"/>
          <w:szCs w:val="21"/>
          <w:highlight w:val="none"/>
          <w:vertAlign w:val="baseline"/>
          <w:lang w:val="en-US" w:eastAsia="zh-CN" w:bidi="ar-SA"/>
        </w:rPr>
        <w:t>标项一、标项三</w:t>
      </w:r>
      <w:r>
        <w:rPr>
          <w:rFonts w:hint="eastAsia" w:ascii="宋体" w:hAnsi="宋体" w:cs="宋体"/>
          <w:b/>
          <w:bCs/>
          <w:color w:val="auto"/>
          <w:sz w:val="21"/>
          <w:szCs w:val="21"/>
          <w:highlight w:val="none"/>
          <w:lang w:val="en-US" w:eastAsia="zh-CN"/>
        </w:rPr>
        <w:t>不适用本条款，标项二适用本条款</w:t>
      </w:r>
      <w:r>
        <w:rPr>
          <w:rFonts w:hint="eastAsia" w:ascii="宋体" w:hAnsi="宋体" w:cs="宋体"/>
          <w:b/>
          <w:bCs/>
          <w:color w:val="auto"/>
          <w:sz w:val="21"/>
          <w:szCs w:val="21"/>
          <w:highlight w:val="none"/>
          <w:lang w:eastAsia="zh-CN"/>
        </w:rPr>
        <w:t>）</w:t>
      </w:r>
      <w:r>
        <w:rPr>
          <w:rFonts w:hint="eastAsia" w:ascii="宋体" w:hAnsi="宋体" w:eastAsia="宋体" w:cs="宋体"/>
          <w:color w:val="auto"/>
          <w:kern w:val="2"/>
          <w:sz w:val="21"/>
          <w:szCs w:val="21"/>
          <w:highlight w:val="none"/>
        </w:rPr>
        <w:t>4、在政府采购活动中，供应商提供的货物、工程或者服务符合下列情形的，可享受小型、微型企业（以下简称小微企业）的价格扣除：</w:t>
      </w:r>
    </w:p>
    <w:p>
      <w:pPr>
        <w:pStyle w:val="31"/>
        <w:keepNext w:val="0"/>
        <w:keepLines w:val="0"/>
        <w:pageBreakBefore w:val="0"/>
        <w:widowControl w:val="0"/>
        <w:kinsoku/>
        <w:wordWrap/>
        <w:overflowPunct/>
        <w:topLinePunct w:val="0"/>
        <w:autoSpaceDE/>
        <w:autoSpaceDN/>
        <w:bidi w:val="0"/>
        <w:adjustRightInd/>
        <w:spacing w:before="0" w:beforeAutospacing="0" w:after="0" w:afterAutospacing="0" w:line="348" w:lineRule="auto"/>
        <w:ind w:left="0" w:lef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（1）在货物采购项目中，货物由小微企业制造，即货物由小微企业生产且使用该小微企业商号或者注册商标；</w:t>
      </w:r>
    </w:p>
    <w:p>
      <w:pPr>
        <w:pStyle w:val="31"/>
        <w:keepNext w:val="0"/>
        <w:keepLines w:val="0"/>
        <w:pageBreakBefore w:val="0"/>
        <w:widowControl w:val="0"/>
        <w:kinsoku/>
        <w:wordWrap/>
        <w:overflowPunct/>
        <w:topLinePunct w:val="0"/>
        <w:autoSpaceDE/>
        <w:autoSpaceDN/>
        <w:bidi w:val="0"/>
        <w:adjustRightInd/>
        <w:spacing w:before="0" w:beforeAutospacing="0" w:after="0" w:afterAutospacing="0" w:line="348" w:lineRule="auto"/>
        <w:ind w:left="0" w:lef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（2）在工程采购项目中，工程由小微企业承建，即工程施工单位为小微企业；</w:t>
      </w:r>
    </w:p>
    <w:p>
      <w:pPr>
        <w:pStyle w:val="31"/>
        <w:keepNext w:val="0"/>
        <w:keepLines w:val="0"/>
        <w:pageBreakBefore w:val="0"/>
        <w:widowControl w:val="0"/>
        <w:kinsoku/>
        <w:wordWrap/>
        <w:overflowPunct/>
        <w:topLinePunct w:val="0"/>
        <w:autoSpaceDE/>
        <w:autoSpaceDN/>
        <w:bidi w:val="0"/>
        <w:adjustRightInd/>
        <w:spacing w:before="0" w:beforeAutospacing="0" w:after="0" w:afterAutospacing="0" w:line="348" w:lineRule="auto"/>
        <w:ind w:left="0" w:lef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（3）在服务采购项目中，服务由小微企业承接，即提供服务的人员为小微企业依照《中华人民共和国劳动合同法》订立劳动合同的从业人员。</w:t>
      </w:r>
    </w:p>
    <w:p>
      <w:pPr>
        <w:pStyle w:val="31"/>
        <w:keepNext w:val="0"/>
        <w:keepLines w:val="0"/>
        <w:pageBreakBefore w:val="0"/>
        <w:widowControl w:val="0"/>
        <w:kinsoku/>
        <w:wordWrap/>
        <w:overflowPunct/>
        <w:topLinePunct w:val="0"/>
        <w:autoSpaceDE/>
        <w:autoSpaceDN/>
        <w:bidi w:val="0"/>
        <w:adjustRightInd/>
        <w:spacing w:before="0" w:beforeAutospacing="0" w:after="0" w:afterAutospacing="0" w:line="348" w:lineRule="auto"/>
        <w:ind w:left="0" w:lef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以联合体形式参加政府采购活动，联合体各方均为小微企业的，联合体视同小微企业。</w:t>
      </w:r>
    </w:p>
    <w:p>
      <w:pPr>
        <w:pStyle w:val="31"/>
        <w:keepNext w:val="0"/>
        <w:keepLines w:val="0"/>
        <w:pageBreakBefore w:val="0"/>
        <w:widowControl w:val="0"/>
        <w:kinsoku/>
        <w:wordWrap/>
        <w:overflowPunct/>
        <w:topLinePunct w:val="0"/>
        <w:autoSpaceDE/>
        <w:autoSpaceDN/>
        <w:bidi w:val="0"/>
        <w:adjustRightInd/>
        <w:spacing w:before="0" w:beforeAutospacing="0" w:after="0" w:afterAutospacing="0" w:line="348" w:lineRule="auto"/>
        <w:ind w:left="0" w:leftChars="0" w:firstLine="422"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cs="宋体"/>
          <w:b/>
          <w:bCs/>
          <w:color w:val="auto"/>
          <w:sz w:val="21"/>
          <w:szCs w:val="21"/>
          <w:highlight w:val="none"/>
          <w:lang w:eastAsia="zh-CN"/>
        </w:rPr>
        <w:t>（</w:t>
      </w:r>
      <w:r>
        <w:rPr>
          <w:rFonts w:hint="eastAsia" w:ascii="宋体" w:hAnsi="宋体" w:eastAsia="宋体" w:cs="宋体"/>
          <w:b/>
          <w:bCs/>
          <w:color w:val="auto"/>
          <w:kern w:val="2"/>
          <w:sz w:val="21"/>
          <w:szCs w:val="21"/>
          <w:highlight w:val="none"/>
          <w:vertAlign w:val="baseline"/>
          <w:lang w:val="en-US" w:eastAsia="zh-CN" w:bidi="ar-SA"/>
        </w:rPr>
        <w:t>标项一、标项三</w:t>
      </w:r>
      <w:r>
        <w:rPr>
          <w:rFonts w:hint="eastAsia" w:ascii="宋体" w:hAnsi="宋体" w:cs="宋体"/>
          <w:b/>
          <w:bCs/>
          <w:color w:val="auto"/>
          <w:sz w:val="21"/>
          <w:szCs w:val="21"/>
          <w:highlight w:val="none"/>
          <w:lang w:val="en-US" w:eastAsia="zh-CN"/>
        </w:rPr>
        <w:t>不适用本条款，标项二适用本条款</w:t>
      </w:r>
      <w:r>
        <w:rPr>
          <w:rFonts w:hint="eastAsia" w:ascii="宋体" w:hAnsi="宋体" w:cs="宋体"/>
          <w:b/>
          <w:bCs/>
          <w:color w:val="auto"/>
          <w:sz w:val="21"/>
          <w:szCs w:val="21"/>
          <w:highlight w:val="none"/>
          <w:lang w:eastAsia="zh-CN"/>
        </w:rPr>
        <w:t>）</w:t>
      </w:r>
      <w:r>
        <w:rPr>
          <w:rFonts w:hint="eastAsia" w:ascii="宋体" w:hAnsi="宋体" w:eastAsia="宋体" w:cs="宋体"/>
          <w:color w:val="auto"/>
          <w:kern w:val="2"/>
          <w:sz w:val="21"/>
          <w:szCs w:val="21"/>
          <w:highlight w:val="none"/>
        </w:rPr>
        <w:t>5、在货物采购项目中，供应商提供的货物既有中小企业制造货物，也有大型企业制造货物的，不享受的小微企业价格扣除。</w:t>
      </w:r>
    </w:p>
    <w:p>
      <w:pPr>
        <w:pStyle w:val="31"/>
        <w:keepNext w:val="0"/>
        <w:keepLines w:val="0"/>
        <w:pageBreakBefore w:val="0"/>
        <w:widowControl w:val="0"/>
        <w:kinsoku/>
        <w:wordWrap/>
        <w:overflowPunct/>
        <w:topLinePunct w:val="0"/>
        <w:autoSpaceDE/>
        <w:autoSpaceDN/>
        <w:bidi w:val="0"/>
        <w:adjustRightInd/>
        <w:spacing w:before="0" w:beforeAutospacing="0" w:after="0" w:afterAutospacing="0" w:line="348" w:lineRule="auto"/>
        <w:ind w:left="0" w:leftChars="0" w:firstLine="422"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cs="宋体"/>
          <w:b/>
          <w:bCs/>
          <w:color w:val="auto"/>
          <w:sz w:val="21"/>
          <w:szCs w:val="21"/>
          <w:highlight w:val="none"/>
          <w:lang w:eastAsia="zh-CN"/>
        </w:rPr>
        <w:t>（</w:t>
      </w:r>
      <w:r>
        <w:rPr>
          <w:rFonts w:hint="eastAsia" w:ascii="宋体" w:hAnsi="宋体" w:eastAsia="宋体" w:cs="宋体"/>
          <w:b/>
          <w:bCs/>
          <w:color w:val="auto"/>
          <w:kern w:val="2"/>
          <w:sz w:val="21"/>
          <w:szCs w:val="21"/>
          <w:highlight w:val="none"/>
          <w:vertAlign w:val="baseline"/>
          <w:lang w:val="en-US" w:eastAsia="zh-CN" w:bidi="ar-SA"/>
        </w:rPr>
        <w:t>标项一、标项三</w:t>
      </w:r>
      <w:r>
        <w:rPr>
          <w:rFonts w:hint="eastAsia" w:ascii="宋体" w:hAnsi="宋体" w:cs="宋体"/>
          <w:b/>
          <w:bCs/>
          <w:color w:val="auto"/>
          <w:sz w:val="21"/>
          <w:szCs w:val="21"/>
          <w:highlight w:val="none"/>
          <w:lang w:val="en-US" w:eastAsia="zh-CN"/>
        </w:rPr>
        <w:t>不适用本条款，标项二适用本条款</w:t>
      </w:r>
      <w:r>
        <w:rPr>
          <w:rFonts w:hint="eastAsia" w:ascii="宋体" w:hAnsi="宋体" w:cs="宋体"/>
          <w:b/>
          <w:bCs/>
          <w:color w:val="auto"/>
          <w:sz w:val="21"/>
          <w:szCs w:val="21"/>
          <w:highlight w:val="none"/>
          <w:lang w:eastAsia="zh-CN"/>
        </w:rPr>
        <w:t>）</w:t>
      </w:r>
      <w:r>
        <w:rPr>
          <w:rFonts w:hint="eastAsia" w:ascii="宋体" w:hAnsi="宋体" w:eastAsia="宋体" w:cs="宋体"/>
          <w:color w:val="auto"/>
          <w:kern w:val="2"/>
          <w:sz w:val="21"/>
          <w:szCs w:val="21"/>
          <w:highlight w:val="none"/>
        </w:rPr>
        <w:t>6、本项目对符合《政府采购促进中小企业发展管理办法》（财库﹝2020﹞46号）规定的小微企业报价给予</w:t>
      </w:r>
      <w:r>
        <w:rPr>
          <w:rFonts w:hint="eastAsia" w:ascii="宋体" w:hAnsi="宋体" w:eastAsia="宋体" w:cs="宋体"/>
          <w:color w:val="auto"/>
          <w:kern w:val="2"/>
          <w:sz w:val="21"/>
          <w:szCs w:val="21"/>
          <w:highlight w:val="none"/>
          <w:lang w:val="en-US" w:eastAsia="zh-CN"/>
        </w:rPr>
        <w:t>20%（工程项目为5%）</w:t>
      </w:r>
      <w:r>
        <w:rPr>
          <w:rFonts w:hint="eastAsia" w:ascii="宋体" w:hAnsi="宋体" w:eastAsia="宋体" w:cs="宋体"/>
          <w:color w:val="auto"/>
          <w:kern w:val="2"/>
          <w:sz w:val="21"/>
          <w:szCs w:val="21"/>
          <w:highlight w:val="none"/>
        </w:rPr>
        <w:t>的扣除，用扣除后的价格参加评审。</w:t>
      </w:r>
    </w:p>
    <w:p>
      <w:pPr>
        <w:pStyle w:val="31"/>
        <w:keepNext w:val="0"/>
        <w:keepLines w:val="0"/>
        <w:pageBreakBefore w:val="0"/>
        <w:widowControl w:val="0"/>
        <w:kinsoku/>
        <w:wordWrap/>
        <w:overflowPunct/>
        <w:topLinePunct w:val="0"/>
        <w:autoSpaceDE/>
        <w:autoSpaceDN/>
        <w:bidi w:val="0"/>
        <w:adjustRightInd/>
        <w:spacing w:before="0" w:beforeAutospacing="0" w:after="0" w:afterAutospacing="0" w:line="348" w:lineRule="auto"/>
        <w:ind w:left="0" w:lef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eastAsia="宋体" w:cs="宋体"/>
          <w:color w:val="auto"/>
          <w:kern w:val="2"/>
          <w:sz w:val="21"/>
          <w:szCs w:val="21"/>
          <w:highlight w:val="none"/>
          <w:lang w:val="en-US" w:eastAsia="zh-CN"/>
        </w:rPr>
        <w:t>6%（工程项目为2%）</w:t>
      </w:r>
      <w:r>
        <w:rPr>
          <w:rFonts w:hint="eastAsia" w:ascii="宋体" w:hAnsi="宋体" w:eastAsia="宋体" w:cs="宋体"/>
          <w:color w:val="auto"/>
          <w:kern w:val="2"/>
          <w:sz w:val="21"/>
          <w:szCs w:val="21"/>
          <w:highlight w:val="none"/>
        </w:rPr>
        <w:t>的扣除，用扣除后的价格参加评审。组成联合体或者接受分包的小微企业与联合体内其他企业、分包企业之间存在直接控股、管理关系的，不享受价格扣除优惠政策。</w:t>
      </w:r>
    </w:p>
    <w:p>
      <w:pPr>
        <w:pStyle w:val="31"/>
        <w:keepNext w:val="0"/>
        <w:keepLines w:val="0"/>
        <w:pageBreakBefore w:val="0"/>
        <w:widowControl w:val="0"/>
        <w:kinsoku/>
        <w:wordWrap/>
        <w:overflowPunct/>
        <w:topLinePunct w:val="0"/>
        <w:autoSpaceDE/>
        <w:autoSpaceDN/>
        <w:bidi w:val="0"/>
        <w:adjustRightInd/>
        <w:spacing w:before="0" w:beforeAutospacing="0" w:after="0" w:afterAutospacing="0" w:line="348" w:lineRule="auto"/>
        <w:ind w:left="0" w:lef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7、小微企业应按照招标文件格式要求提供《中小企业声明函》。</w:t>
      </w:r>
    </w:p>
    <w:p>
      <w:pPr>
        <w:pStyle w:val="31"/>
        <w:keepNext w:val="0"/>
        <w:keepLines w:val="0"/>
        <w:pageBreakBefore w:val="0"/>
        <w:widowControl w:val="0"/>
        <w:kinsoku/>
        <w:wordWrap/>
        <w:overflowPunct/>
        <w:topLinePunct w:val="0"/>
        <w:autoSpaceDE/>
        <w:autoSpaceDN/>
        <w:bidi w:val="0"/>
        <w:adjustRightInd/>
        <w:spacing w:before="0" w:beforeAutospacing="0" w:after="0" w:afterAutospacing="0" w:line="348" w:lineRule="auto"/>
        <w:ind w:left="0" w:lef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pStyle w:val="31"/>
        <w:keepNext w:val="0"/>
        <w:keepLines w:val="0"/>
        <w:pageBreakBefore w:val="0"/>
        <w:widowControl w:val="0"/>
        <w:kinsoku/>
        <w:wordWrap/>
        <w:overflowPunct/>
        <w:topLinePunct w:val="0"/>
        <w:autoSpaceDE/>
        <w:autoSpaceDN/>
        <w:bidi w:val="0"/>
        <w:adjustRightInd/>
        <w:spacing w:before="0" w:beforeAutospacing="0" w:after="0" w:afterAutospacing="0" w:line="348" w:lineRule="auto"/>
        <w:ind w:left="0" w:lef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9、根据《关于促进残疾人就业政府采购政策的通知》（财库[2017]141号）规定，在政府采购活动中，残疾人福利性单位视同小型、微型企业。残疾人福利性单位参加政府采购活动时，提供《残疾人福利性单位声明函》。</w:t>
      </w:r>
    </w:p>
    <w:p>
      <w:pPr>
        <w:pStyle w:val="31"/>
        <w:keepNext w:val="0"/>
        <w:keepLines w:val="0"/>
        <w:pageBreakBefore w:val="0"/>
        <w:widowControl w:val="0"/>
        <w:kinsoku/>
        <w:wordWrap/>
        <w:overflowPunct/>
        <w:topLinePunct w:val="0"/>
        <w:autoSpaceDE/>
        <w:autoSpaceDN/>
        <w:bidi w:val="0"/>
        <w:adjustRightInd/>
        <w:spacing w:before="0" w:beforeAutospacing="0" w:after="0" w:afterAutospacing="0" w:line="348" w:lineRule="auto"/>
        <w:ind w:left="0" w:lef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10、按规定享受扶持政策获得政府采购合同的，小微企业不得将合同分包给大中型企业，中型企业不得将合同分包给大型企业。</w:t>
      </w:r>
    </w:p>
    <w:p>
      <w:pPr>
        <w:keepNext w:val="0"/>
        <w:keepLines w:val="0"/>
        <w:pageBreakBefore w:val="0"/>
        <w:kinsoku/>
        <w:wordWrap/>
        <w:overflowPunct/>
        <w:topLinePunct w:val="0"/>
        <w:autoSpaceDE/>
        <w:autoSpaceDN/>
        <w:bidi w:val="0"/>
        <w:adjustRightInd/>
        <w:spacing w:line="348" w:lineRule="auto"/>
        <w:ind w:left="0" w:leftChars="0" w:firstLine="420" w:firstLineChars="200"/>
        <w:textAlignment w:val="auto"/>
        <w:outlineLvl w:val="9"/>
        <w:rPr>
          <w:rFonts w:ascii="宋体" w:hAnsi="宋体" w:cs="宋体"/>
          <w:color w:val="auto"/>
          <w:szCs w:val="21"/>
          <w:highlight w:val="none"/>
        </w:rPr>
      </w:pPr>
      <w:r>
        <w:rPr>
          <w:rFonts w:hint="eastAsia" w:ascii="宋体" w:hAnsi="宋体" w:eastAsia="宋体" w:cs="宋体"/>
          <w:color w:val="auto"/>
          <w:szCs w:val="21"/>
          <w:highlight w:val="none"/>
        </w:rPr>
        <w:t>11、供应商按照《政府采购促进中小企业发展管理办法》（财库﹝2020﹞46号）规定提供声明函内容不实的，属于提供虚假材料谋取中标、成交，依照《中华人民共和国政府采购法》等国家有关规定追究相应责任。</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宋体" w:hAnsi="宋体" w:cs="宋体"/>
          <w:b/>
          <w:bCs/>
          <w:color w:val="auto"/>
          <w:sz w:val="30"/>
          <w:szCs w:val="30"/>
          <w:highlight w:val="none"/>
        </w:rPr>
      </w:pPr>
      <w:r>
        <w:rPr>
          <w:rFonts w:hint="eastAsia" w:ascii="宋体" w:hAnsi="宋体" w:cs="宋体"/>
          <w:b/>
          <w:bCs/>
          <w:color w:val="auto"/>
          <w:sz w:val="28"/>
          <w:szCs w:val="28"/>
          <w:highlight w:val="none"/>
        </w:rPr>
        <w:br w:type="page"/>
      </w:r>
      <w:bookmarkStart w:id="34" w:name="_Toc863"/>
      <w:r>
        <w:rPr>
          <w:rFonts w:hint="eastAsia" w:ascii="宋体" w:hAnsi="宋体" w:cs="宋体"/>
          <w:b/>
          <w:bCs/>
          <w:color w:val="auto"/>
          <w:sz w:val="28"/>
          <w:szCs w:val="28"/>
          <w:highlight w:val="none"/>
        </w:rPr>
        <w:t>第四章  评标办法及评分标准</w:t>
      </w:r>
      <w:bookmarkEnd w:id="34"/>
    </w:p>
    <w:p>
      <w:pPr>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outlineLvl w:val="9"/>
        <w:rPr>
          <w:rFonts w:ascii="宋体" w:hAnsi="宋体" w:cs="宋体"/>
          <w:color w:val="auto"/>
          <w:szCs w:val="21"/>
          <w:highlight w:val="none"/>
        </w:rPr>
      </w:pPr>
      <w:r>
        <w:rPr>
          <w:rFonts w:hint="eastAsia" w:ascii="宋体" w:hAnsi="宋体" w:cs="宋体"/>
          <w:color w:val="auto"/>
          <w:szCs w:val="21"/>
          <w:highlight w:val="none"/>
        </w:rPr>
        <w:t>本办法严格遵照《中华人民共和国政府采购法》、《政府采购货物和服务招标投标管理办法》，结合项目所在地政府有关政府采购规定和项目的实际情况制定。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cs="宋体"/>
          <w:b/>
          <w:bCs/>
          <w:color w:val="auto"/>
          <w:szCs w:val="21"/>
          <w:highlight w:val="none"/>
        </w:rPr>
      </w:pPr>
      <w:r>
        <w:rPr>
          <w:rFonts w:hint="eastAsia" w:ascii="宋体" w:hAnsi="宋体" w:cs="宋体"/>
          <w:b/>
          <w:bCs/>
          <w:color w:val="auto"/>
          <w:szCs w:val="21"/>
          <w:highlight w:val="none"/>
        </w:rPr>
        <w:t>一、开标准备</w:t>
      </w:r>
    </w:p>
    <w:p>
      <w:pPr>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outlineLvl w:val="9"/>
        <w:rPr>
          <w:rFonts w:ascii="宋体" w:hAnsi="宋体" w:cs="宋体"/>
          <w:color w:val="auto"/>
          <w:szCs w:val="21"/>
          <w:highlight w:val="none"/>
        </w:rPr>
      </w:pPr>
      <w:r>
        <w:rPr>
          <w:rFonts w:hint="eastAsia" w:ascii="宋体" w:hAnsi="宋体" w:cs="宋体"/>
          <w:color w:val="auto"/>
          <w:szCs w:val="21"/>
          <w:highlight w:val="none"/>
        </w:rPr>
        <w:t>采购代理机构将在规定的时间和地点进行开标，供应商的法定代表人或其授权代表可参加开标会。供应商的法定代表人或其授权代表未参加开标会的，视同放弃开标监督权利、认可开标结果。</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cs="宋体"/>
          <w:color w:val="auto"/>
          <w:szCs w:val="21"/>
          <w:highlight w:val="none"/>
        </w:rPr>
      </w:pPr>
      <w:r>
        <w:rPr>
          <w:rFonts w:hint="eastAsia" w:ascii="宋体" w:hAnsi="宋体" w:cs="宋体"/>
          <w:b/>
          <w:bCs/>
          <w:color w:val="auto"/>
          <w:szCs w:val="21"/>
          <w:highlight w:val="none"/>
        </w:rPr>
        <w:t>二、开标程序：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ascii="宋体" w:hAnsi="宋体" w:cs="宋体"/>
          <w:bCs/>
          <w:color w:val="auto"/>
          <w:szCs w:val="21"/>
          <w:highlight w:val="none"/>
        </w:rPr>
      </w:pPr>
      <w:r>
        <w:rPr>
          <w:rFonts w:hint="eastAsia" w:ascii="宋体" w:hAnsi="宋体" w:cs="宋体"/>
          <w:bCs/>
          <w:color w:val="auto"/>
          <w:szCs w:val="21"/>
          <w:highlight w:val="none"/>
        </w:rPr>
        <w:t>1、电子招投标开标程序：</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20" w:firstLineChars="200"/>
        <w:jc w:val="left"/>
        <w:textAlignment w:val="auto"/>
        <w:outlineLvl w:val="9"/>
        <w:rPr>
          <w:rFonts w:ascii="宋体" w:hAnsi="宋体" w:cs="宋体"/>
          <w:color w:val="auto"/>
          <w:szCs w:val="21"/>
          <w:highlight w:val="none"/>
        </w:rPr>
      </w:pPr>
      <w:r>
        <w:rPr>
          <w:rFonts w:hint="eastAsia" w:ascii="宋体" w:hAnsi="宋体" w:cs="宋体"/>
          <w:color w:val="auto"/>
          <w:szCs w:val="21"/>
          <w:highlight w:val="none"/>
        </w:rPr>
        <w:t>投标截止时间后，供应商登录政府采购云平台，用“项目采购-开标评标”功能对电子投标文件进行在线解密，在线解密电子投标文件时间为开标时间后30分钟内。</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20" w:firstLineChars="200"/>
        <w:jc w:val="left"/>
        <w:textAlignment w:val="auto"/>
        <w:outlineLvl w:val="9"/>
        <w:rPr>
          <w:rFonts w:ascii="宋体" w:hAnsi="宋体" w:cs="宋体"/>
          <w:color w:val="auto"/>
          <w:szCs w:val="21"/>
          <w:highlight w:val="none"/>
        </w:rPr>
      </w:pPr>
      <w:r>
        <w:rPr>
          <w:rFonts w:hint="eastAsia" w:ascii="宋体" w:hAnsi="宋体" w:cs="宋体"/>
          <w:color w:val="auto"/>
          <w:szCs w:val="21"/>
          <w:highlight w:val="none"/>
        </w:rPr>
        <w:t>在政府采购云平台开启已解密供应商的“资格文件、商务技术文件、报价文件”，并做开标记录；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ascii="宋体" w:hAnsi="宋体" w:cs="宋体"/>
          <w:color w:val="auto"/>
          <w:szCs w:val="21"/>
          <w:highlight w:val="none"/>
        </w:rPr>
      </w:pPr>
      <w:r>
        <w:rPr>
          <w:rFonts w:hint="eastAsia" w:ascii="宋体" w:hAnsi="宋体" w:cs="宋体"/>
          <w:color w:val="auto"/>
          <w:szCs w:val="21"/>
          <w:highlight w:val="none"/>
        </w:rPr>
        <w:t>（3）在</w:t>
      </w:r>
      <w:r>
        <w:rPr>
          <w:rFonts w:hint="eastAsia" w:ascii="宋体" w:hAnsi="宋体" w:cs="宋体"/>
          <w:color w:val="auto"/>
          <w:kern w:val="0"/>
          <w:szCs w:val="21"/>
          <w:highlight w:val="none"/>
        </w:rPr>
        <w:t>政府采购云平台</w:t>
      </w:r>
      <w:r>
        <w:rPr>
          <w:rFonts w:hint="eastAsia" w:ascii="宋体" w:hAnsi="宋体" w:cs="宋体"/>
          <w:color w:val="auto"/>
          <w:szCs w:val="21"/>
          <w:highlight w:val="none"/>
        </w:rPr>
        <w:t>公布评审结果。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ascii="宋体" w:hAnsi="宋体" w:cs="宋体"/>
          <w:color w:val="auto"/>
          <w:szCs w:val="21"/>
          <w:highlight w:val="none"/>
        </w:rPr>
      </w:pPr>
      <w:r>
        <w:rPr>
          <w:rFonts w:hint="eastAsia" w:ascii="宋体" w:hAnsi="宋体" w:cs="宋体"/>
          <w:color w:val="auto"/>
          <w:szCs w:val="21"/>
          <w:highlight w:val="none"/>
        </w:rPr>
        <w:t>（4）开标会议结束。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、特别说明：</w:t>
      </w:r>
      <w:r>
        <w:rPr>
          <w:rFonts w:hint="eastAsia" w:ascii="宋体" w:hAnsi="宋体" w:cs="宋体"/>
          <w:color w:val="auto"/>
          <w:kern w:val="0"/>
          <w:szCs w:val="21"/>
          <w:highlight w:val="none"/>
        </w:rPr>
        <w:t>政府采购云平台</w:t>
      </w:r>
      <w:r>
        <w:rPr>
          <w:rFonts w:hint="eastAsia" w:ascii="宋体" w:hAnsi="宋体" w:cs="宋体"/>
          <w:color w:val="auto"/>
          <w:szCs w:val="21"/>
          <w:highlight w:val="none"/>
        </w:rPr>
        <w:t>如对电子化开标及评审程序有调整的，按调整后的程序操作。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ascii="宋体" w:hAnsi="宋体" w:cs="宋体"/>
          <w:color w:val="auto"/>
          <w:szCs w:val="21"/>
          <w:highlight w:val="none"/>
        </w:rPr>
      </w:pPr>
      <w:r>
        <w:rPr>
          <w:rFonts w:hint="eastAsia" w:ascii="宋体" w:hAnsi="宋体" w:cs="宋体"/>
          <w:color w:val="auto"/>
          <w:szCs w:val="21"/>
          <w:highlight w:val="none"/>
        </w:rPr>
        <w:t>本项目原则上采用政采云</w:t>
      </w:r>
      <w:r>
        <w:rPr>
          <w:rFonts w:hint="eastAsia" w:ascii="宋体" w:hAnsi="宋体" w:cs="宋体"/>
          <w:bCs/>
          <w:color w:val="auto"/>
          <w:szCs w:val="21"/>
          <w:highlight w:val="none"/>
        </w:rPr>
        <w:t>电子招投标开标程序</w:t>
      </w:r>
      <w:r>
        <w:rPr>
          <w:rFonts w:hint="eastAsia" w:ascii="宋体" w:hAnsi="宋体" w:cs="宋体"/>
          <w:color w:val="auto"/>
          <w:szCs w:val="21"/>
          <w:highlight w:val="none"/>
        </w:rPr>
        <w:t>，但有以下情形之一的，按以下情况处理：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ascii="宋体" w:hAnsi="宋体" w:cs="宋体"/>
          <w:color w:val="auto"/>
          <w:szCs w:val="21"/>
          <w:highlight w:val="none"/>
        </w:rPr>
      </w:pPr>
      <w:r>
        <w:rPr>
          <w:rFonts w:hint="eastAsia" w:ascii="宋体" w:hAnsi="宋体" w:cs="宋体"/>
          <w:color w:val="auto"/>
          <w:szCs w:val="21"/>
          <w:highlight w:val="none"/>
        </w:rPr>
        <w:t>（1）若有供应商在规定时间内无法解密或解密失败，代理机构将开启该供应商递交的</w:t>
      </w:r>
      <w:r>
        <w:rPr>
          <w:rFonts w:hint="eastAsia" w:ascii="宋体" w:hAnsi="宋体" w:cs="宋体"/>
          <w:color w:val="auto"/>
          <w:kern w:val="0"/>
          <w:szCs w:val="21"/>
          <w:highlight w:val="none"/>
        </w:rPr>
        <w:t>以U盘存储的电子备份投标文件</w:t>
      </w:r>
      <w:r>
        <w:rPr>
          <w:rFonts w:hint="eastAsia" w:ascii="宋体" w:hAnsi="宋体" w:cs="宋体"/>
          <w:color w:val="auto"/>
          <w:szCs w:val="21"/>
          <w:highlight w:val="none"/>
        </w:rPr>
        <w:t>，上传至政采云平台项目采购模块，以完成开标，电子投标文件自动失效。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）采购过程中出现以下情形，导致电子交易平台无法正常运行，或者无法保证电子交易的公平、公正和安全时，采购人（或代理机构）可中止电子交易活动：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.1电子交易平台发生故障而无法登录访问的；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.2电子交易平台应用或数据库出现错误，不能进行正常操作的；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.3电子交易平台发现严重安全漏洞，有潜在泄密危险的；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.4病毒发作导致不能进行正常操作的；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.5其他无法保证电子交易的公平、公正和安全的情况。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ascii="宋体" w:hAnsi="宋体" w:cs="宋体"/>
          <w:color w:val="auto"/>
          <w:szCs w:val="21"/>
          <w:highlight w:val="none"/>
        </w:rPr>
      </w:pPr>
      <w:r>
        <w:rPr>
          <w:rFonts w:hint="eastAsia" w:ascii="宋体" w:hAnsi="宋体" w:cs="宋体"/>
          <w:color w:val="auto"/>
          <w:szCs w:val="21"/>
          <w:highlight w:val="none"/>
        </w:rPr>
        <w:t>出现前款规定情形，不影响采购公平、公正性的，采购人（或代理机构）可以待上述情形消除后继续组织电子交易活动。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cs="宋体"/>
          <w:b/>
          <w:bCs/>
          <w:color w:val="auto"/>
          <w:szCs w:val="21"/>
          <w:highlight w:val="none"/>
        </w:rPr>
      </w:pPr>
      <w:r>
        <w:rPr>
          <w:rFonts w:hint="eastAsia" w:ascii="宋体" w:hAnsi="宋体" w:cs="宋体"/>
          <w:b/>
          <w:bCs/>
          <w:color w:val="auto"/>
          <w:szCs w:val="21"/>
          <w:highlight w:val="none"/>
        </w:rPr>
        <w:t>三、评标委员会</w:t>
      </w:r>
    </w:p>
    <w:p>
      <w:pPr>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outlineLvl w:val="9"/>
        <w:rPr>
          <w:rFonts w:ascii="宋体" w:hAnsi="宋体" w:cs="宋体"/>
          <w:color w:val="auto"/>
          <w:szCs w:val="21"/>
          <w:highlight w:val="none"/>
        </w:rPr>
      </w:pPr>
      <w:r>
        <w:rPr>
          <w:rFonts w:hint="eastAsia" w:ascii="宋体" w:hAnsi="宋体" w:cs="宋体"/>
          <w:color w:val="auto"/>
          <w:szCs w:val="21"/>
          <w:highlight w:val="none"/>
        </w:rPr>
        <w:t>（一）本次招标依法组建评标委员会。</w:t>
      </w:r>
    </w:p>
    <w:p>
      <w:pPr>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outlineLvl w:val="9"/>
        <w:rPr>
          <w:rFonts w:ascii="宋体" w:hAnsi="宋体" w:cs="宋体"/>
          <w:color w:val="auto"/>
          <w:szCs w:val="21"/>
          <w:highlight w:val="none"/>
        </w:rPr>
      </w:pPr>
      <w:r>
        <w:rPr>
          <w:rFonts w:hint="eastAsia" w:ascii="宋体" w:hAnsi="宋体" w:cs="宋体"/>
          <w:color w:val="auto"/>
          <w:szCs w:val="21"/>
          <w:highlight w:val="none"/>
        </w:rPr>
        <w:t>（二）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供应商接触，不得向外界透露任何与评标有关的内容。</w:t>
      </w:r>
    </w:p>
    <w:p>
      <w:pPr>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outlineLvl w:val="9"/>
        <w:rPr>
          <w:rFonts w:ascii="宋体" w:hAnsi="宋体" w:cs="宋体"/>
          <w:color w:val="auto"/>
          <w:szCs w:val="21"/>
          <w:highlight w:val="none"/>
        </w:rPr>
      </w:pPr>
      <w:r>
        <w:rPr>
          <w:rFonts w:hint="eastAsia" w:ascii="宋体" w:hAnsi="宋体" w:cs="宋体"/>
          <w:color w:val="auto"/>
          <w:szCs w:val="21"/>
          <w:highlight w:val="none"/>
        </w:rPr>
        <w:t>（三）评审专家有下列情形之一的，受到邀请应主动提出回避，采购当事人也可以要求该评审专家回避：</w:t>
      </w:r>
    </w:p>
    <w:p>
      <w:pPr>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1、参加采购活动前三年内，与供应商存在劳动关系，或者担任过供应商的董事、监事，或者是供应商的控股股东或实际控制人；</w:t>
      </w:r>
    </w:p>
    <w:p>
      <w:pPr>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2、与供应商的法定代表人或者负责人有夫妻、直系血亲、三代以内旁系血亲或者近姻亲关系；</w:t>
      </w:r>
    </w:p>
    <w:p>
      <w:pPr>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3、与供应商有其他可能影响政府采购活动公平、公正进行的关系；</w:t>
      </w:r>
    </w:p>
    <w:p>
      <w:pPr>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4、参与过采购项目进口产品论证的专家应当回避；</w:t>
      </w:r>
    </w:p>
    <w:p>
      <w:pPr>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5、通过随机抽到本单位的评审专家，采购人已经指定了采购人代表，该评审专家应当回避，采购人自行选定相应专业领域评审专家情形除外；</w:t>
      </w:r>
    </w:p>
    <w:p>
      <w:pPr>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outlineLvl w:val="9"/>
        <w:rPr>
          <w:rFonts w:ascii="宋体" w:hAnsi="宋体" w:cs="宋体"/>
          <w:color w:val="auto"/>
          <w:szCs w:val="21"/>
          <w:highlight w:val="none"/>
        </w:rPr>
      </w:pPr>
      <w:r>
        <w:rPr>
          <w:rFonts w:hint="eastAsia" w:ascii="宋体" w:hAnsi="宋体" w:cs="宋体"/>
          <w:color w:val="auto"/>
          <w:szCs w:val="21"/>
          <w:highlight w:val="none"/>
        </w:rPr>
        <w:t>6、法律、法规、规章规定应当回避以及其他可能影响公正评审的。</w:t>
      </w:r>
    </w:p>
    <w:p>
      <w:pPr>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outlineLvl w:val="9"/>
        <w:rPr>
          <w:rFonts w:ascii="宋体" w:hAnsi="宋体" w:cs="宋体"/>
          <w:color w:val="auto"/>
          <w:szCs w:val="21"/>
          <w:highlight w:val="none"/>
        </w:rPr>
      </w:pPr>
      <w:r>
        <w:rPr>
          <w:rFonts w:hint="eastAsia" w:ascii="宋体" w:hAnsi="宋体" w:cs="宋体"/>
          <w:color w:val="auto"/>
          <w:szCs w:val="21"/>
          <w:highlight w:val="none"/>
        </w:rPr>
        <w:t>（四）评标委员会判断投标文件的有效性、合格性和响应情况，仅依据供应商所递交一切文件的真实表述，不受与本项目无直接关联的外部信息、传言而影响自身的专业判断。</w:t>
      </w:r>
    </w:p>
    <w:p>
      <w:pPr>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outlineLvl w:val="9"/>
        <w:rPr>
          <w:rFonts w:ascii="宋体" w:hAnsi="宋体" w:cs="宋体"/>
          <w:color w:val="auto"/>
          <w:szCs w:val="21"/>
          <w:highlight w:val="none"/>
        </w:rPr>
      </w:pPr>
      <w:r>
        <w:rPr>
          <w:rFonts w:hint="eastAsia" w:ascii="宋体" w:hAnsi="宋体" w:cs="宋体"/>
          <w:color w:val="auto"/>
          <w:szCs w:val="21"/>
          <w:highlight w:val="none"/>
        </w:rPr>
        <w:t>（五）评委依法独立评审，并对评审意见承担个人责任。对明显畸高、畸低的评分（评审小组成员个人主观总评分偏离所有评审小组成员主观总评分平均值30%以上），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cs="宋体"/>
          <w:color w:val="auto"/>
          <w:szCs w:val="21"/>
          <w:highlight w:val="none"/>
        </w:rPr>
      </w:pPr>
      <w:r>
        <w:rPr>
          <w:rFonts w:hint="eastAsia" w:ascii="宋体" w:hAnsi="宋体" w:cs="宋体"/>
          <w:b/>
          <w:bCs/>
          <w:color w:val="auto"/>
          <w:szCs w:val="21"/>
          <w:highlight w:val="none"/>
        </w:rPr>
        <w:t>四、评标方法</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cs="宋体"/>
          <w:color w:val="auto"/>
          <w:szCs w:val="21"/>
          <w:highlight w:val="none"/>
        </w:rPr>
      </w:pPr>
      <w:r>
        <w:rPr>
          <w:rFonts w:hint="eastAsia" w:ascii="宋体" w:hAnsi="宋体" w:cs="宋体"/>
          <w:color w:val="auto"/>
          <w:szCs w:val="21"/>
          <w:highlight w:val="none"/>
        </w:rPr>
        <w:t>（一）本次采购项目的评标方法为：综合评分法。</w:t>
      </w:r>
    </w:p>
    <w:p>
      <w:pPr>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outlineLvl w:val="9"/>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采用综合评分法的，评标结果按评审后得分由高到低顺序推荐3名中标候选人。得分相同的，按投标报价由低到高顺序排列。得分且投标报价相同的并列，则抽签决定。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cs="宋体"/>
          <w:color w:val="auto"/>
          <w:szCs w:val="21"/>
          <w:highlight w:val="none"/>
        </w:rPr>
      </w:pPr>
      <w:r>
        <w:rPr>
          <w:rFonts w:hint="eastAsia" w:ascii="宋体" w:hAnsi="宋体" w:cs="宋体"/>
          <w:color w:val="auto"/>
          <w:szCs w:val="21"/>
          <w:highlight w:val="none"/>
        </w:rPr>
        <w:t>（二）投标文件的澄清</w:t>
      </w:r>
    </w:p>
    <w:p>
      <w:pPr>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outlineLvl w:val="9"/>
        <w:rPr>
          <w:rFonts w:ascii="宋体" w:hAnsi="宋体" w:cs="宋体"/>
          <w:color w:val="auto"/>
          <w:szCs w:val="21"/>
          <w:highlight w:val="none"/>
        </w:rPr>
      </w:pPr>
      <w:r>
        <w:rPr>
          <w:rFonts w:hint="eastAsia" w:ascii="宋体" w:hAnsi="宋体" w:cs="宋体"/>
          <w:color w:val="auto"/>
          <w:szCs w:val="21"/>
          <w:highlight w:val="none"/>
        </w:rPr>
        <w:t>1、对于投标文件中含义不明确、同类问题表述不一致或者有明显文字和计算错误的内容，评标委员会应当以书面形式要求供应商作出必要的澄清、说明或者补正。</w:t>
      </w:r>
    </w:p>
    <w:p>
      <w:pPr>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outlineLvl w:val="9"/>
        <w:rPr>
          <w:rFonts w:ascii="宋体" w:hAnsi="宋体" w:cs="宋体"/>
          <w:color w:val="auto"/>
          <w:szCs w:val="21"/>
          <w:highlight w:val="none"/>
        </w:rPr>
      </w:pPr>
      <w:r>
        <w:rPr>
          <w:rFonts w:hint="eastAsia" w:ascii="宋体" w:hAnsi="宋体" w:cs="宋体"/>
          <w:color w:val="auto"/>
          <w:szCs w:val="21"/>
          <w:highlight w:val="none"/>
        </w:rPr>
        <w:t>2、供应商的澄清、说明或者补正应当采用书面形式（或扫描件上传政采云平台），并加盖公章，或者由法定代表人或其授权的代表签名或盖章。供应商的澄清、说明或者补正不得超出投标文件的范围或者改变投标文件的实质性内容。</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cs="宋体"/>
          <w:color w:val="auto"/>
          <w:szCs w:val="21"/>
          <w:highlight w:val="none"/>
        </w:rPr>
      </w:pPr>
      <w:r>
        <w:rPr>
          <w:rFonts w:hint="eastAsia" w:ascii="宋体" w:hAnsi="宋体" w:cs="宋体"/>
          <w:color w:val="auto"/>
          <w:szCs w:val="21"/>
          <w:highlight w:val="none"/>
        </w:rPr>
        <w:t>（三）投标文件错误修正原则</w:t>
      </w:r>
    </w:p>
    <w:p>
      <w:pPr>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outlineLvl w:val="9"/>
        <w:rPr>
          <w:rFonts w:ascii="宋体" w:hAnsi="宋体" w:cs="宋体"/>
          <w:color w:val="auto"/>
          <w:szCs w:val="21"/>
          <w:highlight w:val="none"/>
        </w:rPr>
      </w:pPr>
      <w:r>
        <w:rPr>
          <w:rFonts w:hint="eastAsia" w:ascii="宋体" w:hAnsi="宋体" w:cs="宋体"/>
          <w:color w:val="auto"/>
          <w:szCs w:val="21"/>
          <w:highlight w:val="none"/>
        </w:rPr>
        <w:t>投标文件如果出现计算或表达上的错误，修正错误的原则如下：</w:t>
      </w:r>
    </w:p>
    <w:p>
      <w:pPr>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outlineLvl w:val="9"/>
        <w:rPr>
          <w:rFonts w:ascii="宋体" w:hAnsi="宋体" w:cs="宋体"/>
          <w:color w:val="auto"/>
          <w:szCs w:val="21"/>
          <w:highlight w:val="none"/>
        </w:rPr>
      </w:pPr>
      <w:r>
        <w:rPr>
          <w:rFonts w:hint="eastAsia" w:ascii="宋体" w:hAnsi="宋体" w:cs="宋体"/>
          <w:color w:val="auto"/>
          <w:szCs w:val="21"/>
          <w:highlight w:val="none"/>
        </w:rPr>
        <w:t>1、投标文件中开标一览表（报价表）内容与投标文件中相应内容不一致的，以开标一览表（报价表）为准；</w:t>
      </w:r>
    </w:p>
    <w:p>
      <w:pPr>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outlineLvl w:val="9"/>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pPr>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outlineLvl w:val="9"/>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3、单价金额小数点或者百分比有明显错位的，以开标一览表的总价为准，并修改单价；</w:t>
      </w:r>
    </w:p>
    <w:p>
      <w:pPr>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outlineLvl w:val="9"/>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outlineLvl w:val="9"/>
        <w:rPr>
          <w:rFonts w:ascii="宋体" w:hAnsi="宋体" w:cs="宋体"/>
          <w:color w:val="auto"/>
          <w:szCs w:val="21"/>
          <w:highlight w:val="none"/>
        </w:rPr>
      </w:pPr>
      <w:r>
        <w:rPr>
          <w:rFonts w:hint="eastAsia" w:ascii="宋体" w:hAnsi="宋体" w:cs="宋体"/>
          <w:color w:val="auto"/>
          <w:szCs w:val="21"/>
          <w:highlight w:val="none"/>
        </w:rPr>
        <w:t>5、政采云平台填报的开标一览表中的价格与上传的报价文件中开标一览表的报价不一致的，以上传的报价文件为准。</w:t>
      </w:r>
    </w:p>
    <w:p>
      <w:pPr>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outlineLvl w:val="9"/>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同时出现两种以上不一致的，按照前款规定的顺序修正。修正后的报价按照投标文件澄清第二款的规定经供应商确认后产生约束力，供应商不确认的，其投标无效。</w:t>
      </w:r>
    </w:p>
    <w:p>
      <w:pPr>
        <w:keepNext w:val="0"/>
        <w:keepLines w:val="0"/>
        <w:pageBreakBefore w:val="0"/>
        <w:numPr>
          <w:ilvl w:val="0"/>
          <w:numId w:val="6"/>
        </w:numPr>
        <w:kinsoku/>
        <w:wordWrap/>
        <w:overflowPunct/>
        <w:topLinePunct w:val="0"/>
        <w:autoSpaceDE/>
        <w:autoSpaceDN/>
        <w:bidi w:val="0"/>
        <w:adjustRightInd/>
        <w:snapToGrid/>
        <w:spacing w:line="360" w:lineRule="auto"/>
        <w:textAlignment w:val="auto"/>
        <w:outlineLvl w:val="9"/>
        <w:rPr>
          <w:rFonts w:ascii="宋体" w:hAnsi="宋体" w:cs="宋体"/>
          <w:b/>
          <w:bCs/>
          <w:color w:val="auto"/>
          <w:szCs w:val="21"/>
          <w:highlight w:val="none"/>
        </w:rPr>
      </w:pPr>
      <w:bookmarkStart w:id="35" w:name="_Toc481567077"/>
      <w:bookmarkStart w:id="36" w:name="_Toc493058318"/>
      <w:r>
        <w:rPr>
          <w:rFonts w:hint="eastAsia" w:ascii="宋体" w:hAnsi="宋体" w:cs="宋体"/>
          <w:b/>
          <w:bCs/>
          <w:color w:val="auto"/>
          <w:szCs w:val="21"/>
          <w:highlight w:val="none"/>
        </w:rPr>
        <w:t>评标</w:t>
      </w:r>
      <w:bookmarkEnd w:id="35"/>
      <w:r>
        <w:rPr>
          <w:rFonts w:hint="eastAsia" w:ascii="宋体" w:hAnsi="宋体" w:cs="宋体"/>
          <w:b/>
          <w:bCs/>
          <w:color w:val="auto"/>
          <w:szCs w:val="21"/>
          <w:highlight w:val="none"/>
        </w:rPr>
        <w:t>程序</w:t>
      </w:r>
      <w:bookmarkEnd w:id="36"/>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outlineLvl w:val="9"/>
        <w:rPr>
          <w:rFonts w:ascii="宋体" w:hAnsi="宋体" w:cs="宋体"/>
          <w:b/>
          <w:color w:val="auto"/>
          <w:kern w:val="0"/>
          <w:szCs w:val="21"/>
          <w:highlight w:val="none"/>
        </w:rPr>
      </w:pPr>
      <w:r>
        <w:rPr>
          <w:rFonts w:hint="eastAsia" w:ascii="宋体" w:hAnsi="宋体" w:cs="宋体"/>
          <w:b/>
          <w:color w:val="auto"/>
          <w:kern w:val="0"/>
          <w:szCs w:val="21"/>
          <w:highlight w:val="none"/>
        </w:rPr>
        <w:t>（一）资格条件审查</w:t>
      </w:r>
    </w:p>
    <w:p>
      <w:pPr>
        <w:keepNext w:val="0"/>
        <w:keepLines w:val="0"/>
        <w:pageBreakBefore w:val="0"/>
        <w:widowControl/>
        <w:kinsoku/>
        <w:wordWrap/>
        <w:overflowPunct/>
        <w:topLinePunct w:val="0"/>
        <w:autoSpaceDE/>
        <w:autoSpaceDN/>
        <w:bidi w:val="0"/>
        <w:adjustRightInd/>
        <w:snapToGrid/>
        <w:spacing w:line="360" w:lineRule="auto"/>
        <w:ind w:firstLine="522" w:firstLineChars="249"/>
        <w:jc w:val="left"/>
        <w:textAlignment w:val="auto"/>
        <w:outlineLvl w:val="9"/>
        <w:rPr>
          <w:rFonts w:ascii="宋体" w:hAnsi="宋体" w:cs="宋体"/>
          <w:color w:val="auto"/>
          <w:kern w:val="0"/>
          <w:szCs w:val="21"/>
          <w:highlight w:val="none"/>
        </w:rPr>
      </w:pPr>
      <w:r>
        <w:rPr>
          <w:rFonts w:hint="eastAsia" w:ascii="宋体" w:hAnsi="宋体" w:cs="宋体"/>
          <w:color w:val="auto"/>
          <w:kern w:val="0"/>
          <w:szCs w:val="21"/>
          <w:highlight w:val="none"/>
        </w:rPr>
        <w:t>由采购人或采购代理机构对供应商的资格进行审查。</w:t>
      </w:r>
    </w:p>
    <w:tbl>
      <w:tblPr>
        <w:tblStyle w:val="3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6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tcPr>
          <w:p>
            <w:pPr>
              <w:pageBreakBefore w:val="0"/>
              <w:kinsoku/>
              <w:overflowPunct/>
              <w:bidi w:val="0"/>
              <w:jc w:val="center"/>
              <w:outlineLvl w:val="9"/>
              <w:rPr>
                <w:rFonts w:ascii="宋体" w:hAnsi="宋体" w:cs="宋体"/>
                <w:b/>
                <w:color w:val="auto"/>
                <w:kern w:val="0"/>
                <w:szCs w:val="21"/>
                <w:highlight w:val="none"/>
              </w:rPr>
            </w:pPr>
            <w:r>
              <w:rPr>
                <w:rFonts w:hint="eastAsia" w:ascii="宋体" w:hAnsi="宋体" w:cs="宋体"/>
                <w:b/>
                <w:color w:val="auto"/>
                <w:kern w:val="0"/>
                <w:szCs w:val="21"/>
                <w:highlight w:val="none"/>
              </w:rPr>
              <w:t>审查类别</w:t>
            </w:r>
          </w:p>
        </w:tc>
        <w:tc>
          <w:tcPr>
            <w:tcW w:w="6794" w:type="dxa"/>
          </w:tcPr>
          <w:p>
            <w:pPr>
              <w:pageBreakBefore w:val="0"/>
              <w:kinsoku/>
              <w:overflowPunct/>
              <w:bidi w:val="0"/>
              <w:jc w:val="center"/>
              <w:outlineLvl w:val="9"/>
              <w:rPr>
                <w:rFonts w:ascii="宋体" w:hAnsi="宋体" w:cs="宋体"/>
                <w:b/>
                <w:color w:val="auto"/>
                <w:kern w:val="0"/>
                <w:szCs w:val="21"/>
                <w:highlight w:val="none"/>
              </w:rPr>
            </w:pPr>
            <w:r>
              <w:rPr>
                <w:rFonts w:hint="eastAsia" w:ascii="宋体" w:hAnsi="宋体" w:cs="宋体"/>
                <w:b/>
                <w:color w:val="auto"/>
                <w:kern w:val="0"/>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restart"/>
            <w:vAlign w:val="center"/>
          </w:tcPr>
          <w:p>
            <w:pPr>
              <w:pageBreakBefore w:val="0"/>
              <w:kinsoku/>
              <w:overflowPunct/>
              <w:bidi w:val="0"/>
              <w:jc w:val="center"/>
              <w:outlineLvl w:val="9"/>
              <w:rPr>
                <w:rFonts w:ascii="宋体" w:hAnsi="宋体" w:cs="宋体"/>
                <w:color w:val="auto"/>
                <w:kern w:val="0"/>
                <w:szCs w:val="21"/>
                <w:highlight w:val="none"/>
              </w:rPr>
            </w:pPr>
            <w:r>
              <w:rPr>
                <w:rFonts w:hint="eastAsia" w:ascii="宋体" w:hAnsi="宋体" w:cs="宋体"/>
                <w:color w:val="auto"/>
                <w:kern w:val="0"/>
                <w:szCs w:val="21"/>
                <w:highlight w:val="none"/>
              </w:rPr>
              <w:t>资格条件审查</w:t>
            </w:r>
          </w:p>
        </w:tc>
        <w:tc>
          <w:tcPr>
            <w:tcW w:w="6794" w:type="dxa"/>
          </w:tcPr>
          <w:p>
            <w:pPr>
              <w:pageBreakBefore w:val="0"/>
              <w:numPr>
                <w:ilvl w:val="0"/>
                <w:numId w:val="7"/>
              </w:numPr>
              <w:kinsoku/>
              <w:overflowPunct/>
              <w:bidi w:val="0"/>
              <w:jc w:val="left"/>
              <w:outlineLvl w:val="9"/>
              <w:rPr>
                <w:rFonts w:ascii="宋体" w:hAnsi="宋体" w:cs="宋体"/>
                <w:color w:val="auto"/>
                <w:kern w:val="0"/>
                <w:szCs w:val="20"/>
                <w:highlight w:val="none"/>
              </w:rPr>
            </w:pPr>
            <w:r>
              <w:rPr>
                <w:rFonts w:hint="eastAsia" w:ascii="宋体" w:hAnsi="宋体" w:cs="宋体"/>
                <w:color w:val="auto"/>
                <w:kern w:val="0"/>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vAlign w:val="center"/>
          </w:tcPr>
          <w:p>
            <w:pPr>
              <w:pageBreakBefore w:val="0"/>
              <w:kinsoku/>
              <w:overflowPunct/>
              <w:bidi w:val="0"/>
              <w:jc w:val="center"/>
              <w:outlineLvl w:val="9"/>
              <w:rPr>
                <w:rFonts w:ascii="宋体" w:hAnsi="宋体" w:cs="宋体"/>
                <w:color w:val="auto"/>
                <w:kern w:val="0"/>
                <w:szCs w:val="21"/>
                <w:highlight w:val="none"/>
              </w:rPr>
            </w:pPr>
          </w:p>
        </w:tc>
        <w:tc>
          <w:tcPr>
            <w:tcW w:w="6794" w:type="dxa"/>
          </w:tcPr>
          <w:p>
            <w:pPr>
              <w:pageBreakBefore w:val="0"/>
              <w:numPr>
                <w:ilvl w:val="0"/>
                <w:numId w:val="7"/>
              </w:numPr>
              <w:kinsoku/>
              <w:overflowPunct/>
              <w:bidi w:val="0"/>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落实政府采购政策需满足的资格要求：</w:t>
            </w:r>
            <w:r>
              <w:rPr>
                <w:rFonts w:hint="eastAsia" w:ascii="宋体" w:hAnsi="宋体" w:cs="宋体"/>
                <w:color w:val="auto"/>
                <w:kern w:val="0"/>
                <w:szCs w:val="20"/>
                <w:highlight w:val="none"/>
              </w:rPr>
              <w:t>“第一章  公开招标公告 二、申请人的资格要求：</w:t>
            </w:r>
            <w:r>
              <w:rPr>
                <w:rFonts w:hint="eastAsia" w:asciiTheme="minorEastAsia" w:hAnsiTheme="minorEastAsia" w:eastAsiaTheme="minorEastAsia" w:cstheme="minorEastAsia"/>
                <w:color w:val="auto"/>
                <w:sz w:val="21"/>
                <w:szCs w:val="21"/>
                <w:highlight w:val="none"/>
              </w:rPr>
              <w:t>2.落实政府采购政策需满足的资格要求</w:t>
            </w:r>
            <w:r>
              <w:rPr>
                <w:rFonts w:hint="eastAsia" w:ascii="宋体" w:hAnsi="宋体" w:cs="宋体"/>
                <w:color w:val="auto"/>
                <w:kern w:val="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Pr>
          <w:p>
            <w:pPr>
              <w:pageBreakBefore w:val="0"/>
              <w:kinsoku/>
              <w:overflowPunct/>
              <w:bidi w:val="0"/>
              <w:jc w:val="left"/>
              <w:outlineLvl w:val="9"/>
              <w:rPr>
                <w:rFonts w:ascii="宋体" w:hAnsi="宋体" w:cs="宋体"/>
                <w:color w:val="auto"/>
                <w:kern w:val="0"/>
                <w:szCs w:val="21"/>
                <w:highlight w:val="none"/>
              </w:rPr>
            </w:pPr>
          </w:p>
        </w:tc>
        <w:tc>
          <w:tcPr>
            <w:tcW w:w="6794" w:type="dxa"/>
          </w:tcPr>
          <w:p>
            <w:pPr>
              <w:pageBreakBefore w:val="0"/>
              <w:kinsoku/>
              <w:overflowPunct/>
              <w:bidi w:val="0"/>
              <w:jc w:val="left"/>
              <w:outlineLvl w:val="9"/>
              <w:rPr>
                <w:rFonts w:ascii="宋体" w:hAnsi="宋体" w:cs="宋体"/>
                <w:color w:val="auto"/>
                <w:kern w:val="0"/>
                <w:szCs w:val="20"/>
                <w:highlight w:val="none"/>
              </w:rPr>
            </w:pPr>
            <w:r>
              <w:rPr>
                <w:rFonts w:hint="eastAsia" w:ascii="宋体" w:hAnsi="宋体" w:cs="宋体"/>
                <w:color w:val="auto"/>
                <w:kern w:val="0"/>
                <w:szCs w:val="20"/>
                <w:highlight w:val="none"/>
              </w:rPr>
              <w:t>（三）特定资格条件：详见“第一章  公开招标公告 二、申请人的资格要求：3.本项目的特定资格要求”；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Pr>
          <w:p>
            <w:pPr>
              <w:pageBreakBefore w:val="0"/>
              <w:kinsoku/>
              <w:overflowPunct/>
              <w:bidi w:val="0"/>
              <w:jc w:val="left"/>
              <w:outlineLvl w:val="9"/>
              <w:rPr>
                <w:rFonts w:ascii="宋体" w:hAnsi="宋体" w:cs="宋体"/>
                <w:color w:val="auto"/>
                <w:kern w:val="0"/>
                <w:szCs w:val="21"/>
                <w:highlight w:val="none"/>
              </w:rPr>
            </w:pPr>
          </w:p>
        </w:tc>
        <w:tc>
          <w:tcPr>
            <w:tcW w:w="6794" w:type="dxa"/>
          </w:tcPr>
          <w:p>
            <w:pPr>
              <w:pageBreakBefore w:val="0"/>
              <w:kinsoku/>
              <w:overflowPunct/>
              <w:bidi w:val="0"/>
              <w:jc w:val="left"/>
              <w:outlineLvl w:val="9"/>
              <w:rPr>
                <w:rFonts w:ascii="宋体" w:hAnsi="宋体" w:cs="宋体"/>
                <w:color w:val="auto"/>
                <w:kern w:val="0"/>
                <w:szCs w:val="20"/>
                <w:highlight w:val="none"/>
              </w:rPr>
            </w:pPr>
            <w:r>
              <w:rPr>
                <w:rFonts w:hint="eastAsia" w:ascii="宋体" w:hAnsi="宋体" w:cs="宋体"/>
                <w:color w:val="auto"/>
                <w:kern w:val="0"/>
                <w:szCs w:val="21"/>
                <w:highlight w:val="none"/>
              </w:rPr>
              <w:t>（四）</w:t>
            </w:r>
            <w:r>
              <w:rPr>
                <w:rFonts w:hint="eastAsia" w:ascii="宋体" w:hAnsi="宋体" w:cs="宋体"/>
                <w:color w:val="auto"/>
                <w:kern w:val="0"/>
                <w:szCs w:val="20"/>
                <w:highlight w:val="none"/>
              </w:rPr>
              <w:t>本项目</w:t>
            </w:r>
            <w:r>
              <w:rPr>
                <w:rFonts w:hint="eastAsia" w:ascii="宋体" w:hAnsi="宋体" w:cs="宋体"/>
                <w:color w:val="auto"/>
                <w:kern w:val="0"/>
                <w:szCs w:val="20"/>
                <w:highlight w:val="none"/>
                <w:lang w:eastAsia="zh-CN"/>
              </w:rPr>
              <w:t>不</w:t>
            </w:r>
            <w:r>
              <w:rPr>
                <w:rFonts w:hint="eastAsia" w:ascii="宋体" w:hAnsi="宋体" w:cs="宋体"/>
                <w:color w:val="auto"/>
                <w:kern w:val="0"/>
                <w:szCs w:val="20"/>
                <w:highlight w:val="none"/>
              </w:rPr>
              <w:t>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Pr>
          <w:p>
            <w:pPr>
              <w:pageBreakBefore w:val="0"/>
              <w:kinsoku/>
              <w:overflowPunct/>
              <w:bidi w:val="0"/>
              <w:jc w:val="left"/>
              <w:outlineLvl w:val="9"/>
              <w:rPr>
                <w:rFonts w:ascii="宋体" w:hAnsi="宋体" w:cs="宋体"/>
                <w:color w:val="auto"/>
                <w:kern w:val="0"/>
                <w:szCs w:val="21"/>
                <w:highlight w:val="none"/>
              </w:rPr>
            </w:pPr>
          </w:p>
        </w:tc>
        <w:tc>
          <w:tcPr>
            <w:tcW w:w="6794" w:type="dxa"/>
          </w:tcPr>
          <w:p>
            <w:pPr>
              <w:pageBreakBefore w:val="0"/>
              <w:kinsoku/>
              <w:overflowPunct/>
              <w:bidi w:val="0"/>
              <w:jc w:val="left"/>
              <w:outlineLvl w:val="9"/>
              <w:rPr>
                <w:rFonts w:ascii="宋体" w:hAnsi="宋体" w:cs="宋体"/>
                <w:color w:val="auto"/>
                <w:kern w:val="0"/>
                <w:szCs w:val="20"/>
                <w:highlight w:val="none"/>
              </w:rPr>
            </w:pPr>
            <w:r>
              <w:rPr>
                <w:rFonts w:hint="eastAsia" w:ascii="宋体" w:hAnsi="宋体" w:cs="宋体"/>
                <w:color w:val="auto"/>
                <w:kern w:val="0"/>
                <w:szCs w:val="21"/>
                <w:highlight w:val="none"/>
              </w:rPr>
              <w:t>（五）招标文件要求的其他资格条件（如有）。</w:t>
            </w:r>
          </w:p>
        </w:tc>
      </w:tr>
    </w:tbl>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outlineLvl w:val="9"/>
        <w:rPr>
          <w:rFonts w:ascii="宋体" w:hAnsi="宋体" w:cs="宋体"/>
          <w:b/>
          <w:color w:val="auto"/>
          <w:kern w:val="0"/>
          <w:szCs w:val="21"/>
          <w:highlight w:val="none"/>
        </w:rPr>
      </w:pPr>
      <w:r>
        <w:rPr>
          <w:rFonts w:hint="eastAsia" w:ascii="宋体" w:hAnsi="宋体" w:cs="宋体"/>
          <w:b/>
          <w:color w:val="auto"/>
          <w:kern w:val="0"/>
          <w:szCs w:val="21"/>
          <w:highlight w:val="none"/>
        </w:rPr>
        <w:t>（二）符合性审查</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ascii="宋体" w:hAnsi="宋体" w:cs="宋体"/>
          <w:color w:val="auto"/>
          <w:kern w:val="0"/>
          <w:szCs w:val="21"/>
          <w:highlight w:val="none"/>
        </w:rPr>
      </w:pPr>
      <w:r>
        <w:rPr>
          <w:rFonts w:hint="eastAsia" w:ascii="宋体" w:hAnsi="宋体" w:cs="宋体"/>
          <w:color w:val="auto"/>
          <w:kern w:val="0"/>
          <w:szCs w:val="21"/>
          <w:highlight w:val="none"/>
        </w:rPr>
        <w:t>评标委员会应当对符合资格的供应商的投标文件进行符合性审查，以确定其是否满足招标文件的实质性要求。</w:t>
      </w:r>
    </w:p>
    <w:tbl>
      <w:tblPr>
        <w:tblStyle w:val="3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tcPr>
          <w:p>
            <w:pPr>
              <w:pageBreakBefore w:val="0"/>
              <w:kinsoku/>
              <w:overflowPunct/>
              <w:bidi w:val="0"/>
              <w:jc w:val="center"/>
              <w:outlineLvl w:val="9"/>
              <w:rPr>
                <w:rFonts w:ascii="宋体" w:hAnsi="宋体" w:cs="宋体"/>
                <w:b/>
                <w:color w:val="auto"/>
                <w:szCs w:val="21"/>
                <w:highlight w:val="none"/>
              </w:rPr>
            </w:pPr>
            <w:bookmarkStart w:id="37" w:name="_Toc259108323"/>
            <w:bookmarkStart w:id="38" w:name="_Toc249866767"/>
            <w:r>
              <w:rPr>
                <w:rFonts w:hint="eastAsia" w:ascii="宋体" w:hAnsi="宋体" w:cs="宋体"/>
                <w:b/>
                <w:color w:val="auto"/>
                <w:szCs w:val="21"/>
                <w:highlight w:val="none"/>
              </w:rPr>
              <w:t>审查类别</w:t>
            </w:r>
          </w:p>
        </w:tc>
        <w:tc>
          <w:tcPr>
            <w:tcW w:w="6525" w:type="dxa"/>
          </w:tcPr>
          <w:p>
            <w:pPr>
              <w:pageBreakBefore w:val="0"/>
              <w:kinsoku/>
              <w:overflowPunct/>
              <w:bidi w:val="0"/>
              <w:jc w:val="center"/>
              <w:outlineLvl w:val="9"/>
              <w:rPr>
                <w:rFonts w:ascii="宋体" w:hAnsi="宋体" w:cs="宋体"/>
                <w:b/>
                <w:color w:val="auto"/>
                <w:szCs w:val="21"/>
                <w:highlight w:val="none"/>
              </w:rPr>
            </w:pPr>
            <w:r>
              <w:rPr>
                <w:rFonts w:hint="eastAsia" w:ascii="宋体" w:hAnsi="宋体" w:cs="宋体"/>
                <w:b/>
                <w:color w:val="auto"/>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restart"/>
            <w:vAlign w:val="center"/>
          </w:tcPr>
          <w:p>
            <w:pPr>
              <w:pageBreakBefore w:val="0"/>
              <w:kinsoku/>
              <w:overflowPunct/>
              <w:bidi w:val="0"/>
              <w:jc w:val="center"/>
              <w:outlineLvl w:val="9"/>
              <w:rPr>
                <w:rFonts w:ascii="宋体" w:hAnsi="宋体" w:cs="宋体"/>
                <w:color w:val="auto"/>
                <w:szCs w:val="21"/>
                <w:highlight w:val="none"/>
              </w:rPr>
            </w:pPr>
            <w:r>
              <w:rPr>
                <w:rFonts w:hint="eastAsia" w:ascii="宋体" w:hAnsi="宋体" w:cs="宋体"/>
                <w:color w:val="auto"/>
                <w:szCs w:val="21"/>
                <w:highlight w:val="none"/>
              </w:rPr>
              <w:t>符合性审查</w:t>
            </w:r>
          </w:p>
          <w:p>
            <w:pPr>
              <w:pageBreakBefore w:val="0"/>
              <w:kinsoku/>
              <w:overflowPunct/>
              <w:bidi w:val="0"/>
              <w:jc w:val="center"/>
              <w:outlineLvl w:val="9"/>
              <w:rPr>
                <w:rFonts w:ascii="宋体" w:hAnsi="宋体" w:cs="宋体"/>
                <w:color w:val="auto"/>
                <w:szCs w:val="21"/>
                <w:highlight w:val="none"/>
              </w:rPr>
            </w:pPr>
            <w:r>
              <w:rPr>
                <w:rFonts w:hint="eastAsia" w:ascii="宋体" w:hAnsi="宋体" w:cs="宋体"/>
                <w:color w:val="auto"/>
                <w:szCs w:val="21"/>
                <w:highlight w:val="none"/>
              </w:rPr>
              <w:t>（商务技术文件）</w:t>
            </w:r>
          </w:p>
        </w:tc>
        <w:tc>
          <w:tcPr>
            <w:tcW w:w="6525" w:type="dxa"/>
            <w:vAlign w:val="center"/>
          </w:tcPr>
          <w:p>
            <w:pPr>
              <w:pageBreakBefore w:val="0"/>
              <w:tabs>
                <w:tab w:val="left" w:pos="612"/>
              </w:tabs>
              <w:kinsoku/>
              <w:overflowPunct/>
              <w:bidi w:val="0"/>
              <w:outlineLvl w:val="9"/>
              <w:rPr>
                <w:rFonts w:ascii="宋体" w:hAnsi="宋体" w:cs="宋体"/>
                <w:color w:val="auto"/>
                <w:szCs w:val="21"/>
                <w:highlight w:val="none"/>
              </w:rPr>
            </w:pPr>
            <w:r>
              <w:rPr>
                <w:rFonts w:hint="eastAsia" w:ascii="宋体" w:hAnsi="宋体" w:cs="宋体"/>
                <w:color w:val="auto"/>
                <w:szCs w:val="21"/>
                <w:highlight w:val="none"/>
              </w:rPr>
              <w:t>（一）投标函已提交并符合招标文件要求；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vAlign w:val="center"/>
          </w:tcPr>
          <w:p>
            <w:pPr>
              <w:pageBreakBefore w:val="0"/>
              <w:kinsoku/>
              <w:overflowPunct/>
              <w:bidi w:val="0"/>
              <w:jc w:val="center"/>
              <w:outlineLvl w:val="9"/>
              <w:rPr>
                <w:rFonts w:ascii="宋体" w:hAnsi="宋体" w:cs="宋体"/>
                <w:color w:val="auto"/>
                <w:szCs w:val="21"/>
                <w:highlight w:val="none"/>
              </w:rPr>
            </w:pPr>
          </w:p>
        </w:tc>
        <w:tc>
          <w:tcPr>
            <w:tcW w:w="6525" w:type="dxa"/>
            <w:vAlign w:val="center"/>
          </w:tcPr>
          <w:p>
            <w:pPr>
              <w:pageBreakBefore w:val="0"/>
              <w:tabs>
                <w:tab w:val="left" w:pos="612"/>
              </w:tabs>
              <w:kinsoku/>
              <w:overflowPunct/>
              <w:bidi w:val="0"/>
              <w:outlineLvl w:val="9"/>
              <w:rPr>
                <w:rFonts w:ascii="宋体" w:hAnsi="宋体" w:cs="宋体"/>
                <w:color w:val="auto"/>
                <w:szCs w:val="21"/>
                <w:highlight w:val="none"/>
              </w:rPr>
            </w:pPr>
            <w:r>
              <w:rPr>
                <w:rFonts w:hint="eastAsia" w:ascii="宋体" w:hAnsi="宋体" w:cs="宋体"/>
                <w:color w:val="auto"/>
                <w:szCs w:val="21"/>
                <w:highlight w:val="none"/>
              </w:rPr>
              <w:t>（二）按照招标文件规定要求签署或盖章；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vAlign w:val="center"/>
          </w:tcPr>
          <w:p>
            <w:pPr>
              <w:pageBreakBefore w:val="0"/>
              <w:kinsoku/>
              <w:overflowPunct/>
              <w:bidi w:val="0"/>
              <w:jc w:val="center"/>
              <w:outlineLvl w:val="9"/>
              <w:rPr>
                <w:rFonts w:ascii="宋体" w:hAnsi="宋体" w:cs="宋体"/>
                <w:color w:val="auto"/>
                <w:szCs w:val="21"/>
                <w:highlight w:val="none"/>
              </w:rPr>
            </w:pPr>
          </w:p>
        </w:tc>
        <w:tc>
          <w:tcPr>
            <w:tcW w:w="6525" w:type="dxa"/>
            <w:vAlign w:val="center"/>
          </w:tcPr>
          <w:p>
            <w:pPr>
              <w:pageBreakBefore w:val="0"/>
              <w:tabs>
                <w:tab w:val="left" w:pos="612"/>
              </w:tabs>
              <w:kinsoku/>
              <w:overflowPunct/>
              <w:bidi w:val="0"/>
              <w:outlineLvl w:val="9"/>
              <w:rPr>
                <w:rFonts w:ascii="宋体" w:hAnsi="宋体" w:cs="宋体"/>
                <w:color w:val="auto"/>
                <w:szCs w:val="21"/>
                <w:highlight w:val="none"/>
              </w:rPr>
            </w:pPr>
            <w:r>
              <w:rPr>
                <w:rFonts w:hint="eastAsia" w:ascii="宋体" w:hAnsi="宋体" w:cs="宋体"/>
                <w:color w:val="auto"/>
                <w:szCs w:val="21"/>
                <w:highlight w:val="none"/>
              </w:rPr>
              <w:t>（三）投标文件有法定代表人签署本人姓名（或印盖本人姓名章），或签署人提供有效的法定代表人授权委托书且授权委托书填写项目齐全的；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1790" w:type="dxa"/>
            <w:vMerge w:val="continue"/>
            <w:vAlign w:val="center"/>
          </w:tcPr>
          <w:p>
            <w:pPr>
              <w:pageBreakBefore w:val="0"/>
              <w:kinsoku/>
              <w:overflowPunct/>
              <w:bidi w:val="0"/>
              <w:jc w:val="center"/>
              <w:outlineLvl w:val="9"/>
              <w:rPr>
                <w:rFonts w:ascii="宋体" w:hAnsi="宋体" w:cs="宋体"/>
                <w:color w:val="auto"/>
                <w:szCs w:val="21"/>
                <w:highlight w:val="none"/>
              </w:rPr>
            </w:pPr>
          </w:p>
        </w:tc>
        <w:tc>
          <w:tcPr>
            <w:tcW w:w="6525" w:type="dxa"/>
            <w:vAlign w:val="center"/>
          </w:tcPr>
          <w:p>
            <w:pPr>
              <w:pageBreakBefore w:val="0"/>
              <w:tabs>
                <w:tab w:val="left" w:pos="612"/>
              </w:tabs>
              <w:kinsoku/>
              <w:overflowPunct/>
              <w:bidi w:val="0"/>
              <w:outlineLvl w:val="9"/>
              <w:rPr>
                <w:rFonts w:ascii="宋体" w:hAnsi="宋体" w:cs="宋体"/>
                <w:color w:val="auto"/>
                <w:szCs w:val="21"/>
                <w:highlight w:val="none"/>
              </w:rPr>
            </w:pPr>
            <w:r>
              <w:rPr>
                <w:rFonts w:hint="eastAsia" w:ascii="宋体" w:hAnsi="宋体" w:cs="宋体"/>
                <w:color w:val="auto"/>
                <w:szCs w:val="21"/>
                <w:highlight w:val="none"/>
              </w:rPr>
              <w:t>（四）投标文件项目齐全；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vAlign w:val="center"/>
          </w:tcPr>
          <w:p>
            <w:pPr>
              <w:pageBreakBefore w:val="0"/>
              <w:kinsoku/>
              <w:overflowPunct/>
              <w:bidi w:val="0"/>
              <w:jc w:val="center"/>
              <w:outlineLvl w:val="9"/>
              <w:rPr>
                <w:rFonts w:ascii="宋体" w:hAnsi="宋体" w:cs="宋体"/>
                <w:color w:val="auto"/>
                <w:szCs w:val="21"/>
                <w:highlight w:val="none"/>
              </w:rPr>
            </w:pPr>
          </w:p>
        </w:tc>
        <w:tc>
          <w:tcPr>
            <w:tcW w:w="6525" w:type="dxa"/>
            <w:vAlign w:val="center"/>
          </w:tcPr>
          <w:p>
            <w:pPr>
              <w:pageBreakBefore w:val="0"/>
              <w:tabs>
                <w:tab w:val="left" w:pos="612"/>
              </w:tabs>
              <w:kinsoku/>
              <w:overflowPunct/>
              <w:bidi w:val="0"/>
              <w:outlineLvl w:val="9"/>
              <w:rPr>
                <w:rFonts w:ascii="宋体" w:hAnsi="宋体" w:cs="宋体"/>
                <w:color w:val="auto"/>
                <w:kern w:val="0"/>
                <w:szCs w:val="21"/>
                <w:highlight w:val="none"/>
              </w:rPr>
            </w:pPr>
            <w:r>
              <w:rPr>
                <w:rFonts w:hint="eastAsia" w:ascii="宋体" w:hAnsi="宋体" w:cs="宋体"/>
                <w:color w:val="auto"/>
                <w:szCs w:val="21"/>
                <w:highlight w:val="none"/>
              </w:rPr>
              <w:t>（五）投标文件标明的响应或偏离与事实相符且无虚假投标的；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vAlign w:val="center"/>
          </w:tcPr>
          <w:p>
            <w:pPr>
              <w:pageBreakBefore w:val="0"/>
              <w:kinsoku/>
              <w:overflowPunct/>
              <w:bidi w:val="0"/>
              <w:jc w:val="center"/>
              <w:outlineLvl w:val="9"/>
              <w:rPr>
                <w:rFonts w:ascii="宋体" w:hAnsi="宋体" w:cs="宋体"/>
                <w:color w:val="auto"/>
                <w:szCs w:val="21"/>
                <w:highlight w:val="none"/>
              </w:rPr>
            </w:pPr>
          </w:p>
        </w:tc>
        <w:tc>
          <w:tcPr>
            <w:tcW w:w="6525" w:type="dxa"/>
            <w:vAlign w:val="center"/>
          </w:tcPr>
          <w:p>
            <w:pPr>
              <w:pageBreakBefore w:val="0"/>
              <w:tabs>
                <w:tab w:val="left" w:pos="612"/>
              </w:tabs>
              <w:kinsoku/>
              <w:overflowPunct/>
              <w:bidi w:val="0"/>
              <w:outlineLvl w:val="9"/>
              <w:rPr>
                <w:rFonts w:ascii="宋体" w:hAnsi="宋体" w:cs="宋体"/>
                <w:color w:val="auto"/>
                <w:szCs w:val="21"/>
                <w:highlight w:val="none"/>
              </w:rPr>
            </w:pPr>
            <w:r>
              <w:rPr>
                <w:rFonts w:hint="eastAsia" w:ascii="宋体" w:hAnsi="宋体" w:cs="宋体"/>
                <w:color w:val="auto"/>
                <w:szCs w:val="21"/>
                <w:highlight w:val="none"/>
              </w:rPr>
              <w:t>（六）投标文件的实质性内容使用中文表述且意思表述明确，前后无矛盾且使用计量单位符合招标文件要求的；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vAlign w:val="center"/>
          </w:tcPr>
          <w:p>
            <w:pPr>
              <w:pageBreakBefore w:val="0"/>
              <w:kinsoku/>
              <w:overflowPunct/>
              <w:bidi w:val="0"/>
              <w:jc w:val="center"/>
              <w:outlineLvl w:val="9"/>
              <w:rPr>
                <w:rFonts w:ascii="宋体" w:hAnsi="宋体" w:cs="宋体"/>
                <w:color w:val="auto"/>
                <w:szCs w:val="21"/>
                <w:highlight w:val="none"/>
              </w:rPr>
            </w:pPr>
          </w:p>
        </w:tc>
        <w:tc>
          <w:tcPr>
            <w:tcW w:w="6525" w:type="dxa"/>
            <w:vAlign w:val="center"/>
          </w:tcPr>
          <w:p>
            <w:pPr>
              <w:pageBreakBefore w:val="0"/>
              <w:numPr>
                <w:ilvl w:val="0"/>
                <w:numId w:val="8"/>
              </w:numPr>
              <w:tabs>
                <w:tab w:val="left" w:pos="612"/>
              </w:tabs>
              <w:kinsoku/>
              <w:overflowPunct/>
              <w:bidi w:val="0"/>
              <w:outlineLvl w:val="9"/>
              <w:rPr>
                <w:highlight w:val="none"/>
              </w:rPr>
            </w:pPr>
            <w:r>
              <w:rPr>
                <w:rFonts w:hint="eastAsia"/>
                <w:highlight w:val="none"/>
              </w:rPr>
              <w:t>带“★”的条款满足招标文件要求、已实质性响应招标文件要求且投标文件无采购人不能接受的附加条件的；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1790" w:type="dxa"/>
            <w:vMerge w:val="continue"/>
            <w:vAlign w:val="center"/>
          </w:tcPr>
          <w:p>
            <w:pPr>
              <w:pageBreakBefore w:val="0"/>
              <w:kinsoku/>
              <w:overflowPunct/>
              <w:bidi w:val="0"/>
              <w:jc w:val="center"/>
              <w:outlineLvl w:val="9"/>
              <w:rPr>
                <w:rFonts w:ascii="宋体" w:hAnsi="宋体" w:cs="宋体"/>
                <w:color w:val="auto"/>
                <w:szCs w:val="21"/>
                <w:highlight w:val="none"/>
              </w:rPr>
            </w:pPr>
          </w:p>
        </w:tc>
        <w:tc>
          <w:tcPr>
            <w:tcW w:w="6525" w:type="dxa"/>
            <w:vAlign w:val="center"/>
          </w:tcPr>
          <w:p>
            <w:pPr>
              <w:pageBreakBefore w:val="0"/>
              <w:tabs>
                <w:tab w:val="left" w:pos="612"/>
              </w:tabs>
              <w:kinsoku/>
              <w:overflowPunct/>
              <w:bidi w:val="0"/>
              <w:outlineLvl w:val="9"/>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八</w:t>
            </w:r>
            <w:r>
              <w:rPr>
                <w:rFonts w:hint="eastAsia" w:ascii="宋体" w:hAnsi="宋体" w:cs="宋体"/>
                <w:color w:val="auto"/>
                <w:szCs w:val="21"/>
                <w:highlight w:val="none"/>
              </w:rPr>
              <w:t>）投标技术方案明确，不存在一个或一个以上备选（替代）投标方案的；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vAlign w:val="center"/>
          </w:tcPr>
          <w:p>
            <w:pPr>
              <w:pageBreakBefore w:val="0"/>
              <w:kinsoku/>
              <w:overflowPunct/>
              <w:bidi w:val="0"/>
              <w:jc w:val="center"/>
              <w:outlineLvl w:val="9"/>
              <w:rPr>
                <w:rFonts w:ascii="宋体" w:hAnsi="宋体" w:cs="宋体"/>
                <w:color w:val="auto"/>
                <w:szCs w:val="21"/>
                <w:highlight w:val="none"/>
              </w:rPr>
            </w:pPr>
          </w:p>
        </w:tc>
        <w:tc>
          <w:tcPr>
            <w:tcW w:w="6525" w:type="dxa"/>
            <w:vAlign w:val="center"/>
          </w:tcPr>
          <w:p>
            <w:pPr>
              <w:pageBreakBefore w:val="0"/>
              <w:tabs>
                <w:tab w:val="left" w:pos="612"/>
              </w:tabs>
              <w:kinsoku/>
              <w:overflowPunct/>
              <w:bidi w:val="0"/>
              <w:outlineLvl w:val="9"/>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九</w:t>
            </w:r>
            <w:r>
              <w:rPr>
                <w:rFonts w:hint="eastAsia" w:ascii="宋体" w:hAnsi="宋体" w:cs="宋体"/>
                <w:color w:val="auto"/>
                <w:szCs w:val="21"/>
                <w:highlight w:val="none"/>
              </w:rPr>
              <w:t>）不存在法律、法规和招标文件规定的其他无效情形；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vAlign w:val="center"/>
          </w:tcPr>
          <w:p>
            <w:pPr>
              <w:pageBreakBefore w:val="0"/>
              <w:kinsoku/>
              <w:overflowPunct/>
              <w:bidi w:val="0"/>
              <w:jc w:val="center"/>
              <w:outlineLvl w:val="9"/>
              <w:rPr>
                <w:rFonts w:ascii="宋体" w:hAnsi="宋体" w:cs="宋体"/>
                <w:color w:val="auto"/>
                <w:szCs w:val="21"/>
                <w:highlight w:val="none"/>
              </w:rPr>
            </w:pPr>
          </w:p>
        </w:tc>
        <w:tc>
          <w:tcPr>
            <w:tcW w:w="6525" w:type="dxa"/>
            <w:vAlign w:val="center"/>
          </w:tcPr>
          <w:p>
            <w:pPr>
              <w:pageBreakBefore w:val="0"/>
              <w:tabs>
                <w:tab w:val="left" w:pos="612"/>
              </w:tabs>
              <w:kinsoku/>
              <w:overflowPunct/>
              <w:bidi w:val="0"/>
              <w:outlineLvl w:val="9"/>
              <w:rPr>
                <w:rFonts w:ascii="宋体" w:hAnsi="宋体" w:cs="宋体"/>
                <w:color w:val="auto"/>
                <w:szCs w:val="21"/>
                <w:highlight w:val="none"/>
              </w:rPr>
            </w:pPr>
            <w:r>
              <w:rPr>
                <w:rFonts w:hint="eastAsia" w:ascii="宋体" w:hAnsi="宋体" w:cs="宋体"/>
                <w:color w:val="auto"/>
                <w:szCs w:val="21"/>
                <w:highlight w:val="none"/>
              </w:rPr>
              <w:t>（十）不存在投标文件的有效期不满足招标文件要求情形；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restart"/>
            <w:vAlign w:val="center"/>
          </w:tcPr>
          <w:p>
            <w:pPr>
              <w:pageBreakBefore w:val="0"/>
              <w:kinsoku/>
              <w:overflowPunct/>
              <w:bidi w:val="0"/>
              <w:jc w:val="center"/>
              <w:outlineLvl w:val="9"/>
              <w:rPr>
                <w:rFonts w:ascii="宋体" w:hAnsi="宋体" w:cs="宋体"/>
                <w:color w:val="auto"/>
                <w:szCs w:val="21"/>
                <w:highlight w:val="none"/>
              </w:rPr>
            </w:pPr>
            <w:r>
              <w:rPr>
                <w:rFonts w:hint="eastAsia" w:ascii="宋体" w:hAnsi="宋体" w:cs="宋体"/>
                <w:color w:val="auto"/>
                <w:szCs w:val="21"/>
                <w:highlight w:val="none"/>
              </w:rPr>
              <w:t>符合性审查</w:t>
            </w:r>
          </w:p>
          <w:p>
            <w:pPr>
              <w:pageBreakBefore w:val="0"/>
              <w:kinsoku/>
              <w:overflowPunct/>
              <w:bidi w:val="0"/>
              <w:ind w:firstLine="210" w:firstLineChars="100"/>
              <w:jc w:val="center"/>
              <w:outlineLvl w:val="9"/>
              <w:rPr>
                <w:rFonts w:ascii="宋体" w:hAnsi="宋体" w:cs="宋体"/>
                <w:color w:val="auto"/>
                <w:szCs w:val="21"/>
                <w:highlight w:val="none"/>
              </w:rPr>
            </w:pPr>
            <w:r>
              <w:rPr>
                <w:rFonts w:hint="eastAsia" w:ascii="宋体" w:hAnsi="宋体" w:cs="宋体"/>
                <w:color w:val="auto"/>
                <w:szCs w:val="21"/>
                <w:highlight w:val="none"/>
              </w:rPr>
              <w:t>（报价文件）</w:t>
            </w:r>
          </w:p>
        </w:tc>
        <w:tc>
          <w:tcPr>
            <w:tcW w:w="6525" w:type="dxa"/>
            <w:vAlign w:val="center"/>
          </w:tcPr>
          <w:p>
            <w:pPr>
              <w:pageBreakBefore w:val="0"/>
              <w:kinsoku/>
              <w:overflowPunct/>
              <w:bidi w:val="0"/>
              <w:outlineLvl w:val="9"/>
              <w:rPr>
                <w:rFonts w:ascii="宋体" w:hAnsi="宋体" w:cs="宋体"/>
                <w:color w:val="auto"/>
                <w:szCs w:val="21"/>
                <w:highlight w:val="none"/>
              </w:rPr>
            </w:pPr>
            <w:r>
              <w:rPr>
                <w:rFonts w:hint="eastAsia" w:ascii="宋体" w:hAnsi="宋体" w:cs="宋体"/>
                <w:color w:val="auto"/>
                <w:szCs w:val="21"/>
                <w:highlight w:val="none"/>
              </w:rPr>
              <w:t>（一）按照招标文件规定要求签署或盖章；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1790" w:type="dxa"/>
            <w:vMerge w:val="continue"/>
          </w:tcPr>
          <w:p>
            <w:pPr>
              <w:pageBreakBefore w:val="0"/>
              <w:kinsoku/>
              <w:overflowPunct/>
              <w:bidi w:val="0"/>
              <w:ind w:firstLine="210" w:firstLineChars="100"/>
              <w:outlineLvl w:val="9"/>
              <w:rPr>
                <w:rFonts w:ascii="宋体" w:hAnsi="宋体" w:cs="宋体"/>
                <w:color w:val="auto"/>
                <w:szCs w:val="21"/>
                <w:highlight w:val="none"/>
              </w:rPr>
            </w:pPr>
          </w:p>
        </w:tc>
        <w:tc>
          <w:tcPr>
            <w:tcW w:w="6525" w:type="dxa"/>
            <w:vAlign w:val="center"/>
          </w:tcPr>
          <w:p>
            <w:pPr>
              <w:pageBreakBefore w:val="0"/>
              <w:kinsoku/>
              <w:overflowPunct/>
              <w:bidi w:val="0"/>
              <w:outlineLvl w:val="9"/>
              <w:rPr>
                <w:rFonts w:ascii="宋体" w:hAnsi="宋体" w:cs="宋体"/>
                <w:color w:val="auto"/>
                <w:szCs w:val="21"/>
                <w:highlight w:val="none"/>
              </w:rPr>
            </w:pPr>
            <w:r>
              <w:rPr>
                <w:rFonts w:hint="eastAsia" w:ascii="宋体" w:hAnsi="宋体" w:cs="宋体"/>
                <w:color w:val="auto"/>
                <w:szCs w:val="21"/>
                <w:highlight w:val="none"/>
              </w:rPr>
              <w:t>（二）投标文件项目齐全；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tcPr>
          <w:p>
            <w:pPr>
              <w:pageBreakBefore w:val="0"/>
              <w:kinsoku/>
              <w:overflowPunct/>
              <w:bidi w:val="0"/>
              <w:ind w:firstLine="210" w:firstLineChars="100"/>
              <w:outlineLvl w:val="9"/>
              <w:rPr>
                <w:rFonts w:ascii="宋体" w:hAnsi="宋体" w:cs="宋体"/>
                <w:color w:val="auto"/>
                <w:szCs w:val="21"/>
                <w:highlight w:val="none"/>
              </w:rPr>
            </w:pPr>
          </w:p>
        </w:tc>
        <w:tc>
          <w:tcPr>
            <w:tcW w:w="6525" w:type="dxa"/>
            <w:vAlign w:val="center"/>
          </w:tcPr>
          <w:p>
            <w:pPr>
              <w:pageBreakBefore w:val="0"/>
              <w:kinsoku/>
              <w:overflowPunct/>
              <w:bidi w:val="0"/>
              <w:outlineLvl w:val="9"/>
              <w:rPr>
                <w:rFonts w:ascii="宋体" w:hAnsi="宋体" w:cs="宋体"/>
                <w:color w:val="auto"/>
                <w:szCs w:val="21"/>
                <w:highlight w:val="none"/>
              </w:rPr>
            </w:pPr>
            <w:r>
              <w:rPr>
                <w:rFonts w:hint="eastAsia" w:ascii="宋体" w:hAnsi="宋体" w:cs="宋体"/>
                <w:color w:val="auto"/>
                <w:szCs w:val="21"/>
                <w:highlight w:val="none"/>
              </w:rPr>
              <w:t>（三）采用人民币报价或者按照招标文件标明的币种报价的；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1790" w:type="dxa"/>
            <w:vMerge w:val="continue"/>
          </w:tcPr>
          <w:p>
            <w:pPr>
              <w:pageBreakBefore w:val="0"/>
              <w:kinsoku/>
              <w:overflowPunct/>
              <w:bidi w:val="0"/>
              <w:ind w:firstLine="210" w:firstLineChars="100"/>
              <w:outlineLvl w:val="9"/>
              <w:rPr>
                <w:rFonts w:ascii="宋体" w:hAnsi="宋体" w:cs="宋体"/>
                <w:color w:val="auto"/>
                <w:szCs w:val="21"/>
                <w:highlight w:val="none"/>
              </w:rPr>
            </w:pPr>
          </w:p>
        </w:tc>
        <w:tc>
          <w:tcPr>
            <w:tcW w:w="6525" w:type="dxa"/>
            <w:vAlign w:val="center"/>
          </w:tcPr>
          <w:p>
            <w:pPr>
              <w:pageBreakBefore w:val="0"/>
              <w:kinsoku/>
              <w:overflowPunct/>
              <w:bidi w:val="0"/>
              <w:outlineLvl w:val="9"/>
              <w:rPr>
                <w:rFonts w:ascii="宋体" w:hAnsi="宋体" w:cs="宋体"/>
                <w:color w:val="auto"/>
                <w:szCs w:val="21"/>
                <w:highlight w:val="none"/>
              </w:rPr>
            </w:pPr>
            <w:r>
              <w:rPr>
                <w:rFonts w:hint="eastAsia" w:ascii="宋体" w:hAnsi="宋体" w:cs="宋体"/>
                <w:color w:val="auto"/>
                <w:szCs w:val="21"/>
                <w:highlight w:val="none"/>
              </w:rPr>
              <w:t>（四）不存在报价超出最高限价，或者超出采购预算金额，采购人不能支付的情形。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1790" w:type="dxa"/>
            <w:vMerge w:val="continue"/>
          </w:tcPr>
          <w:p>
            <w:pPr>
              <w:pageBreakBefore w:val="0"/>
              <w:kinsoku/>
              <w:overflowPunct/>
              <w:bidi w:val="0"/>
              <w:ind w:firstLine="210" w:firstLineChars="100"/>
              <w:outlineLvl w:val="9"/>
              <w:rPr>
                <w:rFonts w:ascii="宋体" w:hAnsi="宋体" w:cs="宋体"/>
                <w:color w:val="auto"/>
                <w:szCs w:val="21"/>
                <w:highlight w:val="none"/>
              </w:rPr>
            </w:pPr>
          </w:p>
        </w:tc>
        <w:tc>
          <w:tcPr>
            <w:tcW w:w="6525" w:type="dxa"/>
            <w:vAlign w:val="center"/>
          </w:tcPr>
          <w:p>
            <w:pPr>
              <w:pageBreakBefore w:val="0"/>
              <w:kinsoku/>
              <w:overflowPunct/>
              <w:bidi w:val="0"/>
              <w:outlineLvl w:val="9"/>
              <w:rPr>
                <w:rFonts w:ascii="宋体" w:hAnsi="宋体" w:cs="宋体"/>
                <w:color w:val="auto"/>
                <w:szCs w:val="21"/>
                <w:highlight w:val="none"/>
              </w:rPr>
            </w:pPr>
            <w:r>
              <w:rPr>
                <w:rFonts w:hint="eastAsia" w:ascii="宋体" w:hAnsi="宋体" w:cs="宋体"/>
                <w:color w:val="auto"/>
                <w:szCs w:val="21"/>
                <w:highlight w:val="none"/>
              </w:rPr>
              <w:t>（五）不存在投标报价具有选择性的情形；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tcPr>
          <w:p>
            <w:pPr>
              <w:pageBreakBefore w:val="0"/>
              <w:kinsoku/>
              <w:overflowPunct/>
              <w:bidi w:val="0"/>
              <w:ind w:firstLine="210" w:firstLineChars="100"/>
              <w:outlineLvl w:val="9"/>
              <w:rPr>
                <w:rFonts w:ascii="宋体" w:hAnsi="宋体" w:cs="宋体"/>
                <w:color w:val="auto"/>
                <w:szCs w:val="21"/>
                <w:highlight w:val="none"/>
              </w:rPr>
            </w:pPr>
          </w:p>
        </w:tc>
        <w:tc>
          <w:tcPr>
            <w:tcW w:w="6525" w:type="dxa"/>
            <w:vAlign w:val="center"/>
          </w:tcPr>
          <w:p>
            <w:pPr>
              <w:pageBreakBefore w:val="0"/>
              <w:kinsoku/>
              <w:overflowPunct/>
              <w:bidi w:val="0"/>
              <w:outlineLvl w:val="9"/>
              <w:rPr>
                <w:rFonts w:ascii="宋体" w:hAnsi="宋体" w:cs="宋体"/>
                <w:color w:val="auto"/>
                <w:szCs w:val="21"/>
                <w:highlight w:val="none"/>
              </w:rPr>
            </w:pPr>
            <w:r>
              <w:rPr>
                <w:rFonts w:hint="eastAsia" w:ascii="宋体" w:hAnsi="宋体" w:cs="宋体"/>
                <w:color w:val="auto"/>
                <w:szCs w:val="21"/>
                <w:highlight w:val="none"/>
              </w:rPr>
              <w:t>（六）投标报价中未出现重大缺项、漏项；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tcPr>
          <w:p>
            <w:pPr>
              <w:pageBreakBefore w:val="0"/>
              <w:kinsoku/>
              <w:overflowPunct/>
              <w:bidi w:val="0"/>
              <w:ind w:firstLine="210" w:firstLineChars="100"/>
              <w:outlineLvl w:val="9"/>
              <w:rPr>
                <w:rFonts w:ascii="宋体" w:hAnsi="宋体" w:cs="宋体"/>
                <w:color w:val="auto"/>
                <w:szCs w:val="21"/>
                <w:highlight w:val="none"/>
              </w:rPr>
            </w:pPr>
          </w:p>
        </w:tc>
        <w:tc>
          <w:tcPr>
            <w:tcW w:w="6525" w:type="dxa"/>
            <w:vAlign w:val="center"/>
          </w:tcPr>
          <w:p>
            <w:pPr>
              <w:pageBreakBefore w:val="0"/>
              <w:kinsoku/>
              <w:overflowPunct/>
              <w:bidi w:val="0"/>
              <w:outlineLvl w:val="9"/>
              <w:rPr>
                <w:rFonts w:ascii="宋体" w:hAnsi="宋体" w:cs="宋体"/>
                <w:color w:val="auto"/>
                <w:szCs w:val="21"/>
                <w:highlight w:val="none"/>
              </w:rPr>
            </w:pPr>
            <w:r>
              <w:rPr>
                <w:rFonts w:hint="eastAsia" w:ascii="宋体" w:hAnsi="宋体" w:cs="宋体"/>
                <w:color w:val="auto"/>
                <w:szCs w:val="21"/>
                <w:highlight w:val="none"/>
              </w:rPr>
              <w:t>（七）不存在评标委员会认为供应商的报价明显低于其他通过符合性审查供应商的报价，有可能影响产品质量或者不能诚信履约的且不能在评标现场合理时间内提供相关证明材料说明其报价的合理性的情形；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tcPr>
          <w:p>
            <w:pPr>
              <w:pageBreakBefore w:val="0"/>
              <w:kinsoku/>
              <w:overflowPunct/>
              <w:bidi w:val="0"/>
              <w:ind w:firstLine="210" w:firstLineChars="100"/>
              <w:outlineLvl w:val="9"/>
              <w:rPr>
                <w:rFonts w:ascii="宋体" w:hAnsi="宋体" w:cs="宋体"/>
                <w:color w:val="auto"/>
                <w:szCs w:val="21"/>
                <w:highlight w:val="none"/>
              </w:rPr>
            </w:pPr>
          </w:p>
        </w:tc>
        <w:tc>
          <w:tcPr>
            <w:tcW w:w="6525" w:type="dxa"/>
            <w:vAlign w:val="center"/>
          </w:tcPr>
          <w:p>
            <w:pPr>
              <w:pageBreakBefore w:val="0"/>
              <w:kinsoku/>
              <w:overflowPunct/>
              <w:bidi w:val="0"/>
              <w:outlineLvl w:val="9"/>
              <w:rPr>
                <w:rFonts w:ascii="宋体" w:hAnsi="宋体" w:cs="宋体"/>
                <w:color w:val="auto"/>
                <w:szCs w:val="21"/>
                <w:highlight w:val="none"/>
              </w:rPr>
            </w:pPr>
            <w:r>
              <w:rPr>
                <w:rFonts w:hint="eastAsia" w:ascii="宋体" w:hAnsi="宋体" w:cs="宋体"/>
                <w:color w:val="auto"/>
                <w:szCs w:val="21"/>
                <w:highlight w:val="none"/>
              </w:rPr>
              <w:t>（八）投标文件（报价文件）内容与投标文件（商务技术文件）内容不存在重大差异的；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1790" w:type="dxa"/>
            <w:vMerge w:val="continue"/>
          </w:tcPr>
          <w:p>
            <w:pPr>
              <w:pageBreakBefore w:val="0"/>
              <w:kinsoku/>
              <w:overflowPunct/>
              <w:bidi w:val="0"/>
              <w:ind w:firstLine="210" w:firstLineChars="100"/>
              <w:outlineLvl w:val="9"/>
              <w:rPr>
                <w:rFonts w:ascii="宋体" w:hAnsi="宋体" w:cs="宋体"/>
                <w:color w:val="auto"/>
                <w:szCs w:val="21"/>
                <w:highlight w:val="none"/>
              </w:rPr>
            </w:pPr>
          </w:p>
        </w:tc>
        <w:tc>
          <w:tcPr>
            <w:tcW w:w="6525" w:type="dxa"/>
            <w:vAlign w:val="center"/>
          </w:tcPr>
          <w:p>
            <w:pPr>
              <w:pageBreakBefore w:val="0"/>
              <w:kinsoku/>
              <w:overflowPunct/>
              <w:bidi w:val="0"/>
              <w:outlineLvl w:val="9"/>
              <w:rPr>
                <w:rFonts w:ascii="宋体" w:hAnsi="宋体" w:cs="宋体"/>
                <w:color w:val="auto"/>
                <w:szCs w:val="21"/>
                <w:highlight w:val="none"/>
              </w:rPr>
            </w:pPr>
            <w:r>
              <w:rPr>
                <w:rFonts w:hint="eastAsia" w:ascii="宋体" w:hAnsi="宋体" w:cs="宋体"/>
                <w:color w:val="auto"/>
                <w:szCs w:val="21"/>
                <w:highlight w:val="none"/>
              </w:rPr>
              <w:t>（九）不存在法律、法规和招标文件规定的其他无效情形；</w:t>
            </w:r>
          </w:p>
        </w:tc>
      </w:tr>
    </w:tbl>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outlineLvl w:val="9"/>
        <w:rPr>
          <w:rFonts w:ascii="宋体" w:hAnsi="宋体" w:cs="宋体"/>
          <w:b/>
          <w:color w:val="auto"/>
          <w:kern w:val="0"/>
          <w:szCs w:val="20"/>
          <w:highlight w:val="none"/>
        </w:rPr>
      </w:pPr>
      <w:r>
        <w:rPr>
          <w:rFonts w:hint="eastAsia" w:ascii="宋体" w:hAnsi="宋体" w:cs="宋体"/>
          <w:b/>
          <w:color w:val="auto"/>
          <w:kern w:val="0"/>
          <w:szCs w:val="20"/>
          <w:highlight w:val="none"/>
        </w:rPr>
        <w:t>（三）投标无效的情形</w:t>
      </w:r>
      <w:bookmarkEnd w:id="37"/>
      <w:bookmarkEnd w:id="38"/>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ascii="宋体" w:hAnsi="宋体" w:cs="宋体"/>
          <w:color w:val="auto"/>
          <w:kern w:val="0"/>
          <w:szCs w:val="21"/>
          <w:highlight w:val="none"/>
        </w:rPr>
      </w:pPr>
      <w:r>
        <w:rPr>
          <w:rFonts w:hint="eastAsia" w:ascii="宋体" w:hAnsi="宋体" w:cs="宋体"/>
          <w:color w:val="auto"/>
          <w:kern w:val="0"/>
          <w:szCs w:val="21"/>
          <w:highlight w:val="none"/>
        </w:rPr>
        <w:t>没有响应招标文件实质性要求的投标将被视为无效投标。供应商不得通过修正或</w:t>
      </w:r>
      <w:r>
        <w:rPr>
          <w:rFonts w:hint="eastAsia" w:ascii="宋体" w:hAnsi="宋体" w:cs="宋体"/>
          <w:color w:val="auto"/>
          <w:kern w:val="0"/>
          <w:szCs w:val="21"/>
          <w:highlight w:val="none"/>
          <w:lang w:eastAsia="zh-CN"/>
        </w:rPr>
        <w:t>撤销</w:t>
      </w:r>
      <w:r>
        <w:rPr>
          <w:rFonts w:hint="eastAsia" w:ascii="宋体" w:hAnsi="宋体" w:cs="宋体"/>
          <w:color w:val="auto"/>
          <w:kern w:val="0"/>
          <w:szCs w:val="21"/>
          <w:highlight w:val="none"/>
        </w:rPr>
        <w:t>不合要求的偏离或保留从而使其投标成为实质上响应的投标，但经评标委员会认定属于供应商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供应商修改、补正投标文件后，不影响评标委员会对其投标文件所作的评价和评分结果。</w:t>
      </w:r>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outlineLvl w:val="9"/>
        <w:rPr>
          <w:rFonts w:ascii="宋体" w:hAnsi="宋体" w:cs="宋体"/>
          <w:b/>
          <w:bCs/>
          <w:color w:val="auto"/>
          <w:kern w:val="0"/>
          <w:szCs w:val="21"/>
          <w:highlight w:val="none"/>
        </w:rPr>
      </w:pPr>
      <w:r>
        <w:rPr>
          <w:rFonts w:hint="eastAsia" w:ascii="宋体" w:hAnsi="宋体" w:cs="宋体"/>
          <w:b/>
          <w:bCs/>
          <w:color w:val="auto"/>
          <w:kern w:val="0"/>
          <w:szCs w:val="21"/>
          <w:highlight w:val="none"/>
        </w:rPr>
        <w:t>★上传投标文件同一网卡地址、同一IP地址的为无效标。</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ascii="宋体" w:hAnsi="宋体" w:cs="宋体"/>
          <w:b/>
          <w:bCs/>
          <w:color w:val="auto"/>
          <w:kern w:val="0"/>
          <w:szCs w:val="21"/>
          <w:highlight w:val="none"/>
        </w:rPr>
      </w:pPr>
      <w:r>
        <w:rPr>
          <w:rFonts w:hint="eastAsia" w:ascii="宋体" w:hAnsi="宋体" w:cs="宋体"/>
          <w:b/>
          <w:bCs/>
          <w:color w:val="auto"/>
          <w:kern w:val="0"/>
          <w:szCs w:val="21"/>
          <w:highlight w:val="none"/>
        </w:rPr>
        <w:t>A、在资格审查时，如发现下列情形之一的，将被视为无效投标文件：</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ascii="宋体" w:hAnsi="宋体" w:cs="宋体"/>
          <w:color w:val="auto"/>
          <w:kern w:val="0"/>
          <w:szCs w:val="21"/>
          <w:highlight w:val="none"/>
        </w:rPr>
      </w:pPr>
      <w:r>
        <w:rPr>
          <w:rFonts w:hint="eastAsia" w:ascii="宋体" w:hAnsi="宋体" w:cs="宋体"/>
          <w:color w:val="auto"/>
          <w:kern w:val="0"/>
          <w:szCs w:val="21"/>
          <w:highlight w:val="none"/>
        </w:rPr>
        <w:t>1、资格证明文件不全的或者不符合招标文件标明的资格要求的；</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ascii="宋体" w:hAnsi="宋体" w:cs="宋体"/>
          <w:color w:val="auto"/>
          <w:kern w:val="0"/>
          <w:szCs w:val="21"/>
          <w:highlight w:val="none"/>
        </w:rPr>
      </w:pPr>
      <w:r>
        <w:rPr>
          <w:rFonts w:hint="eastAsia" w:ascii="宋体" w:hAnsi="宋体" w:cs="宋体"/>
          <w:color w:val="auto"/>
          <w:kern w:val="0"/>
          <w:szCs w:val="21"/>
          <w:highlight w:val="none"/>
        </w:rPr>
        <w:t>2、供应商资格声明函无法定代表人或授权代表签名或盖章；</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ascii="宋体" w:hAnsi="宋体" w:cs="宋体"/>
          <w:b/>
          <w:bCs/>
          <w:color w:val="auto"/>
          <w:kern w:val="0"/>
          <w:szCs w:val="21"/>
          <w:highlight w:val="none"/>
        </w:rPr>
      </w:pPr>
      <w:r>
        <w:rPr>
          <w:rFonts w:hint="eastAsia" w:ascii="宋体" w:hAnsi="宋体" w:cs="宋体"/>
          <w:b/>
          <w:bCs/>
          <w:color w:val="auto"/>
          <w:kern w:val="0"/>
          <w:szCs w:val="21"/>
          <w:highlight w:val="none"/>
        </w:rPr>
        <w:t>B、在符合性审查（商务技术文件）时，如发现下列情形之一的，将被视为无效投标文件：</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ascii="宋体" w:hAnsi="宋体" w:cs="宋体"/>
          <w:color w:val="auto"/>
          <w:kern w:val="0"/>
          <w:szCs w:val="21"/>
          <w:highlight w:val="none"/>
        </w:rPr>
      </w:pPr>
      <w:r>
        <w:rPr>
          <w:rFonts w:hint="eastAsia" w:ascii="宋体" w:hAnsi="宋体" w:cs="宋体"/>
          <w:color w:val="auto"/>
          <w:kern w:val="0"/>
          <w:szCs w:val="21"/>
          <w:highlight w:val="none"/>
        </w:rPr>
        <w:t>1、未</w:t>
      </w:r>
      <w:r>
        <w:rPr>
          <w:rFonts w:hint="eastAsia" w:ascii="宋体" w:hAnsi="宋体" w:cs="宋体"/>
          <w:color w:val="auto"/>
          <w:kern w:val="0"/>
          <w:szCs w:val="20"/>
          <w:highlight w:val="none"/>
        </w:rPr>
        <w:t>提交投标函或投标函内容不符合招标文件要求；</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ascii="宋体" w:hAnsi="宋体" w:cs="宋体"/>
          <w:color w:val="auto"/>
          <w:kern w:val="0"/>
          <w:szCs w:val="21"/>
          <w:highlight w:val="none"/>
        </w:rPr>
      </w:pPr>
      <w:r>
        <w:rPr>
          <w:rFonts w:hint="eastAsia" w:ascii="宋体" w:hAnsi="宋体" w:cs="宋体"/>
          <w:color w:val="auto"/>
          <w:kern w:val="0"/>
          <w:szCs w:val="21"/>
          <w:highlight w:val="none"/>
        </w:rPr>
        <w:t>2、未按照招标文件规定要求签署或盖章；</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ascii="宋体" w:hAnsi="宋体" w:cs="宋体"/>
          <w:color w:val="auto"/>
          <w:kern w:val="0"/>
          <w:szCs w:val="21"/>
          <w:highlight w:val="none"/>
        </w:rPr>
      </w:pPr>
      <w:r>
        <w:rPr>
          <w:rFonts w:hint="eastAsia" w:ascii="宋体" w:hAnsi="宋体" w:cs="宋体"/>
          <w:color w:val="auto"/>
          <w:kern w:val="0"/>
          <w:szCs w:val="21"/>
          <w:highlight w:val="none"/>
        </w:rPr>
        <w:t xml:space="preserve">3、投标文件无法定代表人签署本人姓名（或印盖本人姓名章），或签署人未提供有效的法定代表人授权委托书或授权委托书填写项目不齐全的；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ascii="宋体" w:hAnsi="宋体" w:cs="宋体"/>
          <w:color w:val="auto"/>
          <w:kern w:val="0"/>
          <w:szCs w:val="21"/>
          <w:highlight w:val="none"/>
        </w:rPr>
      </w:pPr>
      <w:r>
        <w:rPr>
          <w:rFonts w:hint="eastAsia" w:ascii="宋体" w:hAnsi="宋体" w:cs="宋体"/>
          <w:color w:val="auto"/>
          <w:kern w:val="0"/>
          <w:szCs w:val="21"/>
          <w:highlight w:val="none"/>
        </w:rPr>
        <w:t>4、投标文件项目不齐全；</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ascii="宋体" w:hAnsi="宋体" w:cs="宋体"/>
          <w:color w:val="auto"/>
          <w:kern w:val="0"/>
          <w:szCs w:val="21"/>
          <w:highlight w:val="none"/>
        </w:rPr>
      </w:pPr>
      <w:r>
        <w:rPr>
          <w:rFonts w:hint="eastAsia" w:ascii="宋体" w:hAnsi="宋体" w:cs="宋体"/>
          <w:color w:val="auto"/>
          <w:kern w:val="0"/>
          <w:szCs w:val="21"/>
          <w:highlight w:val="none"/>
        </w:rPr>
        <w:t>5、投标文件标明的响应或偏离与事实不符或虚假投标的；</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ascii="宋体" w:hAnsi="宋体" w:cs="宋体"/>
          <w:color w:val="auto"/>
          <w:kern w:val="0"/>
          <w:szCs w:val="21"/>
          <w:highlight w:val="none"/>
        </w:rPr>
      </w:pPr>
      <w:r>
        <w:rPr>
          <w:rFonts w:hint="eastAsia" w:ascii="宋体" w:hAnsi="宋体" w:cs="宋体"/>
          <w:color w:val="auto"/>
          <w:kern w:val="0"/>
          <w:szCs w:val="21"/>
          <w:highlight w:val="none"/>
        </w:rPr>
        <w:t>6、投标文件的实质性内容未使用中文表述、意思表述不明确、前后矛盾或者使用计量单位不符合招标文件要求的（经评标委员会认定并允许其当场更正的笔误除外）；</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ascii="宋体" w:hAnsi="宋体" w:cs="宋体"/>
          <w:color w:val="auto"/>
          <w:kern w:val="0"/>
          <w:szCs w:val="21"/>
          <w:highlight w:val="none"/>
        </w:rPr>
      </w:pPr>
      <w:r>
        <w:rPr>
          <w:rFonts w:hint="eastAsia" w:ascii="宋体" w:hAnsi="宋体" w:cs="宋体"/>
          <w:color w:val="auto"/>
          <w:kern w:val="0"/>
          <w:szCs w:val="21"/>
          <w:highlight w:val="none"/>
        </w:rPr>
        <w:t>7、带“★”的条款不能满足招标文件要求、未实质性响应招标文件要求或者投标文件有采购人不能接受的附加条件的；</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ascii="宋体" w:hAnsi="宋体" w:cs="宋体"/>
          <w:color w:val="auto"/>
          <w:kern w:val="0"/>
          <w:szCs w:val="21"/>
          <w:highlight w:val="none"/>
        </w:rPr>
      </w:pPr>
      <w:r>
        <w:rPr>
          <w:rFonts w:hint="eastAsia" w:ascii="宋体" w:hAnsi="宋体" w:cs="宋体"/>
          <w:color w:val="auto"/>
          <w:kern w:val="0"/>
          <w:szCs w:val="21"/>
          <w:highlight w:val="none"/>
        </w:rPr>
        <w:t>8、投标技术方案不明确，存在一个或一个以上备选（替代）投标方案的；</w:t>
      </w:r>
    </w:p>
    <w:p>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outlineLvl w:val="9"/>
        <w:rPr>
          <w:rFonts w:ascii="宋体" w:hAnsi="宋体" w:cs="宋体"/>
          <w:color w:val="auto"/>
          <w:kern w:val="1"/>
          <w:szCs w:val="21"/>
          <w:highlight w:val="none"/>
        </w:rPr>
      </w:pPr>
      <w:r>
        <w:rPr>
          <w:rFonts w:hint="eastAsia" w:ascii="宋体" w:hAnsi="宋体" w:cs="宋体"/>
          <w:color w:val="auto"/>
          <w:kern w:val="1"/>
          <w:szCs w:val="21"/>
          <w:highlight w:val="none"/>
        </w:rPr>
        <w:t>9、法律、法规和招标文件规定的其他无效情形；</w:t>
      </w:r>
    </w:p>
    <w:p>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outlineLvl w:val="9"/>
        <w:rPr>
          <w:rFonts w:ascii="宋体" w:hAnsi="宋体" w:cs="宋体"/>
          <w:color w:val="auto"/>
          <w:kern w:val="1"/>
          <w:szCs w:val="21"/>
          <w:highlight w:val="none"/>
        </w:rPr>
      </w:pPr>
      <w:r>
        <w:rPr>
          <w:rFonts w:hint="eastAsia" w:ascii="宋体" w:hAnsi="宋体" w:cs="宋体"/>
          <w:color w:val="auto"/>
          <w:kern w:val="1"/>
          <w:szCs w:val="21"/>
          <w:highlight w:val="none"/>
        </w:rPr>
        <w:t>10、投标文件的有效期不满足招标文件要求。</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ascii="宋体" w:hAnsi="宋体" w:cs="宋体"/>
          <w:b/>
          <w:bCs/>
          <w:color w:val="auto"/>
          <w:kern w:val="0"/>
          <w:szCs w:val="21"/>
          <w:highlight w:val="none"/>
        </w:rPr>
      </w:pPr>
      <w:r>
        <w:rPr>
          <w:rFonts w:hint="eastAsia" w:ascii="宋体" w:hAnsi="宋体" w:cs="宋体"/>
          <w:b/>
          <w:bCs/>
          <w:color w:val="auto"/>
          <w:kern w:val="0"/>
          <w:szCs w:val="21"/>
          <w:highlight w:val="none"/>
        </w:rPr>
        <w:t>C、在符合性审查（报价文件）时，如发现下列情形之一的，将被视为无效投标文件：</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ascii="宋体" w:hAnsi="宋体" w:cs="宋体"/>
          <w:color w:val="auto"/>
          <w:kern w:val="0"/>
          <w:szCs w:val="21"/>
          <w:highlight w:val="none"/>
        </w:rPr>
      </w:pPr>
      <w:r>
        <w:rPr>
          <w:rFonts w:hint="eastAsia" w:ascii="宋体" w:hAnsi="宋体" w:cs="宋体"/>
          <w:color w:val="auto"/>
          <w:kern w:val="0"/>
          <w:szCs w:val="21"/>
          <w:highlight w:val="none"/>
        </w:rPr>
        <w:t>1、未按照招标文件规定要求签署或盖章；</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ascii="宋体" w:hAnsi="宋体" w:cs="宋体"/>
          <w:color w:val="auto"/>
          <w:kern w:val="0"/>
          <w:szCs w:val="20"/>
          <w:highlight w:val="none"/>
        </w:rPr>
      </w:pPr>
      <w:r>
        <w:rPr>
          <w:rFonts w:hint="eastAsia" w:ascii="宋体" w:hAnsi="宋体" w:cs="宋体"/>
          <w:color w:val="auto"/>
          <w:kern w:val="0"/>
          <w:szCs w:val="21"/>
          <w:highlight w:val="none"/>
        </w:rPr>
        <w:t>2、投标文件项目不齐全；</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ascii="宋体" w:hAnsi="宋体" w:cs="宋体"/>
          <w:color w:val="auto"/>
          <w:kern w:val="0"/>
          <w:szCs w:val="21"/>
          <w:highlight w:val="none"/>
        </w:rPr>
      </w:pPr>
      <w:r>
        <w:rPr>
          <w:rFonts w:hint="eastAsia" w:ascii="宋体" w:hAnsi="宋体" w:cs="宋体"/>
          <w:color w:val="auto"/>
          <w:kern w:val="0"/>
          <w:szCs w:val="21"/>
          <w:highlight w:val="none"/>
        </w:rPr>
        <w:t>3、未采用人民币报价或者未按照招标文件标明的币种报价的；</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ascii="宋体" w:hAnsi="宋体" w:cs="宋体"/>
          <w:color w:val="auto"/>
          <w:kern w:val="0"/>
          <w:szCs w:val="21"/>
          <w:highlight w:val="none"/>
        </w:rPr>
      </w:pPr>
      <w:r>
        <w:rPr>
          <w:rFonts w:hint="eastAsia" w:ascii="宋体" w:hAnsi="宋体" w:cs="宋体"/>
          <w:color w:val="auto"/>
          <w:kern w:val="0"/>
          <w:szCs w:val="21"/>
          <w:highlight w:val="none"/>
        </w:rPr>
        <w:t>4、报价超出最高限价，或者超出采购预算金额，采购人不能支付的；</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ascii="宋体" w:hAnsi="宋体" w:cs="宋体"/>
          <w:color w:val="auto"/>
          <w:kern w:val="0"/>
          <w:szCs w:val="21"/>
          <w:highlight w:val="none"/>
        </w:rPr>
      </w:pPr>
      <w:r>
        <w:rPr>
          <w:rFonts w:hint="eastAsia" w:ascii="宋体" w:hAnsi="宋体" w:cs="宋体"/>
          <w:color w:val="auto"/>
          <w:kern w:val="0"/>
          <w:szCs w:val="21"/>
          <w:highlight w:val="none"/>
        </w:rPr>
        <w:t>5、投标报价具有选择性的；</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ascii="宋体" w:hAnsi="宋体" w:cs="宋体"/>
          <w:color w:val="auto"/>
          <w:kern w:val="0"/>
          <w:szCs w:val="21"/>
          <w:highlight w:val="none"/>
        </w:rPr>
      </w:pPr>
      <w:r>
        <w:rPr>
          <w:rFonts w:hint="eastAsia" w:ascii="宋体" w:hAnsi="宋体" w:cs="宋体"/>
          <w:color w:val="auto"/>
          <w:kern w:val="0"/>
          <w:szCs w:val="21"/>
          <w:highlight w:val="none"/>
        </w:rPr>
        <w:t>6、投标报价中出现重大缺项、漏项；</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ascii="宋体" w:hAnsi="宋体" w:cs="宋体"/>
          <w:color w:val="auto"/>
          <w:kern w:val="0"/>
          <w:szCs w:val="21"/>
          <w:highlight w:val="none"/>
        </w:rPr>
      </w:pPr>
      <w:r>
        <w:rPr>
          <w:rFonts w:hint="eastAsia" w:ascii="宋体" w:hAnsi="宋体" w:cs="宋体"/>
          <w:color w:val="auto"/>
          <w:kern w:val="0"/>
          <w:szCs w:val="21"/>
          <w:highlight w:val="none"/>
        </w:rPr>
        <w:t>7、评标委员会认为供应商的报价明显低于其他通过符合性审查供应商的报价，有可能影响产品质量或者不能诚信履约的，且不能在评标现场合理时间内提供相关证明材料说明其报价的合理性的；</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ascii="宋体" w:hAnsi="宋体" w:cs="宋体"/>
          <w:color w:val="auto"/>
          <w:kern w:val="0"/>
          <w:szCs w:val="21"/>
          <w:highlight w:val="none"/>
        </w:rPr>
      </w:pPr>
      <w:r>
        <w:rPr>
          <w:rFonts w:hint="eastAsia" w:ascii="宋体" w:hAnsi="宋体" w:cs="宋体"/>
          <w:color w:val="auto"/>
          <w:kern w:val="0"/>
          <w:szCs w:val="21"/>
          <w:highlight w:val="none"/>
        </w:rPr>
        <w:t>8、投标文件（报价文件）内容与投标文件（商务技术文件）内容有重大差异的；</w:t>
      </w:r>
    </w:p>
    <w:p>
      <w:pPr>
        <w:keepNext w:val="0"/>
        <w:keepLines w:val="0"/>
        <w:pageBreakBefore w:val="0"/>
        <w:tabs>
          <w:tab w:val="left" w:pos="0"/>
          <w:tab w:val="left" w:pos="723"/>
        </w:tabs>
        <w:kinsoku/>
        <w:wordWrap/>
        <w:overflowPunct/>
        <w:topLinePunct w:val="0"/>
        <w:autoSpaceDE/>
        <w:autoSpaceDN/>
        <w:bidi w:val="0"/>
        <w:adjustRightInd/>
        <w:snapToGrid/>
        <w:spacing w:line="360" w:lineRule="auto"/>
        <w:ind w:firstLine="420" w:firstLineChars="200"/>
        <w:textAlignment w:val="auto"/>
        <w:outlineLvl w:val="9"/>
        <w:rPr>
          <w:rFonts w:ascii="宋体" w:hAnsi="宋体" w:cs="宋体"/>
          <w:color w:val="auto"/>
          <w:kern w:val="1"/>
          <w:szCs w:val="21"/>
          <w:highlight w:val="none"/>
        </w:rPr>
      </w:pPr>
      <w:r>
        <w:rPr>
          <w:rFonts w:hint="eastAsia" w:ascii="宋体" w:hAnsi="宋体" w:cs="宋体"/>
          <w:color w:val="auto"/>
          <w:kern w:val="0"/>
          <w:szCs w:val="21"/>
          <w:highlight w:val="none"/>
        </w:rPr>
        <w:t>9、法律、法规和招标文件规定的其他无效情形</w:t>
      </w:r>
      <w:r>
        <w:rPr>
          <w:rFonts w:hint="eastAsia" w:ascii="宋体" w:hAnsi="宋体" w:cs="宋体"/>
          <w:color w:val="auto"/>
          <w:kern w:val="1"/>
          <w:szCs w:val="21"/>
          <w:highlight w:val="none"/>
        </w:rPr>
        <w:t>。</w:t>
      </w:r>
    </w:p>
    <w:p>
      <w:pPr>
        <w:pageBreakBefore w:val="0"/>
        <w:kinsoku/>
        <w:overflowPunct/>
        <w:bidi w:val="0"/>
        <w:outlineLvl w:val="9"/>
        <w:rPr>
          <w:rFonts w:ascii="宋体" w:hAnsi="宋体" w:cs="宋体"/>
          <w:color w:val="auto"/>
          <w:kern w:val="1"/>
          <w:szCs w:val="21"/>
          <w:highlight w:val="none"/>
        </w:rPr>
      </w:pPr>
    </w:p>
    <w:p>
      <w:pPr>
        <w:pageBreakBefore w:val="0"/>
        <w:kinsoku/>
        <w:overflowPunct/>
        <w:bidi w:val="0"/>
        <w:outlineLvl w:val="9"/>
        <w:rPr>
          <w:rFonts w:ascii="宋体" w:hAnsi="宋体" w:cs="宋体"/>
          <w:color w:val="auto"/>
          <w:kern w:val="1"/>
          <w:szCs w:val="21"/>
          <w:highlight w:val="none"/>
        </w:rPr>
      </w:pPr>
    </w:p>
    <w:p>
      <w:pPr>
        <w:pageBreakBefore w:val="0"/>
        <w:kinsoku/>
        <w:overflowPunct/>
        <w:bidi w:val="0"/>
        <w:outlineLvl w:val="9"/>
        <w:rPr>
          <w:rFonts w:ascii="宋体" w:hAnsi="宋体" w:cs="宋体"/>
          <w:color w:val="auto"/>
          <w:kern w:val="1"/>
          <w:szCs w:val="21"/>
          <w:highlight w:val="none"/>
        </w:rPr>
      </w:pPr>
      <w:r>
        <w:rPr>
          <w:rFonts w:hint="eastAsia" w:ascii="宋体" w:hAnsi="宋体" w:cs="宋体"/>
          <w:color w:val="auto"/>
          <w:kern w:val="1"/>
          <w:szCs w:val="21"/>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cs="宋体"/>
          <w:b/>
          <w:color w:val="auto"/>
          <w:szCs w:val="21"/>
          <w:highlight w:val="none"/>
        </w:rPr>
      </w:pPr>
      <w:r>
        <w:rPr>
          <w:rFonts w:hint="eastAsia" w:ascii="宋体" w:hAnsi="宋体" w:cs="宋体"/>
          <w:b/>
          <w:color w:val="auto"/>
          <w:szCs w:val="21"/>
          <w:highlight w:val="none"/>
        </w:rPr>
        <w:t>（四）评分标准（兼评委打分表）</w:t>
      </w:r>
    </w:p>
    <w:p>
      <w:pPr>
        <w:rPr>
          <w:rFonts w:hint="eastAsia" w:ascii="宋体" w:hAnsi="宋体" w:cs="宋体"/>
          <w:b/>
          <w:bCs/>
          <w:color w:val="auto"/>
          <w:sz w:val="28"/>
          <w:szCs w:val="36"/>
          <w:highlight w:val="none"/>
          <w:lang w:val="en-US" w:eastAsia="zh-CN"/>
        </w:rPr>
      </w:pPr>
      <w:r>
        <w:rPr>
          <w:rFonts w:hint="eastAsia" w:ascii="宋体" w:hAnsi="宋体" w:cs="宋体"/>
          <w:b/>
          <w:bCs/>
          <w:color w:val="auto"/>
          <w:sz w:val="28"/>
          <w:szCs w:val="36"/>
          <w:highlight w:val="none"/>
          <w:lang w:val="en-US" w:eastAsia="zh-CN"/>
        </w:rPr>
        <w:t>标项一：</w:t>
      </w:r>
    </w:p>
    <w:tbl>
      <w:tblPr>
        <w:tblStyle w:val="35"/>
        <w:tblW w:w="94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7"/>
        <w:gridCol w:w="1118"/>
        <w:gridCol w:w="6113"/>
        <w:gridCol w:w="733"/>
        <w:gridCol w:w="7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48"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评分内容</w:t>
            </w:r>
          </w:p>
        </w:tc>
        <w:tc>
          <w:tcPr>
            <w:tcW w:w="733"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分值</w:t>
            </w:r>
          </w:p>
        </w:tc>
        <w:tc>
          <w:tcPr>
            <w:tcW w:w="74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7"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技术商务分</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90分</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1、技术响应（10分）</w:t>
            </w:r>
          </w:p>
        </w:tc>
        <w:tc>
          <w:tcPr>
            <w:tcW w:w="61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根据供应商提供的服务（技术）响应情况进行评审：完全符合采购文件“第二章 采购需求 二、技术要求 ”所有指标的得10分；若存在负偏离的，每负偏离一条扣2分。</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注：当有供应商此项分值扣减至0分时，该供应商投标将被拒绝，其投标文件作无效标处理，不再进行评审。</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p>
        </w:tc>
        <w:tc>
          <w:tcPr>
            <w:tcW w:w="74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客观评审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p>
        </w:tc>
        <w:tc>
          <w:tcPr>
            <w:tcW w:w="11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2、项目理解情况（12分）</w:t>
            </w:r>
          </w:p>
        </w:tc>
        <w:tc>
          <w:tcPr>
            <w:tcW w:w="6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（1）根据供应商对项目建设总体理解情况：</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建设目标分析是否明确、是否完善，需求理解是否充分、是否精准，设计思路是否全面、是否合理的情况进行评议。内容欠合理的每项扣0.5分，内容不合理的每项扣1分，无相关内容的不得分，扣完为止，本项最高得4分。</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p>
        </w:tc>
        <w:tc>
          <w:tcPr>
            <w:tcW w:w="74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 w:val="21"/>
                <w:szCs w:val="21"/>
                <w:highlight w:val="none"/>
              </w:rPr>
            </w:pPr>
          </w:p>
        </w:tc>
        <w:tc>
          <w:tcPr>
            <w:tcW w:w="6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（2）根据供应商是否熟悉项目现有情况：</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系统架构理解是否清晰、是否全面，项目系统兼容是否考虑周全，数据对接能力是否专业的情况进行评议。内容欠合理的每项扣0.5分，内容不合理的每项扣1分，无相关内容的不得分，扣完为止，本项最高得4分。</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p>
        </w:tc>
        <w:tc>
          <w:tcPr>
            <w:tcW w:w="74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 w:val="21"/>
                <w:szCs w:val="21"/>
                <w:highlight w:val="none"/>
              </w:rPr>
            </w:pPr>
          </w:p>
        </w:tc>
        <w:tc>
          <w:tcPr>
            <w:tcW w:w="6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（3）重难点分析及处理:</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供应商针对本项目的难点要点分析是否符合项目特征、分析是否全面以及相应的解决措施是否详细、是否符合项目要求的情况进行评议。内容欠合理的每项扣0.5分，内容不合理的每项扣1分，无相应内容的不得分，扣完为止，本项最高得4分。</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p>
        </w:tc>
        <w:tc>
          <w:tcPr>
            <w:tcW w:w="74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p>
        </w:tc>
        <w:tc>
          <w:tcPr>
            <w:tcW w:w="11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3、实施方案（20分）</w:t>
            </w:r>
          </w:p>
        </w:tc>
        <w:tc>
          <w:tcPr>
            <w:tcW w:w="6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根据供应商提供的系统架构设计是否符合项目需求、系统分解逻辑是否合理、技术选型分析是否全面、性能是否高效、安全性是否具有保障的情况进行评议。内容欠合理的每项扣0.5分，内容不合理的每项扣1分，无相关内容的不得分，扣完为止，本项最高得5分。</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p>
        </w:tc>
        <w:tc>
          <w:tcPr>
            <w:tcW w:w="74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 w:val="21"/>
                <w:szCs w:val="21"/>
                <w:highlight w:val="none"/>
              </w:rPr>
            </w:pPr>
          </w:p>
        </w:tc>
        <w:tc>
          <w:tcPr>
            <w:tcW w:w="6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根据供应商提供的技术方案是否具有针对性、是否具有可实施性，技术思路是否严谨、关键技术是否专业、详细功能设计及功能模块设置是否合理的情况进行评议。内容欠合理的每项扣0.5分，内容不合理的每项扣1分，无相关内容的不得分，扣完为止，本项最高得5分。</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p>
        </w:tc>
        <w:tc>
          <w:tcPr>
            <w:tcW w:w="74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 w:val="21"/>
                <w:szCs w:val="21"/>
                <w:highlight w:val="none"/>
              </w:rPr>
            </w:pPr>
          </w:p>
        </w:tc>
        <w:tc>
          <w:tcPr>
            <w:tcW w:w="6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根据供应商提供的项目实施方案、管理方案、研发方案、质量保证措施是否详尽、是否合理全面的情况进行评议。内容欠合理的每项扣0.5分，内容不合理的每项扣1分，无相关内容的不得分，扣完为止，本项最高得5分。</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p>
        </w:tc>
        <w:tc>
          <w:tcPr>
            <w:tcW w:w="74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 w:val="21"/>
                <w:szCs w:val="21"/>
                <w:highlight w:val="none"/>
              </w:rPr>
            </w:pPr>
          </w:p>
        </w:tc>
        <w:tc>
          <w:tcPr>
            <w:tcW w:w="6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根据供应商提供的工期安排、工期安排保证措施、施工进度计划安排是否详尽、是否合理全面的情况进行评议。内容欠合理的每项扣0.5分，内容不合理的每项扣1分，无相关内容的不得分，扣完为止，本项最高得5分。</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p>
        </w:tc>
        <w:tc>
          <w:tcPr>
            <w:tcW w:w="74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p>
        </w:tc>
        <w:tc>
          <w:tcPr>
            <w:tcW w:w="1118" w:type="dxa"/>
            <w:vMerge w:val="restart"/>
            <w:tcBorders>
              <w:top w:val="nil"/>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4、系统对接方案（9分）</w:t>
            </w:r>
          </w:p>
        </w:tc>
        <w:tc>
          <w:tcPr>
            <w:tcW w:w="6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供应商需充分调研、理解并阐述宁波旅游智能票务系统中可用的数据目录、字段标准、对接标准、对接方式，形成对接方案。根据对接方案内容是否详尽、是否合理全面的情况进行评议。内容欠合理的每项扣0.5分，内容不合理的每项扣1分，无相关内容的不得分，扣完为止，本项最高得3分。</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p>
        </w:tc>
        <w:tc>
          <w:tcPr>
            <w:tcW w:w="74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p>
        </w:tc>
        <w:tc>
          <w:tcPr>
            <w:tcW w:w="1118" w:type="dxa"/>
            <w:vMerge w:val="continue"/>
            <w:tcBorders>
              <w:top w:val="nil"/>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 w:val="21"/>
                <w:szCs w:val="21"/>
                <w:highlight w:val="none"/>
              </w:rPr>
            </w:pPr>
          </w:p>
        </w:tc>
        <w:tc>
          <w:tcPr>
            <w:tcW w:w="6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供应商需充分调研、理解并阐述宁波文旅数据协同仓中可用的数据目录、字段标准、对接标准、对接方式，形成对接方案。根据对接方案内容是否详尽、是否合理全面的情况进行评议。内容欠合理的每项扣0.5分，内容不合理的每项扣1分，无相关内容的不得分，扣完为止，本项最高3分。</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p>
        </w:tc>
        <w:tc>
          <w:tcPr>
            <w:tcW w:w="74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p>
        </w:tc>
        <w:tc>
          <w:tcPr>
            <w:tcW w:w="1118" w:type="dxa"/>
            <w:vMerge w:val="continue"/>
            <w:tcBorders>
              <w:top w:val="nil"/>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 w:val="21"/>
                <w:szCs w:val="21"/>
                <w:highlight w:val="none"/>
              </w:rPr>
            </w:pPr>
          </w:p>
        </w:tc>
        <w:tc>
          <w:tcPr>
            <w:tcW w:w="6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供应商需充分调研、理解并阐述天一阁景区票务系统中可用的数据目录、字段标准、对接标准、对接方式，形成对接方案。根据对接方案内容是否详尽、是否合理全面的情况进行评议。内容欠合理的每项扣0.5分，内容不合理的每项扣1分，无相关内容的不得分，扣完为止，本项最高得3分。</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p>
        </w:tc>
        <w:tc>
          <w:tcPr>
            <w:tcW w:w="74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p>
        </w:tc>
        <w:tc>
          <w:tcPr>
            <w:tcW w:w="11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5、演示（16分）</w:t>
            </w:r>
          </w:p>
        </w:tc>
        <w:tc>
          <w:tcPr>
            <w:tcW w:w="6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（1）根据供应商提供的景区数字看板的演示情况符合项目需求内容、内容齐全且操作便捷的情况进行评议。</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1.实景点分布信息：展示景点的具体名称、地址、营业状态；</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2.景区客流量展示：动态显示当前游客数量，游客热力图及景区人员密度；</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3.景区全景展示：实时控制景区内的摄像机。</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内容欠合理的每项扣0.5分，内容不合理的每项扣1分，无相关内容的不得分，扣完为止，本项最高得3分。</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p>
        </w:tc>
        <w:tc>
          <w:tcPr>
            <w:tcW w:w="74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 w:val="21"/>
                <w:szCs w:val="21"/>
                <w:highlight w:val="none"/>
              </w:rPr>
            </w:pPr>
          </w:p>
        </w:tc>
        <w:tc>
          <w:tcPr>
            <w:tcW w:w="6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（2）根据供应商提供的导游导览一键通的演示情况符合项目需求内容、内容齐全且操作便捷的情况进行评议。</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1.内容推荐：实现专属旅游路线推荐；</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2.景点推荐：为游客提供精准的景点推送服务；</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3.门票服务：提供门票预订、购票等功能。</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内容欠合理的每项扣0.5分，内容不合理的每项扣1分，无相关内容的不得分，扣完为止，本项最高得2分。</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p>
        </w:tc>
        <w:tc>
          <w:tcPr>
            <w:tcW w:w="74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 w:val="21"/>
                <w:szCs w:val="21"/>
                <w:highlight w:val="none"/>
              </w:rPr>
            </w:pPr>
          </w:p>
        </w:tc>
        <w:tc>
          <w:tcPr>
            <w:tcW w:w="6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（3）根据供应商提供的初级AI客服的演示情况符合项目需求内容、内容齐全且操作便捷的情况进行评议。</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1.在线客服：使用初级AI客服代替人工客服，以解答游客的咨询；</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2.全渠道接入整合：整合APP、微信公众号、网站、H5等渠道信息；</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3.人机辅助：针对智能AI无法准确应答的问题支持转人工；</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4.意图预测：支持上下文语义分析，可处理主语或宾语或谓语缺失等情况。</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内容欠合理的每项扣0.5分，内容不合理的每项扣1分，无相关内容的不得分，扣完为止，本项最高得4分。</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p>
        </w:tc>
        <w:tc>
          <w:tcPr>
            <w:tcW w:w="74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 w:val="21"/>
                <w:szCs w:val="21"/>
                <w:highlight w:val="none"/>
              </w:rPr>
            </w:pPr>
          </w:p>
        </w:tc>
        <w:tc>
          <w:tcPr>
            <w:tcW w:w="6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（4）根据供应商提供的数字拾遗的演示情况符合项目需求内容、内容齐全且操作便捷的情况进行评议。</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1.使用3D引擎提供中国特色建筑风格和场景的游戏或应用demo。</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2.可通过VR设备进入拟真环境体验。</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3.支持视频播放过程中的各种视觉特效元素。</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4.支持视频播放中的交互操作。</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内容欠合理的每项扣0.5分，内容不合理的每项扣1分，无相关内容的不得分，扣完为止，本项最高得3分。</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p>
        </w:tc>
        <w:tc>
          <w:tcPr>
            <w:tcW w:w="74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 w:val="21"/>
                <w:szCs w:val="21"/>
                <w:highlight w:val="none"/>
              </w:rPr>
            </w:pPr>
          </w:p>
        </w:tc>
        <w:tc>
          <w:tcPr>
            <w:tcW w:w="6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（5）根据供应商提供的数字孪生和VR漫游引擎的演示情况符合项目需求内容、内容齐全且操作便捷的情况进行评议。</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1.三维引擎能力：集成地理信息数据，室内外三维模型，进行高精度模型的光影优化及实时渲染；</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2.物理材质的粒子能力：包括日夜景模拟，支持天气效果模拟，如晴、云、雨、雪等天气；</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3.实景融合：包括视频浏览，全景融合等；</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4.VR交互：支持PAD与大屏进行数字交互。</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内容欠合理的每项扣0.5分，内容不合理的每项扣1分，无相关内容的不得分，扣完为止，本项最高得4分。</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p>
        </w:tc>
        <w:tc>
          <w:tcPr>
            <w:tcW w:w="74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 w:val="21"/>
                <w:szCs w:val="21"/>
                <w:highlight w:val="none"/>
              </w:rPr>
            </w:pPr>
          </w:p>
        </w:tc>
        <w:tc>
          <w:tcPr>
            <w:tcW w:w="6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注：各供应商需将以上演示内容现场演示，演示时间不超过15分钟。供应商采用demo演示的，最高可得16分。其他形式进行演示的，最高只能得8分（单项最高只能得一半的分数）。</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p>
        </w:tc>
        <w:tc>
          <w:tcPr>
            <w:tcW w:w="74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p>
        </w:tc>
        <w:tc>
          <w:tcPr>
            <w:tcW w:w="11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、拟投入人员配备（9分）</w:t>
            </w:r>
          </w:p>
        </w:tc>
        <w:tc>
          <w:tcPr>
            <w:tcW w:w="61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（1）项目经理1人（4分）：</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供应商拟派项目经理具有信息系统项目管理师（高级）认证证书、注册信息安全专业人员（CISP）、数据库系统工程师证书，每个得2分。满分4分。</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p>
        </w:tc>
        <w:tc>
          <w:tcPr>
            <w:tcW w:w="748"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客观评审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 w:val="21"/>
                <w:szCs w:val="21"/>
                <w:highlight w:val="none"/>
              </w:rPr>
            </w:pPr>
          </w:p>
        </w:tc>
        <w:tc>
          <w:tcPr>
            <w:tcW w:w="61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（2）技术负责人1人（2分）：</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供应商拟派技术负责人具有信息系统项目管理师（高级）、网络规划设计师，每个得2分。满分2分。</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p>
        </w:tc>
        <w:tc>
          <w:tcPr>
            <w:tcW w:w="748"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 w:val="21"/>
                <w:szCs w:val="21"/>
                <w:highlight w:val="none"/>
              </w:rPr>
            </w:pPr>
          </w:p>
        </w:tc>
        <w:tc>
          <w:tcPr>
            <w:tcW w:w="61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（3）项目组其他成员（3分）：</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供应商拟派项目组成员具有软件设计师证书、中级及以上工程师、注册信息安全专业人员（CISP），每个得1分。满分3分（若1人同时具有多类证书，只能按其中一类证书计算其得分）。</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p>
        </w:tc>
        <w:tc>
          <w:tcPr>
            <w:tcW w:w="748"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 w:val="21"/>
                <w:szCs w:val="21"/>
                <w:highlight w:val="none"/>
              </w:rPr>
            </w:pPr>
          </w:p>
        </w:tc>
        <w:tc>
          <w:tcPr>
            <w:tcW w:w="61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注：投标文件中提供人员证书复印件加盖公章以及开标前3个月（其中1个月即可）社保缴纳证明材料复印件并加盖公章。材料不齐全的不得分。</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w:t>
            </w:r>
          </w:p>
        </w:tc>
        <w:tc>
          <w:tcPr>
            <w:tcW w:w="74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p>
        </w:tc>
        <w:tc>
          <w:tcPr>
            <w:tcW w:w="111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、履约能力（</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分）</w:t>
            </w:r>
          </w:p>
        </w:tc>
        <w:tc>
          <w:tcPr>
            <w:tcW w:w="6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供应商具有质量管理体系认证证书</w:t>
            </w:r>
            <w:r>
              <w:rPr>
                <w:rFonts w:hint="eastAsia" w:ascii="宋体" w:hAnsi="宋体" w:cs="宋体"/>
                <w:color w:val="auto"/>
                <w:sz w:val="21"/>
                <w:szCs w:val="21"/>
                <w:highlight w:val="none"/>
                <w:lang w:val="en-US" w:eastAsia="zh-CN"/>
              </w:rPr>
              <w:t>得1分</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注：投标文件中提供有效的证书复印件并加盖公章。未提供不得分。</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1</w:t>
            </w:r>
          </w:p>
        </w:tc>
        <w:tc>
          <w:tcPr>
            <w:tcW w:w="74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客观评审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p>
        </w:tc>
        <w:tc>
          <w:tcPr>
            <w:tcW w:w="111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 w:val="21"/>
                <w:szCs w:val="21"/>
                <w:highlight w:val="none"/>
                <w:lang w:val="en-US" w:eastAsia="zh-CN"/>
              </w:rPr>
            </w:pPr>
          </w:p>
        </w:tc>
        <w:tc>
          <w:tcPr>
            <w:tcW w:w="6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供应商具有信息技术服务管理体系认证证书</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eastAsia="zh-CN"/>
              </w:rPr>
              <w:t>得2分。</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注：投标文件中提供有效的证书复印件并加盖公章。未提供不得分。</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74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p>
        </w:tc>
        <w:tc>
          <w:tcPr>
            <w:tcW w:w="111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 w:val="21"/>
                <w:szCs w:val="21"/>
                <w:highlight w:val="none"/>
                <w:lang w:val="en-US" w:eastAsia="zh-CN"/>
              </w:rPr>
            </w:pPr>
          </w:p>
        </w:tc>
        <w:tc>
          <w:tcPr>
            <w:tcW w:w="6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供应商具有信息安全管理体系认证证书</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eastAsia="zh-CN"/>
              </w:rPr>
              <w:t>得2分。</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注：投标文件中提供有效的证书复印件并加盖公章。未提供不得分。</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74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p>
        </w:tc>
        <w:tc>
          <w:tcPr>
            <w:tcW w:w="111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 w:val="21"/>
                <w:szCs w:val="21"/>
                <w:highlight w:val="none"/>
                <w:lang w:val="en-US" w:eastAsia="zh-CN"/>
              </w:rPr>
            </w:pPr>
          </w:p>
        </w:tc>
        <w:tc>
          <w:tcPr>
            <w:tcW w:w="6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供应商具有</w:t>
            </w:r>
            <w:r>
              <w:rPr>
                <w:rFonts w:hint="eastAsia" w:ascii="宋体" w:hAnsi="宋体" w:cs="宋体"/>
                <w:color w:val="auto"/>
                <w:sz w:val="21"/>
                <w:szCs w:val="21"/>
                <w:highlight w:val="none"/>
                <w:lang w:val="en-US" w:eastAsia="zh-CN"/>
              </w:rPr>
              <w:t>信息技术服务运行维护标准符合性证书（ITSS）的</w:t>
            </w:r>
            <w:r>
              <w:rPr>
                <w:rFonts w:hint="eastAsia" w:ascii="宋体" w:hAnsi="宋体" w:eastAsia="宋体" w:cs="宋体"/>
                <w:color w:val="auto"/>
                <w:sz w:val="21"/>
                <w:szCs w:val="21"/>
                <w:highlight w:val="none"/>
                <w:lang w:val="en-US" w:eastAsia="zh-CN"/>
              </w:rPr>
              <w:t>得2分。</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注：投标文件中提供有效的证书复印件并加盖公章。未提供不得分。</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74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1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、售后服务方案（</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tc>
        <w:tc>
          <w:tcPr>
            <w:tcW w:w="6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供应商提供的售后服务方案及应急措施，从服务承诺、服务保障、服务内容、响应时间、响应方式、服务体系、满足客户要求、系统出现故障后的服务响应速度情况等进行评议。内容欠合理的每项扣0.5分，内容不合理的每项扣1分，无相关内容的不得分，扣完为止，本项最高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en-US" w:eastAsia="zh-CN"/>
              </w:rPr>
              <w:t>。</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p>
        </w:tc>
        <w:tc>
          <w:tcPr>
            <w:tcW w:w="74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1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、培训方案（</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tc>
        <w:tc>
          <w:tcPr>
            <w:tcW w:w="6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供应商的培训方案是否详尽、是否全面，培训计划安排是否合理、培训人员能力是否突出、人员专业技术是否齐全的情况进行评议。内容欠合理的每项扣0.5分，内容不合理的每项扣1分，无相应内容的不得分，扣完为止，本项最高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en-US" w:eastAsia="zh-CN"/>
              </w:rPr>
              <w:t>。</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p>
        </w:tc>
        <w:tc>
          <w:tcPr>
            <w:tcW w:w="74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1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、业绩（1分）</w:t>
            </w:r>
          </w:p>
        </w:tc>
        <w:tc>
          <w:tcPr>
            <w:tcW w:w="6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自2019年1月1日以来（以合同签订时间为准），供应商具有同类软件建设项目业绩的，每提供一个得0.5分。满分1分。</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注：投标文件中须提供合同复印件，未提供不得分。</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74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客观评审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价格分</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10分</w:t>
            </w:r>
          </w:p>
        </w:tc>
        <w:tc>
          <w:tcPr>
            <w:tcW w:w="7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yellow"/>
                <w:lang w:val="en-US" w:eastAsia="zh-CN"/>
              </w:rPr>
            </w:pPr>
            <w:r>
              <w:rPr>
                <w:rFonts w:hint="eastAsia" w:ascii="宋体" w:hAnsi="宋体" w:eastAsia="宋体" w:cs="宋体"/>
                <w:color w:val="auto"/>
                <w:sz w:val="21"/>
                <w:szCs w:val="21"/>
                <w:highlight w:val="none"/>
                <w:lang w:val="en-US" w:eastAsia="zh-CN"/>
              </w:rPr>
              <w:t>参与评审的价格=有效的投标报价</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基准价=满足采购文件要求且最低的参与评审的价格，基准价10分；</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其余供应商得分为：报价得分=（基准价/参与评审的价格）×10%×100。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p>
        </w:tc>
        <w:tc>
          <w:tcPr>
            <w:tcW w:w="74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客观评审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4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满分100 分</w:t>
            </w:r>
          </w:p>
        </w:tc>
        <w:tc>
          <w:tcPr>
            <w:tcW w:w="733"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100</w:t>
            </w:r>
          </w:p>
        </w:tc>
        <w:tc>
          <w:tcPr>
            <w:tcW w:w="748"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p>
        </w:tc>
      </w:tr>
    </w:tbl>
    <w:p>
      <w:pPr>
        <w:rPr>
          <w:rFonts w:hint="eastAsia" w:ascii="宋体" w:hAnsi="宋体" w:cs="宋体"/>
          <w:b/>
          <w:bCs/>
          <w:color w:val="auto"/>
          <w:sz w:val="28"/>
          <w:szCs w:val="36"/>
          <w:highlight w:val="none"/>
          <w:lang w:val="en-US" w:eastAsia="zh-CN"/>
        </w:rPr>
      </w:pPr>
      <w:r>
        <w:rPr>
          <w:rFonts w:hint="eastAsia" w:ascii="宋体" w:hAnsi="宋体" w:cs="宋体"/>
          <w:color w:val="auto"/>
          <w:highlight w:val="none"/>
        </w:rPr>
        <w:t>注：1、小数点后保留一位小数。2、各评标委员会成员自行按以上参考分值评分。3、重大事件由评标委员会集体讨论，应当按照少数服从多数的原则作出结论。</w:t>
      </w:r>
    </w:p>
    <w:p>
      <w:pPr>
        <w:rPr>
          <w:rFonts w:hint="eastAsia" w:ascii="宋体" w:hAnsi="宋体" w:cs="宋体"/>
          <w:b/>
          <w:bCs/>
          <w:color w:val="auto"/>
          <w:sz w:val="28"/>
          <w:szCs w:val="36"/>
          <w:highlight w:val="none"/>
          <w:lang w:val="en-US" w:eastAsia="zh-CN"/>
        </w:rPr>
      </w:pPr>
    </w:p>
    <w:p>
      <w:pPr>
        <w:rPr>
          <w:rFonts w:hint="eastAsia" w:ascii="宋体" w:hAnsi="宋体" w:cs="宋体"/>
          <w:b/>
          <w:bCs/>
          <w:color w:val="auto"/>
          <w:sz w:val="28"/>
          <w:szCs w:val="36"/>
          <w:highlight w:val="none"/>
          <w:lang w:val="en-US" w:eastAsia="zh-CN"/>
        </w:rPr>
      </w:pPr>
    </w:p>
    <w:p>
      <w:pPr>
        <w:rPr>
          <w:rFonts w:hint="eastAsia" w:ascii="宋体" w:hAnsi="宋体" w:cs="宋体"/>
          <w:b/>
          <w:bCs/>
          <w:color w:val="auto"/>
          <w:sz w:val="28"/>
          <w:szCs w:val="36"/>
          <w:highlight w:val="none"/>
          <w:lang w:val="en-US" w:eastAsia="zh-CN"/>
        </w:rPr>
      </w:pPr>
      <w:r>
        <w:rPr>
          <w:rFonts w:hint="eastAsia" w:ascii="宋体" w:hAnsi="宋体" w:cs="宋体"/>
          <w:b/>
          <w:bCs/>
          <w:color w:val="auto"/>
          <w:sz w:val="28"/>
          <w:szCs w:val="36"/>
          <w:highlight w:val="none"/>
          <w:lang w:val="en-US" w:eastAsia="zh-CN"/>
        </w:rPr>
        <w:br w:type="page"/>
      </w:r>
    </w:p>
    <w:p>
      <w:pPr>
        <w:rPr>
          <w:rFonts w:hint="eastAsia" w:ascii="宋体" w:hAnsi="宋体" w:cs="宋体"/>
          <w:b/>
          <w:bCs/>
          <w:color w:val="auto"/>
          <w:sz w:val="28"/>
          <w:szCs w:val="36"/>
          <w:highlight w:val="none"/>
          <w:lang w:val="en-US" w:eastAsia="zh-CN"/>
        </w:rPr>
      </w:pPr>
      <w:r>
        <w:rPr>
          <w:rFonts w:hint="eastAsia" w:ascii="宋体" w:hAnsi="宋体" w:cs="宋体"/>
          <w:b/>
          <w:bCs/>
          <w:color w:val="auto"/>
          <w:sz w:val="28"/>
          <w:szCs w:val="36"/>
          <w:highlight w:val="none"/>
          <w:lang w:val="en-US" w:eastAsia="zh-CN"/>
        </w:rPr>
        <w:t>标项二：</w:t>
      </w:r>
    </w:p>
    <w:tbl>
      <w:tblPr>
        <w:tblStyle w:val="35"/>
        <w:tblW w:w="90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8"/>
        <w:gridCol w:w="1095"/>
        <w:gridCol w:w="5895"/>
        <w:gridCol w:w="720"/>
        <w:gridCol w:w="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678" w:type="dxa"/>
            <w:gridSpan w:val="3"/>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b/>
                <w:bCs/>
                <w:color w:val="auto"/>
                <w:highlight w:val="none"/>
              </w:rPr>
            </w:pPr>
            <w:r>
              <w:rPr>
                <w:rFonts w:hint="eastAsia" w:ascii="宋体" w:hAnsi="宋体" w:cs="宋体"/>
                <w:b/>
                <w:bCs/>
                <w:color w:val="auto"/>
                <w:highlight w:val="none"/>
                <w:lang w:val="en-US" w:eastAsia="zh-CN"/>
              </w:rPr>
              <w:t>评分内容</w:t>
            </w:r>
          </w:p>
        </w:tc>
        <w:tc>
          <w:tcPr>
            <w:tcW w:w="72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b/>
                <w:bCs/>
                <w:color w:val="auto"/>
                <w:highlight w:val="none"/>
              </w:rPr>
            </w:pPr>
            <w:r>
              <w:rPr>
                <w:rFonts w:hint="eastAsia" w:ascii="宋体" w:hAnsi="宋体" w:cs="宋体"/>
                <w:b/>
                <w:bCs/>
                <w:color w:val="auto"/>
                <w:highlight w:val="none"/>
                <w:lang w:val="en-US" w:eastAsia="zh-CN"/>
              </w:rPr>
              <w:t>分值</w:t>
            </w:r>
          </w:p>
        </w:tc>
        <w:tc>
          <w:tcPr>
            <w:tcW w:w="694"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cs="宋体"/>
                <w:b/>
                <w:bCs/>
                <w:color w:val="auto"/>
                <w:highlight w:val="none"/>
                <w:lang w:val="en-US"/>
              </w:rPr>
            </w:pPr>
            <w:r>
              <w:rPr>
                <w:rFonts w:hint="eastAsia" w:ascii="宋体" w:hAnsi="宋体" w:cs="宋体"/>
                <w:b/>
                <w:bCs/>
                <w:color w:val="auto"/>
                <w:highlight w:val="none"/>
                <w:lang w:val="en-US" w:eastAsia="zh-CN"/>
              </w:rPr>
              <w:t>评审因素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88"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技术商务分</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r>
              <w:rPr>
                <w:rFonts w:hint="eastAsia" w:ascii="宋体" w:hAnsi="宋体" w:cs="宋体"/>
                <w:color w:val="auto"/>
                <w:highlight w:val="none"/>
                <w:lang w:val="en-US" w:eastAsia="zh-CN"/>
              </w:rPr>
              <w:t>90分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color w:val="auto"/>
                <w:highlight w:val="none"/>
              </w:rPr>
            </w:pPr>
            <w:r>
              <w:rPr>
                <w:rFonts w:hint="eastAsia" w:ascii="宋体" w:hAnsi="宋体" w:cs="宋体"/>
                <w:color w:val="auto"/>
                <w:highlight w:val="none"/>
                <w:lang w:val="en-US" w:eastAsia="zh-CN"/>
              </w:rPr>
              <w:t>1、技术响应（10分）</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根据供应商提供的服务（技术）响应情况进行评审：完全符合采购文件“第二章 采购需求 二、技术要求”所有指标的得10分；若存在负偏离的，每负偏离一条扣1分。</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highlight w:val="none"/>
              </w:rPr>
            </w:pPr>
            <w:r>
              <w:rPr>
                <w:rFonts w:hint="eastAsia" w:ascii="宋体" w:hAnsi="宋体" w:cs="宋体"/>
                <w:color w:val="auto"/>
                <w:highlight w:val="none"/>
                <w:lang w:val="en-US" w:eastAsia="zh-CN"/>
              </w:rPr>
              <w:t>注：当有供应商此项分值扣减至0分时，该供应商投标将被拒绝，其投标文件作无效标处理，不再进行评审。</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r>
              <w:rPr>
                <w:rFonts w:hint="eastAsia" w:ascii="宋体" w:hAnsi="宋体" w:cs="宋体"/>
                <w:color w:val="auto"/>
                <w:highlight w:val="none"/>
                <w:lang w:val="en-US" w:eastAsia="zh-CN"/>
              </w:rPr>
              <w:t>10</w:t>
            </w:r>
          </w:p>
        </w:tc>
        <w:tc>
          <w:tcPr>
            <w:tcW w:w="69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r>
              <w:rPr>
                <w:rFonts w:hint="eastAsia" w:ascii="宋体" w:hAnsi="宋体" w:cs="宋体"/>
                <w:color w:val="auto"/>
                <w:highlight w:val="none"/>
                <w:lang w:val="en-US" w:eastAsia="zh-CN"/>
              </w:rPr>
              <w:t>客观评审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8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color w:val="auto"/>
                <w:highlight w:val="none"/>
              </w:rPr>
            </w:pPr>
            <w:r>
              <w:rPr>
                <w:rFonts w:hint="eastAsia" w:ascii="宋体" w:hAnsi="宋体" w:cs="宋体"/>
                <w:color w:val="auto"/>
                <w:highlight w:val="none"/>
                <w:lang w:val="en-US" w:eastAsia="zh-CN"/>
              </w:rPr>
              <w:t>2、项目理解（11分）</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（1）根据供应商对项目建设总体理解情况</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highlight w:val="none"/>
              </w:rPr>
            </w:pPr>
            <w:r>
              <w:rPr>
                <w:rFonts w:hint="eastAsia" w:ascii="宋体" w:hAnsi="宋体" w:cs="宋体"/>
                <w:color w:val="auto"/>
                <w:highlight w:val="none"/>
                <w:lang w:val="en-US" w:eastAsia="zh-CN"/>
              </w:rPr>
              <w:t>建设目标分析是否明确、是否完善；需求理解是否充分、是否精准；系统架构理解是否清晰、是否全面；项目系统兼容是否考虑周全；数据对接能力是否专业的情况进行评议。内容欠合理的每项扣0.5分，内容不合理的每项扣1分，无相关内容的不得分，扣完为止，本项最高得4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r>
              <w:rPr>
                <w:rFonts w:hint="eastAsia" w:ascii="宋体" w:hAnsi="宋体" w:cs="宋体"/>
                <w:color w:val="auto"/>
                <w:highlight w:val="none"/>
                <w:lang w:val="en-US" w:eastAsia="zh-CN"/>
              </w:rPr>
              <w:t>4</w:t>
            </w:r>
          </w:p>
        </w:tc>
        <w:tc>
          <w:tcPr>
            <w:tcW w:w="69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r>
              <w:rPr>
                <w:rFonts w:hint="eastAsia" w:ascii="宋体" w:hAnsi="宋体" w:cs="宋体"/>
                <w:color w:val="auto"/>
                <w:highlight w:val="none"/>
                <w:lang w:val="en-US" w:eastAsia="zh-CN"/>
              </w:rPr>
              <w:t>主观评审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8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color w:val="auto"/>
                <w:highlight w:val="none"/>
              </w:rPr>
            </w:pP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highlight w:val="none"/>
              </w:rPr>
            </w:pPr>
            <w:r>
              <w:rPr>
                <w:rFonts w:hint="eastAsia" w:ascii="宋体" w:hAnsi="宋体" w:cs="宋体"/>
                <w:color w:val="auto"/>
                <w:highlight w:val="none"/>
                <w:lang w:val="en-US" w:eastAsia="zh-CN"/>
              </w:rPr>
              <w:t>（2）根据供应商是否熟悉项目现有情况，系统架构理解是否清晰、是否全面，项目系统兼容是否考虑周全，数据对接能力是否专业的情况进行评议。满分5分。内容欠合理的每项扣0.5分，内容不合理的每项扣1分，无相关内容的不得分，扣完为止，本项最高得3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r>
              <w:rPr>
                <w:rFonts w:hint="eastAsia" w:ascii="宋体" w:hAnsi="宋体" w:cs="宋体"/>
                <w:color w:val="auto"/>
                <w:highlight w:val="none"/>
                <w:lang w:val="en-US" w:eastAsia="zh-CN"/>
              </w:rPr>
              <w:t>3</w:t>
            </w:r>
          </w:p>
        </w:tc>
        <w:tc>
          <w:tcPr>
            <w:tcW w:w="69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r>
              <w:rPr>
                <w:rFonts w:hint="eastAsia" w:ascii="宋体" w:hAnsi="宋体" w:cs="宋体"/>
                <w:color w:val="auto"/>
                <w:highlight w:val="none"/>
                <w:lang w:val="en-US" w:eastAsia="zh-CN"/>
              </w:rPr>
              <w:t>主观评审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8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color w:val="auto"/>
                <w:highlight w:val="none"/>
              </w:rPr>
            </w:pP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（3）重难点分析及应对措施</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highlight w:val="none"/>
              </w:rPr>
            </w:pPr>
            <w:r>
              <w:rPr>
                <w:rFonts w:hint="eastAsia" w:ascii="宋体" w:hAnsi="宋体" w:cs="宋体"/>
                <w:color w:val="auto"/>
                <w:highlight w:val="none"/>
                <w:lang w:val="en-US" w:eastAsia="zh-CN"/>
              </w:rPr>
              <w:t>根据供应商针对本项目的难点要点分析是否符合项目特征、分析是否全面以及相应的解决措施是否详细、是否符合项目要求的情况进行评议。内容欠合理的每项扣0.5分，内容不合理的每项扣1分，无相关内容的不得分，扣完为止，本项最高得4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r>
              <w:rPr>
                <w:rFonts w:hint="eastAsia" w:ascii="宋体" w:hAnsi="宋体" w:cs="宋体"/>
                <w:color w:val="auto"/>
                <w:highlight w:val="none"/>
                <w:lang w:val="en-US" w:eastAsia="zh-CN"/>
              </w:rPr>
              <w:t>4</w:t>
            </w:r>
          </w:p>
        </w:tc>
        <w:tc>
          <w:tcPr>
            <w:tcW w:w="69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r>
              <w:rPr>
                <w:rFonts w:hint="eastAsia" w:ascii="宋体" w:hAnsi="宋体" w:cs="宋体"/>
                <w:color w:val="auto"/>
                <w:highlight w:val="none"/>
                <w:lang w:val="en-US" w:eastAsia="zh-CN"/>
              </w:rPr>
              <w:t>主观评审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8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color w:val="auto"/>
                <w:highlight w:val="none"/>
              </w:rPr>
            </w:pPr>
            <w:r>
              <w:rPr>
                <w:rFonts w:hint="eastAsia" w:ascii="宋体" w:hAnsi="宋体" w:cs="宋体"/>
                <w:color w:val="auto"/>
                <w:highlight w:val="none"/>
                <w:lang w:val="en-US" w:eastAsia="zh-CN"/>
              </w:rPr>
              <w:t>3、实施方案（16分）</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highlight w:val="yellow"/>
              </w:rPr>
            </w:pPr>
            <w:r>
              <w:rPr>
                <w:rFonts w:hint="eastAsia" w:ascii="宋体" w:hAnsi="宋体" w:eastAsia="宋体" w:cs="宋体"/>
                <w:color w:val="auto"/>
                <w:sz w:val="21"/>
                <w:szCs w:val="21"/>
                <w:highlight w:val="none"/>
                <w:lang w:val="en-US" w:eastAsia="zh-CN"/>
              </w:rPr>
              <w:t>（1）根据供应商提供的系统架构设计是否符合项目需求、系统分解逻辑是否合理、技术选型分析是否全面、性能是否高效、安全性是否具有保障的情况进行评议。内容欠合理的每项扣0.5分，内容不合理的每项扣1分，无相关内容的不得分，扣完为止，本项最高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r>
              <w:rPr>
                <w:rFonts w:hint="eastAsia" w:ascii="宋体" w:hAnsi="宋体" w:cs="宋体"/>
                <w:color w:val="auto"/>
                <w:highlight w:val="none"/>
                <w:lang w:val="en-US" w:eastAsia="zh-CN"/>
              </w:rPr>
              <w:t>4</w:t>
            </w:r>
          </w:p>
        </w:tc>
        <w:tc>
          <w:tcPr>
            <w:tcW w:w="69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r>
              <w:rPr>
                <w:rFonts w:hint="eastAsia" w:ascii="宋体" w:hAnsi="宋体" w:cs="宋体"/>
                <w:color w:val="auto"/>
                <w:highlight w:val="none"/>
                <w:lang w:val="en-US" w:eastAsia="zh-CN"/>
              </w:rPr>
              <w:t>主观评审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8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color w:val="auto"/>
                <w:highlight w:val="none"/>
              </w:rPr>
            </w:pP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highlight w:val="none"/>
              </w:rPr>
            </w:pPr>
            <w:r>
              <w:rPr>
                <w:rFonts w:hint="eastAsia" w:ascii="宋体" w:hAnsi="宋体" w:cs="宋体"/>
                <w:color w:val="auto"/>
                <w:highlight w:val="none"/>
                <w:lang w:val="en-US" w:eastAsia="zh-CN"/>
              </w:rPr>
              <w:t>（2）根据供应商提供的技术方案是否具有针对性、是否具有可实施性，技术思路是否严谨、关键技术是否专业、详细功能设计及功能模块设置是否合理的情况进行评议。内容欠合理的每项扣0.5分，内容不合理的每项扣1分，无相关内容的不得分，扣完为止，本项最高得4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r>
              <w:rPr>
                <w:rFonts w:hint="eastAsia" w:ascii="宋体" w:hAnsi="宋体" w:cs="宋体"/>
                <w:color w:val="auto"/>
                <w:highlight w:val="none"/>
                <w:lang w:val="en-US" w:eastAsia="zh-CN"/>
              </w:rPr>
              <w:t>4</w:t>
            </w:r>
          </w:p>
        </w:tc>
        <w:tc>
          <w:tcPr>
            <w:tcW w:w="694"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r>
              <w:rPr>
                <w:rFonts w:hint="eastAsia" w:ascii="宋体" w:hAnsi="宋体" w:cs="宋体"/>
                <w:color w:val="auto"/>
                <w:highlight w:val="none"/>
                <w:lang w:val="en-US" w:eastAsia="zh-CN"/>
              </w:rPr>
              <w:t>主观评审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8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color w:val="auto"/>
                <w:highlight w:val="none"/>
              </w:rPr>
            </w:pP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highlight w:val="none"/>
              </w:rPr>
            </w:pPr>
            <w:r>
              <w:rPr>
                <w:rFonts w:hint="eastAsia" w:ascii="宋体" w:hAnsi="宋体" w:cs="宋体"/>
                <w:color w:val="auto"/>
                <w:highlight w:val="none"/>
                <w:lang w:val="en-US" w:eastAsia="zh-CN"/>
              </w:rPr>
              <w:t>（3）根据供应商提供的项目实施方案、管理方案、质量保证措施是否详尽、是否合理全面的情况进行评议。内容欠合理的每项扣0.5分，内容不合理的每项扣1分，无相关内容的不得分，扣完为止，本项最高得4分。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r>
              <w:rPr>
                <w:rFonts w:hint="eastAsia" w:ascii="宋体" w:hAnsi="宋体" w:cs="宋体"/>
                <w:color w:val="auto"/>
                <w:highlight w:val="none"/>
                <w:lang w:val="en-US" w:eastAsia="zh-CN"/>
              </w:rPr>
              <w:t>4</w:t>
            </w:r>
          </w:p>
        </w:tc>
        <w:tc>
          <w:tcPr>
            <w:tcW w:w="69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r>
              <w:rPr>
                <w:rFonts w:hint="eastAsia" w:ascii="宋体" w:hAnsi="宋体" w:cs="宋体"/>
                <w:color w:val="auto"/>
                <w:highlight w:val="none"/>
                <w:lang w:val="en-US" w:eastAsia="zh-CN"/>
              </w:rPr>
              <w:t>主观评审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8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color w:val="auto"/>
                <w:highlight w:val="none"/>
              </w:rPr>
            </w:pP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highlight w:val="none"/>
              </w:rPr>
            </w:pPr>
            <w:r>
              <w:rPr>
                <w:rFonts w:hint="eastAsia" w:ascii="宋体" w:hAnsi="宋体" w:cs="宋体"/>
                <w:color w:val="auto"/>
                <w:highlight w:val="none"/>
                <w:lang w:val="en-US" w:eastAsia="zh-CN"/>
              </w:rPr>
              <w:t>（4）根据供应商提供的工期安排、工期安排保证措施、施工进度计划安排是否详尽、是否合理全面的情况进行评议。内容欠合理的每项扣0.5分，内容不合理的每项扣1分，无相关内容的不得分，扣完为止，本项最高得4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r>
              <w:rPr>
                <w:rFonts w:hint="eastAsia" w:ascii="宋体" w:hAnsi="宋体" w:cs="宋体"/>
                <w:color w:val="auto"/>
                <w:highlight w:val="none"/>
                <w:lang w:val="en-US" w:eastAsia="zh-CN"/>
              </w:rPr>
              <w:t>4</w:t>
            </w:r>
          </w:p>
        </w:tc>
        <w:tc>
          <w:tcPr>
            <w:tcW w:w="69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r>
              <w:rPr>
                <w:rFonts w:hint="eastAsia" w:ascii="宋体" w:hAnsi="宋体" w:cs="宋体"/>
                <w:color w:val="auto"/>
                <w:highlight w:val="none"/>
                <w:lang w:val="en-US" w:eastAsia="zh-CN"/>
              </w:rPr>
              <w:t>主观评审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8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color w:val="auto"/>
                <w:highlight w:val="none"/>
              </w:rPr>
            </w:pPr>
            <w:r>
              <w:rPr>
                <w:rFonts w:hint="eastAsia" w:ascii="宋体" w:hAnsi="宋体" w:cs="宋体"/>
                <w:color w:val="auto"/>
                <w:highlight w:val="none"/>
                <w:lang w:val="en-US" w:eastAsia="zh-CN"/>
              </w:rPr>
              <w:t>4、系统对接方案（9分）</w:t>
            </w:r>
          </w:p>
        </w:tc>
        <w:tc>
          <w:tcPr>
            <w:tcW w:w="58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highlight w:val="none"/>
              </w:rPr>
            </w:pPr>
            <w:r>
              <w:rPr>
                <w:rFonts w:hint="eastAsia" w:ascii="宋体" w:hAnsi="宋体" w:cs="宋体"/>
                <w:color w:val="auto"/>
                <w:highlight w:val="none"/>
                <w:lang w:val="en-US" w:eastAsia="zh-CN"/>
              </w:rPr>
              <w:t>（1）供应商需充分调研、理解并阐述浙江省安全监管平台中可用的数据目录、字段标准、对接标准、对接方式，形成对接方案。根据对接方案内容是否详尽、是否合理全面的情况进行评议。内容欠合理的每项扣0.5分，内容不合理的每项扣1分，无相关内容的不得分，扣完为止，本项最高得3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r>
              <w:rPr>
                <w:rFonts w:hint="eastAsia" w:ascii="宋体" w:hAnsi="宋体" w:cs="宋体"/>
                <w:color w:val="auto"/>
                <w:highlight w:val="none"/>
                <w:lang w:val="en-US" w:eastAsia="zh-CN"/>
              </w:rPr>
              <w:t>3</w:t>
            </w:r>
          </w:p>
        </w:tc>
        <w:tc>
          <w:tcPr>
            <w:tcW w:w="69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r>
              <w:rPr>
                <w:rFonts w:hint="eastAsia" w:ascii="宋体" w:hAnsi="宋体" w:cs="宋体"/>
                <w:color w:val="auto"/>
                <w:highlight w:val="none"/>
                <w:lang w:val="en-US" w:eastAsia="zh-CN"/>
              </w:rPr>
              <w:t>主观评审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8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color w:val="auto"/>
                <w:highlight w:val="none"/>
              </w:rPr>
            </w:pPr>
          </w:p>
        </w:tc>
        <w:tc>
          <w:tcPr>
            <w:tcW w:w="58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highlight w:val="none"/>
              </w:rPr>
            </w:pPr>
            <w:r>
              <w:rPr>
                <w:rFonts w:hint="eastAsia" w:ascii="宋体" w:hAnsi="宋体" w:cs="宋体"/>
                <w:color w:val="auto"/>
                <w:highlight w:val="none"/>
                <w:lang w:val="en-US" w:eastAsia="zh-CN"/>
              </w:rPr>
              <w:t>（2）供应商需充分调研、理解并阐述宁波市文化遗产信息化管理云平台中可用的数据目录、字段标准、对接标准、对接方式，形成对接方案。根据对接方案内容是否详尽、是否合理全面的情况进行评议。内容欠合理的每项扣0.5分，内容不合理的每项扣1分，无相关内容的不得分，扣完为止，本项最高得3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r>
              <w:rPr>
                <w:rFonts w:hint="eastAsia" w:ascii="宋体" w:hAnsi="宋体" w:cs="宋体"/>
                <w:color w:val="auto"/>
                <w:highlight w:val="none"/>
                <w:lang w:val="en-US" w:eastAsia="zh-CN"/>
              </w:rPr>
              <w:t>3</w:t>
            </w:r>
          </w:p>
        </w:tc>
        <w:tc>
          <w:tcPr>
            <w:tcW w:w="69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r>
              <w:rPr>
                <w:rFonts w:hint="eastAsia" w:ascii="宋体" w:hAnsi="宋体" w:cs="宋体"/>
                <w:color w:val="auto"/>
                <w:highlight w:val="none"/>
                <w:lang w:val="en-US" w:eastAsia="zh-CN"/>
              </w:rPr>
              <w:t>主观评审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8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color w:val="auto"/>
                <w:highlight w:val="none"/>
              </w:rPr>
            </w:pPr>
          </w:p>
        </w:tc>
        <w:tc>
          <w:tcPr>
            <w:tcW w:w="58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highlight w:val="none"/>
              </w:rPr>
            </w:pPr>
            <w:r>
              <w:rPr>
                <w:rFonts w:hint="eastAsia" w:ascii="宋体" w:hAnsi="宋体" w:cs="宋体"/>
                <w:color w:val="auto"/>
                <w:highlight w:val="none"/>
                <w:lang w:val="en-US" w:eastAsia="zh-CN"/>
              </w:rPr>
              <w:t>（3）供应商需充分调研、理解并阐述宁波市文旅数据协同仓中可用的数据目录、字段标准、对接标准、对接方式，形成对接方案。根据对接方案内容是否详尽、是否合理全面的情况进行评议。内容欠合理的每项扣0.5分，内容不合理的每项扣1分，无相关内容的不得分，扣完为止，本项最高得3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r>
              <w:rPr>
                <w:rFonts w:hint="eastAsia" w:ascii="宋体" w:hAnsi="宋体" w:cs="宋体"/>
                <w:color w:val="auto"/>
                <w:highlight w:val="none"/>
                <w:lang w:val="en-US" w:eastAsia="zh-CN"/>
              </w:rPr>
              <w:t>3</w:t>
            </w:r>
          </w:p>
        </w:tc>
        <w:tc>
          <w:tcPr>
            <w:tcW w:w="69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r>
              <w:rPr>
                <w:rFonts w:hint="eastAsia" w:ascii="宋体" w:hAnsi="宋体" w:cs="宋体"/>
                <w:color w:val="auto"/>
                <w:highlight w:val="none"/>
                <w:lang w:val="en-US" w:eastAsia="zh-CN"/>
              </w:rPr>
              <w:t>主观评审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8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color w:val="auto"/>
                <w:highlight w:val="none"/>
              </w:rPr>
            </w:pPr>
            <w:r>
              <w:rPr>
                <w:rFonts w:hint="eastAsia" w:ascii="宋体" w:hAnsi="宋体" w:cs="宋体"/>
                <w:color w:val="auto"/>
                <w:highlight w:val="none"/>
                <w:lang w:val="en-US" w:eastAsia="zh-CN"/>
              </w:rPr>
              <w:t>5、标准体系梳理（5分）</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highlight w:val="none"/>
              </w:rPr>
            </w:pPr>
            <w:r>
              <w:rPr>
                <w:rFonts w:hint="eastAsia" w:ascii="宋体" w:hAnsi="宋体" w:cs="宋体"/>
                <w:color w:val="auto"/>
                <w:highlight w:val="none"/>
                <w:lang w:val="en-US" w:eastAsia="zh-CN"/>
              </w:rPr>
              <w:t>供应商需要对宁波市文物体检需求有深刻理解，并基于本次项目建设，从管理能力、本体风险、环境影响、本体病害等封面梳理并编制初步体检指标和标准化的文物体检工作流程。根据标准体系内容是否详尽、是否合理全面的情况进行评议。内容欠合理的每项扣0.5分，内容不合理的每项扣1分，无相关内容的不得分，扣</w:t>
            </w:r>
            <w:bookmarkStart w:id="46" w:name="_GoBack"/>
            <w:bookmarkEnd w:id="46"/>
            <w:r>
              <w:rPr>
                <w:rFonts w:hint="eastAsia" w:ascii="宋体" w:hAnsi="宋体" w:cs="宋体"/>
                <w:color w:val="auto"/>
                <w:highlight w:val="none"/>
                <w:lang w:val="en-US" w:eastAsia="zh-CN"/>
              </w:rPr>
              <w:t>完为止，本项最高得5分。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r>
              <w:rPr>
                <w:rFonts w:hint="eastAsia" w:ascii="宋体" w:hAnsi="宋体" w:cs="宋体"/>
                <w:color w:val="auto"/>
                <w:highlight w:val="none"/>
                <w:lang w:val="en-US" w:eastAsia="zh-CN"/>
              </w:rPr>
              <w:t>5</w:t>
            </w:r>
          </w:p>
        </w:tc>
        <w:tc>
          <w:tcPr>
            <w:tcW w:w="69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r>
              <w:rPr>
                <w:rFonts w:hint="eastAsia" w:ascii="宋体" w:hAnsi="宋体" w:cs="宋体"/>
                <w:color w:val="auto"/>
                <w:highlight w:val="none"/>
                <w:lang w:val="en-US" w:eastAsia="zh-CN"/>
              </w:rPr>
              <w:t>主观评审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8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color w:val="auto"/>
                <w:highlight w:val="none"/>
              </w:rPr>
            </w:pPr>
            <w:r>
              <w:rPr>
                <w:rFonts w:hint="eastAsia" w:ascii="宋体" w:hAnsi="宋体" w:cs="宋体"/>
                <w:color w:val="auto"/>
                <w:highlight w:val="none"/>
                <w:lang w:val="en-US" w:eastAsia="zh-CN"/>
              </w:rPr>
              <w:t>6、演示（16分）</w:t>
            </w:r>
          </w:p>
        </w:tc>
        <w:tc>
          <w:tcPr>
            <w:tcW w:w="58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highlight w:val="none"/>
              </w:rPr>
            </w:pPr>
            <w:r>
              <w:rPr>
                <w:rFonts w:hint="eastAsia" w:ascii="宋体" w:hAnsi="宋体" w:cs="宋体"/>
                <w:color w:val="auto"/>
                <w:highlight w:val="none"/>
                <w:lang w:val="en-US" w:eastAsia="zh-CN"/>
              </w:rPr>
              <w:t>（1）演示文物体检工具系统。需要分别展示基础信息管理、体检标准管理、评价指标管理、移动端现场体检操作。根据供应商的演示情况是否符合项目需求内容、内容是否齐全且操作是否便捷的情况进行评议。内容欠合理的每项扣0.5分，内容不合理的每项扣1分，无相关内容的不得分，扣完为止，本项最高得4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r>
              <w:rPr>
                <w:rFonts w:hint="eastAsia" w:ascii="宋体" w:hAnsi="宋体" w:cs="宋体"/>
                <w:color w:val="auto"/>
                <w:highlight w:val="none"/>
                <w:lang w:val="en-US" w:eastAsia="zh-CN"/>
              </w:rPr>
              <w:t>4</w:t>
            </w:r>
          </w:p>
        </w:tc>
        <w:tc>
          <w:tcPr>
            <w:tcW w:w="694" w:type="dxa"/>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r>
              <w:rPr>
                <w:rFonts w:hint="eastAsia" w:ascii="宋体" w:hAnsi="宋体" w:cs="宋体"/>
                <w:color w:val="auto"/>
                <w:highlight w:val="none"/>
                <w:lang w:val="en-US" w:eastAsia="zh-CN"/>
              </w:rPr>
              <w:t>主观评审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8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color w:val="auto"/>
                <w:highlight w:val="none"/>
              </w:rPr>
            </w:pPr>
          </w:p>
        </w:tc>
        <w:tc>
          <w:tcPr>
            <w:tcW w:w="58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highlight w:val="none"/>
              </w:rPr>
            </w:pPr>
            <w:r>
              <w:rPr>
                <w:rFonts w:hint="eastAsia" w:ascii="宋体" w:hAnsi="宋体" w:cs="宋体"/>
                <w:color w:val="auto"/>
                <w:highlight w:val="none"/>
                <w:lang w:val="en-US" w:eastAsia="zh-CN"/>
              </w:rPr>
              <w:t>（2）演示文物安全智治驾驶舱。需要以GIS一张图的形式，体现宁波市范围内文保单位分布情况，文保单位基础信息及两划范围展示；需整体体现宁波市文物保护工程情况、三防监测情况、安全巡检情况、安全隐患情况。根据供应商的演示情况是否符合项目需求内容、内容是否齐全且操作是否便捷的情况进行评议。内容欠合理的每项扣0.5分，内容不合理的每项扣1分，无相关内容的不得分，扣完为止，本项最高得4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r>
              <w:rPr>
                <w:rFonts w:hint="eastAsia" w:ascii="宋体" w:hAnsi="宋体" w:cs="宋体"/>
                <w:color w:val="auto"/>
                <w:highlight w:val="none"/>
                <w:lang w:val="en-US" w:eastAsia="zh-CN"/>
              </w:rPr>
              <w:t>4</w:t>
            </w:r>
          </w:p>
        </w:tc>
        <w:tc>
          <w:tcPr>
            <w:tcW w:w="694"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8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color w:val="auto"/>
                <w:highlight w:val="none"/>
              </w:rPr>
            </w:pPr>
          </w:p>
        </w:tc>
        <w:tc>
          <w:tcPr>
            <w:tcW w:w="58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highlight w:val="none"/>
              </w:rPr>
            </w:pPr>
            <w:r>
              <w:rPr>
                <w:rFonts w:hint="eastAsia" w:ascii="宋体" w:hAnsi="宋体" w:cs="宋体"/>
                <w:color w:val="auto"/>
                <w:highlight w:val="none"/>
                <w:lang w:val="en-US" w:eastAsia="zh-CN"/>
              </w:rPr>
              <w:t>（3）演示文物三防监控播放功能。需支持按区县、按等级播放文保监控视频。根据供应商的演示情况是否符合项目需求内容、内容是否齐全且操作是否便捷的情况进行评议。内容欠合理的每项扣0.5分，内容不合理的每项扣1分，无相关内容的不得分，扣完为止，本项最高得2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r>
              <w:rPr>
                <w:rFonts w:hint="eastAsia" w:ascii="宋体" w:hAnsi="宋体" w:cs="宋体"/>
                <w:color w:val="auto"/>
                <w:highlight w:val="none"/>
                <w:lang w:val="en-US" w:eastAsia="zh-CN"/>
              </w:rPr>
              <w:t>2</w:t>
            </w:r>
          </w:p>
        </w:tc>
        <w:tc>
          <w:tcPr>
            <w:tcW w:w="694"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8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color w:val="auto"/>
                <w:highlight w:val="none"/>
              </w:rPr>
            </w:pPr>
          </w:p>
        </w:tc>
        <w:tc>
          <w:tcPr>
            <w:tcW w:w="58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highlight w:val="none"/>
              </w:rPr>
            </w:pPr>
            <w:r>
              <w:rPr>
                <w:rFonts w:hint="eastAsia" w:ascii="宋体" w:hAnsi="宋体" w:cs="宋体"/>
                <w:color w:val="auto"/>
                <w:highlight w:val="none"/>
                <w:lang w:val="en-US" w:eastAsia="zh-CN"/>
              </w:rPr>
              <w:t>（4）演示文物安全体检驾驶舱。需整体体现宁波市文物安全体检任务、进度、治理情况；需体现文保单位一物一表功能；需体现文物安全督查事件追踪功能。根据供应商的演示情况是否符合项目需求内容、内容是否齐全且操作是否便捷的情况进行评议。内容欠合理的每项扣0.5分，内容不合理的每项扣1分，无相关内容的不得分，扣完为止，本项最高得2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r>
              <w:rPr>
                <w:rFonts w:hint="eastAsia" w:ascii="宋体" w:hAnsi="宋体" w:cs="宋体"/>
                <w:color w:val="auto"/>
                <w:highlight w:val="none"/>
                <w:lang w:val="en-US" w:eastAsia="zh-CN"/>
              </w:rPr>
              <w:t>2</w:t>
            </w:r>
          </w:p>
        </w:tc>
        <w:tc>
          <w:tcPr>
            <w:tcW w:w="694"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8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color w:val="auto"/>
                <w:highlight w:val="none"/>
              </w:rPr>
            </w:pPr>
          </w:p>
        </w:tc>
        <w:tc>
          <w:tcPr>
            <w:tcW w:w="58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highlight w:val="none"/>
              </w:rPr>
            </w:pPr>
            <w:r>
              <w:rPr>
                <w:rFonts w:hint="eastAsia" w:ascii="宋体" w:hAnsi="宋体" w:cs="宋体"/>
                <w:color w:val="auto"/>
                <w:highlight w:val="none"/>
                <w:lang w:val="en-US" w:eastAsia="zh-CN"/>
              </w:rPr>
              <w:t>（5）演示生成体检报告功能，需体现一键生成文物体检四项清单、文物单体体检报告功能。四项清单至少包含三级指标体现，体检报告至少包括文物基本信息、本体概况、现场勘察结果、安全风险评估、总结与保护建议。根据供应商的演示情况是否符合项目需求内容、内容是否齐全且操作是否便捷的情况进行评议。内容欠合理的每项扣0.5分，内容不合理的每项扣1分，无相关内容的不得分，扣完为止，本项最高得4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r>
              <w:rPr>
                <w:rFonts w:hint="eastAsia" w:ascii="宋体" w:hAnsi="宋体" w:cs="宋体"/>
                <w:color w:val="auto"/>
                <w:highlight w:val="none"/>
                <w:lang w:val="en-US" w:eastAsia="zh-CN"/>
              </w:rPr>
              <w:t>4</w:t>
            </w:r>
          </w:p>
        </w:tc>
        <w:tc>
          <w:tcPr>
            <w:tcW w:w="694"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8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color w:val="auto"/>
                <w:highlight w:val="none"/>
              </w:rPr>
            </w:pP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highlight w:val="none"/>
              </w:rPr>
            </w:pPr>
            <w:r>
              <w:rPr>
                <w:rFonts w:hint="eastAsia" w:ascii="宋体" w:hAnsi="宋体" w:cs="宋体"/>
                <w:color w:val="auto"/>
                <w:highlight w:val="none"/>
                <w:lang w:val="en-US" w:eastAsia="zh-CN"/>
              </w:rPr>
              <w:t>注：各供应商需将以上演示内容现场演示，演示时间不超过15分钟。供应商采用demo演示的，最高可得16分。其他形式进行演示的，最高只能得8分（单项最高只能得一半的分数）。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cs="宋体"/>
                <w:color w:val="auto"/>
                <w:highlight w:val="none"/>
                <w:lang w:val="en-US"/>
              </w:rPr>
            </w:pPr>
            <w:r>
              <w:rPr>
                <w:rFonts w:hint="eastAsia" w:ascii="宋体" w:hAnsi="宋体" w:cs="宋体"/>
                <w:color w:val="auto"/>
                <w:highlight w:val="none"/>
                <w:lang w:val="en-US" w:eastAsia="zh-CN"/>
              </w:rPr>
              <w:t>///</w:t>
            </w:r>
          </w:p>
        </w:tc>
        <w:tc>
          <w:tcPr>
            <w:tcW w:w="69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cs="宋体"/>
                <w:color w:val="auto"/>
                <w:highlight w:val="none"/>
                <w:lang w:val="en-US"/>
              </w:rPr>
            </w:pPr>
            <w:r>
              <w:rPr>
                <w:rFonts w:hint="eastAsia" w:ascii="宋体" w:hAnsi="宋体" w:cs="宋体"/>
                <w:color w:val="auto"/>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8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color w:val="auto"/>
                <w:highlight w:val="none"/>
              </w:rPr>
            </w:pPr>
            <w:r>
              <w:rPr>
                <w:rFonts w:hint="eastAsia" w:ascii="宋体" w:hAnsi="宋体" w:cs="宋体"/>
                <w:color w:val="auto"/>
                <w:highlight w:val="none"/>
                <w:lang w:val="en-US" w:eastAsia="zh-CN"/>
              </w:rPr>
              <w:t>7、拟投入人员配备（9分）</w:t>
            </w:r>
          </w:p>
        </w:tc>
        <w:tc>
          <w:tcPr>
            <w:tcW w:w="58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（1）项目经理1人（4分）：</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highlight w:val="none"/>
              </w:rPr>
            </w:pPr>
            <w:r>
              <w:rPr>
                <w:rFonts w:hint="eastAsia" w:ascii="宋体" w:hAnsi="宋体" w:cs="宋体"/>
                <w:color w:val="auto"/>
                <w:highlight w:val="none"/>
                <w:lang w:val="en-US" w:eastAsia="zh-CN"/>
              </w:rPr>
              <w:t>供应商拟派项目经理具有信息系统项目管理师（高级）认证证书、注册信息安全专业人员（CISP）、数据库系统工程师证书，每个得2分。满分4分。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r>
              <w:rPr>
                <w:rFonts w:hint="eastAsia" w:ascii="宋体" w:hAnsi="宋体" w:cs="宋体"/>
                <w:color w:val="auto"/>
                <w:highlight w:val="none"/>
                <w:lang w:val="en-US" w:eastAsia="zh-CN"/>
              </w:rPr>
              <w:t>4</w:t>
            </w:r>
          </w:p>
        </w:tc>
        <w:tc>
          <w:tcPr>
            <w:tcW w:w="694" w:type="dxa"/>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r>
              <w:rPr>
                <w:rFonts w:hint="eastAsia" w:ascii="宋体" w:hAnsi="宋体" w:cs="宋体"/>
                <w:color w:val="auto"/>
                <w:highlight w:val="none"/>
                <w:lang w:val="en-US" w:eastAsia="zh-CN"/>
              </w:rPr>
              <w:t>客观评审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8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color w:val="auto"/>
                <w:highlight w:val="none"/>
              </w:rPr>
            </w:pPr>
          </w:p>
        </w:tc>
        <w:tc>
          <w:tcPr>
            <w:tcW w:w="58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（2）技术负责人1人（2分）：</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highlight w:val="none"/>
              </w:rPr>
            </w:pPr>
            <w:r>
              <w:rPr>
                <w:rFonts w:hint="eastAsia" w:ascii="宋体" w:hAnsi="宋体" w:cs="宋体"/>
                <w:color w:val="auto"/>
                <w:highlight w:val="none"/>
                <w:lang w:val="en-US" w:eastAsia="zh-CN"/>
              </w:rPr>
              <w:t>供应商拟派技术负责人具有信息系统项目管理师（高级）、网络规划设计师，每个得2分。满分2分。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r>
              <w:rPr>
                <w:rFonts w:hint="eastAsia" w:ascii="宋体" w:hAnsi="宋体" w:cs="宋体"/>
                <w:color w:val="auto"/>
                <w:highlight w:val="none"/>
                <w:lang w:val="en-US" w:eastAsia="zh-CN"/>
              </w:rPr>
              <w:t>2</w:t>
            </w:r>
          </w:p>
        </w:tc>
        <w:tc>
          <w:tcPr>
            <w:tcW w:w="694"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8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color w:val="auto"/>
                <w:highlight w:val="none"/>
              </w:rPr>
            </w:pPr>
          </w:p>
        </w:tc>
        <w:tc>
          <w:tcPr>
            <w:tcW w:w="58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（3）项目组其他成员（3分）：</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highlight w:val="none"/>
              </w:rPr>
            </w:pPr>
            <w:r>
              <w:rPr>
                <w:rFonts w:hint="eastAsia" w:ascii="宋体" w:hAnsi="宋体" w:cs="宋体"/>
                <w:color w:val="auto"/>
                <w:highlight w:val="none"/>
                <w:lang w:val="en-US" w:eastAsia="zh-CN"/>
              </w:rPr>
              <w:t>供应商拟派项目组成员具有软件设计师证书、中级及以上工程师、注册信息安全专业人员（CISP），每个得1分。满分3分（若1人同时具有多类证书，只能按其中一类证书计算其得分）。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r>
              <w:rPr>
                <w:rFonts w:hint="eastAsia" w:ascii="宋体" w:hAnsi="宋体" w:cs="宋体"/>
                <w:color w:val="auto"/>
                <w:highlight w:val="none"/>
                <w:lang w:val="en-US" w:eastAsia="zh-CN"/>
              </w:rPr>
              <w:t>3</w:t>
            </w:r>
          </w:p>
        </w:tc>
        <w:tc>
          <w:tcPr>
            <w:tcW w:w="694"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8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color w:val="auto"/>
                <w:highlight w:val="none"/>
              </w:rPr>
            </w:pPr>
          </w:p>
        </w:tc>
        <w:tc>
          <w:tcPr>
            <w:tcW w:w="58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highlight w:val="none"/>
              </w:rPr>
            </w:pPr>
            <w:r>
              <w:rPr>
                <w:rFonts w:hint="eastAsia" w:ascii="宋体" w:hAnsi="宋体" w:cs="宋体"/>
                <w:color w:val="auto"/>
                <w:highlight w:val="none"/>
                <w:lang w:val="en-US" w:eastAsia="zh-CN"/>
              </w:rPr>
              <w:t>注：投标文件中提供人员证书复印件加盖公章以及开标前3个月（其中1个月即可）社保缴纳证明材料复印件并加盖公章。材料不齐全的不得分。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r>
              <w:rPr>
                <w:rFonts w:hint="eastAsia" w:ascii="宋体" w:hAnsi="宋体" w:cs="宋体"/>
                <w:color w:val="auto"/>
                <w:highlight w:val="none"/>
                <w:lang w:val="en-US" w:eastAsia="zh-CN"/>
              </w:rPr>
              <w:t>///</w:t>
            </w:r>
          </w:p>
        </w:tc>
        <w:tc>
          <w:tcPr>
            <w:tcW w:w="69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r>
              <w:rPr>
                <w:rFonts w:hint="eastAsia" w:ascii="宋体" w:hAnsi="宋体" w:cs="宋体"/>
                <w:color w:val="auto"/>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8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p>
        </w:tc>
        <w:tc>
          <w:tcPr>
            <w:tcW w:w="10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color w:val="auto"/>
                <w:highlight w:val="none"/>
              </w:rPr>
            </w:pPr>
            <w:r>
              <w:rPr>
                <w:rFonts w:hint="eastAsia" w:ascii="宋体" w:hAnsi="宋体" w:cs="宋体"/>
                <w:color w:val="auto"/>
                <w:highlight w:val="none"/>
                <w:lang w:val="en-US" w:eastAsia="zh-CN"/>
              </w:rPr>
              <w:t>8、履约能力（6分）</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（1）供应商具有质量管理体系认证证书的得2分。</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highlight w:val="none"/>
              </w:rPr>
            </w:pPr>
            <w:r>
              <w:rPr>
                <w:rFonts w:hint="eastAsia" w:ascii="宋体" w:hAnsi="宋体" w:cs="宋体"/>
                <w:color w:val="auto"/>
                <w:highlight w:val="none"/>
                <w:lang w:val="en-US" w:eastAsia="zh-CN"/>
              </w:rPr>
              <w:t>注：投标文件中提供有效的证书复印件并加盖公章。</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cs="宋体"/>
                <w:color w:val="auto"/>
                <w:highlight w:val="none"/>
                <w:lang w:val="en-US"/>
              </w:rPr>
            </w:pPr>
            <w:r>
              <w:rPr>
                <w:rFonts w:hint="eastAsia" w:ascii="宋体" w:hAnsi="宋体" w:cs="宋体"/>
                <w:color w:val="auto"/>
                <w:highlight w:val="none"/>
                <w:lang w:val="en-US" w:eastAsia="zh-CN"/>
              </w:rPr>
              <w:t>2</w:t>
            </w:r>
          </w:p>
        </w:tc>
        <w:tc>
          <w:tcPr>
            <w:tcW w:w="69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r>
              <w:rPr>
                <w:rFonts w:hint="eastAsia" w:ascii="宋体" w:hAnsi="宋体" w:cs="宋体"/>
                <w:color w:val="auto"/>
                <w:highlight w:val="none"/>
                <w:lang w:val="en-US" w:eastAsia="zh-CN"/>
              </w:rPr>
              <w:t>客观评审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8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p>
        </w:tc>
        <w:tc>
          <w:tcPr>
            <w:tcW w:w="109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color w:val="auto"/>
                <w:highlight w:val="none"/>
                <w:lang w:val="en-US" w:eastAsia="zh-CN"/>
              </w:rPr>
            </w:pP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（2）供应商具有信息技术服务管理体系认证证书的得2分。</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注：投标文件中提供有效的证书复印件并加盖公章。</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cs="宋体"/>
                <w:color w:val="auto"/>
                <w:highlight w:val="none"/>
                <w:lang w:val="en-US" w:eastAsia="zh-CN"/>
              </w:rPr>
            </w:pPr>
            <w:r>
              <w:rPr>
                <w:rFonts w:hint="eastAsia" w:ascii="宋体" w:hAnsi="宋体" w:cs="宋体"/>
                <w:color w:val="auto"/>
                <w:highlight w:val="none"/>
                <w:lang w:val="en-US" w:eastAsia="zh-CN"/>
              </w:rPr>
              <w:t>2</w:t>
            </w:r>
          </w:p>
        </w:tc>
        <w:tc>
          <w:tcPr>
            <w:tcW w:w="69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客观评审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8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p>
        </w:tc>
        <w:tc>
          <w:tcPr>
            <w:tcW w:w="10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color w:val="auto"/>
                <w:highlight w:val="none"/>
                <w:lang w:val="en-US" w:eastAsia="zh-CN"/>
              </w:rPr>
            </w:pP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（3）供应商具有信息安全管理体系认证证书的得2分。</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注：投标文件中提供有效的证书复印件并加盖公章。</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cs="宋体"/>
                <w:color w:val="auto"/>
                <w:highlight w:val="none"/>
                <w:lang w:val="en-US" w:eastAsia="zh-CN"/>
              </w:rPr>
            </w:pPr>
            <w:r>
              <w:rPr>
                <w:rFonts w:hint="eastAsia" w:ascii="宋体" w:hAnsi="宋体" w:cs="宋体"/>
                <w:color w:val="auto"/>
                <w:highlight w:val="none"/>
                <w:lang w:val="en-US" w:eastAsia="zh-CN"/>
              </w:rPr>
              <w:t>2</w:t>
            </w:r>
          </w:p>
        </w:tc>
        <w:tc>
          <w:tcPr>
            <w:tcW w:w="69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客观评审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8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color w:val="auto"/>
                <w:highlight w:val="none"/>
              </w:rPr>
            </w:pPr>
            <w:r>
              <w:rPr>
                <w:rFonts w:hint="eastAsia" w:ascii="宋体" w:hAnsi="宋体" w:cs="宋体"/>
                <w:color w:val="auto"/>
                <w:highlight w:val="none"/>
                <w:lang w:val="en-US" w:eastAsia="zh-CN"/>
              </w:rPr>
              <w:t>9、售后服务方案（4分）</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highlight w:val="none"/>
              </w:rPr>
            </w:pPr>
            <w:r>
              <w:rPr>
                <w:rFonts w:hint="eastAsia" w:ascii="宋体" w:hAnsi="宋体" w:cs="宋体"/>
                <w:color w:val="auto"/>
                <w:highlight w:val="none"/>
                <w:lang w:val="en-US" w:eastAsia="zh-CN"/>
              </w:rPr>
              <w:t>根据供应商提供的售后服务方案及应急措施，从服务承诺、服务保障、服务内容、响应时间、响应方式、服务体系、满足客户要求、系统出现故障后的服务响应速度情况等进行评议。内容欠合理的每项扣0.5分，内容不合理的每项扣1分，无相关内容的不得分，扣完为止，本项最高得4分。</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r>
              <w:rPr>
                <w:rFonts w:hint="eastAsia" w:ascii="宋体" w:hAnsi="宋体" w:cs="宋体"/>
                <w:color w:val="auto"/>
                <w:highlight w:val="none"/>
                <w:lang w:val="en-US" w:eastAsia="zh-CN"/>
              </w:rPr>
              <w:t>4</w:t>
            </w:r>
          </w:p>
        </w:tc>
        <w:tc>
          <w:tcPr>
            <w:tcW w:w="69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r>
              <w:rPr>
                <w:rFonts w:hint="eastAsia" w:ascii="宋体" w:hAnsi="宋体" w:cs="宋体"/>
                <w:color w:val="auto"/>
                <w:highlight w:val="none"/>
                <w:lang w:val="en-US" w:eastAsia="zh-CN"/>
              </w:rPr>
              <w:t>主观评审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8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color w:val="auto"/>
                <w:highlight w:val="none"/>
              </w:rPr>
            </w:pPr>
            <w:r>
              <w:rPr>
                <w:rFonts w:hint="eastAsia" w:ascii="宋体" w:hAnsi="宋体" w:cs="宋体"/>
                <w:color w:val="auto"/>
                <w:highlight w:val="none"/>
                <w:lang w:val="en-US" w:eastAsia="zh-CN"/>
              </w:rPr>
              <w:t>10、培训方案（3分）</w:t>
            </w:r>
          </w:p>
        </w:tc>
        <w:tc>
          <w:tcPr>
            <w:tcW w:w="58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highlight w:val="none"/>
              </w:rPr>
            </w:pPr>
            <w:r>
              <w:rPr>
                <w:rFonts w:hint="eastAsia" w:ascii="宋体" w:hAnsi="宋体" w:cs="宋体"/>
                <w:color w:val="auto"/>
                <w:highlight w:val="none"/>
                <w:lang w:val="en-US" w:eastAsia="zh-CN"/>
              </w:rPr>
              <w:t>根据供应商的培训方案是否详尽、是否全面，培训计划安排是否合理、培训人员能力是否突出、人员专业技术是否齐全的情况进行评议。内容欠合理的每项扣0.5分，内容不合理的每项扣1分，无相关内容的不得分，扣完为止，本项最高得3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r>
              <w:rPr>
                <w:rFonts w:hint="eastAsia" w:ascii="宋体" w:hAnsi="宋体" w:cs="宋体"/>
                <w:color w:val="auto"/>
                <w:highlight w:val="none"/>
                <w:lang w:val="en-US" w:eastAsia="zh-CN"/>
              </w:rPr>
              <w:t>3</w:t>
            </w:r>
          </w:p>
        </w:tc>
        <w:tc>
          <w:tcPr>
            <w:tcW w:w="69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r>
              <w:rPr>
                <w:rFonts w:hint="eastAsia" w:ascii="宋体" w:hAnsi="宋体" w:cs="宋体"/>
                <w:color w:val="auto"/>
                <w:highlight w:val="none"/>
                <w:lang w:val="en-US" w:eastAsia="zh-CN"/>
              </w:rPr>
              <w:t>主观评审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8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color w:val="auto"/>
                <w:highlight w:val="none"/>
              </w:rPr>
            </w:pPr>
            <w:r>
              <w:rPr>
                <w:rFonts w:hint="eastAsia" w:ascii="宋体" w:hAnsi="宋体" w:cs="宋体"/>
                <w:color w:val="auto"/>
                <w:highlight w:val="none"/>
                <w:lang w:val="en-US" w:eastAsia="zh-CN"/>
              </w:rPr>
              <w:t>11、业绩（1分）</w:t>
            </w:r>
          </w:p>
        </w:tc>
        <w:tc>
          <w:tcPr>
            <w:tcW w:w="58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自2019年1月1日以来（以合同签订时间为准），供应商具有同类软件建设项目业绩的，每提供一个得0.5分。满分1分。</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highlight w:val="none"/>
              </w:rPr>
            </w:pPr>
            <w:r>
              <w:rPr>
                <w:rFonts w:hint="eastAsia" w:ascii="宋体" w:hAnsi="宋体" w:cs="宋体"/>
                <w:color w:val="auto"/>
                <w:highlight w:val="none"/>
                <w:lang w:val="en-US" w:eastAsia="zh-CN"/>
              </w:rPr>
              <w:t>注：投标文件中须提供合同复印件，未提供不得分。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r>
              <w:rPr>
                <w:rFonts w:hint="eastAsia" w:ascii="宋体" w:hAnsi="宋体" w:cs="宋体"/>
                <w:color w:val="auto"/>
                <w:highlight w:val="none"/>
                <w:lang w:val="en-US" w:eastAsia="zh-CN"/>
              </w:rPr>
              <w:t>1</w:t>
            </w:r>
          </w:p>
        </w:tc>
        <w:tc>
          <w:tcPr>
            <w:tcW w:w="69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r>
              <w:rPr>
                <w:rFonts w:hint="eastAsia" w:ascii="宋体" w:hAnsi="宋体" w:cs="宋体"/>
                <w:color w:val="auto"/>
                <w:highlight w:val="none"/>
                <w:lang w:val="en-US" w:eastAsia="zh-CN"/>
              </w:rPr>
              <w:t>客观评审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8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价格分</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cs="宋体"/>
                <w:color w:val="auto"/>
                <w:highlight w:val="none"/>
                <w:lang w:val="en-US"/>
              </w:rPr>
            </w:pPr>
            <w:r>
              <w:rPr>
                <w:rFonts w:hint="eastAsia" w:ascii="宋体" w:hAnsi="宋体" w:cs="宋体"/>
                <w:color w:val="auto"/>
                <w:highlight w:val="none"/>
                <w:lang w:val="en-US" w:eastAsia="zh-CN"/>
              </w:rPr>
              <w:t>10分</w:t>
            </w:r>
          </w:p>
        </w:tc>
        <w:tc>
          <w:tcPr>
            <w:tcW w:w="699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参与评审的价格=有效的投标报价-小微企业优惠（如有）</w:t>
            </w:r>
            <w:r>
              <w:rPr>
                <w:rFonts w:hint="eastAsia" w:ascii="宋体" w:hAnsi="宋体" w:cs="宋体"/>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基准价=满足采购文件要求且最低的参与评审的价格，基准价10分；</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highlight w:val="none"/>
              </w:rPr>
            </w:pPr>
            <w:r>
              <w:rPr>
                <w:rFonts w:hint="eastAsia" w:ascii="宋体" w:hAnsi="宋体" w:cs="宋体"/>
                <w:color w:val="auto"/>
                <w:highlight w:val="none"/>
                <w:lang w:val="en-US" w:eastAsia="zh-CN"/>
              </w:rPr>
              <w:t>其余供应商得分为：报价得分=（基准价/参与评审的价格）×10%×100。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r>
              <w:rPr>
                <w:rFonts w:hint="eastAsia" w:ascii="宋体" w:hAnsi="宋体" w:cs="宋体"/>
                <w:color w:val="auto"/>
                <w:highlight w:val="none"/>
                <w:lang w:val="en-US" w:eastAsia="zh-CN"/>
              </w:rPr>
              <w:t>10</w:t>
            </w:r>
          </w:p>
        </w:tc>
        <w:tc>
          <w:tcPr>
            <w:tcW w:w="69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r>
              <w:rPr>
                <w:rFonts w:hint="eastAsia" w:ascii="宋体" w:hAnsi="宋体" w:cs="宋体"/>
                <w:color w:val="auto"/>
                <w:highlight w:val="none"/>
                <w:lang w:val="en-US" w:eastAsia="zh-CN"/>
              </w:rPr>
              <w:t>客观评审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678" w:type="dxa"/>
            <w:gridSpan w:val="3"/>
            <w:tcBorders>
              <w:top w:val="single" w:color="000000" w:sz="4" w:space="0"/>
              <w:left w:val="single" w:color="000000" w:sz="8" w:space="0"/>
              <w:bottom w:val="single" w:color="000000" w:sz="8"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r>
              <w:rPr>
                <w:rFonts w:hint="eastAsia" w:ascii="宋体" w:hAnsi="宋体" w:cs="宋体"/>
                <w:color w:val="auto"/>
                <w:highlight w:val="none"/>
                <w:lang w:val="en-US" w:eastAsia="zh-CN"/>
              </w:rPr>
              <w:t>满分100分</w:t>
            </w:r>
          </w:p>
        </w:tc>
        <w:tc>
          <w:tcPr>
            <w:tcW w:w="720"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r>
              <w:rPr>
                <w:rFonts w:hint="eastAsia" w:ascii="宋体" w:hAnsi="宋体" w:cs="宋体"/>
                <w:color w:val="auto"/>
                <w:highlight w:val="none"/>
                <w:lang w:val="en-US" w:eastAsia="zh-CN"/>
              </w:rPr>
              <w:t>100</w:t>
            </w:r>
          </w:p>
        </w:tc>
        <w:tc>
          <w:tcPr>
            <w:tcW w:w="694"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highlight w:val="none"/>
              </w:rPr>
            </w:pPr>
          </w:p>
        </w:tc>
      </w:tr>
    </w:tbl>
    <w:p>
      <w:pPr>
        <w:rPr>
          <w:rFonts w:hint="eastAsia" w:ascii="宋体" w:hAnsi="宋体" w:cs="宋体"/>
          <w:b/>
          <w:bCs/>
          <w:color w:val="auto"/>
          <w:sz w:val="28"/>
          <w:szCs w:val="36"/>
          <w:highlight w:val="none"/>
          <w:lang w:val="en-US" w:eastAsia="zh-CN"/>
        </w:rPr>
      </w:pPr>
      <w:r>
        <w:rPr>
          <w:rFonts w:hint="eastAsia" w:ascii="宋体" w:hAnsi="宋体" w:cs="宋体"/>
          <w:color w:val="auto"/>
          <w:highlight w:val="none"/>
        </w:rPr>
        <w:t>注：1、小数点后保留一位小数。2、各评标委员会成员自行按以上参考分值评分。3、重大事件由评标委员会集体讨论，应当按照少数服从多数的原则作出结论。</w:t>
      </w:r>
    </w:p>
    <w:p>
      <w:pPr>
        <w:rPr>
          <w:rFonts w:hint="eastAsia" w:ascii="宋体" w:hAnsi="宋体" w:cs="宋体"/>
          <w:b/>
          <w:bCs/>
          <w:color w:val="auto"/>
          <w:sz w:val="28"/>
          <w:szCs w:val="36"/>
          <w:highlight w:val="none"/>
          <w:lang w:val="en-US" w:eastAsia="zh-CN"/>
        </w:rPr>
      </w:pPr>
    </w:p>
    <w:p>
      <w:pPr>
        <w:rPr>
          <w:rFonts w:hint="eastAsia" w:ascii="宋体" w:hAnsi="宋体" w:cs="宋体"/>
          <w:b/>
          <w:bCs/>
          <w:color w:val="auto"/>
          <w:sz w:val="28"/>
          <w:szCs w:val="36"/>
          <w:highlight w:val="none"/>
          <w:lang w:val="en-US" w:eastAsia="zh-CN"/>
        </w:rPr>
      </w:pPr>
    </w:p>
    <w:p>
      <w:pPr>
        <w:rPr>
          <w:rFonts w:hint="eastAsia" w:ascii="宋体" w:hAnsi="宋体" w:cs="宋体"/>
          <w:b/>
          <w:bCs/>
          <w:color w:val="auto"/>
          <w:sz w:val="28"/>
          <w:szCs w:val="36"/>
          <w:highlight w:val="none"/>
          <w:lang w:val="en-US" w:eastAsia="zh-CN"/>
        </w:rPr>
      </w:pPr>
      <w:r>
        <w:rPr>
          <w:rFonts w:hint="eastAsia" w:ascii="宋体" w:hAnsi="宋体" w:cs="宋体"/>
          <w:b/>
          <w:bCs/>
          <w:color w:val="auto"/>
          <w:sz w:val="28"/>
          <w:szCs w:val="36"/>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宋体" w:hAnsi="宋体" w:eastAsia="宋体" w:cs="宋体"/>
          <w:b/>
          <w:bCs/>
          <w:color w:val="auto"/>
          <w:sz w:val="28"/>
          <w:szCs w:val="36"/>
          <w:highlight w:val="none"/>
          <w:lang w:val="en-US" w:eastAsia="zh-CN"/>
        </w:rPr>
      </w:pPr>
      <w:r>
        <w:rPr>
          <w:rFonts w:hint="eastAsia" w:ascii="宋体" w:hAnsi="宋体" w:cs="宋体"/>
          <w:b/>
          <w:bCs/>
          <w:color w:val="auto"/>
          <w:sz w:val="28"/>
          <w:szCs w:val="36"/>
          <w:highlight w:val="none"/>
          <w:lang w:val="en-US" w:eastAsia="zh-CN"/>
        </w:rPr>
        <w:t>标项三：</w:t>
      </w:r>
    </w:p>
    <w:tbl>
      <w:tblPr>
        <w:tblStyle w:val="35"/>
        <w:tblW w:w="9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7"/>
        <w:gridCol w:w="1170"/>
        <w:gridCol w:w="6000"/>
        <w:gridCol w:w="660"/>
        <w:gridCol w:w="6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07"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评分内容</w:t>
            </w:r>
          </w:p>
        </w:tc>
        <w:tc>
          <w:tcPr>
            <w:tcW w:w="66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分值</w:t>
            </w:r>
          </w:p>
        </w:tc>
        <w:tc>
          <w:tcPr>
            <w:tcW w:w="652"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37"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技术商务分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90分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1、技术响应（10分）</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根据供应商提供的服务（技术）响应情况进行评审：完全符合采购文件“第二章 采购需求 二、技术要求”所有指标的得10分；若存在负偏离的，每负偏离一条扣2分。</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注：当有供应商此项分值扣减至0分时，该供应商投标将被拒绝，其投标文件作无效标处理，不再进行评审。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p>
        </w:tc>
        <w:tc>
          <w:tcPr>
            <w:tcW w:w="65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客观评审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3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2、项目理解情况（12分）</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根据供应商对项目建设总体理解情况，建设目标分析是否明确、是否完善，需求理解是否充分、是否精准，设计思路是否全面、是否合理的情况进行评议。内容欠合理的每项扣0.5分，内容不合理的每项扣1分，无相关内容的不得分，扣完为止，本项最高得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p>
        </w:tc>
        <w:tc>
          <w:tcPr>
            <w:tcW w:w="65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3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根据供应商是否熟悉项目现有情况，系统架构理解是否清晰、是否全面，项目系统兼容是否考虑周全，数据对接能力是否专业的情况进行评议。内容欠合理的每项扣0.5分，内容不合理的每项扣1分，无相关内容的不得分，扣完为止，本项最高得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p>
        </w:tc>
        <w:tc>
          <w:tcPr>
            <w:tcW w:w="65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3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（3）重难点分析及处理:</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供应商针对本项目的难点要点分析是否符合项目特征、分析是否全面以及相应的解决措施是否详细、是否符合项目要求的情况进行评议。内容欠合理的每项扣0.5分，内容不合理的每项扣1分，无相关内容的不得分，扣完为止，本项最高得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p>
        </w:tc>
        <w:tc>
          <w:tcPr>
            <w:tcW w:w="65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3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3、实施方案（20分）</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none"/>
                <w:lang w:val="en-US" w:eastAsia="zh-CN"/>
              </w:rPr>
              <w:t>（1）根据供应商提供的系统架构设计是否符合项目需求、系统分解逻辑是否合理、技术选型分析是否全面、性能是否高效、安全性是否具有保障的情况进行评议。内容欠合理的每项扣0.5分，内容不合理的每项扣1分，无相关内容的不得分，扣完为止，本项最高得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p>
        </w:tc>
        <w:tc>
          <w:tcPr>
            <w:tcW w:w="65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3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根据供应商提供的技术方案是否具有针对性、是否具有可实施性，技术思路是否严谨、关键技术是否专业、详细功能设计及功能模块设置是否合理的情况进行评议。内容欠合理的每项扣0.5分，内容不合理的每项扣1分，无相关内容的不得分，扣完为止，本项最高得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p>
        </w:tc>
        <w:tc>
          <w:tcPr>
            <w:tcW w:w="65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3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根据供应商提供的项目实施方案、管理方案、研发方案、质量保证措施是否详尽、是否合理全面的情况进行评议。内容欠合理的每项扣0.5分，内容不合理的每项扣1分，无相关内容的不得分，扣完为止，本项最高得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p>
        </w:tc>
        <w:tc>
          <w:tcPr>
            <w:tcW w:w="65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3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根据供应商提供的工期安排、工期安排保证措施、施工进度计划安排是否详尽、是否合理全面的情况进行评议。内容欠合理的每项扣0.5分，内容不合理的每项扣1分，无相关内容的不得分，扣完为止，本项最高得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p>
        </w:tc>
        <w:tc>
          <w:tcPr>
            <w:tcW w:w="65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3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4、系统对接方案（9分）</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供应商需充分调研、理解并阐述天一阁气象站平台可用的数据目录、字段标准、对接标准、对接方式，形成对接方案。根据对接方案是否合理进行评议，内容欠合理的每项扣0.5分，内容不合理的每项扣1分，无相关内容的不得分，扣完为止，本项最高得3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p>
        </w:tc>
        <w:tc>
          <w:tcPr>
            <w:tcW w:w="65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3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供应商需充分调研、理解并阐述天一阁业务系统中的环境监测系统可用的数据目录、字段标准、对接标准、对接方式，形成对接方案。根据对接方案是否合理进行评议，内容欠合理的每项扣0.5分，内容不合理的每项扣1分，无相关内容的不得分，扣完为止，本项最高得3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p>
        </w:tc>
        <w:tc>
          <w:tcPr>
            <w:tcW w:w="65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3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供应商需充分调研、理解并阐述天一阁消防水池液位系统可用的数据目录、字段标准、对接标准、对接方式，形成对接方案。根据对接方案是否合理进行评议，内容欠合理的每项扣0.5分，内容不合理的每项扣1分，无相关内容的不得分，扣完为止，本项最高得3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p>
        </w:tc>
        <w:tc>
          <w:tcPr>
            <w:tcW w:w="65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3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5、演示（16分）</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根据供应商提供的景区实时客流分析的演示情况符合项目需求内容、内容齐全且操作便捷的情况进行评议。内容欠合理的每项扣0.5分，内容不合理的每项扣1分，无相关内容的不得分，扣完为止，本项最高得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p>
        </w:tc>
        <w:tc>
          <w:tcPr>
            <w:tcW w:w="65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3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根据供应商提供的景区游客综合画像的演示情况符合项目需求内容、内容齐全且操作便捷的情况进行评议。内容欠合理的每项扣0.5分，内容不合理的每项扣1分，无相关内容的不得分，扣完为止，本项最高得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p>
        </w:tc>
        <w:tc>
          <w:tcPr>
            <w:tcW w:w="65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3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根据供应商提供的景区监控识别分析的演示情况符合项目需求内容、内容齐全且操作便捷的情况进行评议。内容欠合理的每项扣0.5分，内容不合理的每项扣1分，无相关内容的不得分，扣完为止，本项最高得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p>
        </w:tc>
        <w:tc>
          <w:tcPr>
            <w:tcW w:w="65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3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根据供应商提供的景区环境监测报警的演示情况符合项目需求内容、内容齐全且操作便捷的情况进行评议。内容欠合理的每项扣0.5分，内容不合理的每项扣1分，无相关内容的不得分，扣完为止，本项最高得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p>
        </w:tc>
        <w:tc>
          <w:tcPr>
            <w:tcW w:w="65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3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注：各供应商需将以上演示内容现场演示，演示时间不超过15分钟。供应商采用demo演示的，最高可得16分。其他形式进行演示的，最高只能得8分（单项最高只能得一半的分数）。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w:t>
            </w:r>
          </w:p>
        </w:tc>
        <w:tc>
          <w:tcPr>
            <w:tcW w:w="65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3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6、拟投入人员配备（9分）</w:t>
            </w:r>
          </w:p>
        </w:tc>
        <w:tc>
          <w:tcPr>
            <w:tcW w:w="60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（1）项目经理1人（4分）：</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供应商拟派项目经理具有信息系统项目管理师（高级）认证证书、注册信息安全专业人员（CISP）、数据库系统工程师证书、网络工程师中级及以上，每个得2分。满分4分。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p>
        </w:tc>
        <w:tc>
          <w:tcPr>
            <w:tcW w:w="652"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客观评审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3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p>
        </w:tc>
        <w:tc>
          <w:tcPr>
            <w:tcW w:w="60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（2）技术负责人1人（2分）：</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供应商拟派技术负责人具有信息系统项目管理师（高级）、网络规划设计师，每个得2分。满分2分。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p>
        </w:tc>
        <w:tc>
          <w:tcPr>
            <w:tcW w:w="65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3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p>
        </w:tc>
        <w:tc>
          <w:tcPr>
            <w:tcW w:w="60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（3）项目组其他成员（3分）：</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供应商拟派项目组成员具有软件设计师证书、中级及以上工程师、注册信息安全专业人员（CISP），每个得1分。满分3分（若1人同时具有多类证书，只能按其中一类证书计算其得分）。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p>
        </w:tc>
        <w:tc>
          <w:tcPr>
            <w:tcW w:w="652"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3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p>
        </w:tc>
        <w:tc>
          <w:tcPr>
            <w:tcW w:w="60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注：投标文件中提供人员证书复印件加盖公章以及开标前3个月（其中1个月即可）社保缴纳证明材料复印件并加盖公章。材料不齐全的不得分。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p>
        </w:tc>
        <w:tc>
          <w:tcPr>
            <w:tcW w:w="65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3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7、履约能力（4分）</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供应商具有质量管理体系认证证书、环境管理体系认证证书，每个得2分。满分4分。</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注：投标文件中提供有效的证书复印件并加盖公章，未提供不得分。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p>
        </w:tc>
        <w:tc>
          <w:tcPr>
            <w:tcW w:w="65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客观评审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3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8、售后服务方案（5分）</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供应商提供的售后服务方案及应急措施，从服务承诺、服务保障、服务内容、响应时间、响应方式、服务体系、满足客户要求、系统出现故障后的服务响应速度情况等进行评议。内容欠合理的每项扣0.5分，内容不合理的每项扣1分，无相关内容的不得分，扣完为止，本项最高得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p>
        </w:tc>
        <w:tc>
          <w:tcPr>
            <w:tcW w:w="65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3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9、培训方案（4分）</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供应商的培训方案是否详尽、是否全面，培训计划安排是否合理、培训人员能力是否突出、人员专业技术是否齐全的情况进行评议。内容欠合理的每项扣0.5分，内容不合理的每项扣1分，无相关内容的不得分，扣完为止，本项最高得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p>
        </w:tc>
        <w:tc>
          <w:tcPr>
            <w:tcW w:w="65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3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p>
        </w:tc>
        <w:tc>
          <w:tcPr>
            <w:tcW w:w="11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10、业绩（1分）</w:t>
            </w:r>
          </w:p>
        </w:tc>
        <w:tc>
          <w:tcPr>
            <w:tcW w:w="60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自2019年1月1日以来（以合同签订时间为准），供应商具有同类软件建设项目业绩的，每提供一个得0.5分。满分1分。</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注：投标文件中须提供合同复印件，未提供不得分。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65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客观评审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37" w:type="dxa"/>
            <w:tcBorders>
              <w:top w:val="single" w:color="000000" w:sz="4" w:space="0"/>
              <w:left w:val="single" w:color="000000" w:sz="8"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价格分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10分</w:t>
            </w:r>
          </w:p>
        </w:tc>
        <w:tc>
          <w:tcPr>
            <w:tcW w:w="717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参与评审的价格=有效的投标报价；</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基准价=满足采购文件要求且最低的参与评审的价格，基准价10分；</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其余供应商得分为：报价得分=（基准价/参与评审的价格）×10%×100。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p>
        </w:tc>
        <w:tc>
          <w:tcPr>
            <w:tcW w:w="65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客观评审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07"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满分100分</w:t>
            </w:r>
          </w:p>
        </w:tc>
        <w:tc>
          <w:tcPr>
            <w:tcW w:w="660"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100</w:t>
            </w:r>
          </w:p>
        </w:tc>
        <w:tc>
          <w:tcPr>
            <w:tcW w:w="652"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cs="宋体"/>
          <w:color w:val="auto"/>
          <w:highlight w:val="none"/>
        </w:rPr>
      </w:pPr>
      <w:r>
        <w:rPr>
          <w:rFonts w:hint="eastAsia" w:ascii="宋体" w:hAnsi="宋体" w:cs="宋体"/>
          <w:color w:val="auto"/>
          <w:highlight w:val="none"/>
        </w:rPr>
        <w:t>注：1、小数点后保留一位小数。2、各评标委员会成员自行按以上参考分值评分。3、重大事件由评标委员会集体讨论，应当按照少数服从多数的原则作出结论。</w:t>
      </w:r>
    </w:p>
    <w:p>
      <w:pPr>
        <w:keepNext w:val="0"/>
        <w:keepLines w:val="0"/>
        <w:pageBreakBefore w:val="0"/>
        <w:widowControl w:val="0"/>
        <w:kinsoku/>
        <w:wordWrap/>
        <w:overflowPunct/>
        <w:topLinePunct w:val="0"/>
        <w:autoSpaceDE/>
        <w:autoSpaceDN/>
        <w:bidi w:val="0"/>
        <w:adjustRightInd/>
        <w:snapToGrid/>
        <w:spacing w:line="312" w:lineRule="auto"/>
        <w:textAlignment w:val="auto"/>
        <w:outlineLvl w:val="9"/>
        <w:rPr>
          <w:rFonts w:hint="eastAsia" w:ascii="宋体" w:hAnsi="宋体" w:cs="宋体"/>
          <w:b/>
          <w:color w:val="auto"/>
          <w:szCs w:val="21"/>
          <w:highlight w:val="none"/>
        </w:rPr>
      </w:pPr>
      <w:bookmarkStart w:id="39" w:name="_Toc9029"/>
    </w:p>
    <w:p>
      <w:pPr>
        <w:keepNext w:val="0"/>
        <w:keepLines w:val="0"/>
        <w:pageBreakBefore w:val="0"/>
        <w:widowControl w:val="0"/>
        <w:kinsoku/>
        <w:wordWrap/>
        <w:overflowPunct/>
        <w:topLinePunct w:val="0"/>
        <w:autoSpaceDE/>
        <w:autoSpaceDN/>
        <w:bidi w:val="0"/>
        <w:adjustRightInd/>
        <w:snapToGrid/>
        <w:spacing w:line="312" w:lineRule="auto"/>
        <w:textAlignment w:val="auto"/>
        <w:outlineLvl w:val="9"/>
        <w:rPr>
          <w:rFonts w:ascii="宋体" w:hAnsi="宋体" w:cs="宋体"/>
          <w:b/>
          <w:color w:val="auto"/>
          <w:szCs w:val="21"/>
          <w:highlight w:val="none"/>
        </w:rPr>
      </w:pPr>
      <w:r>
        <w:rPr>
          <w:rFonts w:hint="eastAsia" w:ascii="宋体" w:hAnsi="宋体" w:cs="宋体"/>
          <w:b/>
          <w:color w:val="auto"/>
          <w:szCs w:val="21"/>
          <w:highlight w:val="none"/>
        </w:rPr>
        <w:t>六、定标</w:t>
      </w:r>
      <w:bookmarkEnd w:id="39"/>
    </w:p>
    <w:p>
      <w:pPr>
        <w:keepNext w:val="0"/>
        <w:keepLines w:val="0"/>
        <w:pageBreakBefore w:val="0"/>
        <w:widowControl w:val="0"/>
        <w:kinsoku/>
        <w:wordWrap/>
        <w:overflowPunct/>
        <w:topLinePunct w:val="0"/>
        <w:autoSpaceDE/>
        <w:autoSpaceDN/>
        <w:bidi w:val="0"/>
        <w:adjustRightInd/>
        <w:snapToGrid/>
        <w:spacing w:line="312" w:lineRule="auto"/>
        <w:ind w:firstLine="413" w:firstLineChars="196"/>
        <w:textAlignment w:val="auto"/>
        <w:outlineLvl w:val="9"/>
        <w:rPr>
          <w:rFonts w:ascii="宋体" w:hAnsi="宋体" w:cs="宋体"/>
          <w:b/>
          <w:bCs/>
          <w:color w:val="auto"/>
          <w:szCs w:val="21"/>
          <w:highlight w:val="none"/>
        </w:rPr>
      </w:pPr>
      <w:r>
        <w:rPr>
          <w:rFonts w:hint="eastAsia" w:ascii="宋体" w:hAnsi="宋体" w:cs="宋体"/>
          <w:b/>
          <w:bCs/>
          <w:color w:val="auto"/>
          <w:szCs w:val="21"/>
          <w:highlight w:val="none"/>
        </w:rPr>
        <w:t>（一）确定中标人。本项目由采购人（或采购人事先授权评标委员会）确定中标人。</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1.采购代理机构在评标结束后将评标报告交采购人确认。</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2.供应商对评标结果无异议的，采购人应在收到评标报告后5个工作日内对评标结果进行确认（确认排名第一的中标候选人为中标人）。如有供应商对评标结果提出质疑的，采购人可在质疑处理完毕后确定中标人。</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3.采购人依法确定中标人后2个工作日内，采购代理机构以书面形式发出《中标通知书》,并同时在相关网站上发布中标公告。</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本项目公告期限为1个工作日，各参加政府采购活动的供应商认为该中标/成交结果和采购过程等使自己的权益受到损害的，可以自公告期限届满之日（公告发布之日后第2个工作日）起7个工作日内，以书面形式向采购人或受其委托的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4.若中标人放弃中标，或因不可抗力提出不能履行合同，或不按招标文件规定提交履约担保，或其它原因被依法撤销中标资格，则采购人可确定排名次之的中标候选人为中标人或重新组织招标。</w:t>
      </w:r>
    </w:p>
    <w:p>
      <w:pPr>
        <w:keepNext w:val="0"/>
        <w:keepLines w:val="0"/>
        <w:pageBreakBefore w:val="0"/>
        <w:widowControl w:val="0"/>
        <w:kinsoku/>
        <w:wordWrap/>
        <w:overflowPunct/>
        <w:topLinePunct w:val="0"/>
        <w:autoSpaceDE/>
        <w:autoSpaceDN/>
        <w:bidi w:val="0"/>
        <w:adjustRightInd/>
        <w:snapToGrid/>
        <w:spacing w:line="312" w:lineRule="auto"/>
        <w:textAlignment w:val="auto"/>
        <w:outlineLvl w:val="9"/>
        <w:rPr>
          <w:rFonts w:ascii="宋体" w:hAnsi="宋体" w:cs="宋体"/>
          <w:b/>
          <w:bCs/>
          <w:color w:val="auto"/>
          <w:szCs w:val="21"/>
          <w:highlight w:val="none"/>
        </w:rPr>
      </w:pPr>
      <w:r>
        <w:rPr>
          <w:rFonts w:hint="eastAsia" w:ascii="宋体" w:hAnsi="宋体" w:cs="宋体"/>
          <w:b/>
          <w:bCs/>
          <w:color w:val="auto"/>
          <w:szCs w:val="21"/>
          <w:highlight w:val="none"/>
        </w:rPr>
        <w:t>七、评标过程的监控与保密</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1、本项目评标过程实行全程录音、录像监控，供应商在评标过程中所进行的试图影响评标结果的不公正活动，可能导致其投标被拒绝。</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2、开标后到中标通知书发出之前，所有涉及评标委员会名单以及对投标文件的澄清、评价、比较等情况，评标委员会成员、采购人和采购代理机构的有关人员均不得向供应商或其他无关人员透露。</w:t>
      </w:r>
    </w:p>
    <w:p>
      <w:pPr>
        <w:keepNext w:val="0"/>
        <w:keepLines w:val="0"/>
        <w:pageBreakBefore w:val="0"/>
        <w:widowControl w:val="0"/>
        <w:kinsoku/>
        <w:wordWrap/>
        <w:overflowPunct/>
        <w:topLinePunct w:val="0"/>
        <w:autoSpaceDE/>
        <w:autoSpaceDN/>
        <w:bidi w:val="0"/>
        <w:adjustRightInd/>
        <w:snapToGrid/>
        <w:spacing w:line="312" w:lineRule="auto"/>
        <w:textAlignment w:val="auto"/>
        <w:outlineLvl w:val="9"/>
        <w:rPr>
          <w:rFonts w:ascii="宋体" w:hAnsi="宋体" w:cs="宋体"/>
          <w:b/>
          <w:bCs/>
          <w:color w:val="auto"/>
          <w:szCs w:val="21"/>
          <w:highlight w:val="none"/>
        </w:rPr>
      </w:pPr>
      <w:bookmarkStart w:id="40" w:name="_Toc17747"/>
      <w:r>
        <w:rPr>
          <w:rFonts w:hint="eastAsia" w:ascii="宋体" w:hAnsi="宋体" w:cs="宋体"/>
          <w:b/>
          <w:color w:val="auto"/>
          <w:szCs w:val="21"/>
          <w:highlight w:val="none"/>
        </w:rPr>
        <w:t>八、合同授予</w:t>
      </w:r>
      <w:bookmarkEnd w:id="40"/>
      <w:r>
        <w:rPr>
          <w:rFonts w:hint="eastAsia" w:ascii="宋体" w:hAnsi="宋体" w:cs="宋体"/>
          <w:b/>
          <w:color w:val="auto"/>
          <w:szCs w:val="21"/>
          <w:highlight w:val="none"/>
        </w:rPr>
        <w:t>：</w:t>
      </w:r>
      <w:r>
        <w:rPr>
          <w:rFonts w:hint="eastAsia" w:ascii="宋体" w:hAnsi="宋体" w:cs="宋体"/>
          <w:b/>
          <w:bCs/>
          <w:color w:val="auto"/>
          <w:szCs w:val="21"/>
          <w:highlight w:val="none"/>
        </w:rPr>
        <w:t>签订合同</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outlineLvl w:val="9"/>
        <w:rPr>
          <w:rFonts w:ascii="宋体" w:hAnsi="宋体" w:cs="宋体"/>
          <w:color w:val="auto"/>
          <w:kern w:val="0"/>
          <w:szCs w:val="21"/>
          <w:highlight w:val="none"/>
        </w:rPr>
      </w:pPr>
      <w:r>
        <w:rPr>
          <w:rFonts w:hint="eastAsia" w:ascii="宋体" w:hAnsi="宋体" w:cs="宋体"/>
          <w:color w:val="auto"/>
          <w:szCs w:val="21"/>
          <w:highlight w:val="none"/>
        </w:rPr>
        <w:t>1.</w:t>
      </w:r>
      <w:r>
        <w:rPr>
          <w:rFonts w:hint="eastAsia" w:ascii="宋体" w:hAnsi="宋体" w:cs="宋体"/>
          <w:color w:val="auto"/>
          <w:kern w:val="0"/>
          <w:szCs w:val="21"/>
          <w:highlight w:val="none"/>
        </w:rPr>
        <w:t>采购人应当自中标通知书发出之日起30日内，按照招标文件和中标人投标文件的规定，与中标人签订书面合同。所签订的合同不得对招标文件确定的事项和中标人投标文件作实质性修改。</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kern w:val="0"/>
          <w:szCs w:val="21"/>
          <w:highlight w:val="none"/>
        </w:rPr>
        <w:t>采购人不得向中标人提出任何不合理的要求作为签订合同的条件。</w:t>
      </w:r>
    </w:p>
    <w:p>
      <w:pPr>
        <w:keepNext w:val="0"/>
        <w:keepLines w:val="0"/>
        <w:pageBreakBefore w:val="0"/>
        <w:widowControl w:val="0"/>
        <w:kinsoku/>
        <w:wordWrap/>
        <w:overflowPunct/>
        <w:topLinePunct w:val="0"/>
        <w:autoSpaceDE/>
        <w:autoSpaceDN/>
        <w:bidi w:val="0"/>
        <w:adjustRightInd/>
        <w:snapToGrid/>
        <w:spacing w:line="312" w:lineRule="auto"/>
        <w:ind w:firstLine="411" w:firstLineChars="196"/>
        <w:textAlignment w:val="auto"/>
        <w:outlineLvl w:val="9"/>
        <w:rPr>
          <w:rFonts w:ascii="宋体" w:hAnsi="宋体" w:cs="宋体"/>
          <w:bCs/>
          <w:color w:val="auto"/>
          <w:szCs w:val="21"/>
          <w:highlight w:val="none"/>
        </w:rPr>
      </w:pPr>
      <w:r>
        <w:rPr>
          <w:rFonts w:hint="eastAsia" w:ascii="宋体" w:hAnsi="宋体" w:cs="宋体"/>
          <w:bCs/>
          <w:color w:val="auto"/>
          <w:szCs w:val="21"/>
          <w:highlight w:val="none"/>
        </w:rPr>
        <w:t>2</w:t>
      </w:r>
      <w:r>
        <w:rPr>
          <w:rFonts w:hint="eastAsia" w:ascii="宋体" w:hAnsi="宋体" w:cs="宋体"/>
          <w:color w:val="auto"/>
          <w:szCs w:val="21"/>
          <w:highlight w:val="none"/>
        </w:rPr>
        <w:t>.</w:t>
      </w:r>
      <w:r>
        <w:rPr>
          <w:rFonts w:hint="eastAsia" w:ascii="宋体" w:hAnsi="宋体" w:cs="宋体"/>
          <w:bCs/>
          <w:color w:val="auto"/>
          <w:szCs w:val="21"/>
          <w:highlight w:val="none"/>
        </w:rPr>
        <w:t>采购人在签订合同时，在合同金额变更范围内，如需审批的办理相关审批手续。有权变更采购项目的数量和服务内容，但不能对单价或其他条款和条件作任何改变。</w:t>
      </w:r>
    </w:p>
    <w:p>
      <w:pPr>
        <w:keepNext w:val="0"/>
        <w:keepLines w:val="0"/>
        <w:pageBreakBefore w:val="0"/>
        <w:widowControl w:val="0"/>
        <w:kinsoku/>
        <w:wordWrap/>
        <w:overflowPunct/>
        <w:topLinePunct w:val="0"/>
        <w:autoSpaceDE/>
        <w:autoSpaceDN/>
        <w:bidi w:val="0"/>
        <w:adjustRightInd/>
        <w:snapToGrid/>
        <w:spacing w:line="312" w:lineRule="auto"/>
        <w:ind w:firstLine="411" w:firstLineChars="196"/>
        <w:textAlignment w:val="auto"/>
        <w:outlineLvl w:val="9"/>
        <w:rPr>
          <w:rFonts w:ascii="宋体" w:hAnsi="宋体" w:cs="宋体"/>
          <w:bCs/>
          <w:color w:val="auto"/>
          <w:szCs w:val="21"/>
          <w:highlight w:val="none"/>
        </w:rPr>
      </w:pPr>
      <w:r>
        <w:rPr>
          <w:rFonts w:hint="eastAsia" w:ascii="宋体" w:hAnsi="宋体" w:cs="宋体"/>
          <w:bCs/>
          <w:color w:val="auto"/>
          <w:szCs w:val="21"/>
          <w:highlight w:val="none"/>
        </w:rPr>
        <w:t>3</w:t>
      </w:r>
      <w:r>
        <w:rPr>
          <w:rFonts w:hint="eastAsia" w:ascii="宋体" w:hAnsi="宋体" w:cs="宋体"/>
          <w:color w:val="auto"/>
          <w:szCs w:val="21"/>
          <w:highlight w:val="none"/>
        </w:rPr>
        <w:t>.</w:t>
      </w:r>
      <w:r>
        <w:rPr>
          <w:rFonts w:hint="eastAsia" w:ascii="宋体" w:hAnsi="宋体" w:cs="宋体"/>
          <w:bCs/>
          <w:color w:val="auto"/>
          <w:szCs w:val="21"/>
          <w:highlight w:val="none"/>
        </w:rPr>
        <w:t>招标文件、</w:t>
      </w:r>
      <w:r>
        <w:rPr>
          <w:rFonts w:hint="eastAsia" w:ascii="宋体" w:hAnsi="宋体" w:cs="宋体"/>
          <w:color w:val="auto"/>
          <w:szCs w:val="21"/>
          <w:highlight w:val="none"/>
        </w:rPr>
        <w:t>中标人</w:t>
      </w:r>
      <w:r>
        <w:rPr>
          <w:rFonts w:hint="eastAsia" w:ascii="宋体" w:hAnsi="宋体" w:cs="宋体"/>
          <w:bCs/>
          <w:color w:val="auto"/>
          <w:szCs w:val="21"/>
          <w:highlight w:val="none"/>
        </w:rPr>
        <w:t>的投标文件及评标过程中有关的澄清文件均应作为合同签订的附件。</w:t>
      </w:r>
    </w:p>
    <w:p>
      <w:pPr>
        <w:keepNext w:val="0"/>
        <w:keepLines w:val="0"/>
        <w:pageBreakBefore w:val="0"/>
        <w:widowControl w:val="0"/>
        <w:kinsoku/>
        <w:wordWrap/>
        <w:overflowPunct/>
        <w:topLinePunct w:val="0"/>
        <w:autoSpaceDE/>
        <w:autoSpaceDN/>
        <w:bidi w:val="0"/>
        <w:adjustRightInd/>
        <w:snapToGrid/>
        <w:spacing w:line="312" w:lineRule="auto"/>
        <w:ind w:firstLine="411" w:firstLineChars="196"/>
        <w:textAlignment w:val="auto"/>
        <w:outlineLvl w:val="9"/>
        <w:rPr>
          <w:rFonts w:ascii="宋体" w:hAnsi="宋体" w:cs="宋体"/>
          <w:bCs/>
          <w:color w:val="auto"/>
          <w:szCs w:val="21"/>
          <w:highlight w:val="none"/>
        </w:rPr>
      </w:pPr>
      <w:r>
        <w:rPr>
          <w:rFonts w:hint="eastAsia" w:ascii="宋体" w:hAnsi="宋体" w:cs="宋体"/>
          <w:bCs/>
          <w:color w:val="auto"/>
          <w:szCs w:val="21"/>
          <w:highlight w:val="none"/>
        </w:rPr>
        <w:t>4.中标或者成交供应商拒绝与采购人签订合同的，采购人应重新招标。</w:t>
      </w:r>
    </w:p>
    <w:p>
      <w:pPr>
        <w:keepNext w:val="0"/>
        <w:keepLines w:val="0"/>
        <w:pageBreakBefore w:val="0"/>
        <w:widowControl w:val="0"/>
        <w:kinsoku/>
        <w:wordWrap/>
        <w:overflowPunct/>
        <w:topLinePunct w:val="0"/>
        <w:autoSpaceDE/>
        <w:autoSpaceDN/>
        <w:bidi w:val="0"/>
        <w:adjustRightInd/>
        <w:snapToGrid/>
        <w:spacing w:line="312" w:lineRule="auto"/>
        <w:ind w:firstLine="411" w:firstLineChars="196"/>
        <w:textAlignment w:val="auto"/>
        <w:outlineLvl w:val="9"/>
        <w:rPr>
          <w:rFonts w:ascii="宋体" w:hAnsi="宋体" w:cs="宋体"/>
          <w:bCs/>
          <w:color w:val="auto"/>
          <w:szCs w:val="21"/>
          <w:highlight w:val="none"/>
        </w:rPr>
      </w:pPr>
      <w:r>
        <w:rPr>
          <w:rFonts w:hint="eastAsia" w:ascii="宋体" w:hAnsi="宋体" w:cs="宋体"/>
          <w:bCs/>
          <w:color w:val="auto"/>
          <w:szCs w:val="21"/>
          <w:highlight w:val="none"/>
        </w:rPr>
        <w:t>5.中标人如不遵守招标文件或投标文件各项条款的邀约与要约，或在接到中标通知书后借故拖延，拒签合同的，采购人将按《浙江省政府采购供应商注册及诚信管理暂行办法》的规定上报诚信状况。给采购人造成的损失的还应当予以赔偿。</w:t>
      </w:r>
    </w:p>
    <w:p>
      <w:pPr>
        <w:keepNext w:val="0"/>
        <w:keepLines w:val="0"/>
        <w:pageBreakBefore w:val="0"/>
        <w:widowControl w:val="0"/>
        <w:kinsoku/>
        <w:wordWrap/>
        <w:overflowPunct/>
        <w:topLinePunct w:val="0"/>
        <w:autoSpaceDE/>
        <w:autoSpaceDN/>
        <w:bidi w:val="0"/>
        <w:adjustRightInd/>
        <w:snapToGrid/>
        <w:spacing w:line="312" w:lineRule="auto"/>
        <w:textAlignment w:val="auto"/>
        <w:outlineLvl w:val="9"/>
        <w:rPr>
          <w:rFonts w:ascii="宋体" w:hAnsi="宋体" w:cs="宋体"/>
          <w:b/>
          <w:color w:val="auto"/>
          <w:szCs w:val="21"/>
          <w:highlight w:val="none"/>
        </w:rPr>
      </w:pPr>
      <w:r>
        <w:rPr>
          <w:rFonts w:hint="eastAsia" w:ascii="宋体" w:hAnsi="宋体" w:cs="宋体"/>
          <w:b/>
          <w:color w:val="auto"/>
          <w:szCs w:val="21"/>
          <w:highlight w:val="none"/>
        </w:rPr>
        <w:t>九、履约验收：</w:t>
      </w:r>
    </w:p>
    <w:p>
      <w:pPr>
        <w:keepNext w:val="0"/>
        <w:keepLines w:val="0"/>
        <w:pageBreakBefore w:val="0"/>
        <w:widowControl w:val="0"/>
        <w:kinsoku/>
        <w:wordWrap/>
        <w:overflowPunct/>
        <w:topLinePunct w:val="0"/>
        <w:autoSpaceDE/>
        <w:autoSpaceDN/>
        <w:bidi w:val="0"/>
        <w:adjustRightInd/>
        <w:snapToGrid/>
        <w:spacing w:line="312" w:lineRule="auto"/>
        <w:ind w:firstLine="411" w:firstLineChars="196"/>
        <w:textAlignment w:val="auto"/>
        <w:outlineLvl w:val="9"/>
        <w:rPr>
          <w:rFonts w:ascii="宋体" w:hAnsi="宋体" w:cs="宋体"/>
          <w:bCs/>
          <w:color w:val="auto"/>
          <w:szCs w:val="21"/>
          <w:highlight w:val="none"/>
        </w:rPr>
      </w:pPr>
      <w:r>
        <w:rPr>
          <w:rFonts w:hint="eastAsia" w:ascii="宋体" w:hAnsi="宋体" w:cs="宋体"/>
          <w:bCs/>
          <w:color w:val="auto"/>
          <w:szCs w:val="21"/>
          <w:highlight w:val="none"/>
        </w:rPr>
        <w:t>采购人负责对中标人的履约行为进行验收。政府向社会公众提供的公共服务项目，验收时应当邀请服务对象参与并出具意见，验收结果应当向社会公告。</w:t>
      </w:r>
    </w:p>
    <w:p>
      <w:pPr>
        <w:pageBreakBefore w:val="0"/>
        <w:kinsoku/>
        <w:overflowPunct/>
        <w:bidi w:val="0"/>
        <w:spacing w:line="360" w:lineRule="exact"/>
        <w:outlineLvl w:val="9"/>
        <w:rPr>
          <w:rFonts w:ascii="宋体" w:hAnsi="宋体" w:cs="宋体"/>
          <w:b/>
          <w:color w:val="auto"/>
          <w:sz w:val="28"/>
          <w:szCs w:val="28"/>
          <w:highlight w:val="none"/>
        </w:rPr>
      </w:pPr>
      <w:r>
        <w:rPr>
          <w:rFonts w:hint="eastAsia" w:ascii="宋体" w:hAnsi="宋体" w:cs="宋体"/>
          <w:color w:val="auto"/>
          <w:szCs w:val="21"/>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宋体" w:hAnsi="宋体" w:cs="宋体"/>
          <w:b/>
          <w:bCs/>
          <w:color w:val="auto"/>
          <w:sz w:val="30"/>
          <w:szCs w:val="30"/>
          <w:highlight w:val="none"/>
        </w:rPr>
      </w:pPr>
      <w:bookmarkStart w:id="41" w:name="_Toc2493"/>
      <w:r>
        <w:rPr>
          <w:rFonts w:hint="eastAsia" w:ascii="宋体" w:hAnsi="宋体" w:cs="宋体"/>
          <w:b/>
          <w:bCs/>
          <w:color w:val="auto"/>
          <w:sz w:val="28"/>
          <w:szCs w:val="28"/>
          <w:highlight w:val="none"/>
        </w:rPr>
        <w:t>第五章 政府采购合同主要条款</w:t>
      </w:r>
      <w:bookmarkEnd w:id="41"/>
    </w:p>
    <w:p>
      <w:pPr>
        <w:keepNext/>
        <w:keepLines/>
        <w:pageBreakBefore w:val="0"/>
        <w:tabs>
          <w:tab w:val="center" w:pos="4819"/>
        </w:tabs>
        <w:kinsoku/>
        <w:overflowPunct/>
        <w:bidi w:val="0"/>
        <w:spacing w:before="200" w:after="200" w:line="360" w:lineRule="auto"/>
        <w:jc w:val="center"/>
        <w:outlineLvl w:val="9"/>
        <w:rPr>
          <w:rFonts w:ascii="宋体" w:hAnsi="宋体" w:cs="宋体"/>
          <w:color w:val="auto"/>
          <w:sz w:val="24"/>
          <w:szCs w:val="21"/>
          <w:highlight w:val="none"/>
        </w:rPr>
      </w:pPr>
      <w:bookmarkStart w:id="42" w:name="_Toc460356672"/>
      <w:r>
        <w:rPr>
          <w:rFonts w:hint="eastAsia" w:ascii="宋体" w:hAnsi="宋体" w:cs="宋体"/>
          <w:color w:val="auto"/>
          <w:sz w:val="24"/>
          <w:szCs w:val="21"/>
          <w:highlight w:val="none"/>
        </w:rPr>
        <w:t>（仅供参考，可以另行拟定）</w:t>
      </w:r>
      <w:bookmarkEnd w:id="42"/>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（以下简称甲方）</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（以下简称乙方）</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根据《中华人民共和国政府采购法》、《中华人民共和国政府采购法实施条例》、《政府采购货物和服务招标投标管理办法》等法律法规，</w:t>
      </w:r>
      <w:r>
        <w:rPr>
          <w:rFonts w:hint="eastAsia" w:ascii="宋体" w:hAnsi="宋体" w:eastAsia="宋体" w:cs="宋体"/>
          <w:color w:val="auto"/>
          <w:szCs w:val="21"/>
          <w:highlight w:val="none"/>
          <w:u w:val="single"/>
        </w:rPr>
        <w:t>项目名称</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（项目编号：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日，在中基招标会议中心进行公开招标，经结果公告确定由乙方中标。按照《中华人民共和国民法典》的有关规定，在自愿、平等、公平、诚信的基础上，经双方协商一致，签订本合同。</w:t>
      </w:r>
    </w:p>
    <w:p>
      <w:pPr>
        <w:pageBreakBefore w:val="0"/>
        <w:widowControl w:val="0"/>
        <w:kinsoku/>
        <w:overflowPunct/>
        <w:topLinePunct w:val="0"/>
        <w:bidi w:val="0"/>
        <w:spacing w:before="0" w:beforeLines="0" w:after="0" w:afterLines="0" w:line="360" w:lineRule="auto"/>
        <w:ind w:firstLine="420" w:firstLineChars="200"/>
        <w:jc w:val="both"/>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下述文件作为附件，是合同的一部分，并与本合同一起阅读和解释：</w:t>
      </w:r>
    </w:p>
    <w:p>
      <w:pPr>
        <w:pageBreakBefore w:val="0"/>
        <w:widowControl w:val="0"/>
        <w:kinsoku/>
        <w:overflowPunct/>
        <w:topLinePunct w:val="0"/>
        <w:bidi w:val="0"/>
        <w:spacing w:before="0" w:beforeLines="0" w:after="0" w:afterLines="0" w:line="360" w:lineRule="auto"/>
        <w:ind w:firstLine="420" w:firstLineChars="200"/>
        <w:jc w:val="both"/>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a.招标文件；</w:t>
      </w:r>
    </w:p>
    <w:p>
      <w:pPr>
        <w:pageBreakBefore w:val="0"/>
        <w:widowControl w:val="0"/>
        <w:kinsoku/>
        <w:overflowPunct/>
        <w:topLinePunct w:val="0"/>
        <w:bidi w:val="0"/>
        <w:spacing w:before="0" w:beforeLines="0" w:after="0" w:afterLines="0" w:line="360" w:lineRule="auto"/>
        <w:ind w:firstLine="420" w:firstLineChars="200"/>
        <w:jc w:val="both"/>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b.投标文件及澄清文件；</w:t>
      </w:r>
    </w:p>
    <w:p>
      <w:pPr>
        <w:pageBreakBefore w:val="0"/>
        <w:widowControl w:val="0"/>
        <w:kinsoku/>
        <w:overflowPunct/>
        <w:topLinePunct w:val="0"/>
        <w:bidi w:val="0"/>
        <w:spacing w:before="0" w:beforeLines="0" w:after="0" w:afterLines="0" w:line="360" w:lineRule="auto"/>
        <w:ind w:firstLine="420" w:firstLineChars="200"/>
        <w:jc w:val="both"/>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c.中标通知书；</w:t>
      </w:r>
    </w:p>
    <w:p>
      <w:pPr>
        <w:pageBreakBefore w:val="0"/>
        <w:widowControl w:val="0"/>
        <w:kinsoku/>
        <w:overflowPunct/>
        <w:topLinePunct w:val="0"/>
        <w:bidi w:val="0"/>
        <w:spacing w:before="0" w:beforeLines="0" w:after="0" w:afterLines="0" w:line="360" w:lineRule="auto"/>
        <w:ind w:firstLine="420" w:firstLineChars="200"/>
        <w:jc w:val="both"/>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上述文件与合同若有不一致之处，优先次序第一应为合同、第二应为附件(附件的优先次序为 c,b,a)。</w:t>
      </w:r>
    </w:p>
    <w:p>
      <w:pPr>
        <w:pageBreakBefore w:val="0"/>
        <w:widowControl w:val="0"/>
        <w:kinsoku/>
        <w:overflowPunct/>
        <w:topLinePunct w:val="0"/>
        <w:bidi w:val="0"/>
        <w:spacing w:before="0" w:beforeLines="0" w:after="0" w:afterLines="0" w:line="360" w:lineRule="auto"/>
        <w:jc w:val="both"/>
        <w:outlineLvl w:val="9"/>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一、项目名称、工期、服务内容</w:t>
      </w:r>
    </w:p>
    <w:p>
      <w:pPr>
        <w:pageBreakBefore w:val="0"/>
        <w:widowControl w:val="0"/>
        <w:kinsoku/>
        <w:overflowPunct/>
        <w:topLinePunct w:val="0"/>
        <w:bidi w:val="0"/>
        <w:spacing w:before="0" w:beforeLines="0" w:after="0" w:afterLines="0" w:line="360" w:lineRule="auto"/>
        <w:jc w:val="both"/>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1.1项目名称：</w:t>
      </w:r>
    </w:p>
    <w:p>
      <w:pPr>
        <w:pageBreakBefore w:val="0"/>
        <w:widowControl w:val="0"/>
        <w:kinsoku/>
        <w:overflowPunct/>
        <w:topLinePunct w:val="0"/>
        <w:bidi w:val="0"/>
        <w:spacing w:before="0" w:beforeLines="0" w:after="0" w:afterLines="0" w:line="360" w:lineRule="auto"/>
        <w:jc w:val="both"/>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1.2工期：</w:t>
      </w:r>
    </w:p>
    <w:p>
      <w:pPr>
        <w:pageBreakBefore w:val="0"/>
        <w:widowControl w:val="0"/>
        <w:kinsoku/>
        <w:overflowPunct/>
        <w:topLinePunct w:val="0"/>
        <w:bidi w:val="0"/>
        <w:spacing w:before="0" w:beforeLines="0" w:after="0" w:afterLines="0" w:line="360" w:lineRule="auto"/>
        <w:jc w:val="both"/>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1.3服务内容：</w:t>
      </w:r>
    </w:p>
    <w:p>
      <w:pPr>
        <w:pageBreakBefore w:val="0"/>
        <w:widowControl w:val="0"/>
        <w:kinsoku/>
        <w:overflowPunct/>
        <w:topLinePunct w:val="0"/>
        <w:bidi w:val="0"/>
        <w:spacing w:before="0" w:beforeLines="0" w:after="0" w:afterLines="0" w:line="360" w:lineRule="auto"/>
        <w:jc w:val="both"/>
        <w:outlineLvl w:val="9"/>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二、合同金额</w:t>
      </w:r>
    </w:p>
    <w:p>
      <w:pPr>
        <w:pageBreakBefore w:val="0"/>
        <w:widowControl w:val="0"/>
        <w:kinsoku/>
        <w:overflowPunct/>
        <w:topLinePunct w:val="0"/>
        <w:bidi w:val="0"/>
        <w:spacing w:before="0" w:beforeLines="0" w:after="0" w:afterLines="0" w:line="360" w:lineRule="auto"/>
        <w:ind w:left="359" w:hanging="359" w:hangingChars="171"/>
        <w:jc w:val="both"/>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2.1本合同金额为（大写）：</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元</w:t>
      </w:r>
      <w:r>
        <w:rPr>
          <w:rFonts w:hint="eastAsia" w:ascii="宋体" w:hAnsi="宋体" w:eastAsia="宋体" w:cs="宋体"/>
          <w:color w:val="auto"/>
          <w:kern w:val="2"/>
          <w:sz w:val="21"/>
          <w:szCs w:val="21"/>
          <w:highlight w:val="none"/>
          <w:u w:val="single"/>
          <w:lang w:val="en-US" w:eastAsia="zh-CN" w:bidi="ar-SA"/>
        </w:rPr>
        <w:t>（￥                元）</w:t>
      </w:r>
      <w:r>
        <w:rPr>
          <w:rFonts w:hint="eastAsia" w:ascii="宋体" w:hAnsi="宋体" w:eastAsia="宋体" w:cs="宋体"/>
          <w:color w:val="auto"/>
          <w:kern w:val="2"/>
          <w:sz w:val="21"/>
          <w:szCs w:val="21"/>
          <w:highlight w:val="none"/>
          <w:lang w:val="en-US" w:eastAsia="zh-CN" w:bidi="ar-SA"/>
        </w:rPr>
        <w:t>人民币。</w:t>
      </w:r>
    </w:p>
    <w:p>
      <w:pPr>
        <w:pageBreakBefore w:val="0"/>
        <w:widowControl w:val="0"/>
        <w:numPr>
          <w:ilvl w:val="0"/>
          <w:numId w:val="9"/>
        </w:numPr>
        <w:kinsoku/>
        <w:overflowPunct/>
        <w:topLinePunct w:val="0"/>
        <w:bidi w:val="0"/>
        <w:spacing w:before="0" w:beforeLines="0" w:after="0" w:afterLines="0" w:line="360" w:lineRule="auto"/>
        <w:ind w:left="358" w:hanging="358" w:hangingChars="170"/>
        <w:jc w:val="both"/>
        <w:outlineLvl w:val="9"/>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履约保证金</w:t>
      </w:r>
    </w:p>
    <w:p>
      <w:pPr>
        <w:pageBreakBefore w:val="0"/>
        <w:kinsoku/>
        <w:overflowPunct/>
        <w:topLinePunct w:val="0"/>
        <w:bidi w:val="0"/>
        <w:spacing w:line="360" w:lineRule="auto"/>
        <w:outlineLvl w:val="9"/>
        <w:rPr>
          <w:rFonts w:hint="eastAsia" w:ascii="宋体" w:hAnsi="宋体" w:eastAsia="宋体" w:cs="宋体"/>
          <w:color w:val="auto"/>
          <w:highlight w:val="none"/>
        </w:rPr>
      </w:pPr>
      <w:r>
        <w:rPr>
          <w:rFonts w:hint="eastAsia" w:ascii="宋体" w:hAnsi="宋体" w:eastAsia="宋体" w:cs="宋体"/>
          <w:color w:val="auto"/>
          <w:highlight w:val="none"/>
        </w:rPr>
        <w:t>3.1履约保证金金额：</w:t>
      </w:r>
    </w:p>
    <w:p>
      <w:pPr>
        <w:pageBreakBefore w:val="0"/>
        <w:kinsoku/>
        <w:overflowPunct/>
        <w:topLinePunct w:val="0"/>
        <w:bidi w:val="0"/>
        <w:spacing w:line="360" w:lineRule="auto"/>
        <w:outlineLvl w:val="9"/>
        <w:rPr>
          <w:rFonts w:hint="eastAsia" w:ascii="宋体" w:hAnsi="宋体" w:eastAsia="宋体" w:cs="宋体"/>
          <w:color w:val="auto"/>
          <w:highlight w:val="none"/>
        </w:rPr>
      </w:pPr>
      <w:r>
        <w:rPr>
          <w:rFonts w:hint="eastAsia" w:ascii="宋体" w:hAnsi="宋体" w:eastAsia="宋体" w:cs="宋体"/>
          <w:color w:val="auto"/>
          <w:highlight w:val="none"/>
        </w:rPr>
        <w:t>3.2履约保证金形式：</w:t>
      </w:r>
    </w:p>
    <w:p>
      <w:pPr>
        <w:pageBreakBefore w:val="0"/>
        <w:kinsoku/>
        <w:overflowPunct/>
        <w:topLinePunct w:val="0"/>
        <w:bidi w:val="0"/>
        <w:spacing w:line="360" w:lineRule="auto"/>
        <w:outlineLvl w:val="9"/>
        <w:rPr>
          <w:rFonts w:hint="eastAsia" w:ascii="宋体" w:hAnsi="宋体" w:eastAsia="宋体" w:cs="宋体"/>
          <w:color w:val="auto"/>
          <w:highlight w:val="none"/>
        </w:rPr>
      </w:pPr>
      <w:r>
        <w:rPr>
          <w:rFonts w:hint="eastAsia" w:ascii="宋体" w:hAnsi="宋体" w:eastAsia="宋体" w:cs="宋体"/>
          <w:color w:val="auto"/>
          <w:highlight w:val="none"/>
        </w:rPr>
        <w:t>3.3担保收件人：</w:t>
      </w:r>
    </w:p>
    <w:p>
      <w:pPr>
        <w:pageBreakBefore w:val="0"/>
        <w:kinsoku/>
        <w:overflowPunct/>
        <w:topLinePunct w:val="0"/>
        <w:bidi w:val="0"/>
        <w:spacing w:line="360" w:lineRule="auto"/>
        <w:outlineLvl w:val="9"/>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highlight w:val="none"/>
        </w:rPr>
        <w:t>3.4履约保证金的退取：</w:t>
      </w:r>
    </w:p>
    <w:p>
      <w:pPr>
        <w:pageBreakBefore w:val="0"/>
        <w:kinsoku/>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四、转包或分包</w:t>
      </w:r>
    </w:p>
    <w:p>
      <w:pPr>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4.1本合同范围的服务，应由乙方直接提供，不得转让他人；</w:t>
      </w:r>
    </w:p>
    <w:p>
      <w:pPr>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4.2 除非得到甲方的书面同意，乙方不得部分分包给他人。甲方有绝对权力阻止分包。</w:t>
      </w:r>
    </w:p>
    <w:p>
      <w:pPr>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4.3如有转让和未经甲方同意的分包行为，甲方有权给予终止合同。</w:t>
      </w:r>
    </w:p>
    <w:p>
      <w:pPr>
        <w:pageBreakBefore w:val="0"/>
        <w:widowControl w:val="0"/>
        <w:kinsoku/>
        <w:overflowPunct/>
        <w:topLinePunct w:val="0"/>
        <w:bidi w:val="0"/>
        <w:spacing w:before="0" w:beforeLines="0" w:after="0" w:afterLines="0" w:line="360" w:lineRule="auto"/>
        <w:jc w:val="both"/>
        <w:outlineLvl w:val="9"/>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五、合同付款方法</w:t>
      </w:r>
    </w:p>
    <w:p>
      <w:pPr>
        <w:pageBreakBefore w:val="0"/>
        <w:kinsoku/>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5.1</w:t>
      </w:r>
    </w:p>
    <w:p>
      <w:pPr>
        <w:pageBreakBefore w:val="0"/>
        <w:kinsoku/>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六、税</w:t>
      </w:r>
    </w:p>
    <w:p>
      <w:pPr>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6.1本合同执行中相关的一切税费均由乙方负担。</w:t>
      </w:r>
    </w:p>
    <w:p>
      <w:pPr>
        <w:pageBreakBefore w:val="0"/>
        <w:widowControl w:val="0"/>
        <w:kinsoku/>
        <w:overflowPunct/>
        <w:topLinePunct w:val="0"/>
        <w:bidi w:val="0"/>
        <w:spacing w:before="0" w:beforeLines="0" w:after="0" w:afterLines="0" w:line="360" w:lineRule="auto"/>
        <w:ind w:left="360" w:hanging="361" w:hangingChars="171"/>
        <w:jc w:val="both"/>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七、完成质量要求</w:t>
      </w:r>
    </w:p>
    <w:p>
      <w:pPr>
        <w:pageBreakBefore w:val="0"/>
        <w:widowControl w:val="0"/>
        <w:kinsoku/>
        <w:overflowPunct/>
        <w:topLinePunct w:val="0"/>
        <w:bidi w:val="0"/>
        <w:spacing w:before="0" w:beforeLines="0" w:after="0" w:afterLines="0" w:line="360" w:lineRule="auto"/>
        <w:jc w:val="both"/>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7.1 服务期间乙方不得随意更换项目负责人，如有特殊情况需要更换，须经甲方同意确认。</w:t>
      </w:r>
    </w:p>
    <w:p>
      <w:pPr>
        <w:pageBreakBefore w:val="0"/>
        <w:widowControl w:val="0"/>
        <w:kinsoku/>
        <w:overflowPunct/>
        <w:topLinePunct w:val="0"/>
        <w:bidi w:val="0"/>
        <w:spacing w:before="0" w:beforeLines="0" w:after="0" w:afterLines="0" w:line="360" w:lineRule="auto"/>
        <w:jc w:val="both"/>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7.2服务期间，乙方须配备足够的人员和设备。</w:t>
      </w:r>
    </w:p>
    <w:p>
      <w:pPr>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7.3合同执行过程中，乙方如有弄虚作假行为，甲方有权单方面解除合同，由此引起的所以损失由乙方承担。</w:t>
      </w:r>
    </w:p>
    <w:p>
      <w:pPr>
        <w:pageBreakBefore w:val="0"/>
        <w:widowControl w:val="0"/>
        <w:kinsoku/>
        <w:overflowPunct/>
        <w:topLinePunct w:val="0"/>
        <w:bidi w:val="0"/>
        <w:spacing w:before="0" w:beforeLines="0" w:after="0" w:afterLines="0" w:line="360" w:lineRule="auto"/>
        <w:ind w:left="360" w:hanging="361" w:hangingChars="171"/>
        <w:jc w:val="both"/>
        <w:outlineLvl w:val="9"/>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八、违约责任</w:t>
      </w:r>
    </w:p>
    <w:p>
      <w:pPr>
        <w:pageBreakBefore w:val="0"/>
        <w:widowControl w:val="0"/>
        <w:kinsoku/>
        <w:overflowPunct/>
        <w:topLinePunct w:val="0"/>
        <w:bidi w:val="0"/>
        <w:spacing w:before="0" w:beforeLines="0" w:after="0" w:afterLines="0" w:line="360" w:lineRule="auto"/>
        <w:jc w:val="both"/>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8.1 甲方无正当理由拒收接受服务的，甲方向乙方偿付合同款项百分之五作为违约金。</w:t>
      </w:r>
    </w:p>
    <w:p>
      <w:pPr>
        <w:pageBreakBefore w:val="0"/>
        <w:widowControl w:val="0"/>
        <w:kinsoku/>
        <w:overflowPunct/>
        <w:topLinePunct w:val="0"/>
        <w:bidi w:val="0"/>
        <w:spacing w:before="0" w:beforeLines="0" w:after="0" w:afterLines="0" w:line="360" w:lineRule="auto"/>
        <w:jc w:val="both"/>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8.2 甲方无故逾期验收和办理款项支付手续的，甲方应按逾期付款总额每日万分之五向乙方支付违约金。</w:t>
      </w:r>
    </w:p>
    <w:p>
      <w:pPr>
        <w:pageBreakBefore w:val="0"/>
        <w:widowControl w:val="0"/>
        <w:kinsoku/>
        <w:overflowPunct/>
        <w:topLinePunct w:val="0"/>
        <w:bidi w:val="0"/>
        <w:spacing w:before="0" w:beforeLines="0" w:after="0" w:afterLines="0" w:line="360" w:lineRule="auto"/>
        <w:jc w:val="both"/>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pPr>
        <w:pageBreakBefore w:val="0"/>
        <w:widowControl w:val="0"/>
        <w:kinsoku/>
        <w:overflowPunct/>
        <w:topLinePunct w:val="0"/>
        <w:bidi w:val="0"/>
        <w:spacing w:before="0" w:beforeLines="0" w:after="0" w:afterLines="0" w:line="360" w:lineRule="auto"/>
        <w:ind w:left="360" w:hanging="361" w:hangingChars="171"/>
        <w:jc w:val="both"/>
        <w:outlineLvl w:val="9"/>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九、不可抗力事件处理</w:t>
      </w:r>
    </w:p>
    <w:p>
      <w:pPr>
        <w:pageBreakBefore w:val="0"/>
        <w:widowControl w:val="0"/>
        <w:kinsoku/>
        <w:overflowPunct/>
        <w:topLinePunct w:val="0"/>
        <w:bidi w:val="0"/>
        <w:spacing w:before="0" w:beforeLines="0" w:after="0" w:afterLines="0" w:line="360" w:lineRule="auto"/>
        <w:jc w:val="both"/>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9.1 在合同有效期内，任何一方因不可抗力事件导致不能履行合同，则合同履行期可延长，其延长期与不可抗力影响期相同。</w:t>
      </w:r>
    </w:p>
    <w:p>
      <w:pPr>
        <w:pageBreakBefore w:val="0"/>
        <w:widowControl w:val="0"/>
        <w:kinsoku/>
        <w:overflowPunct/>
        <w:topLinePunct w:val="0"/>
        <w:bidi w:val="0"/>
        <w:spacing w:before="0" w:beforeLines="0" w:after="0" w:afterLines="0" w:line="360" w:lineRule="auto"/>
        <w:jc w:val="both"/>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9.2 不可抗力事件发生后，应立即通知对方，并寄送有关权威机构出具的证明。</w:t>
      </w:r>
    </w:p>
    <w:p>
      <w:pPr>
        <w:pageBreakBefore w:val="0"/>
        <w:widowControl w:val="0"/>
        <w:kinsoku/>
        <w:overflowPunct/>
        <w:topLinePunct w:val="0"/>
        <w:bidi w:val="0"/>
        <w:spacing w:before="0" w:beforeLines="0" w:after="0" w:afterLines="0" w:line="360" w:lineRule="auto"/>
        <w:jc w:val="both"/>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9.3 不可抗力事件延续120天以上，双方应通过友好协商，确定是否继续履行合同。</w:t>
      </w:r>
    </w:p>
    <w:p>
      <w:pPr>
        <w:pageBreakBefore w:val="0"/>
        <w:widowControl w:val="0"/>
        <w:kinsoku/>
        <w:overflowPunct/>
        <w:topLinePunct w:val="0"/>
        <w:bidi w:val="0"/>
        <w:spacing w:before="0" w:beforeLines="0" w:after="0" w:afterLines="0" w:line="360" w:lineRule="auto"/>
        <w:jc w:val="both"/>
        <w:outlineLvl w:val="9"/>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十、诉讼</w:t>
      </w:r>
    </w:p>
    <w:p>
      <w:pPr>
        <w:pageBreakBefore w:val="0"/>
        <w:widowControl w:val="0"/>
        <w:kinsoku/>
        <w:overflowPunct/>
        <w:topLinePunct w:val="0"/>
        <w:bidi w:val="0"/>
        <w:spacing w:before="0" w:beforeLines="0" w:after="0" w:afterLines="0" w:line="360" w:lineRule="auto"/>
        <w:jc w:val="both"/>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10.1 双方在执行合同中所发生的一切争议，应通过协商解决。如协商不成，可向合同签订地法院起诉。</w:t>
      </w:r>
    </w:p>
    <w:p>
      <w:pPr>
        <w:pageBreakBefore w:val="0"/>
        <w:widowControl w:val="0"/>
        <w:kinsoku/>
        <w:overflowPunct/>
        <w:topLinePunct w:val="0"/>
        <w:bidi w:val="0"/>
        <w:spacing w:before="0" w:beforeLines="0" w:after="0" w:afterLines="0" w:line="360" w:lineRule="auto"/>
        <w:jc w:val="both"/>
        <w:outlineLvl w:val="9"/>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十一、合同生效及其它</w:t>
      </w:r>
    </w:p>
    <w:p>
      <w:pPr>
        <w:pageBreakBefore w:val="0"/>
        <w:widowControl w:val="0"/>
        <w:kinsoku/>
        <w:overflowPunct/>
        <w:topLinePunct w:val="0"/>
        <w:bidi w:val="0"/>
        <w:spacing w:before="0" w:beforeLines="0" w:after="0" w:afterLines="0" w:line="360" w:lineRule="auto"/>
        <w:jc w:val="both"/>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11.1 合同经双方法定代表人或授权委托代理人签字并加盖单位公章后生效。</w:t>
      </w:r>
    </w:p>
    <w:p>
      <w:pPr>
        <w:pageBreakBefore w:val="0"/>
        <w:widowControl w:val="0"/>
        <w:kinsoku/>
        <w:overflowPunct/>
        <w:topLinePunct w:val="0"/>
        <w:bidi w:val="0"/>
        <w:spacing w:before="0" w:beforeLines="0" w:after="0" w:afterLines="0" w:line="360" w:lineRule="auto"/>
        <w:jc w:val="both"/>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11.2合同执行中涉及采购资金和采购内容修改或补充的，须经财政部门审批，并签书面补充协议报政府采购监督管理部门备案，方可作为主合同不可分割的一部分。</w:t>
      </w:r>
    </w:p>
    <w:p>
      <w:pPr>
        <w:pageBreakBefore w:val="0"/>
        <w:widowControl w:val="0"/>
        <w:kinsoku/>
        <w:overflowPunct/>
        <w:topLinePunct w:val="0"/>
        <w:bidi w:val="0"/>
        <w:spacing w:before="0" w:beforeLines="0" w:after="0" w:afterLines="0" w:line="360" w:lineRule="auto"/>
        <w:jc w:val="both"/>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11.3本合同未尽事宜，遵照《中华人民共和国民法典》有关条文、补充协议、投标承诺、投标文件、招标文件及补充执行。</w:t>
      </w:r>
    </w:p>
    <w:p>
      <w:pPr>
        <w:pageBreakBefore w:val="0"/>
        <w:widowControl w:val="0"/>
        <w:kinsoku/>
        <w:overflowPunct/>
        <w:topLinePunct w:val="0"/>
        <w:bidi w:val="0"/>
        <w:spacing w:before="0" w:beforeLines="0" w:after="0" w:afterLines="0" w:line="360" w:lineRule="auto"/>
        <w:jc w:val="both"/>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11.4本合同一式   份，甲乙双方各执  份。</w:t>
      </w:r>
    </w:p>
    <w:p>
      <w:pPr>
        <w:pageBreakBefore w:val="0"/>
        <w:kinsoku/>
        <w:overflowPunct/>
        <w:topLinePunct w:val="0"/>
        <w:bidi w:val="0"/>
        <w:outlineLvl w:val="9"/>
        <w:rPr>
          <w:rFonts w:hint="eastAsia" w:ascii="宋体" w:hAnsi="宋体" w:eastAsia="宋体" w:cs="宋体"/>
          <w:color w:val="auto"/>
          <w:highlight w:val="none"/>
        </w:rPr>
      </w:pPr>
    </w:p>
    <w:p>
      <w:pPr>
        <w:pageBreakBefore w:val="0"/>
        <w:widowControl w:val="0"/>
        <w:kinsoku/>
        <w:overflowPunct/>
        <w:topLinePunct w:val="0"/>
        <w:autoSpaceDE w:val="0"/>
        <w:bidi w:val="0"/>
        <w:spacing w:before="0" w:beforeLines="0" w:beforeAutospacing="0" w:after="0" w:afterLines="0" w:afterAutospacing="0" w:line="360" w:lineRule="auto"/>
        <w:jc w:val="left"/>
        <w:outlineLvl w:val="9"/>
        <w:rPr>
          <w:rFonts w:hint="eastAsia" w:ascii="宋体" w:hAnsi="宋体" w:eastAsia="宋体" w:cs="宋体"/>
          <w:color w:val="auto"/>
          <w:kern w:val="0"/>
          <w:sz w:val="21"/>
          <w:szCs w:val="21"/>
          <w:highlight w:val="none"/>
          <w:lang w:val="en-US" w:eastAsia="zh-CN" w:bidi="ar"/>
        </w:rPr>
      </w:pPr>
    </w:p>
    <w:p>
      <w:pPr>
        <w:pageBreakBefore w:val="0"/>
        <w:widowControl w:val="0"/>
        <w:kinsoku/>
        <w:overflowPunct/>
        <w:topLinePunct w:val="0"/>
        <w:autoSpaceDE w:val="0"/>
        <w:bidi w:val="0"/>
        <w:spacing w:before="0" w:beforeLines="0" w:beforeAutospacing="0" w:after="0" w:afterLines="0" w:afterAutospacing="0" w:line="360" w:lineRule="auto"/>
        <w:jc w:val="left"/>
        <w:outlineLvl w:val="9"/>
        <w:rPr>
          <w:rFonts w:hint="eastAsia" w:ascii="宋体" w:hAnsi="宋体" w:eastAsia="宋体" w:cs="宋体"/>
          <w:color w:val="auto"/>
          <w:kern w:val="0"/>
          <w:sz w:val="21"/>
          <w:szCs w:val="21"/>
          <w:highlight w:val="none"/>
          <w:lang w:val="en-US" w:eastAsia="zh-CN" w:bidi="ar"/>
        </w:rPr>
      </w:pPr>
    </w:p>
    <w:p>
      <w:pPr>
        <w:pageBreakBefore w:val="0"/>
        <w:widowControl w:val="0"/>
        <w:kinsoku/>
        <w:overflowPunct/>
        <w:topLinePunct w:val="0"/>
        <w:autoSpaceDE w:val="0"/>
        <w:bidi w:val="0"/>
        <w:spacing w:before="0" w:beforeLines="0" w:beforeAutospacing="0" w:after="0" w:afterLines="0" w:afterAutospacing="0" w:line="360" w:lineRule="auto"/>
        <w:jc w:val="left"/>
        <w:outlineLvl w:val="9"/>
        <w:rPr>
          <w:rFonts w:hint="eastAsia" w:ascii="宋体" w:hAnsi="宋体" w:eastAsia="宋体" w:cs="宋体"/>
          <w:color w:val="auto"/>
          <w:kern w:val="0"/>
          <w:sz w:val="21"/>
          <w:szCs w:val="21"/>
          <w:highlight w:val="none"/>
          <w:lang w:val="en-US" w:eastAsia="zh-CN" w:bidi="ar"/>
        </w:rPr>
      </w:pPr>
    </w:p>
    <w:p>
      <w:pPr>
        <w:pageBreakBefore w:val="0"/>
        <w:widowControl w:val="0"/>
        <w:kinsoku/>
        <w:overflowPunct/>
        <w:topLinePunct w:val="0"/>
        <w:autoSpaceDE w:val="0"/>
        <w:bidi w:val="0"/>
        <w:spacing w:before="0" w:beforeLines="0" w:beforeAutospacing="0" w:after="0" w:afterLines="0" w:afterAutospacing="0" w:line="360" w:lineRule="auto"/>
        <w:jc w:val="left"/>
        <w:outlineLvl w:val="9"/>
        <w:rPr>
          <w:rFonts w:hint="eastAsia" w:ascii="宋体" w:hAnsi="宋体" w:eastAsia="宋体" w:cs="宋体"/>
          <w:color w:val="auto"/>
          <w:kern w:val="0"/>
          <w:sz w:val="21"/>
          <w:szCs w:val="21"/>
          <w:highlight w:val="none"/>
          <w:lang w:val="en-US" w:eastAsia="zh-CN" w:bidi="ar"/>
        </w:rPr>
      </w:pPr>
    </w:p>
    <w:p>
      <w:pPr>
        <w:pageBreakBefore w:val="0"/>
        <w:widowControl w:val="0"/>
        <w:kinsoku/>
        <w:overflowPunct/>
        <w:topLinePunct w:val="0"/>
        <w:autoSpaceDE w:val="0"/>
        <w:bidi w:val="0"/>
        <w:spacing w:before="0" w:beforeLines="0" w:beforeAutospacing="0" w:after="0" w:afterLines="0" w:afterAutospacing="0" w:line="360" w:lineRule="auto"/>
        <w:jc w:val="left"/>
        <w:outlineLvl w:val="9"/>
        <w:rPr>
          <w:rFonts w:hint="eastAsia" w:ascii="宋体" w:hAnsi="宋体" w:eastAsia="宋体" w:cs="宋体"/>
          <w:color w:val="auto"/>
          <w:kern w:val="0"/>
          <w:sz w:val="21"/>
          <w:szCs w:val="21"/>
          <w:highlight w:val="none"/>
          <w:lang w:val="en-US" w:eastAsia="zh-CN" w:bidi="ar"/>
        </w:rPr>
      </w:pPr>
    </w:p>
    <w:p>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
        </w:rPr>
        <w:t>甲方：(公章)                               乙方：(公章)</w:t>
      </w:r>
    </w:p>
    <w:p>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
        </w:rPr>
        <w:t>地址：                                     地址：</w:t>
      </w:r>
    </w:p>
    <w:p>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
        </w:rPr>
        <w:t>法定代表人：(签字)                         法定代表人：(签字)</w:t>
      </w:r>
    </w:p>
    <w:p>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
        </w:rPr>
        <w:t>委托代理人：(签字)                         委托代理人：(签字)</w:t>
      </w:r>
    </w:p>
    <w:p>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
        </w:rPr>
        <w:t>电话：                                     电话：</w:t>
      </w:r>
    </w:p>
    <w:p>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
        </w:rPr>
        <w:t>传真：                                     传真：</w:t>
      </w:r>
    </w:p>
    <w:p>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
        </w:rPr>
        <w:t>开户银行：                                 开户银行：</w:t>
      </w:r>
    </w:p>
    <w:p>
      <w:pPr>
        <w:keepNext w:val="0"/>
        <w:keepLines w:val="0"/>
        <w:pageBreakBefore w:val="0"/>
        <w:widowControl w:val="0"/>
        <w:kinsoku/>
        <w:wordWrap/>
        <w:overflowPunct/>
        <w:topLinePunct w:val="0"/>
        <w:autoSpaceDE w:val="0"/>
        <w:autoSpaceDN/>
        <w:bidi w:val="0"/>
        <w:adjustRightInd/>
        <w:snapToGrid/>
        <w:spacing w:beforeAutospacing="0" w:afterAutospacing="0" w:line="360" w:lineRule="auto"/>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
        </w:rPr>
        <w:t>账号：                                     账号：</w:t>
      </w:r>
    </w:p>
    <w:p>
      <w:pPr>
        <w:keepNext w:val="0"/>
        <w:keepLines w:val="0"/>
        <w:pageBreakBefore w:val="0"/>
        <w:widowControl/>
        <w:kinsoku/>
        <w:wordWrap/>
        <w:overflowPunct/>
        <w:topLinePunct w:val="0"/>
        <w:autoSpaceDE w:val="0"/>
        <w:autoSpaceDN/>
        <w:bidi w:val="0"/>
        <w:adjustRightInd/>
        <w:snapToGrid/>
        <w:spacing w:beforeAutospacing="0" w:afterAutospacing="0" w:line="360" w:lineRule="auto"/>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szCs w:val="21"/>
          <w:highlight w:val="none"/>
          <w:lang w:bidi="ar"/>
        </w:rPr>
        <w:t>邮政编码：                                 邮政编码：</w:t>
      </w:r>
    </w:p>
    <w:p>
      <w:pPr>
        <w:pStyle w:val="3"/>
        <w:keepNext w:val="0"/>
        <w:keepLines w:val="0"/>
        <w:pageBreakBefore w:val="0"/>
        <w:kinsoku/>
        <w:wordWrap/>
        <w:overflowPunct/>
        <w:topLinePunct w:val="0"/>
        <w:autoSpaceDN/>
        <w:bidi w:val="0"/>
        <w:adjustRightInd/>
        <w:snapToGrid/>
        <w:spacing w:beforeLines="0" w:beforeAutospacing="0" w:afterLines="0" w:afterAutospacing="0" w:line="360" w:lineRule="auto"/>
        <w:textAlignment w:val="auto"/>
        <w:outlineLvl w:val="9"/>
        <w:rPr>
          <w:rFonts w:hint="default"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签订日期：</w:t>
      </w:r>
    </w:p>
    <w:p>
      <w:pPr>
        <w:pageBreakBefore w:val="0"/>
        <w:kinsoku/>
        <w:overflowPunct/>
        <w:bidi w:val="0"/>
        <w:snapToGrid w:val="0"/>
        <w:spacing w:beforeLines="50" w:afterLines="50" w:line="400" w:lineRule="exact"/>
        <w:outlineLvl w:val="9"/>
        <w:rPr>
          <w:rFonts w:ascii="宋体" w:hAnsi="宋体" w:cs="宋体"/>
          <w:color w:val="auto"/>
          <w:highlight w:val="none"/>
        </w:rPr>
      </w:pPr>
    </w:p>
    <w:p>
      <w:pPr>
        <w:pageBreakBefore w:val="0"/>
        <w:kinsoku/>
        <w:overflowPunct/>
        <w:bidi w:val="0"/>
        <w:snapToGrid w:val="0"/>
        <w:spacing w:beforeLines="50" w:afterLines="50" w:line="400" w:lineRule="exact"/>
        <w:ind w:firstLine="210" w:firstLineChars="100"/>
        <w:outlineLvl w:val="9"/>
        <w:rPr>
          <w:rFonts w:ascii="宋体" w:hAnsi="宋体" w:cs="宋体"/>
          <w:color w:val="auto"/>
          <w:highlight w:val="none"/>
        </w:rPr>
      </w:pPr>
    </w:p>
    <w:p>
      <w:pPr>
        <w:keepNext w:val="0"/>
        <w:keepLines w:val="0"/>
        <w:pageBreakBefore w:val="0"/>
        <w:widowControl w:val="0"/>
        <w:kinsoku/>
        <w:wordWrap/>
        <w:overflowPunct/>
        <w:topLinePunct w:val="0"/>
        <w:autoSpaceDE/>
        <w:autoSpaceDN/>
        <w:bidi w:val="0"/>
        <w:adjustRightInd/>
        <w:snapToGrid w:val="0"/>
        <w:spacing w:beforeLines="50" w:afterLines="50" w:line="400" w:lineRule="exact"/>
        <w:ind w:firstLine="211" w:firstLineChars="100"/>
        <w:jc w:val="center"/>
        <w:textAlignment w:val="auto"/>
        <w:outlineLvl w:val="0"/>
        <w:rPr>
          <w:rFonts w:ascii="宋体" w:hAnsi="宋体" w:cs="宋体"/>
          <w:b/>
          <w:bCs/>
          <w:color w:val="auto"/>
          <w:sz w:val="24"/>
          <w:highlight w:val="none"/>
        </w:rPr>
      </w:pPr>
      <w:r>
        <w:rPr>
          <w:rFonts w:hint="eastAsia" w:ascii="宋体" w:hAnsi="宋体" w:cs="宋体"/>
          <w:b/>
          <w:bCs/>
          <w:color w:val="auto"/>
          <w:highlight w:val="none"/>
        </w:rPr>
        <w:br w:type="page"/>
      </w:r>
      <w:bookmarkStart w:id="43" w:name="_Toc41577666"/>
      <w:bookmarkStart w:id="44" w:name="_Toc31153"/>
      <w:r>
        <w:rPr>
          <w:rFonts w:hint="eastAsia" w:ascii="宋体" w:hAnsi="宋体" w:cs="宋体"/>
          <w:b/>
          <w:bCs/>
          <w:color w:val="auto"/>
          <w:sz w:val="28"/>
          <w:szCs w:val="28"/>
          <w:highlight w:val="none"/>
        </w:rPr>
        <w:t>第六章　投标文件格式</w:t>
      </w:r>
      <w:bookmarkEnd w:id="43"/>
      <w:bookmarkEnd w:id="44"/>
    </w:p>
    <w:p>
      <w:pPr>
        <w:pageBreakBefore w:val="0"/>
        <w:widowControl/>
        <w:numPr>
          <w:ilvl w:val="0"/>
          <w:numId w:val="10"/>
        </w:numPr>
        <w:kinsoku/>
        <w:overflowPunct/>
        <w:bidi w:val="0"/>
        <w:jc w:val="center"/>
        <w:outlineLvl w:val="9"/>
        <w:rPr>
          <w:rFonts w:ascii="宋体" w:hAnsi="宋体" w:cs="宋体"/>
          <w:color w:val="auto"/>
          <w:kern w:val="0"/>
          <w:szCs w:val="20"/>
          <w:highlight w:val="none"/>
        </w:rPr>
      </w:pPr>
      <w:r>
        <w:rPr>
          <w:rFonts w:hint="eastAsia" w:ascii="宋体" w:hAnsi="宋体" w:cs="宋体"/>
          <w:color w:val="auto"/>
          <w:kern w:val="0"/>
          <w:szCs w:val="20"/>
          <w:highlight w:val="none"/>
        </w:rPr>
        <w:t>资格文件、商务技术文件格式</w:t>
      </w:r>
    </w:p>
    <w:p>
      <w:pPr>
        <w:pageBreakBefore w:val="0"/>
        <w:widowControl/>
        <w:kinsoku/>
        <w:overflowPunct/>
        <w:bidi w:val="0"/>
        <w:outlineLvl w:val="9"/>
        <w:rPr>
          <w:rFonts w:ascii="宋体" w:hAnsi="宋体" w:cs="宋体"/>
          <w:color w:val="auto"/>
          <w:kern w:val="0"/>
          <w:szCs w:val="20"/>
          <w:highlight w:val="none"/>
        </w:rPr>
      </w:pPr>
    </w:p>
    <w:p>
      <w:pPr>
        <w:pageBreakBefore w:val="0"/>
        <w:widowControl/>
        <w:kinsoku/>
        <w:overflowPunct/>
        <w:bidi w:val="0"/>
        <w:jc w:val="left"/>
        <w:outlineLvl w:val="9"/>
        <w:rPr>
          <w:rFonts w:ascii="宋体" w:hAnsi="宋体" w:cs="宋体"/>
          <w:color w:val="auto"/>
          <w:kern w:val="0"/>
          <w:szCs w:val="20"/>
          <w:highlight w:val="none"/>
        </w:rPr>
      </w:pPr>
      <w:r>
        <w:rPr>
          <w:rFonts w:hint="eastAsia" w:ascii="宋体" w:hAnsi="宋体" w:cs="宋体"/>
          <w:color w:val="auto"/>
          <w:kern w:val="0"/>
          <w:szCs w:val="20"/>
          <w:highlight w:val="none"/>
        </w:rPr>
        <w:t>1.资格、商务技术文件的外包装封面格式：</w:t>
      </w:r>
    </w:p>
    <w:p>
      <w:pPr>
        <w:pageBreakBefore w:val="0"/>
        <w:widowControl/>
        <w:kinsoku/>
        <w:overflowPunct/>
        <w:bidi w:val="0"/>
        <w:jc w:val="left"/>
        <w:outlineLvl w:val="9"/>
        <w:rPr>
          <w:rFonts w:ascii="宋体" w:hAnsi="宋体" w:cs="宋体"/>
          <w:color w:val="auto"/>
          <w:kern w:val="0"/>
          <w:szCs w:val="20"/>
          <w:highlight w:val="none"/>
        </w:rPr>
      </w:pPr>
    </w:p>
    <w:p>
      <w:pPr>
        <w:pageBreakBefore w:val="0"/>
        <w:widowControl/>
        <w:kinsoku/>
        <w:overflowPunct/>
        <w:bidi w:val="0"/>
        <w:jc w:val="left"/>
        <w:outlineLvl w:val="9"/>
        <w:rPr>
          <w:rFonts w:ascii="宋体" w:hAnsi="宋体" w:cs="宋体"/>
          <w:color w:val="auto"/>
          <w:kern w:val="0"/>
          <w:szCs w:val="20"/>
          <w:highlight w:val="none"/>
        </w:rPr>
      </w:pPr>
    </w:p>
    <w:p>
      <w:pPr>
        <w:pageBreakBefore w:val="0"/>
        <w:widowControl/>
        <w:kinsoku/>
        <w:overflowPunct/>
        <w:bidi w:val="0"/>
        <w:snapToGrid w:val="0"/>
        <w:spacing w:beforeLines="50" w:after="50"/>
        <w:ind w:firstLine="3675" w:firstLineChars="1750"/>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资格、商务技术文件</w:t>
      </w:r>
    </w:p>
    <w:p>
      <w:pPr>
        <w:pageBreakBefore w:val="0"/>
        <w:widowControl/>
        <w:kinsoku/>
        <w:overflowPunct/>
        <w:bidi w:val="0"/>
        <w:jc w:val="left"/>
        <w:outlineLvl w:val="9"/>
        <w:rPr>
          <w:rFonts w:ascii="宋体" w:hAnsi="宋体" w:cs="宋体"/>
          <w:color w:val="auto"/>
          <w:kern w:val="0"/>
          <w:szCs w:val="20"/>
          <w:highlight w:val="none"/>
        </w:rPr>
      </w:pPr>
    </w:p>
    <w:p>
      <w:pPr>
        <w:pageBreakBefore w:val="0"/>
        <w:widowControl/>
        <w:kinsoku/>
        <w:overflowPunct/>
        <w:bidi w:val="0"/>
        <w:spacing w:line="360" w:lineRule="auto"/>
        <w:jc w:val="left"/>
        <w:outlineLvl w:val="9"/>
        <w:rPr>
          <w:rFonts w:ascii="宋体" w:hAnsi="宋体" w:cs="宋体"/>
          <w:color w:val="auto"/>
          <w:kern w:val="0"/>
          <w:szCs w:val="20"/>
          <w:highlight w:val="none"/>
        </w:rPr>
      </w:pPr>
      <w:r>
        <w:rPr>
          <w:rFonts w:hint="eastAsia" w:ascii="宋体" w:hAnsi="宋体" w:cs="宋体"/>
          <w:color w:val="auto"/>
          <w:kern w:val="0"/>
          <w:szCs w:val="20"/>
          <w:highlight w:val="none"/>
        </w:rPr>
        <w:t xml:space="preserve">项目名称：                        </w:t>
      </w:r>
    </w:p>
    <w:p>
      <w:pPr>
        <w:pageBreakBefore w:val="0"/>
        <w:widowControl/>
        <w:kinsoku/>
        <w:overflowPunct/>
        <w:bidi w:val="0"/>
        <w:spacing w:line="360" w:lineRule="auto"/>
        <w:jc w:val="left"/>
        <w:outlineLvl w:val="9"/>
        <w:rPr>
          <w:rFonts w:ascii="宋体" w:hAnsi="宋体" w:cs="宋体"/>
          <w:color w:val="auto"/>
          <w:kern w:val="0"/>
          <w:szCs w:val="20"/>
          <w:highlight w:val="none"/>
        </w:rPr>
      </w:pPr>
      <w:r>
        <w:rPr>
          <w:rFonts w:hint="eastAsia" w:ascii="宋体" w:hAnsi="宋体" w:cs="宋体"/>
          <w:color w:val="auto"/>
          <w:kern w:val="0"/>
          <w:szCs w:val="20"/>
          <w:highlight w:val="none"/>
        </w:rPr>
        <w:t xml:space="preserve">项目编号： </w:t>
      </w:r>
    </w:p>
    <w:p>
      <w:pPr>
        <w:pageBreakBefore w:val="0"/>
        <w:widowControl/>
        <w:kinsoku/>
        <w:overflowPunct/>
        <w:bidi w:val="0"/>
        <w:spacing w:line="360" w:lineRule="auto"/>
        <w:jc w:val="left"/>
        <w:outlineLvl w:val="9"/>
        <w:rPr>
          <w:rFonts w:ascii="宋体" w:hAnsi="宋体" w:cs="宋体"/>
          <w:color w:val="auto"/>
          <w:kern w:val="0"/>
          <w:szCs w:val="20"/>
          <w:highlight w:val="none"/>
        </w:rPr>
      </w:pPr>
      <w:r>
        <w:rPr>
          <w:rFonts w:hint="eastAsia" w:ascii="宋体" w:hAnsi="宋体" w:cs="宋体"/>
          <w:color w:val="auto"/>
          <w:kern w:val="0"/>
          <w:szCs w:val="20"/>
          <w:highlight w:val="none"/>
        </w:rPr>
        <w:t>供应商名称：</w:t>
      </w:r>
    </w:p>
    <w:p>
      <w:pPr>
        <w:pageBreakBefore w:val="0"/>
        <w:widowControl/>
        <w:kinsoku/>
        <w:overflowPunct/>
        <w:bidi w:val="0"/>
        <w:spacing w:line="360" w:lineRule="auto"/>
        <w:jc w:val="left"/>
        <w:outlineLvl w:val="9"/>
        <w:rPr>
          <w:rFonts w:ascii="宋体" w:hAnsi="宋体" w:cs="宋体"/>
          <w:color w:val="auto"/>
          <w:kern w:val="0"/>
          <w:szCs w:val="20"/>
          <w:highlight w:val="none"/>
        </w:rPr>
      </w:pPr>
      <w:r>
        <w:rPr>
          <w:rFonts w:hint="eastAsia" w:ascii="宋体" w:hAnsi="宋体" w:cs="宋体"/>
          <w:color w:val="auto"/>
          <w:kern w:val="0"/>
          <w:szCs w:val="20"/>
          <w:highlight w:val="none"/>
        </w:rPr>
        <w:t>供应商地址：</w:t>
      </w:r>
    </w:p>
    <w:p>
      <w:pPr>
        <w:pageBreakBefore w:val="0"/>
        <w:kinsoku/>
        <w:overflowPunct/>
        <w:bidi w:val="0"/>
        <w:snapToGrid w:val="0"/>
        <w:spacing w:before="50" w:after="50"/>
        <w:ind w:firstLine="932" w:firstLineChars="444"/>
        <w:jc w:val="center"/>
        <w:outlineLvl w:val="9"/>
        <w:rPr>
          <w:rFonts w:ascii="宋体" w:hAnsi="宋体" w:cs="宋体"/>
          <w:bCs/>
          <w:color w:val="auto"/>
          <w:szCs w:val="21"/>
          <w:highlight w:val="none"/>
        </w:rPr>
      </w:pPr>
      <w:r>
        <w:rPr>
          <w:rFonts w:hint="eastAsia" w:ascii="宋体" w:hAnsi="宋体" w:cs="宋体"/>
          <w:color w:val="auto"/>
          <w:highlight w:val="none"/>
        </w:rPr>
        <w:t>开标时启封</w:t>
      </w:r>
    </w:p>
    <w:p>
      <w:pPr>
        <w:pageBreakBefore w:val="0"/>
        <w:widowControl/>
        <w:kinsoku/>
        <w:overflowPunct/>
        <w:bidi w:val="0"/>
        <w:spacing w:line="360" w:lineRule="auto"/>
        <w:jc w:val="left"/>
        <w:outlineLvl w:val="9"/>
        <w:rPr>
          <w:rFonts w:ascii="宋体" w:hAnsi="宋体" w:cs="宋体"/>
          <w:color w:val="auto"/>
          <w:kern w:val="0"/>
          <w:szCs w:val="20"/>
          <w:highlight w:val="none"/>
        </w:rPr>
      </w:pPr>
      <w:r>
        <w:rPr>
          <w:rFonts w:hint="eastAsia" w:ascii="宋体" w:hAnsi="宋体" w:cs="宋体"/>
          <w:color w:val="auto"/>
          <w:kern w:val="0"/>
          <w:szCs w:val="20"/>
          <w:highlight w:val="none"/>
        </w:rPr>
        <w:t xml:space="preserve">      </w:t>
      </w:r>
    </w:p>
    <w:p>
      <w:pPr>
        <w:pageBreakBefore w:val="0"/>
        <w:widowControl/>
        <w:kinsoku/>
        <w:overflowPunct/>
        <w:bidi w:val="0"/>
        <w:spacing w:line="360" w:lineRule="auto"/>
        <w:jc w:val="left"/>
        <w:outlineLvl w:val="9"/>
        <w:rPr>
          <w:rFonts w:ascii="宋体" w:hAnsi="宋体" w:cs="宋体"/>
          <w:color w:val="auto"/>
          <w:kern w:val="0"/>
          <w:szCs w:val="20"/>
          <w:highlight w:val="none"/>
        </w:rPr>
      </w:pPr>
      <w:r>
        <w:rPr>
          <w:rFonts w:hint="eastAsia" w:ascii="宋体" w:hAnsi="宋体" w:cs="宋体"/>
          <w:color w:val="auto"/>
          <w:kern w:val="0"/>
          <w:szCs w:val="20"/>
          <w:highlight w:val="none"/>
        </w:rPr>
        <w:t xml:space="preserve">                                                    （供应商公章）</w:t>
      </w:r>
    </w:p>
    <w:p>
      <w:pPr>
        <w:pageBreakBefore w:val="0"/>
        <w:widowControl/>
        <w:kinsoku/>
        <w:overflowPunct/>
        <w:bidi w:val="0"/>
        <w:spacing w:line="360" w:lineRule="auto"/>
        <w:jc w:val="left"/>
        <w:outlineLvl w:val="9"/>
        <w:rPr>
          <w:rFonts w:ascii="宋体" w:hAnsi="宋体" w:cs="宋体"/>
          <w:color w:val="auto"/>
          <w:kern w:val="0"/>
          <w:szCs w:val="20"/>
          <w:highlight w:val="none"/>
        </w:rPr>
      </w:pPr>
      <w:r>
        <w:rPr>
          <w:rFonts w:hint="eastAsia" w:ascii="宋体" w:hAnsi="宋体" w:cs="宋体"/>
          <w:color w:val="auto"/>
          <w:kern w:val="0"/>
          <w:szCs w:val="20"/>
          <w:highlight w:val="none"/>
        </w:rPr>
        <w:t xml:space="preserve">                                                      年  月  日</w:t>
      </w:r>
    </w:p>
    <w:p>
      <w:pPr>
        <w:pageBreakBefore w:val="0"/>
        <w:widowControl/>
        <w:kinsoku/>
        <w:overflowPunct/>
        <w:bidi w:val="0"/>
        <w:jc w:val="left"/>
        <w:outlineLvl w:val="9"/>
        <w:rPr>
          <w:rFonts w:ascii="宋体" w:hAnsi="宋体" w:cs="宋体"/>
          <w:color w:val="auto"/>
          <w:kern w:val="0"/>
          <w:szCs w:val="20"/>
          <w:highlight w:val="none"/>
        </w:rPr>
      </w:pPr>
    </w:p>
    <w:p>
      <w:pPr>
        <w:pageBreakBefore w:val="0"/>
        <w:widowControl/>
        <w:kinsoku/>
        <w:overflowPunct/>
        <w:bidi w:val="0"/>
        <w:jc w:val="left"/>
        <w:outlineLvl w:val="9"/>
        <w:rPr>
          <w:rFonts w:ascii="宋体" w:hAnsi="宋体" w:cs="宋体"/>
          <w:color w:val="auto"/>
          <w:kern w:val="0"/>
          <w:szCs w:val="20"/>
          <w:highlight w:val="none"/>
        </w:rPr>
      </w:pPr>
      <w:r>
        <w:rPr>
          <w:rFonts w:hint="eastAsia" w:ascii="宋体" w:hAnsi="宋体" w:cs="宋体"/>
          <w:color w:val="auto"/>
          <w:kern w:val="0"/>
          <w:szCs w:val="20"/>
          <w:highlight w:val="none"/>
        </w:rPr>
        <w:t xml:space="preserve">2.资格、商务技术文件封面格式： </w:t>
      </w:r>
    </w:p>
    <w:p>
      <w:pPr>
        <w:pageBreakBefore w:val="0"/>
        <w:widowControl/>
        <w:kinsoku/>
        <w:overflowPunct/>
        <w:bidi w:val="0"/>
        <w:jc w:val="left"/>
        <w:outlineLvl w:val="9"/>
        <w:rPr>
          <w:rFonts w:ascii="宋体" w:hAnsi="宋体" w:cs="宋体"/>
          <w:color w:val="auto"/>
          <w:kern w:val="0"/>
          <w:szCs w:val="20"/>
          <w:highlight w:val="none"/>
        </w:rPr>
      </w:pPr>
      <w:r>
        <w:rPr>
          <w:rFonts w:hint="eastAsia" w:ascii="宋体" w:hAnsi="宋体" w:cs="宋体"/>
          <w:color w:val="auto"/>
          <w:kern w:val="0"/>
          <w:szCs w:val="20"/>
          <w:highlight w:val="none"/>
        </w:rPr>
        <w:t xml:space="preserve">                                                        正本/或副本</w:t>
      </w:r>
    </w:p>
    <w:p>
      <w:pPr>
        <w:pageBreakBefore w:val="0"/>
        <w:widowControl/>
        <w:kinsoku/>
        <w:overflowPunct/>
        <w:bidi w:val="0"/>
        <w:jc w:val="left"/>
        <w:outlineLvl w:val="9"/>
        <w:rPr>
          <w:rFonts w:ascii="宋体" w:hAnsi="宋体" w:cs="宋体"/>
          <w:color w:val="auto"/>
          <w:kern w:val="0"/>
          <w:szCs w:val="20"/>
          <w:highlight w:val="none"/>
        </w:rPr>
      </w:pPr>
    </w:p>
    <w:p>
      <w:pPr>
        <w:pageBreakBefore w:val="0"/>
        <w:widowControl/>
        <w:kinsoku/>
        <w:overflowPunct/>
        <w:bidi w:val="0"/>
        <w:jc w:val="left"/>
        <w:outlineLvl w:val="9"/>
        <w:rPr>
          <w:rFonts w:ascii="宋体" w:hAnsi="宋体" w:cs="宋体"/>
          <w:color w:val="auto"/>
          <w:kern w:val="0"/>
          <w:szCs w:val="20"/>
          <w:highlight w:val="none"/>
        </w:rPr>
      </w:pPr>
    </w:p>
    <w:p>
      <w:pPr>
        <w:pageBreakBefore w:val="0"/>
        <w:widowControl/>
        <w:kinsoku/>
        <w:overflowPunct/>
        <w:bidi w:val="0"/>
        <w:snapToGrid w:val="0"/>
        <w:spacing w:beforeLines="50" w:after="50"/>
        <w:ind w:firstLine="3675" w:firstLineChars="1750"/>
        <w:jc w:val="left"/>
        <w:outlineLvl w:val="9"/>
        <w:rPr>
          <w:rFonts w:ascii="宋体" w:hAnsi="宋体" w:cs="宋体"/>
          <w:color w:val="auto"/>
          <w:kern w:val="0"/>
          <w:szCs w:val="21"/>
          <w:highlight w:val="none"/>
        </w:rPr>
      </w:pPr>
      <w:r>
        <w:rPr>
          <w:rFonts w:hint="eastAsia" w:ascii="宋体" w:hAnsi="宋体" w:cs="宋体"/>
          <w:color w:val="auto"/>
          <w:kern w:val="0"/>
          <w:szCs w:val="20"/>
          <w:highlight w:val="none"/>
        </w:rPr>
        <w:t>资格、商务技术文件</w:t>
      </w:r>
    </w:p>
    <w:p>
      <w:pPr>
        <w:pageBreakBefore w:val="0"/>
        <w:widowControl/>
        <w:kinsoku/>
        <w:overflowPunct/>
        <w:bidi w:val="0"/>
        <w:jc w:val="left"/>
        <w:outlineLvl w:val="9"/>
        <w:rPr>
          <w:rFonts w:ascii="宋体" w:hAnsi="宋体" w:cs="宋体"/>
          <w:color w:val="auto"/>
          <w:kern w:val="0"/>
          <w:szCs w:val="20"/>
          <w:highlight w:val="none"/>
        </w:rPr>
      </w:pPr>
    </w:p>
    <w:p>
      <w:pPr>
        <w:pageBreakBefore w:val="0"/>
        <w:widowControl/>
        <w:kinsoku/>
        <w:overflowPunct/>
        <w:bidi w:val="0"/>
        <w:spacing w:line="360" w:lineRule="auto"/>
        <w:jc w:val="left"/>
        <w:outlineLvl w:val="9"/>
        <w:rPr>
          <w:rFonts w:ascii="宋体" w:hAnsi="宋体" w:cs="宋体"/>
          <w:color w:val="auto"/>
          <w:kern w:val="0"/>
          <w:szCs w:val="20"/>
          <w:highlight w:val="none"/>
        </w:rPr>
      </w:pPr>
      <w:r>
        <w:rPr>
          <w:rFonts w:hint="eastAsia" w:ascii="宋体" w:hAnsi="宋体" w:cs="宋体"/>
          <w:color w:val="auto"/>
          <w:kern w:val="0"/>
          <w:szCs w:val="20"/>
          <w:highlight w:val="none"/>
        </w:rPr>
        <w:t xml:space="preserve">项目名称：                       </w:t>
      </w:r>
    </w:p>
    <w:p>
      <w:pPr>
        <w:pageBreakBefore w:val="0"/>
        <w:widowControl/>
        <w:kinsoku/>
        <w:overflowPunct/>
        <w:bidi w:val="0"/>
        <w:spacing w:line="360" w:lineRule="auto"/>
        <w:jc w:val="left"/>
        <w:outlineLvl w:val="9"/>
        <w:rPr>
          <w:rFonts w:ascii="宋体" w:hAnsi="宋体" w:cs="宋体"/>
          <w:color w:val="auto"/>
          <w:kern w:val="0"/>
          <w:szCs w:val="20"/>
          <w:highlight w:val="none"/>
        </w:rPr>
      </w:pPr>
      <w:r>
        <w:rPr>
          <w:rFonts w:hint="eastAsia" w:ascii="宋体" w:hAnsi="宋体" w:cs="宋体"/>
          <w:color w:val="auto"/>
          <w:kern w:val="0"/>
          <w:szCs w:val="20"/>
          <w:highlight w:val="none"/>
        </w:rPr>
        <w:t xml:space="preserve">项目编号： </w:t>
      </w:r>
    </w:p>
    <w:p>
      <w:pPr>
        <w:pageBreakBefore w:val="0"/>
        <w:widowControl/>
        <w:kinsoku/>
        <w:overflowPunct/>
        <w:bidi w:val="0"/>
        <w:spacing w:line="360" w:lineRule="auto"/>
        <w:jc w:val="left"/>
        <w:outlineLvl w:val="9"/>
        <w:rPr>
          <w:rFonts w:ascii="宋体" w:hAnsi="宋体" w:cs="宋体"/>
          <w:color w:val="auto"/>
          <w:kern w:val="0"/>
          <w:szCs w:val="20"/>
          <w:highlight w:val="none"/>
        </w:rPr>
      </w:pPr>
      <w:r>
        <w:rPr>
          <w:rFonts w:hint="eastAsia" w:ascii="宋体" w:hAnsi="宋体" w:cs="宋体"/>
          <w:color w:val="auto"/>
          <w:kern w:val="0"/>
          <w:szCs w:val="20"/>
          <w:highlight w:val="none"/>
        </w:rPr>
        <w:t>供应商名称：</w:t>
      </w:r>
    </w:p>
    <w:p>
      <w:pPr>
        <w:pageBreakBefore w:val="0"/>
        <w:widowControl/>
        <w:kinsoku/>
        <w:overflowPunct/>
        <w:bidi w:val="0"/>
        <w:spacing w:line="360" w:lineRule="auto"/>
        <w:jc w:val="left"/>
        <w:outlineLvl w:val="9"/>
        <w:rPr>
          <w:rFonts w:ascii="宋体" w:hAnsi="宋体" w:cs="宋体"/>
          <w:color w:val="auto"/>
          <w:kern w:val="0"/>
          <w:szCs w:val="20"/>
          <w:highlight w:val="none"/>
        </w:rPr>
      </w:pPr>
      <w:r>
        <w:rPr>
          <w:rFonts w:hint="eastAsia" w:ascii="宋体" w:hAnsi="宋体" w:cs="宋体"/>
          <w:color w:val="auto"/>
          <w:kern w:val="0"/>
          <w:szCs w:val="20"/>
          <w:highlight w:val="none"/>
        </w:rPr>
        <w:t>供应商地址：</w:t>
      </w:r>
    </w:p>
    <w:p>
      <w:pPr>
        <w:pageBreakBefore w:val="0"/>
        <w:widowControl/>
        <w:kinsoku/>
        <w:overflowPunct/>
        <w:bidi w:val="0"/>
        <w:spacing w:line="360" w:lineRule="auto"/>
        <w:jc w:val="left"/>
        <w:outlineLvl w:val="9"/>
        <w:rPr>
          <w:rFonts w:ascii="宋体" w:hAnsi="宋体" w:cs="宋体"/>
          <w:color w:val="auto"/>
          <w:kern w:val="0"/>
          <w:szCs w:val="20"/>
          <w:highlight w:val="none"/>
        </w:rPr>
      </w:pPr>
    </w:p>
    <w:p>
      <w:pPr>
        <w:pageBreakBefore w:val="0"/>
        <w:widowControl/>
        <w:kinsoku/>
        <w:overflowPunct/>
        <w:bidi w:val="0"/>
        <w:spacing w:line="360" w:lineRule="auto"/>
        <w:ind w:firstLine="5355" w:firstLineChars="2550"/>
        <w:jc w:val="left"/>
        <w:outlineLvl w:val="9"/>
        <w:rPr>
          <w:rFonts w:ascii="宋体" w:hAnsi="宋体" w:cs="宋体"/>
          <w:color w:val="auto"/>
          <w:kern w:val="0"/>
          <w:szCs w:val="20"/>
          <w:highlight w:val="none"/>
        </w:rPr>
      </w:pPr>
      <w:r>
        <w:rPr>
          <w:rFonts w:hint="eastAsia" w:ascii="宋体" w:hAnsi="宋体" w:cs="宋体"/>
          <w:color w:val="auto"/>
          <w:kern w:val="0"/>
          <w:szCs w:val="20"/>
          <w:highlight w:val="none"/>
        </w:rPr>
        <w:t>（供应商公章）</w:t>
      </w:r>
    </w:p>
    <w:p>
      <w:pPr>
        <w:pageBreakBefore w:val="0"/>
        <w:widowControl/>
        <w:kinsoku/>
        <w:overflowPunct/>
        <w:bidi w:val="0"/>
        <w:spacing w:line="360" w:lineRule="auto"/>
        <w:jc w:val="left"/>
        <w:outlineLvl w:val="9"/>
        <w:rPr>
          <w:rFonts w:ascii="宋体" w:hAnsi="宋体" w:cs="宋体"/>
          <w:color w:val="auto"/>
          <w:kern w:val="0"/>
          <w:szCs w:val="20"/>
          <w:highlight w:val="none"/>
        </w:rPr>
      </w:pPr>
      <w:r>
        <w:rPr>
          <w:rFonts w:hint="eastAsia" w:ascii="宋体" w:hAnsi="宋体" w:cs="宋体"/>
          <w:color w:val="auto"/>
          <w:kern w:val="0"/>
          <w:szCs w:val="20"/>
          <w:highlight w:val="none"/>
        </w:rPr>
        <w:t xml:space="preserve">                                                       年  月  日</w:t>
      </w:r>
    </w:p>
    <w:p>
      <w:pPr>
        <w:pageBreakBefore w:val="0"/>
        <w:widowControl/>
        <w:kinsoku/>
        <w:overflowPunct/>
        <w:bidi w:val="0"/>
        <w:jc w:val="center"/>
        <w:outlineLvl w:val="9"/>
        <w:rPr>
          <w:rFonts w:ascii="宋体" w:hAnsi="宋体" w:cs="宋体"/>
          <w:color w:val="auto"/>
          <w:kern w:val="0"/>
          <w:szCs w:val="20"/>
          <w:highlight w:val="none"/>
        </w:rPr>
      </w:pPr>
    </w:p>
    <w:p>
      <w:pPr>
        <w:pageBreakBefore w:val="0"/>
        <w:widowControl/>
        <w:kinsoku/>
        <w:overflowPunct/>
        <w:bidi w:val="0"/>
        <w:spacing w:line="360" w:lineRule="auto"/>
        <w:jc w:val="left"/>
        <w:outlineLvl w:val="9"/>
        <w:rPr>
          <w:rFonts w:ascii="宋体" w:hAnsi="宋体" w:cs="宋体"/>
          <w:color w:val="auto"/>
          <w:kern w:val="0"/>
          <w:szCs w:val="20"/>
          <w:highlight w:val="none"/>
        </w:rPr>
      </w:pPr>
      <w:r>
        <w:rPr>
          <w:rFonts w:hint="eastAsia" w:ascii="宋体" w:hAnsi="宋体" w:cs="宋体"/>
          <w:color w:val="auto"/>
          <w:kern w:val="0"/>
          <w:szCs w:val="20"/>
          <w:highlight w:val="none"/>
        </w:rPr>
        <w:br w:type="page"/>
      </w:r>
      <w:r>
        <w:rPr>
          <w:rFonts w:hint="eastAsia" w:ascii="宋体" w:hAnsi="宋体" w:cs="宋体"/>
          <w:color w:val="auto"/>
          <w:kern w:val="0"/>
          <w:szCs w:val="20"/>
          <w:highlight w:val="none"/>
        </w:rPr>
        <w:t>3.资格文件：</w:t>
      </w:r>
    </w:p>
    <w:p>
      <w:pPr>
        <w:pageBreakBefore w:val="0"/>
        <w:widowControl/>
        <w:numPr>
          <w:ilvl w:val="0"/>
          <w:numId w:val="11"/>
        </w:numPr>
        <w:kinsoku/>
        <w:overflowPunct/>
        <w:bidi w:val="0"/>
        <w:snapToGrid w:val="0"/>
        <w:spacing w:line="360" w:lineRule="auto"/>
        <w:ind w:left="210" w:leftChars="100"/>
        <w:jc w:val="left"/>
        <w:outlineLvl w:val="9"/>
        <w:rPr>
          <w:rFonts w:ascii="宋体" w:hAnsi="宋体" w:cs="宋体"/>
          <w:color w:val="auto"/>
          <w:kern w:val="0"/>
          <w:szCs w:val="20"/>
          <w:highlight w:val="none"/>
        </w:rPr>
      </w:pPr>
      <w:r>
        <w:rPr>
          <w:rFonts w:hint="eastAsia" w:ascii="宋体" w:hAnsi="宋体" w:cs="宋体"/>
          <w:color w:val="auto"/>
          <w:kern w:val="0"/>
          <w:szCs w:val="20"/>
          <w:highlight w:val="none"/>
        </w:rPr>
        <w:t>供应商资格声明函（格式见附件）；</w:t>
      </w:r>
    </w:p>
    <w:p>
      <w:pPr>
        <w:pageBreakBefore w:val="0"/>
        <w:widowControl/>
        <w:numPr>
          <w:ilvl w:val="0"/>
          <w:numId w:val="11"/>
        </w:numPr>
        <w:kinsoku/>
        <w:overflowPunct/>
        <w:bidi w:val="0"/>
        <w:snapToGrid w:val="0"/>
        <w:spacing w:line="360" w:lineRule="auto"/>
        <w:ind w:left="210" w:leftChars="100"/>
        <w:jc w:val="left"/>
        <w:outlineLvl w:val="9"/>
        <w:rPr>
          <w:rFonts w:ascii="宋体" w:hAnsi="宋体" w:cs="宋体"/>
          <w:color w:val="auto"/>
          <w:kern w:val="0"/>
          <w:szCs w:val="20"/>
          <w:highlight w:val="none"/>
        </w:rPr>
      </w:pPr>
      <w:r>
        <w:rPr>
          <w:rFonts w:hint="eastAsia" w:ascii="宋体" w:hAnsi="宋体" w:cs="宋体"/>
          <w:color w:val="auto"/>
          <w:kern w:val="0"/>
          <w:szCs w:val="20"/>
          <w:highlight w:val="none"/>
        </w:rPr>
        <w:t>有效的企业法人营业执照（或事业法人登记证）、其他组织（个体工商户）的营业执照或者民办非企业单位登记证书复印件；</w:t>
      </w:r>
      <w:r>
        <w:rPr>
          <w:rFonts w:hint="eastAsia" w:ascii="宋体" w:hAnsi="宋体" w:cs="宋体"/>
          <w:color w:val="auto"/>
          <w:kern w:val="0"/>
          <w:szCs w:val="21"/>
          <w:highlight w:val="none"/>
        </w:rPr>
        <w:t>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cs="宋体"/>
          <w:color w:val="auto"/>
          <w:kern w:val="0"/>
          <w:szCs w:val="20"/>
          <w:highlight w:val="none"/>
        </w:rPr>
        <w:t>；</w:t>
      </w:r>
    </w:p>
    <w:p>
      <w:pPr>
        <w:pageBreakBefore w:val="0"/>
        <w:widowControl/>
        <w:numPr>
          <w:ilvl w:val="0"/>
          <w:numId w:val="11"/>
        </w:numPr>
        <w:kinsoku/>
        <w:overflowPunct/>
        <w:bidi w:val="0"/>
        <w:snapToGrid w:val="0"/>
        <w:spacing w:line="360" w:lineRule="auto"/>
        <w:ind w:left="210" w:leftChars="100"/>
        <w:jc w:val="left"/>
        <w:outlineLvl w:val="9"/>
        <w:rPr>
          <w:rFonts w:ascii="宋体" w:hAnsi="宋体" w:cs="宋体"/>
          <w:color w:val="auto"/>
          <w:kern w:val="0"/>
          <w:szCs w:val="21"/>
          <w:highlight w:val="none"/>
        </w:rPr>
      </w:pPr>
      <w:r>
        <w:rPr>
          <w:rFonts w:hint="eastAsia" w:ascii="宋体" w:hAnsi="宋体" w:cs="宋体"/>
          <w:color w:val="auto"/>
          <w:kern w:val="0"/>
          <w:szCs w:val="20"/>
          <w:highlight w:val="none"/>
        </w:rPr>
        <w:t>供应商特定资格条件的证明文件：详见“第一章  公开招标公告 二、申请人的资格要求：3.本项目的特定资格要求”</w:t>
      </w:r>
      <w:r>
        <w:rPr>
          <w:rFonts w:hint="eastAsia" w:ascii="宋体" w:hAnsi="宋体" w:cs="宋体"/>
          <w:color w:val="auto"/>
          <w:kern w:val="0"/>
          <w:szCs w:val="20"/>
          <w:highlight w:val="none"/>
          <w:lang w:eastAsia="zh-CN"/>
        </w:rPr>
        <w:t>（</w:t>
      </w:r>
      <w:r>
        <w:rPr>
          <w:rFonts w:hint="eastAsia" w:ascii="宋体" w:hAnsi="宋体" w:cs="宋体"/>
          <w:color w:val="auto"/>
          <w:kern w:val="0"/>
          <w:szCs w:val="20"/>
          <w:highlight w:val="none"/>
          <w:lang w:val="en-US" w:eastAsia="zh-CN"/>
        </w:rPr>
        <w:t>如有</w:t>
      </w:r>
      <w:r>
        <w:rPr>
          <w:rFonts w:hint="eastAsia" w:ascii="宋体" w:hAnsi="宋体" w:cs="宋体"/>
          <w:color w:val="auto"/>
          <w:kern w:val="0"/>
          <w:szCs w:val="20"/>
          <w:highlight w:val="none"/>
          <w:lang w:eastAsia="zh-CN"/>
        </w:rPr>
        <w:t>）</w:t>
      </w:r>
      <w:r>
        <w:rPr>
          <w:rFonts w:hint="eastAsia" w:ascii="宋体" w:hAnsi="宋体" w:cs="宋体"/>
          <w:color w:val="auto"/>
          <w:kern w:val="0"/>
          <w:szCs w:val="20"/>
          <w:highlight w:val="none"/>
        </w:rPr>
        <w:t>；</w:t>
      </w:r>
    </w:p>
    <w:p>
      <w:pPr>
        <w:pageBreakBefore w:val="0"/>
        <w:widowControl/>
        <w:numPr>
          <w:ilvl w:val="0"/>
          <w:numId w:val="11"/>
        </w:numPr>
        <w:kinsoku/>
        <w:overflowPunct/>
        <w:bidi w:val="0"/>
        <w:snapToGrid w:val="0"/>
        <w:spacing w:line="360" w:lineRule="auto"/>
        <w:ind w:left="210" w:leftChars="100"/>
        <w:jc w:val="left"/>
        <w:outlineLvl w:val="9"/>
        <w:rPr>
          <w:rFonts w:ascii="宋体" w:hAnsi="宋体" w:cs="宋体"/>
          <w:color w:val="auto"/>
          <w:kern w:val="0"/>
          <w:szCs w:val="21"/>
          <w:highlight w:val="none"/>
        </w:rPr>
      </w:pPr>
      <w:r>
        <w:rPr>
          <w:rFonts w:hint="eastAsia" w:ascii="宋体" w:hAnsi="宋体" w:eastAsia="宋体" w:cs="宋体"/>
          <w:color w:val="auto"/>
          <w:kern w:val="0"/>
          <w:szCs w:val="21"/>
          <w:highlight w:val="none"/>
          <w:lang w:val="en-US" w:eastAsia="zh-CN"/>
        </w:rPr>
        <w:t>标项一、标项三：</w:t>
      </w:r>
      <w:r>
        <w:rPr>
          <w:rFonts w:hint="eastAsia" w:ascii="宋体" w:hAnsi="宋体" w:eastAsia="宋体" w:cs="宋体"/>
          <w:color w:val="auto"/>
          <w:kern w:val="0"/>
          <w:szCs w:val="21"/>
          <w:highlight w:val="none"/>
          <w:lang w:eastAsia="zh-CN"/>
        </w:rPr>
        <w:t>中小企业声明函[提供中小企业声明函或残疾人福利性单位声明函（非残疾人福利性单位无需提供本函)，格式见附件或提供由省级以上监狱管理局、戒毒管理局（含新疆生产建设兵团）出具的属于监狱企业的证明文件]；</w:t>
      </w:r>
    </w:p>
    <w:p>
      <w:pPr>
        <w:pageBreakBefore w:val="0"/>
        <w:widowControl/>
        <w:numPr>
          <w:ilvl w:val="0"/>
          <w:numId w:val="11"/>
        </w:numPr>
        <w:kinsoku/>
        <w:overflowPunct/>
        <w:bidi w:val="0"/>
        <w:snapToGrid w:val="0"/>
        <w:spacing w:line="360" w:lineRule="auto"/>
        <w:ind w:left="210" w:leftChars="100"/>
        <w:jc w:val="left"/>
        <w:outlineLvl w:val="9"/>
        <w:rPr>
          <w:rFonts w:ascii="宋体" w:hAnsi="宋体" w:cs="宋体"/>
          <w:color w:val="auto"/>
          <w:kern w:val="0"/>
          <w:szCs w:val="21"/>
          <w:highlight w:val="none"/>
        </w:rPr>
      </w:pPr>
      <w:r>
        <w:rPr>
          <w:rFonts w:hint="eastAsia" w:ascii="宋体" w:hAnsi="宋体" w:cs="宋体"/>
          <w:color w:val="auto"/>
          <w:kern w:val="0"/>
          <w:szCs w:val="22"/>
          <w:highlight w:val="none"/>
        </w:rPr>
        <w:t>招标文件</w:t>
      </w:r>
      <w:r>
        <w:rPr>
          <w:rFonts w:hint="eastAsia" w:ascii="宋体" w:hAnsi="宋体" w:cs="宋体"/>
          <w:color w:val="auto"/>
          <w:kern w:val="0"/>
          <w:szCs w:val="21"/>
          <w:highlight w:val="none"/>
        </w:rPr>
        <w:t>要求的其他资格条件证明材料（如有）；</w:t>
      </w:r>
    </w:p>
    <w:p>
      <w:pPr>
        <w:pageBreakBefore w:val="0"/>
        <w:widowControl/>
        <w:kinsoku/>
        <w:overflowPunct/>
        <w:bidi w:val="0"/>
        <w:snapToGrid w:val="0"/>
        <w:spacing w:line="360" w:lineRule="auto"/>
        <w:jc w:val="left"/>
        <w:outlineLvl w:val="9"/>
        <w:rPr>
          <w:rFonts w:ascii="宋体" w:hAnsi="宋体" w:cs="宋体"/>
          <w:color w:val="auto"/>
          <w:kern w:val="0"/>
          <w:szCs w:val="21"/>
          <w:highlight w:val="none"/>
        </w:rPr>
      </w:pPr>
    </w:p>
    <w:p>
      <w:pPr>
        <w:pageBreakBefore w:val="0"/>
        <w:widowControl/>
        <w:kinsoku/>
        <w:overflowPunct/>
        <w:bidi w:val="0"/>
        <w:spacing w:line="360" w:lineRule="auto"/>
        <w:jc w:val="left"/>
        <w:outlineLvl w:val="9"/>
        <w:rPr>
          <w:rFonts w:ascii="宋体" w:hAnsi="宋体" w:cs="宋体"/>
          <w:color w:val="auto"/>
          <w:kern w:val="0"/>
          <w:szCs w:val="20"/>
          <w:highlight w:val="none"/>
        </w:rPr>
      </w:pPr>
    </w:p>
    <w:p>
      <w:pPr>
        <w:pageBreakBefore w:val="0"/>
        <w:widowControl/>
        <w:kinsoku/>
        <w:overflowPunct/>
        <w:bidi w:val="0"/>
        <w:jc w:val="left"/>
        <w:outlineLvl w:val="9"/>
        <w:rPr>
          <w:rFonts w:ascii="宋体" w:hAnsi="宋体" w:cs="宋体"/>
          <w:color w:val="auto"/>
          <w:kern w:val="0"/>
          <w:szCs w:val="20"/>
          <w:highlight w:val="none"/>
        </w:rPr>
      </w:pPr>
    </w:p>
    <w:p>
      <w:pPr>
        <w:pageBreakBefore w:val="0"/>
        <w:widowControl/>
        <w:kinsoku/>
        <w:overflowPunct/>
        <w:bidi w:val="0"/>
        <w:jc w:val="left"/>
        <w:outlineLvl w:val="9"/>
        <w:rPr>
          <w:rFonts w:ascii="宋体" w:hAnsi="宋体" w:cs="宋体"/>
          <w:b/>
          <w:color w:val="auto"/>
          <w:kern w:val="0"/>
          <w:szCs w:val="20"/>
          <w:highlight w:val="none"/>
        </w:rPr>
      </w:pPr>
      <w:r>
        <w:rPr>
          <w:rFonts w:hint="eastAsia" w:ascii="宋体" w:hAnsi="宋体" w:cs="宋体"/>
          <w:b/>
          <w:color w:val="auto"/>
          <w:kern w:val="0"/>
          <w:szCs w:val="20"/>
          <w:highlight w:val="none"/>
        </w:rPr>
        <w:br w:type="page"/>
      </w:r>
      <w:r>
        <w:rPr>
          <w:rFonts w:hint="eastAsia" w:ascii="宋体" w:hAnsi="宋体" w:cs="宋体"/>
          <w:b/>
          <w:color w:val="auto"/>
          <w:kern w:val="0"/>
          <w:szCs w:val="20"/>
          <w:highlight w:val="none"/>
        </w:rPr>
        <w:t>4.供应商资格声明函</w:t>
      </w:r>
    </w:p>
    <w:p>
      <w:pPr>
        <w:pageBreakBefore w:val="0"/>
        <w:widowControl/>
        <w:kinsoku/>
        <w:overflowPunct/>
        <w:bidi w:val="0"/>
        <w:jc w:val="center"/>
        <w:outlineLvl w:val="9"/>
        <w:rPr>
          <w:rFonts w:ascii="宋体" w:hAnsi="宋体" w:cs="宋体"/>
          <w:b/>
          <w:color w:val="auto"/>
          <w:kern w:val="0"/>
          <w:sz w:val="28"/>
          <w:szCs w:val="28"/>
          <w:highlight w:val="none"/>
        </w:rPr>
      </w:pPr>
      <w:bookmarkStart w:id="45" w:name="_Toc275865606"/>
    </w:p>
    <w:bookmarkEnd w:id="45"/>
    <w:p>
      <w:pPr>
        <w:pageBreakBefore w:val="0"/>
        <w:kinsoku/>
        <w:overflowPunct/>
        <w:bidi w:val="0"/>
        <w:jc w:val="center"/>
        <w:outlineLvl w:val="9"/>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供应商资格声明函</w:t>
      </w:r>
    </w:p>
    <w:p>
      <w:pPr>
        <w:pageBreakBefore w:val="0"/>
        <w:widowControl/>
        <w:kinsoku/>
        <w:overflowPunct/>
        <w:bidi w:val="0"/>
        <w:jc w:val="left"/>
        <w:outlineLvl w:val="9"/>
        <w:rPr>
          <w:rFonts w:ascii="宋体" w:hAnsi="宋体" w:cs="宋体"/>
          <w:b/>
          <w:color w:val="auto"/>
          <w:kern w:val="0"/>
          <w:szCs w:val="20"/>
          <w:highlight w:val="none"/>
        </w:rPr>
      </w:pPr>
    </w:p>
    <w:p>
      <w:pPr>
        <w:pageBreakBefore w:val="0"/>
        <w:widowControl/>
        <w:kinsoku/>
        <w:overflowPunct/>
        <w:bidi w:val="0"/>
        <w:jc w:val="left"/>
        <w:outlineLvl w:val="9"/>
        <w:rPr>
          <w:rFonts w:ascii="宋体" w:hAnsi="宋体" w:cs="宋体"/>
          <w:b/>
          <w:color w:val="auto"/>
          <w:kern w:val="0"/>
          <w:szCs w:val="20"/>
          <w:highlight w:val="none"/>
        </w:rPr>
      </w:pPr>
      <w:r>
        <w:rPr>
          <w:rFonts w:hint="eastAsia" w:ascii="宋体" w:hAnsi="宋体" w:cs="宋体"/>
          <w:b/>
          <w:color w:val="auto"/>
          <w:kern w:val="0"/>
          <w:szCs w:val="20"/>
          <w:highlight w:val="none"/>
        </w:rPr>
        <w:t>浙江中基正采管理咨询有限公司：</w:t>
      </w:r>
    </w:p>
    <w:p>
      <w:pPr>
        <w:pageBreakBefore w:val="0"/>
        <w:widowControl/>
        <w:kinsoku/>
        <w:overflowPunct/>
        <w:bidi w:val="0"/>
        <w:snapToGrid w:val="0"/>
        <w:spacing w:beforeLines="50" w:line="360" w:lineRule="auto"/>
        <w:ind w:firstLine="424" w:firstLineChars="202"/>
        <w:jc w:val="left"/>
        <w:outlineLvl w:val="9"/>
        <w:rPr>
          <w:rFonts w:ascii="宋体" w:hAnsi="宋体" w:cs="宋体"/>
          <w:color w:val="auto"/>
          <w:kern w:val="0"/>
          <w:szCs w:val="20"/>
          <w:highlight w:val="none"/>
        </w:rPr>
      </w:pPr>
      <w:r>
        <w:rPr>
          <w:rFonts w:hint="eastAsia" w:ascii="宋体" w:hAnsi="宋体" w:cs="宋体"/>
          <w:color w:val="auto"/>
          <w:kern w:val="0"/>
          <w:szCs w:val="20"/>
          <w:highlight w:val="none"/>
        </w:rPr>
        <w:t>关于贵司</w:t>
      </w:r>
      <w:r>
        <w:rPr>
          <w:rFonts w:hint="eastAsia" w:ascii="宋体" w:hAnsi="宋体" w:cs="宋体"/>
          <w:color w:val="auto"/>
          <w:kern w:val="0"/>
          <w:szCs w:val="20"/>
          <w:highlight w:val="none"/>
          <w:u w:val="single"/>
        </w:rPr>
        <w:t xml:space="preserve">      </w:t>
      </w:r>
      <w:r>
        <w:rPr>
          <w:rFonts w:hint="eastAsia" w:ascii="宋体" w:hAnsi="宋体" w:cs="宋体"/>
          <w:color w:val="auto"/>
          <w:kern w:val="0"/>
          <w:szCs w:val="20"/>
          <w:highlight w:val="none"/>
        </w:rPr>
        <w:t>年</w:t>
      </w:r>
      <w:r>
        <w:rPr>
          <w:rFonts w:hint="eastAsia" w:ascii="宋体" w:hAnsi="宋体" w:cs="宋体"/>
          <w:color w:val="auto"/>
          <w:kern w:val="0"/>
          <w:szCs w:val="20"/>
          <w:highlight w:val="none"/>
          <w:u w:val="single"/>
        </w:rPr>
        <w:t>　　</w:t>
      </w:r>
      <w:r>
        <w:rPr>
          <w:rFonts w:hint="eastAsia" w:ascii="宋体" w:hAnsi="宋体" w:cs="宋体"/>
          <w:color w:val="auto"/>
          <w:kern w:val="0"/>
          <w:szCs w:val="20"/>
          <w:highlight w:val="none"/>
        </w:rPr>
        <w:t>月</w:t>
      </w:r>
      <w:r>
        <w:rPr>
          <w:rFonts w:hint="eastAsia" w:ascii="宋体" w:hAnsi="宋体" w:cs="宋体"/>
          <w:color w:val="auto"/>
          <w:kern w:val="0"/>
          <w:szCs w:val="20"/>
          <w:highlight w:val="none"/>
          <w:u w:val="single"/>
        </w:rPr>
        <w:t>　　</w:t>
      </w:r>
      <w:r>
        <w:rPr>
          <w:rFonts w:hint="eastAsia" w:ascii="宋体" w:hAnsi="宋体" w:cs="宋体"/>
          <w:color w:val="auto"/>
          <w:kern w:val="0"/>
          <w:szCs w:val="20"/>
          <w:highlight w:val="none"/>
        </w:rPr>
        <w:t>日发布</w:t>
      </w:r>
      <w:r>
        <w:rPr>
          <w:rFonts w:hint="eastAsia" w:ascii="宋体" w:hAnsi="宋体" w:cs="宋体"/>
          <w:color w:val="auto"/>
          <w:kern w:val="0"/>
          <w:szCs w:val="20"/>
          <w:highlight w:val="none"/>
          <w:u w:val="single"/>
        </w:rPr>
        <w:t xml:space="preserve">  </w:t>
      </w:r>
      <w:r>
        <w:rPr>
          <w:rFonts w:hint="eastAsia" w:ascii="宋体" w:hAnsi="宋体" w:cs="宋体"/>
          <w:color w:val="auto"/>
          <w:kern w:val="28"/>
          <w:szCs w:val="20"/>
          <w:highlight w:val="none"/>
          <w:u w:val="single"/>
        </w:rPr>
        <w:t>XXXXXXXXXXXXXXXXXXXXXXXXXXXX</w:t>
      </w:r>
      <w:r>
        <w:rPr>
          <w:rFonts w:hint="eastAsia" w:ascii="宋体" w:hAnsi="宋体" w:cs="宋体"/>
          <w:color w:val="auto"/>
          <w:kern w:val="0"/>
          <w:szCs w:val="20"/>
          <w:highlight w:val="none"/>
          <w:u w:val="single"/>
        </w:rPr>
        <w:t xml:space="preserve">  </w:t>
      </w:r>
      <w:r>
        <w:rPr>
          <w:rFonts w:hint="eastAsia" w:ascii="宋体" w:hAnsi="宋体" w:cs="宋体"/>
          <w:color w:val="auto"/>
          <w:kern w:val="0"/>
          <w:szCs w:val="20"/>
          <w:highlight w:val="none"/>
        </w:rPr>
        <w:t>项目（项目编号：　　　）的公开招标公告，本公司（企业）愿意参加投标，并声明：</w:t>
      </w:r>
    </w:p>
    <w:p>
      <w:pPr>
        <w:pageBreakBefore w:val="0"/>
        <w:widowControl/>
        <w:kinsoku/>
        <w:overflowPunct/>
        <w:bidi w:val="0"/>
        <w:snapToGrid w:val="0"/>
        <w:spacing w:line="360" w:lineRule="auto"/>
        <w:ind w:firstLine="424" w:firstLineChars="202"/>
        <w:jc w:val="left"/>
        <w:outlineLvl w:val="9"/>
        <w:rPr>
          <w:rFonts w:ascii="宋体" w:hAnsi="宋体" w:cs="宋体"/>
          <w:color w:val="auto"/>
          <w:kern w:val="0"/>
          <w:szCs w:val="20"/>
          <w:highlight w:val="none"/>
        </w:rPr>
      </w:pPr>
      <w:r>
        <w:rPr>
          <w:rFonts w:hint="eastAsia" w:ascii="宋体" w:hAnsi="宋体" w:cs="宋体"/>
          <w:color w:val="auto"/>
          <w:kern w:val="0"/>
          <w:szCs w:val="20"/>
          <w:highlight w:val="none"/>
        </w:rPr>
        <w:t>本公司（企业）具备</w:t>
      </w:r>
      <w:r>
        <w:rPr>
          <w:rFonts w:hint="eastAsia" w:ascii="宋体" w:hAnsi="宋体" w:cs="宋体"/>
          <w:bCs/>
          <w:color w:val="auto"/>
          <w:kern w:val="0"/>
          <w:szCs w:val="21"/>
          <w:highlight w:val="none"/>
        </w:rPr>
        <w:t>《中华人民共和国政府采购法》第二十二条资格条件：1、具有独立承担民事责任的能力；2、具有良好的商业信誉和健全的</w:t>
      </w:r>
      <w:r>
        <w:rPr>
          <w:color w:val="auto"/>
          <w:highlight w:val="none"/>
        </w:rPr>
        <w:fldChar w:fldCharType="begin"/>
      </w:r>
      <w:r>
        <w:rPr>
          <w:color w:val="auto"/>
          <w:highlight w:val="none"/>
        </w:rPr>
        <w:instrText xml:space="preserve"> HYPERLINK "http://www.so.com/s?q=%E8%B4%A2%E5%8A%A1%E4%BC%9A%E8%AE%A1%E5%88%B6%E5%BA%A6&amp;ie=utf-8&amp;src=internal_wenda_recommend_textn" \t "https://wenda.so.com/q/_blank" </w:instrText>
      </w:r>
      <w:r>
        <w:rPr>
          <w:color w:val="auto"/>
          <w:highlight w:val="none"/>
        </w:rPr>
        <w:fldChar w:fldCharType="separate"/>
      </w:r>
      <w:r>
        <w:rPr>
          <w:rFonts w:hint="eastAsia" w:ascii="宋体" w:hAnsi="宋体" w:cs="宋体"/>
          <w:bCs/>
          <w:color w:val="auto"/>
          <w:kern w:val="0"/>
          <w:szCs w:val="21"/>
          <w:highlight w:val="none"/>
        </w:rPr>
        <w:t>财务会计制度</w:t>
      </w:r>
      <w:r>
        <w:rPr>
          <w:rFonts w:hint="eastAsia" w:ascii="宋体" w:hAnsi="宋体" w:cs="宋体"/>
          <w:bCs/>
          <w:color w:val="auto"/>
          <w:kern w:val="0"/>
          <w:szCs w:val="21"/>
          <w:highlight w:val="none"/>
        </w:rPr>
        <w:fldChar w:fldCharType="end"/>
      </w:r>
      <w:r>
        <w:rPr>
          <w:rFonts w:hint="eastAsia" w:ascii="宋体" w:hAnsi="宋体" w:cs="宋体"/>
          <w:bCs/>
          <w:color w:val="auto"/>
          <w:kern w:val="0"/>
          <w:szCs w:val="21"/>
          <w:highlight w:val="none"/>
        </w:rPr>
        <w:t>；3、具有履行合同所必需的设备和专业技术能力；4、有依法缴纳税收和</w:t>
      </w:r>
      <w:r>
        <w:rPr>
          <w:color w:val="auto"/>
          <w:highlight w:val="none"/>
        </w:rPr>
        <w:fldChar w:fldCharType="begin"/>
      </w:r>
      <w:r>
        <w:rPr>
          <w:color w:val="auto"/>
          <w:highlight w:val="none"/>
        </w:rPr>
        <w:instrText xml:space="preserve"> HYPERLINK "http://www.so.com/s?q=%E7%A4%BE%E4%BC%9A%E4%BF%9D%E9%9A%9C%E8%B5%84%E9%87%91&amp;ie=utf-8&amp;src=internal_wenda_recommend_textn" \t "https://wenda.so.com/q/_blank" </w:instrText>
      </w:r>
      <w:r>
        <w:rPr>
          <w:color w:val="auto"/>
          <w:highlight w:val="none"/>
        </w:rPr>
        <w:fldChar w:fldCharType="separate"/>
      </w:r>
      <w:r>
        <w:rPr>
          <w:rFonts w:hint="eastAsia" w:ascii="宋体" w:hAnsi="宋体" w:cs="宋体"/>
          <w:bCs/>
          <w:color w:val="auto"/>
          <w:kern w:val="0"/>
          <w:szCs w:val="21"/>
          <w:highlight w:val="none"/>
        </w:rPr>
        <w:t>社会保障资金</w:t>
      </w:r>
      <w:r>
        <w:rPr>
          <w:rFonts w:hint="eastAsia" w:ascii="宋体" w:hAnsi="宋体" w:cs="宋体"/>
          <w:bCs/>
          <w:color w:val="auto"/>
          <w:kern w:val="0"/>
          <w:szCs w:val="21"/>
          <w:highlight w:val="none"/>
        </w:rPr>
        <w:fldChar w:fldCharType="end"/>
      </w:r>
      <w:r>
        <w:rPr>
          <w:rFonts w:hint="eastAsia" w:ascii="宋体" w:hAnsi="宋体" w:cs="宋体"/>
          <w:bCs/>
          <w:color w:val="auto"/>
          <w:kern w:val="0"/>
          <w:szCs w:val="21"/>
          <w:highlight w:val="none"/>
        </w:rPr>
        <w:t>的良好记录；5、参加政府采购活动前三年内，在经营活动中没有重大违法记录；6、法律、行政法规规定的其他条件；</w:t>
      </w:r>
      <w:r>
        <w:rPr>
          <w:rFonts w:hint="eastAsia" w:ascii="宋体" w:hAnsi="宋体" w:cs="宋体"/>
          <w:color w:val="auto"/>
          <w:kern w:val="0"/>
          <w:szCs w:val="20"/>
          <w:highlight w:val="none"/>
        </w:rPr>
        <w:t>并已清楚招标文件的要求及有关文件规定。</w:t>
      </w:r>
    </w:p>
    <w:p>
      <w:pPr>
        <w:pageBreakBefore w:val="0"/>
        <w:widowControl/>
        <w:kinsoku/>
        <w:overflowPunct/>
        <w:bidi w:val="0"/>
        <w:spacing w:line="360" w:lineRule="auto"/>
        <w:ind w:firstLine="630" w:firstLineChars="300"/>
        <w:jc w:val="left"/>
        <w:outlineLvl w:val="9"/>
        <w:rPr>
          <w:rFonts w:ascii="宋体" w:hAnsi="宋体" w:cs="宋体"/>
          <w:color w:val="auto"/>
          <w:kern w:val="0"/>
          <w:szCs w:val="21"/>
          <w:highlight w:val="none"/>
        </w:rPr>
      </w:pPr>
      <w:r>
        <w:rPr>
          <w:rFonts w:hint="eastAsia" w:ascii="宋体" w:hAnsi="宋体" w:cs="宋体"/>
          <w:color w:val="auto"/>
          <w:kern w:val="0"/>
          <w:szCs w:val="20"/>
          <w:highlight w:val="none"/>
        </w:rPr>
        <w:t>本公司（企业）的法定代表人或单位负责人与所参投的本采购项目的其他供应商的法定代表人或单位负责人不为同一人且与其他供应商之间不存在直接控股、管理关系。</w:t>
      </w:r>
    </w:p>
    <w:p>
      <w:pPr>
        <w:pageBreakBefore w:val="0"/>
        <w:widowControl/>
        <w:kinsoku/>
        <w:overflowPunct/>
        <w:bidi w:val="0"/>
        <w:snapToGrid w:val="0"/>
        <w:spacing w:line="380" w:lineRule="exact"/>
        <w:ind w:firstLine="420" w:firstLineChars="200"/>
        <w:jc w:val="left"/>
        <w:outlineLvl w:val="9"/>
        <w:rPr>
          <w:rFonts w:ascii="宋体" w:hAnsi="宋体" w:cs="宋体"/>
          <w:color w:val="auto"/>
          <w:kern w:val="0"/>
          <w:szCs w:val="20"/>
          <w:highlight w:val="none"/>
        </w:rPr>
      </w:pPr>
      <w:r>
        <w:rPr>
          <w:rFonts w:hint="eastAsia" w:ascii="宋体" w:hAnsi="宋体" w:cs="宋体"/>
          <w:color w:val="auto"/>
          <w:kern w:val="0"/>
          <w:szCs w:val="20"/>
          <w:highlight w:val="none"/>
        </w:rPr>
        <w:t>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pageBreakBefore w:val="0"/>
        <w:widowControl/>
        <w:kinsoku/>
        <w:overflowPunct/>
        <w:bidi w:val="0"/>
        <w:snapToGrid w:val="0"/>
        <w:spacing w:line="360" w:lineRule="auto"/>
        <w:ind w:firstLine="426" w:firstLineChars="202"/>
        <w:jc w:val="left"/>
        <w:outlineLvl w:val="9"/>
        <w:rPr>
          <w:rFonts w:ascii="宋体" w:hAnsi="宋体" w:cs="宋体"/>
          <w:color w:val="auto"/>
          <w:kern w:val="0"/>
          <w:szCs w:val="20"/>
          <w:highlight w:val="none"/>
        </w:rPr>
      </w:pPr>
      <w:r>
        <w:rPr>
          <w:rFonts w:hint="eastAsia" w:ascii="宋体" w:hAnsi="宋体" w:cs="宋体"/>
          <w:b/>
          <w:color w:val="auto"/>
          <w:kern w:val="0"/>
          <w:szCs w:val="20"/>
          <w:highlight w:val="none"/>
        </w:rPr>
        <w:t>本公司（企业）具有履行合同所必需的设备和专业技术能力，且本公司（企业）参加政府采购活动前3年内在经营活动中没有重大违法记录。</w:t>
      </w:r>
      <w:r>
        <w:rPr>
          <w:rFonts w:hint="eastAsia" w:ascii="宋体" w:hAnsi="宋体" w:cs="宋体"/>
          <w:color w:val="auto"/>
          <w:kern w:val="0"/>
          <w:szCs w:val="20"/>
          <w:highlight w:val="none"/>
        </w:rPr>
        <w:t>否则，由此所造成的损失、不良后果及法律责任，一律由我公司（企业）承担。</w:t>
      </w:r>
    </w:p>
    <w:p>
      <w:pPr>
        <w:pageBreakBefore w:val="0"/>
        <w:widowControl/>
        <w:kinsoku/>
        <w:overflowPunct/>
        <w:bidi w:val="0"/>
        <w:snapToGrid w:val="0"/>
        <w:spacing w:line="360" w:lineRule="auto"/>
        <w:ind w:firstLine="426" w:firstLineChars="202"/>
        <w:jc w:val="left"/>
        <w:outlineLvl w:val="9"/>
        <w:rPr>
          <w:rFonts w:ascii="宋体" w:hAnsi="宋体" w:cs="宋体"/>
          <w:b/>
          <w:bCs/>
          <w:color w:val="auto"/>
          <w:kern w:val="0"/>
          <w:szCs w:val="20"/>
          <w:highlight w:val="none"/>
        </w:rPr>
      </w:pPr>
      <w:r>
        <w:rPr>
          <w:rFonts w:hint="eastAsia" w:ascii="宋体" w:hAnsi="宋体" w:cs="宋体"/>
          <w:b/>
          <w:bCs/>
          <w:color w:val="auto"/>
          <w:kern w:val="0"/>
          <w:szCs w:val="20"/>
          <w:highlight w:val="none"/>
        </w:rPr>
        <w:t>本公司（企业）</w:t>
      </w:r>
      <w:r>
        <w:rPr>
          <w:rFonts w:hint="eastAsia" w:ascii="宋体" w:hAnsi="宋体" w:cs="宋体"/>
          <w:b/>
          <w:bCs/>
          <w:color w:val="auto"/>
          <w:kern w:val="0"/>
          <w:szCs w:val="21"/>
          <w:highlight w:val="none"/>
        </w:rPr>
        <w:t>未被列入“信用中国”网站(www.creditchina.gov.cn)“失信被执行人或重大税收违法案件当事人名单或政府采购严重违法失信行为”记录名单；不处于中国政府采购网(www.ccgp.gov.cn)“政府采购严重违法失信行为信息记录”</w:t>
      </w:r>
      <w:r>
        <w:rPr>
          <w:rFonts w:hint="eastAsia" w:ascii="宋体" w:hAnsi="宋体" w:cs="宋体"/>
          <w:b/>
          <w:bCs/>
          <w:color w:val="auto"/>
          <w:kern w:val="0"/>
          <w:szCs w:val="22"/>
          <w:highlight w:val="none"/>
        </w:rPr>
        <w:t>中的禁止参加政府采购活</w:t>
      </w:r>
      <w:r>
        <w:rPr>
          <w:rFonts w:hint="eastAsia" w:ascii="宋体" w:hAnsi="宋体" w:cs="宋体"/>
          <w:b/>
          <w:bCs/>
          <w:color w:val="auto"/>
          <w:kern w:val="0"/>
          <w:szCs w:val="20"/>
          <w:highlight w:val="none"/>
        </w:rPr>
        <w:t>动期间。否则，由此所造成的损失、不良后果及法律责任，一律由我公司（企业）承担。</w:t>
      </w:r>
    </w:p>
    <w:p>
      <w:pPr>
        <w:pageBreakBefore w:val="0"/>
        <w:widowControl/>
        <w:kinsoku/>
        <w:overflowPunct/>
        <w:bidi w:val="0"/>
        <w:snapToGrid w:val="0"/>
        <w:spacing w:line="360" w:lineRule="auto"/>
        <w:ind w:firstLine="424" w:firstLineChars="202"/>
        <w:jc w:val="left"/>
        <w:outlineLvl w:val="9"/>
        <w:rPr>
          <w:rFonts w:ascii="宋体" w:hAnsi="宋体" w:cs="宋体"/>
          <w:color w:val="auto"/>
          <w:kern w:val="0"/>
          <w:szCs w:val="20"/>
          <w:highlight w:val="none"/>
        </w:rPr>
      </w:pPr>
      <w:r>
        <w:rPr>
          <w:rFonts w:hint="eastAsia" w:ascii="宋体" w:hAnsi="宋体" w:cs="宋体"/>
          <w:color w:val="auto"/>
          <w:kern w:val="0"/>
          <w:szCs w:val="20"/>
          <w:highlight w:val="none"/>
        </w:rPr>
        <w:t>本次招标采购活动中，如有违法、违规、弄虚作假行为，所造成的损失、不良后果及法律责任，一律由我公司（企业）承担。</w:t>
      </w:r>
    </w:p>
    <w:p>
      <w:pPr>
        <w:pageBreakBefore w:val="0"/>
        <w:widowControl/>
        <w:kinsoku/>
        <w:overflowPunct/>
        <w:bidi w:val="0"/>
        <w:spacing w:line="360" w:lineRule="auto"/>
        <w:ind w:firstLine="420"/>
        <w:jc w:val="left"/>
        <w:outlineLvl w:val="9"/>
        <w:rPr>
          <w:rFonts w:ascii="宋体" w:hAnsi="宋体" w:cs="宋体"/>
          <w:b/>
          <w:color w:val="auto"/>
          <w:kern w:val="0"/>
          <w:szCs w:val="20"/>
          <w:highlight w:val="none"/>
        </w:rPr>
      </w:pPr>
      <w:r>
        <w:rPr>
          <w:rFonts w:hint="eastAsia" w:ascii="宋体" w:hAnsi="宋体" w:cs="宋体"/>
          <w:b/>
          <w:color w:val="auto"/>
          <w:kern w:val="0"/>
          <w:szCs w:val="20"/>
          <w:highlight w:val="none"/>
        </w:rPr>
        <w:t>特此声明！</w:t>
      </w:r>
    </w:p>
    <w:p>
      <w:pPr>
        <w:pageBreakBefore w:val="0"/>
        <w:widowControl/>
        <w:kinsoku/>
        <w:overflowPunct/>
        <w:bidi w:val="0"/>
        <w:adjustRightInd w:val="0"/>
        <w:snapToGrid w:val="0"/>
        <w:spacing w:line="360" w:lineRule="auto"/>
        <w:ind w:left="425"/>
        <w:jc w:val="left"/>
        <w:outlineLvl w:val="9"/>
        <w:rPr>
          <w:rFonts w:ascii="宋体" w:hAnsi="宋体" w:cs="宋体"/>
          <w:color w:val="auto"/>
          <w:spacing w:val="4"/>
          <w:kern w:val="0"/>
          <w:szCs w:val="20"/>
          <w:highlight w:val="none"/>
        </w:rPr>
      </w:pPr>
    </w:p>
    <w:p>
      <w:pPr>
        <w:pageBreakBefore w:val="0"/>
        <w:widowControl/>
        <w:kinsoku/>
        <w:overflowPunct/>
        <w:bidi w:val="0"/>
        <w:spacing w:line="360" w:lineRule="auto"/>
        <w:ind w:right="420" w:firstLine="3150" w:firstLineChars="1500"/>
        <w:jc w:val="left"/>
        <w:outlineLvl w:val="9"/>
        <w:rPr>
          <w:rFonts w:ascii="宋体" w:hAnsi="宋体" w:cs="宋体"/>
          <w:color w:val="auto"/>
          <w:kern w:val="0"/>
          <w:szCs w:val="20"/>
          <w:highlight w:val="none"/>
        </w:rPr>
      </w:pPr>
      <w:r>
        <w:rPr>
          <w:rFonts w:hint="eastAsia" w:ascii="宋体" w:hAnsi="宋体" w:cs="宋体"/>
          <w:color w:val="auto"/>
          <w:kern w:val="0"/>
          <w:szCs w:val="20"/>
          <w:highlight w:val="none"/>
        </w:rPr>
        <w:t xml:space="preserve">法定代表人或授权代表（签名或盖章）：     </w:t>
      </w:r>
    </w:p>
    <w:p>
      <w:pPr>
        <w:pageBreakBefore w:val="0"/>
        <w:widowControl/>
        <w:kinsoku/>
        <w:overflowPunct/>
        <w:bidi w:val="0"/>
        <w:spacing w:line="360" w:lineRule="auto"/>
        <w:ind w:right="420" w:firstLine="3150" w:firstLineChars="1500"/>
        <w:jc w:val="left"/>
        <w:outlineLvl w:val="9"/>
        <w:rPr>
          <w:rFonts w:ascii="宋体" w:hAnsi="宋体" w:cs="宋体"/>
          <w:color w:val="auto"/>
          <w:kern w:val="0"/>
          <w:szCs w:val="20"/>
          <w:highlight w:val="none"/>
        </w:rPr>
      </w:pPr>
      <w:r>
        <w:rPr>
          <w:rFonts w:hint="eastAsia" w:ascii="宋体" w:hAnsi="宋体" w:cs="宋体"/>
          <w:color w:val="auto"/>
          <w:kern w:val="0"/>
          <w:szCs w:val="20"/>
          <w:highlight w:val="none"/>
        </w:rPr>
        <w:t xml:space="preserve">供应商公章：                               </w:t>
      </w:r>
    </w:p>
    <w:p>
      <w:pPr>
        <w:pageBreakBefore w:val="0"/>
        <w:widowControl/>
        <w:kinsoku/>
        <w:overflowPunct/>
        <w:bidi w:val="0"/>
        <w:spacing w:line="360" w:lineRule="auto"/>
        <w:ind w:right="420" w:firstLine="3045" w:firstLineChars="1450"/>
        <w:jc w:val="left"/>
        <w:outlineLvl w:val="9"/>
        <w:rPr>
          <w:rFonts w:ascii="宋体" w:hAnsi="宋体" w:cs="宋体"/>
          <w:color w:val="auto"/>
          <w:kern w:val="0"/>
          <w:szCs w:val="20"/>
          <w:highlight w:val="none"/>
        </w:rPr>
      </w:pPr>
      <w:r>
        <w:rPr>
          <w:rFonts w:hint="eastAsia" w:ascii="宋体" w:hAnsi="宋体" w:cs="宋体"/>
          <w:color w:val="auto"/>
          <w:kern w:val="0"/>
          <w:szCs w:val="20"/>
          <w:highlight w:val="none"/>
        </w:rPr>
        <w:t xml:space="preserve"> 年    月    日</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ascii="宋体" w:hAnsi="宋体" w:cs="宋体"/>
          <w:color w:val="auto"/>
          <w:kern w:val="0"/>
          <w:szCs w:val="20"/>
          <w:highlight w:val="none"/>
        </w:rPr>
      </w:pPr>
      <w:r>
        <w:rPr>
          <w:rFonts w:hint="eastAsia" w:ascii="宋体" w:hAnsi="宋体" w:cs="宋体"/>
          <w:b/>
          <w:color w:val="auto"/>
          <w:kern w:val="0"/>
          <w:szCs w:val="20"/>
          <w:highlight w:val="none"/>
        </w:rPr>
        <w:br w:type="page"/>
      </w:r>
      <w:r>
        <w:rPr>
          <w:rFonts w:hint="eastAsia" w:ascii="宋体" w:hAnsi="宋体" w:cs="宋体"/>
          <w:b/>
          <w:color w:val="auto"/>
          <w:kern w:val="0"/>
          <w:szCs w:val="20"/>
          <w:highlight w:val="none"/>
        </w:rPr>
        <w:t>5.</w:t>
      </w:r>
      <w:r>
        <w:rPr>
          <w:rFonts w:hint="eastAsia" w:ascii="宋体" w:hAnsi="宋体" w:cs="宋体"/>
          <w:color w:val="auto"/>
          <w:kern w:val="0"/>
          <w:szCs w:val="20"/>
          <w:highlight w:val="none"/>
        </w:rPr>
        <w:t>有效的企业法人营业执照（或事业法人登记证）、其他组织（个体工商户）的营业执照或者民办非企业单位登记证书复印件；</w:t>
      </w:r>
      <w:r>
        <w:rPr>
          <w:rFonts w:hint="eastAsia" w:ascii="宋体" w:hAnsi="宋体" w:cs="宋体"/>
          <w:color w:val="auto"/>
          <w:kern w:val="0"/>
          <w:szCs w:val="21"/>
          <w:highlight w:val="none"/>
        </w:rPr>
        <w:t>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cs="宋体"/>
          <w:color w:val="auto"/>
          <w:kern w:val="0"/>
          <w:szCs w:val="20"/>
          <w:highlight w:val="none"/>
        </w:rPr>
        <w:t>；</w:t>
      </w:r>
    </w:p>
    <w:p>
      <w:pPr>
        <w:pageBreakBefore w:val="0"/>
        <w:widowControl/>
        <w:kinsoku/>
        <w:overflowPunct/>
        <w:bidi w:val="0"/>
        <w:spacing w:line="360" w:lineRule="auto"/>
        <w:ind w:firstLine="420" w:firstLineChars="200"/>
        <w:jc w:val="left"/>
        <w:outlineLvl w:val="9"/>
        <w:rPr>
          <w:rFonts w:ascii="宋体" w:hAnsi="宋体" w:cs="宋体"/>
          <w:color w:val="auto"/>
          <w:kern w:val="0"/>
          <w:szCs w:val="20"/>
          <w:highlight w:val="none"/>
        </w:rPr>
      </w:pPr>
    </w:p>
    <w:p>
      <w:pPr>
        <w:pageBreakBefore w:val="0"/>
        <w:widowControl/>
        <w:kinsoku/>
        <w:overflowPunct/>
        <w:bidi w:val="0"/>
        <w:jc w:val="left"/>
        <w:outlineLvl w:val="9"/>
        <w:rPr>
          <w:rFonts w:ascii="宋体" w:hAnsi="宋体" w:cs="宋体"/>
          <w:color w:val="auto"/>
          <w:kern w:val="0"/>
          <w:szCs w:val="20"/>
          <w:highlight w:val="none"/>
        </w:rPr>
      </w:pPr>
    </w:p>
    <w:p>
      <w:pPr>
        <w:pageBreakBefore w:val="0"/>
        <w:widowControl/>
        <w:kinsoku/>
        <w:overflowPunct/>
        <w:bidi w:val="0"/>
        <w:jc w:val="left"/>
        <w:outlineLvl w:val="9"/>
        <w:rPr>
          <w:rFonts w:ascii="宋体" w:hAnsi="宋体" w:cs="宋体"/>
          <w:color w:val="auto"/>
          <w:kern w:val="0"/>
          <w:szCs w:val="20"/>
          <w:highlight w:val="none"/>
        </w:rPr>
      </w:pPr>
    </w:p>
    <w:p>
      <w:pPr>
        <w:pageBreakBefore w:val="0"/>
        <w:widowControl/>
        <w:kinsoku/>
        <w:overflowPunct/>
        <w:bidi w:val="0"/>
        <w:spacing w:line="480" w:lineRule="exact"/>
        <w:outlineLvl w:val="9"/>
        <w:rPr>
          <w:rFonts w:ascii="宋体" w:hAnsi="宋体" w:cs="宋体"/>
          <w:b/>
          <w:bCs/>
          <w:color w:val="auto"/>
          <w:kern w:val="0"/>
          <w:szCs w:val="21"/>
          <w:highlight w:val="none"/>
        </w:rPr>
      </w:pPr>
      <w:r>
        <w:rPr>
          <w:rFonts w:hint="eastAsia" w:ascii="宋体" w:hAnsi="宋体" w:cs="宋体"/>
          <w:b/>
          <w:bCs/>
          <w:color w:val="auto"/>
          <w:kern w:val="0"/>
          <w:szCs w:val="20"/>
          <w:highlight w:val="none"/>
        </w:rPr>
        <w:br w:type="page"/>
      </w:r>
      <w:r>
        <w:rPr>
          <w:rFonts w:hint="eastAsia" w:ascii="宋体" w:hAnsi="宋体" w:cs="宋体"/>
          <w:b/>
          <w:bCs/>
          <w:color w:val="auto"/>
          <w:kern w:val="0"/>
          <w:szCs w:val="20"/>
          <w:highlight w:val="none"/>
        </w:rPr>
        <w:t>6</w:t>
      </w:r>
      <w:r>
        <w:rPr>
          <w:rFonts w:hint="eastAsia" w:ascii="宋体" w:hAnsi="宋体" w:cs="宋体"/>
          <w:b/>
          <w:bCs/>
          <w:color w:val="auto"/>
          <w:kern w:val="0"/>
          <w:szCs w:val="21"/>
          <w:highlight w:val="none"/>
        </w:rPr>
        <w:t>.</w:t>
      </w:r>
      <w:r>
        <w:rPr>
          <w:rFonts w:hint="eastAsia" w:ascii="宋体" w:hAnsi="宋体" w:cs="宋体"/>
          <w:b/>
          <w:color w:val="auto"/>
          <w:kern w:val="0"/>
          <w:szCs w:val="20"/>
          <w:highlight w:val="none"/>
        </w:rPr>
        <w:t>供应商的特定条件的证明文件：</w:t>
      </w:r>
      <w:r>
        <w:rPr>
          <w:rFonts w:hint="eastAsia" w:ascii="宋体" w:hAnsi="宋体" w:cs="宋体"/>
          <w:color w:val="auto"/>
          <w:kern w:val="0"/>
          <w:szCs w:val="20"/>
          <w:highlight w:val="none"/>
        </w:rPr>
        <w:t>详见“第一章  公开招标公告 二、申请人的资格要求：3.本项目的特定资格要求”</w:t>
      </w:r>
      <w:r>
        <w:rPr>
          <w:rFonts w:hint="eastAsia" w:ascii="宋体" w:hAnsi="宋体" w:cs="宋体"/>
          <w:color w:val="auto"/>
          <w:kern w:val="0"/>
          <w:szCs w:val="21"/>
          <w:highlight w:val="none"/>
        </w:rPr>
        <w:t>；</w:t>
      </w:r>
    </w:p>
    <w:p>
      <w:pPr>
        <w:pageBreakBefore w:val="0"/>
        <w:widowControl/>
        <w:kinsoku/>
        <w:overflowPunct/>
        <w:bidi w:val="0"/>
        <w:snapToGrid w:val="0"/>
        <w:spacing w:before="50" w:afterLines="50"/>
        <w:jc w:val="left"/>
        <w:outlineLvl w:val="9"/>
        <w:rPr>
          <w:rFonts w:ascii="宋体" w:hAnsi="宋体" w:cs="宋体"/>
          <w:b/>
          <w:color w:val="auto"/>
          <w:kern w:val="0"/>
          <w:sz w:val="24"/>
          <w:szCs w:val="20"/>
          <w:highlight w:val="none"/>
        </w:rPr>
      </w:pPr>
    </w:p>
    <w:p>
      <w:pPr>
        <w:pageBreakBefore w:val="0"/>
        <w:widowControl/>
        <w:kinsoku/>
        <w:overflowPunct/>
        <w:bidi w:val="0"/>
        <w:spacing w:line="240" w:lineRule="auto"/>
        <w:jc w:val="left"/>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br w:type="page"/>
      </w:r>
    </w:p>
    <w:p>
      <w:pPr>
        <w:pageBreakBefore w:val="0"/>
        <w:widowControl/>
        <w:kinsoku/>
        <w:overflowPunct/>
        <w:bidi w:val="0"/>
        <w:spacing w:line="400" w:lineRule="exact"/>
        <w:jc w:val="left"/>
        <w:outlineLvl w:val="9"/>
        <w:rPr>
          <w:rFonts w:ascii="宋体" w:hAnsi="宋体" w:cs="宋体"/>
          <w:b/>
          <w:color w:val="auto"/>
          <w:kern w:val="0"/>
          <w:szCs w:val="20"/>
          <w:highlight w:val="none"/>
        </w:rPr>
      </w:pPr>
      <w:r>
        <w:rPr>
          <w:rFonts w:hint="eastAsia" w:ascii="宋体" w:hAnsi="宋体" w:eastAsia="宋体" w:cs="宋体"/>
          <w:color w:val="auto"/>
          <w:kern w:val="0"/>
          <w:szCs w:val="21"/>
          <w:highlight w:val="none"/>
          <w:lang w:val="en-US" w:eastAsia="zh-CN"/>
        </w:rPr>
        <w:t>7.标项一、标项三：</w:t>
      </w:r>
      <w:r>
        <w:rPr>
          <w:rFonts w:hint="eastAsia" w:ascii="宋体" w:hAnsi="宋体" w:eastAsia="宋体" w:cs="宋体"/>
          <w:color w:val="auto"/>
          <w:kern w:val="0"/>
          <w:szCs w:val="21"/>
          <w:highlight w:val="none"/>
          <w:lang w:eastAsia="zh-CN"/>
        </w:rPr>
        <w:t>中小企业声明函[提供中小企业声明函或残疾人福利性单位声明函（非残疾人福利性单位无需提供本函)，格式见附件或提供由省级以上监狱管理局、戒毒管理局（含新疆生产建设兵团）出具的属于监狱企业的证明文件]；</w:t>
      </w:r>
    </w:p>
    <w:p>
      <w:pPr>
        <w:pageBreakBefore w:val="0"/>
        <w:kinsoku/>
        <w:overflowPunct/>
        <w:bidi w:val="0"/>
        <w:outlineLvl w:val="9"/>
        <w:rPr>
          <w:rFonts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A.</w:t>
      </w:r>
      <w:r>
        <w:rPr>
          <w:rFonts w:hint="eastAsia" w:ascii="宋体" w:hAnsi="宋体" w:eastAsia="宋体" w:cs="宋体"/>
          <w:b/>
          <w:bCs/>
          <w:color w:val="auto"/>
          <w:szCs w:val="21"/>
          <w:highlight w:val="none"/>
        </w:rPr>
        <w:t>中小企业声明函</w:t>
      </w:r>
    </w:p>
    <w:p>
      <w:pPr>
        <w:pageBreakBefore w:val="0"/>
        <w:kinsoku/>
        <w:overflowPunct/>
        <w:bidi w:val="0"/>
        <w:spacing w:line="520" w:lineRule="exact"/>
        <w:ind w:left="420" w:leftChars="200"/>
        <w:jc w:val="center"/>
        <w:outlineLvl w:val="9"/>
        <w:rPr>
          <w:rFonts w:ascii="宋体" w:hAnsi="宋体" w:eastAsia="宋体" w:cs="宋体"/>
          <w:b/>
          <w:color w:val="auto"/>
          <w:sz w:val="28"/>
          <w:highlight w:val="none"/>
        </w:rPr>
      </w:pPr>
      <w:r>
        <w:rPr>
          <w:rFonts w:hint="eastAsia" w:ascii="宋体" w:hAnsi="宋体" w:eastAsia="宋体" w:cs="宋体"/>
          <w:b/>
          <w:color w:val="auto"/>
          <w:sz w:val="28"/>
          <w:szCs w:val="28"/>
          <w:highlight w:val="none"/>
        </w:rPr>
        <w:t>中小企业声明函</w:t>
      </w:r>
    </w:p>
    <w:p>
      <w:pPr>
        <w:pageBreakBefore w:val="0"/>
        <w:kinsoku/>
        <w:overflowPunct/>
        <w:topLinePunct w:val="0"/>
        <w:bidi w:val="0"/>
        <w:spacing w:line="500" w:lineRule="exact"/>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本公司（联合体）郑重声明，根据《政府采购促进中小企业发展管理办法》（财库﹝2020﹞46 号）的规定，本公司（联合体）参加</w:t>
      </w:r>
      <w:r>
        <w:rPr>
          <w:rFonts w:hint="eastAsia" w:ascii="宋体" w:hAnsi="宋体" w:eastAsia="宋体" w:cs="宋体"/>
          <w:color w:val="auto"/>
          <w:sz w:val="21"/>
          <w:szCs w:val="21"/>
          <w:u w:val="single"/>
        </w:rPr>
        <w:t>（单位名称）</w:t>
      </w:r>
      <w:r>
        <w:rPr>
          <w:rFonts w:hint="eastAsia" w:ascii="宋体" w:hAnsi="宋体" w:eastAsia="宋体" w:cs="宋体"/>
          <w:color w:val="auto"/>
          <w:sz w:val="21"/>
          <w:szCs w:val="21"/>
        </w:rPr>
        <w:t>的</w:t>
      </w:r>
      <w:r>
        <w:rPr>
          <w:rFonts w:hint="eastAsia" w:ascii="宋体" w:hAnsi="宋体" w:eastAsia="宋体" w:cs="宋体"/>
          <w:color w:val="auto"/>
          <w:sz w:val="21"/>
          <w:szCs w:val="21"/>
          <w:u w:val="single"/>
        </w:rPr>
        <w:t>（项目名称）</w:t>
      </w:r>
      <w:r>
        <w:rPr>
          <w:rFonts w:hint="eastAsia" w:ascii="宋体" w:hAnsi="宋体" w:eastAsia="宋体" w:cs="宋体"/>
          <w:color w:val="auto"/>
          <w:sz w:val="21"/>
          <w:szCs w:val="21"/>
        </w:rPr>
        <w:t>采购活动，</w:t>
      </w:r>
      <w:r>
        <w:rPr>
          <w:rFonts w:hint="eastAsia" w:ascii="宋体" w:hAnsi="宋体" w:eastAsia="宋体" w:cs="宋体"/>
          <w:color w:val="auto"/>
          <w:sz w:val="21"/>
          <w:szCs w:val="21"/>
          <w:lang w:val="en-US" w:eastAsia="zh-CN"/>
        </w:rPr>
        <w:t>服务</w:t>
      </w:r>
      <w:r>
        <w:rPr>
          <w:rFonts w:hint="eastAsia" w:ascii="宋体" w:hAnsi="宋体" w:eastAsia="宋体" w:cs="宋体"/>
          <w:color w:val="auto"/>
          <w:sz w:val="21"/>
          <w:szCs w:val="21"/>
        </w:rPr>
        <w:t>全部由符合政策要求的中小企业</w:t>
      </w:r>
      <w:r>
        <w:rPr>
          <w:rFonts w:hint="eastAsia" w:ascii="宋体" w:hAnsi="宋体" w:eastAsia="宋体" w:cs="宋体"/>
          <w:color w:val="auto"/>
          <w:sz w:val="21"/>
          <w:szCs w:val="21"/>
          <w:lang w:val="en-US" w:eastAsia="zh-CN"/>
        </w:rPr>
        <w:t>承接</w:t>
      </w:r>
      <w:r>
        <w:rPr>
          <w:rFonts w:hint="eastAsia" w:ascii="宋体" w:hAnsi="宋体" w:eastAsia="宋体" w:cs="宋体"/>
          <w:color w:val="auto"/>
          <w:sz w:val="21"/>
          <w:szCs w:val="21"/>
        </w:rPr>
        <w:t>。相关企业（含联合体中的中小企业、签订分包意向协议的中小企业）的具体情况如下：</w:t>
      </w:r>
    </w:p>
    <w:p>
      <w:pPr>
        <w:pageBreakBefore w:val="0"/>
        <w:kinsoku/>
        <w:overflowPunct/>
        <w:topLinePunct w:val="0"/>
        <w:bidi w:val="0"/>
        <w:spacing w:line="500" w:lineRule="exact"/>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i/>
          <w:color w:val="auto"/>
          <w:sz w:val="21"/>
          <w:szCs w:val="21"/>
          <w:u w:val="single"/>
        </w:rPr>
        <w:t xml:space="preserve"> （标的名称） </w:t>
      </w:r>
      <w:r>
        <w:rPr>
          <w:rFonts w:hint="eastAsia" w:ascii="宋体" w:hAnsi="宋体" w:eastAsia="宋体" w:cs="宋体"/>
          <w:color w:val="auto"/>
          <w:sz w:val="21"/>
          <w:szCs w:val="21"/>
        </w:rPr>
        <w:t>，属于</w:t>
      </w:r>
      <w:r>
        <w:rPr>
          <w:rFonts w:hint="eastAsia" w:ascii="宋体" w:hAnsi="宋体" w:eastAsia="宋体" w:cs="宋体"/>
          <w:i/>
          <w:color w:val="auto"/>
          <w:sz w:val="21"/>
          <w:szCs w:val="21"/>
          <w:u w:val="single"/>
        </w:rPr>
        <w:t>（</w:t>
      </w:r>
      <w:r>
        <w:rPr>
          <w:rFonts w:hint="eastAsia" w:ascii="宋体" w:hAnsi="宋体" w:eastAsia="宋体" w:cs="宋体"/>
          <w:i/>
          <w:color w:val="auto"/>
          <w:sz w:val="21"/>
          <w:szCs w:val="21"/>
          <w:u w:val="single"/>
          <w:lang w:eastAsia="zh-CN"/>
        </w:rPr>
        <w:t>软件和信息技术服务业</w:t>
      </w:r>
      <w:r>
        <w:rPr>
          <w:rFonts w:hint="eastAsia" w:ascii="宋体" w:hAnsi="宋体" w:eastAsia="宋体" w:cs="宋体"/>
          <w:i/>
          <w:color w:val="auto"/>
          <w:sz w:val="21"/>
          <w:szCs w:val="21"/>
          <w:u w:val="single"/>
        </w:rPr>
        <w:t>）</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承接企业</w:t>
      </w:r>
      <w:r>
        <w:rPr>
          <w:rFonts w:hint="eastAsia" w:ascii="宋体" w:hAnsi="宋体" w:eastAsia="宋体" w:cs="宋体"/>
          <w:color w:val="auto"/>
          <w:sz w:val="21"/>
          <w:szCs w:val="21"/>
        </w:rPr>
        <w:t>为</w:t>
      </w:r>
      <w:r>
        <w:rPr>
          <w:rFonts w:hint="eastAsia" w:ascii="宋体" w:hAnsi="宋体" w:eastAsia="宋体" w:cs="宋体"/>
          <w:i/>
          <w:color w:val="auto"/>
          <w:sz w:val="21"/>
          <w:szCs w:val="21"/>
          <w:u w:val="single"/>
        </w:rPr>
        <w:t>（企业名称）</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万元，属于</w:t>
      </w:r>
      <w:r>
        <w:rPr>
          <w:rFonts w:hint="eastAsia" w:ascii="宋体" w:hAnsi="宋体" w:eastAsia="宋体" w:cs="宋体"/>
          <w:i/>
          <w:color w:val="auto"/>
          <w:sz w:val="21"/>
          <w:szCs w:val="21"/>
          <w:u w:val="single"/>
        </w:rPr>
        <w:t>（中型企业、小型企业、微型企业）</w:t>
      </w:r>
      <w:r>
        <w:rPr>
          <w:rFonts w:hint="eastAsia" w:ascii="宋体" w:hAnsi="宋体" w:eastAsia="宋体" w:cs="宋体"/>
          <w:color w:val="auto"/>
          <w:sz w:val="21"/>
          <w:szCs w:val="21"/>
        </w:rPr>
        <w:t>；</w:t>
      </w:r>
    </w:p>
    <w:p>
      <w:pPr>
        <w:pageBreakBefore w:val="0"/>
        <w:kinsoku/>
        <w:overflowPunct/>
        <w:topLinePunct w:val="0"/>
        <w:bidi w:val="0"/>
        <w:spacing w:line="500" w:lineRule="exact"/>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i/>
          <w:color w:val="auto"/>
          <w:sz w:val="21"/>
          <w:szCs w:val="21"/>
          <w:u w:val="single"/>
        </w:rPr>
        <w:t xml:space="preserve"> （标的名称） </w:t>
      </w:r>
      <w:r>
        <w:rPr>
          <w:rFonts w:hint="eastAsia" w:ascii="宋体" w:hAnsi="宋体" w:eastAsia="宋体" w:cs="宋体"/>
          <w:color w:val="auto"/>
          <w:sz w:val="21"/>
          <w:szCs w:val="21"/>
        </w:rPr>
        <w:t>，属于</w:t>
      </w:r>
      <w:r>
        <w:rPr>
          <w:rFonts w:hint="eastAsia" w:ascii="宋体" w:hAnsi="宋体" w:eastAsia="宋体" w:cs="宋体"/>
          <w:i/>
          <w:color w:val="auto"/>
          <w:sz w:val="21"/>
          <w:szCs w:val="21"/>
          <w:u w:val="single"/>
        </w:rPr>
        <w:t>（</w:t>
      </w:r>
      <w:r>
        <w:rPr>
          <w:rFonts w:hint="eastAsia" w:ascii="宋体" w:hAnsi="宋体" w:eastAsia="宋体" w:cs="宋体"/>
          <w:i/>
          <w:color w:val="auto"/>
          <w:sz w:val="21"/>
          <w:szCs w:val="21"/>
          <w:u w:val="single"/>
          <w:lang w:eastAsia="zh-CN"/>
        </w:rPr>
        <w:t>软件和信息技术服务业</w:t>
      </w:r>
      <w:r>
        <w:rPr>
          <w:rFonts w:hint="eastAsia" w:ascii="宋体" w:hAnsi="宋体" w:eastAsia="宋体" w:cs="宋体"/>
          <w:i/>
          <w:color w:val="auto"/>
          <w:sz w:val="21"/>
          <w:szCs w:val="21"/>
          <w:u w:val="single"/>
        </w:rPr>
        <w:t>）</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承接企业</w:t>
      </w:r>
      <w:r>
        <w:rPr>
          <w:rFonts w:hint="eastAsia" w:ascii="宋体" w:hAnsi="宋体" w:eastAsia="宋体" w:cs="宋体"/>
          <w:color w:val="auto"/>
          <w:sz w:val="21"/>
          <w:szCs w:val="21"/>
        </w:rPr>
        <w:t>为</w:t>
      </w:r>
      <w:r>
        <w:rPr>
          <w:rFonts w:hint="eastAsia" w:ascii="宋体" w:hAnsi="宋体" w:eastAsia="宋体" w:cs="宋体"/>
          <w:i/>
          <w:color w:val="auto"/>
          <w:sz w:val="21"/>
          <w:szCs w:val="21"/>
          <w:u w:val="single"/>
        </w:rPr>
        <w:t>（企业名称）</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万元，属于</w:t>
      </w:r>
      <w:r>
        <w:rPr>
          <w:rFonts w:hint="eastAsia" w:ascii="宋体" w:hAnsi="宋体" w:eastAsia="宋体" w:cs="宋体"/>
          <w:i/>
          <w:color w:val="auto"/>
          <w:sz w:val="21"/>
          <w:szCs w:val="21"/>
          <w:u w:val="single"/>
        </w:rPr>
        <w:t>（中型企业、小型企业、微型企业）</w:t>
      </w:r>
      <w:r>
        <w:rPr>
          <w:rFonts w:hint="eastAsia" w:ascii="宋体" w:hAnsi="宋体" w:eastAsia="宋体" w:cs="宋体"/>
          <w:color w:val="auto"/>
          <w:sz w:val="21"/>
          <w:szCs w:val="21"/>
        </w:rPr>
        <w:t>；</w:t>
      </w:r>
    </w:p>
    <w:p>
      <w:pPr>
        <w:pageBreakBefore w:val="0"/>
        <w:kinsoku/>
        <w:overflowPunct/>
        <w:topLinePunct w:val="0"/>
        <w:bidi w:val="0"/>
        <w:spacing w:line="500" w:lineRule="exact"/>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w:t>
      </w:r>
    </w:p>
    <w:p>
      <w:pPr>
        <w:pageBreakBefore w:val="0"/>
        <w:kinsoku/>
        <w:overflowPunct/>
        <w:topLinePunct w:val="0"/>
        <w:bidi w:val="0"/>
        <w:spacing w:line="500" w:lineRule="exact"/>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以上企业，不属于大企业的分支机构，不存在控股股东为大企业的情形，也不存在与大企业的负责人为同一人的情形。</w:t>
      </w:r>
    </w:p>
    <w:p>
      <w:pPr>
        <w:pageBreakBefore w:val="0"/>
        <w:kinsoku/>
        <w:overflowPunct/>
        <w:topLinePunct w:val="0"/>
        <w:bidi w:val="0"/>
        <w:spacing w:line="500" w:lineRule="exact"/>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本企业对上述声明内容的真实性负责。如有虚假，将依法承担相应责任。</w:t>
      </w:r>
    </w:p>
    <w:p>
      <w:pPr>
        <w:pageBreakBefore w:val="0"/>
        <w:kinsoku/>
        <w:overflowPunct/>
        <w:topLinePunct w:val="0"/>
        <w:bidi w:val="0"/>
        <w:spacing w:line="500" w:lineRule="exact"/>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                        企业名称（盖章）：</w:t>
      </w:r>
    </w:p>
    <w:p>
      <w:pPr>
        <w:pageBreakBefore w:val="0"/>
        <w:kinsoku/>
        <w:overflowPunct/>
        <w:topLinePunct w:val="0"/>
        <w:bidi w:val="0"/>
        <w:spacing w:line="500" w:lineRule="exact"/>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                        日期：</w:t>
      </w:r>
    </w:p>
    <w:p>
      <w:pPr>
        <w:pageBreakBefore w:val="0"/>
        <w:widowControl/>
        <w:kinsoku/>
        <w:overflowPunct/>
        <w:bidi w:val="0"/>
        <w:spacing w:line="360" w:lineRule="auto"/>
        <w:jc w:val="left"/>
        <w:outlineLvl w:val="9"/>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说明：</w:t>
      </w:r>
    </w:p>
    <w:p>
      <w:pPr>
        <w:pageBreakBefore w:val="0"/>
        <w:widowControl/>
        <w:kinsoku/>
        <w:overflowPunct/>
        <w:bidi w:val="0"/>
        <w:spacing w:line="360" w:lineRule="auto"/>
        <w:jc w:val="left"/>
        <w:outlineLvl w:val="9"/>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1、从业人员、营业收入、资产总额填报上一年度数据，无上一年度数据的新成立企业可不填报。</w:t>
      </w:r>
    </w:p>
    <w:p>
      <w:pPr>
        <w:pageBreakBefore w:val="0"/>
        <w:widowControl/>
        <w:kinsoku/>
        <w:overflowPunct/>
        <w:bidi w:val="0"/>
        <w:spacing w:line="360" w:lineRule="auto"/>
        <w:jc w:val="left"/>
        <w:outlineLvl w:val="9"/>
        <w:rPr>
          <w:rFonts w:ascii="宋体" w:hAnsi="宋体" w:eastAsia="宋体" w:cs="宋体"/>
          <w:b/>
          <w:bCs w:val="0"/>
          <w:color w:val="auto"/>
          <w:kern w:val="0"/>
          <w:szCs w:val="21"/>
          <w:highlight w:val="none"/>
        </w:rPr>
      </w:pPr>
      <w:r>
        <w:rPr>
          <w:rFonts w:hint="eastAsia" w:ascii="宋体" w:hAnsi="宋体" w:eastAsia="宋体" w:cs="宋体"/>
          <w:bCs/>
          <w:color w:val="auto"/>
          <w:kern w:val="0"/>
          <w:szCs w:val="21"/>
          <w:highlight w:val="none"/>
        </w:rPr>
        <w:t>2、根据工信部联企业[2011]300号规定。</w:t>
      </w:r>
      <w:r>
        <w:rPr>
          <w:rFonts w:hint="eastAsia" w:ascii="宋体" w:hAnsi="宋体" w:eastAsia="宋体" w:cs="宋体"/>
          <w:b/>
          <w:bCs w:val="0"/>
          <w:color w:val="auto"/>
          <w:kern w:val="0"/>
          <w:szCs w:val="21"/>
          <w:highlight w:val="none"/>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ageBreakBefore w:val="0"/>
        <w:widowControl/>
        <w:kinsoku/>
        <w:overflowPunct/>
        <w:bidi w:val="0"/>
        <w:spacing w:line="360" w:lineRule="auto"/>
        <w:jc w:val="left"/>
        <w:outlineLvl w:val="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3、供应商自行更改所属行业的，未填写企业类型（中、小、微型）的，将作无效标处理。</w:t>
      </w:r>
    </w:p>
    <w:p>
      <w:pPr>
        <w:pageBreakBefore w:val="0"/>
        <w:widowControl/>
        <w:kinsoku/>
        <w:overflowPunct/>
        <w:bidi w:val="0"/>
        <w:spacing w:line="360" w:lineRule="auto"/>
        <w:jc w:val="left"/>
        <w:outlineLvl w:val="9"/>
        <w:rPr>
          <w:rFonts w:hint="eastAsia" w:ascii="宋体" w:hAnsi="宋体" w:eastAsia="宋体" w:cs="宋体"/>
          <w:b/>
          <w:color w:val="auto"/>
          <w:kern w:val="0"/>
          <w:szCs w:val="21"/>
          <w:highlight w:val="none"/>
        </w:rPr>
      </w:pPr>
    </w:p>
    <w:p>
      <w:pPr>
        <w:pageBreakBefore w:val="0"/>
        <w:widowControl/>
        <w:kinsoku/>
        <w:overflowPunct/>
        <w:bidi w:val="0"/>
        <w:spacing w:line="360" w:lineRule="auto"/>
        <w:jc w:val="left"/>
        <w:outlineLvl w:val="9"/>
        <w:rPr>
          <w:rFonts w:ascii="宋体" w:hAnsi="宋体" w:eastAsia="宋体" w:cs="宋体"/>
          <w:b/>
          <w:bCs/>
          <w:color w:val="auto"/>
          <w:kern w:val="0"/>
          <w:szCs w:val="20"/>
          <w:highlight w:val="none"/>
        </w:rPr>
      </w:pPr>
      <w:r>
        <w:rPr>
          <w:rFonts w:hint="eastAsia" w:ascii="宋体" w:hAnsi="宋体" w:eastAsia="宋体" w:cs="宋体"/>
          <w:b/>
          <w:color w:val="auto"/>
          <w:kern w:val="0"/>
          <w:szCs w:val="21"/>
          <w:highlight w:val="none"/>
        </w:rPr>
        <w:br w:type="page"/>
      </w:r>
      <w:r>
        <w:rPr>
          <w:rFonts w:hint="eastAsia" w:ascii="宋体" w:hAnsi="宋体" w:eastAsia="宋体" w:cs="宋体"/>
          <w:b/>
          <w:bCs/>
          <w:color w:val="auto"/>
          <w:kern w:val="0"/>
          <w:szCs w:val="21"/>
          <w:highlight w:val="none"/>
          <w:lang w:val="en-US" w:eastAsia="zh-CN"/>
        </w:rPr>
        <w:t>B</w:t>
      </w:r>
      <w:r>
        <w:rPr>
          <w:rFonts w:hint="eastAsia" w:ascii="宋体" w:hAnsi="宋体" w:eastAsia="宋体" w:cs="宋体"/>
          <w:b/>
          <w:bCs/>
          <w:color w:val="auto"/>
          <w:kern w:val="0"/>
          <w:szCs w:val="21"/>
          <w:highlight w:val="none"/>
        </w:rPr>
        <w:t>.残疾人福利性单位声明函</w:t>
      </w:r>
    </w:p>
    <w:p>
      <w:pPr>
        <w:pageBreakBefore w:val="0"/>
        <w:widowControl/>
        <w:kinsoku/>
        <w:overflowPunct/>
        <w:bidi w:val="0"/>
        <w:spacing w:line="588" w:lineRule="exact"/>
        <w:jc w:val="center"/>
        <w:outlineLvl w:val="9"/>
        <w:rPr>
          <w:rFonts w:ascii="宋体" w:hAnsi="宋体" w:eastAsia="宋体" w:cs="宋体"/>
          <w:b/>
          <w:color w:val="auto"/>
          <w:spacing w:val="6"/>
          <w:kern w:val="0"/>
          <w:szCs w:val="21"/>
          <w:highlight w:val="none"/>
        </w:rPr>
      </w:pPr>
      <w:r>
        <w:rPr>
          <w:rFonts w:hint="eastAsia" w:ascii="宋体" w:hAnsi="宋体" w:eastAsia="宋体" w:cs="宋体"/>
          <w:b/>
          <w:color w:val="auto"/>
          <w:spacing w:val="6"/>
          <w:kern w:val="0"/>
          <w:szCs w:val="21"/>
          <w:highlight w:val="none"/>
        </w:rPr>
        <w:t>残疾人福利性单位声明函</w:t>
      </w:r>
    </w:p>
    <w:p>
      <w:pPr>
        <w:pageBreakBefore w:val="0"/>
        <w:widowControl/>
        <w:kinsoku/>
        <w:overflowPunct/>
        <w:bidi w:val="0"/>
        <w:spacing w:line="588" w:lineRule="exact"/>
        <w:ind w:firstLine="444" w:firstLineChars="200"/>
        <w:jc w:val="left"/>
        <w:outlineLvl w:val="9"/>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本单位郑重声明，根据《财政部 民政部 中国残疾人联合会关于促进残疾人就业政府采购政策的通知》（财库</w:t>
      </w:r>
      <w:r>
        <w:rPr>
          <w:rFonts w:hint="eastAsia" w:ascii="宋体" w:hAnsi="宋体" w:eastAsia="宋体" w:cs="宋体"/>
          <w:color w:val="auto"/>
          <w:kern w:val="0"/>
          <w:szCs w:val="21"/>
          <w:highlight w:val="none"/>
        </w:rPr>
        <w:t>〔2017〕 141</w:t>
      </w:r>
      <w:r>
        <w:rPr>
          <w:rFonts w:hint="eastAsia" w:ascii="宋体" w:hAnsi="宋体" w:eastAsia="宋体" w:cs="宋体"/>
          <w:color w:val="auto"/>
          <w:spacing w:val="6"/>
          <w:kern w:val="0"/>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ageBreakBefore w:val="0"/>
        <w:widowControl/>
        <w:kinsoku/>
        <w:overflowPunct/>
        <w:bidi w:val="0"/>
        <w:spacing w:line="588" w:lineRule="exact"/>
        <w:ind w:firstLine="444" w:firstLineChars="200"/>
        <w:jc w:val="left"/>
        <w:outlineLvl w:val="9"/>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本单位对上述声明的真实性负责。如有虚假，将依法承担相应责任。</w:t>
      </w:r>
    </w:p>
    <w:p>
      <w:pPr>
        <w:pageBreakBefore w:val="0"/>
        <w:widowControl/>
        <w:tabs>
          <w:tab w:val="left" w:pos="4860"/>
        </w:tabs>
        <w:kinsoku/>
        <w:overflowPunct/>
        <w:bidi w:val="0"/>
        <w:spacing w:line="588" w:lineRule="exact"/>
        <w:ind w:right="1560" w:firstLine="444" w:firstLineChars="200"/>
        <w:jc w:val="center"/>
        <w:outlineLvl w:val="9"/>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 xml:space="preserve">               单位名称（盖章）：</w:t>
      </w:r>
    </w:p>
    <w:p>
      <w:pPr>
        <w:pageBreakBefore w:val="0"/>
        <w:widowControl/>
        <w:tabs>
          <w:tab w:val="left" w:pos="4860"/>
        </w:tabs>
        <w:kinsoku/>
        <w:overflowPunct/>
        <w:bidi w:val="0"/>
        <w:spacing w:line="588" w:lineRule="exact"/>
        <w:ind w:right="1560" w:firstLine="444" w:firstLineChars="200"/>
        <w:jc w:val="center"/>
        <w:outlineLvl w:val="9"/>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 xml:space="preserve">       日  期：</w:t>
      </w:r>
    </w:p>
    <w:p>
      <w:pPr>
        <w:pageBreakBefore w:val="0"/>
        <w:widowControl/>
        <w:kinsoku/>
        <w:overflowPunct/>
        <w:bidi w:val="0"/>
        <w:spacing w:line="360" w:lineRule="auto"/>
        <w:jc w:val="left"/>
        <w:outlineLvl w:val="9"/>
        <w:rPr>
          <w:rFonts w:ascii="宋体" w:hAnsi="宋体" w:eastAsia="宋体" w:cs="宋体"/>
          <w:b/>
          <w:bCs/>
          <w:color w:val="auto"/>
          <w:kern w:val="0"/>
          <w:szCs w:val="21"/>
          <w:highlight w:val="none"/>
        </w:rPr>
      </w:pPr>
    </w:p>
    <w:p>
      <w:pPr>
        <w:pageBreakBefore w:val="0"/>
        <w:tabs>
          <w:tab w:val="left" w:pos="4860"/>
        </w:tabs>
        <w:kinsoku/>
        <w:overflowPunct/>
        <w:bidi w:val="0"/>
        <w:spacing w:line="360" w:lineRule="auto"/>
        <w:outlineLvl w:val="9"/>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注：1、如供应商为非残疾人福利性单位的可不提供本声明函。</w:t>
      </w:r>
    </w:p>
    <w:p>
      <w:pPr>
        <w:pageBreakBefore w:val="0"/>
        <w:tabs>
          <w:tab w:val="left" w:pos="4860"/>
        </w:tabs>
        <w:kinsoku/>
        <w:overflowPunct/>
        <w:bidi w:val="0"/>
        <w:spacing w:line="360" w:lineRule="auto"/>
        <w:ind w:firstLine="444" w:firstLineChars="200"/>
        <w:outlineLvl w:val="9"/>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2、享受政府采购支持政策的残疾人福利性单位应当同时满足以下条件：</w:t>
      </w:r>
    </w:p>
    <w:p>
      <w:pPr>
        <w:pageBreakBefore w:val="0"/>
        <w:tabs>
          <w:tab w:val="left" w:pos="4860"/>
        </w:tabs>
        <w:kinsoku/>
        <w:overflowPunct/>
        <w:bidi w:val="0"/>
        <w:spacing w:line="360" w:lineRule="auto"/>
        <w:ind w:firstLine="444" w:firstLineChars="200"/>
        <w:outlineLvl w:val="9"/>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（1）安置的残疾人占本单位在职职工人数的比例不低于25%（含25%），并且安置的残疾人人数不少于10人（含10人）；</w:t>
      </w:r>
    </w:p>
    <w:p>
      <w:pPr>
        <w:pageBreakBefore w:val="0"/>
        <w:tabs>
          <w:tab w:val="left" w:pos="4860"/>
        </w:tabs>
        <w:kinsoku/>
        <w:overflowPunct/>
        <w:bidi w:val="0"/>
        <w:spacing w:line="360" w:lineRule="auto"/>
        <w:ind w:firstLine="444" w:firstLineChars="200"/>
        <w:outlineLvl w:val="9"/>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（2）依法与安置的每位残疾人签订了一年以上（含一年）的劳动合同或服务协议；</w:t>
      </w:r>
    </w:p>
    <w:p>
      <w:pPr>
        <w:pageBreakBefore w:val="0"/>
        <w:tabs>
          <w:tab w:val="left" w:pos="4860"/>
        </w:tabs>
        <w:kinsoku/>
        <w:overflowPunct/>
        <w:bidi w:val="0"/>
        <w:spacing w:line="360" w:lineRule="auto"/>
        <w:ind w:firstLine="444" w:firstLineChars="200"/>
        <w:outlineLvl w:val="9"/>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（3）为安置的每位残疾人按月足额缴纳了基本养老保险、基本医疗保险、失业保险、工伤保险和生育保险等社会保险费；</w:t>
      </w:r>
    </w:p>
    <w:p>
      <w:pPr>
        <w:pageBreakBefore w:val="0"/>
        <w:tabs>
          <w:tab w:val="left" w:pos="4860"/>
        </w:tabs>
        <w:kinsoku/>
        <w:overflowPunct/>
        <w:bidi w:val="0"/>
        <w:spacing w:line="360" w:lineRule="auto"/>
        <w:ind w:firstLine="444" w:firstLineChars="200"/>
        <w:outlineLvl w:val="9"/>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（4）通过银行等金融机构向安置的每位残疾人，按月支付了不低于单位所在区县适用的经省级人民政府批准的月最低工资标准的工资；</w:t>
      </w:r>
    </w:p>
    <w:p>
      <w:pPr>
        <w:pageBreakBefore w:val="0"/>
        <w:tabs>
          <w:tab w:val="left" w:pos="4860"/>
        </w:tabs>
        <w:kinsoku/>
        <w:overflowPunct/>
        <w:bidi w:val="0"/>
        <w:spacing w:line="360" w:lineRule="auto"/>
        <w:ind w:firstLine="444" w:firstLineChars="200"/>
        <w:outlineLvl w:val="9"/>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（5）提供本单位制造的货物、承担的工程或者服务（以下简称产品），或者提供其他残疾人福利性单位制造的货物（不包括使用非残疾人福利性单位注册商标的货物）。</w:t>
      </w:r>
    </w:p>
    <w:p>
      <w:pPr>
        <w:pageBreakBefore w:val="0"/>
        <w:widowControl/>
        <w:kinsoku/>
        <w:overflowPunct/>
        <w:bidi w:val="0"/>
        <w:spacing w:line="400" w:lineRule="exact"/>
        <w:jc w:val="left"/>
        <w:outlineLvl w:val="9"/>
        <w:rPr>
          <w:rFonts w:ascii="宋体" w:hAnsi="宋体" w:cs="宋体"/>
          <w:b/>
          <w:color w:val="auto"/>
          <w:kern w:val="0"/>
          <w:szCs w:val="20"/>
          <w:highlight w:val="none"/>
        </w:rPr>
      </w:pPr>
      <w:r>
        <w:rPr>
          <w:rFonts w:hint="eastAsia" w:ascii="宋体" w:hAnsi="宋体" w:eastAsia="宋体" w:cs="宋体"/>
          <w:color w:val="auto"/>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ageBreakBefore w:val="0"/>
        <w:widowControl/>
        <w:kinsoku/>
        <w:overflowPunct/>
        <w:bidi w:val="0"/>
        <w:spacing w:line="400" w:lineRule="exact"/>
        <w:jc w:val="left"/>
        <w:outlineLvl w:val="9"/>
        <w:rPr>
          <w:rFonts w:ascii="宋体" w:hAnsi="宋体" w:cs="宋体"/>
          <w:b/>
          <w:color w:val="auto"/>
          <w:kern w:val="0"/>
          <w:szCs w:val="20"/>
          <w:highlight w:val="none"/>
        </w:rPr>
      </w:pPr>
    </w:p>
    <w:p>
      <w:pPr>
        <w:pageBreakBefore w:val="0"/>
        <w:widowControl/>
        <w:kinsoku/>
        <w:overflowPunct/>
        <w:bidi w:val="0"/>
        <w:spacing w:line="400" w:lineRule="exact"/>
        <w:jc w:val="left"/>
        <w:outlineLvl w:val="9"/>
        <w:rPr>
          <w:rFonts w:ascii="宋体" w:hAnsi="宋体" w:cs="宋体"/>
          <w:b/>
          <w:color w:val="auto"/>
          <w:kern w:val="0"/>
          <w:szCs w:val="20"/>
          <w:highlight w:val="none"/>
        </w:rPr>
      </w:pPr>
    </w:p>
    <w:p>
      <w:pPr>
        <w:pageBreakBefore w:val="0"/>
        <w:widowControl/>
        <w:kinsoku/>
        <w:overflowPunct/>
        <w:bidi w:val="0"/>
        <w:spacing w:line="400" w:lineRule="exact"/>
        <w:jc w:val="left"/>
        <w:outlineLvl w:val="9"/>
        <w:rPr>
          <w:rFonts w:ascii="宋体" w:hAnsi="宋体" w:cs="宋体"/>
          <w:b/>
          <w:color w:val="auto"/>
          <w:kern w:val="0"/>
          <w:szCs w:val="20"/>
          <w:highlight w:val="none"/>
        </w:rPr>
      </w:pPr>
    </w:p>
    <w:p>
      <w:pPr>
        <w:pageBreakBefore w:val="0"/>
        <w:widowControl/>
        <w:kinsoku/>
        <w:overflowPunct/>
        <w:bidi w:val="0"/>
        <w:spacing w:line="500" w:lineRule="exact"/>
        <w:jc w:val="left"/>
        <w:outlineLvl w:val="9"/>
        <w:rPr>
          <w:rFonts w:ascii="宋体" w:hAnsi="宋体" w:cs="宋体"/>
          <w:color w:val="auto"/>
          <w:kern w:val="0"/>
          <w:szCs w:val="20"/>
          <w:highlight w:val="none"/>
        </w:rPr>
      </w:pPr>
      <w:r>
        <w:rPr>
          <w:rFonts w:hint="eastAsia" w:ascii="宋体" w:hAnsi="宋体" w:cs="宋体"/>
          <w:b/>
          <w:color w:val="auto"/>
          <w:kern w:val="0"/>
          <w:szCs w:val="20"/>
          <w:highlight w:val="none"/>
          <w:lang w:val="en-US" w:eastAsia="zh-CN"/>
        </w:rPr>
        <w:t>8</w:t>
      </w:r>
      <w:r>
        <w:rPr>
          <w:rFonts w:hint="eastAsia" w:ascii="宋体" w:hAnsi="宋体" w:cs="宋体"/>
          <w:b/>
          <w:color w:val="auto"/>
          <w:kern w:val="0"/>
          <w:szCs w:val="20"/>
          <w:highlight w:val="none"/>
        </w:rPr>
        <w:t>.招标文件要求的其他资格条件证明材料（如有）；</w:t>
      </w:r>
    </w:p>
    <w:p>
      <w:pPr>
        <w:pageBreakBefore w:val="0"/>
        <w:widowControl/>
        <w:kinsoku/>
        <w:overflowPunct/>
        <w:bidi w:val="0"/>
        <w:spacing w:line="500" w:lineRule="exact"/>
        <w:jc w:val="left"/>
        <w:outlineLvl w:val="9"/>
        <w:rPr>
          <w:rFonts w:ascii="宋体" w:hAnsi="宋体" w:cs="宋体"/>
          <w:color w:val="auto"/>
          <w:kern w:val="0"/>
          <w:szCs w:val="20"/>
          <w:highlight w:val="none"/>
        </w:rPr>
      </w:pPr>
    </w:p>
    <w:p>
      <w:pPr>
        <w:pageBreakBefore w:val="0"/>
        <w:widowControl/>
        <w:kinsoku/>
        <w:overflowPunct/>
        <w:bidi w:val="0"/>
        <w:spacing w:line="500" w:lineRule="exact"/>
        <w:ind w:firstLine="420" w:firstLineChars="200"/>
        <w:jc w:val="left"/>
        <w:outlineLvl w:val="9"/>
        <w:rPr>
          <w:rFonts w:ascii="宋体" w:hAnsi="宋体" w:cs="宋体"/>
          <w:color w:val="auto"/>
          <w:kern w:val="0"/>
          <w:szCs w:val="20"/>
          <w:highlight w:val="none"/>
        </w:rPr>
      </w:pPr>
    </w:p>
    <w:p>
      <w:pPr>
        <w:pageBreakBefore w:val="0"/>
        <w:widowControl/>
        <w:kinsoku/>
        <w:overflowPunct/>
        <w:bidi w:val="0"/>
        <w:snapToGrid w:val="0"/>
        <w:spacing w:line="360" w:lineRule="auto"/>
        <w:jc w:val="left"/>
        <w:outlineLvl w:val="9"/>
        <w:rPr>
          <w:rFonts w:ascii="宋体" w:hAnsi="宋体" w:cs="宋体"/>
          <w:color w:val="auto"/>
          <w:kern w:val="0"/>
          <w:szCs w:val="21"/>
          <w:highlight w:val="none"/>
        </w:rPr>
      </w:pPr>
      <w:r>
        <w:rPr>
          <w:rFonts w:hint="eastAsia" w:ascii="宋体" w:hAnsi="宋体" w:cs="宋体"/>
          <w:color w:val="auto"/>
          <w:kern w:val="0"/>
          <w:szCs w:val="20"/>
          <w:highlight w:val="none"/>
        </w:rPr>
        <w:br w:type="page"/>
      </w: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 xml:space="preserve"> 商务技术文件目录</w:t>
      </w:r>
    </w:p>
    <w:p>
      <w:pPr>
        <w:pageBreakBefore w:val="0"/>
        <w:widowControl/>
        <w:numPr>
          <w:ilvl w:val="0"/>
          <w:numId w:val="12"/>
        </w:numPr>
        <w:kinsoku/>
        <w:overflowPunct/>
        <w:bidi w:val="0"/>
        <w:snapToGrid w:val="0"/>
        <w:spacing w:line="360" w:lineRule="auto"/>
        <w:ind w:left="210" w:leftChars="100"/>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符合性自查表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pageBreakBefore w:val="0"/>
        <w:widowControl/>
        <w:numPr>
          <w:ilvl w:val="0"/>
          <w:numId w:val="12"/>
        </w:numPr>
        <w:kinsoku/>
        <w:overflowPunct/>
        <w:bidi w:val="0"/>
        <w:snapToGrid w:val="0"/>
        <w:spacing w:line="360" w:lineRule="auto"/>
        <w:ind w:left="210" w:leftChars="100"/>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供应商响应表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pageBreakBefore w:val="0"/>
        <w:widowControl/>
        <w:numPr>
          <w:ilvl w:val="0"/>
          <w:numId w:val="12"/>
        </w:numPr>
        <w:kinsoku/>
        <w:overflowPunct/>
        <w:bidi w:val="0"/>
        <w:snapToGrid w:val="0"/>
        <w:spacing w:line="360" w:lineRule="auto"/>
        <w:ind w:left="210" w:leftChars="100"/>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技术部分：针对本项目第二章采购需求及第四章评分标准中的条款拟定各种方案，格式自拟；</w:t>
      </w:r>
    </w:p>
    <w:p>
      <w:pPr>
        <w:pageBreakBefore w:val="0"/>
        <w:widowControl/>
        <w:numPr>
          <w:ilvl w:val="0"/>
          <w:numId w:val="12"/>
        </w:numPr>
        <w:kinsoku/>
        <w:overflowPunct/>
        <w:bidi w:val="0"/>
        <w:snapToGrid w:val="0"/>
        <w:spacing w:line="360" w:lineRule="auto"/>
        <w:ind w:left="210" w:leftChars="100"/>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投标函</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pageBreakBefore w:val="0"/>
        <w:widowControl/>
        <w:numPr>
          <w:ilvl w:val="0"/>
          <w:numId w:val="12"/>
        </w:numPr>
        <w:kinsoku/>
        <w:overflowPunct/>
        <w:bidi w:val="0"/>
        <w:snapToGrid w:val="0"/>
        <w:spacing w:line="360" w:lineRule="auto"/>
        <w:ind w:left="210" w:leftChars="100"/>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法定代表人身份证明或法定代表人授权委托书</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pageBreakBefore w:val="0"/>
        <w:widowControl/>
        <w:numPr>
          <w:ilvl w:val="0"/>
          <w:numId w:val="12"/>
        </w:numPr>
        <w:kinsoku/>
        <w:overflowPunct/>
        <w:bidi w:val="0"/>
        <w:snapToGrid w:val="0"/>
        <w:spacing w:line="360" w:lineRule="auto"/>
        <w:ind w:left="210" w:leftChars="100"/>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技术（服务）条款偏离表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r>
        <w:rPr>
          <w:rFonts w:hint="eastAsia" w:ascii="宋体" w:hAnsi="宋体" w:cs="宋体"/>
          <w:color w:val="auto"/>
          <w:kern w:val="0"/>
          <w:szCs w:val="21"/>
          <w:highlight w:val="none"/>
        </w:rPr>
        <w:tab/>
      </w:r>
    </w:p>
    <w:p>
      <w:pPr>
        <w:pageBreakBefore w:val="0"/>
        <w:widowControl/>
        <w:numPr>
          <w:ilvl w:val="0"/>
          <w:numId w:val="12"/>
        </w:numPr>
        <w:kinsoku/>
        <w:overflowPunct/>
        <w:bidi w:val="0"/>
        <w:snapToGrid w:val="0"/>
        <w:spacing w:line="360" w:lineRule="auto"/>
        <w:ind w:left="210" w:leftChars="100"/>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商务条款偏离表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pageBreakBefore w:val="0"/>
        <w:widowControl/>
        <w:numPr>
          <w:ilvl w:val="0"/>
          <w:numId w:val="12"/>
        </w:numPr>
        <w:kinsoku/>
        <w:overflowPunct/>
        <w:bidi w:val="0"/>
        <w:snapToGrid w:val="0"/>
        <w:spacing w:line="360" w:lineRule="auto"/>
        <w:ind w:left="210" w:leftChars="100"/>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供应商情况一览表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pageBreakBefore w:val="0"/>
        <w:widowControl/>
        <w:numPr>
          <w:ilvl w:val="0"/>
          <w:numId w:val="12"/>
        </w:numPr>
        <w:kinsoku/>
        <w:overflowPunct/>
        <w:bidi w:val="0"/>
        <w:snapToGrid w:val="0"/>
        <w:spacing w:line="360" w:lineRule="auto"/>
        <w:ind w:left="210" w:leftChars="100"/>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企业业绩表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pageBreakBefore w:val="0"/>
        <w:widowControl/>
        <w:numPr>
          <w:ilvl w:val="0"/>
          <w:numId w:val="12"/>
        </w:numPr>
        <w:kinsoku/>
        <w:overflowPunct/>
        <w:bidi w:val="0"/>
        <w:snapToGrid w:val="0"/>
        <w:spacing w:line="360" w:lineRule="auto"/>
        <w:ind w:left="210" w:leftChars="100"/>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第四章评标办法及评分标准中需提供的其他相关资质证书及合同复印件加盖公章；</w:t>
      </w:r>
    </w:p>
    <w:p>
      <w:pPr>
        <w:pageBreakBefore w:val="0"/>
        <w:widowControl/>
        <w:numPr>
          <w:ilvl w:val="0"/>
          <w:numId w:val="12"/>
        </w:numPr>
        <w:kinsoku/>
        <w:overflowPunct/>
        <w:bidi w:val="0"/>
        <w:snapToGrid w:val="0"/>
        <w:spacing w:line="360" w:lineRule="auto"/>
        <w:ind w:left="210" w:leftChars="100"/>
        <w:jc w:val="left"/>
        <w:outlineLvl w:val="9"/>
        <w:rPr>
          <w:rFonts w:ascii="宋体" w:hAnsi="宋体" w:cs="宋体"/>
          <w:color w:val="auto"/>
          <w:kern w:val="0"/>
          <w:szCs w:val="20"/>
          <w:highlight w:val="none"/>
        </w:rPr>
      </w:pPr>
      <w:r>
        <w:rPr>
          <w:rFonts w:hint="eastAsia" w:ascii="宋体" w:hAnsi="宋体" w:cs="宋体"/>
          <w:color w:val="auto"/>
          <w:kern w:val="0"/>
          <w:szCs w:val="21"/>
          <w:highlight w:val="none"/>
        </w:rPr>
        <w:t>供应商认为有需要提供的其它证明资料。</w:t>
      </w:r>
    </w:p>
    <w:p>
      <w:pPr>
        <w:pageBreakBefore w:val="0"/>
        <w:widowControl/>
        <w:kinsoku/>
        <w:overflowPunct/>
        <w:bidi w:val="0"/>
        <w:ind w:firstLine="105" w:firstLineChars="50"/>
        <w:jc w:val="left"/>
        <w:outlineLvl w:val="9"/>
        <w:rPr>
          <w:rFonts w:ascii="宋体" w:hAnsi="宋体" w:cs="宋体"/>
          <w:b/>
          <w:color w:val="auto"/>
          <w:kern w:val="0"/>
          <w:szCs w:val="20"/>
          <w:highlight w:val="none"/>
        </w:rPr>
      </w:pPr>
      <w:r>
        <w:rPr>
          <w:rFonts w:hint="eastAsia" w:ascii="宋体" w:hAnsi="宋体" w:cs="宋体"/>
          <w:b/>
          <w:bCs/>
          <w:color w:val="auto"/>
          <w:kern w:val="0"/>
          <w:szCs w:val="21"/>
          <w:highlight w:val="none"/>
        </w:rPr>
        <w:br w:type="page"/>
      </w:r>
      <w:r>
        <w:rPr>
          <w:rFonts w:hint="eastAsia" w:ascii="宋体" w:hAnsi="宋体" w:cs="宋体"/>
          <w:b/>
          <w:bCs/>
          <w:color w:val="auto"/>
          <w:kern w:val="0"/>
          <w:szCs w:val="21"/>
          <w:highlight w:val="none"/>
          <w:lang w:val="en-US" w:eastAsia="zh-CN"/>
        </w:rPr>
        <w:t>10</w:t>
      </w:r>
      <w:r>
        <w:rPr>
          <w:rFonts w:hint="eastAsia" w:ascii="宋体" w:hAnsi="宋体" w:cs="宋体"/>
          <w:b/>
          <w:bCs/>
          <w:color w:val="auto"/>
          <w:kern w:val="0"/>
          <w:szCs w:val="21"/>
          <w:highlight w:val="none"/>
        </w:rPr>
        <w:t>.符合性自查表</w:t>
      </w:r>
    </w:p>
    <w:p>
      <w:pPr>
        <w:pageBreakBefore w:val="0"/>
        <w:widowControl/>
        <w:kinsoku/>
        <w:overflowPunct/>
        <w:bidi w:val="0"/>
        <w:adjustRightInd w:val="0"/>
        <w:snapToGrid w:val="0"/>
        <w:jc w:val="center"/>
        <w:outlineLvl w:val="9"/>
        <w:rPr>
          <w:rFonts w:ascii="宋体" w:hAnsi="宋体" w:cs="宋体"/>
          <w:b/>
          <w:color w:val="auto"/>
          <w:kern w:val="0"/>
          <w:sz w:val="24"/>
          <w:szCs w:val="20"/>
          <w:highlight w:val="none"/>
        </w:rPr>
      </w:pPr>
    </w:p>
    <w:p>
      <w:pPr>
        <w:pageBreakBefore w:val="0"/>
        <w:widowControl/>
        <w:kinsoku/>
        <w:overflowPunct/>
        <w:bidi w:val="0"/>
        <w:snapToGrid w:val="0"/>
        <w:spacing w:beforeLines="50" w:after="50"/>
        <w:jc w:val="center"/>
        <w:outlineLvl w:val="9"/>
        <w:rPr>
          <w:rFonts w:ascii="宋体" w:hAnsi="宋体" w:cs="宋体"/>
          <w:b/>
          <w:color w:val="auto"/>
          <w:kern w:val="0"/>
          <w:szCs w:val="21"/>
          <w:highlight w:val="none"/>
        </w:rPr>
      </w:pPr>
      <w:r>
        <w:rPr>
          <w:rFonts w:hint="eastAsia" w:ascii="宋体" w:hAnsi="宋体" w:cs="宋体"/>
          <w:b/>
          <w:color w:val="auto"/>
          <w:kern w:val="0"/>
          <w:szCs w:val="21"/>
          <w:highlight w:val="none"/>
        </w:rPr>
        <w:t>符合性自查表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149"/>
        <w:gridCol w:w="4313"/>
        <w:gridCol w:w="1260"/>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Align w:val="center"/>
          </w:tcPr>
          <w:p>
            <w:pPr>
              <w:pageBreakBefore w:val="0"/>
              <w:kinsoku/>
              <w:overflowPunct/>
              <w:bidi w:val="0"/>
              <w:jc w:val="center"/>
              <w:outlineLvl w:val="9"/>
              <w:rPr>
                <w:rFonts w:ascii="宋体" w:hAnsi="宋体" w:cs="宋体"/>
                <w:color w:val="auto"/>
                <w:highlight w:val="none"/>
              </w:rPr>
            </w:pPr>
            <w:r>
              <w:rPr>
                <w:rFonts w:hint="eastAsia" w:ascii="宋体" w:hAnsi="宋体" w:cs="宋体"/>
                <w:color w:val="auto"/>
                <w:highlight w:val="none"/>
              </w:rPr>
              <w:t>评审内容</w:t>
            </w:r>
          </w:p>
        </w:tc>
        <w:tc>
          <w:tcPr>
            <w:tcW w:w="4313" w:type="dxa"/>
            <w:vAlign w:val="center"/>
          </w:tcPr>
          <w:p>
            <w:pPr>
              <w:pageBreakBefore w:val="0"/>
              <w:kinsoku/>
              <w:overflowPunct/>
              <w:bidi w:val="0"/>
              <w:jc w:val="center"/>
              <w:outlineLvl w:val="9"/>
              <w:rPr>
                <w:rFonts w:ascii="宋体" w:hAnsi="宋体" w:cs="宋体"/>
                <w:color w:val="auto"/>
                <w:highlight w:val="none"/>
              </w:rPr>
            </w:pPr>
            <w:r>
              <w:rPr>
                <w:rFonts w:hint="eastAsia" w:ascii="宋体" w:hAnsi="宋体" w:cs="宋体"/>
                <w:color w:val="auto"/>
                <w:highlight w:val="none"/>
              </w:rPr>
              <w:t>招标文件要求</w:t>
            </w:r>
          </w:p>
        </w:tc>
        <w:tc>
          <w:tcPr>
            <w:tcW w:w="1260" w:type="dxa"/>
            <w:vAlign w:val="center"/>
          </w:tcPr>
          <w:p>
            <w:pPr>
              <w:pageBreakBefore w:val="0"/>
              <w:kinsoku/>
              <w:overflowPunct/>
              <w:bidi w:val="0"/>
              <w:jc w:val="center"/>
              <w:outlineLvl w:val="9"/>
              <w:rPr>
                <w:rFonts w:ascii="宋体" w:hAnsi="宋体" w:cs="宋体"/>
                <w:color w:val="auto"/>
                <w:highlight w:val="none"/>
              </w:rPr>
            </w:pPr>
            <w:r>
              <w:rPr>
                <w:rFonts w:hint="eastAsia" w:ascii="宋体" w:hAnsi="宋体" w:cs="宋体"/>
                <w:color w:val="auto"/>
                <w:highlight w:val="none"/>
              </w:rPr>
              <w:t>自查结论</w:t>
            </w:r>
          </w:p>
        </w:tc>
        <w:tc>
          <w:tcPr>
            <w:tcW w:w="1716" w:type="dxa"/>
            <w:vAlign w:val="center"/>
          </w:tcPr>
          <w:p>
            <w:pPr>
              <w:pageBreakBefore w:val="0"/>
              <w:kinsoku/>
              <w:overflowPunct/>
              <w:bidi w:val="0"/>
              <w:jc w:val="center"/>
              <w:outlineLvl w:val="9"/>
              <w:rPr>
                <w:rFonts w:ascii="宋体" w:hAnsi="宋体" w:cs="宋体"/>
                <w:color w:val="auto"/>
                <w:highlight w:val="none"/>
              </w:rPr>
            </w:pPr>
            <w:r>
              <w:rPr>
                <w:rFonts w:hint="eastAsia" w:ascii="宋体" w:hAnsi="宋体" w:cs="宋体"/>
                <w:color w:val="auto"/>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restart"/>
            <w:vAlign w:val="center"/>
          </w:tcPr>
          <w:p>
            <w:pPr>
              <w:pageBreakBefore w:val="0"/>
              <w:kinsoku/>
              <w:overflowPunct/>
              <w:bidi w:val="0"/>
              <w:outlineLvl w:val="9"/>
              <w:rPr>
                <w:rFonts w:ascii="宋体" w:hAnsi="宋体" w:cs="宋体"/>
                <w:color w:val="auto"/>
                <w:highlight w:val="none"/>
              </w:rPr>
            </w:pPr>
            <w:r>
              <w:rPr>
                <w:rFonts w:hint="eastAsia" w:ascii="宋体" w:hAnsi="宋体" w:cs="宋体"/>
                <w:color w:val="auto"/>
                <w:highlight w:val="none"/>
              </w:rPr>
              <w:t>符合性审</w:t>
            </w:r>
          </w:p>
          <w:p>
            <w:pPr>
              <w:pageBreakBefore w:val="0"/>
              <w:kinsoku/>
              <w:overflowPunct/>
              <w:bidi w:val="0"/>
              <w:outlineLvl w:val="9"/>
              <w:rPr>
                <w:rFonts w:ascii="宋体" w:hAnsi="宋体" w:cs="宋体"/>
                <w:color w:val="auto"/>
                <w:highlight w:val="none"/>
              </w:rPr>
            </w:pPr>
            <w:r>
              <w:rPr>
                <w:rFonts w:hint="eastAsia" w:ascii="宋体" w:hAnsi="宋体" w:cs="宋体"/>
                <w:color w:val="auto"/>
                <w:highlight w:val="none"/>
              </w:rPr>
              <w:t>查（商务技术文件）</w:t>
            </w:r>
          </w:p>
        </w:tc>
        <w:tc>
          <w:tcPr>
            <w:tcW w:w="4313" w:type="dxa"/>
            <w:vAlign w:val="center"/>
          </w:tcPr>
          <w:p>
            <w:pPr>
              <w:pageBreakBefore w:val="0"/>
              <w:tabs>
                <w:tab w:val="left" w:pos="612"/>
              </w:tabs>
              <w:kinsoku/>
              <w:overflowPunct/>
              <w:bidi w:val="0"/>
              <w:outlineLvl w:val="9"/>
              <w:rPr>
                <w:rFonts w:ascii="宋体" w:hAnsi="宋体" w:cs="宋体"/>
                <w:color w:val="auto"/>
                <w:highlight w:val="none"/>
              </w:rPr>
            </w:pPr>
            <w:r>
              <w:rPr>
                <w:rFonts w:hint="eastAsia" w:ascii="宋体" w:hAnsi="宋体" w:cs="宋体"/>
                <w:color w:val="auto"/>
                <w:szCs w:val="21"/>
                <w:highlight w:val="none"/>
              </w:rPr>
              <w:t>（一）</w:t>
            </w:r>
            <w:r>
              <w:rPr>
                <w:rFonts w:hint="eastAsia" w:ascii="宋体" w:hAnsi="宋体" w:cs="宋体"/>
                <w:color w:val="auto"/>
                <w:highlight w:val="none"/>
              </w:rPr>
              <w:t>投标函已提交并符合招标文件要求；</w:t>
            </w:r>
          </w:p>
        </w:tc>
        <w:tc>
          <w:tcPr>
            <w:tcW w:w="1260" w:type="dxa"/>
            <w:vAlign w:val="center"/>
          </w:tcPr>
          <w:p>
            <w:pPr>
              <w:pageBreakBefore w:val="0"/>
              <w:kinsoku/>
              <w:overflowPunct/>
              <w:bidi w:val="0"/>
              <w:outlineLvl w:val="9"/>
              <w:rPr>
                <w:rFonts w:ascii="宋体" w:hAnsi="宋体" w:cs="宋体"/>
                <w:color w:val="auto"/>
                <w:highlight w:val="none"/>
              </w:rPr>
            </w:pPr>
            <w:r>
              <w:rPr>
                <w:rFonts w:hint="eastAsia" w:ascii="宋体" w:hAnsi="宋体" w:cs="宋体"/>
                <w:color w:val="auto"/>
                <w:highlight w:val="none"/>
              </w:rPr>
              <w:t xml:space="preserve">□通过 </w:t>
            </w:r>
          </w:p>
          <w:p>
            <w:pPr>
              <w:pageBreakBefore w:val="0"/>
              <w:kinsoku/>
              <w:overflowPunct/>
              <w:bidi w:val="0"/>
              <w:outlineLvl w:val="9"/>
              <w:rPr>
                <w:rFonts w:ascii="宋体" w:hAnsi="宋体" w:cs="宋体"/>
                <w:color w:val="auto"/>
                <w:highlight w:val="none"/>
              </w:rPr>
            </w:pPr>
            <w:r>
              <w:rPr>
                <w:rFonts w:hint="eastAsia" w:ascii="宋体" w:hAnsi="宋体" w:cs="宋体"/>
                <w:color w:val="auto"/>
                <w:highlight w:val="none"/>
              </w:rPr>
              <w:t>□不通过</w:t>
            </w:r>
          </w:p>
        </w:tc>
        <w:tc>
          <w:tcPr>
            <w:tcW w:w="1716" w:type="dxa"/>
            <w:vAlign w:val="center"/>
          </w:tcPr>
          <w:p>
            <w:pPr>
              <w:pageBreakBefore w:val="0"/>
              <w:kinsoku/>
              <w:overflowPunct/>
              <w:bidi w:val="0"/>
              <w:outlineLvl w:val="9"/>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pageBreakBefore w:val="0"/>
              <w:kinsoku/>
              <w:overflowPunct/>
              <w:bidi w:val="0"/>
              <w:outlineLvl w:val="9"/>
              <w:rPr>
                <w:rFonts w:ascii="宋体" w:hAnsi="宋体" w:cs="宋体"/>
                <w:color w:val="auto"/>
                <w:highlight w:val="none"/>
              </w:rPr>
            </w:pPr>
          </w:p>
        </w:tc>
        <w:tc>
          <w:tcPr>
            <w:tcW w:w="4313" w:type="dxa"/>
            <w:vAlign w:val="center"/>
          </w:tcPr>
          <w:p>
            <w:pPr>
              <w:pageBreakBefore w:val="0"/>
              <w:tabs>
                <w:tab w:val="left" w:pos="612"/>
              </w:tabs>
              <w:kinsoku/>
              <w:overflowPunct/>
              <w:bidi w:val="0"/>
              <w:outlineLvl w:val="9"/>
              <w:rPr>
                <w:rFonts w:ascii="宋体" w:hAnsi="宋体" w:cs="宋体"/>
                <w:color w:val="auto"/>
                <w:highlight w:val="none"/>
              </w:rPr>
            </w:pPr>
            <w:r>
              <w:rPr>
                <w:rFonts w:hint="eastAsia" w:ascii="宋体" w:hAnsi="宋体" w:cs="宋体"/>
                <w:color w:val="auto"/>
                <w:szCs w:val="21"/>
                <w:highlight w:val="none"/>
              </w:rPr>
              <w:t>（二）</w:t>
            </w:r>
            <w:r>
              <w:rPr>
                <w:rFonts w:hint="eastAsia" w:ascii="宋体" w:hAnsi="宋体" w:cs="宋体"/>
                <w:color w:val="auto"/>
                <w:highlight w:val="none"/>
              </w:rPr>
              <w:t>按照招标文件规定要求签署或盖章；</w:t>
            </w:r>
          </w:p>
        </w:tc>
        <w:tc>
          <w:tcPr>
            <w:tcW w:w="1260" w:type="dxa"/>
            <w:vAlign w:val="center"/>
          </w:tcPr>
          <w:p>
            <w:pPr>
              <w:pageBreakBefore w:val="0"/>
              <w:kinsoku/>
              <w:overflowPunct/>
              <w:bidi w:val="0"/>
              <w:outlineLvl w:val="9"/>
              <w:rPr>
                <w:rFonts w:ascii="宋体" w:hAnsi="宋体" w:cs="宋体"/>
                <w:color w:val="auto"/>
                <w:highlight w:val="none"/>
              </w:rPr>
            </w:pPr>
            <w:r>
              <w:rPr>
                <w:rFonts w:hint="eastAsia" w:ascii="宋体" w:hAnsi="宋体" w:cs="宋体"/>
                <w:color w:val="auto"/>
                <w:highlight w:val="none"/>
              </w:rPr>
              <w:t xml:space="preserve">□通过 </w:t>
            </w:r>
          </w:p>
          <w:p>
            <w:pPr>
              <w:pageBreakBefore w:val="0"/>
              <w:kinsoku/>
              <w:overflowPunct/>
              <w:bidi w:val="0"/>
              <w:outlineLvl w:val="9"/>
              <w:rPr>
                <w:rFonts w:ascii="宋体" w:hAnsi="宋体" w:cs="宋体"/>
                <w:color w:val="auto"/>
                <w:highlight w:val="none"/>
              </w:rPr>
            </w:pPr>
            <w:r>
              <w:rPr>
                <w:rFonts w:hint="eastAsia" w:ascii="宋体" w:hAnsi="宋体" w:cs="宋体"/>
                <w:color w:val="auto"/>
                <w:highlight w:val="none"/>
              </w:rPr>
              <w:t>□不通过</w:t>
            </w:r>
          </w:p>
        </w:tc>
        <w:tc>
          <w:tcPr>
            <w:tcW w:w="1716" w:type="dxa"/>
            <w:vAlign w:val="center"/>
          </w:tcPr>
          <w:p>
            <w:pPr>
              <w:pageBreakBefore w:val="0"/>
              <w:kinsoku/>
              <w:overflowPunct/>
              <w:bidi w:val="0"/>
              <w:outlineLvl w:val="9"/>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pageBreakBefore w:val="0"/>
              <w:kinsoku/>
              <w:overflowPunct/>
              <w:bidi w:val="0"/>
              <w:outlineLvl w:val="9"/>
              <w:rPr>
                <w:rFonts w:ascii="宋体" w:hAnsi="宋体" w:cs="宋体"/>
                <w:color w:val="auto"/>
                <w:highlight w:val="none"/>
              </w:rPr>
            </w:pPr>
          </w:p>
        </w:tc>
        <w:tc>
          <w:tcPr>
            <w:tcW w:w="4313" w:type="dxa"/>
            <w:vAlign w:val="center"/>
          </w:tcPr>
          <w:p>
            <w:pPr>
              <w:pageBreakBefore w:val="0"/>
              <w:tabs>
                <w:tab w:val="left" w:pos="612"/>
              </w:tabs>
              <w:kinsoku/>
              <w:overflowPunct/>
              <w:bidi w:val="0"/>
              <w:outlineLvl w:val="9"/>
              <w:rPr>
                <w:rFonts w:ascii="宋体" w:hAnsi="宋体" w:cs="宋体"/>
                <w:color w:val="auto"/>
                <w:highlight w:val="none"/>
              </w:rPr>
            </w:pPr>
            <w:r>
              <w:rPr>
                <w:rFonts w:hint="eastAsia" w:ascii="宋体" w:hAnsi="宋体" w:cs="宋体"/>
                <w:color w:val="auto"/>
                <w:szCs w:val="21"/>
                <w:highlight w:val="none"/>
              </w:rPr>
              <w:t>（三）</w:t>
            </w:r>
            <w:r>
              <w:rPr>
                <w:rFonts w:hint="eastAsia" w:ascii="宋体" w:hAnsi="宋体" w:cs="宋体"/>
                <w:color w:val="auto"/>
                <w:highlight w:val="none"/>
              </w:rPr>
              <w:t>投标文件有法定代表人签署本人姓名（或印盖本人姓名章），或签署人提供有效的法定代表人授权委托书且授权委托书填写项目齐全的；</w:t>
            </w:r>
          </w:p>
        </w:tc>
        <w:tc>
          <w:tcPr>
            <w:tcW w:w="1260" w:type="dxa"/>
            <w:vAlign w:val="center"/>
          </w:tcPr>
          <w:p>
            <w:pPr>
              <w:pageBreakBefore w:val="0"/>
              <w:kinsoku/>
              <w:overflowPunct/>
              <w:bidi w:val="0"/>
              <w:outlineLvl w:val="9"/>
              <w:rPr>
                <w:rFonts w:ascii="宋体" w:hAnsi="宋体" w:cs="宋体"/>
                <w:color w:val="auto"/>
                <w:highlight w:val="none"/>
              </w:rPr>
            </w:pPr>
            <w:r>
              <w:rPr>
                <w:rFonts w:hint="eastAsia" w:ascii="宋体" w:hAnsi="宋体" w:cs="宋体"/>
                <w:color w:val="auto"/>
                <w:highlight w:val="none"/>
              </w:rPr>
              <w:t xml:space="preserve">□通过 </w:t>
            </w:r>
          </w:p>
          <w:p>
            <w:pPr>
              <w:pageBreakBefore w:val="0"/>
              <w:kinsoku/>
              <w:overflowPunct/>
              <w:bidi w:val="0"/>
              <w:outlineLvl w:val="9"/>
              <w:rPr>
                <w:rFonts w:ascii="宋体" w:hAnsi="宋体" w:cs="宋体"/>
                <w:color w:val="auto"/>
                <w:highlight w:val="none"/>
              </w:rPr>
            </w:pPr>
            <w:r>
              <w:rPr>
                <w:rFonts w:hint="eastAsia" w:ascii="宋体" w:hAnsi="宋体" w:cs="宋体"/>
                <w:color w:val="auto"/>
                <w:highlight w:val="none"/>
              </w:rPr>
              <w:t>□不通过</w:t>
            </w:r>
          </w:p>
        </w:tc>
        <w:tc>
          <w:tcPr>
            <w:tcW w:w="1716" w:type="dxa"/>
            <w:vAlign w:val="center"/>
          </w:tcPr>
          <w:p>
            <w:pPr>
              <w:pageBreakBefore w:val="0"/>
              <w:kinsoku/>
              <w:overflowPunct/>
              <w:bidi w:val="0"/>
              <w:outlineLvl w:val="9"/>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pageBreakBefore w:val="0"/>
              <w:kinsoku/>
              <w:overflowPunct/>
              <w:bidi w:val="0"/>
              <w:outlineLvl w:val="9"/>
              <w:rPr>
                <w:rFonts w:ascii="宋体" w:hAnsi="宋体" w:cs="宋体"/>
                <w:color w:val="auto"/>
                <w:highlight w:val="none"/>
              </w:rPr>
            </w:pPr>
          </w:p>
        </w:tc>
        <w:tc>
          <w:tcPr>
            <w:tcW w:w="4313" w:type="dxa"/>
            <w:vAlign w:val="center"/>
          </w:tcPr>
          <w:p>
            <w:pPr>
              <w:pageBreakBefore w:val="0"/>
              <w:tabs>
                <w:tab w:val="left" w:pos="612"/>
              </w:tabs>
              <w:kinsoku/>
              <w:overflowPunct/>
              <w:bidi w:val="0"/>
              <w:outlineLvl w:val="9"/>
              <w:rPr>
                <w:rFonts w:ascii="宋体" w:hAnsi="宋体" w:cs="宋体"/>
                <w:color w:val="auto"/>
                <w:highlight w:val="none"/>
              </w:rPr>
            </w:pPr>
            <w:r>
              <w:rPr>
                <w:rFonts w:hint="eastAsia" w:ascii="宋体" w:hAnsi="宋体" w:cs="宋体"/>
                <w:color w:val="auto"/>
                <w:szCs w:val="21"/>
                <w:highlight w:val="none"/>
              </w:rPr>
              <w:t>（四）</w:t>
            </w:r>
            <w:r>
              <w:rPr>
                <w:rFonts w:hint="eastAsia" w:ascii="宋体" w:hAnsi="宋体" w:cs="宋体"/>
                <w:color w:val="auto"/>
                <w:highlight w:val="none"/>
              </w:rPr>
              <w:t>投标文件项目齐全；</w:t>
            </w:r>
          </w:p>
        </w:tc>
        <w:tc>
          <w:tcPr>
            <w:tcW w:w="1260" w:type="dxa"/>
            <w:vAlign w:val="center"/>
          </w:tcPr>
          <w:p>
            <w:pPr>
              <w:pageBreakBefore w:val="0"/>
              <w:kinsoku/>
              <w:overflowPunct/>
              <w:bidi w:val="0"/>
              <w:outlineLvl w:val="9"/>
              <w:rPr>
                <w:rFonts w:ascii="宋体" w:hAnsi="宋体" w:cs="宋体"/>
                <w:color w:val="auto"/>
                <w:highlight w:val="none"/>
              </w:rPr>
            </w:pPr>
            <w:r>
              <w:rPr>
                <w:rFonts w:hint="eastAsia" w:ascii="宋体" w:hAnsi="宋体" w:cs="宋体"/>
                <w:color w:val="auto"/>
                <w:highlight w:val="none"/>
              </w:rPr>
              <w:t xml:space="preserve">□通过 </w:t>
            </w:r>
          </w:p>
          <w:p>
            <w:pPr>
              <w:pageBreakBefore w:val="0"/>
              <w:kinsoku/>
              <w:overflowPunct/>
              <w:bidi w:val="0"/>
              <w:outlineLvl w:val="9"/>
              <w:rPr>
                <w:rFonts w:ascii="宋体" w:hAnsi="宋体" w:cs="宋体"/>
                <w:color w:val="auto"/>
                <w:highlight w:val="none"/>
              </w:rPr>
            </w:pPr>
            <w:r>
              <w:rPr>
                <w:rFonts w:hint="eastAsia" w:ascii="宋体" w:hAnsi="宋体" w:cs="宋体"/>
                <w:color w:val="auto"/>
                <w:highlight w:val="none"/>
              </w:rPr>
              <w:t>□不通过</w:t>
            </w:r>
          </w:p>
        </w:tc>
        <w:tc>
          <w:tcPr>
            <w:tcW w:w="1716" w:type="dxa"/>
            <w:vAlign w:val="center"/>
          </w:tcPr>
          <w:p>
            <w:pPr>
              <w:pageBreakBefore w:val="0"/>
              <w:kinsoku/>
              <w:overflowPunct/>
              <w:bidi w:val="0"/>
              <w:outlineLvl w:val="9"/>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pageBreakBefore w:val="0"/>
              <w:kinsoku/>
              <w:overflowPunct/>
              <w:bidi w:val="0"/>
              <w:outlineLvl w:val="9"/>
              <w:rPr>
                <w:rFonts w:ascii="宋体" w:hAnsi="宋体" w:cs="宋体"/>
                <w:color w:val="auto"/>
                <w:highlight w:val="none"/>
              </w:rPr>
            </w:pPr>
          </w:p>
        </w:tc>
        <w:tc>
          <w:tcPr>
            <w:tcW w:w="4313" w:type="dxa"/>
            <w:vAlign w:val="center"/>
          </w:tcPr>
          <w:p>
            <w:pPr>
              <w:pageBreakBefore w:val="0"/>
              <w:tabs>
                <w:tab w:val="left" w:pos="612"/>
              </w:tabs>
              <w:kinsoku/>
              <w:overflowPunct/>
              <w:bidi w:val="0"/>
              <w:outlineLvl w:val="9"/>
              <w:rPr>
                <w:rFonts w:ascii="宋体" w:hAnsi="宋体" w:cs="宋体"/>
                <w:color w:val="auto"/>
                <w:kern w:val="0"/>
                <w:highlight w:val="none"/>
              </w:rPr>
            </w:pPr>
            <w:r>
              <w:rPr>
                <w:rFonts w:hint="eastAsia" w:ascii="宋体" w:hAnsi="宋体" w:cs="宋体"/>
                <w:color w:val="auto"/>
                <w:szCs w:val="21"/>
                <w:highlight w:val="none"/>
              </w:rPr>
              <w:t>（五）</w:t>
            </w:r>
            <w:r>
              <w:rPr>
                <w:rFonts w:hint="eastAsia" w:ascii="宋体" w:hAnsi="宋体" w:cs="宋体"/>
                <w:color w:val="auto"/>
                <w:highlight w:val="none"/>
              </w:rPr>
              <w:t>投标文件标明的响应或偏离与事实相符且无虚假投标的；</w:t>
            </w:r>
          </w:p>
        </w:tc>
        <w:tc>
          <w:tcPr>
            <w:tcW w:w="1260" w:type="dxa"/>
            <w:vAlign w:val="center"/>
          </w:tcPr>
          <w:p>
            <w:pPr>
              <w:pageBreakBefore w:val="0"/>
              <w:kinsoku/>
              <w:overflowPunct/>
              <w:bidi w:val="0"/>
              <w:outlineLvl w:val="9"/>
              <w:rPr>
                <w:rFonts w:ascii="宋体" w:hAnsi="宋体" w:cs="宋体"/>
                <w:color w:val="auto"/>
                <w:highlight w:val="none"/>
              </w:rPr>
            </w:pPr>
            <w:r>
              <w:rPr>
                <w:rFonts w:hint="eastAsia" w:ascii="宋体" w:hAnsi="宋体" w:cs="宋体"/>
                <w:color w:val="auto"/>
                <w:highlight w:val="none"/>
              </w:rPr>
              <w:t xml:space="preserve">□通过 </w:t>
            </w:r>
          </w:p>
          <w:p>
            <w:pPr>
              <w:pageBreakBefore w:val="0"/>
              <w:kinsoku/>
              <w:overflowPunct/>
              <w:bidi w:val="0"/>
              <w:outlineLvl w:val="9"/>
              <w:rPr>
                <w:rFonts w:ascii="宋体" w:hAnsi="宋体" w:cs="宋体"/>
                <w:color w:val="auto"/>
                <w:highlight w:val="none"/>
              </w:rPr>
            </w:pPr>
            <w:r>
              <w:rPr>
                <w:rFonts w:hint="eastAsia" w:ascii="宋体" w:hAnsi="宋体" w:cs="宋体"/>
                <w:color w:val="auto"/>
                <w:highlight w:val="none"/>
              </w:rPr>
              <w:t>□不通过</w:t>
            </w:r>
          </w:p>
        </w:tc>
        <w:tc>
          <w:tcPr>
            <w:tcW w:w="1716" w:type="dxa"/>
            <w:vAlign w:val="center"/>
          </w:tcPr>
          <w:p>
            <w:pPr>
              <w:pageBreakBefore w:val="0"/>
              <w:kinsoku/>
              <w:overflowPunct/>
              <w:bidi w:val="0"/>
              <w:outlineLvl w:val="9"/>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pageBreakBefore w:val="0"/>
              <w:kinsoku/>
              <w:overflowPunct/>
              <w:bidi w:val="0"/>
              <w:outlineLvl w:val="9"/>
              <w:rPr>
                <w:rFonts w:ascii="宋体" w:hAnsi="宋体" w:cs="宋体"/>
                <w:color w:val="auto"/>
                <w:highlight w:val="none"/>
              </w:rPr>
            </w:pPr>
          </w:p>
        </w:tc>
        <w:tc>
          <w:tcPr>
            <w:tcW w:w="4313" w:type="dxa"/>
            <w:vAlign w:val="center"/>
          </w:tcPr>
          <w:p>
            <w:pPr>
              <w:pageBreakBefore w:val="0"/>
              <w:tabs>
                <w:tab w:val="left" w:pos="612"/>
              </w:tabs>
              <w:kinsoku/>
              <w:overflowPunct/>
              <w:bidi w:val="0"/>
              <w:outlineLvl w:val="9"/>
              <w:rPr>
                <w:rFonts w:ascii="宋体" w:hAnsi="宋体" w:cs="宋体"/>
                <w:color w:val="auto"/>
                <w:highlight w:val="none"/>
              </w:rPr>
            </w:pPr>
            <w:r>
              <w:rPr>
                <w:rFonts w:hint="eastAsia" w:ascii="宋体" w:hAnsi="宋体" w:cs="宋体"/>
                <w:color w:val="auto"/>
                <w:szCs w:val="21"/>
                <w:highlight w:val="none"/>
              </w:rPr>
              <w:t>（六）</w:t>
            </w:r>
            <w:r>
              <w:rPr>
                <w:rFonts w:hint="eastAsia" w:ascii="宋体" w:hAnsi="宋体" w:cs="宋体"/>
                <w:color w:val="auto"/>
                <w:highlight w:val="none"/>
              </w:rPr>
              <w:t>投标文件的实质性内容使用中文表述且意思表述明确，前后无矛盾且使用计量单位符合招标文件要求的；</w:t>
            </w:r>
          </w:p>
        </w:tc>
        <w:tc>
          <w:tcPr>
            <w:tcW w:w="1260" w:type="dxa"/>
            <w:vAlign w:val="center"/>
          </w:tcPr>
          <w:p>
            <w:pPr>
              <w:pageBreakBefore w:val="0"/>
              <w:kinsoku/>
              <w:overflowPunct/>
              <w:bidi w:val="0"/>
              <w:outlineLvl w:val="9"/>
              <w:rPr>
                <w:rFonts w:ascii="宋体" w:hAnsi="宋体" w:cs="宋体"/>
                <w:color w:val="auto"/>
                <w:highlight w:val="none"/>
              </w:rPr>
            </w:pPr>
            <w:r>
              <w:rPr>
                <w:rFonts w:hint="eastAsia" w:ascii="宋体" w:hAnsi="宋体" w:cs="宋体"/>
                <w:color w:val="auto"/>
                <w:highlight w:val="none"/>
              </w:rPr>
              <w:t xml:space="preserve">□通过 </w:t>
            </w:r>
          </w:p>
          <w:p>
            <w:pPr>
              <w:pageBreakBefore w:val="0"/>
              <w:kinsoku/>
              <w:overflowPunct/>
              <w:bidi w:val="0"/>
              <w:outlineLvl w:val="9"/>
              <w:rPr>
                <w:rFonts w:ascii="宋体" w:hAnsi="宋体" w:cs="宋体"/>
                <w:color w:val="auto"/>
                <w:highlight w:val="none"/>
              </w:rPr>
            </w:pPr>
            <w:r>
              <w:rPr>
                <w:rFonts w:hint="eastAsia" w:ascii="宋体" w:hAnsi="宋体" w:cs="宋体"/>
                <w:color w:val="auto"/>
                <w:highlight w:val="none"/>
              </w:rPr>
              <w:t>□不通过</w:t>
            </w:r>
          </w:p>
        </w:tc>
        <w:tc>
          <w:tcPr>
            <w:tcW w:w="1716" w:type="dxa"/>
            <w:vAlign w:val="center"/>
          </w:tcPr>
          <w:p>
            <w:pPr>
              <w:pageBreakBefore w:val="0"/>
              <w:kinsoku/>
              <w:overflowPunct/>
              <w:bidi w:val="0"/>
              <w:outlineLvl w:val="9"/>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pageBreakBefore w:val="0"/>
              <w:kinsoku/>
              <w:overflowPunct/>
              <w:bidi w:val="0"/>
              <w:outlineLvl w:val="9"/>
              <w:rPr>
                <w:rFonts w:ascii="宋体" w:hAnsi="宋体" w:cs="宋体"/>
                <w:color w:val="auto"/>
                <w:highlight w:val="none"/>
              </w:rPr>
            </w:pPr>
          </w:p>
        </w:tc>
        <w:tc>
          <w:tcPr>
            <w:tcW w:w="4313" w:type="dxa"/>
            <w:vAlign w:val="center"/>
          </w:tcPr>
          <w:p>
            <w:pPr>
              <w:pageBreakBefore w:val="0"/>
              <w:tabs>
                <w:tab w:val="left" w:pos="612"/>
              </w:tabs>
              <w:kinsoku/>
              <w:overflowPunct/>
              <w:bidi w:val="0"/>
              <w:outlineLvl w:val="9"/>
              <w:rPr>
                <w:rFonts w:ascii="宋体" w:hAnsi="宋体" w:cs="宋体"/>
                <w:color w:val="auto"/>
                <w:highlight w:val="none"/>
              </w:rPr>
            </w:pPr>
            <w:r>
              <w:rPr>
                <w:rFonts w:hint="eastAsia" w:ascii="宋体" w:hAnsi="宋体" w:cs="宋体"/>
                <w:color w:val="auto"/>
                <w:szCs w:val="21"/>
                <w:highlight w:val="none"/>
              </w:rPr>
              <w:t>（七）</w:t>
            </w:r>
            <w:r>
              <w:rPr>
                <w:rFonts w:hint="eastAsia" w:ascii="宋体" w:hAnsi="宋体" w:cs="宋体"/>
                <w:color w:val="auto"/>
                <w:highlight w:val="none"/>
              </w:rPr>
              <w:t>带“★”的条款满足招标文件要求、已实质性响应招标文件要求且投标文件无采购人不能接受的附加条件的；</w:t>
            </w:r>
          </w:p>
        </w:tc>
        <w:tc>
          <w:tcPr>
            <w:tcW w:w="1260" w:type="dxa"/>
            <w:vAlign w:val="center"/>
          </w:tcPr>
          <w:p>
            <w:pPr>
              <w:pageBreakBefore w:val="0"/>
              <w:kinsoku/>
              <w:overflowPunct/>
              <w:bidi w:val="0"/>
              <w:outlineLvl w:val="9"/>
              <w:rPr>
                <w:rFonts w:ascii="宋体" w:hAnsi="宋体" w:cs="宋体"/>
                <w:color w:val="auto"/>
                <w:highlight w:val="none"/>
              </w:rPr>
            </w:pPr>
            <w:r>
              <w:rPr>
                <w:rFonts w:hint="eastAsia" w:ascii="宋体" w:hAnsi="宋体" w:cs="宋体"/>
                <w:color w:val="auto"/>
                <w:highlight w:val="none"/>
              </w:rPr>
              <w:t xml:space="preserve">□通过 </w:t>
            </w:r>
          </w:p>
          <w:p>
            <w:pPr>
              <w:pageBreakBefore w:val="0"/>
              <w:kinsoku/>
              <w:overflowPunct/>
              <w:bidi w:val="0"/>
              <w:outlineLvl w:val="9"/>
              <w:rPr>
                <w:rFonts w:ascii="宋体" w:hAnsi="宋体" w:cs="宋体"/>
                <w:color w:val="auto"/>
                <w:highlight w:val="none"/>
              </w:rPr>
            </w:pPr>
            <w:r>
              <w:rPr>
                <w:rFonts w:hint="eastAsia" w:ascii="宋体" w:hAnsi="宋体" w:cs="宋体"/>
                <w:color w:val="auto"/>
                <w:highlight w:val="none"/>
              </w:rPr>
              <w:t>□不通过</w:t>
            </w:r>
          </w:p>
        </w:tc>
        <w:tc>
          <w:tcPr>
            <w:tcW w:w="1716" w:type="dxa"/>
            <w:vAlign w:val="center"/>
          </w:tcPr>
          <w:p>
            <w:pPr>
              <w:pageBreakBefore w:val="0"/>
              <w:kinsoku/>
              <w:overflowPunct/>
              <w:bidi w:val="0"/>
              <w:outlineLvl w:val="9"/>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pageBreakBefore w:val="0"/>
              <w:kinsoku/>
              <w:overflowPunct/>
              <w:bidi w:val="0"/>
              <w:outlineLvl w:val="9"/>
              <w:rPr>
                <w:rFonts w:ascii="宋体" w:hAnsi="宋体" w:cs="宋体"/>
                <w:color w:val="auto"/>
                <w:highlight w:val="none"/>
              </w:rPr>
            </w:pPr>
          </w:p>
        </w:tc>
        <w:tc>
          <w:tcPr>
            <w:tcW w:w="4313" w:type="dxa"/>
            <w:vAlign w:val="center"/>
          </w:tcPr>
          <w:p>
            <w:pPr>
              <w:pageBreakBefore w:val="0"/>
              <w:tabs>
                <w:tab w:val="left" w:pos="612"/>
              </w:tabs>
              <w:kinsoku/>
              <w:overflowPunct/>
              <w:bidi w:val="0"/>
              <w:outlineLvl w:val="9"/>
              <w:rPr>
                <w:rFonts w:ascii="宋体" w:hAnsi="宋体" w:cs="宋体"/>
                <w:color w:val="auto"/>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八</w:t>
            </w:r>
            <w:r>
              <w:rPr>
                <w:rFonts w:hint="eastAsia" w:ascii="宋体" w:hAnsi="宋体" w:cs="宋体"/>
                <w:color w:val="auto"/>
                <w:szCs w:val="21"/>
                <w:highlight w:val="none"/>
              </w:rPr>
              <w:t>）</w:t>
            </w:r>
            <w:r>
              <w:rPr>
                <w:rFonts w:hint="eastAsia" w:ascii="宋体" w:hAnsi="宋体" w:cs="宋体"/>
                <w:color w:val="auto"/>
                <w:highlight w:val="none"/>
              </w:rPr>
              <w:t>投标技术方案明确，不存在一个或一个以上备选（替代）投标方案的；</w:t>
            </w:r>
          </w:p>
        </w:tc>
        <w:tc>
          <w:tcPr>
            <w:tcW w:w="1260" w:type="dxa"/>
            <w:vAlign w:val="center"/>
          </w:tcPr>
          <w:p>
            <w:pPr>
              <w:pageBreakBefore w:val="0"/>
              <w:kinsoku/>
              <w:overflowPunct/>
              <w:bidi w:val="0"/>
              <w:outlineLvl w:val="9"/>
              <w:rPr>
                <w:rFonts w:ascii="宋体" w:hAnsi="宋体" w:cs="宋体"/>
                <w:color w:val="auto"/>
                <w:highlight w:val="none"/>
              </w:rPr>
            </w:pPr>
            <w:r>
              <w:rPr>
                <w:rFonts w:hint="eastAsia" w:ascii="宋体" w:hAnsi="宋体" w:cs="宋体"/>
                <w:color w:val="auto"/>
                <w:highlight w:val="none"/>
              </w:rPr>
              <w:t xml:space="preserve">□通过 </w:t>
            </w:r>
          </w:p>
          <w:p>
            <w:pPr>
              <w:pageBreakBefore w:val="0"/>
              <w:kinsoku/>
              <w:overflowPunct/>
              <w:bidi w:val="0"/>
              <w:outlineLvl w:val="9"/>
              <w:rPr>
                <w:rFonts w:ascii="宋体" w:hAnsi="宋体" w:cs="宋体"/>
                <w:color w:val="auto"/>
                <w:highlight w:val="none"/>
              </w:rPr>
            </w:pPr>
            <w:r>
              <w:rPr>
                <w:rFonts w:hint="eastAsia" w:ascii="宋体" w:hAnsi="宋体" w:cs="宋体"/>
                <w:color w:val="auto"/>
                <w:highlight w:val="none"/>
              </w:rPr>
              <w:t>□不通过</w:t>
            </w:r>
          </w:p>
        </w:tc>
        <w:tc>
          <w:tcPr>
            <w:tcW w:w="1716" w:type="dxa"/>
            <w:vAlign w:val="center"/>
          </w:tcPr>
          <w:p>
            <w:pPr>
              <w:pageBreakBefore w:val="0"/>
              <w:kinsoku/>
              <w:overflowPunct/>
              <w:bidi w:val="0"/>
              <w:outlineLvl w:val="9"/>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pageBreakBefore w:val="0"/>
              <w:kinsoku/>
              <w:overflowPunct/>
              <w:bidi w:val="0"/>
              <w:outlineLvl w:val="9"/>
              <w:rPr>
                <w:rFonts w:ascii="宋体" w:hAnsi="宋体" w:cs="宋体"/>
                <w:color w:val="auto"/>
                <w:highlight w:val="none"/>
              </w:rPr>
            </w:pPr>
          </w:p>
        </w:tc>
        <w:tc>
          <w:tcPr>
            <w:tcW w:w="4313" w:type="dxa"/>
            <w:vAlign w:val="center"/>
          </w:tcPr>
          <w:p>
            <w:pPr>
              <w:pageBreakBefore w:val="0"/>
              <w:tabs>
                <w:tab w:val="left" w:pos="612"/>
              </w:tabs>
              <w:kinsoku/>
              <w:overflowPunct/>
              <w:bidi w:val="0"/>
              <w:outlineLvl w:val="9"/>
              <w:rPr>
                <w:rFonts w:ascii="宋体" w:hAnsi="宋体" w:cs="宋体"/>
                <w:color w:val="auto"/>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九</w:t>
            </w:r>
            <w:r>
              <w:rPr>
                <w:rFonts w:hint="eastAsia" w:ascii="宋体" w:hAnsi="宋体" w:cs="宋体"/>
                <w:color w:val="auto"/>
                <w:szCs w:val="21"/>
                <w:highlight w:val="none"/>
              </w:rPr>
              <w:t>）</w:t>
            </w:r>
            <w:r>
              <w:rPr>
                <w:rFonts w:hint="eastAsia" w:ascii="宋体" w:hAnsi="宋体" w:cs="宋体"/>
                <w:color w:val="auto"/>
                <w:highlight w:val="none"/>
              </w:rPr>
              <w:t>不存在法律、法规和招标文件规定的其他无效情形；</w:t>
            </w:r>
          </w:p>
        </w:tc>
        <w:tc>
          <w:tcPr>
            <w:tcW w:w="1260" w:type="dxa"/>
            <w:vAlign w:val="center"/>
          </w:tcPr>
          <w:p>
            <w:pPr>
              <w:pageBreakBefore w:val="0"/>
              <w:kinsoku/>
              <w:overflowPunct/>
              <w:bidi w:val="0"/>
              <w:outlineLvl w:val="9"/>
              <w:rPr>
                <w:rFonts w:ascii="宋体" w:hAnsi="宋体" w:cs="宋体"/>
                <w:color w:val="auto"/>
                <w:highlight w:val="none"/>
              </w:rPr>
            </w:pPr>
            <w:r>
              <w:rPr>
                <w:rFonts w:hint="eastAsia" w:ascii="宋体" w:hAnsi="宋体" w:cs="宋体"/>
                <w:color w:val="auto"/>
                <w:highlight w:val="none"/>
              </w:rPr>
              <w:t xml:space="preserve">□通过 </w:t>
            </w:r>
          </w:p>
          <w:p>
            <w:pPr>
              <w:pageBreakBefore w:val="0"/>
              <w:kinsoku/>
              <w:overflowPunct/>
              <w:bidi w:val="0"/>
              <w:outlineLvl w:val="9"/>
              <w:rPr>
                <w:rFonts w:ascii="宋体" w:hAnsi="宋体" w:cs="宋体"/>
                <w:color w:val="auto"/>
                <w:highlight w:val="none"/>
              </w:rPr>
            </w:pPr>
            <w:r>
              <w:rPr>
                <w:rFonts w:hint="eastAsia" w:ascii="宋体" w:hAnsi="宋体" w:cs="宋体"/>
                <w:color w:val="auto"/>
                <w:highlight w:val="none"/>
              </w:rPr>
              <w:t>□不通过</w:t>
            </w:r>
          </w:p>
        </w:tc>
        <w:tc>
          <w:tcPr>
            <w:tcW w:w="1716" w:type="dxa"/>
            <w:vAlign w:val="center"/>
          </w:tcPr>
          <w:p>
            <w:pPr>
              <w:pageBreakBefore w:val="0"/>
              <w:kinsoku/>
              <w:overflowPunct/>
              <w:bidi w:val="0"/>
              <w:outlineLvl w:val="9"/>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pageBreakBefore w:val="0"/>
              <w:kinsoku/>
              <w:overflowPunct/>
              <w:bidi w:val="0"/>
              <w:outlineLvl w:val="9"/>
              <w:rPr>
                <w:rFonts w:ascii="宋体" w:hAnsi="宋体" w:cs="宋体"/>
                <w:color w:val="auto"/>
                <w:highlight w:val="none"/>
              </w:rPr>
            </w:pPr>
          </w:p>
        </w:tc>
        <w:tc>
          <w:tcPr>
            <w:tcW w:w="4313" w:type="dxa"/>
            <w:vAlign w:val="center"/>
          </w:tcPr>
          <w:p>
            <w:pPr>
              <w:pageBreakBefore w:val="0"/>
              <w:tabs>
                <w:tab w:val="left" w:pos="612"/>
              </w:tabs>
              <w:kinsoku/>
              <w:overflowPunct/>
              <w:bidi w:val="0"/>
              <w:outlineLvl w:val="9"/>
              <w:rPr>
                <w:rFonts w:ascii="宋体" w:hAnsi="宋体" w:cs="宋体"/>
                <w:color w:val="auto"/>
                <w:highlight w:val="none"/>
              </w:rPr>
            </w:pPr>
            <w:r>
              <w:rPr>
                <w:rFonts w:hint="eastAsia" w:ascii="宋体" w:hAnsi="宋体" w:cs="宋体"/>
                <w:color w:val="auto"/>
                <w:szCs w:val="21"/>
                <w:highlight w:val="none"/>
              </w:rPr>
              <w:t>（十）</w:t>
            </w:r>
            <w:r>
              <w:rPr>
                <w:rFonts w:hint="eastAsia" w:ascii="宋体" w:hAnsi="宋体" w:cs="宋体"/>
                <w:color w:val="auto"/>
                <w:highlight w:val="none"/>
              </w:rPr>
              <w:t>不存在投标文件的有效期不满足招标文件要求情形；</w:t>
            </w:r>
          </w:p>
        </w:tc>
        <w:tc>
          <w:tcPr>
            <w:tcW w:w="1260" w:type="dxa"/>
            <w:vAlign w:val="center"/>
          </w:tcPr>
          <w:p>
            <w:pPr>
              <w:pageBreakBefore w:val="0"/>
              <w:kinsoku/>
              <w:overflowPunct/>
              <w:bidi w:val="0"/>
              <w:outlineLvl w:val="9"/>
              <w:rPr>
                <w:rFonts w:ascii="宋体" w:hAnsi="宋体" w:cs="宋体"/>
                <w:color w:val="auto"/>
                <w:highlight w:val="none"/>
              </w:rPr>
            </w:pPr>
            <w:r>
              <w:rPr>
                <w:rFonts w:hint="eastAsia" w:ascii="宋体" w:hAnsi="宋体" w:cs="宋体"/>
                <w:color w:val="auto"/>
                <w:highlight w:val="none"/>
              </w:rPr>
              <w:t xml:space="preserve">□通过 </w:t>
            </w:r>
          </w:p>
          <w:p>
            <w:pPr>
              <w:pageBreakBefore w:val="0"/>
              <w:kinsoku/>
              <w:overflowPunct/>
              <w:bidi w:val="0"/>
              <w:outlineLvl w:val="9"/>
              <w:rPr>
                <w:rFonts w:ascii="宋体" w:hAnsi="宋体" w:cs="宋体"/>
                <w:color w:val="auto"/>
                <w:highlight w:val="none"/>
              </w:rPr>
            </w:pPr>
            <w:r>
              <w:rPr>
                <w:rFonts w:hint="eastAsia" w:ascii="宋体" w:hAnsi="宋体" w:cs="宋体"/>
                <w:color w:val="auto"/>
                <w:highlight w:val="none"/>
              </w:rPr>
              <w:t>□不通过</w:t>
            </w:r>
          </w:p>
        </w:tc>
        <w:tc>
          <w:tcPr>
            <w:tcW w:w="1716" w:type="dxa"/>
            <w:vAlign w:val="center"/>
          </w:tcPr>
          <w:p>
            <w:pPr>
              <w:pageBreakBefore w:val="0"/>
              <w:kinsoku/>
              <w:overflowPunct/>
              <w:bidi w:val="0"/>
              <w:outlineLvl w:val="9"/>
              <w:rPr>
                <w:rFonts w:ascii="宋体" w:hAnsi="宋体" w:cs="宋体"/>
                <w:color w:val="auto"/>
                <w:highlight w:val="none"/>
              </w:rPr>
            </w:pPr>
            <w:r>
              <w:rPr>
                <w:rFonts w:hint="eastAsia" w:ascii="宋体" w:hAnsi="宋体" w:cs="宋体"/>
                <w:color w:val="auto"/>
                <w:highlight w:val="none"/>
              </w:rPr>
              <w:t>第（ ）页</w:t>
            </w:r>
          </w:p>
        </w:tc>
      </w:tr>
    </w:tbl>
    <w:p>
      <w:pPr>
        <w:pageBreakBefore w:val="0"/>
        <w:widowControl/>
        <w:kinsoku/>
        <w:overflowPunct/>
        <w:bidi w:val="0"/>
        <w:adjustRightInd w:val="0"/>
        <w:snapToGrid w:val="0"/>
        <w:spacing w:line="440" w:lineRule="exact"/>
        <w:jc w:val="left"/>
        <w:outlineLvl w:val="9"/>
        <w:rPr>
          <w:rFonts w:ascii="宋体" w:hAnsi="宋体" w:cs="宋体"/>
          <w:b/>
          <w:color w:val="auto"/>
          <w:kern w:val="0"/>
          <w:szCs w:val="21"/>
          <w:highlight w:val="none"/>
        </w:rPr>
      </w:pPr>
      <w:r>
        <w:rPr>
          <w:rFonts w:hint="eastAsia" w:ascii="宋体" w:hAnsi="宋体" w:cs="宋体"/>
          <w:b/>
          <w:color w:val="auto"/>
          <w:kern w:val="0"/>
          <w:szCs w:val="21"/>
          <w:highlight w:val="none"/>
        </w:rPr>
        <w:t>备注：供应商自查表将作为供应商有效性审查的重要内容之一，供应商必须严格按照其内容及序列要求在投标文件中对应如实提供，对符合性证明文件的任何缺漏和不符合项将会直接导致投标无效！</w:t>
      </w:r>
    </w:p>
    <w:p>
      <w:pPr>
        <w:pageBreakBefore w:val="0"/>
        <w:widowControl/>
        <w:kinsoku/>
        <w:overflowPunct/>
        <w:bidi w:val="0"/>
        <w:jc w:val="left"/>
        <w:outlineLvl w:val="9"/>
        <w:rPr>
          <w:rFonts w:ascii="宋体" w:hAnsi="宋体" w:cs="宋体"/>
          <w:color w:val="auto"/>
          <w:kern w:val="0"/>
          <w:szCs w:val="20"/>
          <w:highlight w:val="none"/>
        </w:rPr>
      </w:pPr>
    </w:p>
    <w:p>
      <w:pPr>
        <w:pageBreakBefore w:val="0"/>
        <w:widowControl/>
        <w:kinsoku/>
        <w:overflowPunct/>
        <w:bidi w:val="0"/>
        <w:jc w:val="left"/>
        <w:outlineLvl w:val="9"/>
        <w:rPr>
          <w:rFonts w:ascii="宋体" w:hAnsi="宋体" w:cs="宋体"/>
          <w:color w:val="auto"/>
          <w:kern w:val="0"/>
          <w:szCs w:val="20"/>
          <w:highlight w:val="none"/>
        </w:rPr>
      </w:pPr>
    </w:p>
    <w:p>
      <w:pPr>
        <w:pageBreakBefore w:val="0"/>
        <w:widowControl/>
        <w:kinsoku/>
        <w:overflowPunct/>
        <w:bidi w:val="0"/>
        <w:jc w:val="left"/>
        <w:outlineLvl w:val="9"/>
        <w:rPr>
          <w:rFonts w:ascii="宋体" w:hAnsi="宋体" w:cs="宋体"/>
          <w:b/>
          <w:color w:val="auto"/>
          <w:kern w:val="0"/>
          <w:szCs w:val="20"/>
          <w:highlight w:val="none"/>
        </w:rPr>
      </w:pPr>
      <w:r>
        <w:rPr>
          <w:rFonts w:hint="eastAsia" w:ascii="宋体" w:hAnsi="宋体" w:cs="宋体"/>
          <w:color w:val="auto"/>
          <w:kern w:val="0"/>
          <w:szCs w:val="20"/>
          <w:highlight w:val="none"/>
        </w:rPr>
        <w:br w:type="page"/>
      </w:r>
      <w:r>
        <w:rPr>
          <w:rFonts w:hint="eastAsia" w:ascii="宋体" w:hAnsi="宋体" w:cs="宋体"/>
          <w:b/>
          <w:bCs/>
          <w:color w:val="auto"/>
          <w:kern w:val="0"/>
          <w:szCs w:val="21"/>
          <w:highlight w:val="none"/>
          <w:lang w:val="en-US" w:eastAsia="zh-CN"/>
        </w:rPr>
        <w:t>11</w:t>
      </w:r>
      <w:r>
        <w:rPr>
          <w:rFonts w:hint="eastAsia" w:ascii="宋体" w:hAnsi="宋体" w:cs="宋体"/>
          <w:b/>
          <w:bCs/>
          <w:color w:val="auto"/>
          <w:kern w:val="0"/>
          <w:szCs w:val="21"/>
          <w:highlight w:val="none"/>
        </w:rPr>
        <w:t>.供应商响应表：</w:t>
      </w:r>
    </w:p>
    <w:p>
      <w:pPr>
        <w:pageBreakBefore w:val="0"/>
        <w:widowControl/>
        <w:kinsoku/>
        <w:overflowPunct/>
        <w:bidi w:val="0"/>
        <w:jc w:val="left"/>
        <w:outlineLvl w:val="9"/>
        <w:rPr>
          <w:rFonts w:ascii="宋体" w:hAnsi="宋体" w:cs="宋体"/>
          <w:color w:val="auto"/>
          <w:kern w:val="0"/>
          <w:szCs w:val="20"/>
          <w:highlight w:val="none"/>
        </w:rPr>
      </w:pPr>
    </w:p>
    <w:p>
      <w:pPr>
        <w:pageBreakBefore w:val="0"/>
        <w:widowControl/>
        <w:kinsoku/>
        <w:overflowPunct/>
        <w:bidi w:val="0"/>
        <w:snapToGrid w:val="0"/>
        <w:spacing w:beforeLines="50" w:after="50"/>
        <w:jc w:val="center"/>
        <w:outlineLvl w:val="9"/>
        <w:rPr>
          <w:rFonts w:ascii="宋体" w:hAnsi="宋体" w:cs="宋体"/>
          <w:b/>
          <w:color w:val="auto"/>
          <w:kern w:val="0"/>
          <w:szCs w:val="21"/>
          <w:highlight w:val="none"/>
        </w:rPr>
      </w:pPr>
      <w:r>
        <w:rPr>
          <w:rFonts w:hint="eastAsia" w:ascii="宋体" w:hAnsi="宋体" w:cs="宋体"/>
          <w:b/>
          <w:color w:val="auto"/>
          <w:kern w:val="0"/>
          <w:szCs w:val="21"/>
          <w:highlight w:val="none"/>
        </w:rPr>
        <w:t>供应商响应表</w:t>
      </w:r>
    </w:p>
    <w:p>
      <w:pPr>
        <w:pageBreakBefore w:val="0"/>
        <w:widowControl/>
        <w:kinsoku/>
        <w:overflowPunct/>
        <w:bidi w:val="0"/>
        <w:jc w:val="left"/>
        <w:outlineLvl w:val="9"/>
        <w:rPr>
          <w:rFonts w:ascii="宋体" w:hAnsi="宋体" w:cs="宋体"/>
          <w:color w:val="auto"/>
          <w:kern w:val="0"/>
          <w:szCs w:val="20"/>
          <w:highlight w:val="none"/>
        </w:rPr>
      </w:pPr>
    </w:p>
    <w:p>
      <w:pPr>
        <w:pageBreakBefore w:val="0"/>
        <w:widowControl/>
        <w:kinsoku/>
        <w:overflowPunct/>
        <w:bidi w:val="0"/>
        <w:jc w:val="left"/>
        <w:outlineLvl w:val="9"/>
        <w:rPr>
          <w:rFonts w:ascii="宋体" w:hAnsi="宋体" w:cs="宋体"/>
          <w:color w:val="auto"/>
          <w:kern w:val="0"/>
          <w:szCs w:val="20"/>
          <w:highlight w:val="none"/>
        </w:rPr>
      </w:pPr>
      <w:r>
        <w:rPr>
          <w:rFonts w:hint="eastAsia" w:ascii="宋体" w:hAnsi="宋体" w:cs="宋体"/>
          <w:color w:val="auto"/>
          <w:kern w:val="0"/>
          <w:szCs w:val="20"/>
          <w:highlight w:val="none"/>
        </w:rPr>
        <w:t xml:space="preserve"> 招标项目编号                                      </w:t>
      </w:r>
    </w:p>
    <w:tbl>
      <w:tblPr>
        <w:tblStyle w:val="35"/>
        <w:tblW w:w="0" w:type="auto"/>
        <w:tblInd w:w="93" w:type="dxa"/>
        <w:tblLayout w:type="fixed"/>
        <w:tblCellMar>
          <w:top w:w="0" w:type="dxa"/>
          <w:left w:w="108" w:type="dxa"/>
          <w:bottom w:w="0" w:type="dxa"/>
          <w:right w:w="108" w:type="dxa"/>
        </w:tblCellMar>
      </w:tblPr>
      <w:tblGrid>
        <w:gridCol w:w="574"/>
        <w:gridCol w:w="4942"/>
        <w:gridCol w:w="1460"/>
        <w:gridCol w:w="1458"/>
      </w:tblGrid>
      <w:tr>
        <w:tblPrEx>
          <w:tblCellMar>
            <w:top w:w="0" w:type="dxa"/>
            <w:left w:w="108" w:type="dxa"/>
            <w:bottom w:w="0" w:type="dxa"/>
            <w:right w:w="108" w:type="dxa"/>
          </w:tblCellMar>
        </w:tblPrEx>
        <w:trPr>
          <w:trHeight w:val="596" w:hRule="atLeast"/>
        </w:trPr>
        <w:tc>
          <w:tcPr>
            <w:tcW w:w="57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jc w:val="center"/>
              <w:outlineLvl w:val="9"/>
              <w:rPr>
                <w:rFonts w:ascii="宋体" w:hAnsi="宋体" w:cs="宋体"/>
                <w:color w:val="auto"/>
                <w:kern w:val="0"/>
                <w:szCs w:val="20"/>
                <w:highlight w:val="none"/>
              </w:rPr>
            </w:pPr>
            <w:r>
              <w:rPr>
                <w:rFonts w:hint="eastAsia" w:ascii="宋体" w:hAnsi="宋体" w:cs="宋体"/>
                <w:color w:val="auto"/>
                <w:kern w:val="0"/>
                <w:szCs w:val="20"/>
                <w:highlight w:val="none"/>
              </w:rPr>
              <w:t>序号</w:t>
            </w:r>
          </w:p>
        </w:tc>
        <w:tc>
          <w:tcPr>
            <w:tcW w:w="494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jc w:val="center"/>
              <w:outlineLvl w:val="9"/>
              <w:rPr>
                <w:rFonts w:ascii="宋体" w:hAnsi="宋体" w:cs="宋体"/>
                <w:color w:val="auto"/>
                <w:kern w:val="0"/>
                <w:szCs w:val="20"/>
                <w:highlight w:val="none"/>
              </w:rPr>
            </w:pPr>
            <w:r>
              <w:rPr>
                <w:rFonts w:hint="eastAsia" w:ascii="宋体" w:hAnsi="宋体" w:cs="宋体"/>
                <w:color w:val="auto"/>
                <w:kern w:val="0"/>
                <w:szCs w:val="20"/>
                <w:highlight w:val="none"/>
              </w:rPr>
              <w:t>评审内容</w:t>
            </w:r>
          </w:p>
        </w:tc>
        <w:tc>
          <w:tcPr>
            <w:tcW w:w="1460" w:type="dxa"/>
            <w:tcBorders>
              <w:top w:val="single" w:color="auto" w:sz="4" w:space="0"/>
              <w:left w:val="nil"/>
              <w:bottom w:val="single" w:color="auto" w:sz="4" w:space="0"/>
              <w:right w:val="single" w:color="auto" w:sz="4" w:space="0"/>
            </w:tcBorders>
            <w:vAlign w:val="center"/>
          </w:tcPr>
          <w:p>
            <w:pPr>
              <w:pageBreakBefore w:val="0"/>
              <w:widowControl/>
              <w:kinsoku/>
              <w:overflowPunct/>
              <w:bidi w:val="0"/>
              <w:jc w:val="center"/>
              <w:outlineLvl w:val="9"/>
              <w:rPr>
                <w:rFonts w:ascii="宋体" w:hAnsi="宋体" w:cs="宋体"/>
                <w:color w:val="auto"/>
                <w:kern w:val="0"/>
                <w:szCs w:val="20"/>
                <w:highlight w:val="none"/>
              </w:rPr>
            </w:pPr>
            <w:r>
              <w:rPr>
                <w:rFonts w:hint="eastAsia" w:ascii="宋体" w:hAnsi="宋体" w:cs="宋体"/>
                <w:color w:val="auto"/>
                <w:kern w:val="0"/>
                <w:szCs w:val="20"/>
                <w:highlight w:val="none"/>
              </w:rPr>
              <w:t>证明文件</w:t>
            </w:r>
          </w:p>
        </w:tc>
        <w:tc>
          <w:tcPr>
            <w:tcW w:w="1458" w:type="dxa"/>
            <w:tcBorders>
              <w:top w:val="single" w:color="auto" w:sz="4" w:space="0"/>
              <w:left w:val="nil"/>
              <w:bottom w:val="single" w:color="auto" w:sz="4" w:space="0"/>
              <w:right w:val="single" w:color="auto" w:sz="4" w:space="0"/>
            </w:tcBorders>
            <w:vAlign w:val="center"/>
          </w:tcPr>
          <w:p>
            <w:pPr>
              <w:pageBreakBefore w:val="0"/>
              <w:widowControl/>
              <w:kinsoku/>
              <w:overflowPunct/>
              <w:bidi w:val="0"/>
              <w:jc w:val="center"/>
              <w:outlineLvl w:val="9"/>
              <w:rPr>
                <w:rFonts w:ascii="宋体" w:hAnsi="宋体" w:cs="宋体"/>
                <w:color w:val="auto"/>
                <w:kern w:val="0"/>
                <w:szCs w:val="20"/>
                <w:highlight w:val="none"/>
              </w:rPr>
            </w:pPr>
            <w:r>
              <w:rPr>
                <w:rFonts w:hint="eastAsia" w:ascii="宋体" w:hAnsi="宋体" w:cs="宋体"/>
                <w:color w:val="auto"/>
                <w:kern w:val="0"/>
                <w:szCs w:val="20"/>
                <w:highlight w:val="none"/>
              </w:rPr>
              <w:t>自评分</w:t>
            </w:r>
          </w:p>
        </w:tc>
      </w:tr>
      <w:tr>
        <w:tblPrEx>
          <w:tblCellMar>
            <w:top w:w="0" w:type="dxa"/>
            <w:left w:w="108" w:type="dxa"/>
            <w:bottom w:w="0" w:type="dxa"/>
            <w:right w:w="108" w:type="dxa"/>
          </w:tblCellMar>
        </w:tblPrEx>
        <w:trPr>
          <w:trHeight w:val="593" w:hRule="atLeast"/>
        </w:trPr>
        <w:tc>
          <w:tcPr>
            <w:tcW w:w="574" w:type="dxa"/>
            <w:tcBorders>
              <w:top w:val="nil"/>
              <w:left w:val="single" w:color="auto" w:sz="4" w:space="0"/>
              <w:bottom w:val="single" w:color="auto" w:sz="4" w:space="0"/>
              <w:right w:val="single" w:color="auto" w:sz="4" w:space="0"/>
            </w:tcBorders>
            <w:vAlign w:val="center"/>
          </w:tcPr>
          <w:p>
            <w:pPr>
              <w:pageBreakBefore w:val="0"/>
              <w:widowControl/>
              <w:kinsoku/>
              <w:overflowPunct/>
              <w:bidi w:val="0"/>
              <w:jc w:val="left"/>
              <w:outlineLvl w:val="9"/>
              <w:rPr>
                <w:rFonts w:ascii="宋体" w:hAnsi="宋体" w:cs="宋体"/>
                <w:color w:val="auto"/>
                <w:kern w:val="0"/>
                <w:szCs w:val="20"/>
                <w:highlight w:val="none"/>
              </w:rPr>
            </w:pPr>
          </w:p>
        </w:tc>
        <w:tc>
          <w:tcPr>
            <w:tcW w:w="4942" w:type="dxa"/>
            <w:tcBorders>
              <w:top w:val="nil"/>
              <w:left w:val="single" w:color="auto" w:sz="4" w:space="0"/>
              <w:bottom w:val="single" w:color="auto" w:sz="4" w:space="0"/>
              <w:right w:val="single" w:color="auto" w:sz="4" w:space="0"/>
            </w:tcBorders>
            <w:vAlign w:val="center"/>
          </w:tcPr>
          <w:p>
            <w:pPr>
              <w:pageBreakBefore w:val="0"/>
              <w:widowControl/>
              <w:kinsoku/>
              <w:overflowPunct/>
              <w:bidi w:val="0"/>
              <w:jc w:val="left"/>
              <w:outlineLvl w:val="9"/>
              <w:rPr>
                <w:rFonts w:ascii="宋体" w:hAnsi="宋体" w:cs="宋体"/>
                <w:color w:val="auto"/>
                <w:kern w:val="0"/>
                <w:szCs w:val="20"/>
                <w:highlight w:val="none"/>
              </w:rPr>
            </w:pPr>
          </w:p>
        </w:tc>
        <w:tc>
          <w:tcPr>
            <w:tcW w:w="1460" w:type="dxa"/>
            <w:tcBorders>
              <w:top w:val="nil"/>
              <w:left w:val="nil"/>
              <w:bottom w:val="single" w:color="auto" w:sz="4" w:space="0"/>
              <w:right w:val="single" w:color="auto" w:sz="4" w:space="0"/>
            </w:tcBorders>
            <w:vAlign w:val="center"/>
          </w:tcPr>
          <w:p>
            <w:pPr>
              <w:pageBreakBefore w:val="0"/>
              <w:widowControl/>
              <w:kinsoku/>
              <w:overflowPunct/>
              <w:bidi w:val="0"/>
              <w:jc w:val="center"/>
              <w:outlineLvl w:val="9"/>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nil"/>
              <w:left w:val="nil"/>
              <w:bottom w:val="single" w:color="auto" w:sz="4" w:space="0"/>
              <w:right w:val="single" w:color="auto" w:sz="4" w:space="0"/>
            </w:tcBorders>
            <w:vAlign w:val="center"/>
          </w:tcPr>
          <w:p>
            <w:pPr>
              <w:pageBreakBefore w:val="0"/>
              <w:widowControl/>
              <w:kinsoku/>
              <w:overflowPunct/>
              <w:bidi w:val="0"/>
              <w:jc w:val="center"/>
              <w:outlineLvl w:val="9"/>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613" w:hRule="atLeast"/>
        </w:trPr>
        <w:tc>
          <w:tcPr>
            <w:tcW w:w="574" w:type="dxa"/>
            <w:tcBorders>
              <w:top w:val="nil"/>
              <w:left w:val="single" w:color="auto" w:sz="4" w:space="0"/>
              <w:bottom w:val="single" w:color="auto" w:sz="4" w:space="0"/>
              <w:right w:val="single" w:color="auto" w:sz="4" w:space="0"/>
            </w:tcBorders>
            <w:vAlign w:val="center"/>
          </w:tcPr>
          <w:p>
            <w:pPr>
              <w:pageBreakBefore w:val="0"/>
              <w:widowControl/>
              <w:kinsoku/>
              <w:overflowPunct/>
              <w:bidi w:val="0"/>
              <w:jc w:val="left"/>
              <w:outlineLvl w:val="9"/>
              <w:rPr>
                <w:rFonts w:ascii="宋体" w:hAnsi="宋体" w:cs="宋体"/>
                <w:color w:val="auto"/>
                <w:kern w:val="0"/>
                <w:szCs w:val="20"/>
                <w:highlight w:val="none"/>
              </w:rPr>
            </w:pPr>
          </w:p>
        </w:tc>
        <w:tc>
          <w:tcPr>
            <w:tcW w:w="4942" w:type="dxa"/>
            <w:tcBorders>
              <w:top w:val="nil"/>
              <w:left w:val="single" w:color="auto" w:sz="4" w:space="0"/>
              <w:bottom w:val="single" w:color="auto" w:sz="4" w:space="0"/>
              <w:right w:val="single" w:color="auto" w:sz="4" w:space="0"/>
            </w:tcBorders>
            <w:vAlign w:val="center"/>
          </w:tcPr>
          <w:p>
            <w:pPr>
              <w:pageBreakBefore w:val="0"/>
              <w:widowControl/>
              <w:kinsoku/>
              <w:overflowPunct/>
              <w:bidi w:val="0"/>
              <w:jc w:val="left"/>
              <w:outlineLvl w:val="9"/>
              <w:rPr>
                <w:rFonts w:ascii="宋体" w:hAnsi="宋体" w:cs="宋体"/>
                <w:color w:val="auto"/>
                <w:kern w:val="0"/>
                <w:szCs w:val="20"/>
                <w:highlight w:val="none"/>
              </w:rPr>
            </w:pPr>
          </w:p>
        </w:tc>
        <w:tc>
          <w:tcPr>
            <w:tcW w:w="1460" w:type="dxa"/>
            <w:tcBorders>
              <w:top w:val="nil"/>
              <w:left w:val="nil"/>
              <w:bottom w:val="single" w:color="auto" w:sz="4" w:space="0"/>
              <w:right w:val="single" w:color="auto" w:sz="4" w:space="0"/>
            </w:tcBorders>
            <w:vAlign w:val="center"/>
          </w:tcPr>
          <w:p>
            <w:pPr>
              <w:pageBreakBefore w:val="0"/>
              <w:widowControl/>
              <w:kinsoku/>
              <w:overflowPunct/>
              <w:bidi w:val="0"/>
              <w:jc w:val="center"/>
              <w:outlineLvl w:val="9"/>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nil"/>
              <w:left w:val="nil"/>
              <w:bottom w:val="single" w:color="auto" w:sz="4" w:space="0"/>
              <w:right w:val="single" w:color="auto" w:sz="4" w:space="0"/>
            </w:tcBorders>
            <w:vAlign w:val="center"/>
          </w:tcPr>
          <w:p>
            <w:pPr>
              <w:pageBreakBefore w:val="0"/>
              <w:widowControl/>
              <w:kinsoku/>
              <w:overflowPunct/>
              <w:bidi w:val="0"/>
              <w:jc w:val="center"/>
              <w:outlineLvl w:val="9"/>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520" w:hRule="atLeast"/>
        </w:trPr>
        <w:tc>
          <w:tcPr>
            <w:tcW w:w="574" w:type="dxa"/>
            <w:tcBorders>
              <w:top w:val="nil"/>
              <w:left w:val="single" w:color="auto" w:sz="4" w:space="0"/>
              <w:bottom w:val="single" w:color="auto" w:sz="4" w:space="0"/>
              <w:right w:val="single" w:color="auto" w:sz="4" w:space="0"/>
            </w:tcBorders>
            <w:vAlign w:val="center"/>
          </w:tcPr>
          <w:p>
            <w:pPr>
              <w:pageBreakBefore w:val="0"/>
              <w:widowControl/>
              <w:kinsoku/>
              <w:overflowPunct/>
              <w:bidi w:val="0"/>
              <w:jc w:val="left"/>
              <w:outlineLvl w:val="9"/>
              <w:rPr>
                <w:rFonts w:ascii="宋体" w:hAnsi="宋体" w:cs="宋体"/>
                <w:color w:val="auto"/>
                <w:kern w:val="0"/>
                <w:szCs w:val="20"/>
                <w:highlight w:val="none"/>
              </w:rPr>
            </w:pPr>
          </w:p>
        </w:tc>
        <w:tc>
          <w:tcPr>
            <w:tcW w:w="4942" w:type="dxa"/>
            <w:tcBorders>
              <w:top w:val="nil"/>
              <w:left w:val="single" w:color="auto" w:sz="4" w:space="0"/>
              <w:bottom w:val="single" w:color="auto" w:sz="4" w:space="0"/>
              <w:right w:val="single" w:color="auto" w:sz="4" w:space="0"/>
            </w:tcBorders>
            <w:vAlign w:val="center"/>
          </w:tcPr>
          <w:p>
            <w:pPr>
              <w:pageBreakBefore w:val="0"/>
              <w:widowControl/>
              <w:kinsoku/>
              <w:overflowPunct/>
              <w:bidi w:val="0"/>
              <w:jc w:val="left"/>
              <w:outlineLvl w:val="9"/>
              <w:rPr>
                <w:rFonts w:ascii="宋体" w:hAnsi="宋体" w:cs="宋体"/>
                <w:color w:val="auto"/>
                <w:kern w:val="0"/>
                <w:szCs w:val="20"/>
                <w:highlight w:val="none"/>
              </w:rPr>
            </w:pPr>
          </w:p>
        </w:tc>
        <w:tc>
          <w:tcPr>
            <w:tcW w:w="1460" w:type="dxa"/>
            <w:tcBorders>
              <w:top w:val="nil"/>
              <w:left w:val="nil"/>
              <w:bottom w:val="single" w:color="auto" w:sz="4" w:space="0"/>
              <w:right w:val="single" w:color="auto" w:sz="4" w:space="0"/>
            </w:tcBorders>
            <w:vAlign w:val="center"/>
          </w:tcPr>
          <w:p>
            <w:pPr>
              <w:pageBreakBefore w:val="0"/>
              <w:widowControl/>
              <w:kinsoku/>
              <w:overflowPunct/>
              <w:bidi w:val="0"/>
              <w:jc w:val="center"/>
              <w:outlineLvl w:val="9"/>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nil"/>
              <w:left w:val="nil"/>
              <w:bottom w:val="single" w:color="auto" w:sz="4" w:space="0"/>
              <w:right w:val="single" w:color="auto" w:sz="4" w:space="0"/>
            </w:tcBorders>
            <w:vAlign w:val="center"/>
          </w:tcPr>
          <w:p>
            <w:pPr>
              <w:pageBreakBefore w:val="0"/>
              <w:widowControl/>
              <w:kinsoku/>
              <w:overflowPunct/>
              <w:bidi w:val="0"/>
              <w:jc w:val="center"/>
              <w:outlineLvl w:val="9"/>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531" w:hRule="atLeast"/>
        </w:trPr>
        <w:tc>
          <w:tcPr>
            <w:tcW w:w="574" w:type="dxa"/>
            <w:tcBorders>
              <w:top w:val="nil"/>
              <w:left w:val="single" w:color="auto" w:sz="4" w:space="0"/>
              <w:bottom w:val="single" w:color="auto" w:sz="4" w:space="0"/>
              <w:right w:val="single" w:color="auto" w:sz="4" w:space="0"/>
            </w:tcBorders>
            <w:vAlign w:val="center"/>
          </w:tcPr>
          <w:p>
            <w:pPr>
              <w:pageBreakBefore w:val="0"/>
              <w:widowControl/>
              <w:kinsoku/>
              <w:overflowPunct/>
              <w:bidi w:val="0"/>
              <w:jc w:val="left"/>
              <w:outlineLvl w:val="9"/>
              <w:rPr>
                <w:rFonts w:ascii="宋体" w:hAnsi="宋体" w:cs="宋体"/>
                <w:color w:val="auto"/>
                <w:kern w:val="0"/>
                <w:szCs w:val="20"/>
                <w:highlight w:val="none"/>
              </w:rPr>
            </w:pPr>
          </w:p>
        </w:tc>
        <w:tc>
          <w:tcPr>
            <w:tcW w:w="4942" w:type="dxa"/>
            <w:tcBorders>
              <w:top w:val="nil"/>
              <w:left w:val="single" w:color="auto" w:sz="4" w:space="0"/>
              <w:bottom w:val="single" w:color="auto" w:sz="4" w:space="0"/>
              <w:right w:val="single" w:color="auto" w:sz="4" w:space="0"/>
            </w:tcBorders>
            <w:vAlign w:val="center"/>
          </w:tcPr>
          <w:p>
            <w:pPr>
              <w:pageBreakBefore w:val="0"/>
              <w:widowControl/>
              <w:kinsoku/>
              <w:overflowPunct/>
              <w:bidi w:val="0"/>
              <w:jc w:val="left"/>
              <w:outlineLvl w:val="9"/>
              <w:rPr>
                <w:rFonts w:ascii="宋体" w:hAnsi="宋体" w:cs="宋体"/>
                <w:color w:val="auto"/>
                <w:kern w:val="0"/>
                <w:szCs w:val="20"/>
                <w:highlight w:val="none"/>
              </w:rPr>
            </w:pPr>
          </w:p>
        </w:tc>
        <w:tc>
          <w:tcPr>
            <w:tcW w:w="1460" w:type="dxa"/>
            <w:tcBorders>
              <w:top w:val="nil"/>
              <w:left w:val="nil"/>
              <w:bottom w:val="single" w:color="auto" w:sz="4" w:space="0"/>
              <w:right w:val="single" w:color="auto" w:sz="4" w:space="0"/>
            </w:tcBorders>
            <w:vAlign w:val="center"/>
          </w:tcPr>
          <w:p>
            <w:pPr>
              <w:pageBreakBefore w:val="0"/>
              <w:widowControl/>
              <w:kinsoku/>
              <w:overflowPunct/>
              <w:bidi w:val="0"/>
              <w:jc w:val="center"/>
              <w:outlineLvl w:val="9"/>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nil"/>
              <w:left w:val="nil"/>
              <w:bottom w:val="single" w:color="auto" w:sz="4" w:space="0"/>
              <w:right w:val="single" w:color="auto" w:sz="4" w:space="0"/>
            </w:tcBorders>
            <w:vAlign w:val="center"/>
          </w:tcPr>
          <w:p>
            <w:pPr>
              <w:pageBreakBefore w:val="0"/>
              <w:widowControl/>
              <w:kinsoku/>
              <w:overflowPunct/>
              <w:bidi w:val="0"/>
              <w:jc w:val="center"/>
              <w:outlineLvl w:val="9"/>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607" w:hRule="atLeast"/>
        </w:trPr>
        <w:tc>
          <w:tcPr>
            <w:tcW w:w="57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jc w:val="left"/>
              <w:outlineLvl w:val="9"/>
              <w:rPr>
                <w:rFonts w:ascii="宋体" w:hAnsi="宋体" w:cs="宋体"/>
                <w:color w:val="auto"/>
                <w:kern w:val="0"/>
                <w:szCs w:val="20"/>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jc w:val="left"/>
              <w:outlineLvl w:val="9"/>
              <w:rPr>
                <w:rFonts w:ascii="宋体" w:hAnsi="宋体" w:cs="宋体"/>
                <w:color w:val="auto"/>
                <w:kern w:val="0"/>
                <w:szCs w:val="20"/>
                <w:highlight w:val="none"/>
              </w:rPr>
            </w:pPr>
          </w:p>
        </w:tc>
        <w:tc>
          <w:tcPr>
            <w:tcW w:w="1460" w:type="dxa"/>
            <w:tcBorders>
              <w:top w:val="single" w:color="auto" w:sz="4" w:space="0"/>
              <w:left w:val="nil"/>
              <w:bottom w:val="single" w:color="auto" w:sz="4" w:space="0"/>
              <w:right w:val="single" w:color="auto" w:sz="4" w:space="0"/>
            </w:tcBorders>
            <w:vAlign w:val="center"/>
          </w:tcPr>
          <w:p>
            <w:pPr>
              <w:pageBreakBefore w:val="0"/>
              <w:widowControl/>
              <w:kinsoku/>
              <w:overflowPunct/>
              <w:bidi w:val="0"/>
              <w:jc w:val="center"/>
              <w:outlineLvl w:val="9"/>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single" w:color="auto" w:sz="4" w:space="0"/>
              <w:left w:val="nil"/>
              <w:bottom w:val="single" w:color="auto" w:sz="4" w:space="0"/>
              <w:right w:val="single" w:color="auto" w:sz="4" w:space="0"/>
            </w:tcBorders>
            <w:vAlign w:val="center"/>
          </w:tcPr>
          <w:p>
            <w:pPr>
              <w:pageBreakBefore w:val="0"/>
              <w:widowControl/>
              <w:kinsoku/>
              <w:overflowPunct/>
              <w:bidi w:val="0"/>
              <w:jc w:val="center"/>
              <w:outlineLvl w:val="9"/>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jc w:val="left"/>
              <w:outlineLvl w:val="9"/>
              <w:rPr>
                <w:rFonts w:ascii="宋体" w:hAnsi="宋体" w:cs="宋体"/>
                <w:color w:val="auto"/>
                <w:kern w:val="0"/>
                <w:szCs w:val="20"/>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jc w:val="left"/>
              <w:outlineLvl w:val="9"/>
              <w:rPr>
                <w:rFonts w:ascii="宋体" w:hAnsi="宋体" w:cs="宋体"/>
                <w:color w:val="auto"/>
                <w:kern w:val="0"/>
                <w:szCs w:val="20"/>
                <w:highlight w:val="none"/>
              </w:rPr>
            </w:pPr>
          </w:p>
        </w:tc>
        <w:tc>
          <w:tcPr>
            <w:tcW w:w="1460" w:type="dxa"/>
            <w:tcBorders>
              <w:top w:val="single" w:color="auto" w:sz="4" w:space="0"/>
              <w:left w:val="nil"/>
              <w:bottom w:val="single" w:color="auto" w:sz="4" w:space="0"/>
              <w:right w:val="single" w:color="auto" w:sz="4" w:space="0"/>
            </w:tcBorders>
            <w:vAlign w:val="center"/>
          </w:tcPr>
          <w:p>
            <w:pPr>
              <w:pageBreakBefore w:val="0"/>
              <w:widowControl/>
              <w:kinsoku/>
              <w:overflowPunct/>
              <w:bidi w:val="0"/>
              <w:jc w:val="center"/>
              <w:outlineLvl w:val="9"/>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single" w:color="auto" w:sz="4" w:space="0"/>
              <w:left w:val="nil"/>
              <w:bottom w:val="single" w:color="auto" w:sz="4" w:space="0"/>
              <w:right w:val="single" w:color="auto" w:sz="4" w:space="0"/>
            </w:tcBorders>
            <w:vAlign w:val="center"/>
          </w:tcPr>
          <w:p>
            <w:pPr>
              <w:pageBreakBefore w:val="0"/>
              <w:widowControl/>
              <w:kinsoku/>
              <w:overflowPunct/>
              <w:bidi w:val="0"/>
              <w:jc w:val="center"/>
              <w:outlineLvl w:val="9"/>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jc w:val="left"/>
              <w:outlineLvl w:val="9"/>
              <w:rPr>
                <w:rFonts w:ascii="宋体" w:hAnsi="宋体" w:cs="宋体"/>
                <w:color w:val="auto"/>
                <w:kern w:val="0"/>
                <w:szCs w:val="20"/>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jc w:val="left"/>
              <w:outlineLvl w:val="9"/>
              <w:rPr>
                <w:rFonts w:ascii="宋体" w:hAnsi="宋体" w:cs="宋体"/>
                <w:color w:val="auto"/>
                <w:kern w:val="0"/>
                <w:szCs w:val="20"/>
                <w:highlight w:val="none"/>
              </w:rPr>
            </w:pPr>
          </w:p>
        </w:tc>
        <w:tc>
          <w:tcPr>
            <w:tcW w:w="1460" w:type="dxa"/>
            <w:tcBorders>
              <w:top w:val="single" w:color="auto" w:sz="4" w:space="0"/>
              <w:left w:val="nil"/>
              <w:bottom w:val="single" w:color="auto" w:sz="4" w:space="0"/>
              <w:right w:val="single" w:color="auto" w:sz="4" w:space="0"/>
            </w:tcBorders>
            <w:vAlign w:val="center"/>
          </w:tcPr>
          <w:p>
            <w:pPr>
              <w:pageBreakBefore w:val="0"/>
              <w:widowControl/>
              <w:kinsoku/>
              <w:overflowPunct/>
              <w:bidi w:val="0"/>
              <w:jc w:val="center"/>
              <w:outlineLvl w:val="9"/>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single" w:color="auto" w:sz="4" w:space="0"/>
              <w:left w:val="nil"/>
              <w:bottom w:val="single" w:color="auto" w:sz="4" w:space="0"/>
              <w:right w:val="single" w:color="auto" w:sz="4" w:space="0"/>
            </w:tcBorders>
            <w:vAlign w:val="center"/>
          </w:tcPr>
          <w:p>
            <w:pPr>
              <w:pageBreakBefore w:val="0"/>
              <w:widowControl/>
              <w:kinsoku/>
              <w:overflowPunct/>
              <w:bidi w:val="0"/>
              <w:jc w:val="center"/>
              <w:outlineLvl w:val="9"/>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jc w:val="left"/>
              <w:outlineLvl w:val="9"/>
              <w:rPr>
                <w:rFonts w:ascii="宋体" w:hAnsi="宋体" w:cs="宋体"/>
                <w:color w:val="auto"/>
                <w:kern w:val="0"/>
                <w:szCs w:val="20"/>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jc w:val="left"/>
              <w:outlineLvl w:val="9"/>
              <w:rPr>
                <w:rFonts w:ascii="宋体" w:hAnsi="宋体" w:cs="宋体"/>
                <w:color w:val="auto"/>
                <w:kern w:val="0"/>
                <w:szCs w:val="20"/>
                <w:highlight w:val="none"/>
              </w:rPr>
            </w:pPr>
          </w:p>
        </w:tc>
        <w:tc>
          <w:tcPr>
            <w:tcW w:w="1460" w:type="dxa"/>
            <w:tcBorders>
              <w:top w:val="single" w:color="auto" w:sz="4" w:space="0"/>
              <w:left w:val="nil"/>
              <w:bottom w:val="single" w:color="auto" w:sz="4" w:space="0"/>
              <w:right w:val="single" w:color="auto" w:sz="4" w:space="0"/>
            </w:tcBorders>
            <w:vAlign w:val="center"/>
          </w:tcPr>
          <w:p>
            <w:pPr>
              <w:pageBreakBefore w:val="0"/>
              <w:widowControl/>
              <w:kinsoku/>
              <w:overflowPunct/>
              <w:bidi w:val="0"/>
              <w:jc w:val="center"/>
              <w:outlineLvl w:val="9"/>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single" w:color="auto" w:sz="4" w:space="0"/>
              <w:left w:val="nil"/>
              <w:bottom w:val="single" w:color="auto" w:sz="4" w:space="0"/>
              <w:right w:val="single" w:color="auto" w:sz="4" w:space="0"/>
            </w:tcBorders>
            <w:vAlign w:val="center"/>
          </w:tcPr>
          <w:p>
            <w:pPr>
              <w:pageBreakBefore w:val="0"/>
              <w:widowControl/>
              <w:kinsoku/>
              <w:overflowPunct/>
              <w:bidi w:val="0"/>
              <w:jc w:val="center"/>
              <w:outlineLvl w:val="9"/>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jc w:val="left"/>
              <w:outlineLvl w:val="9"/>
              <w:rPr>
                <w:rFonts w:ascii="宋体" w:hAnsi="宋体" w:cs="宋体"/>
                <w:color w:val="auto"/>
                <w:kern w:val="0"/>
                <w:szCs w:val="20"/>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jc w:val="left"/>
              <w:outlineLvl w:val="9"/>
              <w:rPr>
                <w:rFonts w:ascii="宋体" w:hAnsi="宋体" w:cs="宋体"/>
                <w:color w:val="auto"/>
                <w:kern w:val="0"/>
                <w:szCs w:val="20"/>
                <w:highlight w:val="none"/>
              </w:rPr>
            </w:pPr>
          </w:p>
        </w:tc>
        <w:tc>
          <w:tcPr>
            <w:tcW w:w="1460" w:type="dxa"/>
            <w:tcBorders>
              <w:top w:val="single" w:color="auto" w:sz="4" w:space="0"/>
              <w:left w:val="nil"/>
              <w:bottom w:val="single" w:color="auto" w:sz="4" w:space="0"/>
              <w:right w:val="single" w:color="auto" w:sz="4" w:space="0"/>
            </w:tcBorders>
            <w:vAlign w:val="center"/>
          </w:tcPr>
          <w:p>
            <w:pPr>
              <w:pageBreakBefore w:val="0"/>
              <w:widowControl/>
              <w:kinsoku/>
              <w:overflowPunct/>
              <w:bidi w:val="0"/>
              <w:jc w:val="center"/>
              <w:outlineLvl w:val="9"/>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single" w:color="auto" w:sz="4" w:space="0"/>
              <w:left w:val="nil"/>
              <w:bottom w:val="single" w:color="auto" w:sz="4" w:space="0"/>
              <w:right w:val="single" w:color="auto" w:sz="4" w:space="0"/>
            </w:tcBorders>
            <w:vAlign w:val="center"/>
          </w:tcPr>
          <w:p>
            <w:pPr>
              <w:pageBreakBefore w:val="0"/>
              <w:widowControl/>
              <w:kinsoku/>
              <w:overflowPunct/>
              <w:bidi w:val="0"/>
              <w:jc w:val="center"/>
              <w:outlineLvl w:val="9"/>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jc w:val="left"/>
              <w:outlineLvl w:val="9"/>
              <w:rPr>
                <w:rFonts w:ascii="宋体" w:hAnsi="宋体" w:cs="宋体"/>
                <w:color w:val="auto"/>
                <w:kern w:val="0"/>
                <w:szCs w:val="20"/>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jc w:val="left"/>
              <w:outlineLvl w:val="9"/>
              <w:rPr>
                <w:rFonts w:ascii="宋体" w:hAnsi="宋体" w:cs="宋体"/>
                <w:color w:val="auto"/>
                <w:kern w:val="0"/>
                <w:szCs w:val="20"/>
                <w:highlight w:val="none"/>
              </w:rPr>
            </w:pPr>
          </w:p>
        </w:tc>
        <w:tc>
          <w:tcPr>
            <w:tcW w:w="1460" w:type="dxa"/>
            <w:tcBorders>
              <w:top w:val="single" w:color="auto" w:sz="4" w:space="0"/>
              <w:left w:val="nil"/>
              <w:bottom w:val="single" w:color="auto" w:sz="4" w:space="0"/>
              <w:right w:val="single" w:color="auto" w:sz="4" w:space="0"/>
            </w:tcBorders>
            <w:vAlign w:val="center"/>
          </w:tcPr>
          <w:p>
            <w:pPr>
              <w:pageBreakBefore w:val="0"/>
              <w:widowControl/>
              <w:kinsoku/>
              <w:overflowPunct/>
              <w:bidi w:val="0"/>
              <w:jc w:val="center"/>
              <w:outlineLvl w:val="9"/>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single" w:color="auto" w:sz="4" w:space="0"/>
              <w:left w:val="nil"/>
              <w:bottom w:val="single" w:color="auto" w:sz="4" w:space="0"/>
              <w:right w:val="single" w:color="auto" w:sz="4" w:space="0"/>
            </w:tcBorders>
            <w:vAlign w:val="center"/>
          </w:tcPr>
          <w:p>
            <w:pPr>
              <w:pageBreakBefore w:val="0"/>
              <w:widowControl/>
              <w:kinsoku/>
              <w:overflowPunct/>
              <w:bidi w:val="0"/>
              <w:jc w:val="center"/>
              <w:outlineLvl w:val="9"/>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608" w:hRule="atLeast"/>
        </w:trPr>
        <w:tc>
          <w:tcPr>
            <w:tcW w:w="57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jc w:val="left"/>
              <w:outlineLvl w:val="9"/>
              <w:rPr>
                <w:rFonts w:ascii="宋体" w:hAnsi="宋体" w:cs="宋体"/>
                <w:color w:val="auto"/>
                <w:kern w:val="0"/>
                <w:szCs w:val="20"/>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jc w:val="left"/>
              <w:outlineLvl w:val="9"/>
              <w:rPr>
                <w:rFonts w:ascii="宋体" w:hAnsi="宋体" w:cs="宋体"/>
                <w:color w:val="auto"/>
                <w:kern w:val="0"/>
                <w:szCs w:val="20"/>
                <w:highlight w:val="none"/>
              </w:rPr>
            </w:pPr>
          </w:p>
        </w:tc>
        <w:tc>
          <w:tcPr>
            <w:tcW w:w="1460" w:type="dxa"/>
            <w:tcBorders>
              <w:top w:val="single" w:color="auto" w:sz="4" w:space="0"/>
              <w:left w:val="nil"/>
              <w:bottom w:val="single" w:color="auto" w:sz="4" w:space="0"/>
              <w:right w:val="single" w:color="auto" w:sz="4" w:space="0"/>
            </w:tcBorders>
            <w:vAlign w:val="center"/>
          </w:tcPr>
          <w:p>
            <w:pPr>
              <w:pageBreakBefore w:val="0"/>
              <w:widowControl/>
              <w:kinsoku/>
              <w:overflowPunct/>
              <w:bidi w:val="0"/>
              <w:jc w:val="center"/>
              <w:outlineLvl w:val="9"/>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single" w:color="auto" w:sz="4" w:space="0"/>
              <w:left w:val="nil"/>
              <w:bottom w:val="single" w:color="auto" w:sz="4" w:space="0"/>
              <w:right w:val="single" w:color="auto" w:sz="4" w:space="0"/>
            </w:tcBorders>
            <w:vAlign w:val="center"/>
          </w:tcPr>
          <w:p>
            <w:pPr>
              <w:pageBreakBefore w:val="0"/>
              <w:widowControl/>
              <w:kinsoku/>
              <w:overflowPunct/>
              <w:bidi w:val="0"/>
              <w:jc w:val="center"/>
              <w:outlineLvl w:val="9"/>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750" w:hRule="atLeast"/>
        </w:trPr>
        <w:tc>
          <w:tcPr>
            <w:tcW w:w="57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jc w:val="left"/>
              <w:outlineLvl w:val="9"/>
              <w:rPr>
                <w:rFonts w:ascii="宋体" w:hAnsi="宋体" w:cs="宋体"/>
                <w:color w:val="auto"/>
                <w:kern w:val="0"/>
                <w:szCs w:val="20"/>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jc w:val="left"/>
              <w:outlineLvl w:val="9"/>
              <w:rPr>
                <w:rFonts w:ascii="宋体" w:hAnsi="宋体" w:cs="宋体"/>
                <w:color w:val="auto"/>
                <w:kern w:val="0"/>
                <w:szCs w:val="20"/>
                <w:highlight w:val="none"/>
              </w:rPr>
            </w:pPr>
          </w:p>
        </w:tc>
        <w:tc>
          <w:tcPr>
            <w:tcW w:w="1460" w:type="dxa"/>
            <w:tcBorders>
              <w:top w:val="single" w:color="auto" w:sz="4" w:space="0"/>
              <w:left w:val="nil"/>
              <w:bottom w:val="single" w:color="auto" w:sz="4" w:space="0"/>
              <w:right w:val="single" w:color="auto" w:sz="4" w:space="0"/>
            </w:tcBorders>
            <w:vAlign w:val="center"/>
          </w:tcPr>
          <w:p>
            <w:pPr>
              <w:pageBreakBefore w:val="0"/>
              <w:widowControl/>
              <w:kinsoku/>
              <w:overflowPunct/>
              <w:bidi w:val="0"/>
              <w:jc w:val="center"/>
              <w:outlineLvl w:val="9"/>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single" w:color="auto" w:sz="4" w:space="0"/>
              <w:left w:val="nil"/>
              <w:bottom w:val="single" w:color="auto" w:sz="4" w:space="0"/>
              <w:right w:val="single" w:color="auto" w:sz="4" w:space="0"/>
            </w:tcBorders>
            <w:vAlign w:val="center"/>
          </w:tcPr>
          <w:p>
            <w:pPr>
              <w:pageBreakBefore w:val="0"/>
              <w:widowControl/>
              <w:kinsoku/>
              <w:overflowPunct/>
              <w:bidi w:val="0"/>
              <w:jc w:val="center"/>
              <w:outlineLvl w:val="9"/>
              <w:rPr>
                <w:rFonts w:ascii="宋体" w:hAnsi="宋体" w:cs="宋体"/>
                <w:color w:val="auto"/>
                <w:kern w:val="0"/>
                <w:szCs w:val="20"/>
                <w:highlight w:val="none"/>
              </w:rPr>
            </w:pPr>
          </w:p>
        </w:tc>
      </w:tr>
    </w:tbl>
    <w:p>
      <w:pPr>
        <w:pageBreakBefore w:val="0"/>
        <w:widowControl/>
        <w:kinsoku/>
        <w:overflowPunct/>
        <w:bidi w:val="0"/>
        <w:jc w:val="left"/>
        <w:outlineLvl w:val="9"/>
        <w:rPr>
          <w:rFonts w:ascii="宋体" w:hAnsi="宋体" w:cs="宋体"/>
          <w:b/>
          <w:color w:val="auto"/>
          <w:kern w:val="0"/>
          <w:szCs w:val="20"/>
          <w:highlight w:val="none"/>
        </w:rPr>
      </w:pPr>
      <w:r>
        <w:rPr>
          <w:rFonts w:hint="eastAsia" w:ascii="宋体" w:hAnsi="宋体" w:cs="宋体"/>
          <w:b/>
          <w:color w:val="auto"/>
          <w:kern w:val="0"/>
          <w:szCs w:val="20"/>
          <w:highlight w:val="none"/>
        </w:rPr>
        <w:t>注：1）根据评分标准中技术内容逐条填写，并针对客观分部分进行自评。</w:t>
      </w:r>
    </w:p>
    <w:p>
      <w:pPr>
        <w:pageBreakBefore w:val="0"/>
        <w:widowControl/>
        <w:numPr>
          <w:ilvl w:val="0"/>
          <w:numId w:val="13"/>
        </w:numPr>
        <w:kinsoku/>
        <w:overflowPunct/>
        <w:bidi w:val="0"/>
        <w:jc w:val="left"/>
        <w:outlineLvl w:val="9"/>
        <w:rPr>
          <w:rFonts w:ascii="宋体" w:hAnsi="宋体" w:cs="宋体"/>
          <w:b/>
          <w:color w:val="auto"/>
          <w:kern w:val="0"/>
          <w:szCs w:val="20"/>
          <w:highlight w:val="none"/>
        </w:rPr>
      </w:pPr>
      <w:r>
        <w:rPr>
          <w:rFonts w:hint="eastAsia" w:ascii="宋体" w:hAnsi="宋体" w:cs="宋体"/>
          <w:b/>
          <w:color w:val="auto"/>
          <w:kern w:val="0"/>
          <w:szCs w:val="20"/>
          <w:highlight w:val="none"/>
        </w:rPr>
        <w:t>请将此表编制在目录页前。</w:t>
      </w:r>
    </w:p>
    <w:p>
      <w:pPr>
        <w:pageBreakBefore w:val="0"/>
        <w:widowControl/>
        <w:kinsoku/>
        <w:overflowPunct/>
        <w:bidi w:val="0"/>
        <w:jc w:val="left"/>
        <w:outlineLvl w:val="9"/>
        <w:rPr>
          <w:rFonts w:ascii="宋体" w:hAnsi="宋体" w:cs="宋体"/>
          <w:b/>
          <w:color w:val="auto"/>
          <w:kern w:val="0"/>
          <w:szCs w:val="20"/>
          <w:highlight w:val="none"/>
        </w:rPr>
      </w:pPr>
    </w:p>
    <w:p>
      <w:pPr>
        <w:pageBreakBefore w:val="0"/>
        <w:widowControl/>
        <w:kinsoku/>
        <w:overflowPunct/>
        <w:bidi w:val="0"/>
        <w:jc w:val="left"/>
        <w:outlineLvl w:val="9"/>
        <w:rPr>
          <w:rFonts w:ascii="宋体" w:hAnsi="宋体" w:cs="宋体"/>
          <w:color w:val="auto"/>
          <w:kern w:val="0"/>
          <w:szCs w:val="20"/>
          <w:highlight w:val="none"/>
        </w:rPr>
      </w:pPr>
    </w:p>
    <w:p>
      <w:pPr>
        <w:pageBreakBefore w:val="0"/>
        <w:widowControl/>
        <w:kinsoku/>
        <w:overflowPunct/>
        <w:bidi w:val="0"/>
        <w:ind w:firstLine="6090" w:firstLineChars="2900"/>
        <w:jc w:val="left"/>
        <w:outlineLvl w:val="9"/>
        <w:rPr>
          <w:rFonts w:ascii="宋体" w:hAnsi="宋体" w:cs="宋体"/>
          <w:color w:val="auto"/>
          <w:kern w:val="0"/>
          <w:szCs w:val="20"/>
          <w:highlight w:val="none"/>
        </w:rPr>
      </w:pPr>
      <w:r>
        <w:rPr>
          <w:rFonts w:hint="eastAsia" w:ascii="宋体" w:hAnsi="宋体" w:cs="宋体"/>
          <w:color w:val="auto"/>
          <w:kern w:val="0"/>
          <w:szCs w:val="20"/>
          <w:highlight w:val="none"/>
        </w:rPr>
        <w:t>供应商名称（盖章）：</w:t>
      </w:r>
    </w:p>
    <w:p>
      <w:pPr>
        <w:pageBreakBefore w:val="0"/>
        <w:widowControl/>
        <w:kinsoku/>
        <w:overflowPunct/>
        <w:bidi w:val="0"/>
        <w:jc w:val="left"/>
        <w:outlineLvl w:val="9"/>
        <w:rPr>
          <w:rFonts w:ascii="宋体" w:hAnsi="宋体" w:cs="宋体"/>
          <w:color w:val="auto"/>
          <w:kern w:val="0"/>
          <w:szCs w:val="20"/>
          <w:highlight w:val="none"/>
        </w:rPr>
      </w:pPr>
    </w:p>
    <w:p>
      <w:pPr>
        <w:pageBreakBefore w:val="0"/>
        <w:widowControl/>
        <w:kinsoku/>
        <w:overflowPunct/>
        <w:bidi w:val="0"/>
        <w:ind w:firstLine="6090" w:firstLineChars="2900"/>
        <w:jc w:val="left"/>
        <w:outlineLvl w:val="9"/>
        <w:rPr>
          <w:rFonts w:ascii="宋体" w:hAnsi="宋体" w:cs="宋体"/>
          <w:color w:val="auto"/>
          <w:kern w:val="0"/>
          <w:szCs w:val="20"/>
          <w:highlight w:val="none"/>
        </w:rPr>
      </w:pPr>
      <w:r>
        <w:rPr>
          <w:rFonts w:hint="eastAsia" w:ascii="宋体" w:hAnsi="宋体" w:cs="宋体"/>
          <w:color w:val="auto"/>
          <w:kern w:val="0"/>
          <w:szCs w:val="20"/>
          <w:highlight w:val="none"/>
        </w:rPr>
        <w:t>年  月  日</w:t>
      </w:r>
    </w:p>
    <w:p>
      <w:pPr>
        <w:pageBreakBefore w:val="0"/>
        <w:widowControl/>
        <w:kinsoku/>
        <w:overflowPunct/>
        <w:bidi w:val="0"/>
        <w:jc w:val="left"/>
        <w:outlineLvl w:val="9"/>
        <w:rPr>
          <w:rFonts w:ascii="宋体" w:hAnsi="宋体" w:cs="宋体"/>
          <w:color w:val="auto"/>
          <w:kern w:val="0"/>
          <w:szCs w:val="20"/>
          <w:highlight w:val="none"/>
        </w:rPr>
      </w:pPr>
    </w:p>
    <w:p>
      <w:pPr>
        <w:pageBreakBefore w:val="0"/>
        <w:widowControl/>
        <w:kinsoku/>
        <w:overflowPunct/>
        <w:bidi w:val="0"/>
        <w:jc w:val="left"/>
        <w:outlineLvl w:val="9"/>
        <w:rPr>
          <w:rFonts w:ascii="宋体" w:hAnsi="宋体" w:cs="宋体"/>
          <w:color w:val="auto"/>
          <w:kern w:val="0"/>
          <w:szCs w:val="20"/>
          <w:highlight w:val="none"/>
        </w:rPr>
      </w:pPr>
      <w:r>
        <w:rPr>
          <w:rFonts w:hint="eastAsia" w:ascii="宋体" w:hAnsi="宋体" w:cs="宋体"/>
          <w:color w:val="auto"/>
          <w:kern w:val="0"/>
          <w:szCs w:val="20"/>
          <w:highlight w:val="none"/>
        </w:rPr>
        <w:t xml:space="preserve"> </w:t>
      </w:r>
    </w:p>
    <w:p>
      <w:pPr>
        <w:pageBreakBefore w:val="0"/>
        <w:widowControl/>
        <w:kinsoku/>
        <w:overflowPunct/>
        <w:bidi w:val="0"/>
        <w:snapToGrid w:val="0"/>
        <w:spacing w:before="50" w:after="50"/>
        <w:jc w:val="left"/>
        <w:outlineLvl w:val="9"/>
        <w:rPr>
          <w:rFonts w:ascii="宋体" w:hAnsi="宋体" w:cs="宋体"/>
          <w:b/>
          <w:bCs/>
          <w:color w:val="auto"/>
          <w:kern w:val="0"/>
          <w:szCs w:val="21"/>
          <w:highlight w:val="none"/>
        </w:rPr>
      </w:pPr>
      <w:r>
        <w:rPr>
          <w:rFonts w:hint="eastAsia" w:ascii="宋体" w:hAnsi="宋体" w:cs="宋体"/>
          <w:b/>
          <w:bCs/>
          <w:color w:val="auto"/>
          <w:kern w:val="0"/>
          <w:szCs w:val="21"/>
          <w:highlight w:val="none"/>
          <w:lang w:val="en-US" w:eastAsia="zh-CN"/>
        </w:rPr>
        <w:t>12</w:t>
      </w:r>
      <w:r>
        <w:rPr>
          <w:rFonts w:hint="eastAsia" w:ascii="宋体" w:hAnsi="宋体" w:cs="宋体"/>
          <w:b/>
          <w:bCs/>
          <w:color w:val="auto"/>
          <w:kern w:val="0"/>
          <w:szCs w:val="21"/>
          <w:highlight w:val="none"/>
        </w:rPr>
        <w:t>.技术部分：针对本项目第二章采购需求及第四章评分标准中的条款拟定各种方案，格式自拟；</w:t>
      </w:r>
    </w:p>
    <w:p>
      <w:pPr>
        <w:pageBreakBefore w:val="0"/>
        <w:widowControl/>
        <w:kinsoku/>
        <w:overflowPunct/>
        <w:bidi w:val="0"/>
        <w:snapToGrid w:val="0"/>
        <w:spacing w:beforeLines="50" w:after="50"/>
        <w:jc w:val="left"/>
        <w:outlineLvl w:val="9"/>
        <w:rPr>
          <w:rFonts w:ascii="宋体" w:hAnsi="宋体" w:cs="宋体"/>
          <w:color w:val="auto"/>
          <w:kern w:val="0"/>
          <w:szCs w:val="21"/>
          <w:highlight w:val="none"/>
        </w:rPr>
      </w:pPr>
      <w:r>
        <w:rPr>
          <w:rFonts w:hint="eastAsia" w:ascii="宋体" w:hAnsi="宋体" w:cs="宋体"/>
          <w:b/>
          <w:bCs/>
          <w:color w:val="auto"/>
          <w:kern w:val="0"/>
          <w:szCs w:val="21"/>
          <w:highlight w:val="none"/>
        </w:rPr>
        <w:br w:type="page"/>
      </w:r>
      <w:r>
        <w:rPr>
          <w:rFonts w:hint="eastAsia" w:ascii="宋体" w:hAnsi="宋体" w:cs="宋体"/>
          <w:b/>
          <w:bCs/>
          <w:color w:val="auto"/>
          <w:kern w:val="0"/>
          <w:szCs w:val="21"/>
          <w:highlight w:val="none"/>
          <w:lang w:val="en-US" w:eastAsia="zh-CN"/>
        </w:rPr>
        <w:t>13</w:t>
      </w:r>
      <w:r>
        <w:rPr>
          <w:rFonts w:hint="eastAsia" w:ascii="宋体" w:hAnsi="宋体" w:cs="宋体"/>
          <w:b/>
          <w:bCs/>
          <w:color w:val="auto"/>
          <w:kern w:val="0"/>
          <w:szCs w:val="21"/>
          <w:highlight w:val="none"/>
        </w:rPr>
        <w:t>. 投标函</w:t>
      </w:r>
    </w:p>
    <w:p>
      <w:pPr>
        <w:pageBreakBefore w:val="0"/>
        <w:widowControl/>
        <w:kinsoku/>
        <w:overflowPunct/>
        <w:bidi w:val="0"/>
        <w:snapToGrid w:val="0"/>
        <w:spacing w:beforeLines="50" w:after="50"/>
        <w:jc w:val="center"/>
        <w:outlineLvl w:val="9"/>
        <w:rPr>
          <w:rFonts w:ascii="宋体" w:hAnsi="宋体" w:cs="宋体"/>
          <w:b/>
          <w:color w:val="auto"/>
          <w:kern w:val="0"/>
          <w:szCs w:val="21"/>
          <w:highlight w:val="none"/>
        </w:rPr>
      </w:pPr>
      <w:r>
        <w:rPr>
          <w:rFonts w:hint="eastAsia" w:ascii="宋体" w:hAnsi="宋体" w:cs="宋体"/>
          <w:b/>
          <w:color w:val="auto"/>
          <w:kern w:val="0"/>
          <w:szCs w:val="21"/>
          <w:highlight w:val="none"/>
        </w:rPr>
        <w:t>投 标 函</w:t>
      </w:r>
    </w:p>
    <w:p>
      <w:pPr>
        <w:pageBreakBefore w:val="0"/>
        <w:widowControl/>
        <w:kinsoku/>
        <w:overflowPunct/>
        <w:bidi w:val="0"/>
        <w:snapToGrid w:val="0"/>
        <w:spacing w:beforeLines="50" w:after="50"/>
        <w:jc w:val="center"/>
        <w:outlineLvl w:val="9"/>
        <w:rPr>
          <w:rFonts w:ascii="宋体" w:hAnsi="宋体" w:cs="宋体"/>
          <w:b/>
          <w:color w:val="auto"/>
          <w:kern w:val="0"/>
          <w:szCs w:val="21"/>
          <w:highlight w:val="none"/>
        </w:rPr>
      </w:pPr>
    </w:p>
    <w:p>
      <w:pPr>
        <w:pageBreakBefore w:val="0"/>
        <w:widowControl/>
        <w:kinsoku/>
        <w:overflowPunct/>
        <w:bidi w:val="0"/>
        <w:snapToGrid w:val="0"/>
        <w:spacing w:line="360" w:lineRule="auto"/>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（招标采购单位名称）：</w:t>
      </w:r>
    </w:p>
    <w:p>
      <w:pPr>
        <w:pageBreakBefore w:val="0"/>
        <w:widowControl/>
        <w:kinsoku/>
        <w:overflowPunct/>
        <w:bidi w:val="0"/>
        <w:snapToGrid w:val="0"/>
        <w:spacing w:line="360" w:lineRule="auto"/>
        <w:ind w:firstLine="480"/>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根据贵方为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项目的采购公告/投标邀请书（项目编号：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，标项号：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），签字代表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（全名）经正式授权并代表供应商</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（供应商名称）提交投标文件。</w:t>
      </w:r>
    </w:p>
    <w:p>
      <w:pPr>
        <w:pageBreakBefore w:val="0"/>
        <w:widowControl/>
        <w:kinsoku/>
        <w:overflowPunct/>
        <w:bidi w:val="0"/>
        <w:snapToGrid w:val="0"/>
        <w:spacing w:line="360" w:lineRule="auto"/>
        <w:ind w:firstLine="420" w:firstLineChars="200"/>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据此函，签字代表宣布同意如下：</w:t>
      </w:r>
    </w:p>
    <w:p>
      <w:pPr>
        <w:pageBreakBefore w:val="0"/>
        <w:widowControl/>
        <w:kinsoku/>
        <w:overflowPunct/>
        <w:bidi w:val="0"/>
        <w:snapToGrid w:val="0"/>
        <w:spacing w:line="360" w:lineRule="auto"/>
        <w:ind w:firstLine="420" w:firstLineChars="200"/>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1.供应商已详细审查全部“招标文件”，包括修改文件（如有的话）以及全部参考资料和有关附件，已经了解我方对于招标文件、采购过程、采购结果有依法进行询问、质疑、投诉的权利及相关渠道和要求。</w:t>
      </w:r>
    </w:p>
    <w:p>
      <w:pPr>
        <w:pageBreakBefore w:val="0"/>
        <w:widowControl/>
        <w:kinsoku/>
        <w:overflowPunct/>
        <w:bidi w:val="0"/>
        <w:snapToGrid w:val="0"/>
        <w:spacing w:line="360" w:lineRule="auto"/>
        <w:ind w:firstLine="420" w:firstLineChars="200"/>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2.供应商在投标之前已经与贵方进行了充分的沟通，完全理解并接受招标文件的各项规定和要求，对招标文件的合理性、合法性不再有异议。</w:t>
      </w:r>
    </w:p>
    <w:p>
      <w:pPr>
        <w:pageBreakBefore w:val="0"/>
        <w:widowControl/>
        <w:kinsoku/>
        <w:overflowPunct/>
        <w:bidi w:val="0"/>
        <w:snapToGrid w:val="0"/>
        <w:spacing w:line="360" w:lineRule="auto"/>
        <w:ind w:firstLine="420" w:firstLineChars="200"/>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3.本投标有效期自开标日起______个日历日。</w:t>
      </w:r>
    </w:p>
    <w:p>
      <w:pPr>
        <w:pageBreakBefore w:val="0"/>
        <w:widowControl/>
        <w:kinsoku/>
        <w:overflowPunct/>
        <w:bidi w:val="0"/>
        <w:snapToGrid w:val="0"/>
        <w:spacing w:line="360" w:lineRule="auto"/>
        <w:ind w:firstLine="420" w:firstLineChars="200"/>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4.如中标，本投标文件至本项目合同履行完毕止均保持有效，本供应商将按“招标文件”及政府采购法律、法规的规定履行合同责任和义务。</w:t>
      </w:r>
    </w:p>
    <w:p>
      <w:pPr>
        <w:pageBreakBefore w:val="0"/>
        <w:widowControl/>
        <w:kinsoku/>
        <w:overflowPunct/>
        <w:bidi w:val="0"/>
        <w:snapToGrid w:val="0"/>
        <w:spacing w:line="360" w:lineRule="auto"/>
        <w:ind w:firstLine="420" w:firstLineChars="200"/>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5.供应商同意按照贵方要求提供与投标有关的一切数据或资料。</w:t>
      </w:r>
    </w:p>
    <w:p>
      <w:pPr>
        <w:pageBreakBefore w:val="0"/>
        <w:widowControl/>
        <w:kinsoku/>
        <w:overflowPunct/>
        <w:bidi w:val="0"/>
        <w:snapToGrid w:val="0"/>
        <w:spacing w:line="360" w:lineRule="auto"/>
        <w:ind w:firstLine="420" w:firstLineChars="200"/>
        <w:jc w:val="left"/>
        <w:outlineLvl w:val="9"/>
        <w:rPr>
          <w:rFonts w:ascii="宋体" w:hAnsi="宋体" w:cs="宋体"/>
          <w:color w:val="auto"/>
          <w:kern w:val="0"/>
          <w:szCs w:val="20"/>
          <w:highlight w:val="none"/>
          <w:lang w:val="zh-CN"/>
        </w:rPr>
      </w:pPr>
      <w:r>
        <w:rPr>
          <w:rFonts w:hint="eastAsia" w:ascii="宋体" w:hAnsi="宋体" w:cs="宋体"/>
          <w:color w:val="auto"/>
          <w:kern w:val="0"/>
          <w:szCs w:val="21"/>
          <w:highlight w:val="none"/>
        </w:rPr>
        <w:t>6.</w:t>
      </w:r>
      <w:r>
        <w:rPr>
          <w:rFonts w:hint="eastAsia" w:ascii="宋体" w:hAnsi="宋体" w:cs="宋体"/>
          <w:color w:val="auto"/>
          <w:kern w:val="0"/>
          <w:szCs w:val="20"/>
          <w:highlight w:val="none"/>
          <w:lang w:val="zh-CN"/>
        </w:rPr>
        <w:t>我们郑重声明：本投标文件提供的情况和文件完全是真实的。</w:t>
      </w:r>
    </w:p>
    <w:p>
      <w:pPr>
        <w:pageBreakBefore w:val="0"/>
        <w:widowControl/>
        <w:kinsoku/>
        <w:overflowPunct/>
        <w:bidi w:val="0"/>
        <w:snapToGrid w:val="0"/>
        <w:spacing w:line="360" w:lineRule="auto"/>
        <w:ind w:firstLine="420" w:firstLineChars="200"/>
        <w:jc w:val="left"/>
        <w:outlineLvl w:val="9"/>
        <w:rPr>
          <w:rFonts w:ascii="宋体" w:hAnsi="宋体" w:cs="宋体"/>
          <w:color w:val="auto"/>
          <w:kern w:val="0"/>
          <w:szCs w:val="21"/>
          <w:highlight w:val="none"/>
          <w:lang w:val="zh-CN"/>
        </w:rPr>
      </w:pPr>
      <w:r>
        <w:rPr>
          <w:rFonts w:hint="eastAsia" w:ascii="宋体" w:hAnsi="宋体" w:cs="宋体"/>
          <w:color w:val="auto"/>
          <w:kern w:val="0"/>
          <w:szCs w:val="21"/>
          <w:highlight w:val="none"/>
        </w:rPr>
        <w:t>7.</w:t>
      </w:r>
      <w:r>
        <w:rPr>
          <w:rFonts w:hint="eastAsia" w:ascii="宋体" w:hAnsi="宋体" w:cs="宋体"/>
          <w:color w:val="auto"/>
          <w:kern w:val="0"/>
          <w:szCs w:val="21"/>
          <w:highlight w:val="none"/>
          <w:lang w:val="zh-CN"/>
        </w:rPr>
        <w:t>按照</w:t>
      </w:r>
      <w:r>
        <w:rPr>
          <w:rFonts w:hint="eastAsia" w:ascii="宋体" w:hAnsi="宋体" w:cs="宋体"/>
          <w:color w:val="auto"/>
          <w:kern w:val="0"/>
          <w:szCs w:val="21"/>
          <w:highlight w:val="none"/>
        </w:rPr>
        <w:t>招标文件</w:t>
      </w:r>
      <w:r>
        <w:rPr>
          <w:rFonts w:hint="eastAsia" w:ascii="宋体" w:hAnsi="宋体" w:cs="宋体"/>
          <w:color w:val="auto"/>
          <w:kern w:val="0"/>
          <w:szCs w:val="21"/>
          <w:highlight w:val="none"/>
          <w:lang w:val="zh-CN"/>
        </w:rPr>
        <w:t>的规定，在中标后向</w:t>
      </w:r>
      <w:r>
        <w:rPr>
          <w:rFonts w:hint="eastAsia" w:ascii="宋体" w:hAnsi="宋体" w:cs="宋体"/>
          <w:color w:val="auto"/>
          <w:kern w:val="0"/>
          <w:szCs w:val="21"/>
          <w:highlight w:val="none"/>
        </w:rPr>
        <w:t>采购代理机构</w:t>
      </w:r>
      <w:r>
        <w:rPr>
          <w:rFonts w:hint="eastAsia" w:ascii="宋体" w:hAnsi="宋体" w:cs="宋体"/>
          <w:color w:val="auto"/>
          <w:kern w:val="0"/>
          <w:szCs w:val="21"/>
          <w:highlight w:val="none"/>
          <w:lang w:val="zh-CN"/>
        </w:rPr>
        <w:t>一次性支付招标代理费。</w:t>
      </w:r>
    </w:p>
    <w:p>
      <w:pPr>
        <w:pageBreakBefore w:val="0"/>
        <w:widowControl/>
        <w:kinsoku/>
        <w:overflowPunct/>
        <w:bidi w:val="0"/>
        <w:snapToGrid w:val="0"/>
        <w:spacing w:line="360" w:lineRule="auto"/>
        <w:ind w:firstLine="420" w:firstLineChars="200"/>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8.与本投标有关的一切正式往来信函请寄：</w:t>
      </w:r>
    </w:p>
    <w:p>
      <w:pPr>
        <w:pageBreakBefore w:val="0"/>
        <w:widowControl/>
        <w:kinsoku/>
        <w:overflowPunct/>
        <w:bidi w:val="0"/>
        <w:snapToGrid w:val="0"/>
        <w:spacing w:line="360" w:lineRule="auto"/>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地址：</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邮编：__________   电话：______________</w:t>
      </w:r>
    </w:p>
    <w:p>
      <w:pPr>
        <w:pageBreakBefore w:val="0"/>
        <w:widowControl/>
        <w:kinsoku/>
        <w:overflowPunct/>
        <w:bidi w:val="0"/>
        <w:snapToGrid w:val="0"/>
        <w:spacing w:line="360" w:lineRule="auto"/>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传真：______________供应商代表姓名 ___________  职务：______</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_______</w:t>
      </w:r>
    </w:p>
    <w:p>
      <w:pPr>
        <w:pageBreakBefore w:val="0"/>
        <w:widowControl/>
        <w:kinsoku/>
        <w:overflowPunct/>
        <w:bidi w:val="0"/>
        <w:snapToGrid w:val="0"/>
        <w:spacing w:line="360" w:lineRule="auto"/>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供应商名称(公章):___________________</w:t>
      </w:r>
    </w:p>
    <w:p>
      <w:pPr>
        <w:pageBreakBefore w:val="0"/>
        <w:widowControl/>
        <w:kinsoku/>
        <w:overflowPunct/>
        <w:bidi w:val="0"/>
        <w:snapToGrid w:val="0"/>
        <w:spacing w:line="360" w:lineRule="auto"/>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开户银行：</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eastAsia="zh-CN"/>
        </w:rPr>
        <w:t>银行账号</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pPr>
        <w:pageBreakBefore w:val="0"/>
        <w:widowControl/>
        <w:kinsoku/>
        <w:overflowPunct/>
        <w:bidi w:val="0"/>
        <w:snapToGrid w:val="0"/>
        <w:spacing w:before="50" w:afterLines="50"/>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法定代表人或授权代表</w:t>
      </w:r>
      <w:r>
        <w:rPr>
          <w:rFonts w:hint="eastAsia" w:ascii="宋体" w:hAnsi="宋体" w:cs="宋体"/>
          <w:color w:val="auto"/>
          <w:kern w:val="0"/>
          <w:szCs w:val="20"/>
          <w:highlight w:val="none"/>
        </w:rPr>
        <w:t>（签名或印章）</w:t>
      </w:r>
      <w:r>
        <w:rPr>
          <w:rFonts w:hint="eastAsia" w:ascii="宋体" w:hAnsi="宋体" w:cs="宋体"/>
          <w:color w:val="auto"/>
          <w:kern w:val="0"/>
          <w:szCs w:val="21"/>
          <w:highlight w:val="none"/>
        </w:rPr>
        <w:t>:___________          日期:_____年___月___日</w:t>
      </w:r>
    </w:p>
    <w:p>
      <w:pPr>
        <w:pageBreakBefore w:val="0"/>
        <w:widowControl/>
        <w:kinsoku/>
        <w:overflowPunct/>
        <w:bidi w:val="0"/>
        <w:jc w:val="left"/>
        <w:outlineLvl w:val="9"/>
        <w:rPr>
          <w:rFonts w:hint="eastAsia" w:ascii="宋体" w:hAnsi="宋体" w:cs="宋体"/>
          <w:color w:val="auto"/>
          <w:kern w:val="0"/>
          <w:szCs w:val="21"/>
          <w:highlight w:val="none"/>
        </w:rPr>
      </w:pPr>
    </w:p>
    <w:p>
      <w:pPr>
        <w:pageBreakBefore w:val="0"/>
        <w:widowControl/>
        <w:kinsoku/>
        <w:overflowPunct/>
        <w:bidi w:val="0"/>
        <w:jc w:val="left"/>
        <w:outlineLvl w:val="9"/>
        <w:rPr>
          <w:rFonts w:hint="eastAsia" w:ascii="宋体" w:hAnsi="宋体" w:cs="宋体"/>
          <w:color w:val="auto"/>
          <w:kern w:val="0"/>
          <w:szCs w:val="21"/>
          <w:highlight w:val="none"/>
        </w:rPr>
      </w:pPr>
    </w:p>
    <w:p>
      <w:pPr>
        <w:pageBreakBefore w:val="0"/>
        <w:widowControl/>
        <w:kinsoku/>
        <w:overflowPunct/>
        <w:bidi w:val="0"/>
        <w:jc w:val="left"/>
        <w:outlineLvl w:val="9"/>
        <w:rPr>
          <w:rFonts w:hint="eastAsia" w:ascii="宋体" w:hAnsi="宋体" w:cs="宋体"/>
          <w:color w:val="auto"/>
          <w:kern w:val="0"/>
          <w:szCs w:val="21"/>
          <w:highlight w:val="none"/>
        </w:rPr>
      </w:pPr>
    </w:p>
    <w:p>
      <w:pPr>
        <w:pageBreakBefore w:val="0"/>
        <w:widowControl/>
        <w:kinsoku/>
        <w:overflowPunct/>
        <w:bidi w:val="0"/>
        <w:jc w:val="left"/>
        <w:outlineLvl w:val="9"/>
        <w:rPr>
          <w:rFonts w:ascii="宋体" w:hAnsi="宋体" w:cs="宋体"/>
          <w:b/>
          <w:color w:val="auto"/>
          <w:kern w:val="0"/>
          <w:szCs w:val="20"/>
          <w:highlight w:val="none"/>
        </w:rPr>
      </w:pPr>
      <w:r>
        <w:rPr>
          <w:rFonts w:hint="eastAsia" w:ascii="宋体" w:hAnsi="宋体" w:cs="宋体"/>
          <w:color w:val="auto"/>
          <w:kern w:val="0"/>
          <w:szCs w:val="21"/>
          <w:highlight w:val="none"/>
        </w:rPr>
        <w:br w:type="page"/>
      </w:r>
      <w:r>
        <w:rPr>
          <w:rFonts w:hint="eastAsia" w:ascii="宋体" w:hAnsi="宋体" w:cs="宋体"/>
          <w:b/>
          <w:bCs/>
          <w:color w:val="auto"/>
          <w:kern w:val="0"/>
          <w:sz w:val="24"/>
          <w:szCs w:val="24"/>
          <w:highlight w:val="none"/>
          <w:lang w:val="en-US" w:eastAsia="zh-CN"/>
        </w:rPr>
        <w:t>14</w:t>
      </w:r>
      <w:r>
        <w:rPr>
          <w:rFonts w:hint="eastAsia" w:ascii="宋体" w:hAnsi="宋体" w:cs="宋体"/>
          <w:b/>
          <w:bCs/>
          <w:color w:val="auto"/>
          <w:kern w:val="0"/>
          <w:szCs w:val="21"/>
          <w:highlight w:val="none"/>
        </w:rPr>
        <w:t>.法</w:t>
      </w:r>
      <w:r>
        <w:rPr>
          <w:rFonts w:hint="eastAsia" w:ascii="宋体" w:hAnsi="宋体" w:cs="宋体"/>
          <w:b/>
          <w:color w:val="auto"/>
          <w:kern w:val="0"/>
          <w:szCs w:val="20"/>
          <w:highlight w:val="none"/>
        </w:rPr>
        <w:t>定代表人身份证明及授权委托书格式：</w:t>
      </w:r>
    </w:p>
    <w:p>
      <w:pPr>
        <w:pageBreakBefore w:val="0"/>
        <w:widowControl/>
        <w:kinsoku/>
        <w:overflowPunct/>
        <w:bidi w:val="0"/>
        <w:jc w:val="left"/>
        <w:outlineLvl w:val="9"/>
        <w:rPr>
          <w:rFonts w:ascii="宋体" w:hAnsi="宋体" w:cs="宋体"/>
          <w:color w:val="auto"/>
          <w:kern w:val="0"/>
          <w:szCs w:val="20"/>
          <w:highlight w:val="none"/>
        </w:rPr>
      </w:pPr>
    </w:p>
    <w:p>
      <w:pPr>
        <w:pageBreakBefore w:val="0"/>
        <w:widowControl/>
        <w:kinsoku/>
        <w:overflowPunct/>
        <w:bidi w:val="0"/>
        <w:jc w:val="left"/>
        <w:outlineLvl w:val="9"/>
        <w:rPr>
          <w:rFonts w:ascii="宋体" w:hAnsi="宋体" w:cs="宋体"/>
          <w:color w:val="auto"/>
          <w:kern w:val="0"/>
          <w:szCs w:val="20"/>
          <w:highlight w:val="none"/>
        </w:rPr>
      </w:pPr>
    </w:p>
    <w:p>
      <w:pPr>
        <w:pageBreakBefore w:val="0"/>
        <w:widowControl/>
        <w:kinsoku/>
        <w:overflowPunct/>
        <w:bidi w:val="0"/>
        <w:snapToGrid w:val="0"/>
        <w:spacing w:beforeLines="50" w:after="50"/>
        <w:jc w:val="center"/>
        <w:outlineLvl w:val="9"/>
        <w:rPr>
          <w:rFonts w:ascii="宋体" w:hAnsi="宋体" w:cs="宋体"/>
          <w:b/>
          <w:color w:val="auto"/>
          <w:kern w:val="0"/>
          <w:szCs w:val="21"/>
          <w:highlight w:val="none"/>
        </w:rPr>
      </w:pPr>
      <w:r>
        <w:rPr>
          <w:rFonts w:hint="eastAsia" w:ascii="宋体" w:hAnsi="宋体" w:cs="宋体"/>
          <w:b/>
          <w:color w:val="auto"/>
          <w:kern w:val="0"/>
          <w:szCs w:val="21"/>
          <w:highlight w:val="none"/>
        </w:rPr>
        <w:t>法定代表人身份证明</w:t>
      </w:r>
    </w:p>
    <w:p>
      <w:pPr>
        <w:pageBreakBefore w:val="0"/>
        <w:widowControl/>
        <w:kinsoku/>
        <w:overflowPunct/>
        <w:bidi w:val="0"/>
        <w:spacing w:line="480" w:lineRule="auto"/>
        <w:jc w:val="center"/>
        <w:outlineLvl w:val="9"/>
        <w:rPr>
          <w:rFonts w:ascii="宋体" w:hAnsi="宋体" w:cs="宋体"/>
          <w:b/>
          <w:color w:val="auto"/>
          <w:kern w:val="0"/>
          <w:sz w:val="24"/>
          <w:szCs w:val="20"/>
          <w:highlight w:val="none"/>
        </w:rPr>
      </w:pPr>
      <w:r>
        <w:rPr>
          <w:rFonts w:hint="eastAsia" w:ascii="宋体" w:hAnsi="宋体" w:cs="宋体"/>
          <w:bCs/>
          <w:color w:val="auto"/>
          <w:kern w:val="0"/>
          <w:sz w:val="24"/>
          <w:szCs w:val="20"/>
          <w:highlight w:val="none"/>
        </w:rPr>
        <w:t>（法定代表人不来投标的，此表不用）</w:t>
      </w:r>
    </w:p>
    <w:p>
      <w:pPr>
        <w:pageBreakBefore w:val="0"/>
        <w:widowControl/>
        <w:kinsoku/>
        <w:overflowPunct/>
        <w:bidi w:val="0"/>
        <w:spacing w:line="480" w:lineRule="auto"/>
        <w:ind w:firstLine="420" w:firstLineChars="200"/>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供应商名称：</w:t>
      </w:r>
      <w:r>
        <w:rPr>
          <w:rFonts w:hint="eastAsia" w:ascii="宋体" w:hAnsi="宋体" w:cs="宋体"/>
          <w:color w:val="auto"/>
          <w:kern w:val="0"/>
          <w:szCs w:val="21"/>
          <w:highlight w:val="none"/>
          <w:u w:val="single"/>
        </w:rPr>
        <w:t xml:space="preserve">                                      </w:t>
      </w:r>
    </w:p>
    <w:p>
      <w:pPr>
        <w:pageBreakBefore w:val="0"/>
        <w:widowControl/>
        <w:kinsoku/>
        <w:overflowPunct/>
        <w:bidi w:val="0"/>
        <w:spacing w:line="480" w:lineRule="auto"/>
        <w:ind w:firstLine="420" w:firstLineChars="200"/>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单位性质：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pPr>
        <w:pageBreakBefore w:val="0"/>
        <w:widowControl/>
        <w:kinsoku/>
        <w:overflowPunct/>
        <w:bidi w:val="0"/>
        <w:spacing w:line="480" w:lineRule="auto"/>
        <w:ind w:firstLine="420" w:firstLineChars="200"/>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地址：</w:t>
      </w:r>
      <w:r>
        <w:rPr>
          <w:rFonts w:hint="eastAsia" w:ascii="宋体" w:hAnsi="宋体" w:cs="宋体"/>
          <w:color w:val="auto"/>
          <w:kern w:val="0"/>
          <w:szCs w:val="21"/>
          <w:highlight w:val="none"/>
          <w:u w:val="single"/>
        </w:rPr>
        <w:t xml:space="preserve">                                              </w:t>
      </w:r>
    </w:p>
    <w:p>
      <w:pPr>
        <w:pageBreakBefore w:val="0"/>
        <w:widowControl/>
        <w:kinsoku/>
        <w:overflowPunct/>
        <w:bidi w:val="0"/>
        <w:spacing w:line="480" w:lineRule="auto"/>
        <w:ind w:firstLine="420" w:firstLineChars="200"/>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成立时间：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pPr>
        <w:pageBreakBefore w:val="0"/>
        <w:widowControl/>
        <w:kinsoku/>
        <w:overflowPunct/>
        <w:bidi w:val="0"/>
        <w:spacing w:line="480" w:lineRule="auto"/>
        <w:ind w:firstLine="420" w:firstLineChars="200"/>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经营期限：</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pPr>
        <w:pageBreakBefore w:val="0"/>
        <w:widowControl/>
        <w:kinsoku/>
        <w:overflowPunct/>
        <w:bidi w:val="0"/>
        <w:spacing w:line="480" w:lineRule="auto"/>
        <w:ind w:firstLine="420" w:firstLineChars="200"/>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姓名：</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性别：</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年龄：</w:t>
      </w:r>
      <w:r>
        <w:rPr>
          <w:rFonts w:hint="eastAsia" w:ascii="宋体" w:hAnsi="宋体" w:cs="宋体"/>
          <w:color w:val="auto"/>
          <w:kern w:val="0"/>
          <w:szCs w:val="21"/>
          <w:highlight w:val="none"/>
          <w:u w:val="single"/>
        </w:rPr>
        <w:t xml:space="preserve">    周岁  </w:t>
      </w:r>
      <w:r>
        <w:rPr>
          <w:rFonts w:hint="eastAsia" w:ascii="宋体" w:hAnsi="宋体" w:cs="宋体"/>
          <w:color w:val="auto"/>
          <w:kern w:val="0"/>
          <w:szCs w:val="21"/>
          <w:highlight w:val="none"/>
        </w:rPr>
        <w:t>职务：</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_</w:t>
      </w:r>
    </w:p>
    <w:p>
      <w:pPr>
        <w:pageBreakBefore w:val="0"/>
        <w:widowControl/>
        <w:kinsoku/>
        <w:overflowPunct/>
        <w:bidi w:val="0"/>
        <w:spacing w:line="480" w:lineRule="auto"/>
        <w:ind w:firstLine="420" w:firstLineChars="200"/>
        <w:jc w:val="left"/>
        <w:outlineLvl w:val="9"/>
        <w:rPr>
          <w:rFonts w:ascii="宋体" w:hAnsi="宋体" w:cs="宋体"/>
          <w:color w:val="auto"/>
          <w:kern w:val="0"/>
          <w:szCs w:val="21"/>
          <w:highlight w:val="none"/>
          <w:u w:val="single"/>
        </w:rPr>
      </w:pPr>
      <w:r>
        <w:rPr>
          <w:rFonts w:hint="eastAsia" w:ascii="宋体" w:hAnsi="宋体" w:cs="宋体"/>
          <w:color w:val="auto"/>
          <w:kern w:val="0"/>
          <w:szCs w:val="21"/>
          <w:highlight w:val="none"/>
        </w:rPr>
        <w:t>身份证号码：</w:t>
      </w:r>
      <w:r>
        <w:rPr>
          <w:rFonts w:hint="eastAsia" w:ascii="宋体" w:hAnsi="宋体" w:cs="宋体"/>
          <w:color w:val="auto"/>
          <w:kern w:val="0"/>
          <w:szCs w:val="21"/>
          <w:highlight w:val="none"/>
          <w:u w:val="single"/>
        </w:rPr>
        <w:t xml:space="preserve">                   </w:t>
      </w:r>
    </w:p>
    <w:p>
      <w:pPr>
        <w:pageBreakBefore w:val="0"/>
        <w:widowControl/>
        <w:kinsoku/>
        <w:overflowPunct/>
        <w:bidi w:val="0"/>
        <w:spacing w:line="480" w:lineRule="auto"/>
        <w:ind w:firstLine="420" w:firstLineChars="200"/>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（供应商名称）的法定代表人。</w:t>
      </w:r>
    </w:p>
    <w:p>
      <w:pPr>
        <w:pageBreakBefore w:val="0"/>
        <w:widowControl/>
        <w:kinsoku/>
        <w:overflowPunct/>
        <w:bidi w:val="0"/>
        <w:spacing w:line="480" w:lineRule="auto"/>
        <w:ind w:firstLine="840" w:firstLineChars="400"/>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特此证明。</w:t>
      </w:r>
    </w:p>
    <w:p>
      <w:pPr>
        <w:pageBreakBefore w:val="0"/>
        <w:widowControl/>
        <w:kinsoku/>
        <w:overflowPunct/>
        <w:bidi w:val="0"/>
        <w:spacing w:line="360" w:lineRule="auto"/>
        <w:ind w:firstLine="420" w:firstLineChars="200"/>
        <w:jc w:val="left"/>
        <w:outlineLvl w:val="9"/>
        <w:rPr>
          <w:rFonts w:ascii="宋体" w:hAnsi="宋体" w:cs="宋体"/>
          <w:color w:val="auto"/>
          <w:kern w:val="0"/>
          <w:szCs w:val="21"/>
          <w:highlight w:val="none"/>
        </w:rPr>
      </w:pPr>
    </w:p>
    <w:p>
      <w:pPr>
        <w:pageBreakBefore w:val="0"/>
        <w:widowControl/>
        <w:kinsoku/>
        <w:overflowPunct/>
        <w:bidi w:val="0"/>
        <w:spacing w:line="360" w:lineRule="auto"/>
        <w:ind w:firstLine="420" w:firstLineChars="200"/>
        <w:jc w:val="left"/>
        <w:outlineLvl w:val="9"/>
        <w:rPr>
          <w:rFonts w:ascii="宋体" w:hAnsi="宋体" w:cs="宋体"/>
          <w:color w:val="auto"/>
          <w:kern w:val="0"/>
          <w:szCs w:val="21"/>
          <w:highlight w:val="none"/>
        </w:rPr>
      </w:pPr>
    </w:p>
    <w:p>
      <w:pPr>
        <w:pageBreakBefore w:val="0"/>
        <w:widowControl/>
        <w:kinsoku/>
        <w:wordWrap w:val="0"/>
        <w:overflowPunct/>
        <w:bidi w:val="0"/>
        <w:spacing w:line="360" w:lineRule="auto"/>
        <w:jc w:val="right"/>
        <w:outlineLvl w:val="9"/>
        <w:rPr>
          <w:rFonts w:ascii="宋体" w:hAnsi="宋体" w:cs="宋体"/>
          <w:color w:val="auto"/>
          <w:kern w:val="0"/>
          <w:szCs w:val="21"/>
          <w:highlight w:val="none"/>
        </w:rPr>
      </w:pPr>
      <w:r>
        <w:rPr>
          <w:rFonts w:hint="eastAsia" w:ascii="宋体" w:hAnsi="宋体" w:cs="宋体"/>
          <w:color w:val="auto"/>
          <w:kern w:val="0"/>
          <w:szCs w:val="21"/>
          <w:highlight w:val="none"/>
        </w:rPr>
        <w:t>供应商：</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（盖单位公章）</w:t>
      </w:r>
    </w:p>
    <w:p>
      <w:pPr>
        <w:pageBreakBefore w:val="0"/>
        <w:widowControl/>
        <w:kinsoku/>
        <w:overflowPunct/>
        <w:bidi w:val="0"/>
        <w:spacing w:line="360" w:lineRule="auto"/>
        <w:ind w:firstLine="4515" w:firstLineChars="2150"/>
        <w:jc w:val="left"/>
        <w:outlineLvl w:val="9"/>
        <w:rPr>
          <w:rFonts w:ascii="宋体" w:hAnsi="宋体" w:cs="宋体"/>
          <w:color w:val="auto"/>
          <w:kern w:val="0"/>
          <w:szCs w:val="21"/>
          <w:highlight w:val="none"/>
          <w:u w:val="single"/>
        </w:rPr>
      </w:pPr>
    </w:p>
    <w:p>
      <w:pPr>
        <w:pageBreakBefore w:val="0"/>
        <w:widowControl/>
        <w:kinsoku/>
        <w:overflowPunct/>
        <w:bidi w:val="0"/>
        <w:spacing w:line="360" w:lineRule="auto"/>
        <w:ind w:firstLine="3675" w:firstLineChars="1750"/>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pPr>
        <w:pageBreakBefore w:val="0"/>
        <w:widowControl/>
        <w:kinsoku/>
        <w:overflowPunct/>
        <w:bidi w:val="0"/>
        <w:spacing w:line="360" w:lineRule="auto"/>
        <w:jc w:val="left"/>
        <w:outlineLvl w:val="9"/>
        <w:rPr>
          <w:rFonts w:ascii="宋体" w:hAnsi="宋体" w:cs="宋体"/>
          <w:color w:val="auto"/>
          <w:kern w:val="0"/>
          <w:sz w:val="24"/>
          <w:szCs w:val="20"/>
          <w:highlight w:val="none"/>
        </w:rPr>
      </w:pPr>
    </w:p>
    <w:p>
      <w:pPr>
        <w:pageBreakBefore w:val="0"/>
        <w:widowControl/>
        <w:kinsoku/>
        <w:overflowPunct/>
        <w:bidi w:val="0"/>
        <w:spacing w:line="360" w:lineRule="auto"/>
        <w:jc w:val="left"/>
        <w:outlineLvl w:val="9"/>
        <w:rPr>
          <w:rFonts w:ascii="宋体" w:hAnsi="宋体" w:cs="宋体"/>
          <w:b/>
          <w:color w:val="auto"/>
          <w:kern w:val="0"/>
          <w:szCs w:val="21"/>
          <w:highlight w:val="none"/>
        </w:rPr>
      </w:pPr>
    </w:p>
    <w:p>
      <w:pPr>
        <w:pageBreakBefore w:val="0"/>
        <w:widowControl/>
        <w:kinsoku/>
        <w:overflowPunct/>
        <w:bidi w:val="0"/>
        <w:spacing w:line="360" w:lineRule="auto"/>
        <w:jc w:val="left"/>
        <w:outlineLvl w:val="9"/>
        <w:rPr>
          <w:rFonts w:ascii="宋体" w:hAnsi="宋体" w:cs="宋体"/>
          <w:b/>
          <w:color w:val="auto"/>
          <w:kern w:val="0"/>
          <w:szCs w:val="21"/>
          <w:highlight w:val="none"/>
        </w:rPr>
      </w:pPr>
    </w:p>
    <w:p>
      <w:pPr>
        <w:pageBreakBefore w:val="0"/>
        <w:widowControl/>
        <w:kinsoku/>
        <w:overflowPunct/>
        <w:bidi w:val="0"/>
        <w:spacing w:line="360" w:lineRule="auto"/>
        <w:jc w:val="left"/>
        <w:outlineLvl w:val="9"/>
        <w:rPr>
          <w:rFonts w:ascii="宋体" w:hAnsi="宋体" w:cs="宋体"/>
          <w:b/>
          <w:color w:val="auto"/>
          <w:kern w:val="0"/>
          <w:szCs w:val="21"/>
          <w:highlight w:val="none"/>
        </w:rPr>
      </w:pPr>
      <w:r>
        <w:rPr>
          <w:rFonts w:hint="eastAsia" w:ascii="宋体" w:hAnsi="宋体" w:cs="宋体"/>
          <w:b/>
          <w:color w:val="auto"/>
          <w:kern w:val="0"/>
          <w:szCs w:val="21"/>
          <w:highlight w:val="none"/>
        </w:rPr>
        <w:t>附法定代表人身份证复印件（正反面）：</w:t>
      </w:r>
    </w:p>
    <w:p>
      <w:pPr>
        <w:pageBreakBefore w:val="0"/>
        <w:widowControl/>
        <w:kinsoku/>
        <w:overflowPunct/>
        <w:bidi w:val="0"/>
        <w:jc w:val="left"/>
        <w:outlineLvl w:val="9"/>
        <w:rPr>
          <w:rFonts w:ascii="宋体" w:hAnsi="宋体" w:cs="宋体"/>
          <w:color w:val="auto"/>
          <w:kern w:val="0"/>
          <w:szCs w:val="20"/>
          <w:highlight w:val="none"/>
        </w:rPr>
      </w:pPr>
    </w:p>
    <w:p>
      <w:pPr>
        <w:pageBreakBefore w:val="0"/>
        <w:widowControl/>
        <w:kinsoku/>
        <w:overflowPunct/>
        <w:bidi w:val="0"/>
        <w:jc w:val="left"/>
        <w:outlineLvl w:val="9"/>
        <w:rPr>
          <w:rFonts w:ascii="宋体" w:hAnsi="宋体" w:cs="宋体"/>
          <w:b/>
          <w:color w:val="auto"/>
          <w:kern w:val="0"/>
          <w:sz w:val="32"/>
          <w:szCs w:val="32"/>
          <w:highlight w:val="none"/>
        </w:rPr>
      </w:pPr>
    </w:p>
    <w:p>
      <w:pPr>
        <w:pageBreakBefore w:val="0"/>
        <w:widowControl/>
        <w:kinsoku/>
        <w:overflowPunct/>
        <w:bidi w:val="0"/>
        <w:jc w:val="left"/>
        <w:outlineLvl w:val="9"/>
        <w:rPr>
          <w:rFonts w:ascii="宋体" w:hAnsi="宋体" w:cs="宋体"/>
          <w:b/>
          <w:color w:val="auto"/>
          <w:kern w:val="0"/>
          <w:sz w:val="32"/>
          <w:szCs w:val="32"/>
          <w:highlight w:val="none"/>
        </w:rPr>
      </w:pPr>
    </w:p>
    <w:p>
      <w:pPr>
        <w:pageBreakBefore w:val="0"/>
        <w:widowControl/>
        <w:kinsoku/>
        <w:overflowPunct/>
        <w:bidi w:val="0"/>
        <w:jc w:val="center"/>
        <w:outlineLvl w:val="9"/>
        <w:rPr>
          <w:rFonts w:ascii="宋体" w:hAnsi="宋体" w:cs="宋体"/>
          <w:b/>
          <w:color w:val="auto"/>
          <w:kern w:val="0"/>
          <w:sz w:val="32"/>
          <w:szCs w:val="32"/>
          <w:highlight w:val="none"/>
        </w:rPr>
      </w:pPr>
      <w:r>
        <w:rPr>
          <w:rFonts w:hint="eastAsia" w:ascii="宋体" w:hAnsi="宋体" w:cs="宋体"/>
          <w:b/>
          <w:bCs/>
          <w:color w:val="auto"/>
          <w:kern w:val="0"/>
          <w:sz w:val="28"/>
          <w:szCs w:val="28"/>
          <w:highlight w:val="none"/>
        </w:rPr>
        <w:br w:type="page"/>
      </w:r>
      <w:r>
        <w:rPr>
          <w:rFonts w:hint="eastAsia" w:ascii="宋体" w:hAnsi="宋体" w:cs="宋体"/>
          <w:b/>
          <w:color w:val="auto"/>
          <w:kern w:val="0"/>
          <w:szCs w:val="21"/>
          <w:highlight w:val="none"/>
        </w:rPr>
        <w:t>法定代表人授权委托书</w:t>
      </w:r>
    </w:p>
    <w:p>
      <w:pPr>
        <w:pageBreakBefore w:val="0"/>
        <w:widowControl/>
        <w:kinsoku/>
        <w:overflowPunct/>
        <w:bidi w:val="0"/>
        <w:jc w:val="center"/>
        <w:outlineLvl w:val="9"/>
        <w:rPr>
          <w:rFonts w:ascii="宋体" w:hAnsi="宋体" w:cs="宋体"/>
          <w:b/>
          <w:color w:val="auto"/>
          <w:kern w:val="0"/>
          <w:sz w:val="32"/>
          <w:szCs w:val="32"/>
          <w:highlight w:val="none"/>
        </w:rPr>
      </w:pPr>
      <w:r>
        <w:rPr>
          <w:rFonts w:hint="eastAsia" w:ascii="宋体" w:hAnsi="宋体" w:cs="宋体"/>
          <w:bCs/>
          <w:color w:val="auto"/>
          <w:kern w:val="0"/>
          <w:sz w:val="24"/>
          <w:szCs w:val="20"/>
          <w:highlight w:val="none"/>
        </w:rPr>
        <w:t>（法定代表人来投标的，此表不用）</w:t>
      </w:r>
    </w:p>
    <w:p>
      <w:pPr>
        <w:pageBreakBefore w:val="0"/>
        <w:widowControl/>
        <w:kinsoku/>
        <w:overflowPunct/>
        <w:bidi w:val="0"/>
        <w:snapToGrid w:val="0"/>
        <w:spacing w:line="360" w:lineRule="auto"/>
        <w:jc w:val="left"/>
        <w:outlineLvl w:val="9"/>
        <w:rPr>
          <w:rFonts w:ascii="宋体" w:hAnsi="宋体" w:cs="宋体"/>
          <w:bCs/>
          <w:color w:val="auto"/>
          <w:kern w:val="0"/>
          <w:sz w:val="24"/>
          <w:szCs w:val="20"/>
          <w:highlight w:val="none"/>
        </w:rPr>
      </w:pPr>
    </w:p>
    <w:p>
      <w:pPr>
        <w:pageBreakBefore w:val="0"/>
        <w:widowControl/>
        <w:kinsoku/>
        <w:overflowPunct/>
        <w:bidi w:val="0"/>
        <w:snapToGrid w:val="0"/>
        <w:spacing w:line="360" w:lineRule="auto"/>
        <w:jc w:val="left"/>
        <w:outlineLvl w:val="9"/>
        <w:rPr>
          <w:rFonts w:ascii="宋体" w:hAnsi="宋体" w:cs="宋体"/>
          <w:color w:val="auto"/>
          <w:kern w:val="0"/>
          <w:szCs w:val="21"/>
          <w:highlight w:val="none"/>
        </w:rPr>
      </w:pPr>
      <w:r>
        <w:rPr>
          <w:rFonts w:hint="eastAsia" w:ascii="宋体" w:hAnsi="宋体" w:cs="宋体"/>
          <w:bCs/>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（采购单位名称）</w:t>
      </w:r>
      <w:r>
        <w:rPr>
          <w:rFonts w:hint="eastAsia" w:ascii="宋体" w:hAnsi="宋体" w:cs="宋体"/>
          <w:b/>
          <w:bCs/>
          <w:color w:val="auto"/>
          <w:kern w:val="0"/>
          <w:szCs w:val="21"/>
          <w:highlight w:val="none"/>
        </w:rPr>
        <w:t xml:space="preserve"> </w:t>
      </w:r>
      <w:r>
        <w:rPr>
          <w:rFonts w:hint="eastAsia" w:ascii="宋体" w:hAnsi="宋体" w:cs="宋体"/>
          <w:color w:val="auto"/>
          <w:kern w:val="0"/>
          <w:szCs w:val="21"/>
          <w:highlight w:val="none"/>
        </w:rPr>
        <w:t>：</w:t>
      </w:r>
    </w:p>
    <w:p>
      <w:pPr>
        <w:pageBreakBefore w:val="0"/>
        <w:widowControl/>
        <w:kinsoku/>
        <w:overflowPunct/>
        <w:bidi w:val="0"/>
        <w:snapToGrid w:val="0"/>
        <w:spacing w:line="360" w:lineRule="auto"/>
        <w:ind w:firstLine="420" w:firstLineChars="200"/>
        <w:jc w:val="left"/>
        <w:outlineLvl w:val="9"/>
        <w:rPr>
          <w:rFonts w:ascii="宋体" w:hAnsi="宋体" w:cs="宋体"/>
          <w:color w:val="auto"/>
          <w:kern w:val="0"/>
          <w:szCs w:val="21"/>
          <w:highlight w:val="none"/>
          <w:u w:val="single"/>
        </w:rPr>
      </w:pPr>
      <w:r>
        <w:rPr>
          <w:rFonts w:hint="eastAsia" w:ascii="宋体" w:hAnsi="宋体" w:cs="宋体"/>
          <w:color w:val="auto"/>
          <w:kern w:val="0"/>
          <w:szCs w:val="21"/>
          <w:highlight w:val="none"/>
        </w:rPr>
        <w:t>我</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（姓名）系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（供应商名称）的法定代表人，现授权委托本单位在职职工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（姓名）以我方的名义参加</w:t>
      </w:r>
      <w:r>
        <w:rPr>
          <w:rFonts w:hint="eastAsia" w:ascii="宋体" w:hAnsi="宋体" w:cs="宋体"/>
          <w:color w:val="auto"/>
          <w:kern w:val="0"/>
          <w:szCs w:val="21"/>
          <w:highlight w:val="none"/>
          <w:u w:val="single"/>
        </w:rPr>
        <w:t xml:space="preserve">                       政府采购 </w:t>
      </w:r>
      <w:r>
        <w:rPr>
          <w:rFonts w:hint="eastAsia" w:ascii="宋体" w:hAnsi="宋体" w:cs="宋体"/>
          <w:color w:val="auto"/>
          <w:kern w:val="0"/>
          <w:szCs w:val="21"/>
          <w:highlight w:val="none"/>
        </w:rPr>
        <w:t>项目的投标活动，并代表我方全权办理针对上述项目的投标、开标、评标、签约等具体事务和签署相关文件。</w:t>
      </w:r>
    </w:p>
    <w:p>
      <w:pPr>
        <w:pageBreakBefore w:val="0"/>
        <w:widowControl/>
        <w:kinsoku/>
        <w:overflowPunct/>
        <w:bidi w:val="0"/>
        <w:snapToGrid w:val="0"/>
        <w:spacing w:line="360" w:lineRule="auto"/>
        <w:ind w:firstLine="420" w:firstLineChars="200"/>
        <w:jc w:val="left"/>
        <w:outlineLvl w:val="9"/>
        <w:rPr>
          <w:rFonts w:ascii="宋体" w:hAnsi="宋体" w:cs="宋体"/>
          <w:color w:val="auto"/>
          <w:kern w:val="0"/>
          <w:szCs w:val="21"/>
          <w:highlight w:val="none"/>
          <w:u w:val="single"/>
        </w:rPr>
      </w:pPr>
      <w:r>
        <w:rPr>
          <w:rFonts w:hint="eastAsia" w:ascii="宋体" w:hAnsi="宋体" w:cs="宋体"/>
          <w:color w:val="auto"/>
          <w:kern w:val="0"/>
          <w:szCs w:val="21"/>
          <w:highlight w:val="none"/>
        </w:rPr>
        <w:t>我方对被授权人的签名事项负全部责任。</w:t>
      </w:r>
    </w:p>
    <w:p>
      <w:pPr>
        <w:pageBreakBefore w:val="0"/>
        <w:widowControl/>
        <w:kinsoku/>
        <w:overflowPunct/>
        <w:bidi w:val="0"/>
        <w:snapToGrid w:val="0"/>
        <w:spacing w:line="360" w:lineRule="auto"/>
        <w:ind w:firstLine="420" w:firstLineChars="200"/>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在撤销授权的书面通知以前，本授权书一直有效。被授权人在授权书有效期内签署的所有文件不因授权的撤销而失效。</w:t>
      </w:r>
    </w:p>
    <w:p>
      <w:pPr>
        <w:pageBreakBefore w:val="0"/>
        <w:widowControl/>
        <w:kinsoku/>
        <w:overflowPunct/>
        <w:bidi w:val="0"/>
        <w:snapToGrid w:val="0"/>
        <w:spacing w:line="360" w:lineRule="auto"/>
        <w:ind w:firstLine="480"/>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被授权人无转委托权，特此委托。</w:t>
      </w:r>
    </w:p>
    <w:p>
      <w:pPr>
        <w:pageBreakBefore w:val="0"/>
        <w:widowControl/>
        <w:kinsoku/>
        <w:overflowPunct/>
        <w:bidi w:val="0"/>
        <w:snapToGrid w:val="0"/>
        <w:spacing w:line="360" w:lineRule="auto"/>
        <w:jc w:val="left"/>
        <w:outlineLvl w:val="9"/>
        <w:rPr>
          <w:rFonts w:ascii="宋体" w:hAnsi="宋体" w:cs="宋体"/>
          <w:color w:val="auto"/>
          <w:kern w:val="0"/>
          <w:szCs w:val="21"/>
          <w:highlight w:val="none"/>
        </w:rPr>
      </w:pPr>
    </w:p>
    <w:p>
      <w:pPr>
        <w:pageBreakBefore w:val="0"/>
        <w:widowControl/>
        <w:kinsoku/>
        <w:overflowPunct/>
        <w:bidi w:val="0"/>
        <w:snapToGrid w:val="0"/>
        <w:spacing w:line="360" w:lineRule="auto"/>
        <w:jc w:val="left"/>
        <w:outlineLvl w:val="9"/>
        <w:rPr>
          <w:rFonts w:ascii="宋体" w:hAnsi="宋体" w:cs="宋体"/>
          <w:color w:val="auto"/>
          <w:kern w:val="0"/>
          <w:szCs w:val="21"/>
          <w:highlight w:val="none"/>
        </w:rPr>
      </w:pPr>
    </w:p>
    <w:p>
      <w:pPr>
        <w:pageBreakBefore w:val="0"/>
        <w:widowControl/>
        <w:kinsoku/>
        <w:overflowPunct/>
        <w:bidi w:val="0"/>
        <w:snapToGrid w:val="0"/>
        <w:spacing w:line="360" w:lineRule="auto"/>
        <w:jc w:val="left"/>
        <w:outlineLvl w:val="9"/>
        <w:rPr>
          <w:rFonts w:ascii="宋体" w:hAnsi="宋体" w:cs="宋体"/>
          <w:color w:val="auto"/>
          <w:kern w:val="0"/>
          <w:szCs w:val="21"/>
          <w:highlight w:val="none"/>
          <w:u w:val="single"/>
        </w:rPr>
      </w:pPr>
      <w:r>
        <w:rPr>
          <w:rFonts w:hint="eastAsia" w:ascii="宋体" w:hAnsi="宋体" w:cs="宋体"/>
          <w:color w:val="auto"/>
          <w:kern w:val="0"/>
          <w:szCs w:val="21"/>
          <w:highlight w:val="none"/>
        </w:rPr>
        <w:t>被授权人</w:t>
      </w:r>
      <w:r>
        <w:rPr>
          <w:rFonts w:hint="eastAsia" w:ascii="宋体" w:hAnsi="宋体" w:cs="宋体"/>
          <w:color w:val="auto"/>
          <w:kern w:val="0"/>
          <w:szCs w:val="20"/>
          <w:highlight w:val="none"/>
        </w:rPr>
        <w:t>（签名或印章）</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法定代表人</w:t>
      </w:r>
      <w:r>
        <w:rPr>
          <w:rFonts w:hint="eastAsia" w:ascii="宋体" w:hAnsi="宋体" w:cs="宋体"/>
          <w:color w:val="auto"/>
          <w:kern w:val="0"/>
          <w:szCs w:val="20"/>
          <w:highlight w:val="none"/>
        </w:rPr>
        <w:t>（签名或印章）</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w:t>
      </w:r>
    </w:p>
    <w:p>
      <w:pPr>
        <w:pageBreakBefore w:val="0"/>
        <w:widowControl/>
        <w:kinsoku/>
        <w:overflowPunct/>
        <w:bidi w:val="0"/>
        <w:snapToGrid w:val="0"/>
        <w:spacing w:line="360" w:lineRule="auto"/>
        <w:ind w:firstLine="840" w:firstLineChars="400"/>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职务：</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职务：</w:t>
      </w:r>
      <w:r>
        <w:rPr>
          <w:rFonts w:hint="eastAsia" w:ascii="宋体" w:hAnsi="宋体" w:cs="宋体"/>
          <w:color w:val="auto"/>
          <w:kern w:val="0"/>
          <w:szCs w:val="21"/>
          <w:highlight w:val="none"/>
          <w:u w:val="single"/>
        </w:rPr>
        <w:t xml:space="preserve">           </w:t>
      </w:r>
    </w:p>
    <w:p>
      <w:pPr>
        <w:pageBreakBefore w:val="0"/>
        <w:widowControl/>
        <w:kinsoku/>
        <w:overflowPunct/>
        <w:bidi w:val="0"/>
        <w:snapToGrid w:val="0"/>
        <w:spacing w:line="360" w:lineRule="auto"/>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被授权人身份证号码：</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pPr>
        <w:pageBreakBefore w:val="0"/>
        <w:widowControl/>
        <w:kinsoku/>
        <w:overflowPunct/>
        <w:bidi w:val="0"/>
        <w:snapToGrid w:val="0"/>
        <w:spacing w:line="360" w:lineRule="auto"/>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p>
      <w:pPr>
        <w:pageBreakBefore w:val="0"/>
        <w:widowControl/>
        <w:kinsoku/>
        <w:overflowPunct/>
        <w:bidi w:val="0"/>
        <w:snapToGrid w:val="0"/>
        <w:spacing w:line="360" w:lineRule="auto"/>
        <w:jc w:val="left"/>
        <w:outlineLvl w:val="9"/>
        <w:rPr>
          <w:rFonts w:ascii="宋体" w:hAnsi="宋体" w:cs="宋体"/>
          <w:color w:val="auto"/>
          <w:kern w:val="0"/>
          <w:szCs w:val="21"/>
          <w:highlight w:val="none"/>
        </w:rPr>
      </w:pPr>
    </w:p>
    <w:p>
      <w:pPr>
        <w:pageBreakBefore w:val="0"/>
        <w:widowControl/>
        <w:kinsoku/>
        <w:overflowPunct/>
        <w:bidi w:val="0"/>
        <w:snapToGrid w:val="0"/>
        <w:spacing w:line="360" w:lineRule="auto"/>
        <w:ind w:firstLine="4830" w:firstLineChars="2300"/>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供应商公章：</w:t>
      </w:r>
    </w:p>
    <w:p>
      <w:pPr>
        <w:pageBreakBefore w:val="0"/>
        <w:widowControl/>
        <w:kinsoku/>
        <w:overflowPunct/>
        <w:bidi w:val="0"/>
        <w:snapToGrid w:val="0"/>
        <w:spacing w:line="360" w:lineRule="auto"/>
        <w:ind w:firstLine="4830" w:firstLineChars="2300"/>
        <w:jc w:val="left"/>
        <w:outlineLvl w:val="9"/>
        <w:rPr>
          <w:rFonts w:ascii="宋体" w:hAnsi="宋体" w:cs="宋体"/>
          <w:color w:val="auto"/>
          <w:kern w:val="0"/>
          <w:szCs w:val="21"/>
          <w:highlight w:val="none"/>
        </w:rPr>
      </w:pPr>
    </w:p>
    <w:p>
      <w:pPr>
        <w:pageBreakBefore w:val="0"/>
        <w:widowControl/>
        <w:kinsoku/>
        <w:overflowPunct/>
        <w:bidi w:val="0"/>
        <w:snapToGrid w:val="0"/>
        <w:spacing w:line="360" w:lineRule="auto"/>
        <w:jc w:val="center"/>
        <w:outlineLvl w:val="9"/>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w:t>
      </w:r>
    </w:p>
    <w:p>
      <w:pPr>
        <w:pageBreakBefore w:val="0"/>
        <w:widowControl/>
        <w:kinsoku/>
        <w:overflowPunct/>
        <w:bidi w:val="0"/>
        <w:spacing w:line="360" w:lineRule="auto"/>
        <w:jc w:val="left"/>
        <w:outlineLvl w:val="9"/>
        <w:rPr>
          <w:rFonts w:ascii="宋体" w:hAnsi="宋体" w:cs="宋体"/>
          <w:b/>
          <w:color w:val="auto"/>
          <w:kern w:val="0"/>
          <w:szCs w:val="21"/>
          <w:highlight w:val="none"/>
        </w:rPr>
      </w:pPr>
    </w:p>
    <w:p>
      <w:pPr>
        <w:pageBreakBefore w:val="0"/>
        <w:widowControl/>
        <w:kinsoku/>
        <w:overflowPunct/>
        <w:bidi w:val="0"/>
        <w:spacing w:line="360" w:lineRule="auto"/>
        <w:jc w:val="left"/>
        <w:outlineLvl w:val="9"/>
        <w:rPr>
          <w:rFonts w:ascii="宋体" w:hAnsi="宋体" w:cs="宋体"/>
          <w:b/>
          <w:color w:val="auto"/>
          <w:kern w:val="0"/>
          <w:szCs w:val="21"/>
          <w:highlight w:val="none"/>
        </w:rPr>
      </w:pPr>
    </w:p>
    <w:p>
      <w:pPr>
        <w:pageBreakBefore w:val="0"/>
        <w:widowControl/>
        <w:kinsoku/>
        <w:overflowPunct/>
        <w:bidi w:val="0"/>
        <w:snapToGrid w:val="0"/>
        <w:spacing w:before="50" w:after="50"/>
        <w:jc w:val="left"/>
        <w:outlineLvl w:val="9"/>
        <w:rPr>
          <w:rFonts w:ascii="宋体" w:hAnsi="宋体" w:cs="宋体"/>
          <w:b/>
          <w:color w:val="auto"/>
          <w:kern w:val="0"/>
          <w:szCs w:val="21"/>
          <w:highlight w:val="none"/>
        </w:rPr>
      </w:pPr>
      <w:r>
        <w:rPr>
          <w:rFonts w:hint="eastAsia" w:ascii="宋体" w:hAnsi="宋体" w:cs="宋体"/>
          <w:b/>
          <w:color w:val="auto"/>
          <w:kern w:val="0"/>
          <w:szCs w:val="21"/>
          <w:highlight w:val="none"/>
        </w:rPr>
        <w:t>附：法定代表人身份证复印件（正反面）、授权代表身份证复印件（正反面）及开标日前近三个月</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其中一月即可</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rPr>
        <w:t>当地相关部门出具的社保证明。</w:t>
      </w:r>
    </w:p>
    <w:p>
      <w:pPr>
        <w:pageBreakBefore w:val="0"/>
        <w:widowControl/>
        <w:kinsoku/>
        <w:overflowPunct/>
        <w:bidi w:val="0"/>
        <w:snapToGrid w:val="0"/>
        <w:spacing w:before="50" w:after="50"/>
        <w:jc w:val="left"/>
        <w:outlineLvl w:val="9"/>
        <w:rPr>
          <w:rFonts w:hint="eastAsia" w:ascii="宋体" w:hAnsi="宋体" w:eastAsia="宋体" w:cs="宋体"/>
          <w:b/>
          <w:color w:val="auto"/>
          <w:szCs w:val="21"/>
          <w:highlight w:val="none"/>
        </w:rPr>
      </w:pPr>
    </w:p>
    <w:p>
      <w:pPr>
        <w:pageBreakBefore w:val="0"/>
        <w:widowControl/>
        <w:kinsoku/>
        <w:overflowPunct/>
        <w:bidi w:val="0"/>
        <w:snapToGrid w:val="0"/>
        <w:spacing w:before="50" w:after="50"/>
        <w:jc w:val="left"/>
        <w:outlineLvl w:val="9"/>
        <w:rPr>
          <w:rFonts w:ascii="宋体" w:hAnsi="宋体" w:cs="宋体"/>
          <w:color w:val="auto"/>
          <w:kern w:val="0"/>
          <w:szCs w:val="21"/>
          <w:highlight w:val="none"/>
        </w:rPr>
      </w:pPr>
      <w:r>
        <w:rPr>
          <w:rFonts w:hint="eastAsia" w:ascii="宋体" w:hAnsi="宋体" w:cs="宋体"/>
          <w:b/>
          <w:color w:val="auto"/>
          <w:kern w:val="0"/>
          <w:szCs w:val="21"/>
          <w:highlight w:val="none"/>
        </w:rPr>
        <w:br w:type="page"/>
      </w:r>
      <w:r>
        <w:rPr>
          <w:rFonts w:hint="eastAsia" w:ascii="宋体" w:hAnsi="宋体" w:cs="宋体"/>
          <w:b/>
          <w:bCs/>
          <w:color w:val="auto"/>
          <w:kern w:val="0"/>
          <w:szCs w:val="21"/>
          <w:highlight w:val="none"/>
          <w:lang w:val="en-US" w:eastAsia="zh-CN"/>
        </w:rPr>
        <w:t>15</w:t>
      </w:r>
      <w:r>
        <w:rPr>
          <w:rFonts w:hint="eastAsia" w:ascii="宋体" w:hAnsi="宋体" w:cs="宋体"/>
          <w:b/>
          <w:bCs/>
          <w:color w:val="auto"/>
          <w:kern w:val="0"/>
          <w:szCs w:val="21"/>
          <w:highlight w:val="none"/>
        </w:rPr>
        <w:t>.技术（服务）条款偏离表</w:t>
      </w:r>
    </w:p>
    <w:p>
      <w:pPr>
        <w:pageBreakBefore w:val="0"/>
        <w:widowControl/>
        <w:kinsoku/>
        <w:overflowPunct/>
        <w:bidi w:val="0"/>
        <w:snapToGrid w:val="0"/>
        <w:spacing w:before="50" w:afterLines="50" w:line="360" w:lineRule="auto"/>
        <w:jc w:val="center"/>
        <w:outlineLvl w:val="9"/>
        <w:rPr>
          <w:rFonts w:ascii="宋体" w:hAnsi="宋体" w:cs="宋体"/>
          <w:b/>
          <w:bCs/>
          <w:color w:val="auto"/>
          <w:kern w:val="0"/>
          <w:szCs w:val="20"/>
          <w:highlight w:val="none"/>
        </w:rPr>
      </w:pPr>
      <w:r>
        <w:rPr>
          <w:rFonts w:hint="eastAsia" w:ascii="宋体" w:hAnsi="宋体" w:cs="宋体"/>
          <w:b/>
          <w:bCs/>
          <w:color w:val="auto"/>
          <w:kern w:val="0"/>
          <w:szCs w:val="20"/>
          <w:highlight w:val="none"/>
        </w:rPr>
        <w:t>技术（服务）条款偏离表</w:t>
      </w:r>
    </w:p>
    <w:p>
      <w:pPr>
        <w:pageBreakBefore w:val="0"/>
        <w:widowControl/>
        <w:kinsoku/>
        <w:overflowPunct/>
        <w:bidi w:val="0"/>
        <w:snapToGrid w:val="0"/>
        <w:spacing w:before="50"/>
        <w:jc w:val="left"/>
        <w:outlineLvl w:val="9"/>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项目编号：                   项目名称：                      </w:t>
      </w:r>
    </w:p>
    <w:tbl>
      <w:tblPr>
        <w:tblStyle w:val="3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vAlign w:val="center"/>
          </w:tcPr>
          <w:p>
            <w:pPr>
              <w:pageBreakBefore w:val="0"/>
              <w:widowControl/>
              <w:kinsoku/>
              <w:overflowPunct/>
              <w:bidi w:val="0"/>
              <w:spacing w:line="360" w:lineRule="auto"/>
              <w:jc w:val="center"/>
              <w:outlineLvl w:val="9"/>
              <w:rPr>
                <w:rFonts w:ascii="宋体" w:hAnsi="宋体" w:cs="宋体"/>
                <w:color w:val="auto"/>
                <w:kern w:val="0"/>
                <w:szCs w:val="20"/>
                <w:highlight w:val="none"/>
              </w:rPr>
            </w:pPr>
            <w:r>
              <w:rPr>
                <w:rFonts w:hint="eastAsia" w:ascii="宋体" w:hAnsi="宋体" w:cs="宋体"/>
                <w:color w:val="auto"/>
                <w:kern w:val="0"/>
                <w:szCs w:val="20"/>
                <w:highlight w:val="none"/>
              </w:rPr>
              <w:t>条款号</w:t>
            </w:r>
          </w:p>
        </w:tc>
        <w:tc>
          <w:tcPr>
            <w:tcW w:w="4647" w:type="dxa"/>
            <w:vAlign w:val="center"/>
          </w:tcPr>
          <w:p>
            <w:pPr>
              <w:pageBreakBefore w:val="0"/>
              <w:widowControl/>
              <w:kinsoku/>
              <w:overflowPunct/>
              <w:bidi w:val="0"/>
              <w:spacing w:line="360" w:lineRule="auto"/>
              <w:jc w:val="center"/>
              <w:outlineLvl w:val="9"/>
              <w:rPr>
                <w:rFonts w:ascii="宋体" w:hAnsi="宋体" w:cs="宋体"/>
                <w:color w:val="auto"/>
                <w:kern w:val="0"/>
                <w:szCs w:val="20"/>
                <w:highlight w:val="none"/>
              </w:rPr>
            </w:pPr>
            <w:r>
              <w:rPr>
                <w:rFonts w:hint="eastAsia" w:ascii="宋体" w:hAnsi="宋体" w:cs="宋体"/>
                <w:color w:val="auto"/>
                <w:kern w:val="0"/>
                <w:szCs w:val="20"/>
                <w:highlight w:val="none"/>
              </w:rPr>
              <w:t>招标文件的技术（服务）条款</w:t>
            </w:r>
          </w:p>
        </w:tc>
        <w:tc>
          <w:tcPr>
            <w:tcW w:w="1575" w:type="dxa"/>
            <w:vAlign w:val="center"/>
          </w:tcPr>
          <w:p>
            <w:pPr>
              <w:pageBreakBefore w:val="0"/>
              <w:widowControl/>
              <w:kinsoku/>
              <w:overflowPunct/>
              <w:bidi w:val="0"/>
              <w:spacing w:line="360" w:lineRule="auto"/>
              <w:jc w:val="center"/>
              <w:outlineLvl w:val="9"/>
              <w:rPr>
                <w:rFonts w:ascii="宋体" w:hAnsi="宋体" w:cs="宋体"/>
                <w:color w:val="auto"/>
                <w:kern w:val="0"/>
                <w:szCs w:val="20"/>
                <w:highlight w:val="none"/>
              </w:rPr>
            </w:pPr>
            <w:r>
              <w:rPr>
                <w:rFonts w:hint="eastAsia" w:ascii="宋体" w:hAnsi="宋体" w:cs="宋体"/>
                <w:color w:val="auto"/>
                <w:kern w:val="0"/>
                <w:szCs w:val="20"/>
                <w:highlight w:val="none"/>
              </w:rPr>
              <w:t>投标文件的</w:t>
            </w:r>
          </w:p>
          <w:p>
            <w:pPr>
              <w:pageBreakBefore w:val="0"/>
              <w:widowControl/>
              <w:kinsoku/>
              <w:overflowPunct/>
              <w:bidi w:val="0"/>
              <w:spacing w:line="360" w:lineRule="auto"/>
              <w:jc w:val="center"/>
              <w:outlineLvl w:val="9"/>
              <w:rPr>
                <w:rFonts w:ascii="宋体" w:hAnsi="宋体" w:cs="宋体"/>
                <w:color w:val="auto"/>
                <w:kern w:val="0"/>
                <w:szCs w:val="20"/>
                <w:highlight w:val="none"/>
              </w:rPr>
            </w:pPr>
            <w:r>
              <w:rPr>
                <w:rFonts w:hint="eastAsia" w:ascii="宋体" w:hAnsi="宋体" w:cs="宋体"/>
                <w:color w:val="auto"/>
                <w:kern w:val="0"/>
                <w:szCs w:val="20"/>
                <w:highlight w:val="none"/>
              </w:rPr>
              <w:t>响应情况</w:t>
            </w:r>
          </w:p>
        </w:tc>
        <w:tc>
          <w:tcPr>
            <w:tcW w:w="1185" w:type="dxa"/>
            <w:vAlign w:val="center"/>
          </w:tcPr>
          <w:p>
            <w:pPr>
              <w:pageBreakBefore w:val="0"/>
              <w:widowControl/>
              <w:kinsoku/>
              <w:overflowPunct/>
              <w:bidi w:val="0"/>
              <w:spacing w:line="360" w:lineRule="auto"/>
              <w:jc w:val="center"/>
              <w:outlineLvl w:val="9"/>
              <w:rPr>
                <w:rFonts w:ascii="宋体" w:hAnsi="宋体" w:cs="宋体"/>
                <w:color w:val="auto"/>
                <w:kern w:val="0"/>
                <w:szCs w:val="20"/>
                <w:highlight w:val="none"/>
              </w:rPr>
            </w:pPr>
            <w:r>
              <w:rPr>
                <w:rFonts w:hint="eastAsia" w:ascii="宋体" w:hAnsi="宋体" w:cs="宋体"/>
                <w:color w:val="auto"/>
                <w:kern w:val="0"/>
                <w:szCs w:val="20"/>
                <w:highlight w:val="none"/>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pageBreakBefore w:val="0"/>
              <w:widowControl/>
              <w:kinsoku/>
              <w:overflowPunct/>
              <w:bidi w:val="0"/>
              <w:spacing w:line="360" w:lineRule="auto"/>
              <w:jc w:val="center"/>
              <w:outlineLvl w:val="9"/>
              <w:rPr>
                <w:rFonts w:ascii="宋体" w:hAnsi="宋体" w:cs="宋体"/>
                <w:color w:val="auto"/>
                <w:kern w:val="0"/>
                <w:szCs w:val="20"/>
                <w:highlight w:val="none"/>
              </w:rPr>
            </w:pPr>
          </w:p>
        </w:tc>
        <w:tc>
          <w:tcPr>
            <w:tcW w:w="4647" w:type="dxa"/>
            <w:vAlign w:val="center"/>
          </w:tcPr>
          <w:p>
            <w:pPr>
              <w:pageBreakBefore w:val="0"/>
              <w:widowControl/>
              <w:kinsoku/>
              <w:overflowPunct/>
              <w:bidi w:val="0"/>
              <w:spacing w:line="360" w:lineRule="auto"/>
              <w:jc w:val="left"/>
              <w:outlineLvl w:val="9"/>
              <w:rPr>
                <w:rFonts w:ascii="宋体" w:hAnsi="宋体" w:cs="宋体"/>
                <w:b/>
                <w:bCs/>
                <w:color w:val="auto"/>
                <w:kern w:val="0"/>
                <w:szCs w:val="20"/>
                <w:highlight w:val="none"/>
              </w:rPr>
            </w:pPr>
          </w:p>
        </w:tc>
        <w:tc>
          <w:tcPr>
            <w:tcW w:w="1575" w:type="dxa"/>
            <w:vAlign w:val="center"/>
          </w:tcPr>
          <w:p>
            <w:pPr>
              <w:pageBreakBefore w:val="0"/>
              <w:widowControl/>
              <w:kinsoku/>
              <w:overflowPunct/>
              <w:bidi w:val="0"/>
              <w:spacing w:line="360" w:lineRule="auto"/>
              <w:jc w:val="center"/>
              <w:outlineLvl w:val="9"/>
              <w:rPr>
                <w:rFonts w:ascii="宋体" w:hAnsi="宋体" w:cs="宋体"/>
                <w:color w:val="auto"/>
                <w:kern w:val="0"/>
                <w:sz w:val="24"/>
                <w:szCs w:val="20"/>
                <w:highlight w:val="none"/>
              </w:rPr>
            </w:pPr>
          </w:p>
        </w:tc>
        <w:tc>
          <w:tcPr>
            <w:tcW w:w="1185" w:type="dxa"/>
            <w:vAlign w:val="center"/>
          </w:tcPr>
          <w:p>
            <w:pPr>
              <w:pageBreakBefore w:val="0"/>
              <w:widowControl/>
              <w:kinsoku/>
              <w:overflowPunct/>
              <w:bidi w:val="0"/>
              <w:spacing w:line="360" w:lineRule="auto"/>
              <w:jc w:val="center"/>
              <w:outlineLvl w:val="9"/>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pageBreakBefore w:val="0"/>
              <w:widowControl/>
              <w:kinsoku/>
              <w:overflowPunct/>
              <w:bidi w:val="0"/>
              <w:spacing w:line="360" w:lineRule="auto"/>
              <w:jc w:val="center"/>
              <w:outlineLvl w:val="9"/>
              <w:rPr>
                <w:rFonts w:ascii="宋体" w:hAnsi="宋体" w:cs="宋体"/>
                <w:color w:val="auto"/>
                <w:kern w:val="0"/>
                <w:szCs w:val="20"/>
                <w:highlight w:val="none"/>
              </w:rPr>
            </w:pPr>
          </w:p>
        </w:tc>
        <w:tc>
          <w:tcPr>
            <w:tcW w:w="4647" w:type="dxa"/>
            <w:vAlign w:val="center"/>
          </w:tcPr>
          <w:p>
            <w:pPr>
              <w:pageBreakBefore w:val="0"/>
              <w:widowControl/>
              <w:kinsoku/>
              <w:overflowPunct/>
              <w:bidi w:val="0"/>
              <w:spacing w:line="360" w:lineRule="auto"/>
              <w:jc w:val="left"/>
              <w:outlineLvl w:val="9"/>
              <w:rPr>
                <w:rFonts w:ascii="宋体" w:hAnsi="宋体" w:cs="宋体"/>
                <w:b/>
                <w:bCs/>
                <w:color w:val="auto"/>
                <w:kern w:val="0"/>
                <w:szCs w:val="20"/>
                <w:highlight w:val="none"/>
              </w:rPr>
            </w:pPr>
          </w:p>
        </w:tc>
        <w:tc>
          <w:tcPr>
            <w:tcW w:w="1575" w:type="dxa"/>
            <w:vAlign w:val="center"/>
          </w:tcPr>
          <w:p>
            <w:pPr>
              <w:pageBreakBefore w:val="0"/>
              <w:widowControl/>
              <w:kinsoku/>
              <w:overflowPunct/>
              <w:bidi w:val="0"/>
              <w:spacing w:line="360" w:lineRule="auto"/>
              <w:jc w:val="center"/>
              <w:outlineLvl w:val="9"/>
              <w:rPr>
                <w:rFonts w:ascii="宋体" w:hAnsi="宋体" w:cs="宋体"/>
                <w:color w:val="auto"/>
                <w:kern w:val="0"/>
                <w:sz w:val="24"/>
                <w:szCs w:val="20"/>
                <w:highlight w:val="none"/>
              </w:rPr>
            </w:pPr>
          </w:p>
        </w:tc>
        <w:tc>
          <w:tcPr>
            <w:tcW w:w="1185" w:type="dxa"/>
            <w:vAlign w:val="center"/>
          </w:tcPr>
          <w:p>
            <w:pPr>
              <w:pageBreakBefore w:val="0"/>
              <w:widowControl/>
              <w:kinsoku/>
              <w:overflowPunct/>
              <w:bidi w:val="0"/>
              <w:spacing w:line="360" w:lineRule="auto"/>
              <w:jc w:val="center"/>
              <w:outlineLvl w:val="9"/>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pageBreakBefore w:val="0"/>
              <w:widowControl/>
              <w:kinsoku/>
              <w:overflowPunct/>
              <w:bidi w:val="0"/>
              <w:spacing w:line="360" w:lineRule="auto"/>
              <w:jc w:val="center"/>
              <w:outlineLvl w:val="9"/>
              <w:rPr>
                <w:rFonts w:ascii="宋体" w:hAnsi="宋体" w:cs="宋体"/>
                <w:color w:val="auto"/>
                <w:kern w:val="0"/>
                <w:szCs w:val="20"/>
                <w:highlight w:val="none"/>
              </w:rPr>
            </w:pPr>
          </w:p>
        </w:tc>
        <w:tc>
          <w:tcPr>
            <w:tcW w:w="4647" w:type="dxa"/>
            <w:vAlign w:val="center"/>
          </w:tcPr>
          <w:p>
            <w:pPr>
              <w:pageBreakBefore w:val="0"/>
              <w:widowControl/>
              <w:kinsoku/>
              <w:overflowPunct/>
              <w:bidi w:val="0"/>
              <w:spacing w:line="360" w:lineRule="auto"/>
              <w:jc w:val="left"/>
              <w:outlineLvl w:val="9"/>
              <w:rPr>
                <w:rFonts w:ascii="宋体" w:hAnsi="宋体" w:cs="宋体"/>
                <w:b/>
                <w:bCs/>
                <w:color w:val="auto"/>
                <w:kern w:val="0"/>
                <w:szCs w:val="20"/>
                <w:highlight w:val="none"/>
              </w:rPr>
            </w:pPr>
          </w:p>
        </w:tc>
        <w:tc>
          <w:tcPr>
            <w:tcW w:w="1575" w:type="dxa"/>
            <w:vAlign w:val="center"/>
          </w:tcPr>
          <w:p>
            <w:pPr>
              <w:pageBreakBefore w:val="0"/>
              <w:widowControl/>
              <w:kinsoku/>
              <w:overflowPunct/>
              <w:bidi w:val="0"/>
              <w:spacing w:line="360" w:lineRule="auto"/>
              <w:jc w:val="center"/>
              <w:outlineLvl w:val="9"/>
              <w:rPr>
                <w:rFonts w:ascii="宋体" w:hAnsi="宋体" w:cs="宋体"/>
                <w:color w:val="auto"/>
                <w:kern w:val="0"/>
                <w:sz w:val="24"/>
                <w:szCs w:val="20"/>
                <w:highlight w:val="none"/>
              </w:rPr>
            </w:pPr>
          </w:p>
        </w:tc>
        <w:tc>
          <w:tcPr>
            <w:tcW w:w="1185" w:type="dxa"/>
            <w:vAlign w:val="center"/>
          </w:tcPr>
          <w:p>
            <w:pPr>
              <w:pageBreakBefore w:val="0"/>
              <w:widowControl/>
              <w:kinsoku/>
              <w:overflowPunct/>
              <w:bidi w:val="0"/>
              <w:spacing w:line="360" w:lineRule="auto"/>
              <w:jc w:val="center"/>
              <w:outlineLvl w:val="9"/>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pageBreakBefore w:val="0"/>
              <w:widowControl/>
              <w:kinsoku/>
              <w:overflowPunct/>
              <w:bidi w:val="0"/>
              <w:spacing w:line="360" w:lineRule="auto"/>
              <w:jc w:val="center"/>
              <w:outlineLvl w:val="9"/>
              <w:rPr>
                <w:rFonts w:ascii="宋体" w:hAnsi="宋体" w:cs="宋体"/>
                <w:color w:val="auto"/>
                <w:kern w:val="0"/>
                <w:szCs w:val="20"/>
                <w:highlight w:val="none"/>
              </w:rPr>
            </w:pPr>
          </w:p>
        </w:tc>
        <w:tc>
          <w:tcPr>
            <w:tcW w:w="4647" w:type="dxa"/>
            <w:vAlign w:val="center"/>
          </w:tcPr>
          <w:p>
            <w:pPr>
              <w:pageBreakBefore w:val="0"/>
              <w:widowControl/>
              <w:kinsoku/>
              <w:overflowPunct/>
              <w:bidi w:val="0"/>
              <w:spacing w:line="360" w:lineRule="auto"/>
              <w:jc w:val="left"/>
              <w:outlineLvl w:val="9"/>
              <w:rPr>
                <w:rFonts w:ascii="宋体" w:hAnsi="宋体" w:cs="宋体"/>
                <w:b/>
                <w:bCs/>
                <w:color w:val="auto"/>
                <w:kern w:val="0"/>
                <w:szCs w:val="20"/>
                <w:highlight w:val="none"/>
              </w:rPr>
            </w:pPr>
          </w:p>
        </w:tc>
        <w:tc>
          <w:tcPr>
            <w:tcW w:w="1575" w:type="dxa"/>
            <w:vAlign w:val="center"/>
          </w:tcPr>
          <w:p>
            <w:pPr>
              <w:pageBreakBefore w:val="0"/>
              <w:widowControl/>
              <w:kinsoku/>
              <w:overflowPunct/>
              <w:bidi w:val="0"/>
              <w:spacing w:line="360" w:lineRule="auto"/>
              <w:jc w:val="center"/>
              <w:outlineLvl w:val="9"/>
              <w:rPr>
                <w:rFonts w:ascii="宋体" w:hAnsi="宋体" w:cs="宋体"/>
                <w:color w:val="auto"/>
                <w:kern w:val="0"/>
                <w:sz w:val="24"/>
                <w:szCs w:val="20"/>
                <w:highlight w:val="none"/>
              </w:rPr>
            </w:pPr>
          </w:p>
        </w:tc>
        <w:tc>
          <w:tcPr>
            <w:tcW w:w="1185" w:type="dxa"/>
            <w:vAlign w:val="center"/>
          </w:tcPr>
          <w:p>
            <w:pPr>
              <w:pageBreakBefore w:val="0"/>
              <w:widowControl/>
              <w:kinsoku/>
              <w:overflowPunct/>
              <w:bidi w:val="0"/>
              <w:spacing w:line="360" w:lineRule="auto"/>
              <w:jc w:val="center"/>
              <w:outlineLvl w:val="9"/>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pageBreakBefore w:val="0"/>
              <w:widowControl/>
              <w:kinsoku/>
              <w:overflowPunct/>
              <w:bidi w:val="0"/>
              <w:spacing w:line="360" w:lineRule="auto"/>
              <w:jc w:val="center"/>
              <w:outlineLvl w:val="9"/>
              <w:rPr>
                <w:rFonts w:ascii="宋体" w:hAnsi="宋体" w:cs="宋体"/>
                <w:color w:val="auto"/>
                <w:kern w:val="0"/>
                <w:szCs w:val="20"/>
                <w:highlight w:val="none"/>
              </w:rPr>
            </w:pPr>
          </w:p>
        </w:tc>
        <w:tc>
          <w:tcPr>
            <w:tcW w:w="4647" w:type="dxa"/>
            <w:vAlign w:val="center"/>
          </w:tcPr>
          <w:p>
            <w:pPr>
              <w:pageBreakBefore w:val="0"/>
              <w:widowControl/>
              <w:kinsoku/>
              <w:overflowPunct/>
              <w:bidi w:val="0"/>
              <w:spacing w:line="360" w:lineRule="auto"/>
              <w:jc w:val="left"/>
              <w:outlineLvl w:val="9"/>
              <w:rPr>
                <w:rFonts w:ascii="宋体" w:hAnsi="宋体" w:cs="宋体"/>
                <w:color w:val="auto"/>
                <w:kern w:val="0"/>
                <w:szCs w:val="20"/>
                <w:highlight w:val="none"/>
              </w:rPr>
            </w:pPr>
          </w:p>
        </w:tc>
        <w:tc>
          <w:tcPr>
            <w:tcW w:w="1575" w:type="dxa"/>
            <w:vAlign w:val="center"/>
          </w:tcPr>
          <w:p>
            <w:pPr>
              <w:pageBreakBefore w:val="0"/>
              <w:widowControl/>
              <w:kinsoku/>
              <w:overflowPunct/>
              <w:bidi w:val="0"/>
              <w:spacing w:line="360" w:lineRule="auto"/>
              <w:jc w:val="center"/>
              <w:outlineLvl w:val="9"/>
              <w:rPr>
                <w:rFonts w:ascii="宋体" w:hAnsi="宋体" w:cs="宋体"/>
                <w:color w:val="auto"/>
                <w:kern w:val="0"/>
                <w:sz w:val="24"/>
                <w:szCs w:val="20"/>
                <w:highlight w:val="none"/>
              </w:rPr>
            </w:pPr>
          </w:p>
        </w:tc>
        <w:tc>
          <w:tcPr>
            <w:tcW w:w="1185" w:type="dxa"/>
            <w:vAlign w:val="center"/>
          </w:tcPr>
          <w:p>
            <w:pPr>
              <w:pageBreakBefore w:val="0"/>
              <w:widowControl/>
              <w:kinsoku/>
              <w:overflowPunct/>
              <w:bidi w:val="0"/>
              <w:spacing w:line="360" w:lineRule="auto"/>
              <w:jc w:val="center"/>
              <w:outlineLvl w:val="9"/>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pageBreakBefore w:val="0"/>
              <w:widowControl/>
              <w:kinsoku/>
              <w:overflowPunct/>
              <w:bidi w:val="0"/>
              <w:spacing w:line="360" w:lineRule="auto"/>
              <w:jc w:val="center"/>
              <w:outlineLvl w:val="9"/>
              <w:rPr>
                <w:rFonts w:ascii="宋体" w:hAnsi="宋体" w:cs="宋体"/>
                <w:color w:val="auto"/>
                <w:kern w:val="0"/>
                <w:szCs w:val="20"/>
                <w:highlight w:val="none"/>
              </w:rPr>
            </w:pPr>
          </w:p>
        </w:tc>
        <w:tc>
          <w:tcPr>
            <w:tcW w:w="4647" w:type="dxa"/>
            <w:vAlign w:val="center"/>
          </w:tcPr>
          <w:p>
            <w:pPr>
              <w:pageBreakBefore w:val="0"/>
              <w:widowControl/>
              <w:kinsoku/>
              <w:overflowPunct/>
              <w:bidi w:val="0"/>
              <w:spacing w:line="360" w:lineRule="auto"/>
              <w:jc w:val="left"/>
              <w:outlineLvl w:val="9"/>
              <w:rPr>
                <w:rFonts w:ascii="宋体" w:hAnsi="宋体" w:cs="宋体"/>
                <w:color w:val="auto"/>
                <w:kern w:val="0"/>
                <w:szCs w:val="20"/>
                <w:highlight w:val="none"/>
              </w:rPr>
            </w:pPr>
          </w:p>
        </w:tc>
        <w:tc>
          <w:tcPr>
            <w:tcW w:w="1575" w:type="dxa"/>
            <w:vAlign w:val="center"/>
          </w:tcPr>
          <w:p>
            <w:pPr>
              <w:pageBreakBefore w:val="0"/>
              <w:widowControl/>
              <w:kinsoku/>
              <w:overflowPunct/>
              <w:bidi w:val="0"/>
              <w:spacing w:line="360" w:lineRule="auto"/>
              <w:jc w:val="center"/>
              <w:outlineLvl w:val="9"/>
              <w:rPr>
                <w:rFonts w:ascii="宋体" w:hAnsi="宋体" w:cs="宋体"/>
                <w:color w:val="auto"/>
                <w:kern w:val="0"/>
                <w:sz w:val="24"/>
                <w:szCs w:val="20"/>
                <w:highlight w:val="none"/>
              </w:rPr>
            </w:pPr>
          </w:p>
        </w:tc>
        <w:tc>
          <w:tcPr>
            <w:tcW w:w="1185" w:type="dxa"/>
            <w:vAlign w:val="center"/>
          </w:tcPr>
          <w:p>
            <w:pPr>
              <w:pageBreakBefore w:val="0"/>
              <w:widowControl/>
              <w:kinsoku/>
              <w:overflowPunct/>
              <w:bidi w:val="0"/>
              <w:spacing w:line="360" w:lineRule="auto"/>
              <w:jc w:val="center"/>
              <w:outlineLvl w:val="9"/>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pageBreakBefore w:val="0"/>
              <w:widowControl/>
              <w:kinsoku/>
              <w:overflowPunct/>
              <w:bidi w:val="0"/>
              <w:spacing w:line="360" w:lineRule="auto"/>
              <w:jc w:val="center"/>
              <w:outlineLvl w:val="9"/>
              <w:rPr>
                <w:rFonts w:ascii="宋体" w:hAnsi="宋体" w:cs="宋体"/>
                <w:color w:val="auto"/>
                <w:kern w:val="0"/>
                <w:szCs w:val="20"/>
                <w:highlight w:val="none"/>
              </w:rPr>
            </w:pPr>
          </w:p>
        </w:tc>
        <w:tc>
          <w:tcPr>
            <w:tcW w:w="4647" w:type="dxa"/>
            <w:vAlign w:val="center"/>
          </w:tcPr>
          <w:p>
            <w:pPr>
              <w:pageBreakBefore w:val="0"/>
              <w:widowControl/>
              <w:kinsoku/>
              <w:overflowPunct/>
              <w:bidi w:val="0"/>
              <w:spacing w:line="360" w:lineRule="auto"/>
              <w:jc w:val="left"/>
              <w:outlineLvl w:val="9"/>
              <w:rPr>
                <w:rFonts w:ascii="宋体" w:hAnsi="宋体" w:cs="宋体"/>
                <w:color w:val="auto"/>
                <w:kern w:val="0"/>
                <w:szCs w:val="20"/>
                <w:highlight w:val="none"/>
              </w:rPr>
            </w:pPr>
          </w:p>
        </w:tc>
        <w:tc>
          <w:tcPr>
            <w:tcW w:w="1575" w:type="dxa"/>
            <w:vAlign w:val="center"/>
          </w:tcPr>
          <w:p>
            <w:pPr>
              <w:pageBreakBefore w:val="0"/>
              <w:widowControl/>
              <w:kinsoku/>
              <w:overflowPunct/>
              <w:bidi w:val="0"/>
              <w:spacing w:line="360" w:lineRule="auto"/>
              <w:jc w:val="center"/>
              <w:outlineLvl w:val="9"/>
              <w:rPr>
                <w:rFonts w:ascii="宋体" w:hAnsi="宋体" w:cs="宋体"/>
                <w:color w:val="auto"/>
                <w:kern w:val="0"/>
                <w:sz w:val="24"/>
                <w:szCs w:val="20"/>
                <w:highlight w:val="none"/>
              </w:rPr>
            </w:pPr>
          </w:p>
        </w:tc>
        <w:tc>
          <w:tcPr>
            <w:tcW w:w="1185" w:type="dxa"/>
            <w:vAlign w:val="center"/>
          </w:tcPr>
          <w:p>
            <w:pPr>
              <w:pageBreakBefore w:val="0"/>
              <w:widowControl/>
              <w:kinsoku/>
              <w:overflowPunct/>
              <w:bidi w:val="0"/>
              <w:spacing w:line="360" w:lineRule="auto"/>
              <w:jc w:val="center"/>
              <w:outlineLvl w:val="9"/>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pageBreakBefore w:val="0"/>
              <w:widowControl/>
              <w:kinsoku/>
              <w:overflowPunct/>
              <w:bidi w:val="0"/>
              <w:spacing w:line="360" w:lineRule="auto"/>
              <w:jc w:val="center"/>
              <w:outlineLvl w:val="9"/>
              <w:rPr>
                <w:rFonts w:ascii="宋体" w:hAnsi="宋体" w:cs="宋体"/>
                <w:color w:val="auto"/>
                <w:kern w:val="0"/>
                <w:szCs w:val="20"/>
                <w:highlight w:val="none"/>
              </w:rPr>
            </w:pPr>
          </w:p>
        </w:tc>
        <w:tc>
          <w:tcPr>
            <w:tcW w:w="4647" w:type="dxa"/>
            <w:vAlign w:val="center"/>
          </w:tcPr>
          <w:p>
            <w:pPr>
              <w:pageBreakBefore w:val="0"/>
              <w:widowControl/>
              <w:kinsoku/>
              <w:overflowPunct/>
              <w:bidi w:val="0"/>
              <w:spacing w:line="360" w:lineRule="auto"/>
              <w:jc w:val="left"/>
              <w:outlineLvl w:val="9"/>
              <w:rPr>
                <w:rFonts w:ascii="宋体" w:hAnsi="宋体" w:cs="宋体"/>
                <w:color w:val="auto"/>
                <w:kern w:val="0"/>
                <w:szCs w:val="20"/>
                <w:highlight w:val="none"/>
              </w:rPr>
            </w:pPr>
          </w:p>
        </w:tc>
        <w:tc>
          <w:tcPr>
            <w:tcW w:w="1575" w:type="dxa"/>
            <w:vAlign w:val="center"/>
          </w:tcPr>
          <w:p>
            <w:pPr>
              <w:pageBreakBefore w:val="0"/>
              <w:widowControl/>
              <w:kinsoku/>
              <w:overflowPunct/>
              <w:bidi w:val="0"/>
              <w:spacing w:line="360" w:lineRule="auto"/>
              <w:jc w:val="center"/>
              <w:outlineLvl w:val="9"/>
              <w:rPr>
                <w:rFonts w:ascii="宋体" w:hAnsi="宋体" w:cs="宋体"/>
                <w:color w:val="auto"/>
                <w:kern w:val="0"/>
                <w:sz w:val="24"/>
                <w:szCs w:val="20"/>
                <w:highlight w:val="none"/>
              </w:rPr>
            </w:pPr>
          </w:p>
        </w:tc>
        <w:tc>
          <w:tcPr>
            <w:tcW w:w="1185" w:type="dxa"/>
            <w:vAlign w:val="center"/>
          </w:tcPr>
          <w:p>
            <w:pPr>
              <w:pageBreakBefore w:val="0"/>
              <w:widowControl/>
              <w:kinsoku/>
              <w:overflowPunct/>
              <w:bidi w:val="0"/>
              <w:spacing w:line="360" w:lineRule="auto"/>
              <w:jc w:val="center"/>
              <w:outlineLvl w:val="9"/>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pageBreakBefore w:val="0"/>
              <w:widowControl/>
              <w:kinsoku/>
              <w:overflowPunct/>
              <w:bidi w:val="0"/>
              <w:spacing w:line="360" w:lineRule="auto"/>
              <w:jc w:val="center"/>
              <w:outlineLvl w:val="9"/>
              <w:rPr>
                <w:rFonts w:ascii="宋体" w:hAnsi="宋体" w:cs="宋体"/>
                <w:color w:val="auto"/>
                <w:kern w:val="0"/>
                <w:szCs w:val="20"/>
                <w:highlight w:val="none"/>
              </w:rPr>
            </w:pPr>
          </w:p>
        </w:tc>
        <w:tc>
          <w:tcPr>
            <w:tcW w:w="4647" w:type="dxa"/>
            <w:vAlign w:val="center"/>
          </w:tcPr>
          <w:p>
            <w:pPr>
              <w:pageBreakBefore w:val="0"/>
              <w:widowControl/>
              <w:kinsoku/>
              <w:overflowPunct/>
              <w:bidi w:val="0"/>
              <w:spacing w:line="360" w:lineRule="auto"/>
              <w:jc w:val="left"/>
              <w:outlineLvl w:val="9"/>
              <w:rPr>
                <w:rFonts w:ascii="宋体" w:hAnsi="宋体" w:cs="宋体"/>
                <w:color w:val="auto"/>
                <w:kern w:val="0"/>
                <w:szCs w:val="20"/>
                <w:highlight w:val="none"/>
              </w:rPr>
            </w:pPr>
          </w:p>
        </w:tc>
        <w:tc>
          <w:tcPr>
            <w:tcW w:w="1575" w:type="dxa"/>
            <w:vAlign w:val="center"/>
          </w:tcPr>
          <w:p>
            <w:pPr>
              <w:pageBreakBefore w:val="0"/>
              <w:widowControl/>
              <w:kinsoku/>
              <w:overflowPunct/>
              <w:bidi w:val="0"/>
              <w:spacing w:line="360" w:lineRule="auto"/>
              <w:jc w:val="center"/>
              <w:outlineLvl w:val="9"/>
              <w:rPr>
                <w:rFonts w:ascii="宋体" w:hAnsi="宋体" w:cs="宋体"/>
                <w:color w:val="auto"/>
                <w:kern w:val="0"/>
                <w:sz w:val="24"/>
                <w:szCs w:val="20"/>
                <w:highlight w:val="none"/>
              </w:rPr>
            </w:pPr>
          </w:p>
        </w:tc>
        <w:tc>
          <w:tcPr>
            <w:tcW w:w="1185" w:type="dxa"/>
            <w:vAlign w:val="center"/>
          </w:tcPr>
          <w:p>
            <w:pPr>
              <w:pageBreakBefore w:val="0"/>
              <w:widowControl/>
              <w:kinsoku/>
              <w:overflowPunct/>
              <w:bidi w:val="0"/>
              <w:spacing w:line="360" w:lineRule="auto"/>
              <w:jc w:val="center"/>
              <w:outlineLvl w:val="9"/>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pageBreakBefore w:val="0"/>
              <w:widowControl/>
              <w:kinsoku/>
              <w:overflowPunct/>
              <w:bidi w:val="0"/>
              <w:spacing w:line="360" w:lineRule="auto"/>
              <w:jc w:val="center"/>
              <w:outlineLvl w:val="9"/>
              <w:rPr>
                <w:rFonts w:ascii="宋体" w:hAnsi="宋体" w:cs="宋体"/>
                <w:color w:val="auto"/>
                <w:kern w:val="0"/>
                <w:szCs w:val="20"/>
                <w:highlight w:val="none"/>
              </w:rPr>
            </w:pPr>
          </w:p>
        </w:tc>
        <w:tc>
          <w:tcPr>
            <w:tcW w:w="4647" w:type="dxa"/>
            <w:vAlign w:val="center"/>
          </w:tcPr>
          <w:p>
            <w:pPr>
              <w:pageBreakBefore w:val="0"/>
              <w:widowControl/>
              <w:kinsoku/>
              <w:overflowPunct/>
              <w:bidi w:val="0"/>
              <w:spacing w:line="360" w:lineRule="auto"/>
              <w:jc w:val="left"/>
              <w:outlineLvl w:val="9"/>
              <w:rPr>
                <w:rFonts w:ascii="宋体" w:hAnsi="宋体" w:cs="宋体"/>
                <w:color w:val="auto"/>
                <w:kern w:val="0"/>
                <w:szCs w:val="20"/>
                <w:highlight w:val="none"/>
              </w:rPr>
            </w:pPr>
          </w:p>
        </w:tc>
        <w:tc>
          <w:tcPr>
            <w:tcW w:w="1575" w:type="dxa"/>
            <w:vAlign w:val="center"/>
          </w:tcPr>
          <w:p>
            <w:pPr>
              <w:pageBreakBefore w:val="0"/>
              <w:widowControl/>
              <w:kinsoku/>
              <w:overflowPunct/>
              <w:bidi w:val="0"/>
              <w:spacing w:line="360" w:lineRule="auto"/>
              <w:jc w:val="center"/>
              <w:outlineLvl w:val="9"/>
              <w:rPr>
                <w:rFonts w:ascii="宋体" w:hAnsi="宋体" w:cs="宋体"/>
                <w:color w:val="auto"/>
                <w:kern w:val="0"/>
                <w:sz w:val="24"/>
                <w:szCs w:val="20"/>
                <w:highlight w:val="none"/>
              </w:rPr>
            </w:pPr>
          </w:p>
        </w:tc>
        <w:tc>
          <w:tcPr>
            <w:tcW w:w="1185" w:type="dxa"/>
            <w:vAlign w:val="center"/>
          </w:tcPr>
          <w:p>
            <w:pPr>
              <w:pageBreakBefore w:val="0"/>
              <w:widowControl/>
              <w:kinsoku/>
              <w:overflowPunct/>
              <w:bidi w:val="0"/>
              <w:spacing w:line="360" w:lineRule="auto"/>
              <w:jc w:val="center"/>
              <w:outlineLvl w:val="9"/>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pageBreakBefore w:val="0"/>
              <w:widowControl/>
              <w:kinsoku/>
              <w:overflowPunct/>
              <w:bidi w:val="0"/>
              <w:spacing w:line="360" w:lineRule="auto"/>
              <w:jc w:val="center"/>
              <w:outlineLvl w:val="9"/>
              <w:rPr>
                <w:rFonts w:ascii="宋体" w:hAnsi="宋体" w:cs="宋体"/>
                <w:color w:val="auto"/>
                <w:kern w:val="0"/>
                <w:szCs w:val="20"/>
                <w:highlight w:val="none"/>
              </w:rPr>
            </w:pPr>
          </w:p>
        </w:tc>
        <w:tc>
          <w:tcPr>
            <w:tcW w:w="4647" w:type="dxa"/>
            <w:vAlign w:val="center"/>
          </w:tcPr>
          <w:p>
            <w:pPr>
              <w:pageBreakBefore w:val="0"/>
              <w:widowControl/>
              <w:kinsoku/>
              <w:overflowPunct/>
              <w:bidi w:val="0"/>
              <w:spacing w:line="360" w:lineRule="auto"/>
              <w:jc w:val="left"/>
              <w:outlineLvl w:val="9"/>
              <w:rPr>
                <w:rFonts w:ascii="宋体" w:hAnsi="宋体" w:cs="宋体"/>
                <w:color w:val="auto"/>
                <w:kern w:val="0"/>
                <w:szCs w:val="20"/>
                <w:highlight w:val="none"/>
              </w:rPr>
            </w:pPr>
          </w:p>
        </w:tc>
        <w:tc>
          <w:tcPr>
            <w:tcW w:w="1575" w:type="dxa"/>
            <w:vAlign w:val="center"/>
          </w:tcPr>
          <w:p>
            <w:pPr>
              <w:pageBreakBefore w:val="0"/>
              <w:widowControl/>
              <w:kinsoku/>
              <w:overflowPunct/>
              <w:bidi w:val="0"/>
              <w:spacing w:line="360" w:lineRule="auto"/>
              <w:jc w:val="center"/>
              <w:outlineLvl w:val="9"/>
              <w:rPr>
                <w:rFonts w:ascii="宋体" w:hAnsi="宋体" w:cs="宋体"/>
                <w:color w:val="auto"/>
                <w:kern w:val="0"/>
                <w:sz w:val="24"/>
                <w:szCs w:val="20"/>
                <w:highlight w:val="none"/>
              </w:rPr>
            </w:pPr>
          </w:p>
        </w:tc>
        <w:tc>
          <w:tcPr>
            <w:tcW w:w="1185" w:type="dxa"/>
            <w:vAlign w:val="center"/>
          </w:tcPr>
          <w:p>
            <w:pPr>
              <w:pageBreakBefore w:val="0"/>
              <w:widowControl/>
              <w:kinsoku/>
              <w:overflowPunct/>
              <w:bidi w:val="0"/>
              <w:spacing w:line="360" w:lineRule="auto"/>
              <w:jc w:val="center"/>
              <w:outlineLvl w:val="9"/>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pageBreakBefore w:val="0"/>
              <w:widowControl/>
              <w:kinsoku/>
              <w:overflowPunct/>
              <w:bidi w:val="0"/>
              <w:spacing w:line="360" w:lineRule="auto"/>
              <w:jc w:val="center"/>
              <w:outlineLvl w:val="9"/>
              <w:rPr>
                <w:rFonts w:ascii="宋体" w:hAnsi="宋体" w:cs="宋体"/>
                <w:color w:val="auto"/>
                <w:kern w:val="0"/>
                <w:szCs w:val="20"/>
                <w:highlight w:val="none"/>
              </w:rPr>
            </w:pPr>
          </w:p>
        </w:tc>
        <w:tc>
          <w:tcPr>
            <w:tcW w:w="4647" w:type="dxa"/>
            <w:vAlign w:val="center"/>
          </w:tcPr>
          <w:p>
            <w:pPr>
              <w:pageBreakBefore w:val="0"/>
              <w:widowControl/>
              <w:kinsoku/>
              <w:overflowPunct/>
              <w:bidi w:val="0"/>
              <w:spacing w:line="360" w:lineRule="auto"/>
              <w:jc w:val="left"/>
              <w:outlineLvl w:val="9"/>
              <w:rPr>
                <w:rFonts w:ascii="宋体" w:hAnsi="宋体" w:cs="宋体"/>
                <w:color w:val="auto"/>
                <w:kern w:val="0"/>
                <w:szCs w:val="20"/>
                <w:highlight w:val="none"/>
              </w:rPr>
            </w:pPr>
          </w:p>
        </w:tc>
        <w:tc>
          <w:tcPr>
            <w:tcW w:w="1575" w:type="dxa"/>
            <w:vAlign w:val="center"/>
          </w:tcPr>
          <w:p>
            <w:pPr>
              <w:pageBreakBefore w:val="0"/>
              <w:widowControl/>
              <w:kinsoku/>
              <w:overflowPunct/>
              <w:bidi w:val="0"/>
              <w:spacing w:line="360" w:lineRule="auto"/>
              <w:jc w:val="center"/>
              <w:outlineLvl w:val="9"/>
              <w:rPr>
                <w:rFonts w:ascii="宋体" w:hAnsi="宋体" w:cs="宋体"/>
                <w:color w:val="auto"/>
                <w:kern w:val="0"/>
                <w:sz w:val="24"/>
                <w:szCs w:val="20"/>
                <w:highlight w:val="none"/>
              </w:rPr>
            </w:pPr>
          </w:p>
        </w:tc>
        <w:tc>
          <w:tcPr>
            <w:tcW w:w="1185" w:type="dxa"/>
            <w:vAlign w:val="center"/>
          </w:tcPr>
          <w:p>
            <w:pPr>
              <w:pageBreakBefore w:val="0"/>
              <w:widowControl/>
              <w:kinsoku/>
              <w:overflowPunct/>
              <w:bidi w:val="0"/>
              <w:spacing w:line="360" w:lineRule="auto"/>
              <w:jc w:val="center"/>
              <w:outlineLvl w:val="9"/>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pageBreakBefore w:val="0"/>
              <w:widowControl/>
              <w:kinsoku/>
              <w:overflowPunct/>
              <w:bidi w:val="0"/>
              <w:spacing w:line="360" w:lineRule="auto"/>
              <w:jc w:val="center"/>
              <w:outlineLvl w:val="9"/>
              <w:rPr>
                <w:rFonts w:ascii="宋体" w:hAnsi="宋体" w:cs="宋体"/>
                <w:color w:val="auto"/>
                <w:kern w:val="0"/>
                <w:szCs w:val="20"/>
                <w:highlight w:val="none"/>
              </w:rPr>
            </w:pPr>
          </w:p>
        </w:tc>
        <w:tc>
          <w:tcPr>
            <w:tcW w:w="4647" w:type="dxa"/>
            <w:vAlign w:val="center"/>
          </w:tcPr>
          <w:p>
            <w:pPr>
              <w:pageBreakBefore w:val="0"/>
              <w:widowControl/>
              <w:kinsoku/>
              <w:overflowPunct/>
              <w:bidi w:val="0"/>
              <w:spacing w:line="360" w:lineRule="auto"/>
              <w:jc w:val="left"/>
              <w:outlineLvl w:val="9"/>
              <w:rPr>
                <w:rFonts w:ascii="宋体" w:hAnsi="宋体" w:cs="宋体"/>
                <w:color w:val="auto"/>
                <w:kern w:val="0"/>
                <w:szCs w:val="20"/>
                <w:highlight w:val="none"/>
              </w:rPr>
            </w:pPr>
          </w:p>
        </w:tc>
        <w:tc>
          <w:tcPr>
            <w:tcW w:w="1575" w:type="dxa"/>
            <w:vAlign w:val="center"/>
          </w:tcPr>
          <w:p>
            <w:pPr>
              <w:pageBreakBefore w:val="0"/>
              <w:widowControl/>
              <w:kinsoku/>
              <w:overflowPunct/>
              <w:bidi w:val="0"/>
              <w:spacing w:line="360" w:lineRule="auto"/>
              <w:jc w:val="center"/>
              <w:outlineLvl w:val="9"/>
              <w:rPr>
                <w:rFonts w:ascii="宋体" w:hAnsi="宋体" w:cs="宋体"/>
                <w:color w:val="auto"/>
                <w:kern w:val="0"/>
                <w:sz w:val="24"/>
                <w:szCs w:val="20"/>
                <w:highlight w:val="none"/>
              </w:rPr>
            </w:pPr>
          </w:p>
        </w:tc>
        <w:tc>
          <w:tcPr>
            <w:tcW w:w="1185" w:type="dxa"/>
            <w:vAlign w:val="center"/>
          </w:tcPr>
          <w:p>
            <w:pPr>
              <w:pageBreakBefore w:val="0"/>
              <w:widowControl/>
              <w:kinsoku/>
              <w:overflowPunct/>
              <w:bidi w:val="0"/>
              <w:spacing w:line="360" w:lineRule="auto"/>
              <w:jc w:val="center"/>
              <w:outlineLvl w:val="9"/>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pageBreakBefore w:val="0"/>
              <w:widowControl/>
              <w:kinsoku/>
              <w:overflowPunct/>
              <w:bidi w:val="0"/>
              <w:spacing w:line="360" w:lineRule="auto"/>
              <w:jc w:val="center"/>
              <w:outlineLvl w:val="9"/>
              <w:rPr>
                <w:rFonts w:ascii="宋体" w:hAnsi="宋体" w:cs="宋体"/>
                <w:color w:val="auto"/>
                <w:kern w:val="0"/>
                <w:szCs w:val="20"/>
                <w:highlight w:val="none"/>
              </w:rPr>
            </w:pPr>
          </w:p>
        </w:tc>
        <w:tc>
          <w:tcPr>
            <w:tcW w:w="4647" w:type="dxa"/>
            <w:vAlign w:val="center"/>
          </w:tcPr>
          <w:p>
            <w:pPr>
              <w:pageBreakBefore w:val="0"/>
              <w:widowControl/>
              <w:kinsoku/>
              <w:overflowPunct/>
              <w:bidi w:val="0"/>
              <w:spacing w:line="360" w:lineRule="auto"/>
              <w:jc w:val="left"/>
              <w:outlineLvl w:val="9"/>
              <w:rPr>
                <w:rFonts w:ascii="宋体" w:hAnsi="宋体" w:cs="宋体"/>
                <w:color w:val="auto"/>
                <w:kern w:val="0"/>
                <w:szCs w:val="20"/>
                <w:highlight w:val="none"/>
              </w:rPr>
            </w:pPr>
          </w:p>
        </w:tc>
        <w:tc>
          <w:tcPr>
            <w:tcW w:w="1575" w:type="dxa"/>
            <w:vAlign w:val="center"/>
          </w:tcPr>
          <w:p>
            <w:pPr>
              <w:pageBreakBefore w:val="0"/>
              <w:widowControl/>
              <w:kinsoku/>
              <w:overflowPunct/>
              <w:bidi w:val="0"/>
              <w:spacing w:line="360" w:lineRule="auto"/>
              <w:jc w:val="center"/>
              <w:outlineLvl w:val="9"/>
              <w:rPr>
                <w:rFonts w:ascii="宋体" w:hAnsi="宋体" w:cs="宋体"/>
                <w:color w:val="auto"/>
                <w:kern w:val="0"/>
                <w:sz w:val="24"/>
                <w:szCs w:val="20"/>
                <w:highlight w:val="none"/>
              </w:rPr>
            </w:pPr>
          </w:p>
        </w:tc>
        <w:tc>
          <w:tcPr>
            <w:tcW w:w="1185" w:type="dxa"/>
            <w:vAlign w:val="center"/>
          </w:tcPr>
          <w:p>
            <w:pPr>
              <w:pageBreakBefore w:val="0"/>
              <w:widowControl/>
              <w:kinsoku/>
              <w:overflowPunct/>
              <w:bidi w:val="0"/>
              <w:spacing w:line="360" w:lineRule="auto"/>
              <w:jc w:val="center"/>
              <w:outlineLvl w:val="9"/>
              <w:rPr>
                <w:rFonts w:ascii="宋体" w:hAnsi="宋体" w:cs="宋体"/>
                <w:color w:val="auto"/>
                <w:kern w:val="0"/>
                <w:sz w:val="24"/>
                <w:szCs w:val="20"/>
                <w:highlight w:val="none"/>
              </w:rPr>
            </w:pPr>
          </w:p>
        </w:tc>
      </w:tr>
    </w:tbl>
    <w:p>
      <w:pPr>
        <w:pageBreakBefore w:val="0"/>
        <w:widowControl/>
        <w:kinsoku/>
        <w:overflowPunct/>
        <w:bidi w:val="0"/>
        <w:snapToGrid w:val="0"/>
        <w:spacing w:before="50"/>
        <w:jc w:val="left"/>
        <w:outlineLvl w:val="9"/>
        <w:rPr>
          <w:rFonts w:ascii="宋体" w:hAnsi="宋体" w:cs="宋体"/>
          <w:color w:val="auto"/>
          <w:kern w:val="0"/>
          <w:szCs w:val="21"/>
          <w:highlight w:val="none"/>
        </w:rPr>
      </w:pPr>
    </w:p>
    <w:p>
      <w:pPr>
        <w:pageBreakBefore w:val="0"/>
        <w:widowControl/>
        <w:kinsoku/>
        <w:overflowPunct/>
        <w:bidi w:val="0"/>
        <w:snapToGrid w:val="0"/>
        <w:spacing w:before="50"/>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供应商名称（公章）：</w:t>
      </w:r>
    </w:p>
    <w:p>
      <w:pPr>
        <w:pageBreakBefore w:val="0"/>
        <w:widowControl/>
        <w:kinsoku/>
        <w:overflowPunct/>
        <w:bidi w:val="0"/>
        <w:snapToGrid w:val="0"/>
        <w:spacing w:before="50"/>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法定代表或授权代表</w:t>
      </w:r>
      <w:r>
        <w:rPr>
          <w:rFonts w:hint="eastAsia" w:ascii="宋体" w:hAnsi="宋体" w:cs="宋体"/>
          <w:color w:val="auto"/>
          <w:kern w:val="0"/>
          <w:szCs w:val="20"/>
          <w:highlight w:val="none"/>
        </w:rPr>
        <w:t>（签名或印章）</w:t>
      </w:r>
      <w:r>
        <w:rPr>
          <w:rFonts w:hint="eastAsia" w:ascii="宋体" w:hAnsi="宋体" w:cs="宋体"/>
          <w:color w:val="auto"/>
          <w:kern w:val="0"/>
          <w:szCs w:val="21"/>
          <w:highlight w:val="none"/>
        </w:rPr>
        <w:t>：</w:t>
      </w:r>
    </w:p>
    <w:p>
      <w:pPr>
        <w:pageBreakBefore w:val="0"/>
        <w:widowControl/>
        <w:kinsoku/>
        <w:overflowPunct/>
        <w:bidi w:val="0"/>
        <w:snapToGrid w:val="0"/>
        <w:spacing w:before="50"/>
        <w:jc w:val="left"/>
        <w:outlineLvl w:val="9"/>
        <w:rPr>
          <w:rFonts w:ascii="宋体" w:hAnsi="宋体" w:cs="宋体"/>
          <w:color w:val="auto"/>
          <w:kern w:val="0"/>
          <w:szCs w:val="21"/>
          <w:highlight w:val="none"/>
        </w:rPr>
      </w:pPr>
    </w:p>
    <w:p>
      <w:pPr>
        <w:pageBreakBefore w:val="0"/>
        <w:widowControl/>
        <w:kinsoku/>
        <w:overflowPunct/>
        <w:bidi w:val="0"/>
        <w:snapToGrid w:val="0"/>
        <w:spacing w:before="50"/>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w:t>
      </w:r>
    </w:p>
    <w:p>
      <w:pPr>
        <w:pageBreakBefore w:val="0"/>
        <w:widowControl/>
        <w:kinsoku/>
        <w:overflowPunct/>
        <w:bidi w:val="0"/>
        <w:snapToGrid w:val="0"/>
        <w:spacing w:before="50"/>
        <w:jc w:val="left"/>
        <w:outlineLvl w:val="9"/>
        <w:rPr>
          <w:rFonts w:ascii="宋体" w:hAnsi="宋体" w:cs="宋体"/>
          <w:color w:val="auto"/>
          <w:kern w:val="0"/>
          <w:szCs w:val="21"/>
          <w:highlight w:val="none"/>
        </w:rPr>
      </w:pPr>
    </w:p>
    <w:p>
      <w:pPr>
        <w:pageBreakBefore w:val="0"/>
        <w:widowControl/>
        <w:kinsoku/>
        <w:overflowPunct/>
        <w:bidi w:val="0"/>
        <w:snapToGrid w:val="0"/>
        <w:spacing w:before="50"/>
        <w:jc w:val="left"/>
        <w:outlineLvl w:val="9"/>
        <w:rPr>
          <w:rFonts w:ascii="宋体" w:hAnsi="宋体" w:cs="宋体"/>
          <w:color w:val="auto"/>
          <w:kern w:val="0"/>
          <w:szCs w:val="21"/>
          <w:highlight w:val="none"/>
        </w:rPr>
      </w:pPr>
    </w:p>
    <w:p>
      <w:pPr>
        <w:pageBreakBefore w:val="0"/>
        <w:widowControl/>
        <w:kinsoku/>
        <w:overflowPunct/>
        <w:bidi w:val="0"/>
        <w:snapToGrid w:val="0"/>
        <w:spacing w:before="50"/>
        <w:jc w:val="left"/>
        <w:outlineLvl w:val="9"/>
        <w:rPr>
          <w:rFonts w:ascii="宋体" w:hAnsi="宋体" w:cs="宋体"/>
          <w:b/>
          <w:bCs/>
          <w:color w:val="auto"/>
          <w:kern w:val="0"/>
          <w:szCs w:val="21"/>
          <w:highlight w:val="none"/>
        </w:rPr>
      </w:pPr>
      <w:r>
        <w:rPr>
          <w:rFonts w:hint="eastAsia" w:ascii="宋体" w:hAnsi="宋体" w:cs="宋体"/>
          <w:b/>
          <w:bCs/>
          <w:color w:val="auto"/>
          <w:kern w:val="0"/>
          <w:szCs w:val="21"/>
          <w:highlight w:val="none"/>
        </w:rPr>
        <w:br w:type="page"/>
      </w:r>
      <w:r>
        <w:rPr>
          <w:rFonts w:hint="eastAsia" w:ascii="宋体" w:hAnsi="宋体" w:cs="宋体"/>
          <w:b/>
          <w:bCs/>
          <w:color w:val="auto"/>
          <w:kern w:val="0"/>
          <w:szCs w:val="21"/>
          <w:highlight w:val="none"/>
          <w:lang w:val="en-US" w:eastAsia="zh-CN"/>
        </w:rPr>
        <w:t>16</w:t>
      </w:r>
      <w:r>
        <w:rPr>
          <w:rFonts w:hint="eastAsia" w:ascii="宋体" w:hAnsi="宋体" w:cs="宋体"/>
          <w:b/>
          <w:bCs/>
          <w:color w:val="auto"/>
          <w:kern w:val="0"/>
          <w:szCs w:val="21"/>
          <w:highlight w:val="none"/>
        </w:rPr>
        <w:t>. 商务条款偏离表</w:t>
      </w:r>
    </w:p>
    <w:p>
      <w:pPr>
        <w:pageBreakBefore w:val="0"/>
        <w:widowControl/>
        <w:kinsoku/>
        <w:overflowPunct/>
        <w:bidi w:val="0"/>
        <w:snapToGrid w:val="0"/>
        <w:spacing w:before="50" w:afterLines="50" w:line="360" w:lineRule="auto"/>
        <w:jc w:val="center"/>
        <w:outlineLvl w:val="9"/>
        <w:rPr>
          <w:rFonts w:ascii="宋体" w:hAnsi="宋体" w:cs="宋体"/>
          <w:b/>
          <w:bCs/>
          <w:color w:val="auto"/>
          <w:kern w:val="0"/>
          <w:szCs w:val="20"/>
          <w:highlight w:val="none"/>
        </w:rPr>
      </w:pPr>
      <w:r>
        <w:rPr>
          <w:rFonts w:hint="eastAsia" w:ascii="宋体" w:hAnsi="宋体" w:cs="宋体"/>
          <w:b/>
          <w:bCs/>
          <w:color w:val="auto"/>
          <w:kern w:val="0"/>
          <w:szCs w:val="20"/>
          <w:highlight w:val="none"/>
        </w:rPr>
        <w:t>商务条款偏离表</w:t>
      </w:r>
    </w:p>
    <w:p>
      <w:pPr>
        <w:pageBreakBefore w:val="0"/>
        <w:widowControl/>
        <w:kinsoku/>
        <w:overflowPunct/>
        <w:bidi w:val="0"/>
        <w:snapToGrid w:val="0"/>
        <w:spacing w:before="50"/>
        <w:jc w:val="left"/>
        <w:outlineLvl w:val="9"/>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项目编号：                   项目名称：                       </w:t>
      </w:r>
    </w:p>
    <w:tbl>
      <w:tblPr>
        <w:tblStyle w:val="3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vAlign w:val="center"/>
          </w:tcPr>
          <w:p>
            <w:pPr>
              <w:pageBreakBefore w:val="0"/>
              <w:widowControl/>
              <w:kinsoku/>
              <w:overflowPunct/>
              <w:bidi w:val="0"/>
              <w:spacing w:line="360" w:lineRule="auto"/>
              <w:jc w:val="center"/>
              <w:outlineLvl w:val="9"/>
              <w:rPr>
                <w:rFonts w:ascii="宋体" w:hAnsi="宋体" w:cs="宋体"/>
                <w:color w:val="auto"/>
                <w:kern w:val="0"/>
                <w:szCs w:val="20"/>
                <w:highlight w:val="none"/>
              </w:rPr>
            </w:pPr>
            <w:r>
              <w:rPr>
                <w:rFonts w:hint="eastAsia" w:ascii="宋体" w:hAnsi="宋体" w:cs="宋体"/>
                <w:color w:val="auto"/>
                <w:kern w:val="0"/>
                <w:szCs w:val="20"/>
                <w:highlight w:val="none"/>
              </w:rPr>
              <w:t>条款号</w:t>
            </w:r>
          </w:p>
        </w:tc>
        <w:tc>
          <w:tcPr>
            <w:tcW w:w="4647" w:type="dxa"/>
            <w:vAlign w:val="center"/>
          </w:tcPr>
          <w:p>
            <w:pPr>
              <w:pageBreakBefore w:val="0"/>
              <w:widowControl/>
              <w:kinsoku/>
              <w:overflowPunct/>
              <w:bidi w:val="0"/>
              <w:spacing w:line="360" w:lineRule="auto"/>
              <w:jc w:val="center"/>
              <w:outlineLvl w:val="9"/>
              <w:rPr>
                <w:rFonts w:ascii="宋体" w:hAnsi="宋体" w:cs="宋体"/>
                <w:color w:val="auto"/>
                <w:kern w:val="0"/>
                <w:szCs w:val="20"/>
                <w:highlight w:val="none"/>
              </w:rPr>
            </w:pPr>
            <w:r>
              <w:rPr>
                <w:rFonts w:hint="eastAsia" w:ascii="宋体" w:hAnsi="宋体" w:cs="宋体"/>
                <w:color w:val="auto"/>
                <w:kern w:val="0"/>
                <w:szCs w:val="20"/>
                <w:highlight w:val="none"/>
              </w:rPr>
              <w:t>招标文件的商务条款</w:t>
            </w:r>
          </w:p>
        </w:tc>
        <w:tc>
          <w:tcPr>
            <w:tcW w:w="1575" w:type="dxa"/>
            <w:vAlign w:val="center"/>
          </w:tcPr>
          <w:p>
            <w:pPr>
              <w:pageBreakBefore w:val="0"/>
              <w:widowControl/>
              <w:kinsoku/>
              <w:overflowPunct/>
              <w:bidi w:val="0"/>
              <w:spacing w:line="360" w:lineRule="auto"/>
              <w:jc w:val="center"/>
              <w:outlineLvl w:val="9"/>
              <w:rPr>
                <w:rFonts w:ascii="宋体" w:hAnsi="宋体" w:cs="宋体"/>
                <w:color w:val="auto"/>
                <w:kern w:val="0"/>
                <w:szCs w:val="20"/>
                <w:highlight w:val="none"/>
              </w:rPr>
            </w:pPr>
            <w:r>
              <w:rPr>
                <w:rFonts w:hint="eastAsia" w:ascii="宋体" w:hAnsi="宋体" w:cs="宋体"/>
                <w:color w:val="auto"/>
                <w:kern w:val="0"/>
                <w:szCs w:val="20"/>
                <w:highlight w:val="none"/>
              </w:rPr>
              <w:t>投标文件的</w:t>
            </w:r>
          </w:p>
          <w:p>
            <w:pPr>
              <w:pageBreakBefore w:val="0"/>
              <w:widowControl/>
              <w:kinsoku/>
              <w:overflowPunct/>
              <w:bidi w:val="0"/>
              <w:spacing w:line="360" w:lineRule="auto"/>
              <w:jc w:val="center"/>
              <w:outlineLvl w:val="9"/>
              <w:rPr>
                <w:rFonts w:ascii="宋体" w:hAnsi="宋体" w:cs="宋体"/>
                <w:color w:val="auto"/>
                <w:kern w:val="0"/>
                <w:szCs w:val="20"/>
                <w:highlight w:val="none"/>
              </w:rPr>
            </w:pPr>
            <w:r>
              <w:rPr>
                <w:rFonts w:hint="eastAsia" w:ascii="宋体" w:hAnsi="宋体" w:cs="宋体"/>
                <w:color w:val="auto"/>
                <w:kern w:val="0"/>
                <w:szCs w:val="20"/>
                <w:highlight w:val="none"/>
              </w:rPr>
              <w:t>响应情况</w:t>
            </w:r>
          </w:p>
        </w:tc>
        <w:tc>
          <w:tcPr>
            <w:tcW w:w="1185" w:type="dxa"/>
            <w:vAlign w:val="center"/>
          </w:tcPr>
          <w:p>
            <w:pPr>
              <w:pageBreakBefore w:val="0"/>
              <w:widowControl/>
              <w:kinsoku/>
              <w:overflowPunct/>
              <w:bidi w:val="0"/>
              <w:spacing w:line="360" w:lineRule="auto"/>
              <w:jc w:val="center"/>
              <w:outlineLvl w:val="9"/>
              <w:rPr>
                <w:rFonts w:ascii="宋体" w:hAnsi="宋体" w:cs="宋体"/>
                <w:color w:val="auto"/>
                <w:kern w:val="0"/>
                <w:szCs w:val="20"/>
                <w:highlight w:val="none"/>
              </w:rPr>
            </w:pPr>
            <w:r>
              <w:rPr>
                <w:rFonts w:hint="eastAsia" w:ascii="宋体" w:hAnsi="宋体" w:cs="宋体"/>
                <w:color w:val="auto"/>
                <w:kern w:val="0"/>
                <w:szCs w:val="20"/>
                <w:highlight w:val="none"/>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pageBreakBefore w:val="0"/>
              <w:widowControl/>
              <w:kinsoku/>
              <w:overflowPunct/>
              <w:bidi w:val="0"/>
              <w:spacing w:line="360" w:lineRule="auto"/>
              <w:jc w:val="center"/>
              <w:outlineLvl w:val="9"/>
              <w:rPr>
                <w:rFonts w:ascii="宋体" w:hAnsi="宋体" w:cs="宋体"/>
                <w:color w:val="auto"/>
                <w:kern w:val="0"/>
                <w:szCs w:val="20"/>
                <w:highlight w:val="none"/>
              </w:rPr>
            </w:pPr>
          </w:p>
        </w:tc>
        <w:tc>
          <w:tcPr>
            <w:tcW w:w="4647" w:type="dxa"/>
            <w:vAlign w:val="center"/>
          </w:tcPr>
          <w:p>
            <w:pPr>
              <w:pageBreakBefore w:val="0"/>
              <w:widowControl/>
              <w:kinsoku/>
              <w:overflowPunct/>
              <w:bidi w:val="0"/>
              <w:spacing w:line="360" w:lineRule="auto"/>
              <w:jc w:val="left"/>
              <w:outlineLvl w:val="9"/>
              <w:rPr>
                <w:rFonts w:ascii="宋体" w:hAnsi="宋体" w:cs="宋体"/>
                <w:b/>
                <w:bCs/>
                <w:color w:val="auto"/>
                <w:kern w:val="0"/>
                <w:szCs w:val="20"/>
                <w:highlight w:val="none"/>
              </w:rPr>
            </w:pPr>
          </w:p>
        </w:tc>
        <w:tc>
          <w:tcPr>
            <w:tcW w:w="1575" w:type="dxa"/>
            <w:vAlign w:val="center"/>
          </w:tcPr>
          <w:p>
            <w:pPr>
              <w:pageBreakBefore w:val="0"/>
              <w:widowControl/>
              <w:kinsoku/>
              <w:overflowPunct/>
              <w:bidi w:val="0"/>
              <w:spacing w:line="360" w:lineRule="auto"/>
              <w:jc w:val="center"/>
              <w:outlineLvl w:val="9"/>
              <w:rPr>
                <w:rFonts w:ascii="宋体" w:hAnsi="宋体" w:cs="宋体"/>
                <w:color w:val="auto"/>
                <w:kern w:val="0"/>
                <w:sz w:val="24"/>
                <w:szCs w:val="20"/>
                <w:highlight w:val="none"/>
              </w:rPr>
            </w:pPr>
          </w:p>
        </w:tc>
        <w:tc>
          <w:tcPr>
            <w:tcW w:w="1185" w:type="dxa"/>
            <w:vAlign w:val="center"/>
          </w:tcPr>
          <w:p>
            <w:pPr>
              <w:pageBreakBefore w:val="0"/>
              <w:widowControl/>
              <w:kinsoku/>
              <w:overflowPunct/>
              <w:bidi w:val="0"/>
              <w:spacing w:line="360" w:lineRule="auto"/>
              <w:jc w:val="center"/>
              <w:outlineLvl w:val="9"/>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pageBreakBefore w:val="0"/>
              <w:widowControl/>
              <w:kinsoku/>
              <w:overflowPunct/>
              <w:bidi w:val="0"/>
              <w:spacing w:line="360" w:lineRule="auto"/>
              <w:jc w:val="center"/>
              <w:outlineLvl w:val="9"/>
              <w:rPr>
                <w:rFonts w:ascii="宋体" w:hAnsi="宋体" w:cs="宋体"/>
                <w:color w:val="auto"/>
                <w:kern w:val="0"/>
                <w:szCs w:val="20"/>
                <w:highlight w:val="none"/>
              </w:rPr>
            </w:pPr>
          </w:p>
        </w:tc>
        <w:tc>
          <w:tcPr>
            <w:tcW w:w="4647" w:type="dxa"/>
            <w:vAlign w:val="center"/>
          </w:tcPr>
          <w:p>
            <w:pPr>
              <w:pageBreakBefore w:val="0"/>
              <w:widowControl/>
              <w:kinsoku/>
              <w:overflowPunct/>
              <w:bidi w:val="0"/>
              <w:spacing w:line="360" w:lineRule="auto"/>
              <w:jc w:val="left"/>
              <w:outlineLvl w:val="9"/>
              <w:rPr>
                <w:rFonts w:ascii="宋体" w:hAnsi="宋体" w:cs="宋体"/>
                <w:b/>
                <w:bCs/>
                <w:color w:val="auto"/>
                <w:kern w:val="0"/>
                <w:szCs w:val="20"/>
                <w:highlight w:val="none"/>
              </w:rPr>
            </w:pPr>
          </w:p>
        </w:tc>
        <w:tc>
          <w:tcPr>
            <w:tcW w:w="1575" w:type="dxa"/>
            <w:vAlign w:val="center"/>
          </w:tcPr>
          <w:p>
            <w:pPr>
              <w:pageBreakBefore w:val="0"/>
              <w:widowControl/>
              <w:kinsoku/>
              <w:overflowPunct/>
              <w:bidi w:val="0"/>
              <w:spacing w:line="360" w:lineRule="auto"/>
              <w:jc w:val="center"/>
              <w:outlineLvl w:val="9"/>
              <w:rPr>
                <w:rFonts w:ascii="宋体" w:hAnsi="宋体" w:cs="宋体"/>
                <w:color w:val="auto"/>
                <w:kern w:val="0"/>
                <w:sz w:val="24"/>
                <w:szCs w:val="20"/>
                <w:highlight w:val="none"/>
              </w:rPr>
            </w:pPr>
          </w:p>
        </w:tc>
        <w:tc>
          <w:tcPr>
            <w:tcW w:w="1185" w:type="dxa"/>
            <w:vAlign w:val="center"/>
          </w:tcPr>
          <w:p>
            <w:pPr>
              <w:pageBreakBefore w:val="0"/>
              <w:widowControl/>
              <w:kinsoku/>
              <w:overflowPunct/>
              <w:bidi w:val="0"/>
              <w:spacing w:line="360" w:lineRule="auto"/>
              <w:jc w:val="center"/>
              <w:outlineLvl w:val="9"/>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pageBreakBefore w:val="0"/>
              <w:widowControl/>
              <w:kinsoku/>
              <w:overflowPunct/>
              <w:bidi w:val="0"/>
              <w:spacing w:line="360" w:lineRule="auto"/>
              <w:jc w:val="center"/>
              <w:outlineLvl w:val="9"/>
              <w:rPr>
                <w:rFonts w:ascii="宋体" w:hAnsi="宋体" w:cs="宋体"/>
                <w:color w:val="auto"/>
                <w:kern w:val="0"/>
                <w:szCs w:val="20"/>
                <w:highlight w:val="none"/>
              </w:rPr>
            </w:pPr>
          </w:p>
        </w:tc>
        <w:tc>
          <w:tcPr>
            <w:tcW w:w="4647" w:type="dxa"/>
            <w:vAlign w:val="center"/>
          </w:tcPr>
          <w:p>
            <w:pPr>
              <w:pageBreakBefore w:val="0"/>
              <w:widowControl/>
              <w:kinsoku/>
              <w:overflowPunct/>
              <w:bidi w:val="0"/>
              <w:spacing w:line="360" w:lineRule="auto"/>
              <w:jc w:val="left"/>
              <w:outlineLvl w:val="9"/>
              <w:rPr>
                <w:rFonts w:ascii="宋体" w:hAnsi="宋体" w:cs="宋体"/>
                <w:b/>
                <w:bCs/>
                <w:color w:val="auto"/>
                <w:kern w:val="0"/>
                <w:szCs w:val="20"/>
                <w:highlight w:val="none"/>
              </w:rPr>
            </w:pPr>
          </w:p>
        </w:tc>
        <w:tc>
          <w:tcPr>
            <w:tcW w:w="1575" w:type="dxa"/>
            <w:vAlign w:val="center"/>
          </w:tcPr>
          <w:p>
            <w:pPr>
              <w:pageBreakBefore w:val="0"/>
              <w:widowControl/>
              <w:kinsoku/>
              <w:overflowPunct/>
              <w:bidi w:val="0"/>
              <w:spacing w:line="360" w:lineRule="auto"/>
              <w:jc w:val="center"/>
              <w:outlineLvl w:val="9"/>
              <w:rPr>
                <w:rFonts w:ascii="宋体" w:hAnsi="宋体" w:cs="宋体"/>
                <w:color w:val="auto"/>
                <w:kern w:val="0"/>
                <w:sz w:val="24"/>
                <w:szCs w:val="20"/>
                <w:highlight w:val="none"/>
              </w:rPr>
            </w:pPr>
          </w:p>
        </w:tc>
        <w:tc>
          <w:tcPr>
            <w:tcW w:w="1185" w:type="dxa"/>
            <w:vAlign w:val="center"/>
          </w:tcPr>
          <w:p>
            <w:pPr>
              <w:pageBreakBefore w:val="0"/>
              <w:widowControl/>
              <w:kinsoku/>
              <w:overflowPunct/>
              <w:bidi w:val="0"/>
              <w:spacing w:line="360" w:lineRule="auto"/>
              <w:jc w:val="center"/>
              <w:outlineLvl w:val="9"/>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pageBreakBefore w:val="0"/>
              <w:widowControl/>
              <w:kinsoku/>
              <w:overflowPunct/>
              <w:bidi w:val="0"/>
              <w:spacing w:line="360" w:lineRule="auto"/>
              <w:jc w:val="center"/>
              <w:outlineLvl w:val="9"/>
              <w:rPr>
                <w:rFonts w:ascii="宋体" w:hAnsi="宋体" w:cs="宋体"/>
                <w:color w:val="auto"/>
                <w:kern w:val="0"/>
                <w:szCs w:val="20"/>
                <w:highlight w:val="none"/>
              </w:rPr>
            </w:pPr>
          </w:p>
        </w:tc>
        <w:tc>
          <w:tcPr>
            <w:tcW w:w="4647" w:type="dxa"/>
            <w:vAlign w:val="center"/>
          </w:tcPr>
          <w:p>
            <w:pPr>
              <w:pageBreakBefore w:val="0"/>
              <w:widowControl/>
              <w:kinsoku/>
              <w:overflowPunct/>
              <w:bidi w:val="0"/>
              <w:spacing w:line="360" w:lineRule="auto"/>
              <w:jc w:val="left"/>
              <w:outlineLvl w:val="9"/>
              <w:rPr>
                <w:rFonts w:ascii="宋体" w:hAnsi="宋体" w:cs="宋体"/>
                <w:color w:val="auto"/>
                <w:kern w:val="0"/>
                <w:szCs w:val="20"/>
                <w:highlight w:val="none"/>
              </w:rPr>
            </w:pPr>
          </w:p>
        </w:tc>
        <w:tc>
          <w:tcPr>
            <w:tcW w:w="1575" w:type="dxa"/>
            <w:vAlign w:val="center"/>
          </w:tcPr>
          <w:p>
            <w:pPr>
              <w:pageBreakBefore w:val="0"/>
              <w:widowControl/>
              <w:kinsoku/>
              <w:overflowPunct/>
              <w:bidi w:val="0"/>
              <w:spacing w:line="360" w:lineRule="auto"/>
              <w:jc w:val="center"/>
              <w:outlineLvl w:val="9"/>
              <w:rPr>
                <w:rFonts w:ascii="宋体" w:hAnsi="宋体" w:cs="宋体"/>
                <w:color w:val="auto"/>
                <w:kern w:val="0"/>
                <w:sz w:val="24"/>
                <w:szCs w:val="20"/>
                <w:highlight w:val="none"/>
              </w:rPr>
            </w:pPr>
          </w:p>
        </w:tc>
        <w:tc>
          <w:tcPr>
            <w:tcW w:w="1185" w:type="dxa"/>
            <w:vAlign w:val="center"/>
          </w:tcPr>
          <w:p>
            <w:pPr>
              <w:pageBreakBefore w:val="0"/>
              <w:widowControl/>
              <w:kinsoku/>
              <w:overflowPunct/>
              <w:bidi w:val="0"/>
              <w:spacing w:line="360" w:lineRule="auto"/>
              <w:jc w:val="center"/>
              <w:outlineLvl w:val="9"/>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pageBreakBefore w:val="0"/>
              <w:widowControl/>
              <w:kinsoku/>
              <w:overflowPunct/>
              <w:bidi w:val="0"/>
              <w:spacing w:line="360" w:lineRule="auto"/>
              <w:jc w:val="center"/>
              <w:outlineLvl w:val="9"/>
              <w:rPr>
                <w:rFonts w:ascii="宋体" w:hAnsi="宋体" w:cs="宋体"/>
                <w:color w:val="auto"/>
                <w:kern w:val="0"/>
                <w:szCs w:val="20"/>
                <w:highlight w:val="none"/>
              </w:rPr>
            </w:pPr>
          </w:p>
        </w:tc>
        <w:tc>
          <w:tcPr>
            <w:tcW w:w="4647" w:type="dxa"/>
            <w:vAlign w:val="center"/>
          </w:tcPr>
          <w:p>
            <w:pPr>
              <w:pageBreakBefore w:val="0"/>
              <w:widowControl/>
              <w:kinsoku/>
              <w:overflowPunct/>
              <w:bidi w:val="0"/>
              <w:spacing w:line="360" w:lineRule="auto"/>
              <w:jc w:val="left"/>
              <w:outlineLvl w:val="9"/>
              <w:rPr>
                <w:rFonts w:ascii="宋体" w:hAnsi="宋体" w:cs="宋体"/>
                <w:color w:val="auto"/>
                <w:kern w:val="0"/>
                <w:szCs w:val="20"/>
                <w:highlight w:val="none"/>
              </w:rPr>
            </w:pPr>
          </w:p>
        </w:tc>
        <w:tc>
          <w:tcPr>
            <w:tcW w:w="1575" w:type="dxa"/>
            <w:vAlign w:val="center"/>
          </w:tcPr>
          <w:p>
            <w:pPr>
              <w:pageBreakBefore w:val="0"/>
              <w:widowControl/>
              <w:kinsoku/>
              <w:overflowPunct/>
              <w:bidi w:val="0"/>
              <w:spacing w:line="360" w:lineRule="auto"/>
              <w:jc w:val="center"/>
              <w:outlineLvl w:val="9"/>
              <w:rPr>
                <w:rFonts w:ascii="宋体" w:hAnsi="宋体" w:cs="宋体"/>
                <w:color w:val="auto"/>
                <w:kern w:val="0"/>
                <w:sz w:val="24"/>
                <w:szCs w:val="20"/>
                <w:highlight w:val="none"/>
              </w:rPr>
            </w:pPr>
          </w:p>
        </w:tc>
        <w:tc>
          <w:tcPr>
            <w:tcW w:w="1185" w:type="dxa"/>
            <w:vAlign w:val="center"/>
          </w:tcPr>
          <w:p>
            <w:pPr>
              <w:pageBreakBefore w:val="0"/>
              <w:widowControl/>
              <w:kinsoku/>
              <w:overflowPunct/>
              <w:bidi w:val="0"/>
              <w:spacing w:line="360" w:lineRule="auto"/>
              <w:jc w:val="center"/>
              <w:outlineLvl w:val="9"/>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pageBreakBefore w:val="0"/>
              <w:widowControl/>
              <w:kinsoku/>
              <w:overflowPunct/>
              <w:bidi w:val="0"/>
              <w:spacing w:line="360" w:lineRule="auto"/>
              <w:jc w:val="center"/>
              <w:outlineLvl w:val="9"/>
              <w:rPr>
                <w:rFonts w:ascii="宋体" w:hAnsi="宋体" w:cs="宋体"/>
                <w:color w:val="auto"/>
                <w:kern w:val="0"/>
                <w:szCs w:val="20"/>
                <w:highlight w:val="none"/>
              </w:rPr>
            </w:pPr>
          </w:p>
        </w:tc>
        <w:tc>
          <w:tcPr>
            <w:tcW w:w="4647" w:type="dxa"/>
            <w:vAlign w:val="center"/>
          </w:tcPr>
          <w:p>
            <w:pPr>
              <w:pageBreakBefore w:val="0"/>
              <w:widowControl/>
              <w:kinsoku/>
              <w:overflowPunct/>
              <w:bidi w:val="0"/>
              <w:spacing w:line="360" w:lineRule="auto"/>
              <w:jc w:val="left"/>
              <w:outlineLvl w:val="9"/>
              <w:rPr>
                <w:rFonts w:ascii="宋体" w:hAnsi="宋体" w:cs="宋体"/>
                <w:color w:val="auto"/>
                <w:kern w:val="0"/>
                <w:szCs w:val="20"/>
                <w:highlight w:val="none"/>
              </w:rPr>
            </w:pPr>
          </w:p>
        </w:tc>
        <w:tc>
          <w:tcPr>
            <w:tcW w:w="1575" w:type="dxa"/>
            <w:vAlign w:val="center"/>
          </w:tcPr>
          <w:p>
            <w:pPr>
              <w:pageBreakBefore w:val="0"/>
              <w:widowControl/>
              <w:kinsoku/>
              <w:overflowPunct/>
              <w:bidi w:val="0"/>
              <w:spacing w:line="360" w:lineRule="auto"/>
              <w:jc w:val="center"/>
              <w:outlineLvl w:val="9"/>
              <w:rPr>
                <w:rFonts w:ascii="宋体" w:hAnsi="宋体" w:cs="宋体"/>
                <w:color w:val="auto"/>
                <w:kern w:val="0"/>
                <w:sz w:val="24"/>
                <w:szCs w:val="20"/>
                <w:highlight w:val="none"/>
              </w:rPr>
            </w:pPr>
          </w:p>
        </w:tc>
        <w:tc>
          <w:tcPr>
            <w:tcW w:w="1185" w:type="dxa"/>
            <w:vAlign w:val="center"/>
          </w:tcPr>
          <w:p>
            <w:pPr>
              <w:pageBreakBefore w:val="0"/>
              <w:widowControl/>
              <w:kinsoku/>
              <w:overflowPunct/>
              <w:bidi w:val="0"/>
              <w:spacing w:line="360" w:lineRule="auto"/>
              <w:jc w:val="center"/>
              <w:outlineLvl w:val="9"/>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pageBreakBefore w:val="0"/>
              <w:widowControl/>
              <w:kinsoku/>
              <w:overflowPunct/>
              <w:bidi w:val="0"/>
              <w:spacing w:line="360" w:lineRule="auto"/>
              <w:jc w:val="center"/>
              <w:outlineLvl w:val="9"/>
              <w:rPr>
                <w:rFonts w:ascii="宋体" w:hAnsi="宋体" w:cs="宋体"/>
                <w:color w:val="auto"/>
                <w:kern w:val="0"/>
                <w:szCs w:val="20"/>
                <w:highlight w:val="none"/>
              </w:rPr>
            </w:pPr>
          </w:p>
        </w:tc>
        <w:tc>
          <w:tcPr>
            <w:tcW w:w="4647" w:type="dxa"/>
            <w:vAlign w:val="center"/>
          </w:tcPr>
          <w:p>
            <w:pPr>
              <w:pageBreakBefore w:val="0"/>
              <w:widowControl/>
              <w:kinsoku/>
              <w:overflowPunct/>
              <w:bidi w:val="0"/>
              <w:spacing w:line="360" w:lineRule="auto"/>
              <w:jc w:val="left"/>
              <w:outlineLvl w:val="9"/>
              <w:rPr>
                <w:rFonts w:ascii="宋体" w:hAnsi="宋体" w:cs="宋体"/>
                <w:color w:val="auto"/>
                <w:kern w:val="0"/>
                <w:szCs w:val="20"/>
                <w:highlight w:val="none"/>
              </w:rPr>
            </w:pPr>
          </w:p>
        </w:tc>
        <w:tc>
          <w:tcPr>
            <w:tcW w:w="1575" w:type="dxa"/>
            <w:vAlign w:val="center"/>
          </w:tcPr>
          <w:p>
            <w:pPr>
              <w:pageBreakBefore w:val="0"/>
              <w:widowControl/>
              <w:kinsoku/>
              <w:overflowPunct/>
              <w:bidi w:val="0"/>
              <w:spacing w:line="360" w:lineRule="auto"/>
              <w:jc w:val="center"/>
              <w:outlineLvl w:val="9"/>
              <w:rPr>
                <w:rFonts w:ascii="宋体" w:hAnsi="宋体" w:cs="宋体"/>
                <w:color w:val="auto"/>
                <w:kern w:val="0"/>
                <w:sz w:val="24"/>
                <w:szCs w:val="20"/>
                <w:highlight w:val="none"/>
              </w:rPr>
            </w:pPr>
          </w:p>
        </w:tc>
        <w:tc>
          <w:tcPr>
            <w:tcW w:w="1185" w:type="dxa"/>
            <w:vAlign w:val="center"/>
          </w:tcPr>
          <w:p>
            <w:pPr>
              <w:pageBreakBefore w:val="0"/>
              <w:widowControl/>
              <w:kinsoku/>
              <w:overflowPunct/>
              <w:bidi w:val="0"/>
              <w:spacing w:line="360" w:lineRule="auto"/>
              <w:jc w:val="center"/>
              <w:outlineLvl w:val="9"/>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pageBreakBefore w:val="0"/>
              <w:widowControl/>
              <w:kinsoku/>
              <w:overflowPunct/>
              <w:bidi w:val="0"/>
              <w:spacing w:line="360" w:lineRule="auto"/>
              <w:jc w:val="center"/>
              <w:outlineLvl w:val="9"/>
              <w:rPr>
                <w:rFonts w:ascii="宋体" w:hAnsi="宋体" w:cs="宋体"/>
                <w:color w:val="auto"/>
                <w:kern w:val="0"/>
                <w:szCs w:val="20"/>
                <w:highlight w:val="none"/>
              </w:rPr>
            </w:pPr>
          </w:p>
        </w:tc>
        <w:tc>
          <w:tcPr>
            <w:tcW w:w="4647" w:type="dxa"/>
            <w:vAlign w:val="center"/>
          </w:tcPr>
          <w:p>
            <w:pPr>
              <w:pageBreakBefore w:val="0"/>
              <w:widowControl/>
              <w:kinsoku/>
              <w:overflowPunct/>
              <w:bidi w:val="0"/>
              <w:spacing w:line="360" w:lineRule="auto"/>
              <w:jc w:val="left"/>
              <w:outlineLvl w:val="9"/>
              <w:rPr>
                <w:rFonts w:ascii="宋体" w:hAnsi="宋体" w:cs="宋体"/>
                <w:color w:val="auto"/>
                <w:kern w:val="0"/>
                <w:szCs w:val="20"/>
                <w:highlight w:val="none"/>
              </w:rPr>
            </w:pPr>
          </w:p>
        </w:tc>
        <w:tc>
          <w:tcPr>
            <w:tcW w:w="1575" w:type="dxa"/>
            <w:vAlign w:val="center"/>
          </w:tcPr>
          <w:p>
            <w:pPr>
              <w:pageBreakBefore w:val="0"/>
              <w:widowControl/>
              <w:kinsoku/>
              <w:overflowPunct/>
              <w:bidi w:val="0"/>
              <w:spacing w:line="360" w:lineRule="auto"/>
              <w:jc w:val="center"/>
              <w:outlineLvl w:val="9"/>
              <w:rPr>
                <w:rFonts w:ascii="宋体" w:hAnsi="宋体" w:cs="宋体"/>
                <w:color w:val="auto"/>
                <w:kern w:val="0"/>
                <w:sz w:val="24"/>
                <w:szCs w:val="20"/>
                <w:highlight w:val="none"/>
              </w:rPr>
            </w:pPr>
          </w:p>
        </w:tc>
        <w:tc>
          <w:tcPr>
            <w:tcW w:w="1185" w:type="dxa"/>
            <w:vAlign w:val="center"/>
          </w:tcPr>
          <w:p>
            <w:pPr>
              <w:pageBreakBefore w:val="0"/>
              <w:widowControl/>
              <w:kinsoku/>
              <w:overflowPunct/>
              <w:bidi w:val="0"/>
              <w:spacing w:line="360" w:lineRule="auto"/>
              <w:jc w:val="center"/>
              <w:outlineLvl w:val="9"/>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pageBreakBefore w:val="0"/>
              <w:widowControl/>
              <w:kinsoku/>
              <w:overflowPunct/>
              <w:bidi w:val="0"/>
              <w:spacing w:line="360" w:lineRule="auto"/>
              <w:jc w:val="center"/>
              <w:outlineLvl w:val="9"/>
              <w:rPr>
                <w:rFonts w:ascii="宋体" w:hAnsi="宋体" w:cs="宋体"/>
                <w:color w:val="auto"/>
                <w:kern w:val="0"/>
                <w:szCs w:val="20"/>
                <w:highlight w:val="none"/>
              </w:rPr>
            </w:pPr>
          </w:p>
        </w:tc>
        <w:tc>
          <w:tcPr>
            <w:tcW w:w="4647" w:type="dxa"/>
            <w:vAlign w:val="center"/>
          </w:tcPr>
          <w:p>
            <w:pPr>
              <w:pageBreakBefore w:val="0"/>
              <w:widowControl/>
              <w:kinsoku/>
              <w:overflowPunct/>
              <w:bidi w:val="0"/>
              <w:spacing w:line="360" w:lineRule="auto"/>
              <w:jc w:val="left"/>
              <w:outlineLvl w:val="9"/>
              <w:rPr>
                <w:rFonts w:ascii="宋体" w:hAnsi="宋体" w:cs="宋体"/>
                <w:color w:val="auto"/>
                <w:kern w:val="0"/>
                <w:szCs w:val="20"/>
                <w:highlight w:val="none"/>
              </w:rPr>
            </w:pPr>
          </w:p>
        </w:tc>
        <w:tc>
          <w:tcPr>
            <w:tcW w:w="1575" w:type="dxa"/>
            <w:vAlign w:val="center"/>
          </w:tcPr>
          <w:p>
            <w:pPr>
              <w:pageBreakBefore w:val="0"/>
              <w:widowControl/>
              <w:kinsoku/>
              <w:overflowPunct/>
              <w:bidi w:val="0"/>
              <w:spacing w:line="360" w:lineRule="auto"/>
              <w:jc w:val="center"/>
              <w:outlineLvl w:val="9"/>
              <w:rPr>
                <w:rFonts w:ascii="宋体" w:hAnsi="宋体" w:cs="宋体"/>
                <w:color w:val="auto"/>
                <w:kern w:val="0"/>
                <w:sz w:val="24"/>
                <w:szCs w:val="20"/>
                <w:highlight w:val="none"/>
              </w:rPr>
            </w:pPr>
          </w:p>
        </w:tc>
        <w:tc>
          <w:tcPr>
            <w:tcW w:w="1185" w:type="dxa"/>
            <w:vAlign w:val="center"/>
          </w:tcPr>
          <w:p>
            <w:pPr>
              <w:pageBreakBefore w:val="0"/>
              <w:widowControl/>
              <w:kinsoku/>
              <w:overflowPunct/>
              <w:bidi w:val="0"/>
              <w:spacing w:line="360" w:lineRule="auto"/>
              <w:jc w:val="center"/>
              <w:outlineLvl w:val="9"/>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pageBreakBefore w:val="0"/>
              <w:widowControl/>
              <w:kinsoku/>
              <w:overflowPunct/>
              <w:bidi w:val="0"/>
              <w:spacing w:line="360" w:lineRule="auto"/>
              <w:jc w:val="center"/>
              <w:outlineLvl w:val="9"/>
              <w:rPr>
                <w:rFonts w:ascii="宋体" w:hAnsi="宋体" w:cs="宋体"/>
                <w:color w:val="auto"/>
                <w:kern w:val="0"/>
                <w:szCs w:val="20"/>
                <w:highlight w:val="none"/>
              </w:rPr>
            </w:pPr>
          </w:p>
        </w:tc>
        <w:tc>
          <w:tcPr>
            <w:tcW w:w="4647" w:type="dxa"/>
            <w:vAlign w:val="center"/>
          </w:tcPr>
          <w:p>
            <w:pPr>
              <w:pageBreakBefore w:val="0"/>
              <w:widowControl/>
              <w:kinsoku/>
              <w:overflowPunct/>
              <w:bidi w:val="0"/>
              <w:spacing w:line="360" w:lineRule="auto"/>
              <w:jc w:val="left"/>
              <w:outlineLvl w:val="9"/>
              <w:rPr>
                <w:rFonts w:ascii="宋体" w:hAnsi="宋体" w:cs="宋体"/>
                <w:color w:val="auto"/>
                <w:kern w:val="0"/>
                <w:szCs w:val="20"/>
                <w:highlight w:val="none"/>
              </w:rPr>
            </w:pPr>
          </w:p>
        </w:tc>
        <w:tc>
          <w:tcPr>
            <w:tcW w:w="1575" w:type="dxa"/>
            <w:vAlign w:val="center"/>
          </w:tcPr>
          <w:p>
            <w:pPr>
              <w:pageBreakBefore w:val="0"/>
              <w:widowControl/>
              <w:kinsoku/>
              <w:overflowPunct/>
              <w:bidi w:val="0"/>
              <w:spacing w:line="360" w:lineRule="auto"/>
              <w:jc w:val="center"/>
              <w:outlineLvl w:val="9"/>
              <w:rPr>
                <w:rFonts w:ascii="宋体" w:hAnsi="宋体" w:cs="宋体"/>
                <w:color w:val="auto"/>
                <w:kern w:val="0"/>
                <w:sz w:val="24"/>
                <w:szCs w:val="20"/>
                <w:highlight w:val="none"/>
              </w:rPr>
            </w:pPr>
          </w:p>
        </w:tc>
        <w:tc>
          <w:tcPr>
            <w:tcW w:w="1185" w:type="dxa"/>
            <w:vAlign w:val="center"/>
          </w:tcPr>
          <w:p>
            <w:pPr>
              <w:pageBreakBefore w:val="0"/>
              <w:widowControl/>
              <w:kinsoku/>
              <w:overflowPunct/>
              <w:bidi w:val="0"/>
              <w:spacing w:line="360" w:lineRule="auto"/>
              <w:jc w:val="center"/>
              <w:outlineLvl w:val="9"/>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pageBreakBefore w:val="0"/>
              <w:widowControl/>
              <w:kinsoku/>
              <w:overflowPunct/>
              <w:bidi w:val="0"/>
              <w:spacing w:line="360" w:lineRule="auto"/>
              <w:jc w:val="center"/>
              <w:outlineLvl w:val="9"/>
              <w:rPr>
                <w:rFonts w:ascii="宋体" w:hAnsi="宋体" w:cs="宋体"/>
                <w:color w:val="auto"/>
                <w:kern w:val="0"/>
                <w:szCs w:val="20"/>
                <w:highlight w:val="none"/>
              </w:rPr>
            </w:pPr>
          </w:p>
        </w:tc>
        <w:tc>
          <w:tcPr>
            <w:tcW w:w="4647" w:type="dxa"/>
            <w:vAlign w:val="center"/>
          </w:tcPr>
          <w:p>
            <w:pPr>
              <w:pageBreakBefore w:val="0"/>
              <w:widowControl/>
              <w:kinsoku/>
              <w:overflowPunct/>
              <w:bidi w:val="0"/>
              <w:spacing w:line="360" w:lineRule="auto"/>
              <w:jc w:val="left"/>
              <w:outlineLvl w:val="9"/>
              <w:rPr>
                <w:rFonts w:ascii="宋体" w:hAnsi="宋体" w:cs="宋体"/>
                <w:color w:val="auto"/>
                <w:kern w:val="0"/>
                <w:szCs w:val="20"/>
                <w:highlight w:val="none"/>
              </w:rPr>
            </w:pPr>
          </w:p>
        </w:tc>
        <w:tc>
          <w:tcPr>
            <w:tcW w:w="1575" w:type="dxa"/>
            <w:vAlign w:val="center"/>
          </w:tcPr>
          <w:p>
            <w:pPr>
              <w:pageBreakBefore w:val="0"/>
              <w:widowControl/>
              <w:kinsoku/>
              <w:overflowPunct/>
              <w:bidi w:val="0"/>
              <w:spacing w:line="360" w:lineRule="auto"/>
              <w:jc w:val="center"/>
              <w:outlineLvl w:val="9"/>
              <w:rPr>
                <w:rFonts w:ascii="宋体" w:hAnsi="宋体" w:cs="宋体"/>
                <w:color w:val="auto"/>
                <w:kern w:val="0"/>
                <w:sz w:val="24"/>
                <w:szCs w:val="20"/>
                <w:highlight w:val="none"/>
              </w:rPr>
            </w:pPr>
          </w:p>
        </w:tc>
        <w:tc>
          <w:tcPr>
            <w:tcW w:w="1185" w:type="dxa"/>
            <w:vAlign w:val="center"/>
          </w:tcPr>
          <w:p>
            <w:pPr>
              <w:pageBreakBefore w:val="0"/>
              <w:widowControl/>
              <w:kinsoku/>
              <w:overflowPunct/>
              <w:bidi w:val="0"/>
              <w:spacing w:line="360" w:lineRule="auto"/>
              <w:jc w:val="center"/>
              <w:outlineLvl w:val="9"/>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pageBreakBefore w:val="0"/>
              <w:widowControl/>
              <w:kinsoku/>
              <w:overflowPunct/>
              <w:bidi w:val="0"/>
              <w:spacing w:line="360" w:lineRule="auto"/>
              <w:jc w:val="center"/>
              <w:outlineLvl w:val="9"/>
              <w:rPr>
                <w:rFonts w:ascii="宋体" w:hAnsi="宋体" w:cs="宋体"/>
                <w:color w:val="auto"/>
                <w:kern w:val="0"/>
                <w:szCs w:val="20"/>
                <w:highlight w:val="none"/>
              </w:rPr>
            </w:pPr>
          </w:p>
        </w:tc>
        <w:tc>
          <w:tcPr>
            <w:tcW w:w="4647" w:type="dxa"/>
            <w:vAlign w:val="center"/>
          </w:tcPr>
          <w:p>
            <w:pPr>
              <w:pageBreakBefore w:val="0"/>
              <w:widowControl/>
              <w:kinsoku/>
              <w:overflowPunct/>
              <w:bidi w:val="0"/>
              <w:spacing w:line="360" w:lineRule="auto"/>
              <w:jc w:val="left"/>
              <w:outlineLvl w:val="9"/>
              <w:rPr>
                <w:rFonts w:ascii="宋体" w:hAnsi="宋体" w:cs="宋体"/>
                <w:color w:val="auto"/>
                <w:kern w:val="0"/>
                <w:szCs w:val="20"/>
                <w:highlight w:val="none"/>
              </w:rPr>
            </w:pPr>
          </w:p>
        </w:tc>
        <w:tc>
          <w:tcPr>
            <w:tcW w:w="1575" w:type="dxa"/>
            <w:vAlign w:val="center"/>
          </w:tcPr>
          <w:p>
            <w:pPr>
              <w:pageBreakBefore w:val="0"/>
              <w:widowControl/>
              <w:kinsoku/>
              <w:overflowPunct/>
              <w:bidi w:val="0"/>
              <w:spacing w:line="360" w:lineRule="auto"/>
              <w:jc w:val="center"/>
              <w:outlineLvl w:val="9"/>
              <w:rPr>
                <w:rFonts w:ascii="宋体" w:hAnsi="宋体" w:cs="宋体"/>
                <w:color w:val="auto"/>
                <w:kern w:val="0"/>
                <w:sz w:val="24"/>
                <w:szCs w:val="20"/>
                <w:highlight w:val="none"/>
              </w:rPr>
            </w:pPr>
          </w:p>
        </w:tc>
        <w:tc>
          <w:tcPr>
            <w:tcW w:w="1185" w:type="dxa"/>
            <w:vAlign w:val="center"/>
          </w:tcPr>
          <w:p>
            <w:pPr>
              <w:pageBreakBefore w:val="0"/>
              <w:widowControl/>
              <w:kinsoku/>
              <w:overflowPunct/>
              <w:bidi w:val="0"/>
              <w:spacing w:line="360" w:lineRule="auto"/>
              <w:jc w:val="center"/>
              <w:outlineLvl w:val="9"/>
              <w:rPr>
                <w:rFonts w:ascii="宋体" w:hAnsi="宋体" w:cs="宋体"/>
                <w:color w:val="auto"/>
                <w:kern w:val="0"/>
                <w:sz w:val="24"/>
                <w:szCs w:val="20"/>
                <w:highlight w:val="none"/>
              </w:rPr>
            </w:pPr>
          </w:p>
        </w:tc>
      </w:tr>
    </w:tbl>
    <w:p>
      <w:pPr>
        <w:pageBreakBefore w:val="0"/>
        <w:widowControl/>
        <w:kinsoku/>
        <w:overflowPunct/>
        <w:bidi w:val="0"/>
        <w:snapToGrid w:val="0"/>
        <w:spacing w:before="50"/>
        <w:jc w:val="left"/>
        <w:outlineLvl w:val="9"/>
        <w:rPr>
          <w:rFonts w:ascii="宋体" w:hAnsi="宋体" w:cs="宋体"/>
          <w:color w:val="auto"/>
          <w:kern w:val="0"/>
          <w:szCs w:val="21"/>
          <w:highlight w:val="none"/>
        </w:rPr>
      </w:pPr>
      <w:r>
        <w:rPr>
          <w:rFonts w:hint="eastAsia" w:ascii="宋体" w:hAnsi="宋体" w:cs="宋体"/>
          <w:color w:val="auto"/>
          <w:kern w:val="0"/>
          <w:szCs w:val="20"/>
          <w:highlight w:val="none"/>
        </w:rPr>
        <w:t>供应商须按第二章《采购需求》</w:t>
      </w:r>
      <w:r>
        <w:rPr>
          <w:rFonts w:hint="eastAsia" w:ascii="宋体" w:hAnsi="宋体" w:cs="宋体"/>
          <w:color w:val="auto"/>
          <w:kern w:val="0"/>
          <w:szCs w:val="21"/>
          <w:highlight w:val="none"/>
        </w:rPr>
        <w:t>“</w:t>
      </w:r>
      <w:r>
        <w:rPr>
          <w:rFonts w:hint="eastAsia" w:ascii="宋体" w:hAnsi="宋体" w:cs="宋体"/>
          <w:color w:val="auto"/>
          <w:kern w:val="0"/>
          <w:szCs w:val="20"/>
          <w:highlight w:val="none"/>
        </w:rPr>
        <w:t>一、重要商务要求一览表”逐项填写，并根据“第五章 政府采购合同主要条款”内容自行补充。</w:t>
      </w:r>
    </w:p>
    <w:p>
      <w:pPr>
        <w:pageBreakBefore w:val="0"/>
        <w:widowControl/>
        <w:kinsoku/>
        <w:overflowPunct/>
        <w:bidi w:val="0"/>
        <w:snapToGrid w:val="0"/>
        <w:spacing w:before="50"/>
        <w:jc w:val="left"/>
        <w:outlineLvl w:val="9"/>
        <w:rPr>
          <w:rFonts w:ascii="宋体" w:hAnsi="宋体" w:cs="宋体"/>
          <w:color w:val="auto"/>
          <w:kern w:val="0"/>
          <w:szCs w:val="20"/>
          <w:highlight w:val="none"/>
        </w:rPr>
      </w:pPr>
    </w:p>
    <w:p>
      <w:pPr>
        <w:pageBreakBefore w:val="0"/>
        <w:widowControl/>
        <w:kinsoku/>
        <w:overflowPunct/>
        <w:bidi w:val="0"/>
        <w:snapToGrid w:val="0"/>
        <w:spacing w:before="50"/>
        <w:jc w:val="left"/>
        <w:outlineLvl w:val="9"/>
        <w:rPr>
          <w:rFonts w:ascii="宋体" w:hAnsi="宋体" w:cs="宋体"/>
          <w:color w:val="auto"/>
          <w:kern w:val="0"/>
          <w:szCs w:val="20"/>
          <w:highlight w:val="none"/>
        </w:rPr>
      </w:pPr>
    </w:p>
    <w:p>
      <w:pPr>
        <w:pageBreakBefore w:val="0"/>
        <w:widowControl/>
        <w:kinsoku/>
        <w:overflowPunct/>
        <w:bidi w:val="0"/>
        <w:snapToGrid w:val="0"/>
        <w:spacing w:before="50"/>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供应商名称（公章）：</w:t>
      </w:r>
    </w:p>
    <w:p>
      <w:pPr>
        <w:pageBreakBefore w:val="0"/>
        <w:widowControl/>
        <w:kinsoku/>
        <w:overflowPunct/>
        <w:bidi w:val="0"/>
        <w:snapToGrid w:val="0"/>
        <w:spacing w:before="50"/>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法定代表或授权代表</w:t>
      </w:r>
      <w:r>
        <w:rPr>
          <w:rFonts w:hint="eastAsia" w:ascii="宋体" w:hAnsi="宋体" w:cs="宋体"/>
          <w:color w:val="auto"/>
          <w:kern w:val="0"/>
          <w:szCs w:val="20"/>
          <w:highlight w:val="none"/>
        </w:rPr>
        <w:t>（签名或印章）</w:t>
      </w:r>
      <w:r>
        <w:rPr>
          <w:rFonts w:hint="eastAsia" w:ascii="宋体" w:hAnsi="宋体" w:cs="宋体"/>
          <w:color w:val="auto"/>
          <w:kern w:val="0"/>
          <w:szCs w:val="21"/>
          <w:highlight w:val="none"/>
        </w:rPr>
        <w:t>：</w:t>
      </w:r>
    </w:p>
    <w:p>
      <w:pPr>
        <w:pageBreakBefore w:val="0"/>
        <w:widowControl/>
        <w:kinsoku/>
        <w:overflowPunct/>
        <w:bidi w:val="0"/>
        <w:snapToGrid w:val="0"/>
        <w:spacing w:before="50"/>
        <w:jc w:val="left"/>
        <w:outlineLvl w:val="9"/>
        <w:rPr>
          <w:rFonts w:ascii="宋体" w:hAnsi="宋体" w:cs="宋体"/>
          <w:color w:val="auto"/>
          <w:kern w:val="0"/>
          <w:szCs w:val="21"/>
          <w:highlight w:val="none"/>
        </w:rPr>
      </w:pPr>
    </w:p>
    <w:p>
      <w:pPr>
        <w:pageBreakBefore w:val="0"/>
        <w:widowControl/>
        <w:kinsoku/>
        <w:overflowPunct/>
        <w:bidi w:val="0"/>
        <w:snapToGrid w:val="0"/>
        <w:spacing w:before="50"/>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w:t>
      </w:r>
    </w:p>
    <w:p>
      <w:pPr>
        <w:pageBreakBefore w:val="0"/>
        <w:widowControl/>
        <w:kinsoku/>
        <w:overflowPunct/>
        <w:bidi w:val="0"/>
        <w:snapToGrid w:val="0"/>
        <w:spacing w:before="50"/>
        <w:jc w:val="left"/>
        <w:outlineLvl w:val="9"/>
        <w:rPr>
          <w:rFonts w:ascii="宋体" w:hAnsi="宋体" w:cs="宋体"/>
          <w:color w:val="auto"/>
          <w:kern w:val="0"/>
          <w:szCs w:val="21"/>
          <w:highlight w:val="none"/>
        </w:rPr>
      </w:pPr>
    </w:p>
    <w:p>
      <w:pPr>
        <w:pageBreakBefore w:val="0"/>
        <w:widowControl/>
        <w:kinsoku/>
        <w:overflowPunct/>
        <w:bidi w:val="0"/>
        <w:snapToGrid w:val="0"/>
        <w:spacing w:beforeLines="50" w:after="50"/>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br w:type="page"/>
      </w:r>
      <w:r>
        <w:rPr>
          <w:rFonts w:hint="eastAsia" w:ascii="宋体" w:hAnsi="宋体" w:cs="宋体"/>
          <w:b/>
          <w:bCs/>
          <w:color w:val="auto"/>
          <w:kern w:val="0"/>
          <w:szCs w:val="21"/>
          <w:highlight w:val="none"/>
          <w:lang w:val="en-US" w:eastAsia="zh-CN"/>
        </w:rPr>
        <w:t>17</w:t>
      </w:r>
      <w:r>
        <w:rPr>
          <w:rFonts w:hint="eastAsia" w:ascii="宋体" w:hAnsi="宋体" w:cs="宋体"/>
          <w:b/>
          <w:bCs/>
          <w:color w:val="auto"/>
          <w:kern w:val="0"/>
          <w:szCs w:val="21"/>
          <w:highlight w:val="none"/>
        </w:rPr>
        <w:t>.供应商情况一览表</w:t>
      </w:r>
    </w:p>
    <w:p>
      <w:pPr>
        <w:pageBreakBefore w:val="0"/>
        <w:widowControl/>
        <w:kinsoku/>
        <w:overflowPunct/>
        <w:bidi w:val="0"/>
        <w:snapToGrid w:val="0"/>
        <w:spacing w:beforeLines="50" w:after="50"/>
        <w:jc w:val="left"/>
        <w:outlineLvl w:val="9"/>
        <w:rPr>
          <w:rFonts w:ascii="宋体" w:hAnsi="宋体" w:cs="宋体"/>
          <w:color w:val="auto"/>
          <w:kern w:val="0"/>
          <w:szCs w:val="21"/>
          <w:highlight w:val="none"/>
        </w:rPr>
      </w:pPr>
    </w:p>
    <w:p>
      <w:pPr>
        <w:pageBreakBefore w:val="0"/>
        <w:widowControl/>
        <w:kinsoku/>
        <w:overflowPunct/>
        <w:bidi w:val="0"/>
        <w:snapToGrid w:val="0"/>
        <w:spacing w:before="50" w:afterLines="50" w:line="360" w:lineRule="auto"/>
        <w:jc w:val="center"/>
        <w:outlineLvl w:val="9"/>
        <w:rPr>
          <w:rFonts w:ascii="宋体" w:hAnsi="宋体" w:cs="宋体"/>
          <w:b/>
          <w:bCs/>
          <w:color w:val="auto"/>
          <w:kern w:val="0"/>
          <w:szCs w:val="20"/>
          <w:highlight w:val="none"/>
        </w:rPr>
      </w:pPr>
      <w:r>
        <w:rPr>
          <w:rFonts w:hint="eastAsia" w:ascii="宋体" w:hAnsi="宋体" w:cs="宋体"/>
          <w:b/>
          <w:bCs/>
          <w:color w:val="auto"/>
          <w:kern w:val="0"/>
          <w:szCs w:val="20"/>
          <w:highlight w:val="none"/>
        </w:rPr>
        <w:t>供应商情况一览表</w:t>
      </w:r>
    </w:p>
    <w:tbl>
      <w:tblPr>
        <w:tblStyle w:val="35"/>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86"/>
        <w:gridCol w:w="986"/>
        <w:gridCol w:w="584"/>
        <w:gridCol w:w="402"/>
        <w:gridCol w:w="986"/>
        <w:gridCol w:w="284"/>
        <w:gridCol w:w="702"/>
        <w:gridCol w:w="875"/>
        <w:gridCol w:w="111"/>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8318" w:type="dxa"/>
            <w:gridSpan w:val="11"/>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spacing w:line="480" w:lineRule="exact"/>
              <w:jc w:val="center"/>
              <w:outlineLvl w:val="9"/>
              <w:rPr>
                <w:rFonts w:ascii="宋体" w:hAnsi="宋体" w:cs="宋体"/>
                <w:color w:val="auto"/>
                <w:kern w:val="0"/>
                <w:szCs w:val="21"/>
                <w:highlight w:val="none"/>
              </w:rPr>
            </w:pPr>
            <w:r>
              <w:rPr>
                <w:rFonts w:hint="eastAsia" w:ascii="宋体" w:hAnsi="宋体" w:cs="宋体"/>
                <w:color w:val="auto"/>
                <w:kern w:val="0"/>
                <w:szCs w:val="21"/>
                <w:highlight w:val="none"/>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spacing w:line="480" w:lineRule="exact"/>
              <w:jc w:val="center"/>
              <w:outlineLvl w:val="9"/>
              <w:rPr>
                <w:rFonts w:ascii="宋体" w:hAnsi="宋体" w:cs="宋体"/>
                <w:color w:val="auto"/>
                <w:kern w:val="0"/>
                <w:szCs w:val="21"/>
                <w:highlight w:val="none"/>
              </w:rPr>
            </w:pPr>
            <w:r>
              <w:rPr>
                <w:rFonts w:hint="eastAsia" w:ascii="宋体" w:hAnsi="宋体" w:cs="宋体"/>
                <w:color w:val="auto"/>
                <w:kern w:val="0"/>
                <w:szCs w:val="21"/>
                <w:highlight w:val="none"/>
              </w:rPr>
              <w:t>单位名称</w:t>
            </w:r>
          </w:p>
        </w:tc>
        <w:tc>
          <w:tcPr>
            <w:tcW w:w="6904" w:type="dxa"/>
            <w:gridSpan w:val="10"/>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spacing w:line="480" w:lineRule="exact"/>
              <w:jc w:val="center"/>
              <w:outlineLvl w:val="9"/>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spacing w:line="480" w:lineRule="exact"/>
              <w:jc w:val="center"/>
              <w:outlineLvl w:val="9"/>
              <w:rPr>
                <w:rFonts w:ascii="宋体" w:hAnsi="宋体" w:cs="宋体"/>
                <w:color w:val="auto"/>
                <w:kern w:val="0"/>
                <w:szCs w:val="21"/>
                <w:highlight w:val="none"/>
              </w:rPr>
            </w:pPr>
            <w:r>
              <w:rPr>
                <w:rFonts w:hint="eastAsia" w:ascii="宋体" w:hAnsi="宋体" w:cs="宋体"/>
                <w:color w:val="auto"/>
                <w:kern w:val="0"/>
                <w:szCs w:val="21"/>
                <w:highlight w:val="none"/>
              </w:rPr>
              <w:t>地  址</w:t>
            </w:r>
          </w:p>
        </w:tc>
        <w:tc>
          <w:tcPr>
            <w:tcW w:w="4228" w:type="dxa"/>
            <w:gridSpan w:val="6"/>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spacing w:line="480" w:lineRule="exact"/>
              <w:jc w:val="center"/>
              <w:outlineLvl w:val="9"/>
              <w:rPr>
                <w:rFonts w:ascii="宋体" w:hAnsi="宋体" w:cs="宋体"/>
                <w:color w:val="auto"/>
                <w:kern w:val="0"/>
                <w:szCs w:val="21"/>
                <w:highlight w:val="none"/>
              </w:rPr>
            </w:pPr>
          </w:p>
        </w:tc>
        <w:tc>
          <w:tcPr>
            <w:tcW w:w="1577"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spacing w:line="480" w:lineRule="exact"/>
              <w:jc w:val="center"/>
              <w:outlineLvl w:val="9"/>
              <w:rPr>
                <w:rFonts w:ascii="宋体" w:hAnsi="宋体" w:cs="宋体"/>
                <w:color w:val="auto"/>
                <w:kern w:val="0"/>
                <w:szCs w:val="21"/>
                <w:highlight w:val="none"/>
              </w:rPr>
            </w:pPr>
            <w:r>
              <w:rPr>
                <w:rFonts w:hint="eastAsia" w:ascii="宋体" w:hAnsi="宋体" w:cs="宋体"/>
                <w:color w:val="auto"/>
                <w:kern w:val="0"/>
                <w:szCs w:val="21"/>
                <w:highlight w:val="none"/>
              </w:rPr>
              <w:t>法定代表人</w:t>
            </w:r>
          </w:p>
        </w:tc>
        <w:tc>
          <w:tcPr>
            <w:tcW w:w="1099"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spacing w:line="480" w:lineRule="exact"/>
              <w:jc w:val="center"/>
              <w:outlineLvl w:val="9"/>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spacing w:line="480" w:lineRule="exact"/>
              <w:jc w:val="center"/>
              <w:outlineLvl w:val="9"/>
              <w:rPr>
                <w:rFonts w:ascii="宋体" w:hAnsi="宋体" w:cs="宋体"/>
                <w:color w:val="auto"/>
                <w:kern w:val="0"/>
                <w:szCs w:val="21"/>
                <w:highlight w:val="none"/>
              </w:rPr>
            </w:pPr>
            <w:r>
              <w:rPr>
                <w:rFonts w:hint="eastAsia" w:ascii="宋体" w:hAnsi="宋体" w:cs="宋体"/>
                <w:color w:val="auto"/>
                <w:kern w:val="0"/>
                <w:szCs w:val="21"/>
                <w:highlight w:val="none"/>
              </w:rPr>
              <w:t>成立时间</w:t>
            </w:r>
          </w:p>
        </w:tc>
        <w:tc>
          <w:tcPr>
            <w:tcW w:w="4228" w:type="dxa"/>
            <w:gridSpan w:val="6"/>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spacing w:line="480" w:lineRule="exact"/>
              <w:jc w:val="center"/>
              <w:outlineLvl w:val="9"/>
              <w:rPr>
                <w:rFonts w:ascii="宋体" w:hAnsi="宋体" w:cs="宋体"/>
                <w:color w:val="auto"/>
                <w:kern w:val="0"/>
                <w:szCs w:val="21"/>
                <w:highlight w:val="none"/>
              </w:rPr>
            </w:pPr>
          </w:p>
        </w:tc>
        <w:tc>
          <w:tcPr>
            <w:tcW w:w="1577"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spacing w:line="480" w:lineRule="exact"/>
              <w:jc w:val="center"/>
              <w:outlineLvl w:val="9"/>
              <w:rPr>
                <w:rFonts w:ascii="宋体" w:hAnsi="宋体" w:cs="宋体"/>
                <w:color w:val="auto"/>
                <w:kern w:val="0"/>
                <w:szCs w:val="21"/>
                <w:highlight w:val="none"/>
              </w:rPr>
            </w:pPr>
            <w:r>
              <w:rPr>
                <w:rFonts w:hint="eastAsia" w:ascii="宋体" w:hAnsi="宋体" w:cs="宋体"/>
                <w:color w:val="auto"/>
                <w:kern w:val="0"/>
                <w:szCs w:val="21"/>
                <w:highlight w:val="none"/>
              </w:rPr>
              <w:t>注册资本</w:t>
            </w:r>
          </w:p>
        </w:tc>
        <w:tc>
          <w:tcPr>
            <w:tcW w:w="1099"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spacing w:line="480" w:lineRule="exact"/>
              <w:jc w:val="center"/>
              <w:outlineLvl w:val="9"/>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spacing w:line="480" w:lineRule="exact"/>
              <w:jc w:val="center"/>
              <w:outlineLvl w:val="9"/>
              <w:rPr>
                <w:rFonts w:ascii="宋体" w:hAnsi="宋体" w:cs="宋体"/>
                <w:color w:val="auto"/>
                <w:kern w:val="0"/>
                <w:szCs w:val="21"/>
                <w:highlight w:val="none"/>
              </w:rPr>
            </w:pPr>
            <w:r>
              <w:rPr>
                <w:rFonts w:hint="eastAsia" w:ascii="宋体" w:hAnsi="宋体" w:cs="宋体"/>
                <w:color w:val="auto"/>
                <w:kern w:val="0"/>
                <w:szCs w:val="21"/>
                <w:highlight w:val="none"/>
              </w:rPr>
              <w:t>开户银行</w:t>
            </w:r>
          </w:p>
        </w:tc>
        <w:tc>
          <w:tcPr>
            <w:tcW w:w="2556" w:type="dxa"/>
            <w:gridSpan w:val="3"/>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spacing w:line="480" w:lineRule="exact"/>
              <w:jc w:val="center"/>
              <w:outlineLvl w:val="9"/>
              <w:rPr>
                <w:rFonts w:ascii="宋体" w:hAnsi="宋体" w:cs="宋体"/>
                <w:color w:val="auto"/>
                <w:kern w:val="0"/>
                <w:szCs w:val="21"/>
                <w:highlight w:val="none"/>
              </w:rPr>
            </w:pPr>
          </w:p>
        </w:tc>
        <w:tc>
          <w:tcPr>
            <w:tcW w:w="1672" w:type="dxa"/>
            <w:gridSpan w:val="3"/>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spacing w:line="480" w:lineRule="exact"/>
              <w:jc w:val="center"/>
              <w:outlineLvl w:val="9"/>
              <w:rPr>
                <w:rFonts w:ascii="宋体" w:hAnsi="宋体" w:cs="宋体"/>
                <w:color w:val="auto"/>
                <w:kern w:val="0"/>
                <w:szCs w:val="21"/>
                <w:highlight w:val="none"/>
              </w:rPr>
            </w:pPr>
            <w:r>
              <w:rPr>
                <w:rFonts w:hint="eastAsia" w:ascii="宋体" w:hAnsi="宋体" w:cs="宋体"/>
                <w:color w:val="auto"/>
                <w:kern w:val="0"/>
                <w:szCs w:val="21"/>
                <w:highlight w:val="none"/>
                <w:lang w:eastAsia="zh-CN"/>
              </w:rPr>
              <w:t>账</w:t>
            </w:r>
            <w:r>
              <w:rPr>
                <w:rFonts w:hint="eastAsia" w:ascii="宋体" w:hAnsi="宋体" w:cs="宋体"/>
                <w:color w:val="auto"/>
                <w:kern w:val="0"/>
                <w:szCs w:val="21"/>
                <w:highlight w:val="none"/>
              </w:rPr>
              <w:t xml:space="preserve">  号</w:t>
            </w:r>
          </w:p>
        </w:tc>
        <w:tc>
          <w:tcPr>
            <w:tcW w:w="2676" w:type="dxa"/>
            <w:gridSpan w:val="4"/>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spacing w:line="480" w:lineRule="exact"/>
              <w:jc w:val="center"/>
              <w:outlineLvl w:val="9"/>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spacing w:line="480" w:lineRule="exact"/>
              <w:jc w:val="center"/>
              <w:outlineLvl w:val="9"/>
              <w:rPr>
                <w:rFonts w:ascii="宋体" w:hAnsi="宋体" w:cs="宋体"/>
                <w:color w:val="auto"/>
                <w:kern w:val="0"/>
                <w:szCs w:val="21"/>
                <w:highlight w:val="none"/>
              </w:rPr>
            </w:pPr>
            <w:r>
              <w:rPr>
                <w:rFonts w:hint="eastAsia" w:ascii="宋体" w:hAnsi="宋体" w:cs="宋体"/>
                <w:color w:val="auto"/>
                <w:kern w:val="0"/>
                <w:szCs w:val="21"/>
                <w:highlight w:val="none"/>
              </w:rPr>
              <w:t>联系电话</w:t>
            </w:r>
          </w:p>
        </w:tc>
        <w:tc>
          <w:tcPr>
            <w:tcW w:w="6904" w:type="dxa"/>
            <w:gridSpan w:val="10"/>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spacing w:line="480" w:lineRule="exact"/>
              <w:jc w:val="center"/>
              <w:outlineLvl w:val="9"/>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spacing w:line="480" w:lineRule="exact"/>
              <w:jc w:val="center"/>
              <w:outlineLvl w:val="9"/>
              <w:rPr>
                <w:rFonts w:ascii="宋体" w:hAnsi="宋体" w:cs="宋体"/>
                <w:color w:val="auto"/>
                <w:kern w:val="0"/>
                <w:szCs w:val="21"/>
                <w:highlight w:val="none"/>
              </w:rPr>
            </w:pPr>
            <w:r>
              <w:rPr>
                <w:rFonts w:hint="eastAsia" w:ascii="宋体" w:hAnsi="宋体" w:cs="宋体"/>
                <w:color w:val="auto"/>
                <w:kern w:val="0"/>
                <w:szCs w:val="21"/>
                <w:highlight w:val="none"/>
              </w:rPr>
              <w:t>企业总人数</w:t>
            </w:r>
          </w:p>
        </w:tc>
        <w:tc>
          <w:tcPr>
            <w:tcW w:w="986"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spacing w:line="480" w:lineRule="exact"/>
              <w:jc w:val="center"/>
              <w:outlineLvl w:val="9"/>
              <w:rPr>
                <w:rFonts w:ascii="宋体" w:hAnsi="宋体" w:cs="宋体"/>
                <w:color w:val="auto"/>
                <w:kern w:val="0"/>
                <w:szCs w:val="21"/>
                <w:highlight w:val="none"/>
              </w:rPr>
            </w:pPr>
          </w:p>
        </w:tc>
        <w:tc>
          <w:tcPr>
            <w:tcW w:w="986"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spacing w:line="480" w:lineRule="exact"/>
              <w:jc w:val="center"/>
              <w:outlineLvl w:val="9"/>
              <w:rPr>
                <w:rFonts w:ascii="宋体" w:hAnsi="宋体" w:cs="宋体"/>
                <w:color w:val="auto"/>
                <w:kern w:val="0"/>
                <w:szCs w:val="21"/>
                <w:highlight w:val="none"/>
              </w:rPr>
            </w:pPr>
            <w:r>
              <w:rPr>
                <w:rFonts w:hint="eastAsia" w:ascii="宋体" w:hAnsi="宋体" w:cs="宋体"/>
                <w:color w:val="auto"/>
                <w:kern w:val="0"/>
                <w:szCs w:val="21"/>
                <w:highlight w:val="none"/>
              </w:rPr>
              <w:t>管理</w:t>
            </w:r>
          </w:p>
          <w:p>
            <w:pPr>
              <w:pageBreakBefore w:val="0"/>
              <w:widowControl/>
              <w:kinsoku/>
              <w:overflowPunct/>
              <w:bidi w:val="0"/>
              <w:spacing w:line="480" w:lineRule="exact"/>
              <w:jc w:val="center"/>
              <w:outlineLvl w:val="9"/>
              <w:rPr>
                <w:rFonts w:ascii="宋体" w:hAnsi="宋体" w:cs="宋体"/>
                <w:color w:val="auto"/>
                <w:kern w:val="0"/>
                <w:szCs w:val="21"/>
                <w:highlight w:val="none"/>
              </w:rPr>
            </w:pPr>
            <w:r>
              <w:rPr>
                <w:rFonts w:hint="eastAsia" w:ascii="宋体" w:hAnsi="宋体" w:cs="宋体"/>
                <w:color w:val="auto"/>
                <w:kern w:val="0"/>
                <w:szCs w:val="21"/>
                <w:highlight w:val="none"/>
              </w:rPr>
              <w:t>人员</w:t>
            </w:r>
          </w:p>
        </w:tc>
        <w:tc>
          <w:tcPr>
            <w:tcW w:w="986"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spacing w:line="480" w:lineRule="exact"/>
              <w:jc w:val="center"/>
              <w:outlineLvl w:val="9"/>
              <w:rPr>
                <w:rFonts w:ascii="宋体" w:hAnsi="宋体" w:cs="宋体"/>
                <w:color w:val="auto"/>
                <w:kern w:val="0"/>
                <w:szCs w:val="21"/>
                <w:highlight w:val="none"/>
              </w:rPr>
            </w:pPr>
          </w:p>
        </w:tc>
        <w:tc>
          <w:tcPr>
            <w:tcW w:w="986"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spacing w:line="480" w:lineRule="exact"/>
              <w:jc w:val="center"/>
              <w:outlineLvl w:val="9"/>
              <w:rPr>
                <w:rFonts w:ascii="宋体" w:hAnsi="宋体" w:cs="宋体"/>
                <w:color w:val="auto"/>
                <w:kern w:val="0"/>
                <w:szCs w:val="21"/>
                <w:highlight w:val="none"/>
              </w:rPr>
            </w:pPr>
            <w:r>
              <w:rPr>
                <w:rFonts w:hint="eastAsia" w:ascii="宋体" w:hAnsi="宋体" w:cs="宋体"/>
                <w:color w:val="auto"/>
                <w:kern w:val="0"/>
                <w:szCs w:val="21"/>
                <w:highlight w:val="none"/>
              </w:rPr>
              <w:t>技术</w:t>
            </w:r>
          </w:p>
          <w:p>
            <w:pPr>
              <w:pageBreakBefore w:val="0"/>
              <w:widowControl/>
              <w:kinsoku/>
              <w:overflowPunct/>
              <w:bidi w:val="0"/>
              <w:spacing w:line="480" w:lineRule="exact"/>
              <w:jc w:val="center"/>
              <w:outlineLvl w:val="9"/>
              <w:rPr>
                <w:rFonts w:ascii="宋体" w:hAnsi="宋体" w:cs="宋体"/>
                <w:color w:val="auto"/>
                <w:kern w:val="0"/>
                <w:szCs w:val="21"/>
                <w:highlight w:val="none"/>
              </w:rPr>
            </w:pPr>
            <w:r>
              <w:rPr>
                <w:rFonts w:hint="eastAsia" w:ascii="宋体" w:hAnsi="宋体" w:cs="宋体"/>
                <w:color w:val="auto"/>
                <w:kern w:val="0"/>
                <w:szCs w:val="21"/>
                <w:highlight w:val="none"/>
              </w:rPr>
              <w:t>人员</w:t>
            </w:r>
          </w:p>
        </w:tc>
        <w:tc>
          <w:tcPr>
            <w:tcW w:w="986"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spacing w:line="480" w:lineRule="exact"/>
              <w:jc w:val="center"/>
              <w:outlineLvl w:val="9"/>
              <w:rPr>
                <w:rFonts w:ascii="宋体" w:hAnsi="宋体" w:cs="宋体"/>
                <w:color w:val="auto"/>
                <w:kern w:val="0"/>
                <w:szCs w:val="21"/>
                <w:highlight w:val="none"/>
              </w:rPr>
            </w:pPr>
          </w:p>
        </w:tc>
        <w:tc>
          <w:tcPr>
            <w:tcW w:w="986"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spacing w:line="480" w:lineRule="exact"/>
              <w:jc w:val="center"/>
              <w:outlineLvl w:val="9"/>
              <w:rPr>
                <w:rFonts w:ascii="宋体" w:hAnsi="宋体" w:cs="宋体"/>
                <w:color w:val="auto"/>
                <w:kern w:val="0"/>
                <w:szCs w:val="21"/>
                <w:highlight w:val="none"/>
              </w:rPr>
            </w:pPr>
            <w:r>
              <w:rPr>
                <w:rFonts w:hint="eastAsia" w:ascii="宋体" w:hAnsi="宋体" w:cs="宋体"/>
                <w:color w:val="auto"/>
                <w:kern w:val="0"/>
                <w:szCs w:val="21"/>
                <w:highlight w:val="none"/>
              </w:rPr>
              <w:t>职工</w:t>
            </w:r>
          </w:p>
          <w:p>
            <w:pPr>
              <w:pageBreakBefore w:val="0"/>
              <w:widowControl/>
              <w:kinsoku/>
              <w:overflowPunct/>
              <w:bidi w:val="0"/>
              <w:spacing w:line="480" w:lineRule="exact"/>
              <w:jc w:val="center"/>
              <w:outlineLvl w:val="9"/>
              <w:rPr>
                <w:rFonts w:ascii="宋体" w:hAnsi="宋体" w:cs="宋体"/>
                <w:color w:val="auto"/>
                <w:kern w:val="0"/>
                <w:szCs w:val="21"/>
                <w:highlight w:val="none"/>
              </w:rPr>
            </w:pPr>
            <w:r>
              <w:rPr>
                <w:rFonts w:hint="eastAsia" w:ascii="宋体" w:hAnsi="宋体" w:cs="宋体"/>
                <w:color w:val="auto"/>
                <w:kern w:val="0"/>
                <w:szCs w:val="21"/>
                <w:highlight w:val="none"/>
              </w:rPr>
              <w:t>人员</w:t>
            </w:r>
          </w:p>
        </w:tc>
        <w:tc>
          <w:tcPr>
            <w:tcW w:w="988"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spacing w:line="480" w:lineRule="exact"/>
              <w:jc w:val="center"/>
              <w:outlineLvl w:val="9"/>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spacing w:line="480" w:lineRule="exact"/>
              <w:jc w:val="center"/>
              <w:outlineLvl w:val="9"/>
              <w:rPr>
                <w:rFonts w:ascii="宋体" w:hAnsi="宋体" w:cs="宋体"/>
                <w:color w:val="auto"/>
                <w:kern w:val="0"/>
                <w:szCs w:val="21"/>
                <w:highlight w:val="none"/>
              </w:rPr>
            </w:pPr>
            <w:r>
              <w:rPr>
                <w:rFonts w:hint="eastAsia" w:ascii="宋体" w:hAnsi="宋体" w:cs="宋体"/>
                <w:color w:val="auto"/>
                <w:kern w:val="0"/>
                <w:szCs w:val="21"/>
                <w:highlight w:val="none"/>
              </w:rPr>
              <w:t>经营范围</w:t>
            </w:r>
          </w:p>
        </w:tc>
        <w:tc>
          <w:tcPr>
            <w:tcW w:w="6904" w:type="dxa"/>
            <w:gridSpan w:val="10"/>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spacing w:line="480" w:lineRule="exact"/>
              <w:jc w:val="center"/>
              <w:outlineLvl w:val="9"/>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1" w:hRule="atLeast"/>
        </w:trPr>
        <w:tc>
          <w:tcPr>
            <w:tcW w:w="141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spacing w:line="480" w:lineRule="exact"/>
              <w:jc w:val="center"/>
              <w:outlineLvl w:val="9"/>
              <w:rPr>
                <w:rFonts w:ascii="宋体" w:hAnsi="宋体" w:cs="宋体"/>
                <w:color w:val="auto"/>
                <w:kern w:val="0"/>
                <w:szCs w:val="21"/>
                <w:highlight w:val="none"/>
              </w:rPr>
            </w:pPr>
            <w:r>
              <w:rPr>
                <w:rFonts w:hint="eastAsia" w:ascii="宋体" w:hAnsi="宋体" w:cs="宋体"/>
                <w:color w:val="auto"/>
                <w:kern w:val="0"/>
                <w:szCs w:val="21"/>
                <w:highlight w:val="none"/>
              </w:rPr>
              <w:t>企业现有的资质证书</w:t>
            </w:r>
          </w:p>
        </w:tc>
        <w:tc>
          <w:tcPr>
            <w:tcW w:w="6904" w:type="dxa"/>
            <w:gridSpan w:val="10"/>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bidi w:val="0"/>
              <w:spacing w:line="480" w:lineRule="exact"/>
              <w:jc w:val="center"/>
              <w:outlineLvl w:val="9"/>
              <w:rPr>
                <w:rFonts w:ascii="宋体" w:hAnsi="宋体" w:cs="宋体"/>
                <w:color w:val="auto"/>
                <w:kern w:val="0"/>
                <w:szCs w:val="21"/>
                <w:highlight w:val="none"/>
              </w:rPr>
            </w:pPr>
          </w:p>
        </w:tc>
      </w:tr>
    </w:tbl>
    <w:p>
      <w:pPr>
        <w:pageBreakBefore w:val="0"/>
        <w:widowControl/>
        <w:kinsoku/>
        <w:overflowPunct/>
        <w:bidi w:val="0"/>
        <w:snapToGrid w:val="0"/>
        <w:spacing w:before="50" w:afterLines="50"/>
        <w:jc w:val="left"/>
        <w:outlineLvl w:val="9"/>
        <w:rPr>
          <w:rFonts w:ascii="宋体" w:hAnsi="宋体" w:cs="宋体"/>
          <w:color w:val="auto"/>
          <w:kern w:val="0"/>
          <w:szCs w:val="21"/>
          <w:highlight w:val="none"/>
        </w:rPr>
      </w:pPr>
    </w:p>
    <w:p>
      <w:pPr>
        <w:pageBreakBefore w:val="0"/>
        <w:kinsoku/>
        <w:overflowPunct/>
        <w:bidi w:val="0"/>
        <w:snapToGrid w:val="0"/>
        <w:spacing w:before="50" w:afterLines="50"/>
        <w:outlineLvl w:val="9"/>
        <w:rPr>
          <w:rFonts w:ascii="宋体" w:hAnsi="宋体" w:cs="宋体"/>
          <w:color w:val="auto"/>
          <w:szCs w:val="21"/>
          <w:highlight w:val="none"/>
        </w:rPr>
        <w:sectPr>
          <w:headerReference r:id="rId9" w:type="first"/>
          <w:footerReference r:id="rId11" w:type="first"/>
          <w:headerReference r:id="rId8" w:type="default"/>
          <w:footerReference r:id="rId10" w:type="default"/>
          <w:pgSz w:w="11906" w:h="16838"/>
          <w:pgMar w:top="1304" w:right="1797" w:bottom="1247" w:left="1797" w:header="851" w:footer="851" w:gutter="0"/>
          <w:pgNumType w:start="1"/>
          <w:cols w:space="720" w:num="1"/>
          <w:titlePg/>
          <w:docGrid w:linePitch="312" w:charSpace="0"/>
        </w:sectPr>
      </w:pPr>
    </w:p>
    <w:p>
      <w:pPr>
        <w:pageBreakBefore w:val="0"/>
        <w:widowControl/>
        <w:kinsoku/>
        <w:overflowPunct/>
        <w:bidi w:val="0"/>
        <w:snapToGrid w:val="0"/>
        <w:spacing w:beforeLines="50" w:after="50"/>
        <w:jc w:val="left"/>
        <w:outlineLvl w:val="9"/>
        <w:rPr>
          <w:rFonts w:ascii="宋体" w:hAnsi="宋体" w:cs="宋体"/>
          <w:b/>
          <w:bCs/>
          <w:color w:val="auto"/>
          <w:kern w:val="0"/>
          <w:szCs w:val="21"/>
          <w:highlight w:val="none"/>
        </w:rPr>
      </w:pPr>
      <w:r>
        <w:rPr>
          <w:rFonts w:hint="eastAsia" w:ascii="宋体" w:hAnsi="宋体" w:cs="宋体"/>
          <w:b/>
          <w:bCs/>
          <w:color w:val="auto"/>
          <w:kern w:val="0"/>
          <w:szCs w:val="21"/>
          <w:highlight w:val="none"/>
          <w:lang w:val="en-US" w:eastAsia="zh-CN"/>
        </w:rPr>
        <w:t>18</w:t>
      </w:r>
      <w:r>
        <w:rPr>
          <w:rFonts w:hint="eastAsia" w:ascii="宋体" w:hAnsi="宋体" w:cs="宋体"/>
          <w:b/>
          <w:bCs/>
          <w:color w:val="auto"/>
          <w:kern w:val="0"/>
          <w:szCs w:val="21"/>
          <w:highlight w:val="none"/>
        </w:rPr>
        <w:t>.企业业绩表：</w:t>
      </w:r>
    </w:p>
    <w:p>
      <w:pPr>
        <w:pageBreakBefore w:val="0"/>
        <w:widowControl/>
        <w:kinsoku/>
        <w:overflowPunct/>
        <w:bidi w:val="0"/>
        <w:jc w:val="center"/>
        <w:outlineLvl w:val="9"/>
        <w:rPr>
          <w:rFonts w:ascii="宋体" w:hAnsi="宋体" w:cs="宋体"/>
          <w:color w:val="auto"/>
          <w:kern w:val="0"/>
          <w:szCs w:val="21"/>
          <w:highlight w:val="none"/>
        </w:rPr>
      </w:pPr>
    </w:p>
    <w:p>
      <w:pPr>
        <w:pageBreakBefore w:val="0"/>
        <w:widowControl/>
        <w:kinsoku/>
        <w:overflowPunct/>
        <w:bidi w:val="0"/>
        <w:jc w:val="center"/>
        <w:outlineLvl w:val="9"/>
        <w:rPr>
          <w:rFonts w:ascii="宋体" w:hAnsi="宋体" w:cs="宋体"/>
          <w:b/>
          <w:bCs/>
          <w:color w:val="auto"/>
          <w:kern w:val="0"/>
          <w:szCs w:val="20"/>
          <w:highlight w:val="none"/>
        </w:rPr>
      </w:pPr>
      <w:r>
        <w:rPr>
          <w:rFonts w:hint="eastAsia" w:ascii="宋体" w:hAnsi="宋体" w:cs="宋体"/>
          <w:b/>
          <w:bCs/>
          <w:color w:val="auto"/>
          <w:kern w:val="0"/>
          <w:szCs w:val="20"/>
          <w:highlight w:val="none"/>
        </w:rPr>
        <w:t>企业业绩表</w:t>
      </w:r>
    </w:p>
    <w:p>
      <w:pPr>
        <w:pageBreakBefore w:val="0"/>
        <w:widowControl/>
        <w:tabs>
          <w:tab w:val="left" w:pos="3165"/>
        </w:tabs>
        <w:kinsoku/>
        <w:overflowPunct/>
        <w:bidi w:val="0"/>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 xml:space="preserve">项目编号：                   项目名称：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783"/>
        <w:gridCol w:w="1192"/>
        <w:gridCol w:w="1192"/>
        <w:gridCol w:w="1638"/>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44" w:type="dxa"/>
            <w:vAlign w:val="center"/>
          </w:tcPr>
          <w:p>
            <w:pPr>
              <w:pageBreakBefore w:val="0"/>
              <w:widowControl/>
              <w:tabs>
                <w:tab w:val="left" w:pos="3165"/>
              </w:tabs>
              <w:kinsoku/>
              <w:overflowPunct/>
              <w:bidi w:val="0"/>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783" w:type="dxa"/>
            <w:vAlign w:val="center"/>
          </w:tcPr>
          <w:p>
            <w:pPr>
              <w:pageBreakBefore w:val="0"/>
              <w:widowControl/>
              <w:tabs>
                <w:tab w:val="left" w:pos="3165"/>
              </w:tabs>
              <w:kinsoku/>
              <w:overflowPunct/>
              <w:bidi w:val="0"/>
              <w:jc w:val="center"/>
              <w:outlineLvl w:val="9"/>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1192" w:type="dxa"/>
            <w:vAlign w:val="center"/>
          </w:tcPr>
          <w:p>
            <w:pPr>
              <w:pageBreakBefore w:val="0"/>
              <w:widowControl/>
              <w:tabs>
                <w:tab w:val="left" w:pos="3165"/>
              </w:tabs>
              <w:kinsoku/>
              <w:overflowPunct/>
              <w:bidi w:val="0"/>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业主单位</w:t>
            </w:r>
          </w:p>
        </w:tc>
        <w:tc>
          <w:tcPr>
            <w:tcW w:w="1192" w:type="dxa"/>
            <w:vAlign w:val="center"/>
          </w:tcPr>
          <w:p>
            <w:pPr>
              <w:pageBreakBefore w:val="0"/>
              <w:widowControl/>
              <w:tabs>
                <w:tab w:val="left" w:pos="3165"/>
              </w:tabs>
              <w:kinsoku/>
              <w:overflowPunct/>
              <w:bidi w:val="0"/>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合同金额</w:t>
            </w:r>
          </w:p>
        </w:tc>
        <w:tc>
          <w:tcPr>
            <w:tcW w:w="1638" w:type="dxa"/>
            <w:vAlign w:val="center"/>
          </w:tcPr>
          <w:p>
            <w:pPr>
              <w:pageBreakBefore w:val="0"/>
              <w:widowControl/>
              <w:tabs>
                <w:tab w:val="left" w:pos="3165"/>
              </w:tabs>
              <w:kinsoku/>
              <w:overflowPunct/>
              <w:bidi w:val="0"/>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合同签订日期</w:t>
            </w:r>
          </w:p>
        </w:tc>
        <w:tc>
          <w:tcPr>
            <w:tcW w:w="1869" w:type="dxa"/>
            <w:vAlign w:val="center"/>
          </w:tcPr>
          <w:p>
            <w:pPr>
              <w:pageBreakBefore w:val="0"/>
              <w:widowControl/>
              <w:tabs>
                <w:tab w:val="left" w:pos="3165"/>
              </w:tabs>
              <w:kinsoku/>
              <w:overflowPunct/>
              <w:bidi w:val="0"/>
              <w:jc w:val="center"/>
              <w:outlineLvl w:val="9"/>
              <w:rPr>
                <w:rFonts w:ascii="宋体" w:hAnsi="宋体" w:cs="宋体"/>
                <w:color w:val="auto"/>
                <w:kern w:val="0"/>
                <w:szCs w:val="21"/>
                <w:highlight w:val="none"/>
              </w:rPr>
            </w:pPr>
            <w:r>
              <w:rPr>
                <w:rFonts w:hint="eastAsia" w:ascii="宋体" w:hAnsi="宋体" w:cs="宋体"/>
                <w:color w:val="auto"/>
                <w:kern w:val="0"/>
                <w:szCs w:val="21"/>
                <w:highlight w:val="none"/>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c>
          <w:tcPr>
            <w:tcW w:w="1783"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c>
          <w:tcPr>
            <w:tcW w:w="1192"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c>
          <w:tcPr>
            <w:tcW w:w="1192"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c>
          <w:tcPr>
            <w:tcW w:w="1638"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c>
          <w:tcPr>
            <w:tcW w:w="1869"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c>
          <w:tcPr>
            <w:tcW w:w="1783"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c>
          <w:tcPr>
            <w:tcW w:w="1192"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c>
          <w:tcPr>
            <w:tcW w:w="1192"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c>
          <w:tcPr>
            <w:tcW w:w="1638"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c>
          <w:tcPr>
            <w:tcW w:w="1869"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c>
          <w:tcPr>
            <w:tcW w:w="1783"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c>
          <w:tcPr>
            <w:tcW w:w="1192"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c>
          <w:tcPr>
            <w:tcW w:w="1192"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c>
          <w:tcPr>
            <w:tcW w:w="1638"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c>
          <w:tcPr>
            <w:tcW w:w="1869"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c>
          <w:tcPr>
            <w:tcW w:w="1783"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c>
          <w:tcPr>
            <w:tcW w:w="1192"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c>
          <w:tcPr>
            <w:tcW w:w="1192"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c>
          <w:tcPr>
            <w:tcW w:w="1638"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c>
          <w:tcPr>
            <w:tcW w:w="1869"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c>
          <w:tcPr>
            <w:tcW w:w="1783"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c>
          <w:tcPr>
            <w:tcW w:w="1192"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c>
          <w:tcPr>
            <w:tcW w:w="1192"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c>
          <w:tcPr>
            <w:tcW w:w="1638"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c>
          <w:tcPr>
            <w:tcW w:w="1869"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c>
          <w:tcPr>
            <w:tcW w:w="1783"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c>
          <w:tcPr>
            <w:tcW w:w="1192"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c>
          <w:tcPr>
            <w:tcW w:w="1192"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c>
          <w:tcPr>
            <w:tcW w:w="1638"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c>
          <w:tcPr>
            <w:tcW w:w="1869"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c>
          <w:tcPr>
            <w:tcW w:w="1783"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c>
          <w:tcPr>
            <w:tcW w:w="1192"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c>
          <w:tcPr>
            <w:tcW w:w="1192"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c>
          <w:tcPr>
            <w:tcW w:w="1638"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c>
          <w:tcPr>
            <w:tcW w:w="1869"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c>
          <w:tcPr>
            <w:tcW w:w="1783"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c>
          <w:tcPr>
            <w:tcW w:w="1192"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c>
          <w:tcPr>
            <w:tcW w:w="1192"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c>
          <w:tcPr>
            <w:tcW w:w="1638"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c>
          <w:tcPr>
            <w:tcW w:w="1869"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c>
          <w:tcPr>
            <w:tcW w:w="1783"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c>
          <w:tcPr>
            <w:tcW w:w="1192"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c>
          <w:tcPr>
            <w:tcW w:w="1192"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c>
          <w:tcPr>
            <w:tcW w:w="1638"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c>
          <w:tcPr>
            <w:tcW w:w="1869"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c>
          <w:tcPr>
            <w:tcW w:w="1783"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c>
          <w:tcPr>
            <w:tcW w:w="1192"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c>
          <w:tcPr>
            <w:tcW w:w="1192"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c>
          <w:tcPr>
            <w:tcW w:w="1638"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c>
          <w:tcPr>
            <w:tcW w:w="1869"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44"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c>
          <w:tcPr>
            <w:tcW w:w="1783"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c>
          <w:tcPr>
            <w:tcW w:w="1192"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c>
          <w:tcPr>
            <w:tcW w:w="1192"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c>
          <w:tcPr>
            <w:tcW w:w="1638"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c>
          <w:tcPr>
            <w:tcW w:w="1869" w:type="dxa"/>
          </w:tcPr>
          <w:p>
            <w:pPr>
              <w:pageBreakBefore w:val="0"/>
              <w:widowControl/>
              <w:tabs>
                <w:tab w:val="left" w:pos="3165"/>
              </w:tabs>
              <w:kinsoku/>
              <w:overflowPunct/>
              <w:bidi w:val="0"/>
              <w:ind w:firstLine="420"/>
              <w:jc w:val="left"/>
              <w:outlineLvl w:val="9"/>
              <w:rPr>
                <w:rFonts w:ascii="宋体" w:hAnsi="宋体" w:cs="宋体"/>
                <w:color w:val="auto"/>
                <w:kern w:val="0"/>
                <w:szCs w:val="21"/>
                <w:highlight w:val="none"/>
              </w:rPr>
            </w:pPr>
          </w:p>
        </w:tc>
      </w:tr>
    </w:tbl>
    <w:p>
      <w:pPr>
        <w:pageBreakBefore w:val="0"/>
        <w:widowControl/>
        <w:tabs>
          <w:tab w:val="left" w:pos="3165"/>
        </w:tabs>
        <w:kinsoku/>
        <w:overflowPunct/>
        <w:bidi w:val="0"/>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注：</w:t>
      </w:r>
    </w:p>
    <w:p>
      <w:pPr>
        <w:pageBreakBefore w:val="0"/>
        <w:widowControl/>
        <w:kinsoku/>
        <w:overflowPunct/>
        <w:autoSpaceDE w:val="0"/>
        <w:autoSpaceDN w:val="0"/>
        <w:bidi w:val="0"/>
        <w:spacing w:line="386" w:lineRule="exact"/>
        <w:jc w:val="left"/>
        <w:outlineLvl w:val="9"/>
        <w:rPr>
          <w:rFonts w:ascii="宋体" w:hAnsi="宋体" w:cs="宋体"/>
          <w:bCs/>
          <w:color w:val="auto"/>
          <w:kern w:val="0"/>
          <w:szCs w:val="21"/>
          <w:highlight w:val="none"/>
        </w:rPr>
      </w:pPr>
      <w:r>
        <w:rPr>
          <w:rFonts w:hint="eastAsia" w:ascii="宋体" w:hAnsi="宋体" w:cs="宋体"/>
          <w:color w:val="auto"/>
          <w:kern w:val="0"/>
          <w:szCs w:val="21"/>
          <w:highlight w:val="none"/>
        </w:rPr>
        <w:t>1．供应商所提供合同必须是真实有效的。在合同签订前，如采购人经核实后发现与实际情况不符，取消其中标资格，并按有关规定处理。</w:t>
      </w:r>
    </w:p>
    <w:p>
      <w:pPr>
        <w:pageBreakBefore w:val="0"/>
        <w:widowControl/>
        <w:kinsoku/>
        <w:overflowPunct/>
        <w:autoSpaceDE w:val="0"/>
        <w:autoSpaceDN w:val="0"/>
        <w:bidi w:val="0"/>
        <w:spacing w:line="386" w:lineRule="exact"/>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2．此表在不改变表式的情况下，可自行制作。</w:t>
      </w:r>
    </w:p>
    <w:p>
      <w:pPr>
        <w:pageBreakBefore w:val="0"/>
        <w:widowControl/>
        <w:kinsoku/>
        <w:overflowPunct/>
        <w:autoSpaceDE w:val="0"/>
        <w:autoSpaceDN w:val="0"/>
        <w:bidi w:val="0"/>
        <w:spacing w:line="426" w:lineRule="exact"/>
        <w:ind w:left="5280"/>
        <w:jc w:val="left"/>
        <w:outlineLvl w:val="9"/>
        <w:rPr>
          <w:rFonts w:ascii="宋体" w:hAnsi="宋体" w:cs="宋体"/>
          <w:color w:val="auto"/>
          <w:kern w:val="0"/>
          <w:szCs w:val="21"/>
          <w:highlight w:val="none"/>
        </w:rPr>
      </w:pPr>
    </w:p>
    <w:p>
      <w:pPr>
        <w:pageBreakBefore w:val="0"/>
        <w:widowControl/>
        <w:kinsoku/>
        <w:overflowPunct/>
        <w:autoSpaceDE w:val="0"/>
        <w:autoSpaceDN w:val="0"/>
        <w:bidi w:val="0"/>
        <w:spacing w:line="426" w:lineRule="exact"/>
        <w:ind w:left="5280" w:firstLine="210" w:firstLineChars="100"/>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供应商名称（盖章）：</w:t>
      </w:r>
    </w:p>
    <w:p>
      <w:pPr>
        <w:pageBreakBefore w:val="0"/>
        <w:widowControl/>
        <w:kinsoku/>
        <w:overflowPunct/>
        <w:autoSpaceDE w:val="0"/>
        <w:autoSpaceDN w:val="0"/>
        <w:bidi w:val="0"/>
        <w:spacing w:line="426" w:lineRule="exact"/>
        <w:ind w:left="5280" w:firstLine="210" w:firstLineChars="100"/>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供应商代表</w:t>
      </w:r>
      <w:r>
        <w:rPr>
          <w:rFonts w:hint="eastAsia" w:ascii="宋体" w:hAnsi="宋体" w:cs="宋体"/>
          <w:color w:val="auto"/>
          <w:kern w:val="0"/>
          <w:szCs w:val="20"/>
          <w:highlight w:val="none"/>
        </w:rPr>
        <w:t>（签名或印章）</w:t>
      </w:r>
      <w:r>
        <w:rPr>
          <w:rFonts w:hint="eastAsia" w:ascii="宋体" w:hAnsi="宋体" w:cs="宋体"/>
          <w:color w:val="auto"/>
          <w:kern w:val="0"/>
          <w:szCs w:val="21"/>
          <w:highlight w:val="none"/>
        </w:rPr>
        <w:t>：</w:t>
      </w:r>
    </w:p>
    <w:p>
      <w:pPr>
        <w:pageBreakBefore w:val="0"/>
        <w:widowControl/>
        <w:tabs>
          <w:tab w:val="left" w:pos="3165"/>
        </w:tabs>
        <w:kinsoku/>
        <w:overflowPunct/>
        <w:bidi w:val="0"/>
        <w:jc w:val="center"/>
        <w:outlineLvl w:val="9"/>
        <w:rPr>
          <w:rFonts w:ascii="宋体" w:hAnsi="宋体" w:cs="宋体"/>
          <w:color w:val="auto"/>
          <w:kern w:val="0"/>
          <w:szCs w:val="21"/>
          <w:highlight w:val="none"/>
        </w:rPr>
      </w:pPr>
    </w:p>
    <w:p>
      <w:pPr>
        <w:pageBreakBefore w:val="0"/>
        <w:widowControl/>
        <w:tabs>
          <w:tab w:val="left" w:pos="3165"/>
        </w:tabs>
        <w:kinsoku/>
        <w:overflowPunct/>
        <w:bidi w:val="0"/>
        <w:ind w:right="1080"/>
        <w:jc w:val="right"/>
        <w:outlineLvl w:val="9"/>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w:t>
      </w:r>
    </w:p>
    <w:p>
      <w:pPr>
        <w:pageBreakBefore w:val="0"/>
        <w:widowControl/>
        <w:kinsoku/>
        <w:overflowPunct/>
        <w:bidi w:val="0"/>
        <w:snapToGrid w:val="0"/>
        <w:spacing w:beforeLines="50" w:after="50"/>
        <w:jc w:val="left"/>
        <w:outlineLvl w:val="9"/>
        <w:rPr>
          <w:rFonts w:ascii="宋体" w:hAnsi="宋体" w:cs="宋体"/>
          <w:b/>
          <w:bCs/>
          <w:color w:val="auto"/>
          <w:kern w:val="0"/>
          <w:szCs w:val="21"/>
          <w:highlight w:val="none"/>
        </w:rPr>
      </w:pPr>
      <w:r>
        <w:rPr>
          <w:rFonts w:hint="eastAsia" w:ascii="宋体" w:hAnsi="宋体" w:cs="宋体"/>
          <w:color w:val="auto"/>
          <w:kern w:val="0"/>
          <w:szCs w:val="21"/>
          <w:highlight w:val="none"/>
        </w:rPr>
        <w:br w:type="page"/>
      </w:r>
      <w:r>
        <w:rPr>
          <w:rFonts w:hint="eastAsia" w:ascii="宋体" w:hAnsi="宋体" w:cs="宋体"/>
          <w:b/>
          <w:bCs/>
          <w:color w:val="auto"/>
          <w:kern w:val="0"/>
          <w:szCs w:val="21"/>
          <w:highlight w:val="none"/>
          <w:lang w:val="en-US" w:eastAsia="zh-CN"/>
        </w:rPr>
        <w:t>19</w:t>
      </w:r>
      <w:r>
        <w:rPr>
          <w:rFonts w:hint="eastAsia" w:ascii="宋体" w:hAnsi="宋体" w:cs="宋体"/>
          <w:b/>
          <w:bCs/>
          <w:color w:val="auto"/>
          <w:kern w:val="0"/>
          <w:szCs w:val="21"/>
          <w:highlight w:val="none"/>
        </w:rPr>
        <w:t>.第四章评标办法及评分标准中需提供的其他相关资质证书及合同复印件加盖公章；</w:t>
      </w:r>
    </w:p>
    <w:p>
      <w:pPr>
        <w:pageBreakBefore w:val="0"/>
        <w:widowControl/>
        <w:kinsoku/>
        <w:overflowPunct/>
        <w:bidi w:val="0"/>
        <w:snapToGrid w:val="0"/>
        <w:spacing w:beforeLines="50" w:after="50"/>
        <w:jc w:val="left"/>
        <w:outlineLvl w:val="9"/>
        <w:rPr>
          <w:rFonts w:ascii="宋体" w:hAnsi="宋体" w:cs="宋体"/>
          <w:b/>
          <w:bCs/>
          <w:color w:val="auto"/>
          <w:kern w:val="0"/>
          <w:szCs w:val="21"/>
          <w:highlight w:val="none"/>
        </w:rPr>
      </w:pPr>
    </w:p>
    <w:p>
      <w:pPr>
        <w:pageBreakBefore w:val="0"/>
        <w:widowControl/>
        <w:kinsoku/>
        <w:overflowPunct/>
        <w:bidi w:val="0"/>
        <w:snapToGrid w:val="0"/>
        <w:spacing w:beforeLines="50" w:after="50"/>
        <w:jc w:val="left"/>
        <w:outlineLvl w:val="9"/>
        <w:rPr>
          <w:rFonts w:ascii="宋体" w:hAnsi="宋体" w:cs="宋体"/>
          <w:b/>
          <w:bCs/>
          <w:color w:val="auto"/>
          <w:kern w:val="0"/>
          <w:szCs w:val="21"/>
          <w:highlight w:val="none"/>
        </w:rPr>
      </w:pPr>
    </w:p>
    <w:p>
      <w:pPr>
        <w:pageBreakBefore w:val="0"/>
        <w:widowControl/>
        <w:kinsoku/>
        <w:overflowPunct/>
        <w:bidi w:val="0"/>
        <w:snapToGrid w:val="0"/>
        <w:spacing w:beforeLines="50" w:after="50"/>
        <w:jc w:val="left"/>
        <w:outlineLvl w:val="9"/>
        <w:rPr>
          <w:rFonts w:ascii="宋体" w:hAnsi="宋体" w:cs="宋体"/>
          <w:b/>
          <w:bCs/>
          <w:color w:val="auto"/>
          <w:kern w:val="0"/>
          <w:szCs w:val="21"/>
          <w:highlight w:val="none"/>
        </w:rPr>
      </w:pPr>
    </w:p>
    <w:p>
      <w:pPr>
        <w:pageBreakBefore w:val="0"/>
        <w:widowControl/>
        <w:kinsoku/>
        <w:overflowPunct/>
        <w:bidi w:val="0"/>
        <w:snapToGrid w:val="0"/>
        <w:spacing w:beforeLines="50" w:after="50"/>
        <w:jc w:val="left"/>
        <w:outlineLvl w:val="9"/>
        <w:rPr>
          <w:rFonts w:ascii="宋体" w:hAnsi="宋体" w:cs="宋体"/>
          <w:b/>
          <w:bCs/>
          <w:color w:val="auto"/>
          <w:kern w:val="0"/>
          <w:szCs w:val="21"/>
          <w:highlight w:val="none"/>
        </w:rPr>
      </w:pPr>
    </w:p>
    <w:p>
      <w:pPr>
        <w:pageBreakBefore w:val="0"/>
        <w:widowControl/>
        <w:kinsoku/>
        <w:overflowPunct/>
        <w:bidi w:val="0"/>
        <w:snapToGrid w:val="0"/>
        <w:spacing w:beforeLines="50" w:after="50"/>
        <w:jc w:val="left"/>
        <w:outlineLvl w:val="9"/>
        <w:rPr>
          <w:rFonts w:ascii="宋体" w:hAnsi="宋体" w:cs="宋体"/>
          <w:b/>
          <w:bCs/>
          <w:color w:val="auto"/>
          <w:kern w:val="0"/>
          <w:szCs w:val="21"/>
          <w:highlight w:val="none"/>
        </w:rPr>
      </w:pPr>
      <w:r>
        <w:rPr>
          <w:rFonts w:hint="eastAsia" w:ascii="宋体" w:hAnsi="宋体" w:cs="宋体"/>
          <w:b/>
          <w:bCs/>
          <w:color w:val="auto"/>
          <w:kern w:val="0"/>
          <w:szCs w:val="21"/>
          <w:highlight w:val="none"/>
          <w:lang w:val="en-US" w:eastAsia="zh-CN"/>
        </w:rPr>
        <w:t>20</w:t>
      </w:r>
      <w:r>
        <w:rPr>
          <w:rFonts w:hint="eastAsia" w:ascii="宋体" w:hAnsi="宋体" w:cs="宋体"/>
          <w:b/>
          <w:bCs/>
          <w:color w:val="auto"/>
          <w:kern w:val="0"/>
          <w:szCs w:val="21"/>
          <w:highlight w:val="none"/>
        </w:rPr>
        <w:t>.供应商认为有需要提供的其它有关证明资料。</w:t>
      </w:r>
    </w:p>
    <w:p>
      <w:pPr>
        <w:pageBreakBefore w:val="0"/>
        <w:widowControl/>
        <w:kinsoku/>
        <w:overflowPunct/>
        <w:bidi w:val="0"/>
        <w:snapToGrid w:val="0"/>
        <w:spacing w:before="50" w:afterLines="50"/>
        <w:jc w:val="center"/>
        <w:outlineLvl w:val="9"/>
        <w:rPr>
          <w:rFonts w:ascii="宋体" w:hAnsi="宋体" w:cs="宋体"/>
          <w:b/>
          <w:bCs/>
          <w:color w:val="auto"/>
          <w:kern w:val="0"/>
          <w:szCs w:val="21"/>
          <w:highlight w:val="none"/>
        </w:rPr>
      </w:pPr>
      <w:r>
        <w:rPr>
          <w:rFonts w:hint="eastAsia" w:ascii="宋体" w:hAnsi="宋体" w:cs="宋体"/>
          <w:b/>
          <w:bCs/>
          <w:color w:val="auto"/>
          <w:kern w:val="0"/>
          <w:szCs w:val="21"/>
          <w:highlight w:val="none"/>
        </w:rPr>
        <w:br w:type="page"/>
      </w:r>
      <w:r>
        <w:rPr>
          <w:rFonts w:hint="eastAsia" w:ascii="宋体" w:hAnsi="宋体" w:cs="宋体"/>
          <w:b/>
          <w:bCs/>
          <w:color w:val="auto"/>
          <w:kern w:val="0"/>
          <w:szCs w:val="21"/>
          <w:highlight w:val="none"/>
        </w:rPr>
        <w:t>二、报价文件格式</w:t>
      </w:r>
    </w:p>
    <w:p>
      <w:pPr>
        <w:pageBreakBefore w:val="0"/>
        <w:widowControl/>
        <w:kinsoku/>
        <w:overflowPunct/>
        <w:bidi w:val="0"/>
        <w:snapToGrid w:val="0"/>
        <w:spacing w:beforeLines="50" w:after="50"/>
        <w:jc w:val="left"/>
        <w:outlineLvl w:val="9"/>
        <w:rPr>
          <w:rFonts w:hint="eastAsia" w:ascii="宋体" w:hAnsi="宋体" w:cs="宋体"/>
          <w:b/>
          <w:bCs/>
          <w:color w:val="auto"/>
          <w:kern w:val="0"/>
          <w:szCs w:val="21"/>
          <w:highlight w:val="none"/>
        </w:rPr>
      </w:pPr>
    </w:p>
    <w:p>
      <w:pPr>
        <w:pageBreakBefore w:val="0"/>
        <w:widowControl/>
        <w:kinsoku/>
        <w:overflowPunct/>
        <w:bidi w:val="0"/>
        <w:snapToGrid w:val="0"/>
        <w:spacing w:beforeLines="50" w:after="50"/>
        <w:jc w:val="left"/>
        <w:outlineLvl w:val="9"/>
        <w:rPr>
          <w:rFonts w:hint="eastAsia" w:ascii="宋体" w:hAnsi="宋体" w:cs="宋体"/>
          <w:b/>
          <w:bCs/>
          <w:color w:val="auto"/>
          <w:kern w:val="0"/>
          <w:szCs w:val="21"/>
          <w:highlight w:val="none"/>
        </w:rPr>
      </w:pPr>
    </w:p>
    <w:p>
      <w:pPr>
        <w:pageBreakBefore w:val="0"/>
        <w:widowControl/>
        <w:kinsoku/>
        <w:overflowPunct/>
        <w:bidi w:val="0"/>
        <w:snapToGrid w:val="0"/>
        <w:spacing w:beforeLines="50" w:after="50"/>
        <w:jc w:val="left"/>
        <w:outlineLvl w:val="9"/>
        <w:rPr>
          <w:rFonts w:ascii="宋体" w:hAnsi="宋体" w:cs="宋体"/>
          <w:color w:val="auto"/>
          <w:kern w:val="0"/>
          <w:szCs w:val="21"/>
          <w:highlight w:val="none"/>
        </w:rPr>
      </w:pPr>
      <w:r>
        <w:rPr>
          <w:rFonts w:hint="eastAsia" w:ascii="宋体" w:hAnsi="宋体" w:cs="宋体"/>
          <w:b/>
          <w:bCs/>
          <w:color w:val="auto"/>
          <w:kern w:val="0"/>
          <w:szCs w:val="21"/>
          <w:highlight w:val="none"/>
        </w:rPr>
        <w:t>报价文件封面格式：</w:t>
      </w:r>
      <w:r>
        <w:rPr>
          <w:rFonts w:hint="eastAsia" w:ascii="宋体" w:hAnsi="宋体" w:cs="宋体"/>
          <w:color w:val="auto"/>
          <w:kern w:val="0"/>
          <w:szCs w:val="21"/>
          <w:highlight w:val="none"/>
        </w:rPr>
        <w:t xml:space="preserve"> </w:t>
      </w:r>
    </w:p>
    <w:p>
      <w:pPr>
        <w:pageBreakBefore w:val="0"/>
        <w:widowControl/>
        <w:kinsoku/>
        <w:overflowPunct/>
        <w:bidi w:val="0"/>
        <w:snapToGrid w:val="0"/>
        <w:spacing w:beforeLines="50" w:after="50"/>
        <w:jc w:val="left"/>
        <w:outlineLvl w:val="9"/>
        <w:rPr>
          <w:rFonts w:ascii="宋体" w:hAnsi="宋体" w:cs="宋体"/>
          <w:b/>
          <w:bCs/>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b/>
          <w:bCs/>
          <w:color w:val="auto"/>
          <w:kern w:val="0"/>
          <w:szCs w:val="21"/>
          <w:highlight w:val="none"/>
        </w:rPr>
        <w:t>正本/或副本</w:t>
      </w:r>
    </w:p>
    <w:p>
      <w:pPr>
        <w:pageBreakBefore w:val="0"/>
        <w:widowControl/>
        <w:kinsoku/>
        <w:overflowPunct/>
        <w:bidi w:val="0"/>
        <w:snapToGrid w:val="0"/>
        <w:spacing w:beforeLines="50" w:after="50"/>
        <w:jc w:val="left"/>
        <w:outlineLvl w:val="9"/>
        <w:rPr>
          <w:rFonts w:ascii="宋体" w:hAnsi="宋体" w:cs="宋体"/>
          <w:color w:val="auto"/>
          <w:kern w:val="0"/>
          <w:szCs w:val="21"/>
          <w:highlight w:val="none"/>
        </w:rPr>
      </w:pPr>
    </w:p>
    <w:p>
      <w:pPr>
        <w:pageBreakBefore w:val="0"/>
        <w:widowControl/>
        <w:kinsoku/>
        <w:overflowPunct/>
        <w:bidi w:val="0"/>
        <w:snapToGrid w:val="0"/>
        <w:spacing w:beforeLines="50" w:after="50"/>
        <w:jc w:val="center"/>
        <w:outlineLvl w:val="9"/>
        <w:rPr>
          <w:rFonts w:ascii="宋体" w:hAnsi="宋体" w:cs="宋体"/>
          <w:bCs/>
          <w:color w:val="auto"/>
          <w:kern w:val="0"/>
          <w:szCs w:val="21"/>
          <w:highlight w:val="none"/>
        </w:rPr>
      </w:pPr>
      <w:r>
        <w:rPr>
          <w:rFonts w:hint="eastAsia" w:ascii="宋体" w:hAnsi="宋体" w:cs="宋体"/>
          <w:bCs/>
          <w:color w:val="auto"/>
          <w:kern w:val="0"/>
          <w:szCs w:val="21"/>
          <w:highlight w:val="none"/>
        </w:rPr>
        <w:t>报价文件</w:t>
      </w:r>
    </w:p>
    <w:p>
      <w:pPr>
        <w:pageBreakBefore w:val="0"/>
        <w:widowControl/>
        <w:kinsoku/>
        <w:overflowPunct/>
        <w:bidi w:val="0"/>
        <w:snapToGrid w:val="0"/>
        <w:spacing w:beforeLines="50" w:after="50"/>
        <w:jc w:val="left"/>
        <w:outlineLvl w:val="9"/>
        <w:rPr>
          <w:rFonts w:ascii="宋体" w:hAnsi="宋体" w:cs="宋体"/>
          <w:bCs/>
          <w:color w:val="auto"/>
          <w:kern w:val="0"/>
          <w:szCs w:val="21"/>
          <w:highlight w:val="none"/>
        </w:rPr>
      </w:pPr>
    </w:p>
    <w:p>
      <w:pPr>
        <w:pageBreakBefore w:val="0"/>
        <w:widowControl/>
        <w:kinsoku/>
        <w:overflowPunct/>
        <w:bidi w:val="0"/>
        <w:snapToGrid w:val="0"/>
        <w:spacing w:beforeLines="50" w:after="50"/>
        <w:jc w:val="left"/>
        <w:outlineLvl w:val="9"/>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项目名称：</w:t>
      </w:r>
      <w:r>
        <w:rPr>
          <w:rFonts w:hint="eastAsia" w:ascii="宋体" w:hAnsi="宋体" w:cs="宋体"/>
          <w:color w:val="auto"/>
          <w:kern w:val="0"/>
          <w:szCs w:val="20"/>
          <w:highlight w:val="none"/>
        </w:rPr>
        <w:t xml:space="preserve"> </w:t>
      </w:r>
    </w:p>
    <w:p>
      <w:pPr>
        <w:pageBreakBefore w:val="0"/>
        <w:widowControl/>
        <w:kinsoku/>
        <w:overflowPunct/>
        <w:bidi w:val="0"/>
        <w:snapToGrid w:val="0"/>
        <w:spacing w:beforeLines="50" w:after="50"/>
        <w:ind w:firstLine="504" w:firstLineChars="240"/>
        <w:jc w:val="left"/>
        <w:outlineLvl w:val="9"/>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项目编号： </w:t>
      </w:r>
    </w:p>
    <w:p>
      <w:pPr>
        <w:pageBreakBefore w:val="0"/>
        <w:widowControl/>
        <w:kinsoku/>
        <w:overflowPunct/>
        <w:bidi w:val="0"/>
        <w:snapToGrid w:val="0"/>
        <w:spacing w:beforeLines="50" w:after="50"/>
        <w:ind w:firstLine="525" w:firstLineChars="250"/>
        <w:jc w:val="left"/>
        <w:outlineLvl w:val="9"/>
        <w:rPr>
          <w:rFonts w:ascii="宋体" w:hAnsi="宋体" w:cs="宋体"/>
          <w:bCs/>
          <w:color w:val="auto"/>
          <w:kern w:val="0"/>
          <w:szCs w:val="21"/>
          <w:highlight w:val="none"/>
        </w:rPr>
      </w:pPr>
    </w:p>
    <w:p>
      <w:pPr>
        <w:pageBreakBefore w:val="0"/>
        <w:widowControl/>
        <w:kinsoku/>
        <w:overflowPunct/>
        <w:bidi w:val="0"/>
        <w:snapToGrid w:val="0"/>
        <w:spacing w:beforeLines="50" w:after="50"/>
        <w:ind w:firstLine="504" w:firstLineChars="240"/>
        <w:jc w:val="left"/>
        <w:outlineLvl w:val="9"/>
        <w:rPr>
          <w:rFonts w:ascii="宋体" w:hAnsi="宋体" w:cs="宋体"/>
          <w:bCs/>
          <w:color w:val="auto"/>
          <w:kern w:val="0"/>
          <w:szCs w:val="21"/>
          <w:highlight w:val="none"/>
        </w:rPr>
      </w:pPr>
      <w:r>
        <w:rPr>
          <w:rFonts w:hint="eastAsia" w:ascii="宋体" w:hAnsi="宋体" w:cs="宋体"/>
          <w:bCs/>
          <w:color w:val="auto"/>
          <w:kern w:val="0"/>
          <w:szCs w:val="21"/>
          <w:highlight w:val="none"/>
        </w:rPr>
        <w:t>供应商名称：</w:t>
      </w:r>
    </w:p>
    <w:p>
      <w:pPr>
        <w:pageBreakBefore w:val="0"/>
        <w:kinsoku/>
        <w:overflowPunct/>
        <w:bidi w:val="0"/>
        <w:snapToGrid w:val="0"/>
        <w:spacing w:before="50" w:after="50"/>
        <w:ind w:firstLine="504" w:firstLineChars="240"/>
        <w:outlineLvl w:val="9"/>
        <w:rPr>
          <w:rFonts w:ascii="宋体" w:hAnsi="宋体" w:cs="宋体"/>
          <w:bCs/>
          <w:color w:val="auto"/>
          <w:szCs w:val="21"/>
          <w:highlight w:val="none"/>
        </w:rPr>
      </w:pPr>
      <w:r>
        <w:rPr>
          <w:rFonts w:hint="eastAsia" w:ascii="宋体" w:hAnsi="宋体" w:cs="宋体"/>
          <w:bCs/>
          <w:color w:val="auto"/>
          <w:szCs w:val="21"/>
          <w:highlight w:val="none"/>
        </w:rPr>
        <w:t>供应商地址：</w:t>
      </w:r>
    </w:p>
    <w:p>
      <w:pPr>
        <w:pageBreakBefore w:val="0"/>
        <w:widowControl/>
        <w:kinsoku/>
        <w:overflowPunct/>
        <w:bidi w:val="0"/>
        <w:spacing w:line="360" w:lineRule="auto"/>
        <w:jc w:val="left"/>
        <w:outlineLvl w:val="9"/>
        <w:rPr>
          <w:rFonts w:ascii="宋体" w:hAnsi="宋体" w:cs="宋体"/>
          <w:color w:val="auto"/>
          <w:kern w:val="0"/>
          <w:szCs w:val="20"/>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0"/>
          <w:highlight w:val="none"/>
        </w:rPr>
        <w:t xml:space="preserve">         （供应商公章）</w:t>
      </w:r>
    </w:p>
    <w:p>
      <w:pPr>
        <w:pageBreakBefore w:val="0"/>
        <w:widowControl/>
        <w:kinsoku/>
        <w:overflowPunct/>
        <w:bidi w:val="0"/>
        <w:spacing w:line="360" w:lineRule="auto"/>
        <w:jc w:val="left"/>
        <w:outlineLvl w:val="9"/>
        <w:rPr>
          <w:rFonts w:ascii="宋体" w:hAnsi="宋体" w:cs="宋体"/>
          <w:color w:val="auto"/>
          <w:kern w:val="0"/>
          <w:szCs w:val="20"/>
          <w:highlight w:val="none"/>
        </w:rPr>
      </w:pPr>
      <w:r>
        <w:rPr>
          <w:rFonts w:hint="eastAsia" w:ascii="宋体" w:hAnsi="宋体" w:cs="宋体"/>
          <w:color w:val="auto"/>
          <w:kern w:val="0"/>
          <w:szCs w:val="20"/>
          <w:highlight w:val="none"/>
        </w:rPr>
        <w:t xml:space="preserve">                                                      年  月  日</w:t>
      </w:r>
    </w:p>
    <w:p>
      <w:pPr>
        <w:pageBreakBefore w:val="0"/>
        <w:widowControl/>
        <w:kinsoku/>
        <w:overflowPunct/>
        <w:bidi w:val="0"/>
        <w:snapToGrid w:val="0"/>
        <w:jc w:val="center"/>
        <w:outlineLvl w:val="9"/>
        <w:rPr>
          <w:rFonts w:ascii="宋体" w:hAnsi="宋体" w:cs="宋体"/>
          <w:color w:val="auto"/>
          <w:szCs w:val="21"/>
          <w:highlight w:val="none"/>
        </w:rPr>
      </w:pPr>
    </w:p>
    <w:p>
      <w:pPr>
        <w:pageBreakBefore w:val="0"/>
        <w:widowControl/>
        <w:kinsoku/>
        <w:overflowPunct/>
        <w:bidi w:val="0"/>
        <w:snapToGrid w:val="0"/>
        <w:spacing w:before="50" w:after="50"/>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br w:type="page"/>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 xml:space="preserve"> 报价文件目录</w:t>
      </w:r>
    </w:p>
    <w:p>
      <w:pPr>
        <w:pageBreakBefore w:val="0"/>
        <w:widowControl/>
        <w:kinsoku/>
        <w:overflowPunct/>
        <w:bidi w:val="0"/>
        <w:spacing w:line="360" w:lineRule="auto"/>
        <w:jc w:val="left"/>
        <w:outlineLvl w:val="9"/>
        <w:rPr>
          <w:rFonts w:ascii="宋体" w:hAnsi="宋体" w:cs="宋体"/>
          <w:color w:val="auto"/>
          <w:kern w:val="0"/>
          <w:szCs w:val="21"/>
          <w:highlight w:val="none"/>
        </w:rPr>
      </w:pPr>
    </w:p>
    <w:p>
      <w:pPr>
        <w:pageBreakBefore w:val="0"/>
        <w:widowControl/>
        <w:numPr>
          <w:ilvl w:val="0"/>
          <w:numId w:val="14"/>
        </w:numPr>
        <w:kinsoku/>
        <w:overflowPunct/>
        <w:bidi w:val="0"/>
        <w:spacing w:line="360" w:lineRule="auto"/>
        <w:jc w:val="left"/>
        <w:outlineLvl w:val="9"/>
        <w:rPr>
          <w:rFonts w:ascii="宋体" w:hAnsi="宋体" w:cs="宋体"/>
          <w:color w:val="auto"/>
          <w:kern w:val="0"/>
          <w:szCs w:val="20"/>
          <w:highlight w:val="none"/>
        </w:rPr>
      </w:pPr>
      <w:r>
        <w:rPr>
          <w:rFonts w:hint="eastAsia" w:ascii="宋体" w:hAnsi="宋体" w:cs="宋体"/>
          <w:color w:val="auto"/>
          <w:kern w:val="0"/>
          <w:szCs w:val="20"/>
          <w:highlight w:val="none"/>
        </w:rPr>
        <w:t>开标一览表（格式见附件）；</w:t>
      </w:r>
    </w:p>
    <w:p>
      <w:pPr>
        <w:pageBreakBefore w:val="0"/>
        <w:widowControl/>
        <w:numPr>
          <w:ilvl w:val="0"/>
          <w:numId w:val="14"/>
        </w:numPr>
        <w:kinsoku/>
        <w:overflowPunct/>
        <w:bidi w:val="0"/>
        <w:spacing w:line="360" w:lineRule="auto"/>
        <w:jc w:val="left"/>
        <w:outlineLvl w:val="9"/>
        <w:rPr>
          <w:rFonts w:ascii="宋体" w:hAnsi="宋体" w:cs="宋体"/>
          <w:color w:val="auto"/>
          <w:kern w:val="0"/>
          <w:szCs w:val="20"/>
          <w:highlight w:val="none"/>
        </w:rPr>
      </w:pPr>
      <w:r>
        <w:rPr>
          <w:rFonts w:hint="eastAsia" w:ascii="宋体" w:hAnsi="宋体" w:cs="宋体"/>
          <w:color w:val="auto"/>
          <w:kern w:val="0"/>
          <w:szCs w:val="20"/>
          <w:highlight w:val="none"/>
        </w:rPr>
        <w:t>投标报价明细表格式（格式见附件）；</w:t>
      </w:r>
    </w:p>
    <w:p>
      <w:pPr>
        <w:pageBreakBefore w:val="0"/>
        <w:widowControl/>
        <w:numPr>
          <w:ilvl w:val="0"/>
          <w:numId w:val="14"/>
        </w:numPr>
        <w:kinsoku/>
        <w:overflowPunct/>
        <w:bidi w:val="0"/>
        <w:spacing w:line="360" w:lineRule="auto"/>
        <w:jc w:val="left"/>
        <w:outlineLvl w:val="9"/>
        <w:rPr>
          <w:rFonts w:ascii="宋体" w:hAnsi="宋体" w:cs="宋体"/>
          <w:color w:val="auto"/>
          <w:kern w:val="0"/>
          <w:szCs w:val="20"/>
          <w:highlight w:val="none"/>
        </w:rPr>
      </w:pPr>
      <w:r>
        <w:rPr>
          <w:rFonts w:hint="eastAsia" w:ascii="宋体" w:hAnsi="宋体" w:cs="宋体"/>
          <w:color w:val="auto"/>
          <w:kern w:val="0"/>
          <w:szCs w:val="21"/>
          <w:highlight w:val="none"/>
          <w:lang w:val="en-US" w:eastAsia="zh-CN"/>
        </w:rPr>
        <w:t>标项二：</w:t>
      </w:r>
      <w:r>
        <w:rPr>
          <w:rFonts w:hint="eastAsia" w:ascii="宋体" w:hAnsi="宋体" w:eastAsia="宋体" w:cs="宋体"/>
          <w:b w:val="0"/>
          <w:bCs w:val="0"/>
          <w:color w:val="auto"/>
          <w:highlight w:val="none"/>
          <w:lang w:eastAsia="zh-CN"/>
        </w:rPr>
        <w:t>中小企业声明函[提供中小企业声明函或残疾人福利性单位声明函（非残疾人福利性单位无需提供本函)，格式见附件或提供由省级以上监狱管理局、戒毒管理局（含新疆生产建设兵团）出具的属于监狱企业的证明文件]；</w:t>
      </w:r>
    </w:p>
    <w:p>
      <w:pPr>
        <w:pageBreakBefore w:val="0"/>
        <w:widowControl/>
        <w:numPr>
          <w:ilvl w:val="0"/>
          <w:numId w:val="14"/>
        </w:numPr>
        <w:kinsoku/>
        <w:overflowPunct/>
        <w:bidi w:val="0"/>
        <w:spacing w:line="360" w:lineRule="auto"/>
        <w:jc w:val="left"/>
        <w:outlineLvl w:val="9"/>
        <w:rPr>
          <w:rFonts w:ascii="宋体" w:hAnsi="宋体" w:cs="宋体"/>
          <w:color w:val="auto"/>
          <w:kern w:val="0"/>
          <w:szCs w:val="20"/>
          <w:highlight w:val="none"/>
        </w:rPr>
      </w:pPr>
      <w:r>
        <w:rPr>
          <w:rFonts w:hint="eastAsia" w:ascii="宋体" w:hAnsi="宋体" w:cs="宋体"/>
          <w:color w:val="auto"/>
          <w:kern w:val="0"/>
          <w:szCs w:val="20"/>
          <w:highlight w:val="none"/>
        </w:rPr>
        <w:t>供应商针对报价需要说明的其他文件和说明（格式见附件）；</w:t>
      </w:r>
    </w:p>
    <w:p>
      <w:pPr>
        <w:pageBreakBefore w:val="0"/>
        <w:kinsoku/>
        <w:overflowPunct/>
        <w:bidi w:val="0"/>
        <w:snapToGrid w:val="0"/>
        <w:spacing w:beforeLines="50" w:after="50"/>
        <w:outlineLvl w:val="9"/>
        <w:rPr>
          <w:rFonts w:ascii="宋体" w:hAnsi="宋体" w:cs="宋体"/>
          <w:b/>
          <w:bCs/>
          <w:color w:val="auto"/>
          <w:szCs w:val="21"/>
          <w:highlight w:val="none"/>
        </w:rPr>
        <w:sectPr>
          <w:headerReference r:id="rId12" w:type="default"/>
          <w:footerReference r:id="rId13" w:type="default"/>
          <w:pgSz w:w="11906" w:h="16838"/>
          <w:pgMar w:top="1304" w:right="1797" w:bottom="1247" w:left="1797" w:header="720" w:footer="720" w:gutter="0"/>
          <w:cols w:space="720" w:num="1"/>
          <w:titlePg/>
          <w:docGrid w:linePitch="285" w:charSpace="0"/>
        </w:sectPr>
      </w:pPr>
    </w:p>
    <w:p>
      <w:pPr>
        <w:pageBreakBefore w:val="0"/>
        <w:widowControl/>
        <w:kinsoku/>
        <w:overflowPunct/>
        <w:bidi w:val="0"/>
        <w:snapToGrid w:val="0"/>
        <w:spacing w:beforeLines="50" w:after="50"/>
        <w:jc w:val="left"/>
        <w:outlineLvl w:val="9"/>
        <w:rPr>
          <w:rFonts w:ascii="宋体" w:hAnsi="宋体" w:cs="宋体"/>
          <w:color w:val="auto"/>
          <w:kern w:val="0"/>
          <w:szCs w:val="21"/>
          <w:highlight w:val="none"/>
          <w:u w:val="single"/>
        </w:rPr>
      </w:pP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开标一览表</w:t>
      </w:r>
    </w:p>
    <w:p>
      <w:pPr>
        <w:pageBreakBefore w:val="0"/>
        <w:widowControl/>
        <w:kinsoku/>
        <w:overflowPunct/>
        <w:bidi w:val="0"/>
        <w:snapToGrid w:val="0"/>
        <w:spacing w:beforeLines="50" w:after="50"/>
        <w:jc w:val="center"/>
        <w:outlineLvl w:val="9"/>
        <w:rPr>
          <w:rFonts w:ascii="宋体" w:hAnsi="宋体" w:cs="宋体"/>
          <w:b/>
          <w:color w:val="auto"/>
          <w:kern w:val="0"/>
          <w:szCs w:val="21"/>
          <w:highlight w:val="none"/>
        </w:rPr>
      </w:pPr>
      <w:r>
        <w:rPr>
          <w:rFonts w:hint="eastAsia" w:ascii="宋体" w:hAnsi="宋体" w:cs="宋体"/>
          <w:b/>
          <w:color w:val="auto"/>
          <w:kern w:val="0"/>
          <w:szCs w:val="21"/>
          <w:highlight w:val="none"/>
        </w:rPr>
        <w:t>开标一览表</w:t>
      </w:r>
    </w:p>
    <w:p>
      <w:pPr>
        <w:pageBreakBefore w:val="0"/>
        <w:widowControl/>
        <w:kinsoku/>
        <w:overflowPunct/>
        <w:bidi w:val="0"/>
        <w:snapToGrid w:val="0"/>
        <w:spacing w:before="50" w:after="50"/>
        <w:jc w:val="center"/>
        <w:outlineLvl w:val="9"/>
        <w:rPr>
          <w:rFonts w:ascii="宋体" w:hAnsi="宋体" w:cs="宋体"/>
          <w:b/>
          <w:color w:val="auto"/>
          <w:kern w:val="0"/>
          <w:szCs w:val="21"/>
          <w:highlight w:val="none"/>
        </w:rPr>
      </w:pPr>
    </w:p>
    <w:p>
      <w:pPr>
        <w:pageBreakBefore w:val="0"/>
        <w:widowControl/>
        <w:kinsoku/>
        <w:overflowPunct/>
        <w:bidi w:val="0"/>
        <w:snapToGrid w:val="0"/>
        <w:spacing w:before="50" w:after="50"/>
        <w:ind w:firstLine="210" w:firstLineChars="100"/>
        <w:jc w:val="left"/>
        <w:outlineLvl w:val="9"/>
        <w:rPr>
          <w:rFonts w:ascii="宋体" w:hAnsi="宋体" w:cs="宋体"/>
          <w:color w:val="auto"/>
          <w:highlight w:val="none"/>
        </w:rPr>
      </w:pPr>
      <w:r>
        <w:rPr>
          <w:rFonts w:hint="eastAsia" w:ascii="宋体" w:hAnsi="宋体" w:cs="宋体"/>
          <w:color w:val="auto"/>
          <w:kern w:val="0"/>
          <w:szCs w:val="21"/>
          <w:highlight w:val="none"/>
        </w:rPr>
        <w:t xml:space="preserve">  项目编号：                   项目名称：                  </w:t>
      </w:r>
      <w:r>
        <w:rPr>
          <w:rFonts w:hint="eastAsia" w:ascii="宋体" w:hAnsi="宋体" w:cs="宋体"/>
          <w:color w:val="auto"/>
          <w:highlight w:val="none"/>
        </w:rPr>
        <w:t>单位：</w:t>
      </w:r>
      <w:r>
        <w:rPr>
          <w:rFonts w:hint="eastAsia" w:ascii="宋体" w:hAnsi="宋体" w:cs="宋体"/>
          <w:color w:val="auto"/>
          <w:highlight w:val="none"/>
          <w:lang w:val="en-US" w:eastAsia="zh-CN"/>
        </w:rPr>
        <w:t>人民币/</w:t>
      </w:r>
      <w:r>
        <w:rPr>
          <w:rFonts w:hint="eastAsia" w:ascii="宋体" w:hAnsi="宋体" w:cs="宋体"/>
          <w:color w:val="auto"/>
          <w:highlight w:val="none"/>
        </w:rPr>
        <w:t>元</w:t>
      </w:r>
    </w:p>
    <w:tbl>
      <w:tblPr>
        <w:tblStyle w:val="3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2"/>
        <w:gridCol w:w="2304"/>
        <w:gridCol w:w="1377"/>
        <w:gridCol w:w="35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360" w:lineRule="auto"/>
              <w:jc w:val="center"/>
              <w:outlineLvl w:val="9"/>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标项号</w:t>
            </w:r>
          </w:p>
        </w:tc>
        <w:tc>
          <w:tcPr>
            <w:tcW w:w="230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360" w:lineRule="auto"/>
              <w:jc w:val="center"/>
              <w:outlineLvl w:val="9"/>
              <w:rPr>
                <w:rFonts w:ascii="宋体" w:hAnsi="宋体" w:cs="宋体"/>
                <w:b/>
                <w:color w:val="auto"/>
                <w:szCs w:val="21"/>
                <w:highlight w:val="none"/>
              </w:rPr>
            </w:pPr>
            <w:r>
              <w:rPr>
                <w:rFonts w:hint="eastAsia" w:ascii="宋体" w:hAnsi="宋体" w:cs="宋体"/>
                <w:b/>
                <w:color w:val="auto"/>
                <w:szCs w:val="21"/>
                <w:highlight w:val="none"/>
              </w:rPr>
              <w:t>采购内容</w:t>
            </w:r>
          </w:p>
        </w:tc>
        <w:tc>
          <w:tcPr>
            <w:tcW w:w="137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360" w:lineRule="auto"/>
              <w:jc w:val="center"/>
              <w:outlineLvl w:val="9"/>
              <w:rPr>
                <w:rFonts w:ascii="宋体" w:hAnsi="宋体" w:cs="宋体"/>
                <w:b/>
                <w:bCs/>
                <w:color w:val="auto"/>
                <w:szCs w:val="21"/>
                <w:highlight w:val="none"/>
              </w:rPr>
            </w:pPr>
            <w:r>
              <w:rPr>
                <w:rFonts w:hint="eastAsia" w:ascii="宋体" w:hAnsi="宋体" w:cs="宋体"/>
                <w:b/>
                <w:color w:val="auto"/>
                <w:szCs w:val="21"/>
                <w:highlight w:val="none"/>
              </w:rPr>
              <w:t>数量</w:t>
            </w:r>
          </w:p>
        </w:tc>
        <w:tc>
          <w:tcPr>
            <w:tcW w:w="352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360" w:lineRule="auto"/>
              <w:jc w:val="center"/>
              <w:outlineLvl w:val="9"/>
              <w:rPr>
                <w:rFonts w:ascii="宋体" w:hAnsi="宋体" w:cs="宋体"/>
                <w:b/>
                <w:color w:val="auto"/>
                <w:szCs w:val="21"/>
                <w:highlight w:val="none"/>
              </w:rPr>
            </w:pPr>
            <w:r>
              <w:rPr>
                <w:rFonts w:hint="eastAsia" w:ascii="宋体" w:hAnsi="宋体" w:cs="宋体"/>
                <w:b/>
                <w:color w:val="auto"/>
                <w:szCs w:val="21"/>
                <w:highlight w:val="none"/>
              </w:rPr>
              <w:t>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5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360" w:lineRule="auto"/>
              <w:jc w:val="center"/>
              <w:outlineLvl w:val="9"/>
              <w:rPr>
                <w:rFonts w:ascii="宋体" w:hAnsi="宋体" w:cs="宋体"/>
                <w:color w:val="auto"/>
                <w:sz w:val="20"/>
                <w:highlight w:val="none"/>
              </w:rPr>
            </w:pPr>
          </w:p>
        </w:tc>
        <w:tc>
          <w:tcPr>
            <w:tcW w:w="230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360" w:lineRule="auto"/>
              <w:jc w:val="center"/>
              <w:outlineLvl w:val="9"/>
              <w:rPr>
                <w:rFonts w:ascii="宋体" w:hAnsi="宋体" w:cs="宋体"/>
                <w:color w:val="auto"/>
                <w:szCs w:val="21"/>
                <w:highlight w:val="none"/>
              </w:rPr>
            </w:pPr>
          </w:p>
        </w:tc>
        <w:tc>
          <w:tcPr>
            <w:tcW w:w="1377" w:type="dxa"/>
            <w:tcBorders>
              <w:top w:val="single" w:color="auto" w:sz="4" w:space="0"/>
              <w:left w:val="single" w:color="auto" w:sz="4" w:space="0"/>
              <w:right w:val="single" w:color="auto" w:sz="4" w:space="0"/>
            </w:tcBorders>
            <w:vAlign w:val="center"/>
          </w:tcPr>
          <w:p>
            <w:pPr>
              <w:pageBreakBefore w:val="0"/>
              <w:kinsoku/>
              <w:overflowPunct/>
              <w:bidi w:val="0"/>
              <w:spacing w:line="360" w:lineRule="auto"/>
              <w:jc w:val="center"/>
              <w:outlineLvl w:val="9"/>
              <w:rPr>
                <w:rFonts w:ascii="宋体" w:hAnsi="宋体" w:cs="宋体"/>
                <w:color w:val="auto"/>
                <w:szCs w:val="21"/>
                <w:highlight w:val="none"/>
              </w:rPr>
            </w:pPr>
          </w:p>
        </w:tc>
        <w:tc>
          <w:tcPr>
            <w:tcW w:w="3527" w:type="dxa"/>
            <w:tcBorders>
              <w:top w:val="single" w:color="auto" w:sz="4" w:space="0"/>
              <w:left w:val="single" w:color="auto" w:sz="4" w:space="0"/>
              <w:right w:val="single" w:color="auto" w:sz="4" w:space="0"/>
            </w:tcBorders>
            <w:vAlign w:val="center"/>
          </w:tcPr>
          <w:p>
            <w:pPr>
              <w:pageBreakBefore w:val="0"/>
              <w:kinsoku/>
              <w:overflowPunct/>
              <w:bidi w:val="0"/>
              <w:spacing w:line="360" w:lineRule="auto"/>
              <w:jc w:val="center"/>
              <w:outlineLvl w:val="9"/>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0" w:hRule="atLeast"/>
          <w:jc w:val="center"/>
        </w:trPr>
        <w:tc>
          <w:tcPr>
            <w:tcW w:w="317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napToGrid w:val="0"/>
              <w:spacing w:before="50" w:after="50" w:line="360" w:lineRule="auto"/>
              <w:ind w:left="840" w:hanging="840" w:hangingChars="400"/>
              <w:jc w:val="center"/>
              <w:outlineLvl w:val="9"/>
              <w:rPr>
                <w:rFonts w:hint="eastAsia" w:ascii="宋体" w:hAnsi="宋体" w:cs="宋体"/>
                <w:color w:val="auto"/>
                <w:szCs w:val="21"/>
                <w:highlight w:val="none"/>
              </w:rPr>
            </w:pPr>
            <w:r>
              <w:rPr>
                <w:rFonts w:hint="eastAsia" w:ascii="宋体" w:hAnsi="宋体" w:cs="宋体"/>
                <w:color w:val="auto"/>
                <w:szCs w:val="21"/>
                <w:highlight w:val="none"/>
              </w:rPr>
              <w:t>投标总价</w:t>
            </w:r>
          </w:p>
        </w:tc>
        <w:tc>
          <w:tcPr>
            <w:tcW w:w="4904"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napToGrid w:val="0"/>
              <w:spacing w:before="50" w:after="50" w:line="360" w:lineRule="auto"/>
              <w:outlineLvl w:val="9"/>
              <w:rPr>
                <w:highlight w:val="none"/>
              </w:rPr>
            </w:pPr>
            <w:r>
              <w:rPr>
                <w:rFonts w:hint="eastAsia" w:ascii="宋体" w:hAnsi="宋体" w:cs="宋体"/>
                <w:color w:val="auto"/>
                <w:szCs w:val="21"/>
                <w:highlight w:val="none"/>
              </w:rPr>
              <w:t>小写：</w:t>
            </w:r>
          </w:p>
          <w:p>
            <w:pPr>
              <w:pageBreakBefore w:val="0"/>
              <w:kinsoku/>
              <w:overflowPunct/>
              <w:bidi w:val="0"/>
              <w:snapToGrid w:val="0"/>
              <w:spacing w:before="50" w:after="50" w:line="360" w:lineRule="auto"/>
              <w:ind w:left="840" w:hanging="840" w:hangingChars="400"/>
              <w:outlineLvl w:val="9"/>
              <w:rPr>
                <w:rFonts w:hint="eastAsia" w:ascii="宋体" w:hAnsi="宋体" w:cs="宋体"/>
                <w:color w:val="auto"/>
                <w:szCs w:val="21"/>
                <w:highlight w:val="none"/>
              </w:rPr>
            </w:pPr>
            <w:r>
              <w:rPr>
                <w:rFonts w:hint="eastAsia" w:ascii="宋体" w:hAnsi="宋体" w:cs="宋体"/>
                <w:color w:val="auto"/>
                <w:szCs w:val="21"/>
                <w:highlight w:val="none"/>
              </w:rPr>
              <w:t>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5" w:hRule="atLeast"/>
          <w:jc w:val="center"/>
        </w:trPr>
        <w:tc>
          <w:tcPr>
            <w:tcW w:w="317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napToGrid w:val="0"/>
              <w:spacing w:before="50" w:after="50" w:line="360" w:lineRule="auto"/>
              <w:jc w:val="center"/>
              <w:outlineLvl w:val="9"/>
              <w:rPr>
                <w:rFonts w:ascii="宋体" w:hAnsi="宋体" w:cs="宋体"/>
                <w:color w:val="auto"/>
                <w:szCs w:val="21"/>
                <w:highlight w:val="none"/>
              </w:rPr>
            </w:pPr>
            <w:r>
              <w:rPr>
                <w:rFonts w:hint="eastAsia" w:ascii="宋体" w:hAnsi="宋体" w:cs="宋体"/>
                <w:color w:val="auto"/>
                <w:szCs w:val="21"/>
                <w:highlight w:val="none"/>
              </w:rPr>
              <w:t>投标声明</w:t>
            </w:r>
          </w:p>
        </w:tc>
        <w:tc>
          <w:tcPr>
            <w:tcW w:w="4904"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napToGrid w:val="0"/>
              <w:spacing w:before="50" w:after="50" w:line="360" w:lineRule="auto"/>
              <w:outlineLvl w:val="9"/>
              <w:rPr>
                <w:rFonts w:ascii="宋体" w:hAnsi="宋体" w:cs="宋体"/>
                <w:color w:val="auto"/>
                <w:szCs w:val="21"/>
                <w:highlight w:val="none"/>
              </w:rPr>
            </w:pPr>
          </w:p>
        </w:tc>
      </w:tr>
    </w:tbl>
    <w:p>
      <w:pPr>
        <w:pageBreakBefore w:val="0"/>
        <w:widowControl/>
        <w:kinsoku/>
        <w:overflowPunct/>
        <w:bidi w:val="0"/>
        <w:snapToGrid w:val="0"/>
        <w:spacing w:before="50" w:after="50" w:line="360" w:lineRule="auto"/>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1、报价一经涂改，应在涂改处加盖单位公章或者由法定代表人或授权委托人签字或盖章，否则其投标作无效标处理。</w:t>
      </w:r>
    </w:p>
    <w:p>
      <w:pPr>
        <w:pageBreakBefore w:val="0"/>
        <w:widowControl/>
        <w:kinsoku/>
        <w:overflowPunct/>
        <w:bidi w:val="0"/>
        <w:snapToGrid w:val="0"/>
        <w:spacing w:before="50" w:after="50" w:line="360" w:lineRule="auto"/>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2、以上报价应与“投标报价明细表”中的“投标总价”相一致。</w:t>
      </w:r>
    </w:p>
    <w:p>
      <w:pPr>
        <w:pageBreakBefore w:val="0"/>
        <w:widowControl/>
        <w:kinsoku/>
        <w:overflowPunct/>
        <w:bidi w:val="0"/>
        <w:snapToGrid w:val="0"/>
        <w:spacing w:before="50" w:after="50" w:line="360" w:lineRule="auto"/>
        <w:jc w:val="left"/>
        <w:outlineLvl w:val="9"/>
        <w:rPr>
          <w:rFonts w:ascii="宋体" w:hAnsi="宋体" w:cs="宋体"/>
          <w:color w:val="auto"/>
          <w:kern w:val="0"/>
          <w:szCs w:val="21"/>
          <w:highlight w:val="none"/>
        </w:rPr>
      </w:pPr>
    </w:p>
    <w:p>
      <w:pPr>
        <w:pageBreakBefore w:val="0"/>
        <w:widowControl/>
        <w:kinsoku/>
        <w:overflowPunct/>
        <w:bidi w:val="0"/>
        <w:snapToGrid w:val="0"/>
        <w:spacing w:before="50" w:after="50" w:line="360" w:lineRule="auto"/>
        <w:ind w:right="-817" w:rightChars="-389"/>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 xml:space="preserve">法定代表人或授权代表（签名或盖章）：                    </w:t>
      </w:r>
    </w:p>
    <w:p>
      <w:pPr>
        <w:pageBreakBefore w:val="0"/>
        <w:widowControl/>
        <w:kinsoku/>
        <w:overflowPunct/>
        <w:bidi w:val="0"/>
        <w:snapToGrid w:val="0"/>
        <w:spacing w:before="50" w:after="50" w:line="360" w:lineRule="auto"/>
        <w:ind w:right="-817" w:rightChars="-389"/>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供应商名称（盖章）：                                     日期：    年   月   日</w:t>
      </w:r>
    </w:p>
    <w:p>
      <w:pPr>
        <w:pageBreakBefore w:val="0"/>
        <w:kinsoku/>
        <w:overflowPunct/>
        <w:bidi w:val="0"/>
        <w:snapToGrid w:val="0"/>
        <w:spacing w:before="295" w:after="295"/>
        <w:outlineLvl w:val="9"/>
        <w:rPr>
          <w:rFonts w:ascii="宋体" w:hAnsi="宋体" w:cs="宋体"/>
          <w:color w:val="auto"/>
          <w:szCs w:val="21"/>
          <w:highlight w:val="none"/>
        </w:rPr>
      </w:pPr>
    </w:p>
    <w:p>
      <w:pPr>
        <w:pStyle w:val="25"/>
        <w:pageBreakBefore w:val="0"/>
        <w:kinsoku/>
        <w:overflowPunct/>
        <w:bidi w:val="0"/>
        <w:outlineLvl w:val="9"/>
        <w:rPr>
          <w:rFonts w:ascii="宋体" w:hAnsi="宋体" w:cs="宋体"/>
          <w:color w:val="auto"/>
          <w:szCs w:val="21"/>
          <w:highlight w:val="none"/>
        </w:rPr>
      </w:pPr>
    </w:p>
    <w:p>
      <w:pPr>
        <w:pageBreakBefore w:val="0"/>
        <w:kinsoku/>
        <w:overflowPunct/>
        <w:bidi w:val="0"/>
        <w:outlineLvl w:val="9"/>
        <w:sectPr>
          <w:pgSz w:w="11906" w:h="16838"/>
          <w:pgMar w:top="1304" w:right="1797" w:bottom="1247" w:left="1797" w:header="720" w:footer="720" w:gutter="0"/>
          <w:cols w:space="720" w:num="1"/>
          <w:titlePg/>
          <w:docGrid w:linePitch="285" w:charSpace="0"/>
        </w:sectPr>
      </w:pPr>
    </w:p>
    <w:p>
      <w:pPr>
        <w:pageBreakBefore w:val="0"/>
        <w:kinsoku/>
        <w:overflowPunct/>
        <w:bidi w:val="0"/>
        <w:snapToGrid w:val="0"/>
        <w:outlineLvl w:val="9"/>
        <w:rPr>
          <w:rFonts w:ascii="宋体" w:hAnsi="宋体" w:cs="宋体"/>
          <w:b/>
          <w:bCs/>
          <w:color w:val="auto"/>
          <w:szCs w:val="21"/>
          <w:highlight w:val="none"/>
        </w:rPr>
      </w:pP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.投标报价明细表格式</w:t>
      </w:r>
    </w:p>
    <w:p>
      <w:pPr>
        <w:pageBreakBefore w:val="0"/>
        <w:kinsoku/>
        <w:overflowPunct/>
        <w:bidi w:val="0"/>
        <w:jc w:val="center"/>
        <w:outlineLvl w:val="9"/>
        <w:rPr>
          <w:rFonts w:ascii="宋体" w:hAnsi="宋体" w:cs="宋体"/>
          <w:b/>
          <w:color w:val="auto"/>
          <w:sz w:val="32"/>
          <w:szCs w:val="32"/>
          <w:highlight w:val="none"/>
        </w:rPr>
      </w:pPr>
      <w:r>
        <w:rPr>
          <w:rFonts w:hint="eastAsia" w:ascii="宋体" w:hAnsi="宋体" w:cs="宋体"/>
          <w:b/>
          <w:color w:val="auto"/>
          <w:sz w:val="32"/>
          <w:szCs w:val="32"/>
          <w:highlight w:val="none"/>
        </w:rPr>
        <w:t>投标报价明细表</w:t>
      </w:r>
    </w:p>
    <w:p>
      <w:pPr>
        <w:pageBreakBefore w:val="0"/>
        <w:kinsoku/>
        <w:overflowPunct/>
        <w:bidi w:val="0"/>
        <w:outlineLvl w:val="9"/>
        <w:rPr>
          <w:rFonts w:ascii="宋体" w:hAnsi="宋体" w:cs="宋体"/>
          <w:color w:val="auto"/>
          <w:spacing w:val="-4"/>
          <w:szCs w:val="21"/>
          <w:highlight w:val="none"/>
        </w:rPr>
      </w:pPr>
      <w:r>
        <w:rPr>
          <w:rFonts w:hint="eastAsia" w:ascii="宋体" w:hAnsi="宋体" w:cs="宋体"/>
          <w:color w:val="auto"/>
          <w:spacing w:val="-4"/>
          <w:szCs w:val="21"/>
          <w:highlight w:val="none"/>
        </w:rPr>
        <w:t>采购项目：</w:t>
      </w:r>
    </w:p>
    <w:p>
      <w:pPr>
        <w:pageBreakBefore w:val="0"/>
        <w:kinsoku/>
        <w:overflowPunct/>
        <w:bidi w:val="0"/>
        <w:outlineLvl w:val="9"/>
        <w:rPr>
          <w:rFonts w:ascii="宋体" w:hAnsi="宋体" w:cs="宋体"/>
          <w:color w:val="auto"/>
          <w:spacing w:val="-4"/>
          <w:szCs w:val="21"/>
          <w:highlight w:val="none"/>
        </w:rPr>
      </w:pPr>
      <w:r>
        <w:rPr>
          <w:rFonts w:hint="eastAsia" w:ascii="宋体" w:hAnsi="宋体" w:cs="宋体"/>
          <w:color w:val="auto"/>
          <w:spacing w:val="-4"/>
          <w:szCs w:val="21"/>
          <w:highlight w:val="none"/>
        </w:rPr>
        <w:t>项目编号：</w:t>
      </w:r>
    </w:p>
    <w:tbl>
      <w:tblPr>
        <w:tblStyle w:val="35"/>
        <w:tblW w:w="9093" w:type="dxa"/>
        <w:jc w:val="center"/>
        <w:tblLayout w:type="fixed"/>
        <w:tblCellMar>
          <w:top w:w="0" w:type="dxa"/>
          <w:left w:w="108" w:type="dxa"/>
          <w:bottom w:w="0" w:type="dxa"/>
          <w:right w:w="108" w:type="dxa"/>
        </w:tblCellMar>
      </w:tblPr>
      <w:tblGrid>
        <w:gridCol w:w="780"/>
        <w:gridCol w:w="2124"/>
        <w:gridCol w:w="2251"/>
        <w:gridCol w:w="1253"/>
        <w:gridCol w:w="1253"/>
        <w:gridCol w:w="1432"/>
      </w:tblGrid>
      <w:tr>
        <w:tblPrEx>
          <w:tblCellMar>
            <w:top w:w="0" w:type="dxa"/>
            <w:left w:w="108" w:type="dxa"/>
            <w:bottom w:w="0" w:type="dxa"/>
            <w:right w:w="108" w:type="dxa"/>
          </w:tblCellMar>
        </w:tblPrEx>
        <w:trPr>
          <w:trHeight w:val="673"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r>
              <w:rPr>
                <w:rFonts w:hint="eastAsia" w:ascii="宋体" w:hAnsi="宋体" w:cs="宋体"/>
                <w:color w:val="auto"/>
                <w:szCs w:val="21"/>
                <w:highlight w:val="none"/>
              </w:rPr>
              <w:t>序号</w:t>
            </w:r>
          </w:p>
        </w:tc>
        <w:tc>
          <w:tcPr>
            <w:tcW w:w="2124" w:type="dxa"/>
            <w:tcBorders>
              <w:top w:val="single" w:color="auto" w:sz="4" w:space="0"/>
              <w:left w:val="nil"/>
              <w:bottom w:val="single" w:color="auto" w:sz="4" w:space="0"/>
              <w:right w:val="single" w:color="auto" w:sz="4" w:space="0"/>
            </w:tcBorders>
            <w:vAlign w:val="center"/>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r>
              <w:rPr>
                <w:rFonts w:hint="eastAsia" w:ascii="宋体" w:hAnsi="宋体" w:cs="宋体"/>
                <w:color w:val="auto"/>
                <w:spacing w:val="20"/>
                <w:szCs w:val="21"/>
                <w:highlight w:val="none"/>
              </w:rPr>
              <w:t>项目内容</w:t>
            </w:r>
          </w:p>
        </w:tc>
        <w:tc>
          <w:tcPr>
            <w:tcW w:w="2251" w:type="dxa"/>
            <w:tcBorders>
              <w:top w:val="single" w:color="auto" w:sz="4" w:space="0"/>
              <w:left w:val="nil"/>
              <w:bottom w:val="single" w:color="auto" w:sz="4" w:space="0"/>
              <w:right w:val="single" w:color="auto" w:sz="4" w:space="0"/>
            </w:tcBorders>
            <w:vAlign w:val="center"/>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r>
              <w:rPr>
                <w:rFonts w:hint="eastAsia" w:ascii="宋体" w:hAnsi="宋体" w:cs="宋体"/>
                <w:color w:val="auto"/>
                <w:szCs w:val="21"/>
                <w:highlight w:val="none"/>
              </w:rPr>
              <w:t>单位及数量</w:t>
            </w:r>
          </w:p>
        </w:tc>
        <w:tc>
          <w:tcPr>
            <w:tcW w:w="1253" w:type="dxa"/>
            <w:tcBorders>
              <w:top w:val="single" w:color="auto" w:sz="4" w:space="0"/>
              <w:left w:val="nil"/>
              <w:bottom w:val="single" w:color="auto" w:sz="4" w:space="0"/>
              <w:right w:val="single" w:color="auto" w:sz="4" w:space="0"/>
            </w:tcBorders>
            <w:vAlign w:val="center"/>
          </w:tcPr>
          <w:p>
            <w:pPr>
              <w:pageBreakBefore w:val="0"/>
              <w:kinsoku/>
              <w:overflowPunct/>
              <w:bidi w:val="0"/>
              <w:snapToGrid w:val="0"/>
              <w:spacing w:before="50" w:after="50" w:line="360" w:lineRule="auto"/>
              <w:jc w:val="center"/>
              <w:outlineLvl w:val="9"/>
              <w:rPr>
                <w:rFonts w:ascii="宋体" w:hAnsi="宋体" w:cs="宋体"/>
                <w:color w:val="auto"/>
                <w:szCs w:val="21"/>
                <w:highlight w:val="none"/>
              </w:rPr>
            </w:pPr>
            <w:r>
              <w:rPr>
                <w:rFonts w:hint="eastAsia" w:ascii="宋体" w:hAnsi="宋体" w:cs="宋体"/>
                <w:color w:val="auto"/>
                <w:szCs w:val="21"/>
                <w:highlight w:val="none"/>
              </w:rPr>
              <w:t>品牌</w:t>
            </w:r>
          </w:p>
        </w:tc>
        <w:tc>
          <w:tcPr>
            <w:tcW w:w="1253" w:type="dxa"/>
            <w:tcBorders>
              <w:top w:val="single" w:color="auto" w:sz="4" w:space="0"/>
              <w:left w:val="nil"/>
              <w:bottom w:val="single" w:color="auto" w:sz="4" w:space="0"/>
              <w:right w:val="single" w:color="auto" w:sz="4" w:space="0"/>
            </w:tcBorders>
            <w:vAlign w:val="center"/>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r>
              <w:rPr>
                <w:rFonts w:hint="eastAsia" w:ascii="宋体" w:hAnsi="宋体" w:cs="宋体"/>
                <w:color w:val="auto"/>
                <w:szCs w:val="21"/>
                <w:highlight w:val="none"/>
              </w:rPr>
              <w:t>单价（元）</w:t>
            </w:r>
          </w:p>
        </w:tc>
        <w:tc>
          <w:tcPr>
            <w:tcW w:w="1432" w:type="dxa"/>
            <w:tcBorders>
              <w:top w:val="single" w:color="auto" w:sz="4" w:space="0"/>
              <w:left w:val="nil"/>
              <w:bottom w:val="single" w:color="auto" w:sz="4" w:space="0"/>
              <w:right w:val="single" w:color="auto" w:sz="4" w:space="0"/>
            </w:tcBorders>
            <w:vAlign w:val="center"/>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r>
              <w:rPr>
                <w:rFonts w:hint="eastAsia" w:ascii="宋体" w:hAnsi="宋体" w:cs="宋体"/>
                <w:color w:val="auto"/>
                <w:szCs w:val="21"/>
                <w:highlight w:val="none"/>
              </w:rPr>
              <w:t>金额（元）</w:t>
            </w:r>
          </w:p>
        </w:tc>
      </w:tr>
      <w:tr>
        <w:tblPrEx>
          <w:tblCellMar>
            <w:top w:w="0" w:type="dxa"/>
            <w:left w:w="108" w:type="dxa"/>
            <w:bottom w:w="0" w:type="dxa"/>
            <w:right w:w="108" w:type="dxa"/>
          </w:tblCellMar>
        </w:tblPrEx>
        <w:trPr>
          <w:jc w:val="center"/>
        </w:trPr>
        <w:tc>
          <w:tcPr>
            <w:tcW w:w="780" w:type="dxa"/>
            <w:tcBorders>
              <w:top w:val="single" w:color="auto" w:sz="4" w:space="0"/>
              <w:left w:val="single" w:color="auto" w:sz="4" w:space="0"/>
              <w:bottom w:val="single" w:color="auto" w:sz="4" w:space="0"/>
              <w:right w:val="single" w:color="auto" w:sz="4" w:space="0"/>
            </w:tcBorders>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p>
        </w:tc>
        <w:tc>
          <w:tcPr>
            <w:tcW w:w="2124" w:type="dxa"/>
            <w:tcBorders>
              <w:top w:val="single" w:color="auto" w:sz="4" w:space="0"/>
              <w:left w:val="nil"/>
              <w:bottom w:val="single" w:color="auto" w:sz="4" w:space="0"/>
              <w:right w:val="single" w:color="auto" w:sz="4" w:space="0"/>
            </w:tcBorders>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p>
        </w:tc>
        <w:tc>
          <w:tcPr>
            <w:tcW w:w="2251" w:type="dxa"/>
            <w:tcBorders>
              <w:top w:val="single" w:color="auto" w:sz="4" w:space="0"/>
              <w:left w:val="nil"/>
              <w:bottom w:val="single" w:color="auto" w:sz="4" w:space="0"/>
              <w:right w:val="single" w:color="auto" w:sz="4" w:space="0"/>
            </w:tcBorders>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p>
        </w:tc>
      </w:tr>
      <w:tr>
        <w:tblPrEx>
          <w:tblCellMar>
            <w:top w:w="0" w:type="dxa"/>
            <w:left w:w="108" w:type="dxa"/>
            <w:bottom w:w="0" w:type="dxa"/>
            <w:right w:w="108" w:type="dxa"/>
          </w:tblCellMar>
        </w:tblPrEx>
        <w:trPr>
          <w:jc w:val="center"/>
        </w:trPr>
        <w:tc>
          <w:tcPr>
            <w:tcW w:w="780" w:type="dxa"/>
            <w:tcBorders>
              <w:top w:val="single" w:color="auto" w:sz="4" w:space="0"/>
              <w:left w:val="single" w:color="auto" w:sz="4" w:space="0"/>
              <w:bottom w:val="single" w:color="auto" w:sz="4" w:space="0"/>
              <w:right w:val="single" w:color="auto" w:sz="4" w:space="0"/>
            </w:tcBorders>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p>
        </w:tc>
        <w:tc>
          <w:tcPr>
            <w:tcW w:w="2124" w:type="dxa"/>
            <w:tcBorders>
              <w:top w:val="single" w:color="auto" w:sz="4" w:space="0"/>
              <w:left w:val="nil"/>
              <w:bottom w:val="single" w:color="auto" w:sz="4" w:space="0"/>
              <w:right w:val="single" w:color="auto" w:sz="4" w:space="0"/>
            </w:tcBorders>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p>
        </w:tc>
        <w:tc>
          <w:tcPr>
            <w:tcW w:w="2251" w:type="dxa"/>
            <w:tcBorders>
              <w:top w:val="single" w:color="auto" w:sz="4" w:space="0"/>
              <w:left w:val="nil"/>
              <w:bottom w:val="single" w:color="auto" w:sz="4" w:space="0"/>
              <w:right w:val="single" w:color="auto" w:sz="4" w:space="0"/>
            </w:tcBorders>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p>
        </w:tc>
      </w:tr>
      <w:tr>
        <w:tblPrEx>
          <w:tblCellMar>
            <w:top w:w="0" w:type="dxa"/>
            <w:left w:w="108" w:type="dxa"/>
            <w:bottom w:w="0" w:type="dxa"/>
            <w:right w:w="108" w:type="dxa"/>
          </w:tblCellMar>
        </w:tblPrEx>
        <w:trPr>
          <w:jc w:val="center"/>
        </w:trPr>
        <w:tc>
          <w:tcPr>
            <w:tcW w:w="780" w:type="dxa"/>
            <w:tcBorders>
              <w:top w:val="single" w:color="auto" w:sz="4" w:space="0"/>
              <w:left w:val="single" w:color="auto" w:sz="4" w:space="0"/>
              <w:bottom w:val="single" w:color="auto" w:sz="4" w:space="0"/>
              <w:right w:val="single" w:color="auto" w:sz="4" w:space="0"/>
            </w:tcBorders>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p>
        </w:tc>
        <w:tc>
          <w:tcPr>
            <w:tcW w:w="2124" w:type="dxa"/>
            <w:tcBorders>
              <w:top w:val="single" w:color="auto" w:sz="4" w:space="0"/>
              <w:left w:val="nil"/>
              <w:bottom w:val="single" w:color="auto" w:sz="4" w:space="0"/>
              <w:right w:val="single" w:color="auto" w:sz="4" w:space="0"/>
            </w:tcBorders>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p>
        </w:tc>
        <w:tc>
          <w:tcPr>
            <w:tcW w:w="2251" w:type="dxa"/>
            <w:tcBorders>
              <w:top w:val="single" w:color="auto" w:sz="4" w:space="0"/>
              <w:left w:val="nil"/>
              <w:bottom w:val="single" w:color="auto" w:sz="4" w:space="0"/>
              <w:right w:val="single" w:color="auto" w:sz="4" w:space="0"/>
            </w:tcBorders>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p>
        </w:tc>
      </w:tr>
      <w:tr>
        <w:tblPrEx>
          <w:tblCellMar>
            <w:top w:w="0" w:type="dxa"/>
            <w:left w:w="108" w:type="dxa"/>
            <w:bottom w:w="0" w:type="dxa"/>
            <w:right w:w="108" w:type="dxa"/>
          </w:tblCellMar>
        </w:tblPrEx>
        <w:trPr>
          <w:jc w:val="center"/>
        </w:trPr>
        <w:tc>
          <w:tcPr>
            <w:tcW w:w="780" w:type="dxa"/>
            <w:tcBorders>
              <w:top w:val="single" w:color="auto" w:sz="4" w:space="0"/>
              <w:left w:val="single" w:color="auto" w:sz="4" w:space="0"/>
              <w:bottom w:val="single" w:color="auto" w:sz="4" w:space="0"/>
              <w:right w:val="single" w:color="auto" w:sz="4" w:space="0"/>
            </w:tcBorders>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p>
        </w:tc>
        <w:tc>
          <w:tcPr>
            <w:tcW w:w="2124" w:type="dxa"/>
            <w:tcBorders>
              <w:top w:val="single" w:color="auto" w:sz="4" w:space="0"/>
              <w:left w:val="nil"/>
              <w:bottom w:val="single" w:color="auto" w:sz="4" w:space="0"/>
              <w:right w:val="single" w:color="auto" w:sz="4" w:space="0"/>
            </w:tcBorders>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p>
        </w:tc>
        <w:tc>
          <w:tcPr>
            <w:tcW w:w="2251" w:type="dxa"/>
            <w:tcBorders>
              <w:top w:val="single" w:color="auto" w:sz="4" w:space="0"/>
              <w:left w:val="nil"/>
              <w:bottom w:val="single" w:color="auto" w:sz="4" w:space="0"/>
              <w:right w:val="single" w:color="auto" w:sz="4" w:space="0"/>
            </w:tcBorders>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p>
        </w:tc>
      </w:tr>
      <w:tr>
        <w:tblPrEx>
          <w:tblCellMar>
            <w:top w:w="0" w:type="dxa"/>
            <w:left w:w="108" w:type="dxa"/>
            <w:bottom w:w="0" w:type="dxa"/>
            <w:right w:w="108" w:type="dxa"/>
          </w:tblCellMar>
        </w:tblPrEx>
        <w:trPr>
          <w:jc w:val="center"/>
        </w:trPr>
        <w:tc>
          <w:tcPr>
            <w:tcW w:w="780" w:type="dxa"/>
            <w:tcBorders>
              <w:top w:val="single" w:color="auto" w:sz="4" w:space="0"/>
              <w:left w:val="single" w:color="auto" w:sz="4" w:space="0"/>
              <w:bottom w:val="single" w:color="auto" w:sz="4" w:space="0"/>
              <w:right w:val="single" w:color="auto" w:sz="4" w:space="0"/>
            </w:tcBorders>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p>
        </w:tc>
        <w:tc>
          <w:tcPr>
            <w:tcW w:w="2124" w:type="dxa"/>
            <w:tcBorders>
              <w:top w:val="single" w:color="auto" w:sz="4" w:space="0"/>
              <w:left w:val="nil"/>
              <w:bottom w:val="single" w:color="auto" w:sz="4" w:space="0"/>
              <w:right w:val="single" w:color="auto" w:sz="4" w:space="0"/>
            </w:tcBorders>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p>
        </w:tc>
        <w:tc>
          <w:tcPr>
            <w:tcW w:w="2251" w:type="dxa"/>
            <w:tcBorders>
              <w:top w:val="single" w:color="auto" w:sz="4" w:space="0"/>
              <w:left w:val="nil"/>
              <w:bottom w:val="single" w:color="auto" w:sz="4" w:space="0"/>
              <w:right w:val="single" w:color="auto" w:sz="4" w:space="0"/>
            </w:tcBorders>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p>
        </w:tc>
      </w:tr>
      <w:tr>
        <w:tblPrEx>
          <w:tblCellMar>
            <w:top w:w="0" w:type="dxa"/>
            <w:left w:w="108" w:type="dxa"/>
            <w:bottom w:w="0" w:type="dxa"/>
            <w:right w:w="108" w:type="dxa"/>
          </w:tblCellMar>
        </w:tblPrEx>
        <w:trPr>
          <w:jc w:val="center"/>
        </w:trPr>
        <w:tc>
          <w:tcPr>
            <w:tcW w:w="780" w:type="dxa"/>
            <w:tcBorders>
              <w:top w:val="single" w:color="auto" w:sz="4" w:space="0"/>
              <w:left w:val="single" w:color="auto" w:sz="4" w:space="0"/>
              <w:bottom w:val="single" w:color="auto" w:sz="4" w:space="0"/>
              <w:right w:val="single" w:color="auto" w:sz="4" w:space="0"/>
            </w:tcBorders>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p>
        </w:tc>
        <w:tc>
          <w:tcPr>
            <w:tcW w:w="2124" w:type="dxa"/>
            <w:tcBorders>
              <w:top w:val="single" w:color="auto" w:sz="4" w:space="0"/>
              <w:left w:val="nil"/>
              <w:bottom w:val="single" w:color="auto" w:sz="4" w:space="0"/>
              <w:right w:val="single" w:color="auto" w:sz="4" w:space="0"/>
            </w:tcBorders>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p>
        </w:tc>
        <w:tc>
          <w:tcPr>
            <w:tcW w:w="2251" w:type="dxa"/>
            <w:tcBorders>
              <w:top w:val="single" w:color="auto" w:sz="4" w:space="0"/>
              <w:left w:val="nil"/>
              <w:bottom w:val="single" w:color="auto" w:sz="4" w:space="0"/>
              <w:right w:val="single" w:color="auto" w:sz="4" w:space="0"/>
            </w:tcBorders>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p>
        </w:tc>
      </w:tr>
      <w:tr>
        <w:tblPrEx>
          <w:tblCellMar>
            <w:top w:w="0" w:type="dxa"/>
            <w:left w:w="108" w:type="dxa"/>
            <w:bottom w:w="0" w:type="dxa"/>
            <w:right w:w="108" w:type="dxa"/>
          </w:tblCellMar>
        </w:tblPrEx>
        <w:trPr>
          <w:jc w:val="center"/>
        </w:trPr>
        <w:tc>
          <w:tcPr>
            <w:tcW w:w="780" w:type="dxa"/>
            <w:tcBorders>
              <w:top w:val="single" w:color="auto" w:sz="4" w:space="0"/>
              <w:left w:val="single" w:color="auto" w:sz="4" w:space="0"/>
              <w:bottom w:val="single" w:color="auto" w:sz="4" w:space="0"/>
              <w:right w:val="single" w:color="auto" w:sz="4" w:space="0"/>
            </w:tcBorders>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p>
        </w:tc>
        <w:tc>
          <w:tcPr>
            <w:tcW w:w="2124" w:type="dxa"/>
            <w:tcBorders>
              <w:top w:val="single" w:color="auto" w:sz="4" w:space="0"/>
              <w:left w:val="nil"/>
              <w:bottom w:val="single" w:color="auto" w:sz="4" w:space="0"/>
              <w:right w:val="single" w:color="auto" w:sz="4" w:space="0"/>
            </w:tcBorders>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p>
        </w:tc>
        <w:tc>
          <w:tcPr>
            <w:tcW w:w="2251" w:type="dxa"/>
            <w:tcBorders>
              <w:top w:val="single" w:color="auto" w:sz="4" w:space="0"/>
              <w:left w:val="nil"/>
              <w:bottom w:val="single" w:color="auto" w:sz="4" w:space="0"/>
              <w:right w:val="single" w:color="auto" w:sz="4" w:space="0"/>
            </w:tcBorders>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p>
        </w:tc>
      </w:tr>
      <w:tr>
        <w:tblPrEx>
          <w:tblCellMar>
            <w:top w:w="0" w:type="dxa"/>
            <w:left w:w="108" w:type="dxa"/>
            <w:bottom w:w="0" w:type="dxa"/>
            <w:right w:w="108" w:type="dxa"/>
          </w:tblCellMar>
        </w:tblPrEx>
        <w:trPr>
          <w:trHeight w:val="369" w:hRule="atLeast"/>
          <w:jc w:val="center"/>
        </w:trPr>
        <w:tc>
          <w:tcPr>
            <w:tcW w:w="780" w:type="dxa"/>
            <w:tcBorders>
              <w:top w:val="single" w:color="auto" w:sz="4" w:space="0"/>
              <w:left w:val="single" w:color="auto" w:sz="4" w:space="0"/>
              <w:bottom w:val="single" w:color="auto" w:sz="4" w:space="0"/>
              <w:right w:val="single" w:color="auto" w:sz="4" w:space="0"/>
            </w:tcBorders>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p>
        </w:tc>
        <w:tc>
          <w:tcPr>
            <w:tcW w:w="2124" w:type="dxa"/>
            <w:tcBorders>
              <w:top w:val="single" w:color="auto" w:sz="4" w:space="0"/>
              <w:left w:val="nil"/>
              <w:bottom w:val="single" w:color="auto" w:sz="4" w:space="0"/>
              <w:right w:val="single" w:color="auto" w:sz="4" w:space="0"/>
            </w:tcBorders>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p>
        </w:tc>
        <w:tc>
          <w:tcPr>
            <w:tcW w:w="2251" w:type="dxa"/>
            <w:tcBorders>
              <w:top w:val="single" w:color="auto" w:sz="4" w:space="0"/>
              <w:left w:val="nil"/>
              <w:bottom w:val="single" w:color="auto" w:sz="4" w:space="0"/>
              <w:right w:val="single" w:color="auto" w:sz="4" w:space="0"/>
            </w:tcBorders>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p>
        </w:tc>
      </w:tr>
      <w:tr>
        <w:tblPrEx>
          <w:tblCellMar>
            <w:top w:w="0" w:type="dxa"/>
            <w:left w:w="108" w:type="dxa"/>
            <w:bottom w:w="0" w:type="dxa"/>
            <w:right w:w="108" w:type="dxa"/>
          </w:tblCellMar>
        </w:tblPrEx>
        <w:trPr>
          <w:trHeight w:val="351" w:hRule="atLeast"/>
          <w:jc w:val="center"/>
        </w:trPr>
        <w:tc>
          <w:tcPr>
            <w:tcW w:w="780" w:type="dxa"/>
            <w:tcBorders>
              <w:top w:val="single" w:color="auto" w:sz="4" w:space="0"/>
              <w:left w:val="single" w:color="auto" w:sz="4" w:space="0"/>
              <w:bottom w:val="single" w:color="auto" w:sz="4" w:space="0"/>
              <w:right w:val="single" w:color="auto" w:sz="4" w:space="0"/>
            </w:tcBorders>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p>
        </w:tc>
        <w:tc>
          <w:tcPr>
            <w:tcW w:w="2124" w:type="dxa"/>
            <w:tcBorders>
              <w:top w:val="single" w:color="auto" w:sz="4" w:space="0"/>
              <w:left w:val="nil"/>
              <w:bottom w:val="single" w:color="auto" w:sz="4" w:space="0"/>
              <w:right w:val="single" w:color="auto" w:sz="4" w:space="0"/>
            </w:tcBorders>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p>
        </w:tc>
        <w:tc>
          <w:tcPr>
            <w:tcW w:w="2251" w:type="dxa"/>
            <w:tcBorders>
              <w:top w:val="single" w:color="auto" w:sz="4" w:space="0"/>
              <w:left w:val="nil"/>
              <w:bottom w:val="single" w:color="auto" w:sz="4" w:space="0"/>
              <w:right w:val="single" w:color="auto" w:sz="4" w:space="0"/>
            </w:tcBorders>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p>
        </w:tc>
      </w:tr>
      <w:tr>
        <w:tblPrEx>
          <w:tblCellMar>
            <w:top w:w="0" w:type="dxa"/>
            <w:left w:w="108" w:type="dxa"/>
            <w:bottom w:w="0" w:type="dxa"/>
            <w:right w:w="108" w:type="dxa"/>
          </w:tblCellMar>
        </w:tblPrEx>
        <w:trPr>
          <w:trHeight w:val="452" w:hRule="atLeast"/>
          <w:jc w:val="center"/>
        </w:trPr>
        <w:tc>
          <w:tcPr>
            <w:tcW w:w="780" w:type="dxa"/>
            <w:tcBorders>
              <w:top w:val="single" w:color="auto" w:sz="4" w:space="0"/>
              <w:left w:val="single" w:color="auto" w:sz="4" w:space="0"/>
              <w:bottom w:val="single" w:color="auto" w:sz="4" w:space="0"/>
              <w:right w:val="single" w:color="auto" w:sz="4" w:space="0"/>
            </w:tcBorders>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p>
        </w:tc>
        <w:tc>
          <w:tcPr>
            <w:tcW w:w="2124" w:type="dxa"/>
            <w:tcBorders>
              <w:top w:val="single" w:color="auto" w:sz="4" w:space="0"/>
              <w:left w:val="nil"/>
              <w:bottom w:val="single" w:color="auto" w:sz="4" w:space="0"/>
              <w:right w:val="single" w:color="auto" w:sz="4" w:space="0"/>
            </w:tcBorders>
          </w:tcPr>
          <w:p>
            <w:pPr>
              <w:pageBreakBefore w:val="0"/>
              <w:kinsoku/>
              <w:overflowPunct/>
              <w:bidi w:val="0"/>
              <w:snapToGrid w:val="0"/>
              <w:spacing w:before="50" w:after="50" w:line="360" w:lineRule="auto"/>
              <w:outlineLvl w:val="9"/>
              <w:rPr>
                <w:rFonts w:ascii="宋体" w:hAnsi="宋体" w:cs="宋体"/>
                <w:color w:val="auto"/>
                <w:spacing w:val="20"/>
                <w:szCs w:val="21"/>
                <w:highlight w:val="none"/>
              </w:rPr>
            </w:pPr>
          </w:p>
        </w:tc>
        <w:tc>
          <w:tcPr>
            <w:tcW w:w="2251" w:type="dxa"/>
            <w:tcBorders>
              <w:top w:val="single" w:color="auto" w:sz="4" w:space="0"/>
              <w:left w:val="nil"/>
              <w:bottom w:val="single" w:color="auto" w:sz="4" w:space="0"/>
              <w:right w:val="single" w:color="auto" w:sz="4" w:space="0"/>
            </w:tcBorders>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p>
        </w:tc>
      </w:tr>
      <w:tr>
        <w:tblPrEx>
          <w:tblCellMar>
            <w:top w:w="0" w:type="dxa"/>
            <w:left w:w="108" w:type="dxa"/>
            <w:bottom w:w="0" w:type="dxa"/>
            <w:right w:w="108" w:type="dxa"/>
          </w:tblCellMar>
        </w:tblPrEx>
        <w:trPr>
          <w:jc w:val="center"/>
        </w:trPr>
        <w:tc>
          <w:tcPr>
            <w:tcW w:w="7661" w:type="dxa"/>
            <w:gridSpan w:val="5"/>
            <w:tcBorders>
              <w:top w:val="single" w:color="auto" w:sz="4" w:space="0"/>
              <w:left w:val="single" w:color="auto" w:sz="4" w:space="0"/>
              <w:bottom w:val="single" w:color="auto" w:sz="4" w:space="0"/>
              <w:right w:val="single" w:color="auto" w:sz="4" w:space="0"/>
            </w:tcBorders>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r>
              <w:rPr>
                <w:rFonts w:hint="eastAsia" w:ascii="宋体" w:hAnsi="宋体" w:cs="宋体"/>
                <w:color w:val="auto"/>
                <w:spacing w:val="20"/>
                <w:szCs w:val="21"/>
                <w:highlight w:val="none"/>
              </w:rPr>
              <w:t>投标总价（元）</w:t>
            </w:r>
          </w:p>
        </w:tc>
        <w:tc>
          <w:tcPr>
            <w:tcW w:w="1432" w:type="dxa"/>
            <w:tcBorders>
              <w:top w:val="single" w:color="auto" w:sz="4" w:space="0"/>
              <w:left w:val="nil"/>
              <w:bottom w:val="single" w:color="auto" w:sz="4" w:space="0"/>
              <w:right w:val="single" w:color="auto" w:sz="4" w:space="0"/>
            </w:tcBorders>
          </w:tcPr>
          <w:p>
            <w:pPr>
              <w:pageBreakBefore w:val="0"/>
              <w:kinsoku/>
              <w:overflowPunct/>
              <w:bidi w:val="0"/>
              <w:snapToGrid w:val="0"/>
              <w:spacing w:before="50" w:after="50" w:line="360" w:lineRule="auto"/>
              <w:jc w:val="center"/>
              <w:outlineLvl w:val="9"/>
              <w:rPr>
                <w:rFonts w:ascii="宋体" w:hAnsi="宋体" w:cs="宋体"/>
                <w:color w:val="auto"/>
                <w:spacing w:val="20"/>
                <w:szCs w:val="21"/>
                <w:highlight w:val="none"/>
              </w:rPr>
            </w:pPr>
          </w:p>
        </w:tc>
      </w:tr>
    </w:tbl>
    <w:p>
      <w:pPr>
        <w:pageBreakBefore w:val="0"/>
        <w:kinsoku/>
        <w:overflowPunct/>
        <w:bidi w:val="0"/>
        <w:outlineLvl w:val="9"/>
        <w:rPr>
          <w:rFonts w:ascii="宋体" w:hAnsi="宋体" w:cs="宋体"/>
          <w:bCs/>
          <w:color w:val="auto"/>
          <w:szCs w:val="21"/>
          <w:highlight w:val="none"/>
        </w:rPr>
      </w:pPr>
      <w:r>
        <w:rPr>
          <w:rFonts w:hint="eastAsia" w:ascii="宋体" w:hAnsi="宋体" w:cs="宋体"/>
          <w:bCs/>
          <w:color w:val="auto"/>
          <w:szCs w:val="21"/>
          <w:highlight w:val="none"/>
        </w:rPr>
        <w:t>注：1、投标单位可根据实际情况自行调整表格；</w:t>
      </w:r>
    </w:p>
    <w:p>
      <w:pPr>
        <w:pageBreakBefore w:val="0"/>
        <w:kinsoku/>
        <w:overflowPunct/>
        <w:bidi w:val="0"/>
        <w:outlineLvl w:val="9"/>
        <w:rPr>
          <w:rFonts w:ascii="宋体" w:hAnsi="宋体" w:cs="宋体"/>
          <w:color w:val="auto"/>
          <w:highlight w:val="none"/>
        </w:rPr>
      </w:pPr>
    </w:p>
    <w:p>
      <w:pPr>
        <w:pageBreakBefore w:val="0"/>
        <w:kinsoku/>
        <w:overflowPunct/>
        <w:bidi w:val="0"/>
        <w:spacing w:line="360" w:lineRule="auto"/>
        <w:ind w:firstLine="4095" w:firstLineChars="1950"/>
        <w:outlineLvl w:val="9"/>
        <w:rPr>
          <w:rFonts w:ascii="宋体" w:hAnsi="宋体" w:cs="宋体"/>
          <w:color w:val="auto"/>
          <w:highlight w:val="none"/>
        </w:rPr>
      </w:pPr>
    </w:p>
    <w:p>
      <w:pPr>
        <w:pageBreakBefore w:val="0"/>
        <w:kinsoku/>
        <w:overflowPunct/>
        <w:bidi w:val="0"/>
        <w:spacing w:line="360" w:lineRule="auto"/>
        <w:ind w:firstLine="4095" w:firstLineChars="1950"/>
        <w:outlineLvl w:val="9"/>
        <w:rPr>
          <w:rFonts w:ascii="宋体" w:hAnsi="宋体" w:cs="宋体"/>
          <w:color w:val="auto"/>
          <w:highlight w:val="none"/>
        </w:rPr>
      </w:pPr>
    </w:p>
    <w:p>
      <w:pPr>
        <w:pageBreakBefore w:val="0"/>
        <w:kinsoku/>
        <w:overflowPunct/>
        <w:bidi w:val="0"/>
        <w:spacing w:line="360" w:lineRule="auto"/>
        <w:ind w:firstLine="4095" w:firstLineChars="1950"/>
        <w:outlineLvl w:val="9"/>
        <w:rPr>
          <w:rFonts w:ascii="宋体" w:hAnsi="宋体" w:cs="宋体"/>
          <w:color w:val="auto"/>
          <w:highlight w:val="none"/>
        </w:rPr>
      </w:pPr>
      <w:r>
        <w:rPr>
          <w:rFonts w:hint="eastAsia" w:ascii="宋体" w:hAnsi="宋体" w:cs="宋体"/>
          <w:color w:val="auto"/>
          <w:highlight w:val="none"/>
        </w:rPr>
        <w:t xml:space="preserve">法定代表人或授权代表（签名或印章）：        </w:t>
      </w:r>
    </w:p>
    <w:p>
      <w:pPr>
        <w:pageBreakBefore w:val="0"/>
        <w:kinsoku/>
        <w:overflowPunct/>
        <w:bidi w:val="0"/>
        <w:spacing w:line="360" w:lineRule="auto"/>
        <w:ind w:firstLine="5460" w:firstLineChars="2600"/>
        <w:outlineLvl w:val="9"/>
        <w:rPr>
          <w:rFonts w:ascii="宋体" w:hAnsi="宋体" w:cs="宋体"/>
          <w:color w:val="auto"/>
          <w:highlight w:val="none"/>
        </w:rPr>
      </w:pPr>
      <w:r>
        <w:rPr>
          <w:rFonts w:hint="eastAsia" w:ascii="宋体" w:hAnsi="宋体" w:cs="宋体"/>
          <w:color w:val="auto"/>
          <w:highlight w:val="none"/>
        </w:rPr>
        <w:t xml:space="preserve">供应商盖章：         </w:t>
      </w:r>
    </w:p>
    <w:p>
      <w:pPr>
        <w:pageBreakBefore w:val="0"/>
        <w:kinsoku/>
        <w:overflowPunct/>
        <w:bidi w:val="0"/>
        <w:ind w:firstLine="5460" w:firstLineChars="2600"/>
        <w:outlineLvl w:val="9"/>
        <w:rPr>
          <w:rFonts w:ascii="宋体" w:hAnsi="宋体" w:cs="宋体"/>
          <w:color w:val="auto"/>
          <w:highlight w:val="none"/>
        </w:rPr>
      </w:pPr>
      <w:r>
        <w:rPr>
          <w:rFonts w:hint="eastAsia" w:ascii="宋体" w:hAnsi="宋体" w:cs="宋体"/>
          <w:color w:val="auto"/>
          <w:highlight w:val="none"/>
        </w:rPr>
        <w:t>日  期：</w:t>
      </w:r>
    </w:p>
    <w:p>
      <w:pPr>
        <w:pageBreakBefore w:val="0"/>
        <w:kinsoku/>
        <w:overflowPunct/>
        <w:bidi w:val="0"/>
        <w:outlineLvl w:val="9"/>
        <w:rPr>
          <w:rFonts w:hint="eastAsia" w:ascii="宋体" w:hAnsi="宋体" w:eastAsia="宋体" w:cs="宋体"/>
          <w:b/>
          <w:bCs/>
          <w:color w:val="auto"/>
          <w:highlight w:val="none"/>
          <w:lang w:eastAsia="zh-CN"/>
        </w:rPr>
      </w:pPr>
      <w:r>
        <w:rPr>
          <w:rFonts w:hint="eastAsia" w:ascii="宋体" w:hAnsi="宋体" w:cs="宋体"/>
          <w:b/>
          <w:bCs/>
          <w:color w:val="auto"/>
          <w:highlight w:val="none"/>
        </w:rPr>
        <w:br w:type="page"/>
      </w:r>
      <w:r>
        <w:rPr>
          <w:rFonts w:hint="eastAsia" w:ascii="宋体" w:hAnsi="宋体" w:cs="宋体"/>
          <w:b/>
          <w:bCs/>
          <w:color w:val="auto"/>
          <w:highlight w:val="none"/>
          <w:lang w:val="en-US" w:eastAsia="zh-CN"/>
        </w:rPr>
        <w:t>4</w:t>
      </w:r>
      <w:r>
        <w:rPr>
          <w:rFonts w:hint="eastAsia" w:ascii="宋体" w:hAnsi="宋体" w:cs="宋体"/>
          <w:b/>
          <w:bCs/>
          <w:color w:val="auto"/>
          <w:highlight w:val="none"/>
        </w:rPr>
        <w:t>.</w:t>
      </w:r>
      <w:r>
        <w:rPr>
          <w:rFonts w:hint="eastAsia" w:ascii="宋体" w:hAnsi="宋体" w:eastAsia="宋体" w:cs="宋体"/>
          <w:b/>
          <w:bCs/>
          <w:color w:val="auto"/>
          <w:highlight w:val="none"/>
          <w:lang w:eastAsia="zh-CN"/>
        </w:rPr>
        <w:t>中小企业声明函[提供中小企业声明函或残疾人福利性单位声明函（非残疾人福利性单位无需提供本函)，格式见附件或提供由省级以上监狱管理局、戒毒管理局（含新疆生产建设兵团）出具的属于监狱企业的证明文件]；</w:t>
      </w:r>
    </w:p>
    <w:p>
      <w:pPr>
        <w:pageBreakBefore w:val="0"/>
        <w:kinsoku/>
        <w:overflowPunct/>
        <w:bidi w:val="0"/>
        <w:outlineLvl w:val="9"/>
        <w:rPr>
          <w:rFonts w:ascii="宋体" w:hAnsi="宋体" w:cs="宋体"/>
          <w:color w:val="auto"/>
          <w:szCs w:val="21"/>
          <w:highlight w:val="none"/>
        </w:rPr>
      </w:pPr>
      <w:r>
        <w:rPr>
          <w:rFonts w:hint="eastAsia" w:ascii="宋体" w:hAnsi="宋体" w:cs="宋体"/>
          <w:b/>
          <w:bCs/>
          <w:color w:val="auto"/>
          <w:szCs w:val="21"/>
          <w:highlight w:val="none"/>
          <w:lang w:val="en-US" w:eastAsia="zh-CN"/>
        </w:rPr>
        <w:t>A.</w:t>
      </w:r>
      <w:r>
        <w:rPr>
          <w:rFonts w:hint="eastAsia" w:ascii="宋体" w:hAnsi="宋体" w:cs="宋体"/>
          <w:b/>
          <w:bCs/>
          <w:color w:val="auto"/>
          <w:szCs w:val="21"/>
          <w:highlight w:val="none"/>
        </w:rPr>
        <w:t>中小企业声明函</w:t>
      </w:r>
    </w:p>
    <w:p>
      <w:pPr>
        <w:pageBreakBefore w:val="0"/>
        <w:kinsoku/>
        <w:overflowPunct/>
        <w:bidi w:val="0"/>
        <w:spacing w:line="520" w:lineRule="exact"/>
        <w:ind w:left="420" w:leftChars="200"/>
        <w:jc w:val="center"/>
        <w:outlineLvl w:val="9"/>
        <w:rPr>
          <w:rFonts w:ascii="宋体" w:hAnsi="宋体" w:cs="宋体"/>
          <w:b/>
          <w:color w:val="auto"/>
          <w:sz w:val="28"/>
          <w:highlight w:val="none"/>
        </w:rPr>
      </w:pPr>
      <w:r>
        <w:rPr>
          <w:rFonts w:hint="eastAsia" w:ascii="宋体" w:hAnsi="宋体" w:cs="宋体"/>
          <w:b/>
          <w:color w:val="auto"/>
          <w:sz w:val="28"/>
          <w:szCs w:val="28"/>
          <w:highlight w:val="none"/>
        </w:rPr>
        <w:t>中小企业声明函</w:t>
      </w:r>
    </w:p>
    <w:p>
      <w:pPr>
        <w:pageBreakBefore w:val="0"/>
        <w:kinsoku/>
        <w:overflowPunct/>
        <w:topLinePunct w:val="0"/>
        <w:bidi w:val="0"/>
        <w:spacing w:line="500" w:lineRule="exact"/>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本公司（联合体）郑重声明，根据《政府采购促进中小企业发展管理办法》（财库﹝2020﹞46 号）的规定，本公司（联合体）参加</w:t>
      </w:r>
      <w:r>
        <w:rPr>
          <w:rFonts w:hint="eastAsia" w:ascii="宋体" w:hAnsi="宋体" w:eastAsia="宋体" w:cs="宋体"/>
          <w:color w:val="auto"/>
          <w:sz w:val="21"/>
          <w:szCs w:val="21"/>
          <w:u w:val="single"/>
        </w:rPr>
        <w:t>（单位名称）</w:t>
      </w:r>
      <w:r>
        <w:rPr>
          <w:rFonts w:hint="eastAsia" w:ascii="宋体" w:hAnsi="宋体" w:eastAsia="宋体" w:cs="宋体"/>
          <w:color w:val="auto"/>
          <w:sz w:val="21"/>
          <w:szCs w:val="21"/>
        </w:rPr>
        <w:t>的</w:t>
      </w:r>
      <w:r>
        <w:rPr>
          <w:rFonts w:hint="eastAsia" w:ascii="宋体" w:hAnsi="宋体" w:eastAsia="宋体" w:cs="宋体"/>
          <w:color w:val="auto"/>
          <w:sz w:val="21"/>
          <w:szCs w:val="21"/>
          <w:u w:val="single"/>
        </w:rPr>
        <w:t>（项目名称）</w:t>
      </w:r>
      <w:r>
        <w:rPr>
          <w:rFonts w:hint="eastAsia" w:ascii="宋体" w:hAnsi="宋体" w:eastAsia="宋体" w:cs="宋体"/>
          <w:color w:val="auto"/>
          <w:sz w:val="21"/>
          <w:szCs w:val="21"/>
        </w:rPr>
        <w:t>采购活动，</w:t>
      </w:r>
      <w:r>
        <w:rPr>
          <w:rFonts w:hint="eastAsia" w:ascii="宋体" w:hAnsi="宋体" w:eastAsia="宋体" w:cs="宋体"/>
          <w:color w:val="auto"/>
          <w:sz w:val="21"/>
          <w:szCs w:val="21"/>
          <w:lang w:val="en-US" w:eastAsia="zh-CN"/>
        </w:rPr>
        <w:t>服务</w:t>
      </w:r>
      <w:r>
        <w:rPr>
          <w:rFonts w:hint="eastAsia" w:ascii="宋体" w:hAnsi="宋体" w:eastAsia="宋体" w:cs="宋体"/>
          <w:color w:val="auto"/>
          <w:sz w:val="21"/>
          <w:szCs w:val="21"/>
        </w:rPr>
        <w:t>全部由符合政策要求的中小企业</w:t>
      </w:r>
      <w:r>
        <w:rPr>
          <w:rFonts w:hint="eastAsia" w:ascii="宋体" w:hAnsi="宋体" w:eastAsia="宋体" w:cs="宋体"/>
          <w:color w:val="auto"/>
          <w:sz w:val="21"/>
          <w:szCs w:val="21"/>
          <w:lang w:val="en-US" w:eastAsia="zh-CN"/>
        </w:rPr>
        <w:t>承接</w:t>
      </w:r>
      <w:r>
        <w:rPr>
          <w:rFonts w:hint="eastAsia" w:ascii="宋体" w:hAnsi="宋体" w:eastAsia="宋体" w:cs="宋体"/>
          <w:color w:val="auto"/>
          <w:sz w:val="21"/>
          <w:szCs w:val="21"/>
        </w:rPr>
        <w:t>。相关企业（含联合体中的中小企业、签订分包意向协议的中小企业）的具体情况如下：</w:t>
      </w:r>
    </w:p>
    <w:p>
      <w:pPr>
        <w:pageBreakBefore w:val="0"/>
        <w:kinsoku/>
        <w:overflowPunct/>
        <w:topLinePunct w:val="0"/>
        <w:bidi w:val="0"/>
        <w:spacing w:line="500" w:lineRule="exact"/>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i/>
          <w:color w:val="auto"/>
          <w:sz w:val="21"/>
          <w:szCs w:val="21"/>
          <w:u w:val="single"/>
        </w:rPr>
        <w:t xml:space="preserve"> （标的名称） </w:t>
      </w:r>
      <w:r>
        <w:rPr>
          <w:rFonts w:hint="eastAsia" w:ascii="宋体" w:hAnsi="宋体" w:eastAsia="宋体" w:cs="宋体"/>
          <w:color w:val="auto"/>
          <w:sz w:val="21"/>
          <w:szCs w:val="21"/>
        </w:rPr>
        <w:t>，属于</w:t>
      </w:r>
      <w:r>
        <w:rPr>
          <w:rFonts w:hint="eastAsia" w:ascii="宋体" w:hAnsi="宋体" w:eastAsia="宋体" w:cs="宋体"/>
          <w:i/>
          <w:color w:val="auto"/>
          <w:sz w:val="21"/>
          <w:szCs w:val="21"/>
          <w:u w:val="single"/>
        </w:rPr>
        <w:t>（</w:t>
      </w:r>
      <w:r>
        <w:rPr>
          <w:rFonts w:hint="eastAsia" w:ascii="宋体" w:hAnsi="宋体" w:eastAsia="宋体" w:cs="宋体"/>
          <w:i/>
          <w:color w:val="auto"/>
          <w:sz w:val="21"/>
          <w:szCs w:val="21"/>
          <w:u w:val="single"/>
          <w:lang w:eastAsia="zh-CN"/>
        </w:rPr>
        <w:t>软件和信息技术服务业</w:t>
      </w:r>
      <w:r>
        <w:rPr>
          <w:rFonts w:hint="eastAsia" w:ascii="宋体" w:hAnsi="宋体" w:eastAsia="宋体" w:cs="宋体"/>
          <w:i/>
          <w:color w:val="auto"/>
          <w:sz w:val="21"/>
          <w:szCs w:val="21"/>
          <w:u w:val="single"/>
        </w:rPr>
        <w:t>）</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承接企业</w:t>
      </w:r>
      <w:r>
        <w:rPr>
          <w:rFonts w:hint="eastAsia" w:ascii="宋体" w:hAnsi="宋体" w:eastAsia="宋体" w:cs="宋体"/>
          <w:color w:val="auto"/>
          <w:sz w:val="21"/>
          <w:szCs w:val="21"/>
        </w:rPr>
        <w:t>为</w:t>
      </w:r>
      <w:r>
        <w:rPr>
          <w:rFonts w:hint="eastAsia" w:ascii="宋体" w:hAnsi="宋体" w:eastAsia="宋体" w:cs="宋体"/>
          <w:i/>
          <w:color w:val="auto"/>
          <w:sz w:val="21"/>
          <w:szCs w:val="21"/>
          <w:u w:val="single"/>
        </w:rPr>
        <w:t>（企业名称）</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万元，属于</w:t>
      </w:r>
      <w:r>
        <w:rPr>
          <w:rFonts w:hint="eastAsia" w:ascii="宋体" w:hAnsi="宋体" w:eastAsia="宋体" w:cs="宋体"/>
          <w:i/>
          <w:color w:val="auto"/>
          <w:sz w:val="21"/>
          <w:szCs w:val="21"/>
          <w:u w:val="single"/>
        </w:rPr>
        <w:t>（中型企业、小型企业、微型企业）</w:t>
      </w:r>
      <w:r>
        <w:rPr>
          <w:rFonts w:hint="eastAsia" w:ascii="宋体" w:hAnsi="宋体" w:eastAsia="宋体" w:cs="宋体"/>
          <w:color w:val="auto"/>
          <w:sz w:val="21"/>
          <w:szCs w:val="21"/>
        </w:rPr>
        <w:t>；</w:t>
      </w:r>
    </w:p>
    <w:p>
      <w:pPr>
        <w:pageBreakBefore w:val="0"/>
        <w:kinsoku/>
        <w:overflowPunct/>
        <w:topLinePunct w:val="0"/>
        <w:bidi w:val="0"/>
        <w:spacing w:line="500" w:lineRule="exact"/>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i/>
          <w:color w:val="auto"/>
          <w:sz w:val="21"/>
          <w:szCs w:val="21"/>
          <w:u w:val="single"/>
        </w:rPr>
        <w:t xml:space="preserve"> （标的名称） </w:t>
      </w:r>
      <w:r>
        <w:rPr>
          <w:rFonts w:hint="eastAsia" w:ascii="宋体" w:hAnsi="宋体" w:eastAsia="宋体" w:cs="宋体"/>
          <w:color w:val="auto"/>
          <w:sz w:val="21"/>
          <w:szCs w:val="21"/>
        </w:rPr>
        <w:t>，属于</w:t>
      </w:r>
      <w:r>
        <w:rPr>
          <w:rFonts w:hint="eastAsia" w:ascii="宋体" w:hAnsi="宋体" w:eastAsia="宋体" w:cs="宋体"/>
          <w:i/>
          <w:color w:val="auto"/>
          <w:sz w:val="21"/>
          <w:szCs w:val="21"/>
          <w:u w:val="single"/>
        </w:rPr>
        <w:t>（</w:t>
      </w:r>
      <w:r>
        <w:rPr>
          <w:rFonts w:hint="eastAsia" w:ascii="宋体" w:hAnsi="宋体" w:eastAsia="宋体" w:cs="宋体"/>
          <w:i/>
          <w:color w:val="auto"/>
          <w:sz w:val="21"/>
          <w:szCs w:val="21"/>
          <w:u w:val="single"/>
          <w:lang w:eastAsia="zh-CN"/>
        </w:rPr>
        <w:t>软件和信息技术服务业</w:t>
      </w:r>
      <w:r>
        <w:rPr>
          <w:rFonts w:hint="eastAsia" w:ascii="宋体" w:hAnsi="宋体" w:eastAsia="宋体" w:cs="宋体"/>
          <w:i/>
          <w:color w:val="auto"/>
          <w:sz w:val="21"/>
          <w:szCs w:val="21"/>
          <w:u w:val="single"/>
        </w:rPr>
        <w:t>）</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承接企业</w:t>
      </w:r>
      <w:r>
        <w:rPr>
          <w:rFonts w:hint="eastAsia" w:ascii="宋体" w:hAnsi="宋体" w:eastAsia="宋体" w:cs="宋体"/>
          <w:color w:val="auto"/>
          <w:sz w:val="21"/>
          <w:szCs w:val="21"/>
        </w:rPr>
        <w:t>为</w:t>
      </w:r>
      <w:r>
        <w:rPr>
          <w:rFonts w:hint="eastAsia" w:ascii="宋体" w:hAnsi="宋体" w:eastAsia="宋体" w:cs="宋体"/>
          <w:i/>
          <w:color w:val="auto"/>
          <w:sz w:val="21"/>
          <w:szCs w:val="21"/>
          <w:u w:val="single"/>
        </w:rPr>
        <w:t>（企业名称）</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万元，属于</w:t>
      </w:r>
      <w:r>
        <w:rPr>
          <w:rFonts w:hint="eastAsia" w:ascii="宋体" w:hAnsi="宋体" w:eastAsia="宋体" w:cs="宋体"/>
          <w:i/>
          <w:color w:val="auto"/>
          <w:sz w:val="21"/>
          <w:szCs w:val="21"/>
          <w:u w:val="single"/>
        </w:rPr>
        <w:t>（中型企业、小型企业、微型企业）</w:t>
      </w:r>
      <w:r>
        <w:rPr>
          <w:rFonts w:hint="eastAsia" w:ascii="宋体" w:hAnsi="宋体" w:eastAsia="宋体" w:cs="宋体"/>
          <w:color w:val="auto"/>
          <w:sz w:val="21"/>
          <w:szCs w:val="21"/>
        </w:rPr>
        <w:t>；</w:t>
      </w:r>
    </w:p>
    <w:p>
      <w:pPr>
        <w:pageBreakBefore w:val="0"/>
        <w:kinsoku/>
        <w:overflowPunct/>
        <w:topLinePunct w:val="0"/>
        <w:bidi w:val="0"/>
        <w:spacing w:line="500" w:lineRule="exact"/>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w:t>
      </w:r>
    </w:p>
    <w:p>
      <w:pPr>
        <w:pageBreakBefore w:val="0"/>
        <w:kinsoku/>
        <w:overflowPunct/>
        <w:topLinePunct w:val="0"/>
        <w:bidi w:val="0"/>
        <w:spacing w:line="500" w:lineRule="exact"/>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以上企业，不属于大企业的分支机构，不存在控股股东为大企业的情形，也不存在与大企业的负责人为同一人的情形。</w:t>
      </w:r>
    </w:p>
    <w:p>
      <w:pPr>
        <w:pageBreakBefore w:val="0"/>
        <w:kinsoku/>
        <w:overflowPunct/>
        <w:topLinePunct w:val="0"/>
        <w:bidi w:val="0"/>
        <w:spacing w:line="500" w:lineRule="exact"/>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本企业对上述声明内容的真实性负责。如有虚假，将依法承担相应责任。</w:t>
      </w:r>
    </w:p>
    <w:p>
      <w:pPr>
        <w:pageBreakBefore w:val="0"/>
        <w:kinsoku/>
        <w:overflowPunct/>
        <w:topLinePunct w:val="0"/>
        <w:bidi w:val="0"/>
        <w:spacing w:line="500" w:lineRule="exact"/>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                        企业名称（盖章）：</w:t>
      </w:r>
    </w:p>
    <w:p>
      <w:pPr>
        <w:pageBreakBefore w:val="0"/>
        <w:kinsoku/>
        <w:overflowPunct/>
        <w:topLinePunct w:val="0"/>
        <w:bidi w:val="0"/>
        <w:spacing w:line="500" w:lineRule="exact"/>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                        日期：</w:t>
      </w:r>
    </w:p>
    <w:p>
      <w:pPr>
        <w:pageBreakBefore w:val="0"/>
        <w:widowControl/>
        <w:kinsoku/>
        <w:overflowPunct/>
        <w:bidi w:val="0"/>
        <w:spacing w:line="360" w:lineRule="auto"/>
        <w:jc w:val="left"/>
        <w:outlineLvl w:val="9"/>
        <w:rPr>
          <w:rFonts w:ascii="宋体" w:hAnsi="宋体" w:cs="宋体"/>
          <w:bCs/>
          <w:color w:val="auto"/>
          <w:kern w:val="0"/>
          <w:szCs w:val="21"/>
          <w:highlight w:val="none"/>
        </w:rPr>
      </w:pPr>
      <w:r>
        <w:rPr>
          <w:rFonts w:hint="eastAsia" w:ascii="宋体" w:hAnsi="宋体" w:cs="宋体"/>
          <w:bCs/>
          <w:color w:val="auto"/>
          <w:kern w:val="0"/>
          <w:szCs w:val="21"/>
          <w:highlight w:val="none"/>
        </w:rPr>
        <w:t>说明：</w:t>
      </w:r>
    </w:p>
    <w:p>
      <w:pPr>
        <w:pageBreakBefore w:val="0"/>
        <w:widowControl/>
        <w:kinsoku/>
        <w:overflowPunct/>
        <w:bidi w:val="0"/>
        <w:spacing w:line="360" w:lineRule="auto"/>
        <w:jc w:val="left"/>
        <w:outlineLvl w:val="9"/>
        <w:rPr>
          <w:rFonts w:ascii="宋体" w:hAnsi="宋体" w:cs="宋体"/>
          <w:bCs/>
          <w:color w:val="auto"/>
          <w:kern w:val="0"/>
          <w:szCs w:val="21"/>
          <w:highlight w:val="none"/>
        </w:rPr>
      </w:pPr>
      <w:r>
        <w:rPr>
          <w:rFonts w:hint="eastAsia" w:ascii="宋体" w:hAnsi="宋体" w:cs="宋体"/>
          <w:bCs/>
          <w:color w:val="auto"/>
          <w:kern w:val="0"/>
          <w:szCs w:val="21"/>
          <w:highlight w:val="none"/>
        </w:rPr>
        <w:t>1、从业人员、营业收入、资产总额填报上一年度数据，无上一年度数据的新成立企业可不填报。</w:t>
      </w:r>
    </w:p>
    <w:p>
      <w:pPr>
        <w:pageBreakBefore w:val="0"/>
        <w:widowControl/>
        <w:kinsoku/>
        <w:overflowPunct/>
        <w:bidi w:val="0"/>
        <w:spacing w:line="360" w:lineRule="auto"/>
        <w:jc w:val="left"/>
        <w:outlineLvl w:val="9"/>
        <w:rPr>
          <w:rFonts w:ascii="宋体" w:hAnsi="宋体" w:cs="宋体"/>
          <w:b/>
          <w:bCs w:val="0"/>
          <w:color w:val="auto"/>
          <w:kern w:val="0"/>
          <w:szCs w:val="21"/>
          <w:highlight w:val="none"/>
        </w:rPr>
      </w:pPr>
      <w:r>
        <w:rPr>
          <w:rFonts w:hint="eastAsia" w:ascii="宋体" w:hAnsi="宋体" w:cs="宋体"/>
          <w:bCs/>
          <w:color w:val="auto"/>
          <w:kern w:val="0"/>
          <w:szCs w:val="21"/>
          <w:highlight w:val="none"/>
        </w:rPr>
        <w:t>2、根据工信部联企业[2011]300号规定。</w:t>
      </w:r>
      <w:r>
        <w:rPr>
          <w:rFonts w:hint="eastAsia" w:ascii="宋体" w:hAnsi="宋体" w:cs="宋体"/>
          <w:b/>
          <w:bCs w:val="0"/>
          <w:color w:val="auto"/>
          <w:kern w:val="0"/>
          <w:szCs w:val="21"/>
          <w:highlight w:val="none"/>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ageBreakBefore w:val="0"/>
        <w:widowControl/>
        <w:kinsoku/>
        <w:overflowPunct/>
        <w:bidi w:val="0"/>
        <w:spacing w:line="360" w:lineRule="auto"/>
        <w:jc w:val="left"/>
        <w:outlineLvl w:val="9"/>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3、供应商自行更改所属行业的，未填写企业类型（中、小、微型）的，本声明函作无效处理。</w:t>
      </w:r>
    </w:p>
    <w:p>
      <w:pPr>
        <w:pageBreakBefore w:val="0"/>
        <w:widowControl/>
        <w:kinsoku/>
        <w:overflowPunct/>
        <w:bidi w:val="0"/>
        <w:spacing w:line="360" w:lineRule="auto"/>
        <w:jc w:val="left"/>
        <w:outlineLvl w:val="9"/>
        <w:rPr>
          <w:rFonts w:hint="eastAsia" w:ascii="宋体" w:hAnsi="宋体" w:cs="宋体"/>
          <w:b/>
          <w:color w:val="auto"/>
          <w:kern w:val="0"/>
          <w:szCs w:val="21"/>
          <w:highlight w:val="none"/>
        </w:rPr>
      </w:pPr>
    </w:p>
    <w:p>
      <w:pPr>
        <w:pageBreakBefore w:val="0"/>
        <w:widowControl/>
        <w:kinsoku/>
        <w:overflowPunct/>
        <w:bidi w:val="0"/>
        <w:spacing w:line="360" w:lineRule="auto"/>
        <w:jc w:val="left"/>
        <w:outlineLvl w:val="9"/>
        <w:rPr>
          <w:rFonts w:ascii="宋体" w:hAnsi="宋体" w:cs="宋体"/>
          <w:b/>
          <w:bCs/>
          <w:color w:val="auto"/>
          <w:kern w:val="0"/>
          <w:szCs w:val="20"/>
          <w:highlight w:val="none"/>
        </w:rPr>
      </w:pPr>
      <w:r>
        <w:rPr>
          <w:rFonts w:hint="eastAsia" w:ascii="宋体" w:hAnsi="宋体" w:cs="宋体"/>
          <w:b/>
          <w:color w:val="auto"/>
          <w:kern w:val="0"/>
          <w:szCs w:val="21"/>
          <w:highlight w:val="none"/>
        </w:rPr>
        <w:br w:type="page"/>
      </w:r>
      <w:r>
        <w:rPr>
          <w:rFonts w:hint="eastAsia" w:ascii="宋体" w:hAnsi="宋体" w:cs="宋体"/>
          <w:b/>
          <w:bCs/>
          <w:color w:val="auto"/>
          <w:kern w:val="0"/>
          <w:szCs w:val="21"/>
          <w:highlight w:val="none"/>
          <w:lang w:val="en-US" w:eastAsia="zh-CN"/>
        </w:rPr>
        <w:t>B</w:t>
      </w:r>
      <w:r>
        <w:rPr>
          <w:rFonts w:hint="eastAsia" w:ascii="宋体" w:hAnsi="宋体" w:cs="宋体"/>
          <w:b/>
          <w:bCs/>
          <w:color w:val="auto"/>
          <w:kern w:val="0"/>
          <w:szCs w:val="21"/>
          <w:highlight w:val="none"/>
        </w:rPr>
        <w:t>.残疾人福利性单位声明函</w:t>
      </w:r>
    </w:p>
    <w:p>
      <w:pPr>
        <w:pageBreakBefore w:val="0"/>
        <w:widowControl/>
        <w:kinsoku/>
        <w:overflowPunct/>
        <w:bidi w:val="0"/>
        <w:spacing w:line="588" w:lineRule="exact"/>
        <w:jc w:val="center"/>
        <w:outlineLvl w:val="9"/>
        <w:rPr>
          <w:rFonts w:ascii="宋体" w:hAnsi="宋体" w:cs="宋体"/>
          <w:b/>
          <w:color w:val="auto"/>
          <w:spacing w:val="6"/>
          <w:kern w:val="0"/>
          <w:szCs w:val="21"/>
          <w:highlight w:val="none"/>
        </w:rPr>
      </w:pPr>
      <w:r>
        <w:rPr>
          <w:rFonts w:hint="eastAsia" w:ascii="宋体" w:hAnsi="宋体" w:cs="宋体"/>
          <w:b/>
          <w:color w:val="auto"/>
          <w:spacing w:val="6"/>
          <w:kern w:val="0"/>
          <w:szCs w:val="21"/>
          <w:highlight w:val="none"/>
        </w:rPr>
        <w:t>残疾人福利性单位声明函</w:t>
      </w:r>
    </w:p>
    <w:p>
      <w:pPr>
        <w:pageBreakBefore w:val="0"/>
        <w:widowControl/>
        <w:kinsoku/>
        <w:overflowPunct/>
        <w:bidi w:val="0"/>
        <w:spacing w:line="588" w:lineRule="exact"/>
        <w:ind w:firstLine="444" w:firstLineChars="200"/>
        <w:jc w:val="left"/>
        <w:outlineLvl w:val="9"/>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本单位郑重声明，根据《财政部 民政部 中国残疾人联合会关于促进残疾人就业政府采购政策的通知》（财库</w:t>
      </w:r>
      <w:r>
        <w:rPr>
          <w:rFonts w:hint="eastAsia" w:ascii="宋体" w:hAnsi="宋体" w:cs="宋体"/>
          <w:color w:val="auto"/>
          <w:kern w:val="0"/>
          <w:szCs w:val="21"/>
          <w:highlight w:val="none"/>
        </w:rPr>
        <w:t>〔2017〕 141</w:t>
      </w:r>
      <w:r>
        <w:rPr>
          <w:rFonts w:hint="eastAsia" w:ascii="宋体" w:hAnsi="宋体" w:cs="宋体"/>
          <w:color w:val="auto"/>
          <w:spacing w:val="6"/>
          <w:kern w:val="0"/>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ageBreakBefore w:val="0"/>
        <w:widowControl/>
        <w:kinsoku/>
        <w:overflowPunct/>
        <w:bidi w:val="0"/>
        <w:spacing w:line="588" w:lineRule="exact"/>
        <w:ind w:firstLine="444" w:firstLineChars="200"/>
        <w:jc w:val="left"/>
        <w:outlineLvl w:val="9"/>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本单位对上述声明的真实性负责。如有虚假，将依法承担相应责任。</w:t>
      </w:r>
    </w:p>
    <w:p>
      <w:pPr>
        <w:pageBreakBefore w:val="0"/>
        <w:widowControl/>
        <w:tabs>
          <w:tab w:val="left" w:pos="4860"/>
        </w:tabs>
        <w:kinsoku/>
        <w:overflowPunct/>
        <w:bidi w:val="0"/>
        <w:spacing w:line="588" w:lineRule="exact"/>
        <w:ind w:right="1560" w:firstLine="444" w:firstLineChars="200"/>
        <w:jc w:val="center"/>
        <w:outlineLvl w:val="9"/>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 xml:space="preserve">               单位名称（盖章）：</w:t>
      </w:r>
    </w:p>
    <w:p>
      <w:pPr>
        <w:pageBreakBefore w:val="0"/>
        <w:widowControl/>
        <w:tabs>
          <w:tab w:val="left" w:pos="4860"/>
        </w:tabs>
        <w:kinsoku/>
        <w:overflowPunct/>
        <w:bidi w:val="0"/>
        <w:spacing w:line="588" w:lineRule="exact"/>
        <w:ind w:right="1560" w:firstLine="444" w:firstLineChars="200"/>
        <w:jc w:val="center"/>
        <w:outlineLvl w:val="9"/>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 xml:space="preserve">       日  期：</w:t>
      </w:r>
    </w:p>
    <w:p>
      <w:pPr>
        <w:pageBreakBefore w:val="0"/>
        <w:widowControl/>
        <w:kinsoku/>
        <w:overflowPunct/>
        <w:bidi w:val="0"/>
        <w:spacing w:line="360" w:lineRule="auto"/>
        <w:jc w:val="left"/>
        <w:outlineLvl w:val="9"/>
        <w:rPr>
          <w:rFonts w:ascii="宋体" w:hAnsi="宋体" w:cs="宋体"/>
          <w:b/>
          <w:bCs/>
          <w:color w:val="auto"/>
          <w:kern w:val="0"/>
          <w:szCs w:val="21"/>
          <w:highlight w:val="none"/>
        </w:rPr>
      </w:pPr>
    </w:p>
    <w:p>
      <w:pPr>
        <w:pageBreakBefore w:val="0"/>
        <w:tabs>
          <w:tab w:val="left" w:pos="4860"/>
        </w:tabs>
        <w:kinsoku/>
        <w:overflowPunct/>
        <w:bidi w:val="0"/>
        <w:spacing w:line="360" w:lineRule="auto"/>
        <w:outlineLvl w:val="9"/>
        <w:rPr>
          <w:rFonts w:ascii="宋体" w:hAnsi="宋体" w:cs="宋体"/>
          <w:color w:val="auto"/>
          <w:spacing w:val="6"/>
          <w:szCs w:val="21"/>
          <w:highlight w:val="none"/>
        </w:rPr>
      </w:pPr>
      <w:r>
        <w:rPr>
          <w:rFonts w:hint="eastAsia" w:ascii="宋体" w:hAnsi="宋体" w:cs="宋体"/>
          <w:color w:val="auto"/>
          <w:spacing w:val="6"/>
          <w:szCs w:val="21"/>
          <w:highlight w:val="none"/>
        </w:rPr>
        <w:t>注：1、如供应商为非残疾人福利性单位的可不提供本声明函。</w:t>
      </w:r>
    </w:p>
    <w:p>
      <w:pPr>
        <w:pageBreakBefore w:val="0"/>
        <w:tabs>
          <w:tab w:val="left" w:pos="4860"/>
        </w:tabs>
        <w:kinsoku/>
        <w:overflowPunct/>
        <w:bidi w:val="0"/>
        <w:spacing w:line="360" w:lineRule="auto"/>
        <w:ind w:firstLine="444" w:firstLineChars="200"/>
        <w:outlineLvl w:val="9"/>
        <w:rPr>
          <w:rFonts w:ascii="宋体" w:hAnsi="宋体" w:cs="宋体"/>
          <w:color w:val="auto"/>
          <w:spacing w:val="6"/>
          <w:szCs w:val="21"/>
          <w:highlight w:val="none"/>
        </w:rPr>
      </w:pPr>
      <w:r>
        <w:rPr>
          <w:rFonts w:hint="eastAsia" w:ascii="宋体" w:hAnsi="宋体" w:cs="宋体"/>
          <w:color w:val="auto"/>
          <w:spacing w:val="6"/>
          <w:szCs w:val="21"/>
          <w:highlight w:val="none"/>
        </w:rPr>
        <w:t>2、享受政府采购支持政策的残疾人福利性单位应当同时满足以下条件：</w:t>
      </w:r>
    </w:p>
    <w:p>
      <w:pPr>
        <w:pageBreakBefore w:val="0"/>
        <w:tabs>
          <w:tab w:val="left" w:pos="4860"/>
        </w:tabs>
        <w:kinsoku/>
        <w:overflowPunct/>
        <w:bidi w:val="0"/>
        <w:spacing w:line="360" w:lineRule="auto"/>
        <w:ind w:firstLine="444" w:firstLineChars="200"/>
        <w:outlineLvl w:val="9"/>
        <w:rPr>
          <w:rFonts w:ascii="宋体" w:hAnsi="宋体" w:cs="宋体"/>
          <w:color w:val="auto"/>
          <w:spacing w:val="6"/>
          <w:szCs w:val="21"/>
          <w:highlight w:val="none"/>
        </w:rPr>
      </w:pPr>
      <w:r>
        <w:rPr>
          <w:rFonts w:hint="eastAsia" w:ascii="宋体" w:hAnsi="宋体" w:cs="宋体"/>
          <w:color w:val="auto"/>
          <w:spacing w:val="6"/>
          <w:szCs w:val="21"/>
          <w:highlight w:val="none"/>
        </w:rPr>
        <w:t>（1）安置的残疾人占本单位在职职工人数的比例不低于25%（含25%），并且安置的残疾人人数不少于10人（含10人）；</w:t>
      </w:r>
    </w:p>
    <w:p>
      <w:pPr>
        <w:pageBreakBefore w:val="0"/>
        <w:tabs>
          <w:tab w:val="left" w:pos="4860"/>
        </w:tabs>
        <w:kinsoku/>
        <w:overflowPunct/>
        <w:bidi w:val="0"/>
        <w:spacing w:line="360" w:lineRule="auto"/>
        <w:ind w:firstLine="444" w:firstLineChars="200"/>
        <w:outlineLvl w:val="9"/>
        <w:rPr>
          <w:rFonts w:ascii="宋体" w:hAnsi="宋体" w:cs="宋体"/>
          <w:color w:val="auto"/>
          <w:spacing w:val="6"/>
          <w:szCs w:val="21"/>
          <w:highlight w:val="none"/>
        </w:rPr>
      </w:pPr>
      <w:r>
        <w:rPr>
          <w:rFonts w:hint="eastAsia" w:ascii="宋体" w:hAnsi="宋体" w:cs="宋体"/>
          <w:color w:val="auto"/>
          <w:spacing w:val="6"/>
          <w:szCs w:val="21"/>
          <w:highlight w:val="none"/>
        </w:rPr>
        <w:t>（2）依法与安置的每位残疾人签订了一年以上（含一年）的劳动合同或服务协议；</w:t>
      </w:r>
    </w:p>
    <w:p>
      <w:pPr>
        <w:pageBreakBefore w:val="0"/>
        <w:tabs>
          <w:tab w:val="left" w:pos="4860"/>
        </w:tabs>
        <w:kinsoku/>
        <w:overflowPunct/>
        <w:bidi w:val="0"/>
        <w:spacing w:line="360" w:lineRule="auto"/>
        <w:ind w:firstLine="444" w:firstLineChars="200"/>
        <w:outlineLvl w:val="9"/>
        <w:rPr>
          <w:rFonts w:ascii="宋体" w:hAnsi="宋体" w:cs="宋体"/>
          <w:color w:val="auto"/>
          <w:spacing w:val="6"/>
          <w:szCs w:val="21"/>
          <w:highlight w:val="none"/>
        </w:rPr>
      </w:pPr>
      <w:r>
        <w:rPr>
          <w:rFonts w:hint="eastAsia" w:ascii="宋体" w:hAnsi="宋体" w:cs="宋体"/>
          <w:color w:val="auto"/>
          <w:spacing w:val="6"/>
          <w:szCs w:val="21"/>
          <w:highlight w:val="none"/>
        </w:rPr>
        <w:t>（3）为安置的每位残疾人按月足额缴纳了基本养老保险、基本医疗保险、失业保险、工伤保险和生育保险等社会保险费；</w:t>
      </w:r>
    </w:p>
    <w:p>
      <w:pPr>
        <w:pageBreakBefore w:val="0"/>
        <w:tabs>
          <w:tab w:val="left" w:pos="4860"/>
        </w:tabs>
        <w:kinsoku/>
        <w:overflowPunct/>
        <w:bidi w:val="0"/>
        <w:spacing w:line="360" w:lineRule="auto"/>
        <w:ind w:firstLine="444" w:firstLineChars="200"/>
        <w:outlineLvl w:val="9"/>
        <w:rPr>
          <w:rFonts w:ascii="宋体" w:hAnsi="宋体" w:cs="宋体"/>
          <w:color w:val="auto"/>
          <w:spacing w:val="6"/>
          <w:szCs w:val="21"/>
          <w:highlight w:val="none"/>
        </w:rPr>
      </w:pPr>
      <w:r>
        <w:rPr>
          <w:rFonts w:hint="eastAsia" w:ascii="宋体" w:hAnsi="宋体" w:cs="宋体"/>
          <w:color w:val="auto"/>
          <w:spacing w:val="6"/>
          <w:szCs w:val="21"/>
          <w:highlight w:val="none"/>
        </w:rPr>
        <w:t>（4）通过银行等金融机构向安置的每位残疾人，按月支付了不低于单位所在区县适用的经省级人民政府批准的月最低工资标准的工资；</w:t>
      </w:r>
    </w:p>
    <w:p>
      <w:pPr>
        <w:pageBreakBefore w:val="0"/>
        <w:tabs>
          <w:tab w:val="left" w:pos="4860"/>
        </w:tabs>
        <w:kinsoku/>
        <w:overflowPunct/>
        <w:bidi w:val="0"/>
        <w:spacing w:line="360" w:lineRule="auto"/>
        <w:ind w:firstLine="444" w:firstLineChars="200"/>
        <w:outlineLvl w:val="9"/>
        <w:rPr>
          <w:rFonts w:ascii="宋体" w:hAnsi="宋体" w:cs="宋体"/>
          <w:color w:val="auto"/>
          <w:spacing w:val="6"/>
          <w:szCs w:val="21"/>
          <w:highlight w:val="none"/>
        </w:rPr>
      </w:pPr>
      <w:r>
        <w:rPr>
          <w:rFonts w:hint="eastAsia" w:ascii="宋体" w:hAnsi="宋体" w:cs="宋体"/>
          <w:color w:val="auto"/>
          <w:spacing w:val="6"/>
          <w:szCs w:val="21"/>
          <w:highlight w:val="none"/>
        </w:rPr>
        <w:t>（5）提供本单位制造的货物、承担的工程或者服务（以下简称产品），或者提供其他残疾人福利性单位制造的货物（不包括使用非残疾人福利性单位注册商标的货物）。</w:t>
      </w:r>
    </w:p>
    <w:p>
      <w:pPr>
        <w:pageBreakBefore w:val="0"/>
        <w:tabs>
          <w:tab w:val="left" w:pos="4860"/>
        </w:tabs>
        <w:kinsoku/>
        <w:overflowPunct/>
        <w:bidi w:val="0"/>
        <w:spacing w:line="360" w:lineRule="auto"/>
        <w:ind w:firstLine="444" w:firstLineChars="200"/>
        <w:outlineLvl w:val="9"/>
        <w:rPr>
          <w:rFonts w:ascii="宋体" w:hAnsi="宋体" w:cs="宋体"/>
          <w:b/>
          <w:bCs/>
          <w:color w:val="auto"/>
          <w:kern w:val="0"/>
          <w:szCs w:val="21"/>
          <w:highlight w:val="none"/>
        </w:rPr>
      </w:pPr>
      <w:r>
        <w:rPr>
          <w:rFonts w:hint="eastAsia" w:ascii="宋体" w:hAnsi="宋体" w:cs="宋体"/>
          <w:color w:val="auto"/>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ageBreakBefore w:val="0"/>
        <w:widowControl/>
        <w:kinsoku/>
        <w:overflowPunct/>
        <w:bidi w:val="0"/>
        <w:spacing w:line="360" w:lineRule="auto"/>
        <w:jc w:val="left"/>
        <w:outlineLvl w:val="9"/>
        <w:rPr>
          <w:rFonts w:hint="eastAsia" w:ascii="宋体" w:hAnsi="宋体" w:cs="宋体"/>
          <w:b/>
          <w:bCs/>
          <w:color w:val="auto"/>
          <w:kern w:val="0"/>
          <w:szCs w:val="21"/>
          <w:highlight w:val="none"/>
          <w:lang w:val="en-US" w:eastAsia="zh-CN"/>
        </w:rPr>
      </w:pPr>
    </w:p>
    <w:p>
      <w:pPr>
        <w:pageBreakBefore w:val="0"/>
        <w:widowControl/>
        <w:kinsoku/>
        <w:overflowPunct/>
        <w:bidi w:val="0"/>
        <w:spacing w:line="360" w:lineRule="auto"/>
        <w:jc w:val="left"/>
        <w:outlineLvl w:val="9"/>
        <w:rPr>
          <w:rFonts w:ascii="宋体" w:hAnsi="宋体" w:cs="宋体"/>
          <w:b/>
          <w:color w:val="auto"/>
          <w:kern w:val="0"/>
          <w:szCs w:val="21"/>
          <w:highlight w:val="none"/>
        </w:rPr>
      </w:pPr>
      <w:r>
        <w:rPr>
          <w:rFonts w:hint="eastAsia" w:ascii="宋体" w:hAnsi="宋体" w:cs="宋体"/>
          <w:b/>
          <w:bCs/>
          <w:color w:val="auto"/>
          <w:kern w:val="0"/>
          <w:szCs w:val="21"/>
          <w:highlight w:val="none"/>
          <w:lang w:val="en-US" w:eastAsia="zh-CN"/>
        </w:rPr>
        <w:t>5</w:t>
      </w:r>
      <w:r>
        <w:rPr>
          <w:rFonts w:hint="eastAsia" w:ascii="宋体" w:hAnsi="宋体" w:cs="宋体"/>
          <w:b/>
          <w:bCs/>
          <w:color w:val="auto"/>
          <w:kern w:val="0"/>
          <w:szCs w:val="21"/>
          <w:highlight w:val="none"/>
        </w:rPr>
        <w:t>.供应商针对报价需要说明的其他文件和说明（格式自拟）。</w:t>
      </w:r>
    </w:p>
    <w:p>
      <w:pPr>
        <w:pageBreakBefore w:val="0"/>
        <w:widowControl/>
        <w:kinsoku/>
        <w:overflowPunct/>
        <w:bidi w:val="0"/>
        <w:snapToGrid w:val="0"/>
        <w:spacing w:line="360" w:lineRule="auto"/>
        <w:jc w:val="center"/>
        <w:outlineLvl w:val="9"/>
        <w:rPr>
          <w:rFonts w:ascii="宋体" w:hAnsi="宋体" w:cs="宋体"/>
          <w:b/>
          <w:bCs/>
          <w:color w:val="auto"/>
          <w:kern w:val="0"/>
          <w:sz w:val="28"/>
          <w:szCs w:val="28"/>
          <w:highlight w:val="none"/>
        </w:rPr>
      </w:pPr>
      <w:r>
        <w:rPr>
          <w:rFonts w:hint="eastAsia" w:ascii="宋体" w:hAnsi="宋体" w:cs="宋体"/>
          <w:b/>
          <w:color w:val="auto"/>
          <w:kern w:val="0"/>
          <w:szCs w:val="21"/>
          <w:highlight w:val="none"/>
        </w:rPr>
        <w:br w:type="page"/>
      </w:r>
      <w:r>
        <w:rPr>
          <w:rFonts w:hint="eastAsia" w:ascii="宋体" w:hAnsi="宋体" w:cs="宋体"/>
          <w:b/>
          <w:bCs/>
          <w:color w:val="auto"/>
          <w:kern w:val="0"/>
          <w:sz w:val="28"/>
          <w:szCs w:val="28"/>
          <w:highlight w:val="none"/>
        </w:rPr>
        <w:t>三、电子备份投标文件</w:t>
      </w:r>
    </w:p>
    <w:p>
      <w:pPr>
        <w:pageBreakBefore w:val="0"/>
        <w:widowControl/>
        <w:kinsoku/>
        <w:overflowPunct/>
        <w:bidi w:val="0"/>
        <w:snapToGrid w:val="0"/>
        <w:spacing w:line="360" w:lineRule="auto"/>
        <w:jc w:val="left"/>
        <w:outlineLvl w:val="9"/>
        <w:rPr>
          <w:rFonts w:ascii="宋体" w:hAnsi="宋体" w:cs="宋体"/>
          <w:b/>
          <w:color w:val="auto"/>
          <w:kern w:val="0"/>
          <w:sz w:val="28"/>
          <w:szCs w:val="28"/>
          <w:highlight w:val="none"/>
        </w:rPr>
      </w:pPr>
      <w:r>
        <w:rPr>
          <w:rFonts w:hint="eastAsia" w:ascii="宋体" w:hAnsi="宋体" w:cs="宋体"/>
          <w:color w:val="auto"/>
          <w:kern w:val="0"/>
          <w:szCs w:val="20"/>
          <w:highlight w:val="none"/>
        </w:rPr>
        <w:t>（一）</w:t>
      </w:r>
      <w:r>
        <w:rPr>
          <w:rFonts w:hint="eastAsia" w:ascii="宋体" w:hAnsi="宋体" w:cs="宋体"/>
          <w:color w:val="auto"/>
          <w:kern w:val="0"/>
          <w:szCs w:val="21"/>
          <w:highlight w:val="none"/>
        </w:rPr>
        <w:t>电子备份投标文件</w:t>
      </w:r>
      <w:r>
        <w:rPr>
          <w:rFonts w:hint="eastAsia" w:ascii="宋体" w:hAnsi="宋体" w:cs="宋体"/>
          <w:color w:val="auto"/>
          <w:kern w:val="0"/>
          <w:szCs w:val="20"/>
          <w:highlight w:val="none"/>
        </w:rPr>
        <w:t>的外包装封面格式：</w:t>
      </w:r>
    </w:p>
    <w:p>
      <w:pPr>
        <w:pageBreakBefore w:val="0"/>
        <w:widowControl/>
        <w:kinsoku/>
        <w:overflowPunct/>
        <w:bidi w:val="0"/>
        <w:snapToGrid w:val="0"/>
        <w:spacing w:line="360" w:lineRule="auto"/>
        <w:ind w:firstLine="275" w:firstLineChars="98"/>
        <w:jc w:val="left"/>
        <w:outlineLvl w:val="9"/>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外包装格式：</w:t>
      </w:r>
    </w:p>
    <w:p>
      <w:pPr>
        <w:pageBreakBefore w:val="0"/>
        <w:widowControl/>
        <w:kinsoku/>
        <w:overflowPunct/>
        <w:bidi w:val="0"/>
        <w:spacing w:line="360" w:lineRule="auto"/>
        <w:jc w:val="center"/>
        <w:outlineLvl w:val="9"/>
        <w:rPr>
          <w:rFonts w:ascii="宋体" w:hAnsi="宋体" w:cs="宋体"/>
          <w:color w:val="auto"/>
          <w:kern w:val="0"/>
          <w:sz w:val="40"/>
          <w:szCs w:val="40"/>
          <w:highlight w:val="none"/>
        </w:rPr>
      </w:pPr>
      <w:r>
        <w:rPr>
          <w:rFonts w:hint="eastAsia" w:ascii="宋体" w:hAnsi="宋体" w:cs="宋体"/>
          <w:color w:val="auto"/>
          <w:kern w:val="0"/>
          <w:sz w:val="40"/>
          <w:szCs w:val="40"/>
          <w:highlight w:val="none"/>
        </w:rPr>
        <w:t>电子备份投标文件</w:t>
      </w:r>
    </w:p>
    <w:p>
      <w:pPr>
        <w:pageBreakBefore w:val="0"/>
        <w:widowControl/>
        <w:kinsoku/>
        <w:overflowPunct/>
        <w:bidi w:val="0"/>
        <w:spacing w:line="360" w:lineRule="auto"/>
        <w:ind w:firstLine="1080" w:firstLineChars="450"/>
        <w:jc w:val="left"/>
        <w:outlineLvl w:val="9"/>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 xml:space="preserve">项目名称： </w:t>
      </w:r>
    </w:p>
    <w:p>
      <w:pPr>
        <w:pageBreakBefore w:val="0"/>
        <w:widowControl/>
        <w:kinsoku/>
        <w:overflowPunct/>
        <w:bidi w:val="0"/>
        <w:spacing w:line="360" w:lineRule="auto"/>
        <w:ind w:firstLine="1080" w:firstLineChars="450"/>
        <w:jc w:val="left"/>
        <w:outlineLvl w:val="9"/>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项目编号：</w:t>
      </w:r>
    </w:p>
    <w:p>
      <w:pPr>
        <w:pageBreakBefore w:val="0"/>
        <w:widowControl/>
        <w:kinsoku/>
        <w:overflowPunct/>
        <w:bidi w:val="0"/>
        <w:spacing w:line="360" w:lineRule="auto"/>
        <w:ind w:firstLine="1080" w:firstLineChars="450"/>
        <w:jc w:val="left"/>
        <w:outlineLvl w:val="9"/>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供应商名称（加盖公章）：</w:t>
      </w:r>
    </w:p>
    <w:p>
      <w:pPr>
        <w:pageBreakBefore w:val="0"/>
        <w:widowControl/>
        <w:kinsoku/>
        <w:overflowPunct/>
        <w:bidi w:val="0"/>
        <w:spacing w:line="360" w:lineRule="auto"/>
        <w:ind w:firstLine="1080" w:firstLineChars="450"/>
        <w:jc w:val="left"/>
        <w:outlineLvl w:val="9"/>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供应商地址：</w:t>
      </w:r>
    </w:p>
    <w:p>
      <w:pPr>
        <w:pageBreakBefore w:val="0"/>
        <w:widowControl/>
        <w:kinsoku/>
        <w:overflowPunct/>
        <w:bidi w:val="0"/>
        <w:spacing w:line="360" w:lineRule="auto"/>
        <w:jc w:val="left"/>
        <w:outlineLvl w:val="9"/>
        <w:rPr>
          <w:rFonts w:ascii="宋体" w:hAnsi="宋体" w:cs="宋体"/>
          <w:color w:val="auto"/>
          <w:kern w:val="0"/>
          <w:szCs w:val="20"/>
          <w:highlight w:val="none"/>
        </w:rPr>
      </w:pPr>
      <w:r>
        <w:rPr>
          <w:rFonts w:hint="eastAsia" w:ascii="宋体" w:hAnsi="宋体" w:cs="宋体"/>
          <w:bCs/>
          <w:color w:val="auto"/>
          <w:kern w:val="0"/>
          <w:sz w:val="24"/>
          <w:szCs w:val="20"/>
          <w:highlight w:val="none"/>
        </w:rPr>
        <w:t xml:space="preserve">                        年  月  日</w:t>
      </w:r>
    </w:p>
    <w:p>
      <w:pPr>
        <w:pageBreakBefore w:val="0"/>
        <w:kinsoku/>
        <w:overflowPunct/>
        <w:bidi w:val="0"/>
        <w:outlineLvl w:val="9"/>
        <w:rPr>
          <w:rFonts w:ascii="宋体" w:hAnsi="宋体" w:cs="宋体"/>
          <w:color w:val="auto"/>
          <w:sz w:val="24"/>
          <w:highlight w:val="none"/>
        </w:rPr>
      </w:pPr>
    </w:p>
    <w:sectPr>
      <w:headerReference r:id="rId15" w:type="first"/>
      <w:footerReference r:id="rId17" w:type="first"/>
      <w:headerReference r:id="rId14" w:type="default"/>
      <w:footerReference r:id="rId16" w:type="default"/>
      <w:pgSz w:w="11905" w:h="16838"/>
      <w:pgMar w:top="1474" w:right="1797" w:bottom="1247" w:left="1797" w:header="850" w:footer="850" w:gutter="0"/>
      <w:cols w:space="720" w:num="1"/>
      <w:titlePg/>
      <w:docGrid w:linePitch="60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Helvetica">
    <w:panose1 w:val="020B0604020202020204"/>
    <w:charset w:val="00"/>
    <w:family w:val="swiss"/>
    <w:pitch w:val="default"/>
    <w:sig w:usb0="00000000" w:usb1="00000000" w:usb2="00000000" w:usb3="00000000" w:csb0="00000000" w:csb1="00000000"/>
  </w:font>
  <w:font w:name="Ping Hei">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firstLine="360"/>
      <w:rPr>
        <w:sz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Dfc5/XAQAAsQ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OHbLDA789PvX6c+/&#10;09+fpEry9B5qzLr3mBeHT27ApZnvAS8T60EGk77Ih2AcxT2exRVDJDw9qpZVVWKIY2x2EL94fO4D&#10;xM/CGZKMhgacXhaVHb5CHFPnlFTNululdZ6gtqRH1Mvq6jK/OIcQXduULPIyTDiJ09h7suKwHSai&#10;W9cekWePC9FQi/tPif5iUe+0O7MRZmM7G3sf1K7Ly5Vqgb/ZR2wu95wqjLDINTk4ycx62rq0Kk/9&#10;nPX4p63/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DA33Of1wEAALEDAAAOAAAAAAAAAAEA&#10;IAAAACIBAABkcnMvZTJvRG9jLnhtbFBLBQYAAAAABgAGAFkBAABr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sz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sg2SHYAQAAsQMAAA4AAABkcnMvZTJvRG9jLnhtbK1TS27bMBDd&#10;F+gdCO5rKQaSKo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q6TPL2HGrPuPebF4aMbcGnme8DLxHqQwaQv8iEYR3GPZ3HFEAlPj6plVZUY4hibHcQvnp77&#10;APFOOEOS0dCA08uissNniGPqnJKqWXertM4T1Jb0iHpZvb/ML84hRNc2JYu8DBNO4jT2nqw4bIeJ&#10;6Na1R+TZ40I01OL+U6I/WdQ77c5shNnYzsbeB7Xr8nKlWuA/7CM2l3tOFUZY5JocnGRmPW1dWpXn&#10;fs56+tP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6yDZIdgBAACxAwAADgAAAAAAAAAB&#10;ACAAAAAiAQAAZHJzL2Uyb0RvYy54bWxQSwUGAAAAAAYABgBZAQAAbA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5303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a:effectLst/>
                    </wps:spPr>
                    <wps:txbx>
                      <w:txbxContent>
                        <w:p>
                          <w:pPr>
                            <w:widowControl/>
                            <w:jc w:val="left"/>
                            <w:rPr>
                              <w:kern w:val="0"/>
                              <w:szCs w:val="20"/>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9.05pt;mso-position-horizontal:center;mso-position-horizontal-relative:margin;mso-wrap-style:none;z-index:251660288;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kFT5rQAAAAAwEAAA8AAAAAAAAAAQAgAAAAIgAAAGRycy9k&#10;b3ducmV2LnhtbFBLAQIUABQAAAAIAIdO4kCKYk960QEAAKcDAAAOAAAAAAAAAAEAIAAAAB8BAABk&#10;cnMvZTJvRG9jLnhtbFBLBQYAAAAABgAGAFkBAABiBQAAAAA=&#10;">
              <v:fill on="f" focussize="0,0"/>
              <v:stroke on="f"/>
              <v:imagedata o:title=""/>
              <o:lock v:ext="edit" aspectratio="f"/>
              <v:textbox inset="0mm,0mm,0mm,0mm" style="mso-fit-shape-to-text:t;">
                <w:txbxContent>
                  <w:p>
                    <w:pPr>
                      <w:widowControl/>
                      <w:jc w:val="left"/>
                      <w:rPr>
                        <w:kern w:val="0"/>
                        <w:szCs w:val="20"/>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58</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ByKwAl1wEAALMDAAAOAAAAAAAAAAEA&#10;IAAAACIBAABkcnMvZTJvRG9jLnhtbFBLBQYAAAAABgAGAFkBAABr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58</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64</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Xlw8pc0BAACnAwAADgAAAAAAAAABACAAAAAeAQAAZHJzL2Uy&#10;b0RvYy54bWxQSwUGAAAAAAYABgBZAQAAX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64</w:t>
                    </w:r>
                    <w:r>
                      <w:rPr>
                        <w:rFonts w:hint="eastAsia"/>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60</w:t>
                          </w:r>
                          <w:r>
                            <w:rPr>
                              <w:rFonts w:hint="eastAsia"/>
                              <w:sz w:val="1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sBD/80BAACn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a2S&#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tsBD/80BAACnAwAADgAAAAAAAAABACAAAAAeAQAAZHJzL2Uy&#10;b0RvYy54bWxQSwUGAAAAAAYABgBZAQAAX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sz w:val="18"/>
        <w:szCs w:val="18"/>
      </w:rPr>
    </w:pPr>
    <w:r>
      <w:rPr>
        <w:rFonts w:hint="eastAsia"/>
        <w:sz w:val="18"/>
        <w:szCs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jc w:val="left"/>
      <w:rPr>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jc w:val="left"/>
      <w:rPr>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both"/>
    </w:pP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jc w:val="lef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1703E5"/>
    <w:multiLevelType w:val="singleLevel"/>
    <w:tmpl w:val="CC1703E5"/>
    <w:lvl w:ilvl="0" w:tentative="0">
      <w:start w:val="1"/>
      <w:numFmt w:val="decimal"/>
      <w:suff w:val="nothing"/>
      <w:lvlText w:val="（%1）"/>
      <w:lvlJc w:val="left"/>
    </w:lvl>
  </w:abstractNum>
  <w:abstractNum w:abstractNumId="1">
    <w:nsid w:val="DF9E56AB"/>
    <w:multiLevelType w:val="singleLevel"/>
    <w:tmpl w:val="DF9E56AB"/>
    <w:lvl w:ilvl="0" w:tentative="0">
      <w:start w:val="3"/>
      <w:numFmt w:val="chineseCounting"/>
      <w:suff w:val="nothing"/>
      <w:lvlText w:val="%1、"/>
      <w:lvlJc w:val="left"/>
      <w:rPr>
        <w:rFonts w:hint="eastAsia"/>
      </w:rPr>
    </w:lvl>
  </w:abstractNum>
  <w:abstractNum w:abstractNumId="2">
    <w:nsid w:val="00000014"/>
    <w:multiLevelType w:val="singleLevel"/>
    <w:tmpl w:val="00000014"/>
    <w:lvl w:ilvl="0" w:tentative="0">
      <w:start w:val="5"/>
      <w:numFmt w:val="chineseCounting"/>
      <w:suff w:val="nothing"/>
      <w:lvlText w:val="%1、"/>
      <w:lvlJc w:val="left"/>
    </w:lvl>
  </w:abstractNum>
  <w:abstractNum w:abstractNumId="3">
    <w:nsid w:val="0000001C"/>
    <w:multiLevelType w:val="singleLevel"/>
    <w:tmpl w:val="0000001C"/>
    <w:lvl w:ilvl="0" w:tentative="0">
      <w:start w:val="1"/>
      <w:numFmt w:val="chineseCounting"/>
      <w:suff w:val="nothing"/>
      <w:lvlText w:val="%1、"/>
      <w:lvlJc w:val="left"/>
    </w:lvl>
  </w:abstractNum>
  <w:abstractNum w:abstractNumId="4">
    <w:nsid w:val="00000020"/>
    <w:multiLevelType w:val="singleLevel"/>
    <w:tmpl w:val="00000020"/>
    <w:lvl w:ilvl="0" w:tentative="0">
      <w:start w:val="1"/>
      <w:numFmt w:val="chineseCounting"/>
      <w:suff w:val="nothing"/>
      <w:lvlText w:val="（%1）"/>
      <w:lvlJc w:val="left"/>
    </w:lvl>
  </w:abstractNum>
  <w:abstractNum w:abstractNumId="5">
    <w:nsid w:val="15AE74FA"/>
    <w:multiLevelType w:val="singleLevel"/>
    <w:tmpl w:val="15AE74FA"/>
    <w:lvl w:ilvl="0" w:tentative="0">
      <w:start w:val="1"/>
      <w:numFmt w:val="decimal"/>
      <w:suff w:val="nothing"/>
      <w:lvlText w:val="（%1）"/>
      <w:lvlJc w:val="left"/>
    </w:lvl>
  </w:abstractNum>
  <w:abstractNum w:abstractNumId="6">
    <w:nsid w:val="18E11E98"/>
    <w:multiLevelType w:val="singleLevel"/>
    <w:tmpl w:val="18E11E98"/>
    <w:lvl w:ilvl="0" w:tentative="0">
      <w:start w:val="2"/>
      <w:numFmt w:val="decimal"/>
      <w:suff w:val="nothing"/>
      <w:lvlText w:val="%1）"/>
      <w:lvlJc w:val="left"/>
    </w:lvl>
  </w:abstractNum>
  <w:abstractNum w:abstractNumId="7">
    <w:nsid w:val="29D120CC"/>
    <w:multiLevelType w:val="singleLevel"/>
    <w:tmpl w:val="29D120CC"/>
    <w:lvl w:ilvl="0" w:tentative="0">
      <w:start w:val="1"/>
      <w:numFmt w:val="decimal"/>
      <w:suff w:val="nothing"/>
      <w:lvlText w:val="（%1）"/>
      <w:lvlJc w:val="left"/>
    </w:lvl>
  </w:abstractNum>
  <w:abstractNum w:abstractNumId="8">
    <w:nsid w:val="3292B99A"/>
    <w:multiLevelType w:val="singleLevel"/>
    <w:tmpl w:val="3292B99A"/>
    <w:lvl w:ilvl="0" w:tentative="0">
      <w:start w:val="1"/>
      <w:numFmt w:val="decimal"/>
      <w:suff w:val="nothing"/>
      <w:lvlText w:val="（%1）"/>
      <w:lvlJc w:val="left"/>
    </w:lvl>
  </w:abstractNum>
  <w:abstractNum w:abstractNumId="9">
    <w:nsid w:val="53F7068D"/>
    <w:multiLevelType w:val="singleLevel"/>
    <w:tmpl w:val="53F7068D"/>
    <w:lvl w:ilvl="0" w:tentative="0">
      <w:start w:val="1"/>
      <w:numFmt w:val="decimal"/>
      <w:suff w:val="nothing"/>
      <w:lvlText w:val="（%1）"/>
      <w:lvlJc w:val="left"/>
    </w:lvl>
  </w:abstractNum>
  <w:abstractNum w:abstractNumId="10">
    <w:nsid w:val="589A2FD8"/>
    <w:multiLevelType w:val="singleLevel"/>
    <w:tmpl w:val="589A2FD8"/>
    <w:lvl w:ilvl="0" w:tentative="0">
      <w:start w:val="1"/>
      <w:numFmt w:val="decimal"/>
      <w:suff w:val="nothing"/>
      <w:lvlText w:val="（%1）"/>
      <w:lvlJc w:val="left"/>
    </w:lvl>
  </w:abstractNum>
  <w:abstractNum w:abstractNumId="11">
    <w:nsid w:val="59F56D91"/>
    <w:multiLevelType w:val="singleLevel"/>
    <w:tmpl w:val="59F56D91"/>
    <w:lvl w:ilvl="0" w:tentative="0">
      <w:start w:val="1"/>
      <w:numFmt w:val="decimal"/>
      <w:suff w:val="nothing"/>
      <w:lvlText w:val="（%1）"/>
      <w:lvlJc w:val="left"/>
    </w:lvl>
  </w:abstractNum>
  <w:abstractNum w:abstractNumId="12">
    <w:nsid w:val="5A5F4D07"/>
    <w:multiLevelType w:val="singleLevel"/>
    <w:tmpl w:val="5A5F4D07"/>
    <w:lvl w:ilvl="0" w:tentative="0">
      <w:start w:val="1"/>
      <w:numFmt w:val="decimal"/>
      <w:suff w:val="nothing"/>
      <w:lvlText w:val="%1、"/>
      <w:lvlJc w:val="left"/>
      <w:pPr>
        <w:ind w:left="0" w:firstLine="403"/>
      </w:pPr>
      <w:rPr>
        <w:rFonts w:hint="default"/>
      </w:rPr>
    </w:lvl>
  </w:abstractNum>
  <w:abstractNum w:abstractNumId="13">
    <w:nsid w:val="66F54596"/>
    <w:multiLevelType w:val="singleLevel"/>
    <w:tmpl w:val="66F54596"/>
    <w:lvl w:ilvl="0" w:tentative="0">
      <w:start w:val="7"/>
      <w:numFmt w:val="chineseCounting"/>
      <w:suff w:val="nothing"/>
      <w:lvlText w:val="（%1）"/>
      <w:lvlJc w:val="left"/>
      <w:rPr>
        <w:rFonts w:hint="eastAsia"/>
      </w:rPr>
    </w:lvl>
  </w:abstractNum>
  <w:num w:numId="1">
    <w:abstractNumId w:val="10"/>
  </w:num>
  <w:num w:numId="2">
    <w:abstractNumId w:val="11"/>
  </w:num>
  <w:num w:numId="3">
    <w:abstractNumId w:val="9"/>
  </w:num>
  <w:num w:numId="4">
    <w:abstractNumId w:val="0"/>
  </w:num>
  <w:num w:numId="5">
    <w:abstractNumId w:val="7"/>
  </w:num>
  <w:num w:numId="6">
    <w:abstractNumId w:val="2"/>
  </w:num>
  <w:num w:numId="7">
    <w:abstractNumId w:val="4"/>
  </w:num>
  <w:num w:numId="8">
    <w:abstractNumId w:val="13"/>
  </w:num>
  <w:num w:numId="9">
    <w:abstractNumId w:val="1"/>
  </w:num>
  <w:num w:numId="10">
    <w:abstractNumId w:val="3"/>
  </w:num>
  <w:num w:numId="11">
    <w:abstractNumId w:val="5"/>
  </w:num>
  <w:num w:numId="12">
    <w:abstractNumId w:val="8"/>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okNames" w:val="year1_2;filetype1_2"/>
    <w:docVar w:name="commondata" w:val="eyJoZGlkIjoiOTAzMWZiOWRlMTk0MzBjYTg0NWY0YjkzOWFjNDAyNmQifQ=="/>
    <w:docVar w:name="CurUserName" w:val="采购监管处收发室"/>
    <w:docVar w:name="DeleteMarces" w:val="False"/>
    <w:docVar w:name="DocName" w:val="0EF90D4B09DBFB9E4825742B0028ACBF_1.doc"/>
    <w:docVar w:name="haha" w:val="100"/>
    <w:docVar w:name="NewInfo" w:val="〔2009〕20&amp;;&amp;浙财采监字"/>
    <w:docVar w:name="OldInfo" w:val=" "/>
    <w:docVar w:name="SplitTool" w:val="False"/>
    <w:docVar w:name="TitleStr" w:val="浙江省财政厅;文件;"/>
    <w:docVar w:name="TrackMark" w:val="1"/>
  </w:docVars>
  <w:rsids>
    <w:rsidRoot w:val="00172A27"/>
    <w:rsid w:val="00015614"/>
    <w:rsid w:val="000343A6"/>
    <w:rsid w:val="00035D0F"/>
    <w:rsid w:val="00061046"/>
    <w:rsid w:val="000726E1"/>
    <w:rsid w:val="00072F33"/>
    <w:rsid w:val="0008067E"/>
    <w:rsid w:val="000829B2"/>
    <w:rsid w:val="000A01FE"/>
    <w:rsid w:val="000A6223"/>
    <w:rsid w:val="000B52BB"/>
    <w:rsid w:val="000D66A5"/>
    <w:rsid w:val="000D72A4"/>
    <w:rsid w:val="000E10CE"/>
    <w:rsid w:val="000F5A65"/>
    <w:rsid w:val="0011679B"/>
    <w:rsid w:val="00172A27"/>
    <w:rsid w:val="00173EBE"/>
    <w:rsid w:val="00175F72"/>
    <w:rsid w:val="0018182D"/>
    <w:rsid w:val="001A306F"/>
    <w:rsid w:val="001A4AE2"/>
    <w:rsid w:val="001A5309"/>
    <w:rsid w:val="001A5FD2"/>
    <w:rsid w:val="001B7388"/>
    <w:rsid w:val="001C2EBD"/>
    <w:rsid w:val="001C7D27"/>
    <w:rsid w:val="001D0B2A"/>
    <w:rsid w:val="001F27E6"/>
    <w:rsid w:val="002063D9"/>
    <w:rsid w:val="002068FB"/>
    <w:rsid w:val="002130E9"/>
    <w:rsid w:val="00226A57"/>
    <w:rsid w:val="00230E81"/>
    <w:rsid w:val="00247059"/>
    <w:rsid w:val="00251580"/>
    <w:rsid w:val="00270AA6"/>
    <w:rsid w:val="00275249"/>
    <w:rsid w:val="002A5170"/>
    <w:rsid w:val="002B75B3"/>
    <w:rsid w:val="002E1100"/>
    <w:rsid w:val="002F56EF"/>
    <w:rsid w:val="00300FF7"/>
    <w:rsid w:val="00303E26"/>
    <w:rsid w:val="00316409"/>
    <w:rsid w:val="00322896"/>
    <w:rsid w:val="00323BF3"/>
    <w:rsid w:val="003459A7"/>
    <w:rsid w:val="0034688D"/>
    <w:rsid w:val="00354976"/>
    <w:rsid w:val="00360995"/>
    <w:rsid w:val="00373C95"/>
    <w:rsid w:val="003774B9"/>
    <w:rsid w:val="00382888"/>
    <w:rsid w:val="003848E4"/>
    <w:rsid w:val="003866DC"/>
    <w:rsid w:val="003B547F"/>
    <w:rsid w:val="003C393A"/>
    <w:rsid w:val="003D1DF8"/>
    <w:rsid w:val="003E0961"/>
    <w:rsid w:val="003F0AE5"/>
    <w:rsid w:val="00405F71"/>
    <w:rsid w:val="0040630B"/>
    <w:rsid w:val="00420394"/>
    <w:rsid w:val="0042338B"/>
    <w:rsid w:val="00423DEB"/>
    <w:rsid w:val="00427C91"/>
    <w:rsid w:val="00437653"/>
    <w:rsid w:val="0043783C"/>
    <w:rsid w:val="0045465A"/>
    <w:rsid w:val="00455FD4"/>
    <w:rsid w:val="004621FE"/>
    <w:rsid w:val="0046336B"/>
    <w:rsid w:val="0046584E"/>
    <w:rsid w:val="00483148"/>
    <w:rsid w:val="00483480"/>
    <w:rsid w:val="00487F7A"/>
    <w:rsid w:val="004B070A"/>
    <w:rsid w:val="004B3198"/>
    <w:rsid w:val="004B79B7"/>
    <w:rsid w:val="004C3D92"/>
    <w:rsid w:val="004D1C55"/>
    <w:rsid w:val="004D3B51"/>
    <w:rsid w:val="004E1E33"/>
    <w:rsid w:val="004E3338"/>
    <w:rsid w:val="004E4179"/>
    <w:rsid w:val="004E7215"/>
    <w:rsid w:val="004F11E4"/>
    <w:rsid w:val="004F59E8"/>
    <w:rsid w:val="005116E5"/>
    <w:rsid w:val="005173A0"/>
    <w:rsid w:val="00523CF3"/>
    <w:rsid w:val="00524419"/>
    <w:rsid w:val="00537BE4"/>
    <w:rsid w:val="00544AC2"/>
    <w:rsid w:val="00545C3A"/>
    <w:rsid w:val="005679B3"/>
    <w:rsid w:val="00580134"/>
    <w:rsid w:val="00585710"/>
    <w:rsid w:val="005872AE"/>
    <w:rsid w:val="005A32A8"/>
    <w:rsid w:val="005B5562"/>
    <w:rsid w:val="005C0051"/>
    <w:rsid w:val="005C4EB0"/>
    <w:rsid w:val="005C5F49"/>
    <w:rsid w:val="005F26FA"/>
    <w:rsid w:val="005F3FCF"/>
    <w:rsid w:val="006070F2"/>
    <w:rsid w:val="006213B5"/>
    <w:rsid w:val="0062392F"/>
    <w:rsid w:val="00625389"/>
    <w:rsid w:val="00630C10"/>
    <w:rsid w:val="00640DDA"/>
    <w:rsid w:val="006458CC"/>
    <w:rsid w:val="00647FE1"/>
    <w:rsid w:val="006550AA"/>
    <w:rsid w:val="00655B49"/>
    <w:rsid w:val="00663880"/>
    <w:rsid w:val="00663D5D"/>
    <w:rsid w:val="00664637"/>
    <w:rsid w:val="00672845"/>
    <w:rsid w:val="00675021"/>
    <w:rsid w:val="006761FC"/>
    <w:rsid w:val="00697B4D"/>
    <w:rsid w:val="006A6EEB"/>
    <w:rsid w:val="006B1856"/>
    <w:rsid w:val="006B28BC"/>
    <w:rsid w:val="006B5BB2"/>
    <w:rsid w:val="006C7538"/>
    <w:rsid w:val="006D31DC"/>
    <w:rsid w:val="006E69FD"/>
    <w:rsid w:val="00711000"/>
    <w:rsid w:val="00711B00"/>
    <w:rsid w:val="00715F96"/>
    <w:rsid w:val="0071764C"/>
    <w:rsid w:val="007218F7"/>
    <w:rsid w:val="00726E7F"/>
    <w:rsid w:val="0073212B"/>
    <w:rsid w:val="00734A81"/>
    <w:rsid w:val="0073714B"/>
    <w:rsid w:val="00750475"/>
    <w:rsid w:val="00750FE2"/>
    <w:rsid w:val="00753E9C"/>
    <w:rsid w:val="007600E1"/>
    <w:rsid w:val="00776024"/>
    <w:rsid w:val="00777CB6"/>
    <w:rsid w:val="007931E0"/>
    <w:rsid w:val="007932E7"/>
    <w:rsid w:val="007A4FCC"/>
    <w:rsid w:val="007C6CDC"/>
    <w:rsid w:val="007D1200"/>
    <w:rsid w:val="007D45DE"/>
    <w:rsid w:val="007D4C67"/>
    <w:rsid w:val="007E2A79"/>
    <w:rsid w:val="0083047B"/>
    <w:rsid w:val="0083762B"/>
    <w:rsid w:val="00861D0B"/>
    <w:rsid w:val="008678CF"/>
    <w:rsid w:val="008839A5"/>
    <w:rsid w:val="00887A05"/>
    <w:rsid w:val="008A07E1"/>
    <w:rsid w:val="008A6614"/>
    <w:rsid w:val="008A7F35"/>
    <w:rsid w:val="008B016E"/>
    <w:rsid w:val="008B5451"/>
    <w:rsid w:val="008C1040"/>
    <w:rsid w:val="008D2F6C"/>
    <w:rsid w:val="008F0697"/>
    <w:rsid w:val="008F7795"/>
    <w:rsid w:val="00923EF2"/>
    <w:rsid w:val="0093183F"/>
    <w:rsid w:val="009474A6"/>
    <w:rsid w:val="009561C5"/>
    <w:rsid w:val="00975A63"/>
    <w:rsid w:val="00975D82"/>
    <w:rsid w:val="009909A1"/>
    <w:rsid w:val="009A2369"/>
    <w:rsid w:val="009A2EA5"/>
    <w:rsid w:val="009A3A6B"/>
    <w:rsid w:val="009A3EF6"/>
    <w:rsid w:val="009A62E8"/>
    <w:rsid w:val="009C06CC"/>
    <w:rsid w:val="009D1365"/>
    <w:rsid w:val="009D1C5E"/>
    <w:rsid w:val="009E25F4"/>
    <w:rsid w:val="009F5F8F"/>
    <w:rsid w:val="009F6CD4"/>
    <w:rsid w:val="00A106CA"/>
    <w:rsid w:val="00A21EE6"/>
    <w:rsid w:val="00A237EE"/>
    <w:rsid w:val="00A31FA0"/>
    <w:rsid w:val="00A475F6"/>
    <w:rsid w:val="00A47C2F"/>
    <w:rsid w:val="00A57137"/>
    <w:rsid w:val="00A6234D"/>
    <w:rsid w:val="00A625D4"/>
    <w:rsid w:val="00A7741E"/>
    <w:rsid w:val="00A84872"/>
    <w:rsid w:val="00A93C30"/>
    <w:rsid w:val="00A95EEA"/>
    <w:rsid w:val="00A97FB5"/>
    <w:rsid w:val="00AA62D7"/>
    <w:rsid w:val="00AA6E07"/>
    <w:rsid w:val="00AB68EF"/>
    <w:rsid w:val="00AC68C1"/>
    <w:rsid w:val="00AC70F8"/>
    <w:rsid w:val="00AD5313"/>
    <w:rsid w:val="00AE0A62"/>
    <w:rsid w:val="00AF11AF"/>
    <w:rsid w:val="00AF5B52"/>
    <w:rsid w:val="00B03AD3"/>
    <w:rsid w:val="00B22503"/>
    <w:rsid w:val="00B238FE"/>
    <w:rsid w:val="00B41450"/>
    <w:rsid w:val="00B51680"/>
    <w:rsid w:val="00B520E8"/>
    <w:rsid w:val="00B52BDD"/>
    <w:rsid w:val="00B52F2F"/>
    <w:rsid w:val="00B53F8B"/>
    <w:rsid w:val="00B66AEF"/>
    <w:rsid w:val="00B7425E"/>
    <w:rsid w:val="00B76FA9"/>
    <w:rsid w:val="00BA6A3C"/>
    <w:rsid w:val="00BA6B09"/>
    <w:rsid w:val="00BA7A65"/>
    <w:rsid w:val="00BB4ACB"/>
    <w:rsid w:val="00BC7E34"/>
    <w:rsid w:val="00BD29BC"/>
    <w:rsid w:val="00BE2485"/>
    <w:rsid w:val="00C0379F"/>
    <w:rsid w:val="00C06BEF"/>
    <w:rsid w:val="00C1066E"/>
    <w:rsid w:val="00C137CC"/>
    <w:rsid w:val="00C14111"/>
    <w:rsid w:val="00C15AB2"/>
    <w:rsid w:val="00C2064E"/>
    <w:rsid w:val="00C3152E"/>
    <w:rsid w:val="00C34686"/>
    <w:rsid w:val="00C34F11"/>
    <w:rsid w:val="00C50968"/>
    <w:rsid w:val="00C5106A"/>
    <w:rsid w:val="00C621F1"/>
    <w:rsid w:val="00C62CBF"/>
    <w:rsid w:val="00C6389E"/>
    <w:rsid w:val="00C64E1D"/>
    <w:rsid w:val="00C678EE"/>
    <w:rsid w:val="00C86FAB"/>
    <w:rsid w:val="00C958AB"/>
    <w:rsid w:val="00CA2E55"/>
    <w:rsid w:val="00CA420B"/>
    <w:rsid w:val="00CA53C2"/>
    <w:rsid w:val="00CC3215"/>
    <w:rsid w:val="00CD3005"/>
    <w:rsid w:val="00CE64EE"/>
    <w:rsid w:val="00CF4652"/>
    <w:rsid w:val="00D03A1B"/>
    <w:rsid w:val="00D11D35"/>
    <w:rsid w:val="00D138DD"/>
    <w:rsid w:val="00D155DF"/>
    <w:rsid w:val="00D20968"/>
    <w:rsid w:val="00D25D66"/>
    <w:rsid w:val="00D26DCD"/>
    <w:rsid w:val="00D33D03"/>
    <w:rsid w:val="00D35761"/>
    <w:rsid w:val="00D54656"/>
    <w:rsid w:val="00D70629"/>
    <w:rsid w:val="00D809E8"/>
    <w:rsid w:val="00D863D9"/>
    <w:rsid w:val="00D92248"/>
    <w:rsid w:val="00D94368"/>
    <w:rsid w:val="00DD188C"/>
    <w:rsid w:val="00DE0E56"/>
    <w:rsid w:val="00DF29C9"/>
    <w:rsid w:val="00DF6E93"/>
    <w:rsid w:val="00E05D56"/>
    <w:rsid w:val="00E07929"/>
    <w:rsid w:val="00E130D1"/>
    <w:rsid w:val="00E134FE"/>
    <w:rsid w:val="00E255D6"/>
    <w:rsid w:val="00E27415"/>
    <w:rsid w:val="00E4074F"/>
    <w:rsid w:val="00E435FC"/>
    <w:rsid w:val="00E45B23"/>
    <w:rsid w:val="00E528B3"/>
    <w:rsid w:val="00E60B34"/>
    <w:rsid w:val="00E65868"/>
    <w:rsid w:val="00E71007"/>
    <w:rsid w:val="00E76507"/>
    <w:rsid w:val="00E87624"/>
    <w:rsid w:val="00EA195C"/>
    <w:rsid w:val="00EA4F0A"/>
    <w:rsid w:val="00ED553F"/>
    <w:rsid w:val="00ED6DFE"/>
    <w:rsid w:val="00F0472B"/>
    <w:rsid w:val="00F052AD"/>
    <w:rsid w:val="00F0617B"/>
    <w:rsid w:val="00F11672"/>
    <w:rsid w:val="00F23494"/>
    <w:rsid w:val="00F269CD"/>
    <w:rsid w:val="00F45F7C"/>
    <w:rsid w:val="00F63989"/>
    <w:rsid w:val="00F711F9"/>
    <w:rsid w:val="00F80E4B"/>
    <w:rsid w:val="00F819E3"/>
    <w:rsid w:val="00FA2A82"/>
    <w:rsid w:val="00FB268F"/>
    <w:rsid w:val="00FC6F97"/>
    <w:rsid w:val="00FD6C74"/>
    <w:rsid w:val="013016CD"/>
    <w:rsid w:val="01B419D0"/>
    <w:rsid w:val="01BB3370"/>
    <w:rsid w:val="01C278CD"/>
    <w:rsid w:val="01C44D59"/>
    <w:rsid w:val="02151DD4"/>
    <w:rsid w:val="026B389F"/>
    <w:rsid w:val="02821A6C"/>
    <w:rsid w:val="02E115AA"/>
    <w:rsid w:val="032E0A08"/>
    <w:rsid w:val="03575D3A"/>
    <w:rsid w:val="036C0EAE"/>
    <w:rsid w:val="03FA6E9D"/>
    <w:rsid w:val="043D3079"/>
    <w:rsid w:val="045A7CAB"/>
    <w:rsid w:val="048C09C6"/>
    <w:rsid w:val="04CE6C0C"/>
    <w:rsid w:val="04D85A32"/>
    <w:rsid w:val="04E2157A"/>
    <w:rsid w:val="04F81E2B"/>
    <w:rsid w:val="05667108"/>
    <w:rsid w:val="062B6258"/>
    <w:rsid w:val="066D26CE"/>
    <w:rsid w:val="06816712"/>
    <w:rsid w:val="06FF1C4F"/>
    <w:rsid w:val="07320042"/>
    <w:rsid w:val="075E0958"/>
    <w:rsid w:val="076544A7"/>
    <w:rsid w:val="0771099F"/>
    <w:rsid w:val="079D1F07"/>
    <w:rsid w:val="084B6BE3"/>
    <w:rsid w:val="0870517F"/>
    <w:rsid w:val="087D1380"/>
    <w:rsid w:val="08EC7993"/>
    <w:rsid w:val="08F4410C"/>
    <w:rsid w:val="08FA0F90"/>
    <w:rsid w:val="091E2123"/>
    <w:rsid w:val="09201035"/>
    <w:rsid w:val="095D0060"/>
    <w:rsid w:val="09E96C10"/>
    <w:rsid w:val="09FB6A2B"/>
    <w:rsid w:val="0A280309"/>
    <w:rsid w:val="0A482A6C"/>
    <w:rsid w:val="0B091ABE"/>
    <w:rsid w:val="0B8A1A68"/>
    <w:rsid w:val="0B8B4F98"/>
    <w:rsid w:val="0BF548FF"/>
    <w:rsid w:val="0C9F779A"/>
    <w:rsid w:val="0D142E99"/>
    <w:rsid w:val="0D271031"/>
    <w:rsid w:val="0D601477"/>
    <w:rsid w:val="0D974A52"/>
    <w:rsid w:val="0DAA1A14"/>
    <w:rsid w:val="0DC15C51"/>
    <w:rsid w:val="0DC3492B"/>
    <w:rsid w:val="0E9301F7"/>
    <w:rsid w:val="0E9D5C58"/>
    <w:rsid w:val="0EE57E36"/>
    <w:rsid w:val="0EF32BD6"/>
    <w:rsid w:val="0EF55E28"/>
    <w:rsid w:val="0F3316FE"/>
    <w:rsid w:val="0F534D6A"/>
    <w:rsid w:val="0F5E2AD3"/>
    <w:rsid w:val="0F895DE3"/>
    <w:rsid w:val="0F982667"/>
    <w:rsid w:val="0FBA18ED"/>
    <w:rsid w:val="0FDB334A"/>
    <w:rsid w:val="0FE02925"/>
    <w:rsid w:val="0FE55BFC"/>
    <w:rsid w:val="102810F5"/>
    <w:rsid w:val="106144F4"/>
    <w:rsid w:val="10931639"/>
    <w:rsid w:val="109353A2"/>
    <w:rsid w:val="10E44375"/>
    <w:rsid w:val="11032363"/>
    <w:rsid w:val="11382548"/>
    <w:rsid w:val="115140AE"/>
    <w:rsid w:val="116E2FA6"/>
    <w:rsid w:val="1182634D"/>
    <w:rsid w:val="11AE61E2"/>
    <w:rsid w:val="11EF6033"/>
    <w:rsid w:val="120945EA"/>
    <w:rsid w:val="120B000B"/>
    <w:rsid w:val="123A5085"/>
    <w:rsid w:val="124D6E28"/>
    <w:rsid w:val="1254441D"/>
    <w:rsid w:val="12781557"/>
    <w:rsid w:val="1290323C"/>
    <w:rsid w:val="12B97767"/>
    <w:rsid w:val="12ED5B8D"/>
    <w:rsid w:val="13031738"/>
    <w:rsid w:val="132F61A6"/>
    <w:rsid w:val="134E7B07"/>
    <w:rsid w:val="137F52BB"/>
    <w:rsid w:val="138932AA"/>
    <w:rsid w:val="139D148E"/>
    <w:rsid w:val="13A80040"/>
    <w:rsid w:val="13BF76D5"/>
    <w:rsid w:val="13F40A62"/>
    <w:rsid w:val="1420156A"/>
    <w:rsid w:val="1444424B"/>
    <w:rsid w:val="144746FE"/>
    <w:rsid w:val="146E2E01"/>
    <w:rsid w:val="1484238C"/>
    <w:rsid w:val="14AC0B76"/>
    <w:rsid w:val="14B75C4B"/>
    <w:rsid w:val="14C17F4B"/>
    <w:rsid w:val="14CE4563"/>
    <w:rsid w:val="14DF5ADE"/>
    <w:rsid w:val="15215E6E"/>
    <w:rsid w:val="152E51C8"/>
    <w:rsid w:val="156E66AC"/>
    <w:rsid w:val="156F4A81"/>
    <w:rsid w:val="15C756F3"/>
    <w:rsid w:val="162C5A71"/>
    <w:rsid w:val="162F6D96"/>
    <w:rsid w:val="164707E9"/>
    <w:rsid w:val="164F36C8"/>
    <w:rsid w:val="166A5BBE"/>
    <w:rsid w:val="16AE401D"/>
    <w:rsid w:val="16B54196"/>
    <w:rsid w:val="1716426E"/>
    <w:rsid w:val="179160E2"/>
    <w:rsid w:val="17A42719"/>
    <w:rsid w:val="17B938E7"/>
    <w:rsid w:val="17C44EAB"/>
    <w:rsid w:val="17D90B40"/>
    <w:rsid w:val="17E26D29"/>
    <w:rsid w:val="17FF1E93"/>
    <w:rsid w:val="180559E3"/>
    <w:rsid w:val="18546706"/>
    <w:rsid w:val="189E7A21"/>
    <w:rsid w:val="18BF6CC0"/>
    <w:rsid w:val="19366C33"/>
    <w:rsid w:val="19716060"/>
    <w:rsid w:val="19C86BE8"/>
    <w:rsid w:val="1A461FED"/>
    <w:rsid w:val="1AB773BB"/>
    <w:rsid w:val="1AC60952"/>
    <w:rsid w:val="1B603ED3"/>
    <w:rsid w:val="1B8115BB"/>
    <w:rsid w:val="1BBA0F52"/>
    <w:rsid w:val="1BDC257D"/>
    <w:rsid w:val="1BE03BFC"/>
    <w:rsid w:val="1C0F7229"/>
    <w:rsid w:val="1C2C7533"/>
    <w:rsid w:val="1C736E43"/>
    <w:rsid w:val="1CB97223"/>
    <w:rsid w:val="1CCA6919"/>
    <w:rsid w:val="1CDC67E9"/>
    <w:rsid w:val="1D6B51A6"/>
    <w:rsid w:val="1DD01C90"/>
    <w:rsid w:val="1DFD2A57"/>
    <w:rsid w:val="1E042F55"/>
    <w:rsid w:val="1E1F79B2"/>
    <w:rsid w:val="1E311151"/>
    <w:rsid w:val="1E340F0B"/>
    <w:rsid w:val="1E7B31C0"/>
    <w:rsid w:val="1EBB311A"/>
    <w:rsid w:val="1F1921BC"/>
    <w:rsid w:val="1F3A0E28"/>
    <w:rsid w:val="1F4F79E5"/>
    <w:rsid w:val="1F7318BD"/>
    <w:rsid w:val="1F762360"/>
    <w:rsid w:val="1F7D7FC0"/>
    <w:rsid w:val="1FC05D2E"/>
    <w:rsid w:val="1FF23EA1"/>
    <w:rsid w:val="1FFE2918"/>
    <w:rsid w:val="2001258C"/>
    <w:rsid w:val="204259A5"/>
    <w:rsid w:val="20741FDE"/>
    <w:rsid w:val="20743DEA"/>
    <w:rsid w:val="20865007"/>
    <w:rsid w:val="20F76110"/>
    <w:rsid w:val="215C20D8"/>
    <w:rsid w:val="223257EF"/>
    <w:rsid w:val="22B62557"/>
    <w:rsid w:val="22C70A88"/>
    <w:rsid w:val="22EA179C"/>
    <w:rsid w:val="22EA2008"/>
    <w:rsid w:val="23891967"/>
    <w:rsid w:val="23950EF9"/>
    <w:rsid w:val="23952E69"/>
    <w:rsid w:val="23D42BDD"/>
    <w:rsid w:val="24074EA9"/>
    <w:rsid w:val="24252462"/>
    <w:rsid w:val="243C7FB8"/>
    <w:rsid w:val="247E49C4"/>
    <w:rsid w:val="248B7438"/>
    <w:rsid w:val="24F606F4"/>
    <w:rsid w:val="251632C9"/>
    <w:rsid w:val="2556097C"/>
    <w:rsid w:val="262349BA"/>
    <w:rsid w:val="26574910"/>
    <w:rsid w:val="268A4870"/>
    <w:rsid w:val="26971F82"/>
    <w:rsid w:val="269723A5"/>
    <w:rsid w:val="26C6298B"/>
    <w:rsid w:val="26C84C39"/>
    <w:rsid w:val="26DC3123"/>
    <w:rsid w:val="26F56B97"/>
    <w:rsid w:val="270E1A2D"/>
    <w:rsid w:val="279F42CB"/>
    <w:rsid w:val="27BD6E6E"/>
    <w:rsid w:val="27F82CDF"/>
    <w:rsid w:val="28301D6B"/>
    <w:rsid w:val="28D72A7A"/>
    <w:rsid w:val="290E3FC1"/>
    <w:rsid w:val="290F0AED"/>
    <w:rsid w:val="29182860"/>
    <w:rsid w:val="29395C57"/>
    <w:rsid w:val="29635B1F"/>
    <w:rsid w:val="296E1E80"/>
    <w:rsid w:val="297070B3"/>
    <w:rsid w:val="29802E51"/>
    <w:rsid w:val="29E05B7D"/>
    <w:rsid w:val="2A462BB5"/>
    <w:rsid w:val="2AAD3179"/>
    <w:rsid w:val="2B190851"/>
    <w:rsid w:val="2B9278BE"/>
    <w:rsid w:val="2BDD50B3"/>
    <w:rsid w:val="2BFC0C08"/>
    <w:rsid w:val="2BFF475E"/>
    <w:rsid w:val="2C5C57DB"/>
    <w:rsid w:val="2CB37BF2"/>
    <w:rsid w:val="2D3736B5"/>
    <w:rsid w:val="2D9C0202"/>
    <w:rsid w:val="2DAD3C9B"/>
    <w:rsid w:val="2DF32834"/>
    <w:rsid w:val="2E57659E"/>
    <w:rsid w:val="2E7E7E88"/>
    <w:rsid w:val="2E8548DA"/>
    <w:rsid w:val="2EB63777"/>
    <w:rsid w:val="2ECD20E1"/>
    <w:rsid w:val="2EE811BE"/>
    <w:rsid w:val="2F6F5730"/>
    <w:rsid w:val="2F856A7A"/>
    <w:rsid w:val="2FCE0DB3"/>
    <w:rsid w:val="2FD67384"/>
    <w:rsid w:val="2FF769DB"/>
    <w:rsid w:val="303A7914"/>
    <w:rsid w:val="303F2CD1"/>
    <w:rsid w:val="307E6CE6"/>
    <w:rsid w:val="30A65A08"/>
    <w:rsid w:val="30BB2CD9"/>
    <w:rsid w:val="30BC172B"/>
    <w:rsid w:val="30C3598D"/>
    <w:rsid w:val="31801B43"/>
    <w:rsid w:val="31AB2AE9"/>
    <w:rsid w:val="31C814D5"/>
    <w:rsid w:val="31E63584"/>
    <w:rsid w:val="32154047"/>
    <w:rsid w:val="32434BCF"/>
    <w:rsid w:val="327378B7"/>
    <w:rsid w:val="32780F29"/>
    <w:rsid w:val="32C44B7B"/>
    <w:rsid w:val="32CA5E41"/>
    <w:rsid w:val="336C7265"/>
    <w:rsid w:val="3370536D"/>
    <w:rsid w:val="33AF77B4"/>
    <w:rsid w:val="33FB6243"/>
    <w:rsid w:val="34022331"/>
    <w:rsid w:val="341C55F4"/>
    <w:rsid w:val="344C217D"/>
    <w:rsid w:val="345A00CF"/>
    <w:rsid w:val="346F391D"/>
    <w:rsid w:val="34880A4B"/>
    <w:rsid w:val="348E5540"/>
    <w:rsid w:val="34917FBE"/>
    <w:rsid w:val="34947D49"/>
    <w:rsid w:val="34D328DB"/>
    <w:rsid w:val="350D7249"/>
    <w:rsid w:val="355D605D"/>
    <w:rsid w:val="35B21B9B"/>
    <w:rsid w:val="367314B0"/>
    <w:rsid w:val="36C04B13"/>
    <w:rsid w:val="36D56D66"/>
    <w:rsid w:val="370B7A5D"/>
    <w:rsid w:val="371168B4"/>
    <w:rsid w:val="37726262"/>
    <w:rsid w:val="37A32F3B"/>
    <w:rsid w:val="38003698"/>
    <w:rsid w:val="38542C38"/>
    <w:rsid w:val="38734C5B"/>
    <w:rsid w:val="38BB6BEB"/>
    <w:rsid w:val="38D11F01"/>
    <w:rsid w:val="39737051"/>
    <w:rsid w:val="39B26A12"/>
    <w:rsid w:val="3A284360"/>
    <w:rsid w:val="3A3925FD"/>
    <w:rsid w:val="3A68730C"/>
    <w:rsid w:val="3A7F0A93"/>
    <w:rsid w:val="3A937B13"/>
    <w:rsid w:val="3A96509D"/>
    <w:rsid w:val="3AA22238"/>
    <w:rsid w:val="3AC06782"/>
    <w:rsid w:val="3B1543F2"/>
    <w:rsid w:val="3B5F7FEA"/>
    <w:rsid w:val="3BCF1385"/>
    <w:rsid w:val="3BD05887"/>
    <w:rsid w:val="3BEF0DA3"/>
    <w:rsid w:val="3C192806"/>
    <w:rsid w:val="3C1F2BAA"/>
    <w:rsid w:val="3C5739F9"/>
    <w:rsid w:val="3C6B4985"/>
    <w:rsid w:val="3C900CFC"/>
    <w:rsid w:val="3CBD61A2"/>
    <w:rsid w:val="3D260257"/>
    <w:rsid w:val="3D29641A"/>
    <w:rsid w:val="3D471EC6"/>
    <w:rsid w:val="3D481BE4"/>
    <w:rsid w:val="3D5E5921"/>
    <w:rsid w:val="3DAF7E38"/>
    <w:rsid w:val="3E437C13"/>
    <w:rsid w:val="3E67798A"/>
    <w:rsid w:val="3E8B4D0C"/>
    <w:rsid w:val="3ED77D8C"/>
    <w:rsid w:val="3F4D6DCD"/>
    <w:rsid w:val="3F747AF7"/>
    <w:rsid w:val="3F786D6F"/>
    <w:rsid w:val="401546A4"/>
    <w:rsid w:val="40224E23"/>
    <w:rsid w:val="40DE3070"/>
    <w:rsid w:val="411A4D1F"/>
    <w:rsid w:val="41931657"/>
    <w:rsid w:val="419E2F08"/>
    <w:rsid w:val="41BE5A2A"/>
    <w:rsid w:val="41D446A4"/>
    <w:rsid w:val="42337991"/>
    <w:rsid w:val="423D77FA"/>
    <w:rsid w:val="425F30BA"/>
    <w:rsid w:val="42827640"/>
    <w:rsid w:val="428B4A24"/>
    <w:rsid w:val="42AB3029"/>
    <w:rsid w:val="42C841DC"/>
    <w:rsid w:val="42D8325D"/>
    <w:rsid w:val="43380C0C"/>
    <w:rsid w:val="434C638A"/>
    <w:rsid w:val="443611C6"/>
    <w:rsid w:val="44AE0A8D"/>
    <w:rsid w:val="44B54973"/>
    <w:rsid w:val="44B56210"/>
    <w:rsid w:val="44DD5C39"/>
    <w:rsid w:val="44E0150B"/>
    <w:rsid w:val="45D4541B"/>
    <w:rsid w:val="46464927"/>
    <w:rsid w:val="464F1C2E"/>
    <w:rsid w:val="466033B4"/>
    <w:rsid w:val="46BE38A6"/>
    <w:rsid w:val="46DC36C7"/>
    <w:rsid w:val="46FA735D"/>
    <w:rsid w:val="47653F37"/>
    <w:rsid w:val="480B6E4D"/>
    <w:rsid w:val="481649C5"/>
    <w:rsid w:val="48403B0B"/>
    <w:rsid w:val="486E7BE5"/>
    <w:rsid w:val="48886B7C"/>
    <w:rsid w:val="488A0CA2"/>
    <w:rsid w:val="48B3367F"/>
    <w:rsid w:val="48B73CA4"/>
    <w:rsid w:val="48F7325B"/>
    <w:rsid w:val="4943606A"/>
    <w:rsid w:val="4974752B"/>
    <w:rsid w:val="49CA08B3"/>
    <w:rsid w:val="4A1F68D6"/>
    <w:rsid w:val="4B131673"/>
    <w:rsid w:val="4B2008E7"/>
    <w:rsid w:val="4B3E6B34"/>
    <w:rsid w:val="4B621760"/>
    <w:rsid w:val="4BB26A0D"/>
    <w:rsid w:val="4BE91A8C"/>
    <w:rsid w:val="4BEF3552"/>
    <w:rsid w:val="4C027CFF"/>
    <w:rsid w:val="4C092F72"/>
    <w:rsid w:val="4C1217ED"/>
    <w:rsid w:val="4C240EEB"/>
    <w:rsid w:val="4C51578A"/>
    <w:rsid w:val="4C746F9E"/>
    <w:rsid w:val="4CBB31DD"/>
    <w:rsid w:val="4CE6076E"/>
    <w:rsid w:val="4D0C3B03"/>
    <w:rsid w:val="4D1D26CB"/>
    <w:rsid w:val="4D6C3229"/>
    <w:rsid w:val="4D8F494F"/>
    <w:rsid w:val="4D9E4569"/>
    <w:rsid w:val="4DAB2735"/>
    <w:rsid w:val="4DAF0195"/>
    <w:rsid w:val="4DAF0D43"/>
    <w:rsid w:val="4DB72B71"/>
    <w:rsid w:val="4DCD1C9D"/>
    <w:rsid w:val="4E225804"/>
    <w:rsid w:val="4E244C25"/>
    <w:rsid w:val="4E2C6AB4"/>
    <w:rsid w:val="4E367E6C"/>
    <w:rsid w:val="4E3E4C46"/>
    <w:rsid w:val="4E6252DF"/>
    <w:rsid w:val="4EA41DD1"/>
    <w:rsid w:val="4EC37B3B"/>
    <w:rsid w:val="4ED767C8"/>
    <w:rsid w:val="4EE3220F"/>
    <w:rsid w:val="4EF51448"/>
    <w:rsid w:val="4F051E70"/>
    <w:rsid w:val="4F137471"/>
    <w:rsid w:val="4F583800"/>
    <w:rsid w:val="4F770156"/>
    <w:rsid w:val="4FA64242"/>
    <w:rsid w:val="503B426F"/>
    <w:rsid w:val="505B3C87"/>
    <w:rsid w:val="505B7D72"/>
    <w:rsid w:val="50983647"/>
    <w:rsid w:val="50BE3E2F"/>
    <w:rsid w:val="50BF27C4"/>
    <w:rsid w:val="50BF2F31"/>
    <w:rsid w:val="50CE3670"/>
    <w:rsid w:val="513C3BDB"/>
    <w:rsid w:val="513C688A"/>
    <w:rsid w:val="516044CA"/>
    <w:rsid w:val="51C15EDE"/>
    <w:rsid w:val="51C61E0E"/>
    <w:rsid w:val="51EB03BF"/>
    <w:rsid w:val="51F524F3"/>
    <w:rsid w:val="520A74E6"/>
    <w:rsid w:val="5242578D"/>
    <w:rsid w:val="528B4BEC"/>
    <w:rsid w:val="528E1D68"/>
    <w:rsid w:val="52A67A64"/>
    <w:rsid w:val="52AF4ED5"/>
    <w:rsid w:val="52C637A4"/>
    <w:rsid w:val="52E308CA"/>
    <w:rsid w:val="53002601"/>
    <w:rsid w:val="530323B4"/>
    <w:rsid w:val="53103D79"/>
    <w:rsid w:val="536238D5"/>
    <w:rsid w:val="539232B3"/>
    <w:rsid w:val="53957A53"/>
    <w:rsid w:val="53DC391C"/>
    <w:rsid w:val="53F32C12"/>
    <w:rsid w:val="542C427E"/>
    <w:rsid w:val="54627A3E"/>
    <w:rsid w:val="54823CCF"/>
    <w:rsid w:val="54A5035C"/>
    <w:rsid w:val="54C7754A"/>
    <w:rsid w:val="550C7471"/>
    <w:rsid w:val="554F235A"/>
    <w:rsid w:val="556A4C99"/>
    <w:rsid w:val="55B37605"/>
    <w:rsid w:val="560C6BFA"/>
    <w:rsid w:val="565771A2"/>
    <w:rsid w:val="568A30B8"/>
    <w:rsid w:val="56EF255B"/>
    <w:rsid w:val="574C5ADB"/>
    <w:rsid w:val="576B3CAE"/>
    <w:rsid w:val="577367A5"/>
    <w:rsid w:val="578C3E81"/>
    <w:rsid w:val="57A22986"/>
    <w:rsid w:val="57FE3D7F"/>
    <w:rsid w:val="584F1032"/>
    <w:rsid w:val="58565416"/>
    <w:rsid w:val="586D5086"/>
    <w:rsid w:val="58880F3F"/>
    <w:rsid w:val="588A075D"/>
    <w:rsid w:val="58C328B2"/>
    <w:rsid w:val="58E6159E"/>
    <w:rsid w:val="594B59AD"/>
    <w:rsid w:val="59630A2E"/>
    <w:rsid w:val="596C1677"/>
    <w:rsid w:val="59EC37E2"/>
    <w:rsid w:val="5A0A4A5D"/>
    <w:rsid w:val="5A1F6A7F"/>
    <w:rsid w:val="5A21318D"/>
    <w:rsid w:val="5A33532D"/>
    <w:rsid w:val="5A3732C0"/>
    <w:rsid w:val="5A5E12FC"/>
    <w:rsid w:val="5A751191"/>
    <w:rsid w:val="5A7735AC"/>
    <w:rsid w:val="5B973F37"/>
    <w:rsid w:val="5BA6778E"/>
    <w:rsid w:val="5BDB09E7"/>
    <w:rsid w:val="5C2B1F82"/>
    <w:rsid w:val="5C68296C"/>
    <w:rsid w:val="5CA65371"/>
    <w:rsid w:val="5DAC4A98"/>
    <w:rsid w:val="5DE76E1B"/>
    <w:rsid w:val="5E1D38CB"/>
    <w:rsid w:val="5E423B83"/>
    <w:rsid w:val="5EB95E6D"/>
    <w:rsid w:val="5EE03C4D"/>
    <w:rsid w:val="5EEB2C32"/>
    <w:rsid w:val="5F2B1EFB"/>
    <w:rsid w:val="5F447836"/>
    <w:rsid w:val="5F5A6B69"/>
    <w:rsid w:val="5FD171C5"/>
    <w:rsid w:val="5FE06042"/>
    <w:rsid w:val="601A697D"/>
    <w:rsid w:val="6034314C"/>
    <w:rsid w:val="60486F83"/>
    <w:rsid w:val="60625559"/>
    <w:rsid w:val="606621B1"/>
    <w:rsid w:val="607A3D16"/>
    <w:rsid w:val="60A23DFF"/>
    <w:rsid w:val="60FF7844"/>
    <w:rsid w:val="61374AD6"/>
    <w:rsid w:val="614F2776"/>
    <w:rsid w:val="615E2A19"/>
    <w:rsid w:val="616A7122"/>
    <w:rsid w:val="61922BE9"/>
    <w:rsid w:val="61A51487"/>
    <w:rsid w:val="61B910E8"/>
    <w:rsid w:val="61FB40AE"/>
    <w:rsid w:val="62297BA0"/>
    <w:rsid w:val="62E908E2"/>
    <w:rsid w:val="632A5E50"/>
    <w:rsid w:val="63601D0A"/>
    <w:rsid w:val="638F52CD"/>
    <w:rsid w:val="63E96E35"/>
    <w:rsid w:val="63EB046E"/>
    <w:rsid w:val="63FC0E86"/>
    <w:rsid w:val="642A22CE"/>
    <w:rsid w:val="64314B14"/>
    <w:rsid w:val="651C1549"/>
    <w:rsid w:val="654674CE"/>
    <w:rsid w:val="654A19EF"/>
    <w:rsid w:val="65685854"/>
    <w:rsid w:val="657B5799"/>
    <w:rsid w:val="65A50868"/>
    <w:rsid w:val="65AA3B5E"/>
    <w:rsid w:val="65B02737"/>
    <w:rsid w:val="65B27596"/>
    <w:rsid w:val="65EC3720"/>
    <w:rsid w:val="66042646"/>
    <w:rsid w:val="660C77C7"/>
    <w:rsid w:val="66116783"/>
    <w:rsid w:val="661F5E89"/>
    <w:rsid w:val="66653DC0"/>
    <w:rsid w:val="667545E0"/>
    <w:rsid w:val="66961222"/>
    <w:rsid w:val="66C25A94"/>
    <w:rsid w:val="67BC6F17"/>
    <w:rsid w:val="67F31994"/>
    <w:rsid w:val="6825113C"/>
    <w:rsid w:val="690C3998"/>
    <w:rsid w:val="694F29BD"/>
    <w:rsid w:val="69634798"/>
    <w:rsid w:val="69647B4A"/>
    <w:rsid w:val="699569B6"/>
    <w:rsid w:val="69CF2592"/>
    <w:rsid w:val="6A06025D"/>
    <w:rsid w:val="6ABB5ABF"/>
    <w:rsid w:val="6B1A15B3"/>
    <w:rsid w:val="6B320304"/>
    <w:rsid w:val="6B9268BF"/>
    <w:rsid w:val="6B982D90"/>
    <w:rsid w:val="6BC248F1"/>
    <w:rsid w:val="6BD63515"/>
    <w:rsid w:val="6BE54C77"/>
    <w:rsid w:val="6C2E142F"/>
    <w:rsid w:val="6C4F657F"/>
    <w:rsid w:val="6C5E3BB0"/>
    <w:rsid w:val="6C6A1739"/>
    <w:rsid w:val="6CB0660D"/>
    <w:rsid w:val="6CB468F1"/>
    <w:rsid w:val="6CB732A0"/>
    <w:rsid w:val="6CFB3994"/>
    <w:rsid w:val="6D195A50"/>
    <w:rsid w:val="6D305C66"/>
    <w:rsid w:val="6D50770E"/>
    <w:rsid w:val="6DAF70DA"/>
    <w:rsid w:val="6DDF15A3"/>
    <w:rsid w:val="6DF80C99"/>
    <w:rsid w:val="6E4A5875"/>
    <w:rsid w:val="6EC1386C"/>
    <w:rsid w:val="6F566A39"/>
    <w:rsid w:val="6F6F2F19"/>
    <w:rsid w:val="6F7473B6"/>
    <w:rsid w:val="6FBC7E38"/>
    <w:rsid w:val="6FEF4DC1"/>
    <w:rsid w:val="702043F9"/>
    <w:rsid w:val="70397A71"/>
    <w:rsid w:val="70515E76"/>
    <w:rsid w:val="70917A70"/>
    <w:rsid w:val="70B97FE5"/>
    <w:rsid w:val="70BE2A26"/>
    <w:rsid w:val="70C457B4"/>
    <w:rsid w:val="71180EC7"/>
    <w:rsid w:val="712663A8"/>
    <w:rsid w:val="713C32CA"/>
    <w:rsid w:val="71524B83"/>
    <w:rsid w:val="715921F8"/>
    <w:rsid w:val="715C4849"/>
    <w:rsid w:val="7169461C"/>
    <w:rsid w:val="716C3E10"/>
    <w:rsid w:val="7178181D"/>
    <w:rsid w:val="71A22356"/>
    <w:rsid w:val="721A1CD9"/>
    <w:rsid w:val="72821EEF"/>
    <w:rsid w:val="7290643A"/>
    <w:rsid w:val="7306243C"/>
    <w:rsid w:val="731D2CE9"/>
    <w:rsid w:val="737C1C7E"/>
    <w:rsid w:val="73945DC2"/>
    <w:rsid w:val="73B21334"/>
    <w:rsid w:val="73BA4A84"/>
    <w:rsid w:val="73E330CC"/>
    <w:rsid w:val="74025A20"/>
    <w:rsid w:val="746B6726"/>
    <w:rsid w:val="7490269B"/>
    <w:rsid w:val="75086FC2"/>
    <w:rsid w:val="759743B4"/>
    <w:rsid w:val="75F3389E"/>
    <w:rsid w:val="765445A4"/>
    <w:rsid w:val="76900468"/>
    <w:rsid w:val="770B4369"/>
    <w:rsid w:val="770C71DA"/>
    <w:rsid w:val="770D6E87"/>
    <w:rsid w:val="7741150D"/>
    <w:rsid w:val="778E3984"/>
    <w:rsid w:val="77C2417C"/>
    <w:rsid w:val="77EA499D"/>
    <w:rsid w:val="78455BCD"/>
    <w:rsid w:val="788775EB"/>
    <w:rsid w:val="78925661"/>
    <w:rsid w:val="78A11B7E"/>
    <w:rsid w:val="78AE7AC8"/>
    <w:rsid w:val="79094D5F"/>
    <w:rsid w:val="79C21DE5"/>
    <w:rsid w:val="79F52793"/>
    <w:rsid w:val="7AB34B6E"/>
    <w:rsid w:val="7AD07418"/>
    <w:rsid w:val="7AFE6F76"/>
    <w:rsid w:val="7B65146E"/>
    <w:rsid w:val="7BA340BA"/>
    <w:rsid w:val="7BD62BE3"/>
    <w:rsid w:val="7BE74DDA"/>
    <w:rsid w:val="7C004612"/>
    <w:rsid w:val="7C025814"/>
    <w:rsid w:val="7C042AD7"/>
    <w:rsid w:val="7C8F6A00"/>
    <w:rsid w:val="7C9A6EF2"/>
    <w:rsid w:val="7D2B38AA"/>
    <w:rsid w:val="7D8445EC"/>
    <w:rsid w:val="7DC34551"/>
    <w:rsid w:val="7E6C12D5"/>
    <w:rsid w:val="7E9644B9"/>
    <w:rsid w:val="7EA6685A"/>
    <w:rsid w:val="7ECA79E9"/>
    <w:rsid w:val="7EF35F11"/>
    <w:rsid w:val="7EFE793D"/>
    <w:rsid w:val="7F32388A"/>
    <w:rsid w:val="7F9F043A"/>
    <w:rsid w:val="7FAF2EF7"/>
    <w:rsid w:val="7FBC77E5"/>
    <w:rsid w:val="7FCC05AD"/>
    <w:rsid w:val="7FE424E5"/>
    <w:rsid w:val="7FF15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bCs/>
      <w:kern w:val="44"/>
      <w:sz w:val="44"/>
      <w:szCs w:val="44"/>
    </w:rPr>
  </w:style>
  <w:style w:type="paragraph" w:styleId="5">
    <w:name w:val="heading 2"/>
    <w:basedOn w:val="1"/>
    <w:next w:val="6"/>
    <w:qFormat/>
    <w:uiPriority w:val="0"/>
    <w:pPr>
      <w:keepNext/>
      <w:keepLines/>
      <w:spacing w:before="260" w:after="260" w:line="413" w:lineRule="auto"/>
      <w:outlineLvl w:val="1"/>
    </w:pPr>
    <w:rPr>
      <w:rFonts w:ascii="Arial" w:hAnsi="Arial" w:eastAsia="黑体"/>
      <w:b/>
      <w:bCs/>
      <w:sz w:val="32"/>
      <w:szCs w:val="32"/>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paragraph" w:styleId="8">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9">
    <w:name w:val="heading 5"/>
    <w:basedOn w:val="1"/>
    <w:next w:val="1"/>
    <w:qFormat/>
    <w:uiPriority w:val="9"/>
    <w:pPr>
      <w:widowControl/>
      <w:tabs>
        <w:tab w:val="left" w:pos="-142"/>
      </w:tabs>
      <w:overflowPunct w:val="0"/>
      <w:autoSpaceDE w:val="0"/>
      <w:autoSpaceDN w:val="0"/>
      <w:adjustRightInd w:val="0"/>
      <w:spacing w:line="240" w:lineRule="exact"/>
      <w:ind w:left="2018" w:hanging="720"/>
      <w:textAlignment w:val="baseline"/>
      <w:outlineLvl w:val="4"/>
    </w:pPr>
    <w:rPr>
      <w:kern w:val="0"/>
      <w:sz w:val="23"/>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customStyle="1" w:styleId="2">
    <w:name w:val="样式3"/>
    <w:basedOn w:val="3"/>
    <w:next w:val="1"/>
    <w:qFormat/>
    <w:uiPriority w:val="99"/>
    <w:pPr>
      <w:spacing w:line="0" w:lineRule="atLeast"/>
      <w:outlineLvl w:val="0"/>
    </w:pPr>
    <w:rPr>
      <w:sz w:val="28"/>
    </w:rPr>
  </w:style>
  <w:style w:type="paragraph" w:styleId="3">
    <w:name w:val="Plain Text"/>
    <w:basedOn w:val="1"/>
    <w:link w:val="62"/>
    <w:qFormat/>
    <w:uiPriority w:val="0"/>
    <w:pPr>
      <w:spacing w:beforeLines="50" w:afterLines="50" w:line="400" w:lineRule="exact"/>
    </w:pPr>
    <w:rPr>
      <w:rFonts w:ascii="宋体" w:hAnsi="Courier New"/>
      <w:sz w:val="24"/>
    </w:rPr>
  </w:style>
  <w:style w:type="paragraph" w:styleId="6">
    <w:name w:val="Normal Indent"/>
    <w:basedOn w:val="1"/>
    <w:qFormat/>
    <w:uiPriority w:val="0"/>
    <w:pPr>
      <w:ind w:firstLine="420"/>
    </w:pPr>
    <w:rPr>
      <w:szCs w:val="20"/>
    </w:rPr>
  </w:style>
  <w:style w:type="paragraph" w:styleId="10">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Document Map"/>
    <w:basedOn w:val="1"/>
    <w:link w:val="93"/>
    <w:unhideWhenUsed/>
    <w:qFormat/>
    <w:uiPriority w:val="99"/>
    <w:rPr>
      <w:rFonts w:ascii="宋体"/>
      <w:sz w:val="18"/>
      <w:szCs w:val="18"/>
    </w:rPr>
  </w:style>
  <w:style w:type="paragraph" w:styleId="13">
    <w:name w:val="annotation text"/>
    <w:basedOn w:val="1"/>
    <w:link w:val="85"/>
    <w:unhideWhenUsed/>
    <w:qFormat/>
    <w:uiPriority w:val="99"/>
    <w:pPr>
      <w:jc w:val="left"/>
    </w:pPr>
  </w:style>
  <w:style w:type="paragraph" w:styleId="14">
    <w:name w:val="Body Text 3"/>
    <w:basedOn w:val="1"/>
    <w:qFormat/>
    <w:uiPriority w:val="0"/>
    <w:pPr>
      <w:snapToGrid w:val="0"/>
      <w:spacing w:before="50" w:after="50"/>
    </w:pPr>
    <w:rPr>
      <w:rFonts w:hAnsi="宋体" w:eastAsia="仿宋_GB2312"/>
      <w:b/>
      <w:bCs/>
      <w:sz w:val="24"/>
      <w:szCs w:val="20"/>
    </w:rPr>
  </w:style>
  <w:style w:type="paragraph" w:styleId="15">
    <w:name w:val="Body Text"/>
    <w:basedOn w:val="1"/>
    <w:next w:val="1"/>
    <w:qFormat/>
    <w:uiPriority w:val="0"/>
    <w:pPr>
      <w:spacing w:after="120"/>
    </w:pPr>
    <w:rPr>
      <w:sz w:val="28"/>
    </w:rPr>
  </w:style>
  <w:style w:type="paragraph" w:styleId="16">
    <w:name w:val="Body Text Indent"/>
    <w:basedOn w:val="1"/>
    <w:next w:val="1"/>
    <w:link w:val="61"/>
    <w:qFormat/>
    <w:uiPriority w:val="0"/>
    <w:pPr>
      <w:spacing w:line="200" w:lineRule="exact"/>
      <w:ind w:firstLine="301"/>
    </w:pPr>
    <w:rPr>
      <w:rFonts w:ascii="宋体" w:hAnsi="Courier New"/>
      <w:spacing w:val="-4"/>
      <w:sz w:val="18"/>
      <w:szCs w:val="20"/>
    </w:rPr>
  </w:style>
  <w:style w:type="paragraph" w:styleId="17">
    <w:name w:val="List Number 3"/>
    <w:basedOn w:val="1"/>
    <w:qFormat/>
    <w:uiPriority w:val="0"/>
    <w:pPr>
      <w:tabs>
        <w:tab w:val="left" w:pos="1200"/>
      </w:tabs>
      <w:ind w:left="1200" w:hanging="360"/>
    </w:pPr>
  </w:style>
  <w:style w:type="paragraph" w:styleId="18">
    <w:name w:val="List 2"/>
    <w:basedOn w:val="1"/>
    <w:qFormat/>
    <w:uiPriority w:val="0"/>
    <w:pPr>
      <w:ind w:left="100" w:leftChars="200" w:hanging="200" w:hangingChars="200"/>
    </w:pPr>
    <w:rPr>
      <w:sz w:val="28"/>
    </w:rPr>
  </w:style>
  <w:style w:type="paragraph" w:styleId="19">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20">
    <w:name w:val="Date"/>
    <w:basedOn w:val="1"/>
    <w:next w:val="1"/>
    <w:link w:val="72"/>
    <w:qFormat/>
    <w:uiPriority w:val="0"/>
    <w:pPr>
      <w:ind w:left="2500" w:leftChars="2500"/>
    </w:pPr>
    <w:rPr>
      <w:rFonts w:eastAsia="楷体_GB2312"/>
      <w:sz w:val="32"/>
      <w:szCs w:val="20"/>
    </w:rPr>
  </w:style>
  <w:style w:type="paragraph" w:styleId="21">
    <w:name w:val="Body Text Indent 2"/>
    <w:basedOn w:val="1"/>
    <w:qFormat/>
    <w:uiPriority w:val="0"/>
    <w:pPr>
      <w:snapToGrid w:val="0"/>
      <w:ind w:firstLine="542" w:firstLineChars="225"/>
    </w:pPr>
    <w:rPr>
      <w:rFonts w:ascii="仿宋_GB2312" w:hAnsi="宋体" w:cs="Arial"/>
      <w:b/>
      <w:bCs/>
      <w:color w:val="000000"/>
      <w:sz w:val="24"/>
    </w:rPr>
  </w:style>
  <w:style w:type="paragraph" w:styleId="22">
    <w:name w:val="Balloon Text"/>
    <w:basedOn w:val="1"/>
    <w:qFormat/>
    <w:uiPriority w:val="0"/>
    <w:rPr>
      <w:sz w:val="18"/>
      <w:szCs w:val="18"/>
    </w:rPr>
  </w:style>
  <w:style w:type="paragraph" w:styleId="23">
    <w:name w:val="footer"/>
    <w:basedOn w:val="1"/>
    <w:link w:val="76"/>
    <w:qFormat/>
    <w:uiPriority w:val="99"/>
    <w:pPr>
      <w:tabs>
        <w:tab w:val="center" w:pos="4153"/>
        <w:tab w:val="right" w:pos="8306"/>
      </w:tabs>
      <w:snapToGrid w:val="0"/>
      <w:jc w:val="left"/>
    </w:pPr>
    <w:rPr>
      <w:rFonts w:eastAsia="黑体"/>
      <w:snapToGrid w:val="0"/>
      <w:sz w:val="18"/>
      <w:szCs w:val="18"/>
    </w:rPr>
  </w:style>
  <w:style w:type="paragraph" w:styleId="24">
    <w:name w:val="header"/>
    <w:basedOn w:val="1"/>
    <w:link w:val="91"/>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25">
    <w:name w:val="toc 1"/>
    <w:basedOn w:val="1"/>
    <w:next w:val="1"/>
    <w:qFormat/>
    <w:uiPriority w:val="39"/>
  </w:style>
  <w:style w:type="paragraph" w:styleId="26">
    <w:name w:val="List"/>
    <w:basedOn w:val="1"/>
    <w:qFormat/>
    <w:uiPriority w:val="0"/>
    <w:pPr>
      <w:ind w:left="200" w:hanging="200" w:hangingChars="200"/>
    </w:pPr>
    <w:rPr>
      <w:sz w:val="28"/>
    </w:rPr>
  </w:style>
  <w:style w:type="paragraph" w:styleId="27">
    <w:name w:val="toc 6"/>
    <w:next w:val="1"/>
    <w:qFormat/>
    <w:uiPriority w:val="0"/>
    <w:pPr>
      <w:ind w:left="1050"/>
    </w:pPr>
    <w:rPr>
      <w:rFonts w:ascii="Times New Roman" w:hAnsi="Times New Roman" w:eastAsia="宋体" w:cs="Times New Roman"/>
      <w:sz w:val="18"/>
      <w:szCs w:val="18"/>
      <w:lang w:val="en-US" w:eastAsia="zh-CN" w:bidi="ar-SA"/>
    </w:rPr>
  </w:style>
  <w:style w:type="paragraph" w:styleId="28">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29">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30">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31">
    <w:name w:val="Normal (Web)"/>
    <w:basedOn w:val="1"/>
    <w:qFormat/>
    <w:uiPriority w:val="0"/>
    <w:pPr>
      <w:widowControl/>
      <w:spacing w:before="100" w:beforeAutospacing="1" w:after="100" w:afterAutospacing="1"/>
      <w:jc w:val="left"/>
    </w:pPr>
    <w:rPr>
      <w:kern w:val="0"/>
      <w:sz w:val="24"/>
    </w:rPr>
  </w:style>
  <w:style w:type="paragraph" w:styleId="32">
    <w:name w:val="annotation subject"/>
    <w:basedOn w:val="13"/>
    <w:next w:val="13"/>
    <w:link w:val="83"/>
    <w:unhideWhenUsed/>
    <w:qFormat/>
    <w:uiPriority w:val="99"/>
    <w:rPr>
      <w:b/>
      <w:bCs/>
    </w:rPr>
  </w:style>
  <w:style w:type="paragraph" w:styleId="33">
    <w:name w:val="Body Text First Indent"/>
    <w:basedOn w:val="15"/>
    <w:next w:val="27"/>
    <w:qFormat/>
    <w:uiPriority w:val="0"/>
    <w:pPr>
      <w:autoSpaceDE w:val="0"/>
      <w:autoSpaceDN w:val="0"/>
      <w:adjustRightInd w:val="0"/>
      <w:spacing w:after="0"/>
      <w:jc w:val="left"/>
    </w:pPr>
    <w:rPr>
      <w:kern w:val="0"/>
      <w:szCs w:val="20"/>
    </w:rPr>
  </w:style>
  <w:style w:type="paragraph" w:styleId="34">
    <w:name w:val="Body Text First Indent 2"/>
    <w:basedOn w:val="16"/>
    <w:next w:val="1"/>
    <w:qFormat/>
    <w:uiPriority w:val="0"/>
    <w:pPr>
      <w:ind w:firstLine="420" w:firstLineChars="200"/>
    </w:pPr>
    <w:rPr>
      <w:rFonts w:ascii="Times New Roman" w:hAnsi="Times New Roman"/>
      <w:lang w:val="zh-CN"/>
    </w:rPr>
  </w:style>
  <w:style w:type="table" w:styleId="36">
    <w:name w:val="Table Grid"/>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22"/>
    <w:rPr>
      <w:b/>
      <w:sz w:val="24"/>
      <w:szCs w:val="24"/>
    </w:rPr>
  </w:style>
  <w:style w:type="character" w:styleId="39">
    <w:name w:val="page number"/>
    <w:basedOn w:val="37"/>
    <w:qFormat/>
    <w:uiPriority w:val="0"/>
  </w:style>
  <w:style w:type="character" w:styleId="40">
    <w:name w:val="FollowedHyperlink"/>
    <w:unhideWhenUsed/>
    <w:qFormat/>
    <w:uiPriority w:val="99"/>
    <w:rPr>
      <w:color w:val="800080"/>
      <w:u w:val="none"/>
    </w:rPr>
  </w:style>
  <w:style w:type="character" w:styleId="41">
    <w:name w:val="Emphasis"/>
    <w:qFormat/>
    <w:uiPriority w:val="0"/>
    <w:rPr>
      <w:i/>
      <w:iCs/>
    </w:rPr>
  </w:style>
  <w:style w:type="character" w:styleId="42">
    <w:name w:val="HTML Definition"/>
    <w:unhideWhenUsed/>
    <w:qFormat/>
    <w:uiPriority w:val="99"/>
  </w:style>
  <w:style w:type="character" w:styleId="43">
    <w:name w:val="HTML Acronym"/>
    <w:basedOn w:val="37"/>
    <w:unhideWhenUsed/>
    <w:qFormat/>
    <w:uiPriority w:val="99"/>
  </w:style>
  <w:style w:type="character" w:styleId="44">
    <w:name w:val="HTML Variable"/>
    <w:unhideWhenUsed/>
    <w:qFormat/>
    <w:uiPriority w:val="99"/>
  </w:style>
  <w:style w:type="character" w:styleId="45">
    <w:name w:val="Hyperlink"/>
    <w:qFormat/>
    <w:uiPriority w:val="99"/>
    <w:rPr>
      <w:color w:val="0000FF"/>
      <w:u w:val="none"/>
    </w:rPr>
  </w:style>
  <w:style w:type="character" w:styleId="46">
    <w:name w:val="HTML Code"/>
    <w:unhideWhenUsed/>
    <w:qFormat/>
    <w:uiPriority w:val="99"/>
    <w:rPr>
      <w:rFonts w:ascii="Courier New" w:hAnsi="Courier New"/>
      <w:sz w:val="20"/>
    </w:rPr>
  </w:style>
  <w:style w:type="character" w:styleId="47">
    <w:name w:val="annotation reference"/>
    <w:unhideWhenUsed/>
    <w:qFormat/>
    <w:uiPriority w:val="99"/>
    <w:rPr>
      <w:sz w:val="21"/>
      <w:szCs w:val="21"/>
    </w:rPr>
  </w:style>
  <w:style w:type="character" w:styleId="48">
    <w:name w:val="HTML Cite"/>
    <w:unhideWhenUsed/>
    <w:qFormat/>
    <w:uiPriority w:val="99"/>
    <w:rPr>
      <w:sz w:val="24"/>
      <w:szCs w:val="24"/>
    </w:rPr>
  </w:style>
  <w:style w:type="paragraph" w:customStyle="1" w:styleId="49">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character" w:customStyle="1" w:styleId="50">
    <w:name w:val="pl8"/>
    <w:basedOn w:val="37"/>
    <w:qFormat/>
    <w:uiPriority w:val="0"/>
  </w:style>
  <w:style w:type="character" w:customStyle="1" w:styleId="51">
    <w:name w:val="del1"/>
    <w:qFormat/>
    <w:uiPriority w:val="0"/>
    <w:rPr>
      <w:vanish/>
      <w:color w:val="666666"/>
      <w:sz w:val="18"/>
      <w:szCs w:val="18"/>
      <w:u w:val="single"/>
    </w:rPr>
  </w:style>
  <w:style w:type="character" w:customStyle="1" w:styleId="52">
    <w:name w:val="now2"/>
    <w:basedOn w:val="37"/>
    <w:qFormat/>
    <w:uiPriority w:val="0"/>
  </w:style>
  <w:style w:type="character" w:customStyle="1" w:styleId="53">
    <w:name w:val="info"/>
    <w:qFormat/>
    <w:uiPriority w:val="0"/>
    <w:rPr>
      <w:color w:val="666666"/>
    </w:rPr>
  </w:style>
  <w:style w:type="character" w:customStyle="1" w:styleId="54">
    <w:name w:val="inq"/>
    <w:qFormat/>
    <w:uiPriority w:val="0"/>
    <w:rPr>
      <w:color w:val="333333"/>
    </w:rPr>
  </w:style>
  <w:style w:type="character" w:customStyle="1" w:styleId="55">
    <w:name w:val="inq1"/>
    <w:basedOn w:val="37"/>
    <w:qFormat/>
    <w:uiPriority w:val="0"/>
  </w:style>
  <w:style w:type="character" w:customStyle="1" w:styleId="56">
    <w:name w:val="up"/>
    <w:basedOn w:val="37"/>
    <w:qFormat/>
    <w:uiPriority w:val="0"/>
  </w:style>
  <w:style w:type="character" w:customStyle="1" w:styleId="57">
    <w:name w:val="up2"/>
    <w:basedOn w:val="37"/>
    <w:qFormat/>
    <w:uiPriority w:val="0"/>
  </w:style>
  <w:style w:type="character" w:customStyle="1" w:styleId="58">
    <w:name w:val="不明显参考1"/>
    <w:qFormat/>
    <w:uiPriority w:val="31"/>
    <w:rPr>
      <w:smallCaps/>
      <w:color w:val="595959"/>
    </w:rPr>
  </w:style>
  <w:style w:type="character" w:customStyle="1" w:styleId="59">
    <w:name w:val="submit"/>
    <w:basedOn w:val="37"/>
    <w:qFormat/>
    <w:uiPriority w:val="0"/>
  </w:style>
  <w:style w:type="character" w:customStyle="1" w:styleId="60">
    <w:name w:val="Char Char1"/>
    <w:qFormat/>
    <w:uiPriority w:val="0"/>
    <w:rPr>
      <w:rFonts w:eastAsia="黑体"/>
      <w:snapToGrid w:val="0"/>
      <w:sz w:val="18"/>
      <w:szCs w:val="18"/>
      <w:lang w:val="en-US" w:eastAsia="zh-CN" w:bidi="ar-SA"/>
    </w:rPr>
  </w:style>
  <w:style w:type="character" w:customStyle="1" w:styleId="61">
    <w:name w:val="正文文本缩进 Char"/>
    <w:link w:val="16"/>
    <w:qFormat/>
    <w:uiPriority w:val="0"/>
    <w:rPr>
      <w:rFonts w:ascii="宋体" w:hAnsi="Courier New"/>
      <w:spacing w:val="-4"/>
      <w:kern w:val="2"/>
      <w:sz w:val="18"/>
    </w:rPr>
  </w:style>
  <w:style w:type="character" w:customStyle="1" w:styleId="62">
    <w:name w:val="纯文本 Char"/>
    <w:link w:val="3"/>
    <w:qFormat/>
    <w:uiPriority w:val="0"/>
    <w:rPr>
      <w:rFonts w:ascii="宋体" w:hAnsi="Courier New"/>
      <w:kern w:val="2"/>
      <w:sz w:val="24"/>
      <w:szCs w:val="24"/>
    </w:rPr>
  </w:style>
  <w:style w:type="character" w:customStyle="1" w:styleId="63">
    <w:name w:val="pl"/>
    <w:basedOn w:val="37"/>
    <w:qFormat/>
    <w:uiPriority w:val="0"/>
  </w:style>
  <w:style w:type="character" w:customStyle="1" w:styleId="64">
    <w:name w:val="now4"/>
    <w:basedOn w:val="37"/>
    <w:qFormat/>
    <w:uiPriority w:val="0"/>
  </w:style>
  <w:style w:type="character" w:customStyle="1" w:styleId="65">
    <w:name w:val="pl7"/>
    <w:basedOn w:val="37"/>
    <w:qFormat/>
    <w:uiPriority w:val="0"/>
  </w:style>
  <w:style w:type="character" w:customStyle="1" w:styleId="66">
    <w:name w:val="arr"/>
    <w:basedOn w:val="37"/>
    <w:qFormat/>
    <w:uiPriority w:val="0"/>
  </w:style>
  <w:style w:type="character" w:customStyle="1" w:styleId="67">
    <w:name w:val="无间隔 Char"/>
    <w:link w:val="68"/>
    <w:qFormat/>
    <w:uiPriority w:val="1"/>
    <w:rPr>
      <w:rFonts w:ascii="Calibri" w:hAnsi="Calibri"/>
      <w:sz w:val="22"/>
      <w:szCs w:val="22"/>
      <w:lang w:val="en-US" w:eastAsia="zh-CN" w:bidi="ar-SA"/>
    </w:rPr>
  </w:style>
  <w:style w:type="paragraph" w:styleId="68">
    <w:name w:val="No Spacing"/>
    <w:link w:val="67"/>
    <w:qFormat/>
    <w:uiPriority w:val="1"/>
    <w:rPr>
      <w:rFonts w:ascii="Calibri" w:hAnsi="Calibri" w:eastAsia="宋体" w:cs="Times New Roman"/>
      <w:sz w:val="22"/>
      <w:szCs w:val="22"/>
      <w:lang w:val="en-US" w:eastAsia="zh-CN" w:bidi="ar-SA"/>
    </w:rPr>
  </w:style>
  <w:style w:type="character" w:customStyle="1" w:styleId="69">
    <w:name w:val="icon-doc"/>
    <w:basedOn w:val="37"/>
    <w:qFormat/>
    <w:uiPriority w:val="0"/>
  </w:style>
  <w:style w:type="character" w:customStyle="1" w:styleId="70">
    <w:name w:val="icon-read"/>
    <w:basedOn w:val="37"/>
    <w:qFormat/>
    <w:uiPriority w:val="0"/>
  </w:style>
  <w:style w:type="character" w:customStyle="1" w:styleId="71">
    <w:name w:val="apple-style-span"/>
    <w:basedOn w:val="37"/>
    <w:qFormat/>
    <w:uiPriority w:val="0"/>
  </w:style>
  <w:style w:type="character" w:customStyle="1" w:styleId="72">
    <w:name w:val="日期 Char"/>
    <w:link w:val="20"/>
    <w:qFormat/>
    <w:uiPriority w:val="0"/>
    <w:rPr>
      <w:rFonts w:eastAsia="楷体_GB2312"/>
      <w:kern w:val="2"/>
      <w:sz w:val="32"/>
    </w:rPr>
  </w:style>
  <w:style w:type="character" w:customStyle="1" w:styleId="73">
    <w:name w:val="del2"/>
    <w:qFormat/>
    <w:uiPriority w:val="0"/>
    <w:rPr>
      <w:vanish/>
    </w:rPr>
  </w:style>
  <w:style w:type="character" w:customStyle="1" w:styleId="74">
    <w:name w:val="del"/>
    <w:basedOn w:val="37"/>
    <w:qFormat/>
    <w:uiPriority w:val="0"/>
  </w:style>
  <w:style w:type="character" w:customStyle="1" w:styleId="75">
    <w:name w:val="now3"/>
    <w:basedOn w:val="37"/>
    <w:qFormat/>
    <w:uiPriority w:val="0"/>
  </w:style>
  <w:style w:type="character" w:customStyle="1" w:styleId="76">
    <w:name w:val="页脚 Char"/>
    <w:link w:val="23"/>
    <w:qFormat/>
    <w:uiPriority w:val="99"/>
    <w:rPr>
      <w:rFonts w:eastAsia="黑体"/>
      <w:snapToGrid w:val="0"/>
      <w:kern w:val="2"/>
      <w:sz w:val="18"/>
      <w:szCs w:val="18"/>
    </w:rPr>
  </w:style>
  <w:style w:type="character" w:customStyle="1" w:styleId="77">
    <w:name w:val="icon-play"/>
    <w:basedOn w:val="37"/>
    <w:qFormat/>
    <w:uiPriority w:val="0"/>
  </w:style>
  <w:style w:type="character" w:customStyle="1" w:styleId="78">
    <w:name w:val="样式 标题 1合同标题卷标题H1h1Level 1 Topic HeadingH11H12H111H13H1... Char"/>
    <w:qFormat/>
    <w:uiPriority w:val="0"/>
    <w:rPr>
      <w:rFonts w:ascii="宋体" w:hAnsi="宋体" w:eastAsia="宋体"/>
      <w:b/>
      <w:bCs/>
      <w:kern w:val="44"/>
      <w:sz w:val="24"/>
      <w:szCs w:val="44"/>
      <w:lang w:val="en-US" w:eastAsia="zh-CN" w:bidi="ar-SA"/>
    </w:rPr>
  </w:style>
  <w:style w:type="character" w:customStyle="1" w:styleId="79">
    <w:name w:val="xl29 Char Char"/>
    <w:link w:val="80"/>
    <w:qFormat/>
    <w:uiPriority w:val="0"/>
    <w:rPr>
      <w:rFonts w:ascii="Arial Unicode MS" w:hAnsi="Arial Unicode MS" w:eastAsia="Arial Unicode MS"/>
      <w:sz w:val="24"/>
      <w:szCs w:val="24"/>
    </w:rPr>
  </w:style>
  <w:style w:type="paragraph" w:customStyle="1" w:styleId="80">
    <w:name w:val="xl29"/>
    <w:basedOn w:val="1"/>
    <w:link w:val="79"/>
    <w:qFormat/>
    <w:uiPriority w:val="0"/>
    <w:pPr>
      <w:widowControl/>
      <w:spacing w:before="100" w:beforeAutospacing="1" w:after="100" w:afterAutospacing="1"/>
      <w:jc w:val="center"/>
    </w:pPr>
    <w:rPr>
      <w:rFonts w:ascii="Arial Unicode MS" w:hAnsi="Arial Unicode MS" w:eastAsia="Arial Unicode MS"/>
      <w:kern w:val="0"/>
      <w:sz w:val="24"/>
    </w:rPr>
  </w:style>
  <w:style w:type="character" w:customStyle="1" w:styleId="81">
    <w:name w:val="now1"/>
    <w:basedOn w:val="37"/>
    <w:qFormat/>
    <w:uiPriority w:val="0"/>
  </w:style>
  <w:style w:type="character" w:customStyle="1" w:styleId="82">
    <w:name w:val="reason"/>
    <w:qFormat/>
    <w:uiPriority w:val="0"/>
    <w:rPr>
      <w:color w:val="999999"/>
    </w:rPr>
  </w:style>
  <w:style w:type="character" w:customStyle="1" w:styleId="83">
    <w:name w:val="批注主题 Char"/>
    <w:link w:val="32"/>
    <w:semiHidden/>
    <w:qFormat/>
    <w:uiPriority w:val="99"/>
    <w:rPr>
      <w:b/>
      <w:bCs/>
      <w:kern w:val="2"/>
      <w:sz w:val="21"/>
      <w:szCs w:val="24"/>
    </w:rPr>
  </w:style>
  <w:style w:type="character" w:customStyle="1" w:styleId="84">
    <w:name w:val="Char Char12"/>
    <w:qFormat/>
    <w:uiPriority w:val="0"/>
    <w:rPr>
      <w:rFonts w:ascii="宋体" w:hAnsi="Courier New"/>
      <w:spacing w:val="-4"/>
      <w:kern w:val="2"/>
      <w:sz w:val="18"/>
    </w:rPr>
  </w:style>
  <w:style w:type="character" w:customStyle="1" w:styleId="85">
    <w:name w:val="批注文字 Char"/>
    <w:link w:val="13"/>
    <w:semiHidden/>
    <w:qFormat/>
    <w:uiPriority w:val="99"/>
    <w:rPr>
      <w:kern w:val="2"/>
      <w:sz w:val="21"/>
      <w:szCs w:val="24"/>
    </w:rPr>
  </w:style>
  <w:style w:type="character" w:customStyle="1" w:styleId="86">
    <w:name w:val="tab"/>
    <w:qFormat/>
    <w:uiPriority w:val="0"/>
    <w:rPr>
      <w:color w:val="A4BCD6"/>
    </w:rPr>
  </w:style>
  <w:style w:type="character" w:customStyle="1" w:styleId="87">
    <w:name w:val="pl1"/>
    <w:basedOn w:val="37"/>
    <w:qFormat/>
    <w:uiPriority w:val="0"/>
  </w:style>
  <w:style w:type="character" w:customStyle="1" w:styleId="88">
    <w:name w:val="icon-game"/>
    <w:basedOn w:val="37"/>
    <w:qFormat/>
    <w:uiPriority w:val="0"/>
  </w:style>
  <w:style w:type="character" w:customStyle="1" w:styleId="89">
    <w:name w:val="Char Char"/>
    <w:qFormat/>
    <w:uiPriority w:val="0"/>
    <w:rPr>
      <w:rFonts w:ascii="宋体" w:hAnsi="Courier New" w:eastAsia="宋体"/>
      <w:kern w:val="2"/>
      <w:sz w:val="24"/>
      <w:szCs w:val="24"/>
      <w:lang w:val="en-US" w:eastAsia="zh-CN" w:bidi="ar-SA"/>
    </w:rPr>
  </w:style>
  <w:style w:type="character" w:customStyle="1" w:styleId="90">
    <w:name w:val="icon-down"/>
    <w:basedOn w:val="37"/>
    <w:qFormat/>
    <w:uiPriority w:val="0"/>
  </w:style>
  <w:style w:type="character" w:customStyle="1" w:styleId="91">
    <w:name w:val="页眉 Char"/>
    <w:link w:val="24"/>
    <w:qFormat/>
    <w:uiPriority w:val="99"/>
    <w:rPr>
      <w:rFonts w:eastAsia="仿宋_GB2312"/>
      <w:kern w:val="2"/>
      <w:sz w:val="18"/>
    </w:rPr>
  </w:style>
  <w:style w:type="character" w:customStyle="1" w:styleId="92">
    <w:name w:val="apple-converted-space"/>
    <w:basedOn w:val="37"/>
    <w:qFormat/>
    <w:uiPriority w:val="0"/>
  </w:style>
  <w:style w:type="character" w:customStyle="1" w:styleId="93">
    <w:name w:val="文档结构图 Char"/>
    <w:link w:val="12"/>
    <w:semiHidden/>
    <w:qFormat/>
    <w:uiPriority w:val="99"/>
    <w:rPr>
      <w:rFonts w:ascii="宋体"/>
      <w:kern w:val="2"/>
      <w:sz w:val="18"/>
      <w:szCs w:val="18"/>
    </w:rPr>
  </w:style>
  <w:style w:type="paragraph" w:customStyle="1" w:styleId="94">
    <w:name w:val="列出段落4"/>
    <w:basedOn w:val="1"/>
    <w:qFormat/>
    <w:uiPriority w:val="34"/>
    <w:pPr>
      <w:ind w:firstLine="420" w:firstLineChars="200"/>
    </w:pPr>
    <w:rPr>
      <w:rFonts w:ascii="Calibri" w:hAnsi="Calibri"/>
      <w:szCs w:val="22"/>
    </w:rPr>
  </w:style>
  <w:style w:type="paragraph" w:customStyle="1" w:styleId="95">
    <w:name w:val="纯文本1"/>
    <w:basedOn w:val="1"/>
    <w:qFormat/>
    <w:uiPriority w:val="0"/>
    <w:rPr>
      <w:rFonts w:ascii="宋体" w:hAnsi="Courier New"/>
      <w:szCs w:val="20"/>
    </w:rPr>
  </w:style>
  <w:style w:type="paragraph" w:customStyle="1" w:styleId="96">
    <w:name w:val="列出段落1"/>
    <w:basedOn w:val="1"/>
    <w:qFormat/>
    <w:uiPriority w:val="34"/>
    <w:pPr>
      <w:ind w:firstLine="420" w:firstLineChars="200"/>
    </w:pPr>
  </w:style>
  <w:style w:type="paragraph" w:customStyle="1" w:styleId="97">
    <w:name w:val="表格用"/>
    <w:basedOn w:val="1"/>
    <w:qFormat/>
    <w:uiPriority w:val="0"/>
    <w:rPr>
      <w:kern w:val="0"/>
    </w:rPr>
  </w:style>
  <w:style w:type="paragraph" w:customStyle="1" w:styleId="98">
    <w:name w:val="_Style 2"/>
    <w:basedOn w:val="1"/>
    <w:qFormat/>
    <w:uiPriority w:val="0"/>
    <w:pPr>
      <w:ind w:firstLine="420" w:firstLineChars="200"/>
    </w:pPr>
    <w:rPr>
      <w:rFonts w:ascii="Calibri" w:hAnsi="Calibri"/>
      <w:szCs w:val="22"/>
    </w:rPr>
  </w:style>
  <w:style w:type="paragraph" w:customStyle="1" w:styleId="99">
    <w:name w:val="TOC 标题1"/>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0">
    <w:name w:val="列出段落2"/>
    <w:basedOn w:val="1"/>
    <w:qFormat/>
    <w:uiPriority w:val="99"/>
    <w:pPr>
      <w:ind w:firstLine="420" w:firstLineChars="200"/>
    </w:pPr>
  </w:style>
  <w:style w:type="paragraph" w:customStyle="1" w:styleId="101">
    <w:name w:val="正文1"/>
    <w:basedOn w:val="1"/>
    <w:qFormat/>
    <w:uiPriority w:val="0"/>
    <w:pPr>
      <w:tabs>
        <w:tab w:val="left" w:pos="360"/>
      </w:tabs>
      <w:spacing w:line="360" w:lineRule="auto"/>
      <w:ind w:left="357" w:hanging="357"/>
    </w:pPr>
    <w:rPr>
      <w:rFonts w:ascii="宋体" w:hAnsi="宋体"/>
      <w:color w:val="FF0000"/>
    </w:rPr>
  </w:style>
  <w:style w:type="paragraph" w:customStyle="1" w:styleId="102">
    <w:name w:val="默认段落字体 Para Char Char Char Char Char Char Char Char Char1 Char Char Char Char"/>
    <w:basedOn w:val="1"/>
    <w:qFormat/>
    <w:uiPriority w:val="0"/>
    <w:rPr>
      <w:rFonts w:ascii="Tahoma" w:hAnsi="Tahoma"/>
      <w:sz w:val="24"/>
      <w:szCs w:val="20"/>
    </w:rPr>
  </w:style>
  <w:style w:type="paragraph" w:customStyle="1" w:styleId="103">
    <w:name w:val="cm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4">
    <w:name w:val="Table"/>
    <w:basedOn w:val="105"/>
    <w:qFormat/>
    <w:uiPriority w:val="0"/>
    <w:rPr>
      <w:rFonts w:eastAsia="仿宋"/>
    </w:rPr>
  </w:style>
  <w:style w:type="paragraph" w:customStyle="1" w:styleId="105">
    <w:name w:val="Image"/>
    <w:basedOn w:val="106"/>
    <w:qFormat/>
    <w:uiPriority w:val="0"/>
    <w:pPr>
      <w:ind w:firstLine="0" w:firstLineChars="0"/>
      <w:jc w:val="center"/>
    </w:pPr>
  </w:style>
  <w:style w:type="paragraph" w:customStyle="1" w:styleId="106">
    <w:name w:val="列出段落3"/>
    <w:basedOn w:val="1"/>
    <w:qFormat/>
    <w:uiPriority w:val="34"/>
    <w:pPr>
      <w:ind w:firstLine="420" w:firstLineChars="200"/>
    </w:pPr>
  </w:style>
  <w:style w:type="paragraph" w:customStyle="1" w:styleId="107">
    <w:name w:val="p0"/>
    <w:basedOn w:val="1"/>
    <w:qFormat/>
    <w:uiPriority w:val="0"/>
    <w:pPr>
      <w:widowControl/>
    </w:pPr>
    <w:rPr>
      <w:kern w:val="0"/>
      <w:szCs w:val="21"/>
    </w:rPr>
  </w:style>
  <w:style w:type="paragraph" w:customStyle="1" w:styleId="108">
    <w:name w:val="样式1"/>
    <w:basedOn w:val="8"/>
    <w:qFormat/>
    <w:uiPriority w:val="0"/>
  </w:style>
  <w:style w:type="paragraph" w:customStyle="1" w:styleId="109">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10">
    <w:name w:val="纯文本11"/>
    <w:basedOn w:val="101"/>
    <w:qFormat/>
    <w:uiPriority w:val="0"/>
    <w:pPr>
      <w:adjustRightInd w:val="0"/>
      <w:textAlignment w:val="baseline"/>
    </w:pPr>
    <w:rPr>
      <w:rFonts w:hAnsi="Courier New" w:eastAsia="楷体_GB2312"/>
      <w:sz w:val="26"/>
      <w:szCs w:val="20"/>
    </w:rPr>
  </w:style>
  <w:style w:type="paragraph" w:customStyle="1" w:styleId="111">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12">
    <w:name w:val="Char1"/>
    <w:basedOn w:val="1"/>
    <w:qFormat/>
    <w:uiPriority w:val="0"/>
    <w:rPr>
      <w:rFonts w:ascii="Tahoma" w:hAnsi="Tahoma"/>
      <w:sz w:val="24"/>
      <w:szCs w:val="20"/>
    </w:rPr>
  </w:style>
  <w:style w:type="paragraph" w:customStyle="1" w:styleId="113">
    <w:name w:val="默认段落字体 Para Char Char Char Char Char Char Char"/>
    <w:basedOn w:val="24"/>
    <w:next w:val="99"/>
    <w:qFormat/>
    <w:uiPriority w:val="0"/>
    <w:pPr>
      <w:pBdr>
        <w:bottom w:val="none" w:color="auto" w:sz="0" w:space="0"/>
      </w:pBdr>
      <w:shd w:val="clear" w:color="auto" w:fill="000080"/>
      <w:tabs>
        <w:tab w:val="clear" w:pos="4153"/>
        <w:tab w:val="clear" w:pos="8306"/>
      </w:tabs>
      <w:adjustRightInd w:val="0"/>
      <w:snapToGrid/>
      <w:spacing w:line="436" w:lineRule="exact"/>
      <w:ind w:left="357"/>
      <w:jc w:val="left"/>
      <w:outlineLvl w:val="3"/>
    </w:pPr>
    <w:rPr>
      <w:rFonts w:eastAsia="宋体"/>
      <w:sz w:val="21"/>
    </w:rPr>
  </w:style>
  <w:style w:type="paragraph" w:customStyle="1" w:styleId="114">
    <w:name w:val="正文段"/>
    <w:basedOn w:val="1"/>
    <w:qFormat/>
    <w:uiPriority w:val="0"/>
    <w:pPr>
      <w:widowControl/>
      <w:snapToGrid w:val="0"/>
      <w:spacing w:afterLines="50"/>
      <w:ind w:firstLine="200" w:firstLineChars="200"/>
    </w:pPr>
    <w:rPr>
      <w:kern w:val="0"/>
      <w:sz w:val="24"/>
      <w:szCs w:val="20"/>
    </w:rPr>
  </w:style>
  <w:style w:type="paragraph" w:customStyle="1" w:styleId="115">
    <w:name w:val="Text"/>
    <w:basedOn w:val="1"/>
    <w:qFormat/>
    <w:uiPriority w:val="0"/>
    <w:pPr>
      <w:spacing w:line="360" w:lineRule="auto"/>
      <w:ind w:firstLine="200" w:firstLineChars="200"/>
    </w:pPr>
    <w:rPr>
      <w:sz w:val="24"/>
    </w:rPr>
  </w:style>
  <w:style w:type="paragraph" w:customStyle="1" w:styleId="11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17">
    <w:name w:val="Default"/>
    <w:qFormat/>
    <w:uiPriority w:val="0"/>
    <w:pPr>
      <w:widowControl w:val="0"/>
      <w:autoSpaceDE w:val="0"/>
      <w:autoSpaceDN w:val="0"/>
      <w:adjustRightInd w:val="0"/>
    </w:pPr>
    <w:rPr>
      <w:rFonts w:ascii="Ping Hei" w:hAnsi="Calibri" w:eastAsia="Ping Hei" w:cs="Ping Hei"/>
      <w:color w:val="000000"/>
      <w:sz w:val="24"/>
      <w:szCs w:val="24"/>
      <w:lang w:val="en-US" w:eastAsia="zh-CN" w:bidi="ar-SA"/>
    </w:rPr>
  </w:style>
  <w:style w:type="paragraph" w:customStyle="1" w:styleId="118">
    <w:name w:val="正文2"/>
    <w:basedOn w:val="1"/>
    <w:qFormat/>
    <w:uiPriority w:val="0"/>
    <w:pPr>
      <w:adjustRightInd w:val="0"/>
      <w:spacing w:line="318" w:lineRule="atLeast"/>
      <w:ind w:left="369" w:firstLine="369"/>
      <w:textAlignment w:val="baseline"/>
    </w:pPr>
    <w:rPr>
      <w:rFonts w:ascii="宋体"/>
      <w:szCs w:val="20"/>
    </w:rPr>
  </w:style>
  <w:style w:type="character" w:customStyle="1" w:styleId="119">
    <w:name w:val="font41"/>
    <w:basedOn w:val="37"/>
    <w:qFormat/>
    <w:uiPriority w:val="0"/>
    <w:rPr>
      <w:rFonts w:hint="eastAsia" w:ascii="宋体" w:hAnsi="宋体" w:eastAsia="宋体" w:cs="宋体"/>
      <w:color w:val="7030A0"/>
      <w:sz w:val="20"/>
      <w:szCs w:val="20"/>
      <w:u w:val="none"/>
    </w:rPr>
  </w:style>
  <w:style w:type="character" w:customStyle="1" w:styleId="120">
    <w:name w:val="font21"/>
    <w:basedOn w:val="37"/>
    <w:qFormat/>
    <w:uiPriority w:val="0"/>
    <w:rPr>
      <w:rFonts w:hint="eastAsia" w:ascii="宋体" w:hAnsi="宋体" w:eastAsia="宋体" w:cs="宋体"/>
      <w:color w:val="000000"/>
      <w:sz w:val="20"/>
      <w:szCs w:val="20"/>
      <w:u w:val="none"/>
    </w:rPr>
  </w:style>
  <w:style w:type="character" w:customStyle="1" w:styleId="121">
    <w:name w:val="font51"/>
    <w:basedOn w:val="37"/>
    <w:qFormat/>
    <w:uiPriority w:val="0"/>
    <w:rPr>
      <w:rFonts w:hint="eastAsia" w:ascii="宋体" w:hAnsi="宋体" w:eastAsia="宋体" w:cs="宋体"/>
      <w:color w:val="00B050"/>
      <w:sz w:val="20"/>
      <w:szCs w:val="20"/>
      <w:u w:val="none"/>
    </w:rPr>
  </w:style>
  <w:style w:type="character" w:customStyle="1" w:styleId="122">
    <w:name w:val="font91"/>
    <w:basedOn w:val="37"/>
    <w:qFormat/>
    <w:uiPriority w:val="0"/>
    <w:rPr>
      <w:rFonts w:hint="eastAsia" w:ascii="宋体" w:hAnsi="宋体" w:eastAsia="宋体" w:cs="宋体"/>
      <w:color w:val="000000"/>
      <w:sz w:val="20"/>
      <w:szCs w:val="20"/>
      <w:u w:val="none"/>
    </w:rPr>
  </w:style>
  <w:style w:type="character" w:customStyle="1" w:styleId="123">
    <w:name w:val="font12"/>
    <w:basedOn w:val="37"/>
    <w:qFormat/>
    <w:uiPriority w:val="0"/>
    <w:rPr>
      <w:rFonts w:hint="eastAsia" w:ascii="宋体" w:hAnsi="宋体" w:eastAsia="宋体" w:cs="宋体"/>
      <w:color w:val="000000"/>
      <w:sz w:val="20"/>
      <w:szCs w:val="20"/>
      <w:u w:val="none"/>
    </w:rPr>
  </w:style>
  <w:style w:type="character" w:customStyle="1" w:styleId="124">
    <w:name w:val="font01"/>
    <w:basedOn w:val="37"/>
    <w:qFormat/>
    <w:uiPriority w:val="0"/>
    <w:rPr>
      <w:rFonts w:hint="eastAsia" w:ascii="宋体" w:hAnsi="宋体" w:eastAsia="宋体" w:cs="宋体"/>
      <w:color w:val="000000"/>
      <w:sz w:val="20"/>
      <w:szCs w:val="20"/>
      <w:u w:val="none"/>
      <w:vertAlign w:val="superscript"/>
    </w:rPr>
  </w:style>
  <w:style w:type="character" w:customStyle="1" w:styleId="125">
    <w:name w:val="font31"/>
    <w:basedOn w:val="37"/>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72</Pages>
  <Words>44047</Words>
  <Characters>45955</Characters>
  <Lines>364</Lines>
  <Paragraphs>102</Paragraphs>
  <TotalTime>1</TotalTime>
  <ScaleCrop>false</ScaleCrop>
  <LinksUpToDate>false</LinksUpToDate>
  <CharactersWithSpaces>48495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2020-05-13T01:45:00Z</dcterms:created>
  <dc:creator>Administrator</dc:creator>
  <cp:lastModifiedBy>宁波中基国际招标有限公司</cp:lastModifiedBy>
  <cp:lastPrinted>2020-12-17T03:28:00Z</cp:lastPrinted>
  <dcterms:modified xsi:type="dcterms:W3CDTF">2022-11-18T06:55:12Z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818B73DBB3F744AC8BD2003D7F6950F8</vt:lpwstr>
  </property>
</Properties>
</file>