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color w:val="auto"/>
          <w:sz w:val="32"/>
          <w:szCs w:val="32"/>
          <w:highlight w:val="none"/>
        </w:rPr>
      </w:pPr>
    </w:p>
    <w:p>
      <w:pPr>
        <w:jc w:val="center"/>
        <w:rPr>
          <w:rFonts w:hint="eastAsia" w:ascii="宋体" w:hAnsi="宋体" w:eastAsia="宋体" w:cs="宋体"/>
          <w:b/>
          <w:bCs/>
          <w:color w:val="auto"/>
          <w:sz w:val="72"/>
          <w:szCs w:val="72"/>
          <w:highlight w:val="none"/>
        </w:rPr>
      </w:pPr>
      <w:r>
        <w:rPr>
          <w:rFonts w:hint="eastAsia" w:ascii="宋体" w:hAnsi="宋体" w:eastAsia="宋体" w:cs="宋体"/>
          <w:b/>
          <w:bCs/>
          <w:color w:val="auto"/>
          <w:sz w:val="72"/>
          <w:szCs w:val="72"/>
          <w:highlight w:val="none"/>
        </w:rPr>
        <w:t>政府采购</w:t>
      </w:r>
    </w:p>
    <w:p>
      <w:pPr>
        <w:jc w:val="center"/>
        <w:rPr>
          <w:rFonts w:hint="eastAsia" w:ascii="宋体" w:hAnsi="宋体" w:eastAsia="宋体" w:cs="宋体"/>
          <w:b/>
          <w:bCs/>
          <w:color w:val="auto"/>
          <w:sz w:val="72"/>
          <w:szCs w:val="72"/>
          <w:highlight w:val="none"/>
          <w:lang w:eastAsia="zh-CN"/>
        </w:rPr>
      </w:pPr>
      <w:r>
        <w:rPr>
          <w:rFonts w:hint="eastAsia" w:ascii="宋体" w:hAnsi="宋体" w:eastAsia="宋体" w:cs="宋体"/>
          <w:b/>
          <w:bCs/>
          <w:color w:val="auto"/>
          <w:sz w:val="72"/>
          <w:szCs w:val="72"/>
          <w:highlight w:val="none"/>
          <w:lang w:eastAsia="zh-CN"/>
        </w:rPr>
        <w:t>公开招标文件</w:t>
      </w:r>
    </w:p>
    <w:p>
      <w:pPr>
        <w:spacing w:before="120" w:beforeLines="50"/>
        <w:jc w:val="center"/>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t>（全一册）</w:t>
      </w:r>
    </w:p>
    <w:p>
      <w:pPr>
        <w:jc w:val="center"/>
        <w:rPr>
          <w:rFonts w:hint="eastAsia" w:ascii="宋体" w:hAnsi="宋体" w:eastAsia="宋体" w:cs="宋体"/>
          <w:b/>
          <w:bCs/>
          <w:color w:val="auto"/>
          <w:sz w:val="100"/>
          <w:highlight w:val="none"/>
        </w:rPr>
      </w:pPr>
    </w:p>
    <w:p>
      <w:pPr>
        <w:jc w:val="center"/>
        <w:rPr>
          <w:rFonts w:hint="eastAsia" w:ascii="宋体" w:hAnsi="宋体" w:eastAsia="宋体" w:cs="宋体"/>
          <w:b/>
          <w:bCs/>
          <w:color w:val="auto"/>
          <w:sz w:val="100"/>
          <w:highlight w:val="none"/>
        </w:rPr>
      </w:pPr>
    </w:p>
    <w:tbl>
      <w:tblPr>
        <w:tblStyle w:val="23"/>
        <w:tblpPr w:leftFromText="180" w:rightFromText="180" w:vertAnchor="text" w:horzAnchor="page" w:tblpX="2173" w:tblpY="89"/>
        <w:tblOverlap w:val="never"/>
        <w:tblW w:w="8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0"/>
        <w:gridCol w:w="6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0"/>
            <w:vAlign w:val="center"/>
          </w:tcPr>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采购项目：</w:t>
            </w:r>
          </w:p>
        </w:tc>
        <w:tc>
          <w:tcPr>
            <w:tcW w:w="6352" w:type="dxa"/>
            <w:noWrap w:val="0"/>
            <w:vAlign w:val="center"/>
          </w:tcPr>
          <w:p>
            <w:pPr>
              <w:jc w:val="center"/>
              <w:rPr>
                <w:rFonts w:hint="eastAsia" w:ascii="宋体" w:hAnsi="宋体" w:eastAsia="宋体" w:cs="宋体"/>
                <w:b/>
                <w:bCs/>
                <w:color w:val="auto"/>
                <w:sz w:val="30"/>
                <w:szCs w:val="30"/>
                <w:highlight w:val="none"/>
                <w:lang w:eastAsia="zh-CN"/>
              </w:rPr>
            </w:pPr>
            <w:r>
              <w:rPr>
                <w:rFonts w:hint="eastAsia" w:ascii="宋体" w:hAnsi="宋体" w:cs="宋体"/>
                <w:b/>
                <w:bCs/>
                <w:color w:val="auto"/>
                <w:sz w:val="30"/>
                <w:szCs w:val="30"/>
                <w:highlight w:val="none"/>
                <w:lang w:eastAsia="zh-CN"/>
              </w:rPr>
              <w:t>宁海县智慧城管（二期）项目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0"/>
            <w:vAlign w:val="center"/>
          </w:tcPr>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项目编号：</w:t>
            </w:r>
          </w:p>
        </w:tc>
        <w:tc>
          <w:tcPr>
            <w:tcW w:w="6352" w:type="dxa"/>
            <w:noWrap w:val="0"/>
            <w:vAlign w:val="center"/>
          </w:tcPr>
          <w:p>
            <w:pPr>
              <w:jc w:val="center"/>
              <w:rPr>
                <w:rFonts w:hint="eastAsia" w:ascii="宋体" w:hAnsi="宋体" w:eastAsia="宋体" w:cs="宋体"/>
                <w:b/>
                <w:bCs/>
                <w:color w:val="auto"/>
                <w:sz w:val="30"/>
                <w:szCs w:val="30"/>
                <w:highlight w:val="none"/>
                <w:lang w:val="en-US" w:eastAsia="zh-CN"/>
              </w:rPr>
            </w:pPr>
            <w:r>
              <w:rPr>
                <w:rFonts w:hint="eastAsia" w:ascii="宋体" w:hAnsi="宋体" w:cs="宋体"/>
                <w:b/>
                <w:bCs/>
                <w:color w:val="auto"/>
                <w:sz w:val="30"/>
                <w:szCs w:val="30"/>
                <w:highlight w:val="none"/>
                <w:lang w:val="en-US" w:eastAsia="zh-CN"/>
              </w:rPr>
              <w:t>CBZJ</w:t>
            </w:r>
            <w:r>
              <w:rPr>
                <w:rFonts w:hint="eastAsia" w:ascii="宋体" w:hAnsi="宋体" w:cs="宋体"/>
                <w:b/>
                <w:bCs/>
                <w:color w:val="auto"/>
                <w:sz w:val="30"/>
                <w:szCs w:val="30"/>
                <w:highlight w:val="none"/>
                <w:lang w:eastAsia="zh-CN"/>
              </w:rPr>
              <w:t>-20216</w:t>
            </w:r>
            <w:r>
              <w:rPr>
                <w:rFonts w:hint="eastAsia" w:ascii="宋体" w:hAnsi="宋体" w:cs="宋体"/>
                <w:b/>
                <w:bCs/>
                <w:color w:val="auto"/>
                <w:sz w:val="30"/>
                <w:szCs w:val="30"/>
                <w:highlight w:val="none"/>
                <w:lang w:val="en-US" w:eastAsia="zh-CN"/>
              </w:rPr>
              <w:t>128</w:t>
            </w:r>
            <w:r>
              <w:rPr>
                <w:rFonts w:hint="eastAsia" w:ascii="宋体" w:hAnsi="宋体" w:cs="宋体"/>
                <w:b/>
                <w:bCs/>
                <w:color w:val="auto"/>
                <w:sz w:val="30"/>
                <w:szCs w:val="30"/>
                <w:highlight w:val="none"/>
                <w:lang w:eastAsia="zh-CN"/>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960" w:type="dxa"/>
            <w:noWrap w:val="0"/>
            <w:vAlign w:val="center"/>
          </w:tcPr>
          <w:p>
            <w:pPr>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采购人：</w:t>
            </w:r>
          </w:p>
        </w:tc>
        <w:tc>
          <w:tcPr>
            <w:tcW w:w="6352" w:type="dxa"/>
            <w:noWrap w:val="0"/>
            <w:vAlign w:val="center"/>
          </w:tcPr>
          <w:p>
            <w:pPr>
              <w:jc w:val="center"/>
              <w:rPr>
                <w:rFonts w:hint="eastAsia" w:ascii="宋体" w:hAnsi="宋体" w:eastAsia="宋体" w:cs="宋体"/>
                <w:b/>
                <w:bCs/>
                <w:color w:val="auto"/>
                <w:sz w:val="30"/>
                <w:szCs w:val="30"/>
                <w:highlight w:val="none"/>
                <w:lang w:eastAsia="zh-CN"/>
              </w:rPr>
            </w:pPr>
            <w:r>
              <w:rPr>
                <w:rFonts w:hint="eastAsia" w:ascii="宋体" w:hAnsi="宋体" w:cs="宋体"/>
                <w:b/>
                <w:bCs/>
                <w:color w:val="auto"/>
                <w:sz w:val="30"/>
                <w:szCs w:val="30"/>
                <w:highlight w:val="none"/>
                <w:lang w:eastAsia="zh-CN"/>
              </w:rPr>
              <w:t>宁海县综合行政执法局</w:t>
            </w:r>
          </w:p>
        </w:tc>
      </w:tr>
    </w:tbl>
    <w:p>
      <w:pPr>
        <w:jc w:val="center"/>
        <w:rPr>
          <w:rFonts w:hint="eastAsia" w:ascii="宋体" w:hAnsi="宋体" w:eastAsia="宋体" w:cs="宋体"/>
          <w:b/>
          <w:bCs/>
          <w:color w:val="auto"/>
          <w:sz w:val="100"/>
          <w:highlight w:val="none"/>
        </w:rPr>
      </w:pPr>
    </w:p>
    <w:p>
      <w:pPr>
        <w:jc w:val="center"/>
        <w:rPr>
          <w:rFonts w:hint="eastAsia" w:ascii="宋体" w:hAnsi="宋体" w:eastAsia="宋体" w:cs="宋体"/>
          <w:b/>
          <w:bCs/>
          <w:color w:val="auto"/>
          <w:sz w:val="100"/>
          <w:highlight w:val="none"/>
        </w:rPr>
      </w:pPr>
    </w:p>
    <w:p>
      <w:pPr>
        <w:jc w:val="center"/>
        <w:rPr>
          <w:rFonts w:hint="eastAsia" w:ascii="宋体" w:hAnsi="宋体" w:eastAsia="宋体" w:cs="宋体"/>
          <w:b/>
          <w:bCs/>
          <w:color w:val="auto"/>
          <w:sz w:val="44"/>
          <w:szCs w:val="44"/>
          <w:highlight w:val="none"/>
          <w:lang w:eastAsia="zh-CN"/>
        </w:rPr>
      </w:pPr>
      <w:r>
        <w:rPr>
          <w:rFonts w:hint="eastAsia" w:ascii="宋体" w:hAnsi="宋体" w:cs="宋体"/>
          <w:b/>
          <w:bCs/>
          <w:color w:val="auto"/>
          <w:sz w:val="44"/>
          <w:szCs w:val="44"/>
          <w:highlight w:val="none"/>
          <w:lang w:eastAsia="zh-CN"/>
        </w:rPr>
        <w:t>浙江中基正采管理咨询有限公司</w:t>
      </w: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二〇二</w:t>
      </w:r>
      <w:r>
        <w:rPr>
          <w:rFonts w:hint="eastAsia" w:ascii="宋体" w:hAnsi="宋体" w:eastAsia="宋体" w:cs="宋体"/>
          <w:b/>
          <w:bCs/>
          <w:color w:val="auto"/>
          <w:sz w:val="44"/>
          <w:szCs w:val="44"/>
          <w:highlight w:val="none"/>
          <w:lang w:val="en-US" w:eastAsia="zh-CN"/>
        </w:rPr>
        <w:t>一</w:t>
      </w:r>
      <w:r>
        <w:rPr>
          <w:rFonts w:hint="eastAsia" w:ascii="宋体" w:hAnsi="宋体" w:eastAsia="宋体" w:cs="宋体"/>
          <w:b/>
          <w:bCs/>
          <w:color w:val="auto"/>
          <w:sz w:val="44"/>
          <w:szCs w:val="44"/>
          <w:highlight w:val="none"/>
        </w:rPr>
        <w:t>年</w:t>
      </w:r>
      <w:r>
        <w:rPr>
          <w:rFonts w:hint="eastAsia" w:ascii="宋体" w:hAnsi="宋体" w:cs="宋体"/>
          <w:b/>
          <w:bCs/>
          <w:color w:val="auto"/>
          <w:sz w:val="44"/>
          <w:szCs w:val="44"/>
          <w:highlight w:val="none"/>
          <w:lang w:val="en-US" w:eastAsia="zh-CN"/>
        </w:rPr>
        <w:t>九</w:t>
      </w:r>
      <w:r>
        <w:rPr>
          <w:rFonts w:hint="eastAsia" w:ascii="宋体" w:hAnsi="宋体" w:eastAsia="宋体" w:cs="宋体"/>
          <w:b/>
          <w:bCs/>
          <w:color w:val="auto"/>
          <w:sz w:val="44"/>
          <w:szCs w:val="44"/>
          <w:highlight w:val="none"/>
        </w:rPr>
        <w:t>月</w:t>
      </w:r>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br w:type="page"/>
      </w:r>
    </w:p>
    <w:p>
      <w:pPr>
        <w:pStyle w:val="22"/>
        <w:ind w:firstLine="344"/>
        <w:rPr>
          <w:rFonts w:hint="eastAsia" w:ascii="宋体" w:hAnsi="宋体" w:eastAsia="宋体" w:cs="宋体"/>
          <w:color w:val="auto"/>
          <w:highlight w:val="none"/>
        </w:rPr>
      </w:pPr>
    </w:p>
    <w:p>
      <w:pPr>
        <w:pStyle w:val="22"/>
        <w:ind w:firstLine="344"/>
        <w:rPr>
          <w:rFonts w:hint="eastAsia" w:ascii="宋体" w:hAnsi="宋体" w:eastAsia="宋体" w:cs="宋体"/>
          <w:color w:val="auto"/>
          <w:highlight w:val="none"/>
        </w:rPr>
        <w:sectPr>
          <w:headerReference r:id="rId3" w:type="default"/>
          <w:pgSz w:w="11906" w:h="16838"/>
          <w:pgMar w:top="1474" w:right="1797" w:bottom="1247" w:left="1797" w:header="851" w:footer="851" w:gutter="0"/>
          <w:pgBorders>
            <w:top w:val="none" w:sz="0" w:space="0"/>
            <w:left w:val="none" w:sz="0" w:space="0"/>
            <w:bottom w:val="none" w:sz="0" w:space="0"/>
            <w:right w:val="none" w:sz="0" w:space="0"/>
          </w:pgBorders>
          <w:pgNumType w:start="2"/>
          <w:cols w:space="720" w:num="1"/>
          <w:titlePg/>
          <w:docGrid w:linePitch="312" w:charSpace="0"/>
        </w:sectPr>
      </w:pPr>
    </w:p>
    <w:p>
      <w:pPr>
        <w:snapToGrid w:val="0"/>
        <w:spacing w:line="360" w:lineRule="auto"/>
        <w:jc w:val="center"/>
        <w:rPr>
          <w:rFonts w:hint="eastAsia" w:ascii="宋体" w:hAnsi="宋体" w:eastAsia="宋体" w:cs="宋体"/>
          <w:b/>
          <w:color w:val="auto"/>
          <w:sz w:val="52"/>
          <w:szCs w:val="52"/>
          <w:highlight w:val="none"/>
        </w:rPr>
      </w:pPr>
    </w:p>
    <w:p>
      <w:pPr>
        <w:snapToGrid w:val="0"/>
        <w:spacing w:line="480" w:lineRule="auto"/>
        <w:jc w:val="center"/>
        <w:rPr>
          <w:rFonts w:hint="eastAsia" w:ascii="宋体" w:hAnsi="宋体" w:eastAsia="宋体" w:cs="宋体"/>
          <w:color w:val="auto"/>
          <w:sz w:val="30"/>
          <w:szCs w:val="20"/>
          <w:highlight w:val="none"/>
        </w:rPr>
      </w:pPr>
      <w:r>
        <w:rPr>
          <w:rFonts w:hint="eastAsia" w:ascii="宋体" w:hAnsi="宋体" w:eastAsia="宋体" w:cs="宋体"/>
          <w:b/>
          <w:color w:val="auto"/>
          <w:sz w:val="52"/>
          <w:szCs w:val="52"/>
          <w:highlight w:val="none"/>
        </w:rPr>
        <w:t>目    录</w:t>
      </w:r>
    </w:p>
    <w:p>
      <w:pPr>
        <w:pStyle w:val="19"/>
        <w:tabs>
          <w:tab w:val="right" w:leader="dot" w:pos="8302"/>
        </w:tabs>
        <w:spacing w:line="480" w:lineRule="auto"/>
        <w:rPr>
          <w:rFonts w:hint="eastAsia" w:ascii="宋体" w:hAnsi="宋体" w:eastAsia="宋体" w:cs="宋体"/>
          <w:color w:val="auto"/>
          <w:sz w:val="36"/>
          <w:szCs w:val="36"/>
          <w:highlight w:val="none"/>
        </w:rPr>
      </w:pPr>
    </w:p>
    <w:p>
      <w:pPr>
        <w:pStyle w:val="19"/>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b/>
          <w:bCs/>
          <w:color w:val="auto"/>
          <w:sz w:val="36"/>
          <w:szCs w:val="36"/>
          <w:highlight w:val="none"/>
        </w:rPr>
      </w:pPr>
      <w:r>
        <w:rPr>
          <w:rFonts w:hint="eastAsia" w:ascii="宋体" w:hAnsi="宋体" w:eastAsia="宋体" w:cs="宋体"/>
          <w:color w:val="auto"/>
          <w:sz w:val="36"/>
          <w:szCs w:val="36"/>
          <w:highlight w:val="none"/>
        </w:rPr>
        <w:fldChar w:fldCharType="begin"/>
      </w:r>
      <w:r>
        <w:rPr>
          <w:rFonts w:hint="eastAsia" w:ascii="宋体" w:hAnsi="宋体" w:eastAsia="宋体" w:cs="宋体"/>
          <w:color w:val="auto"/>
          <w:sz w:val="36"/>
          <w:szCs w:val="36"/>
          <w:highlight w:val="none"/>
        </w:rPr>
        <w:instrText xml:space="preserve">TOC \o "1-1" \h \u </w:instrText>
      </w:r>
      <w:r>
        <w:rPr>
          <w:rFonts w:hint="eastAsia" w:ascii="宋体" w:hAnsi="宋体" w:eastAsia="宋体" w:cs="宋体"/>
          <w:color w:val="auto"/>
          <w:sz w:val="36"/>
          <w:szCs w:val="36"/>
          <w:highlight w:val="none"/>
        </w:rPr>
        <w:fldChar w:fldCharType="separate"/>
      </w: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HYPERLINK \l _Toc28485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 xml:space="preserve">第一章  </w:t>
      </w:r>
      <w:r>
        <w:rPr>
          <w:rFonts w:hint="eastAsia" w:ascii="宋体" w:hAnsi="宋体" w:eastAsia="宋体" w:cs="宋体"/>
          <w:b/>
          <w:bCs/>
          <w:color w:val="auto"/>
          <w:sz w:val="36"/>
          <w:szCs w:val="36"/>
          <w:highlight w:val="none"/>
          <w:lang w:eastAsia="zh-CN"/>
        </w:rPr>
        <w:t>公开招标公告</w:t>
      </w:r>
      <w:r>
        <w:rPr>
          <w:rFonts w:hint="eastAsia" w:ascii="宋体" w:hAnsi="宋体" w:eastAsia="宋体" w:cs="宋体"/>
          <w:b/>
          <w:bCs/>
          <w:color w:val="auto"/>
          <w:sz w:val="36"/>
          <w:szCs w:val="36"/>
          <w:highlight w:val="none"/>
        </w:rPr>
        <w:tab/>
      </w: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PAGEREF _Toc28485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1</w:t>
      </w:r>
      <w:r>
        <w:rPr>
          <w:rFonts w:hint="eastAsia" w:ascii="宋体" w:hAnsi="宋体" w:eastAsia="宋体" w:cs="宋体"/>
          <w:b/>
          <w:bCs/>
          <w:color w:val="auto"/>
          <w:sz w:val="36"/>
          <w:szCs w:val="36"/>
          <w:highlight w:val="none"/>
        </w:rPr>
        <w:fldChar w:fldCharType="end"/>
      </w:r>
      <w:r>
        <w:rPr>
          <w:rFonts w:hint="eastAsia" w:ascii="宋体" w:hAnsi="宋体" w:eastAsia="宋体" w:cs="宋体"/>
          <w:b/>
          <w:bCs/>
          <w:color w:val="auto"/>
          <w:sz w:val="36"/>
          <w:szCs w:val="36"/>
          <w:highlight w:val="none"/>
        </w:rPr>
        <w:fldChar w:fldCharType="end"/>
      </w:r>
    </w:p>
    <w:p>
      <w:pPr>
        <w:pStyle w:val="19"/>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HYPERLINK \l _Toc26922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第二章  采购需求</w:t>
      </w:r>
      <w:r>
        <w:rPr>
          <w:rFonts w:hint="eastAsia" w:ascii="宋体" w:hAnsi="宋体" w:eastAsia="宋体" w:cs="宋体"/>
          <w:b/>
          <w:bCs/>
          <w:color w:val="auto"/>
          <w:sz w:val="36"/>
          <w:szCs w:val="36"/>
          <w:highlight w:val="none"/>
        </w:rPr>
        <w:tab/>
      </w: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PAGEREF _Toc26922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6</w:t>
      </w:r>
      <w:r>
        <w:rPr>
          <w:rFonts w:hint="eastAsia" w:ascii="宋体" w:hAnsi="宋体" w:eastAsia="宋体" w:cs="宋体"/>
          <w:b/>
          <w:bCs/>
          <w:color w:val="auto"/>
          <w:sz w:val="36"/>
          <w:szCs w:val="36"/>
          <w:highlight w:val="none"/>
        </w:rPr>
        <w:fldChar w:fldCharType="end"/>
      </w:r>
      <w:r>
        <w:rPr>
          <w:rFonts w:hint="eastAsia" w:ascii="宋体" w:hAnsi="宋体" w:eastAsia="宋体" w:cs="宋体"/>
          <w:b/>
          <w:bCs/>
          <w:color w:val="auto"/>
          <w:sz w:val="36"/>
          <w:szCs w:val="36"/>
          <w:highlight w:val="none"/>
        </w:rPr>
        <w:fldChar w:fldCharType="end"/>
      </w:r>
    </w:p>
    <w:p>
      <w:pPr>
        <w:pStyle w:val="19"/>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HYPERLINK \l _Toc8404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 xml:space="preserve">第三章  </w:t>
      </w:r>
      <w:r>
        <w:rPr>
          <w:rFonts w:hint="eastAsia" w:ascii="宋体" w:hAnsi="宋体" w:eastAsia="宋体" w:cs="宋体"/>
          <w:b/>
          <w:bCs/>
          <w:color w:val="auto"/>
          <w:sz w:val="36"/>
          <w:szCs w:val="36"/>
          <w:highlight w:val="none"/>
          <w:lang w:eastAsia="zh-CN"/>
        </w:rPr>
        <w:t>供应商</w:t>
      </w:r>
      <w:r>
        <w:rPr>
          <w:rFonts w:hint="eastAsia" w:ascii="宋体" w:hAnsi="宋体" w:eastAsia="宋体" w:cs="宋体"/>
          <w:b/>
          <w:bCs/>
          <w:color w:val="auto"/>
          <w:sz w:val="36"/>
          <w:szCs w:val="36"/>
          <w:highlight w:val="none"/>
        </w:rPr>
        <w:t>须知</w:t>
      </w:r>
      <w:r>
        <w:rPr>
          <w:rFonts w:hint="eastAsia" w:ascii="宋体" w:hAnsi="宋体" w:eastAsia="宋体" w:cs="宋体"/>
          <w:b/>
          <w:bCs/>
          <w:color w:val="auto"/>
          <w:sz w:val="36"/>
          <w:szCs w:val="36"/>
          <w:highlight w:val="none"/>
        </w:rPr>
        <w:tab/>
      </w: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PAGEREF _Toc8404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35</w:t>
      </w:r>
      <w:r>
        <w:rPr>
          <w:rFonts w:hint="eastAsia" w:ascii="宋体" w:hAnsi="宋体" w:eastAsia="宋体" w:cs="宋体"/>
          <w:b/>
          <w:bCs/>
          <w:color w:val="auto"/>
          <w:sz w:val="36"/>
          <w:szCs w:val="36"/>
          <w:highlight w:val="none"/>
        </w:rPr>
        <w:fldChar w:fldCharType="end"/>
      </w:r>
      <w:r>
        <w:rPr>
          <w:rFonts w:hint="eastAsia" w:ascii="宋体" w:hAnsi="宋体" w:eastAsia="宋体" w:cs="宋体"/>
          <w:b/>
          <w:bCs/>
          <w:color w:val="auto"/>
          <w:sz w:val="36"/>
          <w:szCs w:val="36"/>
          <w:highlight w:val="none"/>
        </w:rPr>
        <w:fldChar w:fldCharType="end"/>
      </w:r>
    </w:p>
    <w:p>
      <w:pPr>
        <w:pStyle w:val="19"/>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HYPERLINK \l _Toc11063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第四章  评标办法及评分标准</w:t>
      </w:r>
      <w:r>
        <w:rPr>
          <w:rFonts w:hint="eastAsia" w:ascii="宋体" w:hAnsi="宋体" w:eastAsia="宋体" w:cs="宋体"/>
          <w:b/>
          <w:bCs/>
          <w:color w:val="auto"/>
          <w:sz w:val="36"/>
          <w:szCs w:val="36"/>
          <w:highlight w:val="none"/>
        </w:rPr>
        <w:tab/>
      </w: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PAGEREF _Toc11063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44</w:t>
      </w:r>
      <w:r>
        <w:rPr>
          <w:rFonts w:hint="eastAsia" w:ascii="宋体" w:hAnsi="宋体" w:eastAsia="宋体" w:cs="宋体"/>
          <w:b/>
          <w:bCs/>
          <w:color w:val="auto"/>
          <w:sz w:val="36"/>
          <w:szCs w:val="36"/>
          <w:highlight w:val="none"/>
        </w:rPr>
        <w:fldChar w:fldCharType="end"/>
      </w:r>
      <w:r>
        <w:rPr>
          <w:rFonts w:hint="eastAsia" w:ascii="宋体" w:hAnsi="宋体" w:eastAsia="宋体" w:cs="宋体"/>
          <w:b/>
          <w:bCs/>
          <w:color w:val="auto"/>
          <w:sz w:val="36"/>
          <w:szCs w:val="36"/>
          <w:highlight w:val="none"/>
        </w:rPr>
        <w:fldChar w:fldCharType="end"/>
      </w:r>
    </w:p>
    <w:p>
      <w:pPr>
        <w:pStyle w:val="19"/>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b/>
          <w:bCs/>
          <w:color w:val="auto"/>
          <w:sz w:val="36"/>
          <w:szCs w:val="36"/>
          <w:highlight w:val="none"/>
        </w:rPr>
      </w:pP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HYPERLINK \l _Toc21397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第五章  政府采购合同主要条款</w:t>
      </w:r>
      <w:r>
        <w:rPr>
          <w:rFonts w:hint="eastAsia" w:ascii="宋体" w:hAnsi="宋体" w:eastAsia="宋体" w:cs="宋体"/>
          <w:b/>
          <w:bCs/>
          <w:color w:val="auto"/>
          <w:sz w:val="36"/>
          <w:szCs w:val="36"/>
          <w:highlight w:val="none"/>
        </w:rPr>
        <w:tab/>
      </w: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PAGEREF _Toc21397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53</w:t>
      </w:r>
      <w:r>
        <w:rPr>
          <w:rFonts w:hint="eastAsia" w:ascii="宋体" w:hAnsi="宋体" w:eastAsia="宋体" w:cs="宋体"/>
          <w:b/>
          <w:bCs/>
          <w:color w:val="auto"/>
          <w:sz w:val="36"/>
          <w:szCs w:val="36"/>
          <w:highlight w:val="none"/>
        </w:rPr>
        <w:fldChar w:fldCharType="end"/>
      </w:r>
      <w:r>
        <w:rPr>
          <w:rFonts w:hint="eastAsia" w:ascii="宋体" w:hAnsi="宋体" w:eastAsia="宋体" w:cs="宋体"/>
          <w:b/>
          <w:bCs/>
          <w:color w:val="auto"/>
          <w:sz w:val="36"/>
          <w:szCs w:val="36"/>
          <w:highlight w:val="none"/>
        </w:rPr>
        <w:fldChar w:fldCharType="end"/>
      </w:r>
    </w:p>
    <w:p>
      <w:pPr>
        <w:pStyle w:val="19"/>
        <w:keepNext w:val="0"/>
        <w:keepLines w:val="0"/>
        <w:pageBreakBefore w:val="0"/>
        <w:widowControl w:val="0"/>
        <w:tabs>
          <w:tab w:val="right" w:leader="dot" w:pos="8312"/>
        </w:tabs>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color w:val="auto"/>
          <w:sz w:val="36"/>
          <w:szCs w:val="36"/>
          <w:highlight w:val="none"/>
        </w:rPr>
      </w:pP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HYPERLINK \l _Toc12504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第六章</w:t>
      </w:r>
      <w:r>
        <w:rPr>
          <w:rFonts w:hint="eastAsia" w:ascii="宋体" w:hAnsi="宋体" w:eastAsia="宋体" w:cs="宋体"/>
          <w:b/>
          <w:bCs/>
          <w:color w:val="auto"/>
          <w:sz w:val="36"/>
          <w:szCs w:val="36"/>
          <w:highlight w:val="none"/>
          <w:lang w:val="en-US" w:eastAsia="zh-CN"/>
        </w:rPr>
        <w:t xml:space="preserve">  </w:t>
      </w:r>
      <w:r>
        <w:rPr>
          <w:rFonts w:hint="eastAsia" w:ascii="宋体" w:hAnsi="宋体" w:eastAsia="宋体" w:cs="宋体"/>
          <w:b/>
          <w:bCs/>
          <w:color w:val="auto"/>
          <w:sz w:val="36"/>
          <w:szCs w:val="36"/>
          <w:highlight w:val="none"/>
        </w:rPr>
        <w:t>投标文件格式</w:t>
      </w:r>
      <w:r>
        <w:rPr>
          <w:rFonts w:hint="eastAsia" w:ascii="宋体" w:hAnsi="宋体" w:eastAsia="宋体" w:cs="宋体"/>
          <w:b/>
          <w:bCs/>
          <w:color w:val="auto"/>
          <w:sz w:val="36"/>
          <w:szCs w:val="36"/>
          <w:highlight w:val="none"/>
        </w:rPr>
        <w:tab/>
      </w:r>
      <w:r>
        <w:rPr>
          <w:rFonts w:hint="eastAsia" w:ascii="宋体" w:hAnsi="宋体" w:eastAsia="宋体" w:cs="宋体"/>
          <w:b/>
          <w:bCs/>
          <w:color w:val="auto"/>
          <w:sz w:val="36"/>
          <w:szCs w:val="36"/>
          <w:highlight w:val="none"/>
        </w:rPr>
        <w:fldChar w:fldCharType="begin"/>
      </w:r>
      <w:r>
        <w:rPr>
          <w:rFonts w:hint="eastAsia" w:ascii="宋体" w:hAnsi="宋体" w:eastAsia="宋体" w:cs="宋体"/>
          <w:b/>
          <w:bCs/>
          <w:color w:val="auto"/>
          <w:sz w:val="36"/>
          <w:szCs w:val="36"/>
          <w:highlight w:val="none"/>
        </w:rPr>
        <w:instrText xml:space="preserve"> PAGEREF _Toc12504 </w:instrText>
      </w:r>
      <w:r>
        <w:rPr>
          <w:rFonts w:hint="eastAsia" w:ascii="宋体" w:hAnsi="宋体" w:eastAsia="宋体" w:cs="宋体"/>
          <w:b/>
          <w:bCs/>
          <w:color w:val="auto"/>
          <w:sz w:val="36"/>
          <w:szCs w:val="36"/>
          <w:highlight w:val="none"/>
        </w:rPr>
        <w:fldChar w:fldCharType="separate"/>
      </w:r>
      <w:r>
        <w:rPr>
          <w:rFonts w:hint="eastAsia" w:ascii="宋体" w:hAnsi="宋体" w:eastAsia="宋体" w:cs="宋体"/>
          <w:b/>
          <w:bCs/>
          <w:color w:val="auto"/>
          <w:sz w:val="36"/>
          <w:szCs w:val="36"/>
          <w:highlight w:val="none"/>
        </w:rPr>
        <w:t>58</w:t>
      </w:r>
      <w:r>
        <w:rPr>
          <w:rFonts w:hint="eastAsia" w:ascii="宋体" w:hAnsi="宋体" w:eastAsia="宋体" w:cs="宋体"/>
          <w:b/>
          <w:bCs/>
          <w:color w:val="auto"/>
          <w:sz w:val="36"/>
          <w:szCs w:val="36"/>
          <w:highlight w:val="none"/>
        </w:rPr>
        <w:fldChar w:fldCharType="end"/>
      </w:r>
      <w:r>
        <w:rPr>
          <w:rFonts w:hint="eastAsia" w:ascii="宋体" w:hAnsi="宋体" w:eastAsia="宋体" w:cs="宋体"/>
          <w:b/>
          <w:bCs/>
          <w:color w:val="auto"/>
          <w:sz w:val="36"/>
          <w:szCs w:val="36"/>
          <w:highlight w:val="none"/>
        </w:rPr>
        <w:fldChar w:fldCharType="end"/>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fldChar w:fldCharType="end"/>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textAlignment w:val="auto"/>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br w:type="page"/>
      </w:r>
    </w:p>
    <w:p>
      <w:pPr>
        <w:pStyle w:val="14"/>
        <w:snapToGrid w:val="0"/>
        <w:spacing w:before="0" w:beforeLines="0" w:after="0" w:afterLines="0" w:line="360" w:lineRule="auto"/>
        <w:rPr>
          <w:rFonts w:hint="eastAsia" w:ascii="宋体" w:hAnsi="宋体" w:eastAsia="宋体" w:cs="宋体"/>
          <w:b/>
          <w:color w:val="auto"/>
          <w:sz w:val="30"/>
          <w:szCs w:val="30"/>
          <w:highlight w:val="none"/>
        </w:rPr>
        <w:sectPr>
          <w:pgSz w:w="11906" w:h="16838"/>
          <w:pgMar w:top="1474" w:right="1797" w:bottom="1247" w:left="1797" w:header="851" w:footer="851" w:gutter="0"/>
          <w:pgBorders>
            <w:top w:val="none" w:sz="0" w:space="0"/>
            <w:left w:val="none" w:sz="0" w:space="0"/>
            <w:bottom w:val="none" w:sz="0" w:space="0"/>
            <w:right w:val="none" w:sz="0" w:space="0"/>
          </w:pgBorders>
          <w:pgNumType w:start="2"/>
          <w:cols w:space="720" w:num="1"/>
          <w:titlePg/>
          <w:docGrid w:linePitch="312" w:charSpace="0"/>
        </w:sectPr>
      </w:pPr>
    </w:p>
    <w:p>
      <w:pPr>
        <w:pStyle w:val="14"/>
        <w:snapToGrid w:val="0"/>
        <w:spacing w:before="0" w:beforeLines="0" w:after="0" w:afterLines="0" w:line="360" w:lineRule="auto"/>
        <w:jc w:val="center"/>
        <w:outlineLvl w:val="0"/>
        <w:rPr>
          <w:rFonts w:hint="eastAsia" w:ascii="宋体" w:hAnsi="宋体" w:eastAsia="宋体" w:cs="宋体"/>
          <w:b/>
          <w:color w:val="auto"/>
          <w:sz w:val="32"/>
          <w:szCs w:val="32"/>
          <w:highlight w:val="none"/>
        </w:rPr>
        <w:sectPr>
          <w:headerReference r:id="rId4" w:type="default"/>
          <w:footerReference r:id="rId5" w:type="default"/>
          <w:pgSz w:w="11906" w:h="16838"/>
          <w:pgMar w:top="1474" w:right="1797" w:bottom="1247" w:left="1797" w:header="851" w:footer="851" w:gutter="0"/>
          <w:pgBorders>
            <w:top w:val="none" w:sz="0" w:space="0"/>
            <w:left w:val="none" w:sz="0" w:space="0"/>
            <w:bottom w:val="none" w:sz="0" w:space="0"/>
            <w:right w:val="none" w:sz="0" w:space="0"/>
          </w:pgBorders>
          <w:pgNumType w:fmt="decimal" w:start="1"/>
          <w:cols w:space="720" w:num="1"/>
          <w:docGrid w:linePitch="312" w:charSpace="0"/>
        </w:sectPr>
      </w:pPr>
      <w:bookmarkStart w:id="0" w:name="_Toc14924"/>
      <w:bookmarkStart w:id="1" w:name="_Toc28485"/>
    </w:p>
    <w:p>
      <w:pPr>
        <w:pStyle w:val="14"/>
        <w:snapToGrid w:val="0"/>
        <w:spacing w:before="0" w:beforeLines="0" w:after="0" w:afterLines="0" w:line="360" w:lineRule="auto"/>
        <w:jc w:val="center"/>
        <w:outlineLvl w:val="0"/>
        <w:rPr>
          <w:rFonts w:hint="eastAsia" w:ascii="宋体" w:hAnsi="宋体" w:eastAsia="宋体" w:cs="宋体"/>
          <w:b/>
          <w:color w:val="auto"/>
          <w:sz w:val="32"/>
          <w:szCs w:val="32"/>
          <w:highlight w:val="none"/>
          <w:lang w:eastAsia="zh-CN"/>
        </w:rPr>
      </w:pPr>
      <w:r>
        <w:rPr>
          <w:rFonts w:hint="eastAsia" w:ascii="宋体" w:hAnsi="宋体" w:eastAsia="宋体" w:cs="宋体"/>
          <w:b/>
          <w:color w:val="auto"/>
          <w:sz w:val="32"/>
          <w:szCs w:val="32"/>
          <w:highlight w:val="none"/>
        </w:rPr>
        <w:t xml:space="preserve">第一章  </w:t>
      </w:r>
      <w:bookmarkEnd w:id="0"/>
      <w:bookmarkEnd w:id="1"/>
      <w:r>
        <w:rPr>
          <w:rFonts w:hint="eastAsia" w:ascii="宋体" w:hAnsi="宋体" w:eastAsia="宋体" w:cs="宋体"/>
          <w:b/>
          <w:color w:val="auto"/>
          <w:sz w:val="32"/>
          <w:szCs w:val="32"/>
          <w:highlight w:val="none"/>
          <w:lang w:eastAsia="zh-CN"/>
        </w:rPr>
        <w:t>公开招标公告</w:t>
      </w:r>
    </w:p>
    <w:tbl>
      <w:tblPr>
        <w:tblStyle w:val="2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8" w:type="dxa"/>
            <w:noWrap w:val="0"/>
            <w:vAlign w:val="top"/>
          </w:tcPr>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lang w:eastAsia="zh-CN"/>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iCs w:val="0"/>
                <w:color w:val="auto"/>
                <w:sz w:val="21"/>
                <w:szCs w:val="21"/>
                <w:highlight w:val="none"/>
                <w:vertAlign w:val="baseline"/>
              </w:rPr>
            </w:pPr>
            <w:r>
              <w:rPr>
                <w:rFonts w:hint="eastAsia" w:ascii="宋体" w:hAnsi="宋体" w:eastAsia="宋体" w:cs="宋体"/>
                <w:i w:val="0"/>
                <w:iCs w:val="0"/>
                <w:color w:val="auto"/>
                <w:sz w:val="21"/>
                <w:szCs w:val="21"/>
                <w:highlight w:val="none"/>
                <w:u w:val="single"/>
                <w:lang w:eastAsia="zh-CN"/>
              </w:rPr>
              <w:t>（</w:t>
            </w:r>
            <w:r>
              <w:rPr>
                <w:rFonts w:hint="eastAsia" w:ascii="宋体" w:hAnsi="宋体" w:cs="宋体"/>
                <w:i w:val="0"/>
                <w:iCs w:val="0"/>
                <w:color w:val="auto"/>
                <w:sz w:val="21"/>
                <w:szCs w:val="21"/>
                <w:highlight w:val="none"/>
                <w:u w:val="single"/>
                <w:lang w:eastAsia="zh-CN"/>
              </w:rPr>
              <w:t>宁海县智慧城管（二期）项目</w:t>
            </w:r>
            <w:r>
              <w:rPr>
                <w:rFonts w:hint="eastAsia" w:ascii="宋体" w:hAnsi="宋体" w:eastAsia="宋体" w:cs="宋体"/>
                <w:i w:val="0"/>
                <w:iCs w:val="0"/>
                <w:color w:val="auto"/>
                <w:sz w:val="21"/>
                <w:szCs w:val="21"/>
                <w:highlight w:val="none"/>
                <w:u w:val="single"/>
                <w:lang w:eastAsia="zh-CN"/>
              </w:rPr>
              <w:t>）</w:t>
            </w:r>
            <w:r>
              <w:rPr>
                <w:rFonts w:hint="eastAsia" w:ascii="宋体" w:hAnsi="宋体" w:eastAsia="宋体" w:cs="宋体"/>
                <w:i w:val="0"/>
                <w:iCs w:val="0"/>
                <w:color w:val="auto"/>
                <w:sz w:val="21"/>
                <w:szCs w:val="21"/>
                <w:highlight w:val="none"/>
              </w:rPr>
              <w:t>招标项目的潜在</w:t>
            </w:r>
            <w:r>
              <w:rPr>
                <w:rFonts w:hint="eastAsia" w:ascii="宋体" w:hAnsi="宋体" w:eastAsia="宋体" w:cs="宋体"/>
                <w:i w:val="0"/>
                <w:iCs w:val="0"/>
                <w:color w:val="auto"/>
                <w:sz w:val="21"/>
                <w:szCs w:val="21"/>
                <w:highlight w:val="none"/>
                <w:lang w:eastAsia="zh-CN"/>
              </w:rPr>
              <w:t>供应商</w:t>
            </w:r>
            <w:r>
              <w:rPr>
                <w:rFonts w:hint="eastAsia" w:ascii="宋体" w:hAnsi="宋体" w:eastAsia="宋体" w:cs="宋体"/>
                <w:i w:val="0"/>
                <w:iCs w:val="0"/>
                <w:color w:val="auto"/>
                <w:sz w:val="21"/>
                <w:szCs w:val="21"/>
                <w:highlight w:val="none"/>
              </w:rPr>
              <w:t>应在浙江政府采购云平台（http://www.zcygov.cn/）获取（下载）招标文件，并于</w:t>
            </w:r>
            <w:r>
              <w:rPr>
                <w:rFonts w:hint="eastAsia" w:ascii="宋体" w:hAnsi="宋体" w:eastAsia="宋体" w:cs="宋体"/>
                <w:i w:val="0"/>
                <w:iCs w:val="0"/>
                <w:color w:val="auto"/>
                <w:sz w:val="21"/>
                <w:szCs w:val="21"/>
                <w:highlight w:val="none"/>
                <w:u w:val="single"/>
                <w:lang w:val="en-US" w:eastAsia="zh-CN"/>
              </w:rPr>
              <w:t>2021</w:t>
            </w:r>
            <w:r>
              <w:rPr>
                <w:rFonts w:hint="eastAsia" w:ascii="宋体" w:hAnsi="宋体" w:eastAsia="宋体" w:cs="宋体"/>
                <w:bCs/>
                <w:i w:val="0"/>
                <w:iCs w:val="0"/>
                <w:color w:val="auto"/>
                <w:sz w:val="21"/>
                <w:szCs w:val="21"/>
                <w:highlight w:val="none"/>
                <w:u w:val="single"/>
              </w:rPr>
              <w:t>年</w:t>
            </w:r>
            <w:r>
              <w:rPr>
                <w:rFonts w:hint="eastAsia" w:ascii="宋体" w:hAnsi="宋体" w:cs="宋体"/>
                <w:bCs/>
                <w:i w:val="0"/>
                <w:iCs w:val="0"/>
                <w:color w:val="auto"/>
                <w:sz w:val="21"/>
                <w:szCs w:val="21"/>
                <w:highlight w:val="none"/>
                <w:u w:val="single"/>
                <w:lang w:val="en-US" w:eastAsia="zh-CN"/>
              </w:rPr>
              <w:t>10</w:t>
            </w:r>
            <w:r>
              <w:rPr>
                <w:rFonts w:hint="eastAsia" w:ascii="宋体" w:hAnsi="宋体" w:eastAsia="宋体" w:cs="宋体"/>
                <w:bCs/>
                <w:i w:val="0"/>
                <w:iCs w:val="0"/>
                <w:color w:val="auto"/>
                <w:sz w:val="21"/>
                <w:szCs w:val="21"/>
                <w:highlight w:val="none"/>
                <w:u w:val="single"/>
              </w:rPr>
              <w:t>月</w:t>
            </w:r>
            <w:r>
              <w:rPr>
                <w:rFonts w:hint="eastAsia" w:ascii="宋体" w:hAnsi="宋体" w:cs="宋体"/>
                <w:bCs/>
                <w:i w:val="0"/>
                <w:iCs w:val="0"/>
                <w:color w:val="auto"/>
                <w:sz w:val="21"/>
                <w:szCs w:val="21"/>
                <w:highlight w:val="none"/>
                <w:u w:val="single"/>
                <w:lang w:val="en-US" w:eastAsia="zh-CN"/>
              </w:rPr>
              <w:t>09</w:t>
            </w:r>
            <w:r>
              <w:rPr>
                <w:rFonts w:hint="eastAsia" w:ascii="宋体" w:hAnsi="宋体" w:eastAsia="宋体" w:cs="宋体"/>
                <w:bCs/>
                <w:i w:val="0"/>
                <w:iCs w:val="0"/>
                <w:color w:val="auto"/>
                <w:sz w:val="21"/>
                <w:szCs w:val="21"/>
                <w:highlight w:val="none"/>
                <w:u w:val="single"/>
              </w:rPr>
              <w:t>日</w:t>
            </w:r>
            <w:r>
              <w:rPr>
                <w:rFonts w:hint="eastAsia" w:ascii="宋体" w:hAnsi="宋体" w:eastAsia="宋体" w:cs="宋体"/>
                <w:bCs/>
                <w:i w:val="0"/>
                <w:iCs w:val="0"/>
                <w:color w:val="auto"/>
                <w:sz w:val="21"/>
                <w:szCs w:val="21"/>
                <w:highlight w:val="none"/>
                <w:u w:val="single"/>
                <w:lang w:val="en-US" w:eastAsia="zh-CN"/>
              </w:rPr>
              <w:t>14</w:t>
            </w:r>
            <w:r>
              <w:rPr>
                <w:rFonts w:hint="eastAsia" w:ascii="宋体" w:hAnsi="宋体" w:eastAsia="宋体" w:cs="宋体"/>
                <w:bCs/>
                <w:i w:val="0"/>
                <w:iCs w:val="0"/>
                <w:color w:val="auto"/>
                <w:sz w:val="21"/>
                <w:szCs w:val="21"/>
                <w:highlight w:val="none"/>
                <w:u w:val="single"/>
              </w:rPr>
              <w:t>:</w:t>
            </w:r>
            <w:r>
              <w:rPr>
                <w:rFonts w:hint="eastAsia" w:ascii="宋体" w:hAnsi="宋体" w:eastAsia="宋体" w:cs="宋体"/>
                <w:bCs/>
                <w:i w:val="0"/>
                <w:iCs w:val="0"/>
                <w:color w:val="auto"/>
                <w:sz w:val="21"/>
                <w:szCs w:val="21"/>
                <w:highlight w:val="none"/>
                <w:u w:val="single"/>
                <w:lang w:val="en-US" w:eastAsia="zh-CN"/>
              </w:rPr>
              <w:t>00</w:t>
            </w:r>
            <w:r>
              <w:rPr>
                <w:rFonts w:hint="eastAsia" w:ascii="宋体" w:hAnsi="宋体" w:eastAsia="宋体" w:cs="宋体"/>
                <w:bCs/>
                <w:i w:val="0"/>
                <w:iCs w:val="0"/>
                <w:color w:val="auto"/>
                <w:sz w:val="21"/>
                <w:szCs w:val="21"/>
                <w:highlight w:val="none"/>
                <w:u w:val="single"/>
              </w:rPr>
              <w:t>（北京时间）</w:t>
            </w:r>
            <w:r>
              <w:rPr>
                <w:rFonts w:hint="eastAsia" w:ascii="宋体" w:hAnsi="宋体" w:eastAsia="宋体" w:cs="宋体"/>
                <w:bCs/>
                <w:i w:val="0"/>
                <w:iCs w:val="0"/>
                <w:color w:val="auto"/>
                <w:sz w:val="21"/>
                <w:szCs w:val="21"/>
                <w:highlight w:val="none"/>
              </w:rPr>
              <w:t>前递交</w:t>
            </w:r>
            <w:r>
              <w:rPr>
                <w:rFonts w:hint="eastAsia" w:ascii="宋体" w:hAnsi="宋体" w:eastAsia="宋体" w:cs="宋体"/>
                <w:bCs/>
                <w:i w:val="0"/>
                <w:iCs w:val="0"/>
                <w:color w:val="auto"/>
                <w:sz w:val="21"/>
                <w:szCs w:val="21"/>
                <w:highlight w:val="none"/>
                <w:lang w:eastAsia="zh-CN"/>
              </w:rPr>
              <w:t>（上传）</w:t>
            </w:r>
            <w:r>
              <w:rPr>
                <w:rFonts w:hint="eastAsia" w:ascii="宋体" w:hAnsi="宋体" w:eastAsia="宋体" w:cs="宋体"/>
                <w:bCs/>
                <w:i w:val="0"/>
                <w:iCs w:val="0"/>
                <w:color w:val="auto"/>
                <w:sz w:val="21"/>
                <w:szCs w:val="21"/>
                <w:highlight w:val="none"/>
              </w:rPr>
              <w:t>投标文件</w:t>
            </w:r>
            <w:r>
              <w:rPr>
                <w:rFonts w:hint="eastAsia" w:ascii="宋体" w:hAnsi="宋体" w:eastAsia="宋体" w:cs="宋体"/>
                <w:i w:val="0"/>
                <w:iCs w:val="0"/>
                <w:color w:val="auto"/>
                <w:sz w:val="21"/>
                <w:szCs w:val="21"/>
                <w:highlight w:val="none"/>
              </w:rPr>
              <w:t>。</w:t>
            </w:r>
          </w:p>
        </w:tc>
      </w:tr>
    </w:tbl>
    <w:p>
      <w:pPr>
        <w:pStyle w:val="5"/>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
          <w:bCs w:val="0"/>
          <w:i w:val="0"/>
          <w:iCs w:val="0"/>
          <w:color w:val="auto"/>
          <w:sz w:val="21"/>
          <w:szCs w:val="21"/>
          <w:highlight w:val="none"/>
        </w:rPr>
      </w:pPr>
      <w:bookmarkStart w:id="2" w:name="_Toc35393790"/>
      <w:bookmarkStart w:id="3" w:name="_Toc35393621"/>
      <w:bookmarkStart w:id="4" w:name="_Toc28359079"/>
      <w:bookmarkStart w:id="5" w:name="_Toc28359002"/>
      <w:bookmarkStart w:id="6" w:name="_Hlk24379207"/>
      <w:r>
        <w:rPr>
          <w:rFonts w:hint="eastAsia" w:ascii="宋体" w:hAnsi="宋体" w:eastAsia="宋体" w:cs="宋体"/>
          <w:b/>
          <w:bCs w:val="0"/>
          <w:i w:val="0"/>
          <w:iCs w:val="0"/>
          <w:color w:val="auto"/>
          <w:sz w:val="21"/>
          <w:szCs w:val="21"/>
          <w:highlight w:val="none"/>
        </w:rPr>
        <w:t>一、项目基本情况</w:t>
      </w:r>
      <w:bookmarkEnd w:id="2"/>
      <w:bookmarkEnd w:id="3"/>
      <w:bookmarkEnd w:id="4"/>
      <w:bookmarkEnd w:id="5"/>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项目编号：</w:t>
      </w:r>
      <w:r>
        <w:rPr>
          <w:rFonts w:hint="eastAsia" w:ascii="宋体" w:hAnsi="宋体" w:cs="宋体"/>
          <w:i w:val="0"/>
          <w:iCs w:val="0"/>
          <w:color w:val="auto"/>
          <w:sz w:val="21"/>
          <w:szCs w:val="21"/>
          <w:highlight w:val="none"/>
          <w:lang w:val="en-US" w:eastAsia="zh-CN"/>
        </w:rPr>
        <w:t>CBZJ</w:t>
      </w:r>
      <w:r>
        <w:rPr>
          <w:rFonts w:hint="eastAsia" w:ascii="宋体" w:hAnsi="宋体" w:cs="宋体"/>
          <w:i w:val="0"/>
          <w:iCs w:val="0"/>
          <w:color w:val="auto"/>
          <w:sz w:val="21"/>
          <w:szCs w:val="21"/>
          <w:highlight w:val="none"/>
          <w:lang w:eastAsia="zh-CN"/>
        </w:rPr>
        <w:t>-20216</w:t>
      </w:r>
      <w:r>
        <w:rPr>
          <w:rFonts w:hint="eastAsia" w:ascii="宋体" w:hAnsi="宋体" w:cs="宋体"/>
          <w:i w:val="0"/>
          <w:iCs w:val="0"/>
          <w:color w:val="auto"/>
          <w:sz w:val="21"/>
          <w:szCs w:val="21"/>
          <w:highlight w:val="none"/>
          <w:lang w:val="en-US" w:eastAsia="zh-CN"/>
        </w:rPr>
        <w:t>128</w:t>
      </w:r>
      <w:r>
        <w:rPr>
          <w:rFonts w:hint="eastAsia" w:ascii="宋体" w:hAnsi="宋体" w:cs="宋体"/>
          <w:i w:val="0"/>
          <w:iCs w:val="0"/>
          <w:color w:val="auto"/>
          <w:sz w:val="21"/>
          <w:szCs w:val="21"/>
          <w:highlight w:val="none"/>
          <w:lang w:eastAsia="zh-CN"/>
        </w:rPr>
        <w:t>G</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2.</w:t>
      </w:r>
      <w:r>
        <w:rPr>
          <w:rFonts w:hint="eastAsia" w:ascii="宋体" w:hAnsi="宋体" w:eastAsia="宋体" w:cs="宋体"/>
          <w:i w:val="0"/>
          <w:iCs w:val="0"/>
          <w:color w:val="auto"/>
          <w:sz w:val="21"/>
          <w:szCs w:val="21"/>
          <w:highlight w:val="none"/>
        </w:rPr>
        <w:t>项目名称：</w:t>
      </w:r>
      <w:r>
        <w:rPr>
          <w:rFonts w:hint="eastAsia" w:ascii="宋体" w:hAnsi="宋体" w:cs="宋体"/>
          <w:i w:val="0"/>
          <w:iCs w:val="0"/>
          <w:color w:val="auto"/>
          <w:sz w:val="21"/>
          <w:szCs w:val="21"/>
          <w:highlight w:val="none"/>
          <w:lang w:eastAsia="zh-CN"/>
        </w:rPr>
        <w:t>宁海县智慧城管（二期）项目</w:t>
      </w:r>
    </w:p>
    <w:bookmarkEnd w:id="6"/>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预算金额（元）：</w:t>
      </w:r>
      <w:r>
        <w:rPr>
          <w:rFonts w:hint="eastAsia" w:ascii="宋体" w:hAnsi="宋体" w:cs="宋体"/>
          <w:i w:val="0"/>
          <w:iCs w:val="0"/>
          <w:color w:val="auto"/>
          <w:sz w:val="21"/>
          <w:szCs w:val="21"/>
          <w:highlight w:val="none"/>
          <w:lang w:val="en-US" w:eastAsia="zh-CN"/>
        </w:rPr>
        <w:t>3800000</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rPr>
        <w:t>最高限价（元）：</w:t>
      </w:r>
      <w:r>
        <w:rPr>
          <w:rFonts w:hint="eastAsia" w:ascii="宋体" w:hAnsi="宋体" w:cs="宋体"/>
          <w:i w:val="0"/>
          <w:iCs w:val="0"/>
          <w:color w:val="auto"/>
          <w:sz w:val="21"/>
          <w:szCs w:val="21"/>
          <w:highlight w:val="none"/>
          <w:lang w:val="en-US" w:eastAsia="zh-CN"/>
        </w:rPr>
        <w:t>3640000</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5.</w:t>
      </w:r>
      <w:r>
        <w:rPr>
          <w:rFonts w:hint="eastAsia" w:ascii="宋体" w:hAnsi="宋体" w:eastAsia="宋体" w:cs="宋体"/>
          <w:i w:val="0"/>
          <w:iCs w:val="0"/>
          <w:color w:val="auto"/>
          <w:sz w:val="21"/>
          <w:szCs w:val="21"/>
          <w:highlight w:val="none"/>
        </w:rPr>
        <w:t>采购需求：</w:t>
      </w:r>
    </w:p>
    <w:p>
      <w:pPr>
        <w:pageBreakBefore w:val="0"/>
        <w:kinsoku/>
        <w:wordWrap/>
        <w:overflowPunct/>
        <w:topLinePunct w:val="0"/>
        <w:autoSpaceDE/>
        <w:autoSpaceDN/>
        <w:bidi w:val="0"/>
        <w:adjustRightInd/>
        <w:snapToGrid/>
        <w:spacing w:line="360" w:lineRule="auto"/>
        <w:ind w:left="210" w:leftChars="10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标项一:</w:t>
      </w:r>
    </w:p>
    <w:p>
      <w:pPr>
        <w:pageBreakBefore w:val="0"/>
        <w:kinsoku/>
        <w:wordWrap/>
        <w:overflowPunct/>
        <w:topLinePunct w:val="0"/>
        <w:autoSpaceDE/>
        <w:autoSpaceDN/>
        <w:bidi w:val="0"/>
        <w:adjustRightInd/>
        <w:snapToGrid/>
        <w:spacing w:line="360" w:lineRule="auto"/>
        <w:ind w:left="210" w:leftChars="100"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标项名称:</w:t>
      </w:r>
      <w:r>
        <w:rPr>
          <w:rFonts w:hint="eastAsia" w:ascii="宋体" w:hAnsi="宋体" w:cs="宋体"/>
          <w:i w:val="0"/>
          <w:iCs w:val="0"/>
          <w:color w:val="auto"/>
          <w:sz w:val="21"/>
          <w:szCs w:val="21"/>
          <w:highlight w:val="none"/>
          <w:lang w:eastAsia="zh-CN"/>
        </w:rPr>
        <w:t>宁海县智慧城管（二期）</w:t>
      </w:r>
    </w:p>
    <w:p>
      <w:pPr>
        <w:pageBreakBefore w:val="0"/>
        <w:kinsoku/>
        <w:wordWrap/>
        <w:overflowPunct/>
        <w:topLinePunct w:val="0"/>
        <w:autoSpaceDE/>
        <w:autoSpaceDN/>
        <w:bidi w:val="0"/>
        <w:adjustRightInd/>
        <w:snapToGrid/>
        <w:spacing w:line="360" w:lineRule="auto"/>
        <w:ind w:left="210" w:leftChars="100" w:firstLine="420" w:firstLineChars="20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数量:</w:t>
      </w:r>
      <w:r>
        <w:rPr>
          <w:rFonts w:hint="eastAsia" w:ascii="宋体" w:hAnsi="宋体" w:cs="宋体"/>
          <w:i w:val="0"/>
          <w:iCs w:val="0"/>
          <w:color w:val="auto"/>
          <w:sz w:val="21"/>
          <w:szCs w:val="21"/>
          <w:highlight w:val="none"/>
          <w:lang w:val="en-US" w:eastAsia="zh-CN"/>
        </w:rPr>
        <w:t>1项</w:t>
      </w:r>
    </w:p>
    <w:p>
      <w:pPr>
        <w:pageBreakBefore w:val="0"/>
        <w:kinsoku/>
        <w:wordWrap/>
        <w:overflowPunct/>
        <w:topLinePunct w:val="0"/>
        <w:autoSpaceDE/>
        <w:autoSpaceDN/>
        <w:bidi w:val="0"/>
        <w:adjustRightInd/>
        <w:snapToGrid/>
        <w:spacing w:line="360" w:lineRule="auto"/>
        <w:ind w:left="210" w:leftChars="100" w:firstLine="420" w:firstLineChars="20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预算金额（元）:</w:t>
      </w:r>
      <w:r>
        <w:rPr>
          <w:rFonts w:hint="eastAsia" w:ascii="宋体" w:hAnsi="宋体" w:cs="宋体"/>
          <w:i w:val="0"/>
          <w:iCs w:val="0"/>
          <w:color w:val="auto"/>
          <w:sz w:val="21"/>
          <w:szCs w:val="21"/>
          <w:highlight w:val="none"/>
          <w:lang w:val="en-US" w:eastAsia="zh-CN"/>
        </w:rPr>
        <w:t>3800000</w:t>
      </w:r>
    </w:p>
    <w:p>
      <w:pPr>
        <w:pageBreakBefore w:val="0"/>
        <w:kinsoku/>
        <w:wordWrap/>
        <w:overflowPunct/>
        <w:topLinePunct w:val="0"/>
        <w:autoSpaceDE/>
        <w:autoSpaceDN/>
        <w:bidi w:val="0"/>
        <w:adjustRightInd/>
        <w:snapToGrid/>
        <w:spacing w:line="360" w:lineRule="auto"/>
        <w:ind w:left="210" w:leftChars="100" w:firstLine="420" w:firstLineChars="200"/>
        <w:textAlignment w:val="auto"/>
        <w:rPr>
          <w:rFonts w:hint="eastAsia" w:ascii="宋体" w:hAnsi="宋体" w:eastAsia="宋体" w:cs="宋体"/>
          <w:color w:val="auto"/>
          <w:highlight w:val="none"/>
          <w:lang w:val="en-US" w:eastAsia="zh-CN"/>
        </w:rPr>
      </w:pPr>
      <w:r>
        <w:rPr>
          <w:rFonts w:hint="eastAsia" w:ascii="宋体" w:hAnsi="宋体" w:eastAsia="宋体" w:cs="宋体"/>
          <w:i w:val="0"/>
          <w:iCs w:val="0"/>
          <w:color w:val="auto"/>
          <w:sz w:val="21"/>
          <w:szCs w:val="21"/>
          <w:highlight w:val="none"/>
        </w:rPr>
        <w:t>简要规格描述或项目基本概况介绍、用途：</w:t>
      </w:r>
      <w:r>
        <w:rPr>
          <w:rFonts w:hint="eastAsia" w:ascii="宋体" w:hAnsi="宋体" w:cs="宋体"/>
          <w:i w:val="0"/>
          <w:iCs w:val="0"/>
          <w:color w:val="auto"/>
          <w:sz w:val="21"/>
          <w:szCs w:val="21"/>
          <w:highlight w:val="none"/>
          <w:lang w:val="en-US" w:eastAsia="zh-CN"/>
        </w:rPr>
        <w:t>用于</w:t>
      </w:r>
      <w:r>
        <w:rPr>
          <w:rFonts w:hint="eastAsia" w:ascii="宋体" w:hAnsi="宋体" w:eastAsia="宋体" w:cs="宋体"/>
          <w:color w:val="auto"/>
          <w:highlight w:val="none"/>
          <w:lang w:val="en-US" w:eastAsia="zh-CN"/>
        </w:rPr>
        <w:t>宁海县智慧城管（二期）</w:t>
      </w:r>
      <w:r>
        <w:rPr>
          <w:rFonts w:hint="eastAsia" w:ascii="宋体" w:hAnsi="宋体" w:cs="宋体"/>
          <w:color w:val="auto"/>
          <w:highlight w:val="none"/>
          <w:lang w:val="en-US" w:eastAsia="zh-CN"/>
        </w:rPr>
        <w:t>建设</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具体详见第二章 采购需求。</w:t>
      </w:r>
    </w:p>
    <w:p>
      <w:pPr>
        <w:pStyle w:val="2"/>
        <w:ind w:firstLine="630" w:firstLineChars="300"/>
        <w:rPr>
          <w:rFonts w:hint="default" w:ascii="宋体" w:hAnsi="宋体" w:eastAsia="宋体" w:cs="宋体"/>
          <w:i w:val="0"/>
          <w:iCs w:val="0"/>
          <w:color w:val="auto"/>
          <w:kern w:val="2"/>
          <w:sz w:val="21"/>
          <w:szCs w:val="21"/>
          <w:highlight w:val="none"/>
          <w:lang w:val="en-US" w:eastAsia="zh-CN" w:bidi="ar-SA"/>
        </w:rPr>
      </w:pPr>
      <w:r>
        <w:rPr>
          <w:rFonts w:hint="eastAsia" w:ascii="宋体" w:hAnsi="宋体" w:eastAsia="宋体" w:cs="宋体"/>
          <w:i w:val="0"/>
          <w:iCs w:val="0"/>
          <w:color w:val="auto"/>
          <w:kern w:val="2"/>
          <w:sz w:val="21"/>
          <w:szCs w:val="21"/>
          <w:highlight w:val="none"/>
          <w:lang w:val="en-US" w:eastAsia="zh-CN" w:bidi="ar-SA"/>
        </w:rPr>
        <w:t>备注：</w:t>
      </w:r>
      <w:r>
        <w:rPr>
          <w:rFonts w:hint="eastAsia" w:ascii="宋体" w:hAnsi="宋体" w:cs="宋体"/>
          <w:i w:val="0"/>
          <w:iCs w:val="0"/>
          <w:color w:val="auto"/>
          <w:kern w:val="2"/>
          <w:sz w:val="21"/>
          <w:szCs w:val="21"/>
          <w:highlight w:val="none"/>
          <w:lang w:val="en-US" w:eastAsia="zh-CN" w:bidi="ar-SA"/>
        </w:rPr>
        <w:t>无</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u w:val="single"/>
          <w:lang w:val="en-US" w:eastAsia="zh-CN"/>
        </w:rPr>
      </w:pPr>
      <w:r>
        <w:rPr>
          <w:rFonts w:hint="eastAsia" w:ascii="宋体" w:hAnsi="宋体" w:eastAsia="宋体" w:cs="宋体"/>
          <w:i w:val="0"/>
          <w:iCs w:val="0"/>
          <w:color w:val="auto"/>
          <w:sz w:val="21"/>
          <w:szCs w:val="21"/>
          <w:highlight w:val="none"/>
          <w:lang w:val="en-US" w:eastAsia="zh-CN"/>
        </w:rPr>
        <w:t>6.</w:t>
      </w:r>
      <w:r>
        <w:rPr>
          <w:rFonts w:hint="eastAsia" w:ascii="宋体" w:hAnsi="宋体" w:eastAsia="宋体" w:cs="宋体"/>
          <w:i w:val="0"/>
          <w:iCs w:val="0"/>
          <w:color w:val="auto"/>
          <w:sz w:val="21"/>
          <w:szCs w:val="21"/>
          <w:highlight w:val="none"/>
        </w:rPr>
        <w:t>合同履行期</w:t>
      </w:r>
      <w:r>
        <w:rPr>
          <w:rFonts w:hint="eastAsia" w:ascii="宋体" w:hAnsi="宋体" w:eastAsia="宋体" w:cs="宋体"/>
          <w:i w:val="0"/>
          <w:iCs w:val="0"/>
          <w:color w:val="auto"/>
          <w:sz w:val="21"/>
          <w:szCs w:val="21"/>
          <w:highlight w:val="none"/>
          <w:lang w:val="en-US" w:eastAsia="zh-CN"/>
        </w:rPr>
        <w:t>限：</w:t>
      </w:r>
      <w:r>
        <w:rPr>
          <w:rFonts w:hint="eastAsia"/>
          <w:color w:val="auto"/>
          <w:highlight w:val="none"/>
          <w:lang w:eastAsia="zh-CN"/>
        </w:rPr>
        <w:t>合同签订后</w:t>
      </w:r>
      <w:r>
        <w:rPr>
          <w:rFonts w:hint="eastAsia"/>
          <w:color w:val="auto"/>
          <w:highlight w:val="none"/>
          <w:lang w:val="en-US" w:eastAsia="zh-CN"/>
        </w:rPr>
        <w:t>2个月内完成项目建设并通过初步验收，之后</w:t>
      </w:r>
      <w:r>
        <w:rPr>
          <w:rFonts w:hint="eastAsia" w:ascii="宋体" w:hAnsi="宋体" w:cs="宋体"/>
          <w:i w:val="0"/>
          <w:iCs w:val="0"/>
          <w:color w:val="auto"/>
          <w:sz w:val="21"/>
          <w:szCs w:val="21"/>
          <w:highlight w:val="none"/>
          <w:lang w:val="en-US" w:eastAsia="zh-CN"/>
        </w:rPr>
        <w:t>进入为期</w:t>
      </w:r>
      <w:r>
        <w:rPr>
          <w:rFonts w:hint="eastAsia" w:ascii="宋体" w:hAnsi="宋体" w:eastAsia="宋体" w:cs="宋体"/>
          <w:i w:val="0"/>
          <w:iCs w:val="0"/>
          <w:color w:val="auto"/>
          <w:sz w:val="21"/>
          <w:szCs w:val="21"/>
          <w:highlight w:val="none"/>
          <w:lang w:val="en-US" w:eastAsia="zh-CN"/>
        </w:rPr>
        <w:t>1个月的试运行</w:t>
      </w:r>
      <w:r>
        <w:rPr>
          <w:rFonts w:hint="eastAsia" w:ascii="宋体" w:hAnsi="宋体" w:cs="宋体"/>
          <w:i w:val="0"/>
          <w:iCs w:val="0"/>
          <w:color w:val="auto"/>
          <w:sz w:val="21"/>
          <w:szCs w:val="21"/>
          <w:highlight w:val="none"/>
          <w:lang w:val="en-US" w:eastAsia="zh-CN"/>
        </w:rPr>
        <w:t>；试运行完成后，</w:t>
      </w:r>
      <w:r>
        <w:rPr>
          <w:rFonts w:hint="eastAsia" w:ascii="宋体" w:hAnsi="宋体" w:eastAsia="宋体" w:cs="宋体"/>
          <w:i w:val="0"/>
          <w:iCs w:val="0"/>
          <w:color w:val="auto"/>
          <w:sz w:val="21"/>
          <w:szCs w:val="21"/>
          <w:highlight w:val="none"/>
          <w:lang w:val="en-US" w:eastAsia="zh-CN"/>
        </w:rPr>
        <w:t>通过项目竣工验收，</w:t>
      </w:r>
      <w:r>
        <w:rPr>
          <w:rFonts w:hint="eastAsia" w:ascii="宋体" w:hAnsi="宋体" w:cs="宋体"/>
          <w:i w:val="0"/>
          <w:iCs w:val="0"/>
          <w:color w:val="auto"/>
          <w:sz w:val="21"/>
          <w:szCs w:val="21"/>
          <w:highlight w:val="none"/>
          <w:lang w:val="en-US" w:eastAsia="zh-CN"/>
        </w:rPr>
        <w:t>并</w:t>
      </w:r>
      <w:r>
        <w:rPr>
          <w:rFonts w:hint="eastAsia" w:ascii="宋体" w:hAnsi="宋体" w:eastAsia="宋体" w:cs="宋体"/>
          <w:i w:val="0"/>
          <w:iCs w:val="0"/>
          <w:color w:val="auto"/>
          <w:sz w:val="21"/>
          <w:szCs w:val="21"/>
          <w:highlight w:val="none"/>
          <w:lang w:val="en-US" w:eastAsia="zh-CN"/>
        </w:rPr>
        <w:t>进入为期5年的运维期。</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7.本项目（否）接受联合体投标。</w:t>
      </w:r>
    </w:p>
    <w:p>
      <w:pPr>
        <w:pStyle w:val="5"/>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
          <w:bCs w:val="0"/>
          <w:i w:val="0"/>
          <w:iCs w:val="0"/>
          <w:color w:val="auto"/>
          <w:sz w:val="21"/>
          <w:szCs w:val="21"/>
          <w:highlight w:val="none"/>
        </w:rPr>
      </w:pPr>
      <w:bookmarkStart w:id="7" w:name="_Toc28359080"/>
      <w:bookmarkStart w:id="8" w:name="_Toc35393622"/>
      <w:bookmarkStart w:id="9" w:name="_Toc28359003"/>
      <w:bookmarkStart w:id="10" w:name="_Toc35393791"/>
      <w:r>
        <w:rPr>
          <w:rFonts w:hint="eastAsia" w:ascii="宋体" w:hAnsi="宋体" w:eastAsia="宋体" w:cs="宋体"/>
          <w:b/>
          <w:bCs w:val="0"/>
          <w:i w:val="0"/>
          <w:iCs w:val="0"/>
          <w:color w:val="auto"/>
          <w:sz w:val="21"/>
          <w:szCs w:val="21"/>
          <w:highlight w:val="none"/>
        </w:rPr>
        <w:t>二、申请人的资格要求：</w:t>
      </w:r>
      <w:bookmarkEnd w:id="7"/>
      <w:bookmarkEnd w:id="8"/>
      <w:bookmarkEnd w:id="9"/>
      <w:bookmarkEnd w:id="10"/>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lang w:eastAsia="zh-CN"/>
        </w:rPr>
      </w:pPr>
      <w:bookmarkStart w:id="11" w:name="_Toc28359004"/>
      <w:bookmarkStart w:id="12" w:name="_Toc28359081"/>
      <w:r>
        <w:rPr>
          <w:rFonts w:hint="eastAsia" w:ascii="宋体" w:hAnsi="宋体" w:eastAsia="宋体" w:cs="宋体"/>
          <w:i w:val="0"/>
          <w:iCs w:val="0"/>
          <w:color w:val="auto"/>
          <w:sz w:val="21"/>
          <w:szCs w:val="21"/>
          <w:highlight w:val="none"/>
        </w:rPr>
        <w:t>2.落实政府采购政策需满足的资格要求：</w:t>
      </w:r>
      <w:r>
        <w:rPr>
          <w:rFonts w:hint="eastAsia" w:ascii="宋体" w:hAnsi="宋体" w:eastAsia="宋体" w:cs="宋体"/>
          <w:i w:val="0"/>
          <w:iCs w:val="0"/>
          <w:color w:val="auto"/>
          <w:sz w:val="21"/>
          <w:szCs w:val="21"/>
          <w:highlight w:val="none"/>
          <w:lang w:eastAsia="zh-CN"/>
        </w:rPr>
        <w:t>无。</w:t>
      </w:r>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3.本项目的特定资格要求：</w:t>
      </w:r>
      <w:r>
        <w:rPr>
          <w:rFonts w:hint="eastAsia" w:ascii="宋体" w:hAnsi="宋体" w:eastAsia="宋体" w:cs="宋体"/>
          <w:i w:val="0"/>
          <w:iCs w:val="0"/>
          <w:color w:val="auto"/>
          <w:sz w:val="21"/>
          <w:szCs w:val="21"/>
          <w:highlight w:val="none"/>
          <w:lang w:val="en-US" w:eastAsia="zh-CN"/>
        </w:rPr>
        <w:t>3.1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r>
        <w:rPr>
          <w:rFonts w:hint="eastAsia" w:ascii="宋体" w:hAnsi="宋体" w:eastAsia="宋体" w:cs="宋体"/>
          <w:color w:val="auto"/>
          <w:szCs w:val="21"/>
          <w:highlight w:val="none"/>
        </w:rPr>
        <w:t>3.2未在中国裁判文书网有行贿犯罪相关记录。（以投标截止日当天中国裁判文书网查询结果为准，如相关记录已失效，</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需提供相关证明资料；若在开标当天因不可抗力事件导致无法查询且一时无法恢复查询的，可在中标公示期间对中标候选人进行事后查询。中标候选人在中国裁判文书网有行贿犯罪相关记录，采购</w:t>
      </w:r>
      <w:r>
        <w:rPr>
          <w:rFonts w:hint="eastAsia" w:ascii="宋体" w:hAnsi="宋体" w:eastAsia="宋体" w:cs="宋体"/>
          <w:color w:val="auto"/>
          <w:szCs w:val="21"/>
          <w:highlight w:val="none"/>
          <w:lang w:val="en-US" w:eastAsia="zh-CN"/>
        </w:rPr>
        <w:t>人</w:t>
      </w:r>
      <w:r>
        <w:rPr>
          <w:rFonts w:hint="eastAsia" w:ascii="宋体" w:hAnsi="宋体" w:eastAsia="宋体" w:cs="宋体"/>
          <w:color w:val="auto"/>
          <w:szCs w:val="21"/>
          <w:highlight w:val="none"/>
        </w:rPr>
        <w:t>将依法取消其中标资格）。</w:t>
      </w:r>
    </w:p>
    <w:p>
      <w:pPr>
        <w:pStyle w:val="5"/>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
          <w:bCs w:val="0"/>
          <w:i w:val="0"/>
          <w:iCs w:val="0"/>
          <w:color w:val="auto"/>
          <w:sz w:val="21"/>
          <w:szCs w:val="21"/>
          <w:highlight w:val="none"/>
        </w:rPr>
      </w:pPr>
      <w:bookmarkStart w:id="13" w:name="_Toc35393623"/>
      <w:bookmarkStart w:id="14" w:name="_Toc35393792"/>
      <w:r>
        <w:rPr>
          <w:rFonts w:hint="eastAsia" w:ascii="宋体" w:hAnsi="宋体" w:eastAsia="宋体" w:cs="宋体"/>
          <w:b/>
          <w:bCs w:val="0"/>
          <w:i w:val="0"/>
          <w:iCs w:val="0"/>
          <w:color w:val="auto"/>
          <w:sz w:val="21"/>
          <w:szCs w:val="21"/>
          <w:highlight w:val="none"/>
        </w:rPr>
        <w:t>三、获取招标文件</w:t>
      </w:r>
      <w:bookmarkEnd w:id="11"/>
      <w:bookmarkEnd w:id="12"/>
      <w:bookmarkEnd w:id="13"/>
      <w:bookmarkEnd w:id="14"/>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时间：</w:t>
      </w:r>
      <w:r>
        <w:rPr>
          <w:rFonts w:hint="eastAsia" w:ascii="宋体" w:hAnsi="宋体" w:eastAsia="宋体" w:cs="宋体"/>
          <w:i w:val="0"/>
          <w:iCs w:val="0"/>
          <w:color w:val="auto"/>
          <w:sz w:val="21"/>
          <w:szCs w:val="21"/>
          <w:highlight w:val="none"/>
          <w:u w:val="single"/>
          <w:lang w:val="en-US" w:eastAsia="zh-CN"/>
        </w:rPr>
        <w:t>2021</w:t>
      </w:r>
      <w:r>
        <w:rPr>
          <w:rFonts w:hint="eastAsia" w:ascii="宋体" w:hAnsi="宋体" w:eastAsia="宋体" w:cs="宋体"/>
          <w:i w:val="0"/>
          <w:iCs w:val="0"/>
          <w:color w:val="auto"/>
          <w:sz w:val="21"/>
          <w:szCs w:val="21"/>
          <w:highlight w:val="none"/>
          <w:u w:val="single"/>
        </w:rPr>
        <w:t>年</w:t>
      </w:r>
      <w:r>
        <w:rPr>
          <w:rFonts w:hint="eastAsia" w:ascii="宋体" w:hAnsi="宋体" w:cs="宋体"/>
          <w:i w:val="0"/>
          <w:iCs w:val="0"/>
          <w:color w:val="auto"/>
          <w:sz w:val="21"/>
          <w:szCs w:val="21"/>
          <w:highlight w:val="none"/>
          <w:u w:val="single"/>
          <w:lang w:val="en-US" w:eastAsia="zh-CN"/>
        </w:rPr>
        <w:t>09</w:t>
      </w:r>
      <w:r>
        <w:rPr>
          <w:rFonts w:hint="eastAsia" w:ascii="宋体" w:hAnsi="宋体" w:eastAsia="宋体" w:cs="宋体"/>
          <w:i w:val="0"/>
          <w:iCs w:val="0"/>
          <w:color w:val="auto"/>
          <w:sz w:val="21"/>
          <w:szCs w:val="21"/>
          <w:highlight w:val="none"/>
          <w:u w:val="single"/>
        </w:rPr>
        <w:t>月</w:t>
      </w:r>
      <w:r>
        <w:rPr>
          <w:rFonts w:hint="eastAsia" w:ascii="宋体" w:hAnsi="宋体" w:cs="宋体"/>
          <w:i w:val="0"/>
          <w:iCs w:val="0"/>
          <w:color w:val="auto"/>
          <w:sz w:val="21"/>
          <w:szCs w:val="21"/>
          <w:highlight w:val="none"/>
          <w:u w:val="single"/>
          <w:lang w:val="en-US" w:eastAsia="zh-CN"/>
        </w:rPr>
        <w:t>16</w:t>
      </w:r>
      <w:r>
        <w:rPr>
          <w:rFonts w:hint="eastAsia" w:ascii="宋体" w:hAnsi="宋体" w:eastAsia="宋体" w:cs="宋体"/>
          <w:i w:val="0"/>
          <w:iCs w:val="0"/>
          <w:color w:val="auto"/>
          <w:sz w:val="21"/>
          <w:szCs w:val="21"/>
          <w:highlight w:val="none"/>
          <w:u w:val="single"/>
        </w:rPr>
        <w:t>日</w:t>
      </w:r>
      <w:r>
        <w:rPr>
          <w:rFonts w:hint="eastAsia" w:ascii="宋体" w:hAnsi="宋体" w:eastAsia="宋体" w:cs="宋体"/>
          <w:i w:val="0"/>
          <w:iCs w:val="0"/>
          <w:color w:val="auto"/>
          <w:sz w:val="21"/>
          <w:szCs w:val="21"/>
          <w:highlight w:val="none"/>
        </w:rPr>
        <w:t>至</w:t>
      </w:r>
      <w:r>
        <w:rPr>
          <w:rFonts w:hint="eastAsia" w:ascii="宋体" w:hAnsi="宋体" w:eastAsia="宋体" w:cs="宋体"/>
          <w:i w:val="0"/>
          <w:iCs w:val="0"/>
          <w:color w:val="auto"/>
          <w:sz w:val="21"/>
          <w:szCs w:val="21"/>
          <w:highlight w:val="none"/>
          <w:u w:val="single"/>
        </w:rPr>
        <w:t>20</w:t>
      </w:r>
      <w:r>
        <w:rPr>
          <w:rFonts w:hint="eastAsia" w:ascii="宋体" w:hAnsi="宋体" w:eastAsia="宋体" w:cs="宋体"/>
          <w:i w:val="0"/>
          <w:iCs w:val="0"/>
          <w:color w:val="auto"/>
          <w:sz w:val="21"/>
          <w:szCs w:val="21"/>
          <w:highlight w:val="none"/>
          <w:u w:val="single"/>
          <w:lang w:val="en-US" w:eastAsia="zh-CN"/>
        </w:rPr>
        <w:t>21</w:t>
      </w:r>
      <w:r>
        <w:rPr>
          <w:rFonts w:hint="eastAsia" w:ascii="宋体" w:hAnsi="宋体" w:eastAsia="宋体" w:cs="宋体"/>
          <w:i w:val="0"/>
          <w:iCs w:val="0"/>
          <w:color w:val="auto"/>
          <w:sz w:val="21"/>
          <w:szCs w:val="21"/>
          <w:highlight w:val="none"/>
          <w:u w:val="single"/>
        </w:rPr>
        <w:t>年</w:t>
      </w:r>
      <w:r>
        <w:rPr>
          <w:rFonts w:hint="eastAsia" w:ascii="宋体" w:hAnsi="宋体" w:cs="宋体"/>
          <w:i w:val="0"/>
          <w:iCs w:val="0"/>
          <w:color w:val="auto"/>
          <w:sz w:val="21"/>
          <w:szCs w:val="21"/>
          <w:highlight w:val="none"/>
          <w:u w:val="single"/>
          <w:lang w:val="en-US" w:eastAsia="zh-CN"/>
        </w:rPr>
        <w:t>09</w:t>
      </w:r>
      <w:r>
        <w:rPr>
          <w:rFonts w:hint="eastAsia" w:ascii="宋体" w:hAnsi="宋体" w:eastAsia="宋体" w:cs="宋体"/>
          <w:i w:val="0"/>
          <w:iCs w:val="0"/>
          <w:color w:val="auto"/>
          <w:sz w:val="21"/>
          <w:szCs w:val="21"/>
          <w:highlight w:val="none"/>
          <w:u w:val="single"/>
        </w:rPr>
        <w:t>月</w:t>
      </w:r>
      <w:r>
        <w:rPr>
          <w:rFonts w:hint="eastAsia" w:ascii="宋体" w:hAnsi="宋体" w:cs="宋体"/>
          <w:i w:val="0"/>
          <w:iCs w:val="0"/>
          <w:color w:val="auto"/>
          <w:sz w:val="21"/>
          <w:szCs w:val="21"/>
          <w:highlight w:val="none"/>
          <w:u w:val="single"/>
          <w:lang w:val="en-US" w:eastAsia="zh-CN"/>
        </w:rPr>
        <w:t>24</w:t>
      </w:r>
      <w:bookmarkStart w:id="107" w:name="_GoBack"/>
      <w:bookmarkEnd w:id="107"/>
      <w:r>
        <w:rPr>
          <w:rFonts w:hint="eastAsia" w:ascii="宋体" w:hAnsi="宋体" w:eastAsia="宋体" w:cs="宋体"/>
          <w:i w:val="0"/>
          <w:iCs w:val="0"/>
          <w:color w:val="auto"/>
          <w:sz w:val="21"/>
          <w:szCs w:val="21"/>
          <w:highlight w:val="none"/>
          <w:u w:val="single"/>
        </w:rPr>
        <w:t>日</w:t>
      </w:r>
      <w:r>
        <w:rPr>
          <w:rFonts w:hint="eastAsia" w:ascii="宋体" w:hAnsi="宋体" w:eastAsia="宋体" w:cs="宋体"/>
          <w:i w:val="0"/>
          <w:iCs w:val="0"/>
          <w:color w:val="auto"/>
          <w:sz w:val="21"/>
          <w:szCs w:val="21"/>
          <w:highlight w:val="none"/>
        </w:rPr>
        <w:t>，每天上午</w:t>
      </w:r>
      <w:r>
        <w:rPr>
          <w:rFonts w:hint="eastAsia" w:ascii="宋体" w:hAnsi="宋体" w:eastAsia="宋体" w:cs="宋体"/>
          <w:i w:val="0"/>
          <w:iCs w:val="0"/>
          <w:color w:val="auto"/>
          <w:sz w:val="21"/>
          <w:szCs w:val="21"/>
          <w:highlight w:val="none"/>
          <w:u w:val="single"/>
        </w:rPr>
        <w:t>00:00</w:t>
      </w:r>
      <w:r>
        <w:rPr>
          <w:rFonts w:hint="eastAsia" w:ascii="宋体" w:hAnsi="宋体" w:eastAsia="宋体" w:cs="宋体"/>
          <w:i w:val="0"/>
          <w:iCs w:val="0"/>
          <w:color w:val="auto"/>
          <w:sz w:val="21"/>
          <w:szCs w:val="21"/>
          <w:highlight w:val="none"/>
        </w:rPr>
        <w:t>至</w:t>
      </w:r>
      <w:r>
        <w:rPr>
          <w:rFonts w:hint="eastAsia" w:ascii="宋体" w:hAnsi="宋体" w:eastAsia="宋体" w:cs="宋体"/>
          <w:i w:val="0"/>
          <w:iCs w:val="0"/>
          <w:color w:val="auto"/>
          <w:sz w:val="21"/>
          <w:szCs w:val="21"/>
          <w:highlight w:val="none"/>
          <w:u w:val="single"/>
        </w:rPr>
        <w:t>12:00</w:t>
      </w:r>
      <w:r>
        <w:rPr>
          <w:rFonts w:hint="eastAsia" w:ascii="宋体" w:hAnsi="宋体" w:eastAsia="宋体" w:cs="宋体"/>
          <w:i w:val="0"/>
          <w:iCs w:val="0"/>
          <w:color w:val="auto"/>
          <w:sz w:val="21"/>
          <w:szCs w:val="21"/>
          <w:highlight w:val="none"/>
        </w:rPr>
        <w:t>，下午</w:t>
      </w:r>
      <w:r>
        <w:rPr>
          <w:rFonts w:hint="eastAsia" w:ascii="宋体" w:hAnsi="宋体" w:eastAsia="宋体" w:cs="宋体"/>
          <w:i w:val="0"/>
          <w:iCs w:val="0"/>
          <w:color w:val="auto"/>
          <w:sz w:val="21"/>
          <w:szCs w:val="21"/>
          <w:highlight w:val="none"/>
          <w:u w:val="single"/>
        </w:rPr>
        <w:t>12:00</w:t>
      </w:r>
      <w:r>
        <w:rPr>
          <w:rFonts w:hint="eastAsia" w:ascii="宋体" w:hAnsi="宋体" w:eastAsia="宋体" w:cs="宋体"/>
          <w:i w:val="0"/>
          <w:iCs w:val="0"/>
          <w:color w:val="auto"/>
          <w:sz w:val="21"/>
          <w:szCs w:val="21"/>
          <w:highlight w:val="none"/>
          <w:u w:val="none"/>
        </w:rPr>
        <w:t>至</w:t>
      </w:r>
      <w:r>
        <w:rPr>
          <w:rFonts w:hint="eastAsia" w:ascii="宋体" w:hAnsi="宋体" w:eastAsia="宋体" w:cs="宋体"/>
          <w:i w:val="0"/>
          <w:iCs w:val="0"/>
          <w:color w:val="auto"/>
          <w:sz w:val="21"/>
          <w:szCs w:val="21"/>
          <w:highlight w:val="none"/>
          <w:u w:val="single"/>
        </w:rPr>
        <w:t>23:59</w:t>
      </w:r>
      <w:r>
        <w:rPr>
          <w:rFonts w:hint="eastAsia" w:ascii="宋体" w:hAnsi="宋体" w:eastAsia="宋体" w:cs="宋体"/>
          <w:i w:val="0"/>
          <w:iCs w:val="0"/>
          <w:color w:val="auto"/>
          <w:sz w:val="21"/>
          <w:szCs w:val="21"/>
          <w:highlight w:val="none"/>
        </w:rPr>
        <w:t>（北京时间，线上获取法定节假日均可，线下获取文件法定节假日除外）</w:t>
      </w:r>
      <w:r>
        <w:rPr>
          <w:rFonts w:hint="eastAsia" w:ascii="宋体" w:hAnsi="宋体" w:eastAsia="宋体" w:cs="宋体"/>
          <w:i w:val="0"/>
          <w:iCs w:val="0"/>
          <w:color w:val="auto"/>
          <w:sz w:val="21"/>
          <w:szCs w:val="21"/>
          <w:highlight w:val="none"/>
          <w:lang w:eastAsia="zh-CN"/>
        </w:rPr>
        <w:t>。</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lang w:val="en-US" w:eastAsia="zh-CN"/>
        </w:rPr>
        <w:t>2.地点（网址）</w:t>
      </w:r>
      <w:r>
        <w:rPr>
          <w:rFonts w:hint="eastAsia" w:ascii="宋体" w:hAnsi="宋体" w:eastAsia="宋体" w:cs="宋体"/>
          <w:i w:val="0"/>
          <w:iCs w:val="0"/>
          <w:color w:val="auto"/>
          <w:sz w:val="21"/>
          <w:szCs w:val="21"/>
          <w:highlight w:val="none"/>
        </w:rPr>
        <w:t>：浙江政府采购云平台（http://www.zcy.gov.cn/）。</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u w:val="single"/>
        </w:rPr>
      </w:pPr>
      <w:r>
        <w:rPr>
          <w:rFonts w:hint="eastAsia" w:ascii="宋体" w:hAnsi="宋体" w:eastAsia="宋体" w:cs="宋体"/>
          <w:i w:val="0"/>
          <w:iCs w:val="0"/>
          <w:color w:val="auto"/>
          <w:sz w:val="21"/>
          <w:szCs w:val="21"/>
          <w:highlight w:val="none"/>
          <w:lang w:val="en-US" w:eastAsia="zh-CN"/>
        </w:rPr>
        <w:t>3.</w:t>
      </w:r>
      <w:r>
        <w:rPr>
          <w:rFonts w:hint="eastAsia" w:ascii="宋体" w:hAnsi="宋体" w:eastAsia="宋体" w:cs="宋体"/>
          <w:i w:val="0"/>
          <w:iCs w:val="0"/>
          <w:color w:val="auto"/>
          <w:sz w:val="21"/>
          <w:szCs w:val="21"/>
          <w:highlight w:val="none"/>
        </w:rPr>
        <w:t>方式：</w:t>
      </w:r>
      <w:r>
        <w:rPr>
          <w:rFonts w:hint="eastAsia" w:ascii="宋体" w:hAnsi="宋体" w:eastAsia="宋体" w:cs="宋体"/>
          <w:i w:val="0"/>
          <w:iCs w:val="0"/>
          <w:color w:val="auto"/>
          <w:sz w:val="21"/>
          <w:szCs w:val="21"/>
          <w:highlight w:val="none"/>
          <w:lang w:eastAsia="zh-CN"/>
        </w:rPr>
        <w:t>供应商</w:t>
      </w:r>
      <w:r>
        <w:rPr>
          <w:rFonts w:hint="eastAsia" w:ascii="宋体" w:hAnsi="宋体" w:eastAsia="宋体" w:cs="宋体"/>
          <w:i w:val="0"/>
          <w:iCs w:val="0"/>
          <w:color w:val="auto"/>
          <w:sz w:val="21"/>
          <w:szCs w:val="21"/>
          <w:highlight w:val="none"/>
        </w:rPr>
        <w:t>注册后直接登陆“浙江政府采购云平台”（http://www.zcy.gov.cn/）下载电子招标文件。</w:t>
      </w:r>
      <w:r>
        <w:rPr>
          <w:rFonts w:hint="eastAsia" w:ascii="宋体" w:hAnsi="宋体" w:eastAsia="宋体" w:cs="宋体"/>
          <w:i w:val="0"/>
          <w:iCs w:val="0"/>
          <w:color w:val="auto"/>
          <w:sz w:val="21"/>
          <w:szCs w:val="21"/>
          <w:highlight w:val="none"/>
          <w:lang w:eastAsia="zh-CN"/>
        </w:rPr>
        <w:t>供应商</w:t>
      </w:r>
      <w:r>
        <w:rPr>
          <w:rFonts w:hint="eastAsia" w:ascii="宋体" w:hAnsi="宋体" w:eastAsia="宋体" w:cs="宋体"/>
          <w:i w:val="0"/>
          <w:iCs w:val="0"/>
          <w:color w:val="auto"/>
          <w:sz w:val="21"/>
          <w:szCs w:val="21"/>
          <w:highlight w:val="none"/>
        </w:rPr>
        <w:t>未在规定时间内或未按上述方式获取招标文件的，其投标无效。</w:t>
      </w:r>
    </w:p>
    <w:p>
      <w:pPr>
        <w:spacing w:line="360" w:lineRule="auto"/>
        <w:ind w:firstLine="420" w:firstLineChars="20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val="en-US" w:eastAsia="zh-CN"/>
        </w:rPr>
        <w:t>4.</w:t>
      </w:r>
      <w:r>
        <w:rPr>
          <w:rFonts w:hint="eastAsia" w:ascii="宋体" w:hAnsi="宋体" w:eastAsia="宋体" w:cs="宋体"/>
          <w:i w:val="0"/>
          <w:iCs w:val="0"/>
          <w:color w:val="auto"/>
          <w:sz w:val="21"/>
          <w:szCs w:val="21"/>
          <w:highlight w:val="none"/>
        </w:rPr>
        <w:t>售价</w:t>
      </w:r>
      <w:r>
        <w:rPr>
          <w:rFonts w:hint="eastAsia" w:ascii="宋体" w:hAnsi="宋体" w:eastAsia="宋体" w:cs="宋体"/>
          <w:i w:val="0"/>
          <w:iCs w:val="0"/>
          <w:color w:val="auto"/>
          <w:sz w:val="21"/>
          <w:szCs w:val="21"/>
          <w:highlight w:val="none"/>
          <w:lang w:eastAsia="zh-CN"/>
        </w:rPr>
        <w:t>（元）</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val="en-US" w:eastAsia="zh-CN"/>
        </w:rPr>
        <w:t>0</w:t>
      </w:r>
    </w:p>
    <w:p>
      <w:pPr>
        <w:spacing w:line="360" w:lineRule="auto"/>
        <w:ind w:firstLine="420" w:firstLineChars="200"/>
        <w:rPr>
          <w:rFonts w:hint="eastAsia" w:ascii="宋体" w:hAnsi="宋体" w:eastAsia="宋体" w:cs="宋体"/>
          <w:color w:val="auto"/>
          <w:highlight w:val="none"/>
          <w:lang w:val="en-US" w:eastAsia="zh-CN"/>
        </w:rPr>
      </w:pPr>
      <w:r>
        <w:rPr>
          <w:rFonts w:hint="eastAsia" w:ascii="宋体" w:hAnsi="宋体" w:eastAsia="宋体" w:cs="宋体"/>
          <w:color w:val="auto"/>
          <w:szCs w:val="21"/>
          <w:highlight w:val="none"/>
        </w:rPr>
        <w:t>5.本招标公告附件中的招标文件仅供阅览使用，</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应在规定的获取招标文件时间内在政采云平台登录</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注册的账号后获取招标文件，未按上述方式获取招标文件的，不得对招标文件提起质疑投诉。</w:t>
      </w:r>
    </w:p>
    <w:p>
      <w:pPr>
        <w:pStyle w:val="5"/>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
          <w:bCs w:val="0"/>
          <w:i w:val="0"/>
          <w:iCs w:val="0"/>
          <w:color w:val="auto"/>
          <w:sz w:val="21"/>
          <w:szCs w:val="21"/>
          <w:highlight w:val="none"/>
        </w:rPr>
      </w:pPr>
      <w:bookmarkStart w:id="15" w:name="_Toc28359005"/>
      <w:bookmarkStart w:id="16" w:name="_Toc28359082"/>
      <w:bookmarkStart w:id="17" w:name="_Toc35393793"/>
      <w:bookmarkStart w:id="18" w:name="_Toc35393624"/>
      <w:r>
        <w:rPr>
          <w:rFonts w:hint="eastAsia" w:ascii="宋体" w:hAnsi="宋体" w:eastAsia="宋体" w:cs="宋体"/>
          <w:b/>
          <w:bCs w:val="0"/>
          <w:i w:val="0"/>
          <w:iCs w:val="0"/>
          <w:color w:val="auto"/>
          <w:sz w:val="21"/>
          <w:szCs w:val="21"/>
          <w:highlight w:val="none"/>
        </w:rPr>
        <w:t>四、提交投标文件</w:t>
      </w:r>
      <w:bookmarkEnd w:id="15"/>
      <w:bookmarkEnd w:id="16"/>
      <w:r>
        <w:rPr>
          <w:rFonts w:hint="eastAsia" w:ascii="宋体" w:hAnsi="宋体" w:eastAsia="宋体" w:cs="宋体"/>
          <w:b/>
          <w:bCs w:val="0"/>
          <w:i w:val="0"/>
          <w:iCs w:val="0"/>
          <w:color w:val="auto"/>
          <w:sz w:val="21"/>
          <w:szCs w:val="21"/>
          <w:highlight w:val="none"/>
        </w:rPr>
        <w:t>截止时间、开标时间和地点</w:t>
      </w:r>
      <w:bookmarkEnd w:id="17"/>
      <w:bookmarkEnd w:id="18"/>
    </w:p>
    <w:p>
      <w:pPr>
        <w:pageBreakBefore w:val="0"/>
        <w:kinsoku/>
        <w:wordWrap/>
        <w:overflowPunct/>
        <w:topLinePunct w:val="0"/>
        <w:autoSpaceDE/>
        <w:autoSpaceDN/>
        <w:bidi w:val="0"/>
        <w:adjustRightInd/>
        <w:snapToGrid/>
        <w:spacing w:line="336" w:lineRule="auto"/>
        <w:ind w:left="0" w:leftChars="0" w:firstLine="54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1.</w:t>
      </w:r>
      <w:r>
        <w:rPr>
          <w:rFonts w:hint="eastAsia" w:ascii="宋体" w:hAnsi="宋体" w:eastAsia="宋体" w:cs="宋体"/>
          <w:i w:val="0"/>
          <w:iCs w:val="0"/>
          <w:color w:val="auto"/>
          <w:sz w:val="21"/>
          <w:szCs w:val="21"/>
          <w:highlight w:val="none"/>
        </w:rPr>
        <w:t>提交投标文件截止时间：</w:t>
      </w:r>
      <w:r>
        <w:rPr>
          <w:rFonts w:hint="eastAsia" w:ascii="宋体" w:hAnsi="宋体" w:eastAsia="宋体" w:cs="宋体"/>
          <w:i w:val="0"/>
          <w:iCs w:val="0"/>
          <w:color w:val="auto"/>
          <w:sz w:val="21"/>
          <w:szCs w:val="21"/>
          <w:highlight w:val="none"/>
          <w:lang w:val="en-US" w:eastAsia="zh-CN"/>
        </w:rPr>
        <w:t>2021</w:t>
      </w:r>
      <w:r>
        <w:rPr>
          <w:rFonts w:hint="eastAsia" w:ascii="宋体" w:hAnsi="宋体" w:eastAsia="宋体" w:cs="宋体"/>
          <w:i w:val="0"/>
          <w:iCs w:val="0"/>
          <w:color w:val="auto"/>
          <w:sz w:val="21"/>
          <w:szCs w:val="21"/>
          <w:highlight w:val="none"/>
        </w:rPr>
        <w:t>年</w:t>
      </w:r>
      <w:r>
        <w:rPr>
          <w:rFonts w:hint="eastAsia" w:ascii="宋体" w:hAnsi="宋体" w:eastAsia="宋体" w:cs="宋体"/>
          <w:i w:val="0"/>
          <w:iCs w:val="0"/>
          <w:color w:val="auto"/>
          <w:sz w:val="21"/>
          <w:szCs w:val="21"/>
          <w:highlight w:val="none"/>
          <w:lang w:val="en-US" w:eastAsia="zh-CN"/>
        </w:rPr>
        <w:t>10</w:t>
      </w:r>
      <w:r>
        <w:rPr>
          <w:rFonts w:hint="eastAsia" w:ascii="宋体" w:hAnsi="宋体" w:eastAsia="宋体" w:cs="宋体"/>
          <w:i w:val="0"/>
          <w:iCs w:val="0"/>
          <w:color w:val="auto"/>
          <w:sz w:val="21"/>
          <w:szCs w:val="21"/>
          <w:highlight w:val="none"/>
        </w:rPr>
        <w:t>月</w:t>
      </w:r>
      <w:r>
        <w:rPr>
          <w:rFonts w:hint="eastAsia" w:ascii="宋体" w:hAnsi="宋体" w:eastAsia="宋体" w:cs="宋体"/>
          <w:i w:val="0"/>
          <w:iCs w:val="0"/>
          <w:color w:val="auto"/>
          <w:sz w:val="21"/>
          <w:szCs w:val="21"/>
          <w:highlight w:val="none"/>
          <w:lang w:val="en-US" w:eastAsia="zh-CN"/>
        </w:rPr>
        <w:t>09</w:t>
      </w:r>
      <w:r>
        <w:rPr>
          <w:rFonts w:hint="eastAsia" w:ascii="宋体" w:hAnsi="宋体" w:eastAsia="宋体" w:cs="宋体"/>
          <w:i w:val="0"/>
          <w:iCs w:val="0"/>
          <w:color w:val="auto"/>
          <w:sz w:val="21"/>
          <w:szCs w:val="21"/>
          <w:highlight w:val="none"/>
        </w:rPr>
        <w:t>日</w:t>
      </w:r>
      <w:r>
        <w:rPr>
          <w:rFonts w:hint="eastAsia" w:ascii="宋体" w:hAnsi="宋体" w:eastAsia="宋体" w:cs="宋体"/>
          <w:i w:val="0"/>
          <w:iCs w:val="0"/>
          <w:color w:val="auto"/>
          <w:sz w:val="21"/>
          <w:szCs w:val="21"/>
          <w:highlight w:val="none"/>
          <w:lang w:val="en-US" w:eastAsia="zh-CN"/>
        </w:rPr>
        <w:t>14</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val="en-US" w:eastAsia="zh-CN"/>
        </w:rPr>
        <w:t>00（</w:t>
      </w:r>
      <w:r>
        <w:rPr>
          <w:rFonts w:hint="eastAsia" w:ascii="宋体" w:hAnsi="宋体" w:eastAsia="宋体" w:cs="宋体"/>
          <w:i w:val="0"/>
          <w:iCs w:val="0"/>
          <w:color w:val="auto"/>
          <w:sz w:val="21"/>
          <w:szCs w:val="21"/>
          <w:highlight w:val="none"/>
        </w:rPr>
        <w:t>北京时间）</w:t>
      </w:r>
      <w:r>
        <w:rPr>
          <w:rFonts w:hint="eastAsia" w:ascii="宋体" w:hAnsi="宋体" w:eastAsia="宋体" w:cs="宋体"/>
          <w:i w:val="0"/>
          <w:iCs w:val="0"/>
          <w:color w:val="auto"/>
          <w:sz w:val="21"/>
          <w:szCs w:val="21"/>
          <w:highlight w:val="none"/>
          <w:lang w:eastAsia="zh-CN"/>
        </w:rPr>
        <w:t>。</w:t>
      </w:r>
    </w:p>
    <w:p>
      <w:pPr>
        <w:pageBreakBefore w:val="0"/>
        <w:kinsoku/>
        <w:wordWrap/>
        <w:overflowPunct/>
        <w:topLinePunct w:val="0"/>
        <w:autoSpaceDE/>
        <w:autoSpaceDN/>
        <w:bidi w:val="0"/>
        <w:adjustRightInd/>
        <w:snapToGrid/>
        <w:spacing w:line="336" w:lineRule="auto"/>
        <w:ind w:left="0" w:leftChars="0" w:firstLine="540"/>
        <w:textAlignment w:val="auto"/>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val="en-US" w:eastAsia="zh-CN"/>
        </w:rPr>
        <w:t>2.投标地点（网址）：</w:t>
      </w:r>
      <w:r>
        <w:rPr>
          <w:rFonts w:hint="eastAsia" w:ascii="宋体" w:hAnsi="宋体" w:eastAsia="宋体" w:cs="宋体"/>
          <w:b w:val="0"/>
          <w:bCs w:val="0"/>
          <w:color w:val="auto"/>
          <w:szCs w:val="21"/>
          <w:highlight w:val="none"/>
          <w:u w:val="none"/>
          <w:lang w:eastAsia="zh-CN"/>
        </w:rPr>
        <w:t>宁海县公共资源交易中心（宁海县桃源街道金水东路5号五楼，详见五楼大厅公告）。供应商如提供备份投标文件的，应于提交投标文件截止时间前，将以U盘存储的电子备份投标文件和纸质备份投标文件分别密封，递交至上述地点，逾期送达或未密封将予以拒收。供应商仅提供备份投标文件（包括以U盘存储的电子备份投标文件或纸质备份投标文件）的，投标无效。</w:t>
      </w:r>
    </w:p>
    <w:p>
      <w:pPr>
        <w:pageBreakBefore w:val="0"/>
        <w:kinsoku/>
        <w:wordWrap/>
        <w:overflowPunct/>
        <w:topLinePunct w:val="0"/>
        <w:autoSpaceDE/>
        <w:autoSpaceDN/>
        <w:bidi w:val="0"/>
        <w:adjustRightInd/>
        <w:snapToGrid/>
        <w:spacing w:line="360" w:lineRule="auto"/>
        <w:ind w:left="0" w:leftChars="0" w:firstLine="540"/>
        <w:textAlignment w:val="auto"/>
        <w:rPr>
          <w:rFonts w:hint="default"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3.开标时间：2021</w:t>
      </w:r>
      <w:r>
        <w:rPr>
          <w:rFonts w:hint="eastAsia" w:ascii="宋体" w:hAnsi="宋体" w:eastAsia="宋体" w:cs="宋体"/>
          <w:i w:val="0"/>
          <w:iCs w:val="0"/>
          <w:color w:val="auto"/>
          <w:sz w:val="21"/>
          <w:szCs w:val="21"/>
          <w:highlight w:val="none"/>
        </w:rPr>
        <w:t>年</w:t>
      </w:r>
      <w:r>
        <w:rPr>
          <w:rFonts w:hint="eastAsia" w:ascii="宋体" w:hAnsi="宋体" w:eastAsia="宋体" w:cs="宋体"/>
          <w:i w:val="0"/>
          <w:iCs w:val="0"/>
          <w:color w:val="auto"/>
          <w:sz w:val="21"/>
          <w:szCs w:val="21"/>
          <w:highlight w:val="none"/>
          <w:lang w:val="en-US" w:eastAsia="zh-CN"/>
        </w:rPr>
        <w:t>10</w:t>
      </w:r>
      <w:r>
        <w:rPr>
          <w:rFonts w:hint="eastAsia" w:ascii="宋体" w:hAnsi="宋体" w:eastAsia="宋体" w:cs="宋体"/>
          <w:i w:val="0"/>
          <w:iCs w:val="0"/>
          <w:color w:val="auto"/>
          <w:sz w:val="21"/>
          <w:szCs w:val="21"/>
          <w:highlight w:val="none"/>
        </w:rPr>
        <w:t>月</w:t>
      </w:r>
      <w:r>
        <w:rPr>
          <w:rFonts w:hint="eastAsia" w:ascii="宋体" w:hAnsi="宋体" w:eastAsia="宋体" w:cs="宋体"/>
          <w:i w:val="0"/>
          <w:iCs w:val="0"/>
          <w:color w:val="auto"/>
          <w:sz w:val="21"/>
          <w:szCs w:val="21"/>
          <w:highlight w:val="none"/>
          <w:lang w:val="en-US" w:eastAsia="zh-CN"/>
        </w:rPr>
        <w:t>09</w:t>
      </w:r>
      <w:r>
        <w:rPr>
          <w:rFonts w:hint="eastAsia" w:ascii="宋体" w:hAnsi="宋体" w:eastAsia="宋体" w:cs="宋体"/>
          <w:i w:val="0"/>
          <w:iCs w:val="0"/>
          <w:color w:val="auto"/>
          <w:sz w:val="21"/>
          <w:szCs w:val="21"/>
          <w:highlight w:val="none"/>
        </w:rPr>
        <w:t>日</w:t>
      </w:r>
      <w:r>
        <w:rPr>
          <w:rFonts w:hint="eastAsia" w:ascii="宋体" w:hAnsi="宋体" w:eastAsia="宋体" w:cs="宋体"/>
          <w:i w:val="0"/>
          <w:iCs w:val="0"/>
          <w:color w:val="auto"/>
          <w:sz w:val="21"/>
          <w:szCs w:val="21"/>
          <w:highlight w:val="none"/>
          <w:lang w:val="en-US" w:eastAsia="zh-CN"/>
        </w:rPr>
        <w:t>14</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val="en-US" w:eastAsia="zh-CN"/>
        </w:rPr>
        <w:t>00（北京时间）</w:t>
      </w:r>
      <w:r>
        <w:rPr>
          <w:rFonts w:hint="eastAsia" w:ascii="宋体" w:hAnsi="宋体" w:cs="宋体"/>
          <w:i w:val="0"/>
          <w:iCs w:val="0"/>
          <w:color w:val="auto"/>
          <w:sz w:val="21"/>
          <w:szCs w:val="21"/>
          <w:highlight w:val="none"/>
          <w:lang w:val="en-US" w:eastAsia="zh-CN"/>
        </w:rPr>
        <w:t>。</w:t>
      </w:r>
    </w:p>
    <w:p>
      <w:pPr>
        <w:pageBreakBefore w:val="0"/>
        <w:kinsoku/>
        <w:wordWrap/>
        <w:overflowPunct/>
        <w:topLinePunct w:val="0"/>
        <w:autoSpaceDE/>
        <w:autoSpaceDN/>
        <w:bidi w:val="0"/>
        <w:adjustRightInd/>
        <w:snapToGrid/>
        <w:spacing w:line="360" w:lineRule="auto"/>
        <w:ind w:left="0" w:leftChars="0" w:firstLine="540"/>
        <w:textAlignment w:val="auto"/>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val="en-US" w:eastAsia="zh-CN"/>
        </w:rPr>
        <w:t>4.开标地点（网址）：宁海县公共资源交易中心（宁海县桃源街道金水东路5号五楼，详见五楼大厅公告）。</w:t>
      </w:r>
    </w:p>
    <w:p>
      <w:pPr>
        <w:pStyle w:val="5"/>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
          <w:bCs w:val="0"/>
          <w:i w:val="0"/>
          <w:iCs w:val="0"/>
          <w:color w:val="auto"/>
          <w:sz w:val="21"/>
          <w:szCs w:val="21"/>
          <w:highlight w:val="none"/>
        </w:rPr>
      </w:pPr>
      <w:bookmarkStart w:id="19" w:name="_Toc35393625"/>
      <w:bookmarkStart w:id="20" w:name="_Toc28359007"/>
      <w:bookmarkStart w:id="21" w:name="_Toc35393794"/>
      <w:bookmarkStart w:id="22" w:name="_Toc28359084"/>
      <w:r>
        <w:rPr>
          <w:rFonts w:hint="eastAsia" w:ascii="宋体" w:hAnsi="宋体" w:eastAsia="宋体" w:cs="宋体"/>
          <w:b/>
          <w:bCs w:val="0"/>
          <w:i w:val="0"/>
          <w:iCs w:val="0"/>
          <w:color w:val="auto"/>
          <w:sz w:val="21"/>
          <w:szCs w:val="21"/>
          <w:highlight w:val="none"/>
        </w:rPr>
        <w:t>五、公告期限</w:t>
      </w:r>
      <w:bookmarkEnd w:id="19"/>
      <w:bookmarkEnd w:id="20"/>
      <w:bookmarkEnd w:id="21"/>
      <w:bookmarkEnd w:id="22"/>
    </w:p>
    <w:p>
      <w:pPr>
        <w:pageBreakBefore w:val="0"/>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i w:val="0"/>
          <w:iCs w:val="0"/>
          <w:color w:val="auto"/>
          <w:kern w:val="0"/>
          <w:sz w:val="21"/>
          <w:szCs w:val="21"/>
          <w:highlight w:val="none"/>
        </w:rPr>
      </w:pPr>
      <w:r>
        <w:rPr>
          <w:rFonts w:hint="eastAsia" w:ascii="宋体" w:hAnsi="宋体" w:eastAsia="宋体" w:cs="宋体"/>
          <w:i w:val="0"/>
          <w:iCs w:val="0"/>
          <w:color w:val="auto"/>
          <w:kern w:val="0"/>
          <w:sz w:val="21"/>
          <w:szCs w:val="21"/>
          <w:highlight w:val="none"/>
        </w:rPr>
        <w:t>自本公告发布之日起5个工作日。</w:t>
      </w:r>
    </w:p>
    <w:p>
      <w:pPr>
        <w:pStyle w:val="5"/>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
          <w:bCs w:val="0"/>
          <w:i w:val="0"/>
          <w:iCs w:val="0"/>
          <w:color w:val="auto"/>
          <w:sz w:val="21"/>
          <w:szCs w:val="21"/>
          <w:highlight w:val="none"/>
          <w:lang w:eastAsia="zh-CN"/>
        </w:rPr>
      </w:pPr>
      <w:bookmarkStart w:id="23" w:name="_Toc35393626"/>
      <w:bookmarkStart w:id="24" w:name="_Toc35393795"/>
      <w:r>
        <w:rPr>
          <w:rFonts w:hint="eastAsia" w:ascii="宋体" w:hAnsi="宋体" w:eastAsia="宋体" w:cs="宋体"/>
          <w:b/>
          <w:bCs w:val="0"/>
          <w:i w:val="0"/>
          <w:iCs w:val="0"/>
          <w:color w:val="auto"/>
          <w:sz w:val="21"/>
          <w:szCs w:val="21"/>
          <w:highlight w:val="none"/>
        </w:rPr>
        <w:t>六、其他补充事宜</w:t>
      </w:r>
      <w:bookmarkEnd w:id="23"/>
      <w:bookmarkEnd w:id="24"/>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bookmarkStart w:id="25" w:name="_Toc28359085"/>
      <w:bookmarkStart w:id="26" w:name="_Toc28359008"/>
      <w:bookmarkStart w:id="27" w:name="_Toc35393796"/>
      <w:bookmarkStart w:id="28" w:name="_Toc35393627"/>
      <w:r>
        <w:rPr>
          <w:rFonts w:hint="eastAsia" w:ascii="宋体" w:hAnsi="宋体" w:eastAsia="宋体" w:cs="宋体"/>
          <w:color w:val="auto"/>
          <w:sz w:val="21"/>
          <w:szCs w:val="21"/>
          <w:highlight w:val="none"/>
        </w:rPr>
        <w:t>（一）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若供应商在开标时间后30分钟内无法解密或解密失败，可使用备份电子投标文件进行或使用纸质投标文件进行线下评标。</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（二）落实的政策：</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1.对小微企业的产品给予价格优惠（监狱企业、残疾人福利性单位视同小微企业；残疾人福利性单位属于小型、微型企业的，不重复享受政策）；</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2.优先采购节能环保产品（注：所采购的货物在政府采购节能产品、环境标志产品实施品目清单范围内，且具有国家确定的认证机构出具的、处于有效期之内的节能产品、环境标志产品认证证书）。</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（三）供应商需按照《浙江省政府采购供应商注册及诚信管理暂行办法》的规定在“浙江政府采购网”政采云平台注册登记的，成为浙江省政府采购注册供应商。如未注册的供应商，请注意注册所需时间。</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（四）投标与开标注意事项</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1.本项目实行网上投标，采用电子投标文件。若供应商参与投标，自行承担投标一切费用。</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2.标前准备：各供应商应在开标前确保成为浙江政府采购网正式注册入库供应商，并完成CA数字证书办理。因未注册入库、未办理CA数字证书等原因造成无法投标或投标失败等后果由供应商自行承担。</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3.投标文件制作：</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应按照本项目招标文件和政府采购云平台的要求编制、加密并递交投标文件。供应商在使用系统进行投标的过程中遇到涉及平台使用的任何问题，可致电政府采购云平台技术支持热线咨询，联系方式：4008817190。</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3.2供应商通过政府采购云平台电子投标工具制作投标文件，电子投标工具请供应商自行前往浙江政府采购网下载并安装，投标文件制作具体流程详见政府采购云平台。</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3.3以U盘存储的电子备份投标文件1份，按政府采购云平台要求制作的电子备份文件，以用于异常情况处理。</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3.4本项目供应商仍应准备纸质投标文件。当电子开评标无法正常进行时，即转为线下评标。若在此种情况下，由于供应商未提交纸质投标文件而导致该供应商放弃投标，由供应商自行承担。</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4.供应商可采用邮寄（含快递）方式或现场方式递交备份投标文件。</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4.1采用邮寄方式递交备份投标文件，需按以下要求递交：各供应商在投标截止时间前将备份投标文件邮寄至规定地点，由采购代理工作人员进行签收，各供应商自行考虑邮寄在途时间，邮寄过程中无论何种因素导致备份投标文件未按时递交的后果，均由供应商自行负责。备份投标文件递交时间以采购代理实际收到备份投标文件的时间为准。</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拟在2021年</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08</w:t>
      </w:r>
      <w:r>
        <w:rPr>
          <w:rFonts w:hint="eastAsia" w:ascii="宋体" w:hAnsi="宋体" w:eastAsia="宋体" w:cs="宋体"/>
          <w:color w:val="auto"/>
          <w:sz w:val="21"/>
          <w:szCs w:val="21"/>
          <w:highlight w:val="none"/>
        </w:rPr>
        <w:t>日16:00（含）前到件的邮寄地址为：宁波市鄞州区天童南路666号中基大厦19楼业务六部；</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拟在2021年</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08</w:t>
      </w:r>
      <w:r>
        <w:rPr>
          <w:rFonts w:hint="eastAsia" w:ascii="宋体" w:hAnsi="宋体" w:eastAsia="宋体" w:cs="宋体"/>
          <w:color w:val="auto"/>
          <w:sz w:val="21"/>
          <w:szCs w:val="21"/>
          <w:highlight w:val="none"/>
        </w:rPr>
        <w:t>日16:00之后，2021年</w:t>
      </w:r>
      <w:r>
        <w:rPr>
          <w:rFonts w:hint="eastAsia" w:ascii="宋体" w:hAnsi="宋体" w:cs="宋体"/>
          <w:color w:val="auto"/>
          <w:sz w:val="21"/>
          <w:szCs w:val="21"/>
          <w:highlight w:val="none"/>
          <w:lang w:val="en-US" w:eastAsia="zh-CN"/>
        </w:rPr>
        <w:t>10</w:t>
      </w:r>
      <w:r>
        <w:rPr>
          <w:rFonts w:hint="eastAsia" w:ascii="宋体" w:hAnsi="宋体" w:eastAsia="宋体" w:cs="宋体"/>
          <w:color w:val="auto"/>
          <w:sz w:val="21"/>
          <w:szCs w:val="21"/>
          <w:highlight w:val="none"/>
        </w:rPr>
        <w:t>月</w:t>
      </w:r>
      <w:r>
        <w:rPr>
          <w:rFonts w:hint="eastAsia" w:ascii="宋体" w:hAnsi="宋体" w:cs="宋体"/>
          <w:color w:val="auto"/>
          <w:sz w:val="21"/>
          <w:szCs w:val="21"/>
          <w:highlight w:val="none"/>
          <w:lang w:val="en-US" w:eastAsia="zh-CN"/>
        </w:rPr>
        <w:t>09</w:t>
      </w:r>
      <w:r>
        <w:rPr>
          <w:rFonts w:hint="eastAsia" w:ascii="宋体" w:hAnsi="宋体" w:eastAsia="宋体" w:cs="宋体"/>
          <w:color w:val="auto"/>
          <w:sz w:val="21"/>
          <w:szCs w:val="21"/>
          <w:highlight w:val="none"/>
        </w:rPr>
        <w:t>日</w:t>
      </w:r>
      <w:r>
        <w:rPr>
          <w:rFonts w:hint="eastAsia" w:ascii="宋体" w:hAnsi="宋体" w:cs="宋体"/>
          <w:color w:val="auto"/>
          <w:sz w:val="21"/>
          <w:szCs w:val="21"/>
          <w:highlight w:val="none"/>
          <w:lang w:val="en-US" w:eastAsia="zh-CN"/>
        </w:rPr>
        <w:t>14</w:t>
      </w:r>
      <w:r>
        <w:rPr>
          <w:rFonts w:hint="eastAsia" w:ascii="宋体" w:hAnsi="宋体" w:eastAsia="宋体" w:cs="宋体"/>
          <w:color w:val="auto"/>
          <w:sz w:val="21"/>
          <w:szCs w:val="21"/>
          <w:highlight w:val="none"/>
        </w:rPr>
        <w:t>：00之前到件的邮寄地址为：宁海县公共资源交易中心（宁海县桃源街道金水东路5号五楼，详见五楼大厅公告）；</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收件人：</w:t>
      </w:r>
      <w:r>
        <w:rPr>
          <w:rFonts w:hint="eastAsia" w:ascii="宋体" w:hAnsi="宋体" w:cs="宋体"/>
          <w:color w:val="auto"/>
          <w:sz w:val="21"/>
          <w:szCs w:val="21"/>
          <w:highlight w:val="none"/>
          <w:lang w:val="en-US" w:eastAsia="zh-CN"/>
        </w:rPr>
        <w:t>王莹巧</w:t>
      </w:r>
      <w:r>
        <w:rPr>
          <w:rFonts w:hint="eastAsia" w:ascii="宋体" w:hAnsi="宋体" w:eastAsia="宋体" w:cs="宋体"/>
          <w:color w:val="auto"/>
          <w:sz w:val="21"/>
          <w:szCs w:val="21"/>
          <w:highlight w:val="none"/>
        </w:rPr>
        <w:t xml:space="preserve">  联系方式：0574-8742</w:t>
      </w:r>
      <w:r>
        <w:rPr>
          <w:rFonts w:hint="eastAsia" w:ascii="宋体" w:hAnsi="宋体" w:cs="宋体"/>
          <w:color w:val="auto"/>
          <w:sz w:val="21"/>
          <w:szCs w:val="21"/>
          <w:highlight w:val="none"/>
          <w:lang w:val="en-US" w:eastAsia="zh-CN"/>
        </w:rPr>
        <w:t>5583</w:t>
      </w:r>
      <w:r>
        <w:rPr>
          <w:rFonts w:hint="eastAsia" w:ascii="宋体" w:hAnsi="宋体" w:eastAsia="宋体" w:cs="宋体"/>
          <w:color w:val="auto"/>
          <w:sz w:val="21"/>
          <w:szCs w:val="21"/>
          <w:highlight w:val="none"/>
        </w:rPr>
        <w:t xml:space="preserve"> </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请各供应商确保密封包装在邮寄过程密封包装完好，因邮寄过程的密封破损造成不符合开标要求的，本采购代理及采购人概不负责。</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4.2采用现场方式送达备份投标文件，需按以下要求递交：所有供应商安排“甬行码”为绿色的相关人员（原则上不超过一名）在投标截止时间前将备份投标文件送至：宁海县公共资源交易中心（宁海县桃源街道金水东路5号五楼，详见五楼大厅公告）。投标文件递交时需同时递交供应商的法定代表人（或其委托代理人）联系方式，并保证开标期间联系方式的畅通。</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如本项目改为线下评标，供应商须在纸质备份投标文件（资格文件）中提供：指定作出澄清、说明或补正的电子邮箱。评审过程中有关澄清、说明或者补正，采购代理机构将通过以下电子邮箱进行收发。电子邮箱：</w:t>
      </w:r>
      <w:r>
        <w:rPr>
          <w:rFonts w:hint="eastAsia" w:ascii="宋体" w:hAnsi="宋体" w:cs="宋体"/>
          <w:color w:val="auto"/>
          <w:sz w:val="21"/>
          <w:szCs w:val="21"/>
          <w:highlight w:val="none"/>
          <w:lang w:val="en-US" w:eastAsia="zh-CN"/>
        </w:rPr>
        <w:t>252497428</w:t>
      </w:r>
      <w:r>
        <w:rPr>
          <w:rFonts w:hint="eastAsia" w:ascii="宋体" w:hAnsi="宋体" w:eastAsia="宋体" w:cs="宋体"/>
          <w:color w:val="auto"/>
          <w:sz w:val="21"/>
          <w:szCs w:val="21"/>
          <w:highlight w:val="none"/>
        </w:rPr>
        <w:t>@qq.com</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员须做好佩戴口罩、手套等防护措施，自觉接受体温检测、接受防疫询问，并如实报告相关情况。</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员还需配合做好疫情防控“五个一律”：一律全面消毒、一律体温检测、一律承诺登记、一律按序办事、一律服从管理。</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8.如投标截止时间前疫情解除，上述第4.5.6.7条内容废止。</w:t>
      </w:r>
    </w:p>
    <w:p>
      <w:pPr>
        <w:pStyle w:val="21"/>
        <w:spacing w:before="0" w:beforeAutospacing="0" w:after="0" w:afterAutospacing="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9.疫情期间，请各供应商遵守宁波市宁海县公共资源交易中心各项防疫措施规定。</w:t>
      </w:r>
    </w:p>
    <w:p>
      <w:pPr>
        <w:pStyle w:val="5"/>
        <w:pageBreakBefore w:val="0"/>
        <w:kinsoku/>
        <w:wordWrap/>
        <w:overflowPunct/>
        <w:topLinePunct w:val="0"/>
        <w:autoSpaceDE/>
        <w:autoSpaceDN/>
        <w:bidi w:val="0"/>
        <w:adjustRightInd/>
        <w:snapToGrid/>
        <w:spacing w:before="0" w:beforeLines="0" w:after="0" w:afterLines="0" w:line="360" w:lineRule="auto"/>
        <w:ind w:left="0" w:leftChars="0"/>
        <w:textAlignment w:val="auto"/>
        <w:rPr>
          <w:rFonts w:hint="eastAsia" w:ascii="宋体" w:hAnsi="宋体" w:eastAsia="宋体" w:cs="宋体"/>
          <w:b/>
          <w:bCs w:val="0"/>
          <w:i w:val="0"/>
          <w:iCs w:val="0"/>
          <w:color w:val="auto"/>
          <w:sz w:val="21"/>
          <w:szCs w:val="21"/>
          <w:highlight w:val="none"/>
        </w:rPr>
      </w:pPr>
      <w:r>
        <w:rPr>
          <w:rFonts w:hint="eastAsia" w:ascii="宋体" w:hAnsi="宋体" w:eastAsia="宋体" w:cs="宋体"/>
          <w:b/>
          <w:bCs w:val="0"/>
          <w:i w:val="0"/>
          <w:iCs w:val="0"/>
          <w:color w:val="auto"/>
          <w:sz w:val="21"/>
          <w:szCs w:val="21"/>
          <w:highlight w:val="none"/>
        </w:rPr>
        <w:t>七、对本次招标提出询问，请按以下方式联系。</w:t>
      </w:r>
      <w:bookmarkEnd w:id="25"/>
      <w:bookmarkEnd w:id="26"/>
      <w:bookmarkEnd w:id="27"/>
      <w:bookmarkEnd w:id="28"/>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1.采购人信息</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rPr>
        <w:t>名</w:t>
      </w:r>
      <w:r>
        <w:rPr>
          <w:rFonts w:hint="eastAsia" w:ascii="宋体" w:hAnsi="宋体" w:eastAsia="宋体" w:cs="宋体"/>
          <w:i w:val="0"/>
          <w:iCs w:val="0"/>
          <w:color w:val="auto"/>
          <w:sz w:val="21"/>
          <w:szCs w:val="21"/>
          <w:highlight w:val="none"/>
          <w:u w:val="none"/>
          <w:lang w:val="en-US" w:eastAsia="zh-CN"/>
        </w:rPr>
        <w:t xml:space="preserve">    </w:t>
      </w:r>
      <w:r>
        <w:rPr>
          <w:rFonts w:hint="eastAsia" w:ascii="宋体" w:hAnsi="宋体" w:eastAsia="宋体" w:cs="宋体"/>
          <w:i w:val="0"/>
          <w:iCs w:val="0"/>
          <w:color w:val="auto"/>
          <w:sz w:val="21"/>
          <w:szCs w:val="21"/>
          <w:highlight w:val="none"/>
          <w:u w:val="none"/>
        </w:rPr>
        <w:t>称：</w:t>
      </w:r>
      <w:r>
        <w:rPr>
          <w:rFonts w:hint="eastAsia" w:ascii="宋体" w:hAnsi="宋体" w:cs="宋体"/>
          <w:i w:val="0"/>
          <w:iCs w:val="0"/>
          <w:color w:val="auto"/>
          <w:sz w:val="21"/>
          <w:szCs w:val="21"/>
          <w:highlight w:val="none"/>
          <w:u w:val="none"/>
          <w:lang w:eastAsia="zh-CN"/>
        </w:rPr>
        <w:t>宁海县综合行政执法局</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地</w:t>
      </w:r>
      <w:r>
        <w:rPr>
          <w:rFonts w:hint="eastAsia" w:ascii="宋体" w:hAnsi="宋体" w:eastAsia="宋体" w:cs="宋体"/>
          <w:i w:val="0"/>
          <w:iCs w:val="0"/>
          <w:color w:val="auto"/>
          <w:sz w:val="21"/>
          <w:szCs w:val="21"/>
          <w:highlight w:val="none"/>
          <w:u w:val="none"/>
          <w:lang w:val="en-US" w:eastAsia="zh-CN"/>
        </w:rPr>
        <w:t xml:space="preserve">    </w:t>
      </w:r>
      <w:r>
        <w:rPr>
          <w:rFonts w:hint="eastAsia" w:ascii="宋体" w:hAnsi="宋体" w:eastAsia="宋体" w:cs="宋体"/>
          <w:i w:val="0"/>
          <w:iCs w:val="0"/>
          <w:color w:val="auto"/>
          <w:sz w:val="21"/>
          <w:szCs w:val="21"/>
          <w:highlight w:val="none"/>
          <w:u w:val="none"/>
        </w:rPr>
        <w:t>址：</w:t>
      </w:r>
      <w:r>
        <w:rPr>
          <w:rFonts w:hint="eastAsia" w:ascii="宋体" w:hAnsi="宋体" w:eastAsia="宋体" w:cs="宋体"/>
          <w:color w:val="auto"/>
          <w:szCs w:val="21"/>
          <w:highlight w:val="none"/>
        </w:rPr>
        <w:t>宁海县桃源中路135号</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rPr>
        <w:t>传    真：</w:t>
      </w:r>
      <w:r>
        <w:rPr>
          <w:rFonts w:hint="eastAsia" w:ascii="宋体" w:hAnsi="宋体" w:eastAsia="宋体" w:cs="宋体"/>
          <w:i w:val="0"/>
          <w:iCs w:val="0"/>
          <w:color w:val="auto"/>
          <w:sz w:val="21"/>
          <w:szCs w:val="21"/>
          <w:highlight w:val="none"/>
          <w:u w:val="none"/>
          <w:lang w:val="en-US" w:eastAsia="zh-CN"/>
        </w:rPr>
        <w:t>/</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rPr>
        <w:t xml:space="preserve">项目联系人（询问）： </w:t>
      </w:r>
      <w:r>
        <w:rPr>
          <w:rFonts w:hint="eastAsia" w:ascii="宋体" w:hAnsi="宋体" w:cs="宋体"/>
          <w:i w:val="0"/>
          <w:iCs w:val="0"/>
          <w:color w:val="auto"/>
          <w:sz w:val="21"/>
          <w:szCs w:val="21"/>
          <w:highlight w:val="none"/>
          <w:u w:val="none"/>
          <w:lang w:val="en-US" w:eastAsia="zh-CN"/>
        </w:rPr>
        <w:t>张老师</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项目联系方式（询问）：</w:t>
      </w:r>
      <w:r>
        <w:rPr>
          <w:rFonts w:hint="eastAsia" w:ascii="宋体" w:hAnsi="宋体" w:eastAsia="宋体" w:cs="宋体"/>
          <w:i w:val="0"/>
          <w:iCs w:val="0"/>
          <w:color w:val="auto"/>
          <w:sz w:val="21"/>
          <w:szCs w:val="21"/>
          <w:highlight w:val="none"/>
          <w:u w:val="none"/>
          <w:lang w:val="en-US" w:eastAsia="zh-CN"/>
        </w:rPr>
        <w:t>0574-59983072</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rPr>
        <w:t>质疑联系人：陈</w:t>
      </w:r>
      <w:r>
        <w:rPr>
          <w:rFonts w:hint="eastAsia" w:ascii="宋体" w:hAnsi="宋体" w:cs="宋体"/>
          <w:i w:val="0"/>
          <w:iCs w:val="0"/>
          <w:color w:val="auto"/>
          <w:sz w:val="21"/>
          <w:szCs w:val="21"/>
          <w:highlight w:val="none"/>
          <w:u w:val="none"/>
          <w:lang w:val="en-US" w:eastAsia="zh-CN"/>
        </w:rPr>
        <w:t>主任</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rPr>
        <w:t>质疑联系方式：</w:t>
      </w:r>
      <w:r>
        <w:rPr>
          <w:rFonts w:hint="eastAsia" w:ascii="宋体" w:hAnsi="宋体" w:eastAsia="宋体" w:cs="宋体"/>
          <w:i w:val="0"/>
          <w:iCs w:val="0"/>
          <w:color w:val="auto"/>
          <w:sz w:val="21"/>
          <w:szCs w:val="21"/>
          <w:highlight w:val="none"/>
          <w:u w:val="none"/>
          <w:lang w:val="en-US" w:eastAsia="zh-CN"/>
        </w:rPr>
        <w:t xml:space="preserve">0574-59983072 </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2.采购代理机构信息</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eastAsia="zh-CN"/>
        </w:rPr>
      </w:pPr>
      <w:r>
        <w:rPr>
          <w:rFonts w:hint="eastAsia" w:ascii="宋体" w:hAnsi="宋体" w:eastAsia="宋体" w:cs="宋体"/>
          <w:i w:val="0"/>
          <w:iCs w:val="0"/>
          <w:color w:val="auto"/>
          <w:sz w:val="21"/>
          <w:szCs w:val="21"/>
          <w:highlight w:val="none"/>
          <w:u w:val="none"/>
        </w:rPr>
        <w:t>名</w:t>
      </w:r>
      <w:r>
        <w:rPr>
          <w:rFonts w:hint="eastAsia" w:ascii="宋体" w:hAnsi="宋体" w:eastAsia="宋体" w:cs="宋体"/>
          <w:i w:val="0"/>
          <w:iCs w:val="0"/>
          <w:color w:val="auto"/>
          <w:sz w:val="21"/>
          <w:szCs w:val="21"/>
          <w:highlight w:val="none"/>
          <w:u w:val="none"/>
          <w:lang w:val="en-US" w:eastAsia="zh-CN"/>
        </w:rPr>
        <w:t xml:space="preserve">    </w:t>
      </w:r>
      <w:r>
        <w:rPr>
          <w:rFonts w:hint="eastAsia" w:ascii="宋体" w:hAnsi="宋体" w:eastAsia="宋体" w:cs="宋体"/>
          <w:i w:val="0"/>
          <w:iCs w:val="0"/>
          <w:color w:val="auto"/>
          <w:sz w:val="21"/>
          <w:szCs w:val="21"/>
          <w:highlight w:val="none"/>
          <w:u w:val="none"/>
        </w:rPr>
        <w:t>称：</w:t>
      </w:r>
      <w:r>
        <w:rPr>
          <w:rFonts w:hint="eastAsia" w:ascii="宋体" w:hAnsi="宋体" w:cs="宋体"/>
          <w:i w:val="0"/>
          <w:iCs w:val="0"/>
          <w:color w:val="auto"/>
          <w:sz w:val="21"/>
          <w:szCs w:val="21"/>
          <w:highlight w:val="none"/>
          <w:u w:val="none"/>
          <w:lang w:eastAsia="zh-CN"/>
        </w:rPr>
        <w:t>浙江中基正采管理咨询有限公司</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地</w:t>
      </w:r>
      <w:r>
        <w:rPr>
          <w:rFonts w:hint="eastAsia" w:ascii="宋体" w:hAnsi="宋体" w:eastAsia="宋体" w:cs="宋体"/>
          <w:i w:val="0"/>
          <w:iCs w:val="0"/>
          <w:color w:val="auto"/>
          <w:sz w:val="21"/>
          <w:szCs w:val="21"/>
          <w:highlight w:val="none"/>
          <w:u w:val="none"/>
          <w:lang w:val="en-US" w:eastAsia="zh-CN"/>
        </w:rPr>
        <w:t xml:space="preserve">    </w:t>
      </w:r>
      <w:r>
        <w:rPr>
          <w:rFonts w:hint="eastAsia" w:ascii="宋体" w:hAnsi="宋体" w:eastAsia="宋体" w:cs="宋体"/>
          <w:i w:val="0"/>
          <w:iCs w:val="0"/>
          <w:color w:val="auto"/>
          <w:sz w:val="21"/>
          <w:szCs w:val="21"/>
          <w:highlight w:val="none"/>
          <w:u w:val="none"/>
        </w:rPr>
        <w:t>址：宁波市鄞州区天童南路666号中基大厦</w:t>
      </w:r>
      <w:r>
        <w:rPr>
          <w:rFonts w:hint="eastAsia" w:ascii="宋体" w:hAnsi="宋体" w:eastAsia="宋体" w:cs="宋体"/>
          <w:i w:val="0"/>
          <w:iCs w:val="0"/>
          <w:color w:val="auto"/>
          <w:sz w:val="21"/>
          <w:szCs w:val="21"/>
          <w:highlight w:val="none"/>
          <w:u w:val="none"/>
          <w:lang w:val="en-US" w:eastAsia="zh-CN"/>
        </w:rPr>
        <w:t>19楼</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传    真：0574-87425373</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项目联系人（询问）：</w:t>
      </w:r>
      <w:r>
        <w:rPr>
          <w:rFonts w:hint="eastAsia" w:ascii="宋体" w:hAnsi="宋体" w:cs="宋体"/>
          <w:i w:val="0"/>
          <w:iCs w:val="0"/>
          <w:color w:val="auto"/>
          <w:sz w:val="21"/>
          <w:szCs w:val="21"/>
          <w:highlight w:val="none"/>
          <w:u w:val="none"/>
          <w:lang w:val="en-US" w:eastAsia="zh-CN"/>
        </w:rPr>
        <w:t>朱贤东</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default"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项目联系方式（询问）：0574-8742</w:t>
      </w:r>
      <w:r>
        <w:rPr>
          <w:rFonts w:hint="eastAsia" w:ascii="宋体" w:hAnsi="宋体" w:cs="宋体"/>
          <w:i w:val="0"/>
          <w:iCs w:val="0"/>
          <w:color w:val="auto"/>
          <w:sz w:val="21"/>
          <w:szCs w:val="21"/>
          <w:highlight w:val="none"/>
          <w:u w:val="none"/>
          <w:lang w:val="en-US" w:eastAsia="zh-CN"/>
        </w:rPr>
        <w:t>5583</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rPr>
        <w:t>质疑联系人：</w:t>
      </w:r>
      <w:r>
        <w:rPr>
          <w:rFonts w:hint="eastAsia" w:ascii="宋体" w:hAnsi="宋体" w:cs="宋体"/>
          <w:i w:val="0"/>
          <w:iCs w:val="0"/>
          <w:color w:val="auto"/>
          <w:sz w:val="21"/>
          <w:szCs w:val="21"/>
          <w:highlight w:val="none"/>
          <w:u w:val="none"/>
          <w:lang w:val="en-US" w:eastAsia="zh-CN"/>
        </w:rPr>
        <w:t>王燕</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rPr>
        <w:t>质疑联系方式：</w:t>
      </w:r>
      <w:r>
        <w:rPr>
          <w:rFonts w:hint="eastAsia" w:ascii="宋体" w:hAnsi="宋体" w:eastAsia="宋体" w:cs="宋体"/>
          <w:i w:val="0"/>
          <w:iCs w:val="0"/>
          <w:color w:val="auto"/>
          <w:sz w:val="21"/>
          <w:szCs w:val="21"/>
          <w:highlight w:val="none"/>
          <w:u w:val="none"/>
          <w:lang w:val="en-US" w:eastAsia="zh-CN"/>
        </w:rPr>
        <w:t>0574-87425370</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rPr>
      </w:pPr>
      <w:r>
        <w:rPr>
          <w:rFonts w:hint="eastAsia" w:ascii="宋体" w:hAnsi="宋体" w:eastAsia="宋体" w:cs="宋体"/>
          <w:i w:val="0"/>
          <w:iCs w:val="0"/>
          <w:color w:val="auto"/>
          <w:sz w:val="21"/>
          <w:szCs w:val="21"/>
          <w:highlight w:val="none"/>
          <w:u w:val="none"/>
          <w:lang w:val="en-US" w:eastAsia="zh-CN"/>
        </w:rPr>
        <w:t>3.同级政府采购监督管理部门</w:t>
      </w:r>
      <w:r>
        <w:rPr>
          <w:rFonts w:hint="eastAsia" w:ascii="宋体" w:hAnsi="宋体" w:eastAsia="宋体" w:cs="宋体"/>
          <w:i w:val="0"/>
          <w:iCs w:val="0"/>
          <w:color w:val="auto"/>
          <w:sz w:val="21"/>
          <w:szCs w:val="21"/>
          <w:highlight w:val="none"/>
          <w:u w:val="none"/>
        </w:rPr>
        <w:t>：</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名    称：</w:t>
      </w:r>
      <w:r>
        <w:rPr>
          <w:rFonts w:hint="eastAsia" w:ascii="宋体" w:hAnsi="宋体" w:eastAsia="宋体" w:cs="宋体"/>
          <w:i w:val="0"/>
          <w:iCs w:val="0"/>
          <w:color w:val="auto"/>
          <w:sz w:val="21"/>
          <w:szCs w:val="21"/>
          <w:highlight w:val="none"/>
          <w:u w:val="none"/>
        </w:rPr>
        <w:t>宁海县政府采购管理办公室</w:t>
      </w:r>
      <w:r>
        <w:rPr>
          <w:rFonts w:hint="eastAsia" w:ascii="宋体" w:hAnsi="宋体" w:eastAsia="宋体" w:cs="宋体"/>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地    址：</w:t>
      </w:r>
      <w:r>
        <w:rPr>
          <w:rFonts w:hint="eastAsia" w:ascii="宋体" w:hAnsi="宋体" w:eastAsia="宋体" w:cs="宋体"/>
          <w:color w:val="auto"/>
          <w:szCs w:val="21"/>
          <w:highlight w:val="none"/>
        </w:rPr>
        <w:t>宁海县跃龙街道桃源中路218号</w:t>
      </w:r>
      <w:r>
        <w:rPr>
          <w:rFonts w:hint="eastAsia" w:ascii="宋体" w:hAnsi="宋体" w:eastAsia="宋体" w:cs="宋体"/>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传    真：</w:t>
      </w:r>
      <w:r>
        <w:rPr>
          <w:rFonts w:hint="eastAsia" w:ascii="宋体" w:hAnsi="宋体" w:eastAsia="宋体" w:cs="宋体"/>
          <w:color w:val="auto"/>
          <w:szCs w:val="21"/>
          <w:highlight w:val="none"/>
        </w:rPr>
        <w:t>0574-65265612</w:t>
      </w:r>
      <w:r>
        <w:rPr>
          <w:rFonts w:hint="eastAsia" w:ascii="宋体" w:hAnsi="宋体" w:eastAsia="宋体" w:cs="宋体"/>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联系人 ：</w:t>
      </w:r>
      <w:r>
        <w:rPr>
          <w:rFonts w:hint="eastAsia" w:ascii="宋体" w:hAnsi="宋体" w:eastAsia="宋体" w:cs="宋体"/>
          <w:color w:val="auto"/>
          <w:kern w:val="2"/>
          <w:szCs w:val="21"/>
          <w:highlight w:val="none"/>
          <w:lang w:eastAsia="zh-CN"/>
        </w:rPr>
        <w:t>王</w:t>
      </w:r>
      <w:r>
        <w:rPr>
          <w:rFonts w:hint="eastAsia" w:ascii="宋体" w:hAnsi="宋体" w:eastAsia="宋体" w:cs="宋体"/>
          <w:color w:val="auto"/>
          <w:kern w:val="2"/>
          <w:szCs w:val="21"/>
          <w:highlight w:val="none"/>
        </w:rPr>
        <w:t>老师</w:t>
      </w:r>
      <w:r>
        <w:rPr>
          <w:rFonts w:hint="eastAsia" w:ascii="宋体" w:hAnsi="宋体" w:eastAsia="宋体" w:cs="宋体"/>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336" w:lineRule="auto"/>
        <w:ind w:left="0" w:leftChars="0" w:firstLine="630" w:firstLineChars="300"/>
        <w:textAlignment w:val="auto"/>
        <w:rPr>
          <w:rFonts w:hint="eastAsia" w:ascii="宋体" w:hAnsi="宋体" w:eastAsia="宋体" w:cs="宋体"/>
          <w:i w:val="0"/>
          <w:iCs w:val="0"/>
          <w:color w:val="auto"/>
          <w:sz w:val="21"/>
          <w:szCs w:val="21"/>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投诉电话：</w:t>
      </w:r>
      <w:r>
        <w:rPr>
          <w:rFonts w:hint="eastAsia" w:ascii="宋体" w:hAnsi="宋体" w:eastAsia="宋体" w:cs="宋体"/>
          <w:color w:val="auto"/>
          <w:szCs w:val="21"/>
          <w:highlight w:val="none"/>
        </w:rPr>
        <w:t>0574-65265668</w:t>
      </w:r>
      <w:r>
        <w:rPr>
          <w:rFonts w:hint="eastAsia" w:ascii="宋体" w:hAnsi="宋体" w:eastAsia="宋体" w:cs="宋体"/>
          <w:i w:val="0"/>
          <w:iCs w:val="0"/>
          <w:color w:val="auto"/>
          <w:sz w:val="21"/>
          <w:szCs w:val="21"/>
          <w:highlight w:val="none"/>
          <w:u w:val="none"/>
          <w:lang w:val="en-US" w:eastAsia="zh-CN"/>
        </w:rPr>
        <w:t xml:space="preserve"> </w:t>
      </w:r>
    </w:p>
    <w:p>
      <w:pPr>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highlight w:val="none"/>
        </w:rPr>
        <w:t>若对项目采购电子交易系统操作有疑问，可登录政采云（https://www.zcygov.cn/），点击右侧咨询小采，获取采小蜜智能服务管家帮助，或拨打政采云服务热线400-881-7190获取热线服务帮助。</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bCs/>
          <w:color w:val="auto"/>
          <w:sz w:val="28"/>
          <w:szCs w:val="28"/>
          <w:highlight w:val="none"/>
        </w:rPr>
      </w:pPr>
      <w:r>
        <w:rPr>
          <w:rFonts w:hint="eastAsia" w:ascii="宋体" w:hAnsi="宋体" w:eastAsia="宋体" w:cs="宋体"/>
          <w:color w:val="auto"/>
          <w:highlight w:val="none"/>
        </w:rPr>
        <w:t>CA问题联系电话（人工）：汇信CA 400-888-4636；天谷CA 400-087-8198。</w:t>
      </w:r>
    </w:p>
    <w:p>
      <w:pPr>
        <w:keepNext w:val="0"/>
        <w:keepLines w:val="0"/>
        <w:pageBreakBefore w:val="0"/>
        <w:kinsoku/>
        <w:wordWrap/>
        <w:overflowPunct/>
        <w:topLinePunct w:val="0"/>
        <w:autoSpaceDE/>
        <w:autoSpaceDN/>
        <w:bidi w:val="0"/>
        <w:adjustRightInd/>
        <w:snapToGrid/>
        <w:spacing w:line="360" w:lineRule="auto"/>
        <w:ind w:leftChars="0" w:firstLine="420" w:firstLineChars="200"/>
        <w:jc w:val="right"/>
        <w:textAlignment w:val="auto"/>
        <w:rPr>
          <w:rFonts w:hint="eastAsia" w:ascii="宋体" w:hAnsi="宋体" w:eastAsia="宋体" w:cs="宋体"/>
          <w:color w:val="auto"/>
          <w:szCs w:val="21"/>
          <w:highlight w:val="none"/>
        </w:rPr>
      </w:pPr>
    </w:p>
    <w:p>
      <w:pPr>
        <w:pStyle w:val="14"/>
        <w:snapToGrid w:val="0"/>
        <w:spacing w:before="0" w:beforeLines="0" w:after="0" w:afterLines="0" w:line="360" w:lineRule="auto"/>
        <w:jc w:val="center"/>
        <w:outlineLvl w:val="0"/>
        <w:rPr>
          <w:rFonts w:hint="eastAsia" w:ascii="宋体" w:hAnsi="宋体" w:eastAsia="宋体" w:cs="宋体"/>
          <w:color w:val="auto"/>
          <w:sz w:val="32"/>
          <w:szCs w:val="32"/>
          <w:highlight w:val="none"/>
        </w:rPr>
      </w:pPr>
      <w:r>
        <w:rPr>
          <w:rFonts w:hint="eastAsia" w:ascii="宋体" w:hAnsi="宋体" w:eastAsia="宋体" w:cs="宋体"/>
          <w:b/>
          <w:bCs/>
          <w:color w:val="auto"/>
          <w:sz w:val="32"/>
          <w:szCs w:val="32"/>
          <w:highlight w:val="none"/>
        </w:rPr>
        <w:br w:type="page"/>
      </w:r>
      <w:bookmarkStart w:id="29" w:name="_Toc26922"/>
      <w:r>
        <w:rPr>
          <w:rFonts w:hint="eastAsia" w:ascii="宋体" w:hAnsi="宋体" w:eastAsia="宋体" w:cs="宋体"/>
          <w:b/>
          <w:color w:val="auto"/>
          <w:sz w:val="32"/>
          <w:szCs w:val="32"/>
          <w:highlight w:val="none"/>
        </w:rPr>
        <w:t>第二章  采购需求</w:t>
      </w:r>
      <w:bookmarkEnd w:id="29"/>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前附表</w:t>
      </w:r>
    </w:p>
    <w:tbl>
      <w:tblPr>
        <w:tblStyle w:val="23"/>
        <w:tblW w:w="8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2318"/>
        <w:gridCol w:w="5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项目</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采购需求内容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采购内容</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default" w:ascii="宋体" w:hAnsi="宋体" w:eastAsia="宋体" w:cs="宋体"/>
                <w:color w:val="auto"/>
                <w:szCs w:val="21"/>
                <w:highlight w:val="none"/>
                <w:lang w:val="en-US" w:eastAsia="zh-CN"/>
              </w:rPr>
            </w:pPr>
            <w:r>
              <w:rPr>
                <w:rFonts w:hint="eastAsia" w:ascii="宋体" w:hAnsi="宋体" w:eastAsia="宋体" w:cs="宋体"/>
                <w:bCs/>
                <w:color w:val="auto"/>
                <w:szCs w:val="21"/>
                <w:highlight w:val="none"/>
              </w:rPr>
              <w:t>详见</w:t>
            </w:r>
            <w:r>
              <w:rPr>
                <w:rFonts w:hint="eastAsia" w:ascii="宋体" w:hAnsi="宋体" w:cs="宋体"/>
                <w:color w:val="auto"/>
                <w:szCs w:val="21"/>
                <w:highlight w:val="none"/>
                <w:lang w:val="en-US" w:eastAsia="zh-CN"/>
              </w:rPr>
              <w:t>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单位及数量</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详见</w:t>
            </w:r>
            <w:r>
              <w:rPr>
                <w:rFonts w:hint="eastAsia" w:ascii="宋体" w:hAnsi="宋体" w:eastAsia="宋体" w:cs="宋体"/>
                <w:color w:val="auto"/>
                <w:szCs w:val="21"/>
                <w:highlight w:val="none"/>
              </w:rPr>
              <w:t>第一章 《</w:t>
            </w:r>
            <w:r>
              <w:rPr>
                <w:rFonts w:hint="eastAsia" w:ascii="宋体" w:hAnsi="宋体" w:eastAsia="宋体" w:cs="宋体"/>
                <w:color w:val="auto"/>
                <w:szCs w:val="21"/>
                <w:highlight w:val="none"/>
                <w:lang w:eastAsia="zh-CN"/>
              </w:rPr>
              <w:t>公开招标公告</w:t>
            </w:r>
            <w:r>
              <w:rPr>
                <w:rFonts w:hint="eastAsia" w:ascii="宋体" w:hAnsi="宋体" w:eastAsia="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交付或者实施的时间和地点</w:t>
            </w:r>
          </w:p>
        </w:tc>
        <w:tc>
          <w:tcPr>
            <w:tcW w:w="5191" w:type="dxa"/>
            <w:noWrap w:val="0"/>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336" w:lineRule="auto"/>
              <w:jc w:val="both"/>
              <w:rPr>
                <w:rFonts w:hint="eastAsia" w:ascii="宋体" w:hAnsi="宋体" w:eastAsia="宋体" w:cs="宋体"/>
                <w:b w:val="0"/>
                <w:bCs w:val="0"/>
                <w:color w:val="auto"/>
                <w:szCs w:val="21"/>
                <w:highlight w:val="none"/>
              </w:rPr>
            </w:pPr>
            <w:r>
              <w:rPr>
                <w:rFonts w:hint="eastAsia" w:ascii="宋体" w:hAnsi="宋体" w:eastAsia="宋体" w:cs="宋体"/>
                <w:b w:val="0"/>
                <w:bCs w:val="0"/>
                <w:color w:val="auto"/>
                <w:szCs w:val="21"/>
                <w:highlight w:val="none"/>
              </w:rPr>
              <w:t>服务期限：详见第一章 《</w:t>
            </w:r>
            <w:r>
              <w:rPr>
                <w:rFonts w:hint="eastAsia" w:ascii="宋体" w:hAnsi="宋体" w:eastAsia="宋体" w:cs="宋体"/>
                <w:b w:val="0"/>
                <w:bCs w:val="0"/>
                <w:color w:val="auto"/>
                <w:szCs w:val="21"/>
                <w:highlight w:val="none"/>
                <w:lang w:eastAsia="zh-CN"/>
              </w:rPr>
              <w:t>公开招标公告</w:t>
            </w:r>
            <w:r>
              <w:rPr>
                <w:rFonts w:hint="eastAsia" w:ascii="宋体" w:hAnsi="宋体" w:eastAsia="宋体" w:cs="宋体"/>
                <w:b w:val="0"/>
                <w:bCs w:val="0"/>
                <w:color w:val="auto"/>
                <w:szCs w:val="21"/>
                <w:highlight w:val="none"/>
              </w:rPr>
              <w:t>》</w:t>
            </w:r>
          </w:p>
          <w:p>
            <w:pPr>
              <w:keepNext w:val="0"/>
              <w:keepLines w:val="0"/>
              <w:pageBreakBefore w:val="0"/>
              <w:widowControl w:val="0"/>
              <w:numPr>
                <w:ilvl w:val="0"/>
                <w:numId w:val="3"/>
              </w:numPr>
              <w:kinsoku/>
              <w:wordWrap/>
              <w:overflowPunct/>
              <w:topLinePunct w:val="0"/>
              <w:autoSpaceDE/>
              <w:autoSpaceDN/>
              <w:bidi w:val="0"/>
              <w:adjustRightInd/>
              <w:snapToGrid/>
              <w:spacing w:line="336" w:lineRule="auto"/>
              <w:jc w:val="both"/>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Cs w:val="21"/>
                <w:highlight w:val="none"/>
              </w:rPr>
              <w:t>实施地点：详见本章内容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需实现的功能或者目标</w:t>
            </w:r>
          </w:p>
        </w:tc>
        <w:tc>
          <w:tcPr>
            <w:tcW w:w="519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36"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textAlignment w:val="baseline"/>
              <w:rPr>
                <w:rFonts w:hint="eastAsia" w:ascii="宋体" w:hAnsi="宋体" w:eastAsia="宋体" w:cs="宋体"/>
                <w:color w:val="auto"/>
                <w:szCs w:val="21"/>
                <w:highlight w:val="none"/>
              </w:rPr>
            </w:pPr>
            <w:r>
              <w:rPr>
                <w:rFonts w:hint="eastAsia" w:ascii="宋体" w:hAnsi="宋体" w:eastAsia="宋体" w:cs="宋体"/>
                <w:color w:val="auto"/>
                <w:szCs w:val="21"/>
                <w:highlight w:val="none"/>
              </w:rPr>
              <w:t>执行的国家相关标准、行业标准、地方标准或者其它标准、规范</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数据中心</w:t>
            </w:r>
            <w:r>
              <w:rPr>
                <w:rFonts w:hint="eastAsia" w:ascii="宋体" w:hAnsi="宋体" w:eastAsia="宋体" w:cs="宋体"/>
                <w:color w:val="auto"/>
                <w:szCs w:val="21"/>
                <w:highlight w:val="none"/>
              </w:rPr>
              <w:t>设计规范》（GB50174-</w:t>
            </w:r>
            <w:r>
              <w:rPr>
                <w:rFonts w:hint="eastAsia" w:ascii="宋体" w:hAnsi="宋体" w:cs="宋体"/>
                <w:color w:val="auto"/>
                <w:szCs w:val="21"/>
                <w:highlight w:val="none"/>
                <w:lang w:val="en-US" w:eastAsia="zh-CN"/>
              </w:rPr>
              <w:t>2017</w:t>
            </w:r>
            <w:r>
              <w:rPr>
                <w:rFonts w:hint="eastAsia" w:ascii="宋体" w:hAnsi="宋体" w:eastAsia="宋体" w:cs="宋体"/>
                <w:color w:val="auto"/>
                <w:szCs w:val="21"/>
                <w:highlight w:val="none"/>
              </w:rPr>
              <w:t>）</w:t>
            </w:r>
            <w:r>
              <w:rPr>
                <w:rFonts w:hint="eastAsia" w:ascii="宋体" w:hAnsi="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《民用建筑电气设计规范》(JGJ/T16-</w:t>
            </w:r>
            <w:r>
              <w:rPr>
                <w:rFonts w:hint="eastAsia" w:ascii="宋体" w:hAnsi="宋体" w:cs="宋体"/>
                <w:color w:val="auto"/>
                <w:szCs w:val="21"/>
                <w:highlight w:val="none"/>
                <w:lang w:val="en-US" w:eastAsia="zh-CN"/>
              </w:rPr>
              <w:t>2008</w:t>
            </w:r>
            <w:r>
              <w:rPr>
                <w:rFonts w:hint="eastAsia" w:ascii="宋体" w:hAnsi="宋体" w:eastAsia="宋体" w:cs="宋体"/>
                <w:color w:val="auto"/>
                <w:szCs w:val="21"/>
                <w:highlight w:val="none"/>
              </w:rPr>
              <w:t>)《智能建筑设计标准》 (GB 50314-2015)</w:t>
            </w:r>
            <w:r>
              <w:rPr>
                <w:rFonts w:hint="eastAsia" w:ascii="宋体" w:hAnsi="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《电气装置安装工程</w:t>
            </w:r>
            <w:r>
              <w:rPr>
                <w:rFonts w:hint="eastAsia" w:ascii="宋体" w:hAnsi="宋体" w:cs="宋体"/>
                <w:color w:val="auto"/>
                <w:szCs w:val="21"/>
                <w:highlight w:val="none"/>
                <w:lang w:val="en-US" w:eastAsia="zh-CN"/>
              </w:rPr>
              <w:t>低压电器</w:t>
            </w:r>
            <w:r>
              <w:rPr>
                <w:rFonts w:hint="eastAsia" w:ascii="宋体" w:hAnsi="宋体" w:eastAsia="宋体" w:cs="宋体"/>
                <w:color w:val="auto"/>
                <w:szCs w:val="21"/>
                <w:highlight w:val="none"/>
              </w:rPr>
              <w:t>施工及验收规范》(GB 50254-2014)</w:t>
            </w:r>
          </w:p>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《信息技术设备（包括电气事务设备）的安全》 (GB4943-</w:t>
            </w:r>
            <w:r>
              <w:rPr>
                <w:rFonts w:hint="eastAsia" w:ascii="宋体" w:hAnsi="宋体" w:cs="宋体"/>
                <w:color w:val="auto"/>
                <w:szCs w:val="21"/>
                <w:highlight w:val="none"/>
                <w:lang w:val="en-US" w:eastAsia="zh-CN"/>
              </w:rPr>
              <w:t>19</w:t>
            </w:r>
            <w:r>
              <w:rPr>
                <w:rFonts w:hint="eastAsia" w:ascii="宋体" w:hAnsi="宋体" w:eastAsia="宋体" w:cs="宋体"/>
                <w:color w:val="auto"/>
                <w:szCs w:val="21"/>
                <w:highlight w:val="none"/>
              </w:rPr>
              <w:t>95)</w:t>
            </w:r>
            <w:r>
              <w:rPr>
                <w:rFonts w:hint="eastAsia" w:ascii="宋体" w:hAnsi="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《安全防范工程技术标准国家标准》(GB50348-2018)</w:t>
            </w:r>
            <w:r>
              <w:rPr>
                <w:rFonts w:hint="eastAsia" w:ascii="宋体" w:hAnsi="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《民用闭路电视监控电视系统工程技术规范》(GB50198-</w:t>
            </w:r>
            <w:r>
              <w:rPr>
                <w:rFonts w:hint="eastAsia" w:ascii="宋体" w:hAnsi="宋体" w:cs="宋体"/>
                <w:color w:val="auto"/>
                <w:szCs w:val="21"/>
                <w:highlight w:val="none"/>
                <w:lang w:val="en-US" w:eastAsia="zh-CN"/>
              </w:rPr>
              <w:t>2011</w:t>
            </w:r>
            <w:r>
              <w:rPr>
                <w:rFonts w:hint="eastAsia" w:ascii="宋体" w:hAnsi="宋体" w:eastAsia="宋体" w:cs="宋体"/>
                <w:color w:val="auto"/>
                <w:szCs w:val="21"/>
                <w:highlight w:val="none"/>
              </w:rPr>
              <w:t>)</w:t>
            </w:r>
            <w:r>
              <w:rPr>
                <w:rFonts w:hint="eastAsia" w:ascii="宋体" w:hAnsi="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《跨区域视频监控联网共享技术规范》（DB33/T629-2011）</w:t>
            </w:r>
            <w:r>
              <w:rPr>
                <w:rFonts w:hint="eastAsia" w:ascii="宋体" w:hAnsi="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《安全防范视频监控联网系统信息传输、交换、控制技术要求》（GB/T 28181-2011）</w:t>
            </w:r>
            <w:r>
              <w:rPr>
                <w:rFonts w:hint="eastAsia" w:ascii="宋体" w:hAnsi="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《信息技术射频识别》（ISO/IEC 15963-05-CAN/CSA-2005）</w:t>
            </w:r>
            <w:r>
              <w:rPr>
                <w:rFonts w:hint="eastAsia" w:ascii="宋体" w:hAnsi="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10）</w:t>
            </w:r>
            <w:r>
              <w:rPr>
                <w:rFonts w:hint="eastAsia" w:ascii="宋体" w:hAnsi="宋体" w:eastAsia="宋体" w:cs="宋体"/>
                <w:color w:val="auto"/>
                <w:szCs w:val="21"/>
                <w:highlight w:val="none"/>
              </w:rPr>
              <w:t>《视频安防监控系统工程设计规范》（GB 50395-2007）</w:t>
            </w:r>
            <w:r>
              <w:rPr>
                <w:rFonts w:hint="eastAsia" w:ascii="宋体" w:hAnsi="宋体" w:cs="宋体"/>
                <w:color w:val="auto"/>
                <w:szCs w:val="21"/>
                <w:highlight w:val="none"/>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技术规格要求</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物理特性要求</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详见本章内容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质量、安全要求</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（1）质量要求：详见本章内容</w:t>
            </w:r>
            <w:r>
              <w:rPr>
                <w:rFonts w:hint="eastAsia" w:ascii="宋体" w:hAnsi="宋体" w:cs="宋体"/>
                <w:color w:val="auto"/>
                <w:szCs w:val="21"/>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（2）安全要求：合格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9</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验收标准</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highlight w:val="none"/>
              </w:rPr>
            </w:pPr>
            <w:r>
              <w:rPr>
                <w:rFonts w:hint="eastAsia" w:ascii="宋体" w:hAnsi="宋体" w:cs="宋体"/>
                <w:color w:val="auto"/>
                <w:highlight w:val="none"/>
              </w:rPr>
              <w:t>符合国家、浙江省、宁波市验收规范（从高）一次性验收合格标准</w:t>
            </w:r>
            <w:r>
              <w:rPr>
                <w:rFonts w:hint="eastAsia" w:ascii="宋体" w:hAnsi="宋体" w:cs="宋体"/>
                <w:color w:val="auto"/>
                <w:highlight w:val="none"/>
                <w:lang w:val="en-US" w:eastAsia="zh-CN"/>
              </w:rPr>
              <w:t>并经采购人（或采购人组织的专家小组）验收合格</w:t>
            </w:r>
            <w:r>
              <w:rPr>
                <w:rFonts w:hint="eastAsia" w:ascii="宋体" w:hAnsi="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0</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现场踏勘</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lang w:eastAsia="zh-CN"/>
              </w:rPr>
            </w:pPr>
            <w:r>
              <w:rPr>
                <w:rFonts w:hint="eastAsia" w:ascii="宋体" w:hAnsi="宋体" w:eastAsia="宋体" w:cs="宋体"/>
                <w:color w:val="auto"/>
                <w:highlight w:val="none"/>
                <w:lang w:eastAsia="zh-CN"/>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1</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演示时间及地点</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2</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样品要求</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ascii="宋体" w:hAnsi="宋体" w:cs="宋体"/>
                <w:color w:val="auto"/>
                <w:szCs w:val="21"/>
                <w:highlight w:val="none"/>
                <w:lang w:val="en-US" w:eastAsia="zh-CN"/>
              </w:rPr>
              <w:t>3</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本项目的核心产品</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视频监控设备建设、无人机服务、指挥中心设备建设、智慧公厕感知设施建设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70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★14</w:t>
            </w:r>
          </w:p>
        </w:tc>
        <w:tc>
          <w:tcPr>
            <w:tcW w:w="2318"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left"/>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其他说明</w:t>
            </w:r>
          </w:p>
        </w:tc>
        <w:tc>
          <w:tcPr>
            <w:tcW w:w="5191"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both"/>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本项目不允许采购进口产品</w:t>
            </w:r>
          </w:p>
        </w:tc>
      </w:tr>
    </w:tbl>
    <w:p>
      <w:pPr>
        <w:spacing w:line="360" w:lineRule="auto"/>
        <w:rPr>
          <w:rFonts w:hint="eastAsia" w:ascii="宋体" w:hAnsi="宋体" w:eastAsia="宋体" w:cs="宋体"/>
          <w:b/>
          <w:color w:val="auto"/>
          <w:szCs w:val="21"/>
          <w:highlight w:val="none"/>
          <w:lang w:eastAsia="zh-CN" w:bidi="ar"/>
        </w:rPr>
      </w:pPr>
      <w:r>
        <w:rPr>
          <w:rFonts w:hint="eastAsia" w:ascii="宋体" w:hAnsi="宋体" w:eastAsia="宋体" w:cs="宋体"/>
          <w:b/>
          <w:color w:val="auto"/>
          <w:szCs w:val="21"/>
          <w:highlight w:val="none"/>
        </w:rPr>
        <w:br w:type="page"/>
      </w:r>
      <w:r>
        <w:rPr>
          <w:rFonts w:hint="eastAsia" w:ascii="宋体" w:hAnsi="宋体" w:eastAsia="宋体" w:cs="宋体"/>
          <w:color w:val="auto"/>
          <w:szCs w:val="21"/>
          <w:highlight w:val="none"/>
        </w:rPr>
        <w:t>★</w:t>
      </w:r>
      <w:r>
        <w:rPr>
          <w:rFonts w:hint="eastAsia" w:ascii="宋体" w:hAnsi="宋体" w:eastAsia="宋体" w:cs="宋体"/>
          <w:b/>
          <w:color w:val="auto"/>
          <w:szCs w:val="21"/>
          <w:highlight w:val="none"/>
        </w:rPr>
        <w:t>一、</w:t>
      </w:r>
      <w:r>
        <w:rPr>
          <w:rFonts w:hint="eastAsia" w:ascii="宋体" w:hAnsi="宋体" w:eastAsia="宋体" w:cs="宋体"/>
          <w:b/>
          <w:color w:val="auto"/>
          <w:szCs w:val="21"/>
          <w:highlight w:val="none"/>
          <w:lang w:eastAsia="zh-CN"/>
        </w:rPr>
        <w:t>重要商务要求一览表</w:t>
      </w:r>
    </w:p>
    <w:tbl>
      <w:tblPr>
        <w:tblStyle w:val="23"/>
        <w:tblW w:w="847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970"/>
        <w:gridCol w:w="65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bCs/>
                <w:color w:val="auto"/>
                <w:sz w:val="21"/>
                <w:szCs w:val="21"/>
                <w:highlight w:val="none"/>
              </w:rPr>
            </w:pPr>
            <w:bookmarkStart w:id="30" w:name="_Toc513103337"/>
            <w:r>
              <w:rPr>
                <w:rFonts w:hint="eastAsia" w:ascii="宋体" w:hAnsi="宋体" w:eastAsia="宋体" w:cs="宋体"/>
                <w:b/>
                <w:bCs/>
                <w:color w:val="auto"/>
                <w:sz w:val="21"/>
                <w:szCs w:val="21"/>
                <w:highlight w:val="none"/>
              </w:rPr>
              <w:t>项目</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 xml:space="preserve">要 求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baseline"/>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服务期限及地点</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lang w:eastAsia="zh-CN"/>
              </w:rPr>
              <w:t>）服务期限：详见第一章 《公开招标公告》。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lang w:eastAsia="zh-CN"/>
              </w:rPr>
              <w:t>）实施地点：采购人指定地点。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2、付款方式</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合同签订</w:t>
            </w:r>
            <w:r>
              <w:rPr>
                <w:rFonts w:hint="eastAsia" w:ascii="宋体" w:hAnsi="宋体" w:cs="宋体"/>
                <w:color w:val="auto"/>
                <w:sz w:val="21"/>
                <w:szCs w:val="21"/>
                <w:highlight w:val="none"/>
                <w:lang w:val="en-US" w:eastAsia="zh-CN"/>
              </w:rPr>
              <w:t>后支付合同总价30%的预付款；</w:t>
            </w:r>
            <w:r>
              <w:rPr>
                <w:rFonts w:hint="eastAsia"/>
                <w:color w:val="auto"/>
                <w:highlight w:val="none"/>
                <w:lang w:eastAsia="zh-CN"/>
              </w:rPr>
              <w:t>项目建设完成经试运行通过并经</w:t>
            </w:r>
            <w:r>
              <w:rPr>
                <w:rFonts w:hint="eastAsia"/>
                <w:color w:val="auto"/>
                <w:highlight w:val="none"/>
                <w:lang w:val="en-US" w:eastAsia="zh-CN"/>
              </w:rPr>
              <w:t>采购人</w:t>
            </w:r>
            <w:r>
              <w:rPr>
                <w:rFonts w:hint="eastAsia"/>
                <w:color w:val="auto"/>
                <w:highlight w:val="none"/>
                <w:lang w:eastAsia="zh-CN"/>
              </w:rPr>
              <w:t>最终竣工验收通过后起算</w:t>
            </w:r>
            <w:r>
              <w:rPr>
                <w:rFonts w:hint="eastAsia" w:ascii="宋体" w:hAnsi="宋体" w:eastAsia="宋体" w:cs="宋体"/>
                <w:color w:val="auto"/>
                <w:sz w:val="21"/>
                <w:szCs w:val="21"/>
                <w:highlight w:val="none"/>
                <w:lang w:val="en-US" w:eastAsia="zh-CN"/>
              </w:rPr>
              <w:t>，视频监控设备建设、指挥中心设备建设、智慧公厕感知设施建设费用分10期支付，每半年支付一次。（先使用后支付</w:t>
            </w:r>
            <w:r>
              <w:rPr>
                <w:rFonts w:hint="eastAsia" w:ascii="宋体" w:hAnsi="宋体" w:cs="宋体"/>
                <w:color w:val="auto"/>
                <w:sz w:val="21"/>
                <w:szCs w:val="21"/>
                <w:highlight w:val="none"/>
                <w:lang w:val="en-US" w:eastAsia="zh-CN"/>
              </w:rPr>
              <w:t>，先从预付款中扣除相应金额，待预付款支付完后再另行按实支付</w:t>
            </w:r>
            <w:r>
              <w:rPr>
                <w:rFonts w:hint="eastAsia" w:ascii="宋体" w:hAnsi="宋体" w:eastAsia="宋体" w:cs="宋体"/>
                <w:color w:val="auto"/>
                <w:sz w:val="21"/>
                <w:szCs w:val="21"/>
                <w:highlight w:val="none"/>
                <w:lang w:val="en-US" w:eastAsia="zh-CN"/>
              </w:rPr>
              <w:t>）。无人机巡查服务按照实际飞行次数核算，采用一年一付方式</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lang w:val="en-US" w:eastAsia="zh-CN"/>
              </w:rPr>
              <w:t>每</w:t>
            </w:r>
            <w:r>
              <w:rPr>
                <w:rFonts w:hint="eastAsia" w:ascii="宋体" w:hAnsi="宋体" w:cs="宋体"/>
                <w:color w:val="auto"/>
                <w:sz w:val="21"/>
                <w:szCs w:val="21"/>
                <w:highlight w:val="none"/>
                <w:lang w:val="en-US" w:eastAsia="zh-CN"/>
              </w:rPr>
              <w:t>次</w:t>
            </w:r>
            <w:r>
              <w:rPr>
                <w:rFonts w:hint="eastAsia" w:ascii="宋体" w:hAnsi="宋体" w:eastAsia="宋体" w:cs="宋体"/>
                <w:color w:val="auto"/>
                <w:sz w:val="21"/>
                <w:szCs w:val="21"/>
                <w:highlight w:val="none"/>
                <w:lang w:val="en-US" w:eastAsia="zh-CN"/>
              </w:rPr>
              <w:t>实际支付金额按考核结果，考核办法参考附件。合同期内所有费用为包干价，任何情况下不再追加。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、履约保证金</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履约保证金的收取及退还：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（1）履约保证金金额：合同总价的</w:t>
            </w:r>
            <w:r>
              <w:rPr>
                <w:rFonts w:hint="eastAsia" w:ascii="宋体" w:hAnsi="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（2）履约保证金形式：银行汇票（电汇）、银行保函、保险</w:t>
            </w:r>
            <w:r>
              <w:rPr>
                <w:rFonts w:hint="eastAsia" w:ascii="宋体" w:hAnsi="宋体" w:eastAsia="宋体" w:cs="宋体"/>
                <w:color w:val="auto"/>
                <w:sz w:val="21"/>
                <w:szCs w:val="21"/>
                <w:highlight w:val="none"/>
                <w:lang w:val="en-US" w:eastAsia="zh-CN"/>
              </w:rPr>
              <w:t>保单</w:t>
            </w:r>
            <w:r>
              <w:rPr>
                <w:rFonts w:hint="eastAsia" w:ascii="宋体" w:hAnsi="宋体" w:eastAsia="宋体" w:cs="宋体"/>
                <w:color w:val="auto"/>
                <w:sz w:val="21"/>
                <w:szCs w:val="21"/>
                <w:highlight w:val="none"/>
                <w:lang w:eastAsia="zh-CN"/>
              </w:rPr>
              <w:t>或支票（仅限于使用宁波大市区范围内的银行开具的支票）；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（3）履约保证金的退取：在</w:t>
            </w:r>
            <w:r>
              <w:rPr>
                <w:rFonts w:hint="eastAsia" w:ascii="宋体" w:hAnsi="宋体" w:eastAsia="宋体" w:cs="宋体"/>
                <w:color w:val="auto"/>
                <w:sz w:val="21"/>
                <w:szCs w:val="21"/>
                <w:highlight w:val="none"/>
                <w:lang w:val="en-US" w:eastAsia="zh-CN"/>
              </w:rPr>
              <w:t>中标人</w:t>
            </w:r>
            <w:r>
              <w:rPr>
                <w:rFonts w:hint="eastAsia" w:ascii="宋体" w:hAnsi="宋体" w:eastAsia="宋体" w:cs="宋体"/>
                <w:color w:val="auto"/>
                <w:sz w:val="21"/>
                <w:szCs w:val="21"/>
                <w:highlight w:val="none"/>
                <w:lang w:eastAsia="zh-CN"/>
              </w:rPr>
              <w:t>履行完采购合同约定义务事项后及时退还。（如中标人未能履行合同规定的任何义务，</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lang w:eastAsia="zh-CN"/>
              </w:rPr>
              <w:t>人有权从履约保证金</w:t>
            </w:r>
            <w:r>
              <w:rPr>
                <w:rFonts w:hint="eastAsia"/>
                <w:color w:val="auto"/>
                <w:highlight w:val="none"/>
                <w:lang w:val="en-US" w:eastAsia="zh-CN"/>
              </w:rPr>
              <w:t>中优先扣除应由中标人承担的违约金、赔偿金以及所有与合同履行相关的费用，履约保证金扣除后，中标人应于三日内补足</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sz w:val="21"/>
                <w:szCs w:val="21"/>
                <w:highlight w:val="none"/>
                <w:lang w:val="en-US" w:eastAsia="zh-CN"/>
              </w:rPr>
            </w:pPr>
            <w:r>
              <w:rPr>
                <w:rFonts w:hint="eastAsia" w:ascii="宋体" w:hAnsi="宋体" w:cs="宋体"/>
                <w:color w:val="auto"/>
                <w:szCs w:val="21"/>
                <w:highlight w:val="none"/>
                <w:lang w:val="en-US" w:eastAsia="zh-CN"/>
              </w:rPr>
              <w:t>4</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质保期及</w:t>
            </w:r>
            <w:r>
              <w:rPr>
                <w:rFonts w:hint="eastAsia" w:ascii="宋体" w:hAnsi="宋体" w:cs="宋体"/>
                <w:color w:val="auto"/>
                <w:szCs w:val="21"/>
                <w:highlight w:val="none"/>
              </w:rPr>
              <w:t>备品备件要求</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cs="宋体"/>
                <w:color w:val="auto"/>
                <w:sz w:val="21"/>
                <w:szCs w:val="21"/>
                <w:highlight w:val="none"/>
                <w:lang w:val="en-US" w:eastAsia="zh-CN"/>
              </w:rPr>
            </w:pPr>
            <w:r>
              <w:rPr>
                <w:rFonts w:hint="eastAsia" w:ascii="宋体" w:hAnsi="宋体" w:cs="宋体"/>
                <w:color w:val="auto"/>
                <w:sz w:val="21"/>
                <w:szCs w:val="21"/>
                <w:highlight w:val="none"/>
                <w:lang w:val="en-US" w:eastAsia="zh-CN"/>
              </w:rPr>
              <w:t>质保期：</w:t>
            </w:r>
            <w:r>
              <w:rPr>
                <w:rFonts w:hint="eastAsia"/>
                <w:color w:val="auto"/>
                <w:highlight w:val="none"/>
                <w:lang w:eastAsia="zh-CN"/>
              </w:rPr>
              <w:t>项目建设完成并通过竣工</w:t>
            </w:r>
            <w:r>
              <w:rPr>
                <w:rFonts w:hint="eastAsia"/>
                <w:color w:val="auto"/>
                <w:highlight w:val="none"/>
                <w:lang w:val="en-US" w:eastAsia="zh-CN"/>
              </w:rPr>
              <w:t>验收</w:t>
            </w:r>
            <w:r>
              <w:rPr>
                <w:rFonts w:hint="eastAsia" w:ascii="宋体" w:hAnsi="宋体" w:cs="宋体"/>
                <w:color w:val="auto"/>
                <w:sz w:val="21"/>
                <w:szCs w:val="21"/>
                <w:highlight w:val="none"/>
                <w:lang w:val="en-US" w:eastAsia="zh-CN"/>
              </w:rPr>
              <w:t>合格后5年。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免费提供运维服务期内备品备件；供应商对各种易损的设备须提供足够的备品备件、附件和耗材并保证是原厂生产，以满足设备正常运行的需要。供应商须在投标文件中提供相应备品备件清单。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、培训要求</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中标人应详细制定人员培训方案，包括培训目的、培训内容、培训时间安排、人数、次数等。培训费用包括在投标报价中。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cs="宋体"/>
                <w:color w:val="auto"/>
                <w:szCs w:val="21"/>
                <w:highlight w:val="none"/>
                <w:lang w:val="en-US" w:eastAsia="zh-CN"/>
              </w:rPr>
            </w:pPr>
            <w:r>
              <w:rPr>
                <w:rFonts w:hint="eastAsia" w:ascii="宋体" w:hAnsi="宋体" w:cs="宋体"/>
                <w:color w:val="auto"/>
                <w:szCs w:val="21"/>
                <w:highlight w:val="none"/>
                <w:lang w:val="en-US" w:eastAsia="zh-CN"/>
              </w:rPr>
              <w:t>6</w:t>
            </w:r>
            <w:r>
              <w:rPr>
                <w:rFonts w:hint="eastAsia" w:ascii="宋体" w:hAnsi="宋体" w:cs="宋体"/>
                <w:color w:val="auto"/>
                <w:szCs w:val="21"/>
                <w:highlight w:val="none"/>
              </w:rPr>
              <w:t>、技术支持和售后服务要求</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1、供应商应根据采购人的需求，对所提供的系统保证全面、有效、及时的技术支持和运营维护服务。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2、应提供的伴随服务：安装、调试、验收、培训、服务期内系统的运行及维护保养等一切服务。供应商应在投标文件中详细说明技术服务的范围和程序。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3、在试运行期间，供应商应指定有经验的技术人员在现场负责系统的运行和维护，若系统出现问题或故障，供应商应免费进行故障处理和软件更新</w:t>
            </w:r>
            <w:r>
              <w:rPr>
                <w:rFonts w:hint="eastAsia"/>
                <w:color w:val="auto"/>
                <w:highlight w:val="none"/>
                <w:lang w:eastAsia="zh-CN"/>
              </w:rPr>
              <w:t>，试运行期限自故障排除后重新计算</w:t>
            </w:r>
            <w:r>
              <w:rPr>
                <w:rFonts w:hint="eastAsia" w:ascii="宋体" w:hAnsi="宋体" w:eastAsia="宋体" w:cs="宋体"/>
                <w:color w:val="auto"/>
                <w:sz w:val="21"/>
                <w:szCs w:val="21"/>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4、中标人应对提交的系统提供终验后的运维服务期限内的系统升级及维护服务。在此期间如果中标人推出新的版本，如采购人认为必要，中标人应提供免费升级。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5、在项目实施周期及服务期限内</w:t>
            </w:r>
            <w:r>
              <w:rPr>
                <w:rFonts w:hint="eastAsia"/>
                <w:color w:val="auto"/>
                <w:highlight w:val="none"/>
                <w:lang w:eastAsia="zh-CN"/>
              </w:rPr>
              <w:t>（包括建设期、试运行期间、运维期间）</w:t>
            </w:r>
            <w:r>
              <w:rPr>
                <w:rFonts w:hint="eastAsia" w:ascii="宋体" w:hAnsi="宋体" w:eastAsia="宋体" w:cs="宋体"/>
                <w:color w:val="auto"/>
                <w:sz w:val="21"/>
                <w:szCs w:val="21"/>
                <w:highlight w:val="none"/>
                <w:lang w:eastAsia="zh-CN"/>
              </w:rPr>
              <w:t>，至少要保证 2 名工程师常驻现场服务。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left"/>
              <w:rPr>
                <w:rFonts w:hint="eastAsia" w:ascii="宋体" w:hAnsi="宋体" w:eastAsia="宋体" w:cs="宋体"/>
                <w:color w:val="auto"/>
                <w:sz w:val="21"/>
                <w:szCs w:val="21"/>
                <w:highlight w:val="none"/>
              </w:rPr>
            </w:pPr>
            <w:r>
              <w:rPr>
                <w:rFonts w:hint="eastAsia" w:ascii="宋体" w:hAnsi="宋体" w:cs="宋体"/>
                <w:color w:val="auto"/>
                <w:szCs w:val="21"/>
                <w:highlight w:val="none"/>
                <w:lang w:val="en-US" w:eastAsia="zh-CN"/>
              </w:rPr>
              <w:t>7</w:t>
            </w:r>
            <w:r>
              <w:rPr>
                <w:rFonts w:hint="eastAsia" w:ascii="宋体" w:hAnsi="宋体" w:cs="宋体"/>
                <w:color w:val="auto"/>
                <w:szCs w:val="21"/>
                <w:highlight w:val="none"/>
              </w:rPr>
              <w:t>、</w:t>
            </w:r>
            <w:r>
              <w:rPr>
                <w:rFonts w:hint="eastAsia" w:cs="宋体"/>
                <w:color w:val="auto"/>
                <w:highlight w:val="none"/>
              </w:rPr>
              <w:t>保险条款</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0" w:firstLine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供应商须在中标后，合同签订一周内向采购人提供施工工程责任险保单。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、质量保证</w:t>
            </w:r>
          </w:p>
        </w:tc>
        <w:tc>
          <w:tcPr>
            <w:tcW w:w="6509" w:type="dxa"/>
            <w:tcBorders>
              <w:top w:val="single" w:color="auto" w:sz="4" w:space="0"/>
              <w:left w:val="single" w:color="auto" w:sz="4" w:space="0"/>
              <w:bottom w:val="single" w:color="auto" w:sz="4" w:space="0"/>
              <w:right w:val="single" w:color="auto" w:sz="4" w:space="0"/>
            </w:tcBorders>
            <w:noWrap w:val="0"/>
            <w:vAlign w:val="center"/>
          </w:tcPr>
          <w:p>
            <w:pPr>
              <w:spacing w:line="264" w:lineRule="auto"/>
              <w:rPr>
                <w:rFonts w:hint="eastAsia" w:ascii="宋体" w:hAnsi="宋体" w:eastAsia="宋体" w:cs="宋体"/>
                <w:color w:val="auto"/>
                <w:sz w:val="21"/>
                <w:szCs w:val="21"/>
                <w:highlight w:val="none"/>
                <w:lang w:eastAsia="zh-CN"/>
              </w:rPr>
            </w:pPr>
            <w:r>
              <w:rPr>
                <w:rFonts w:hint="eastAsia" w:ascii="宋体" w:hAnsi="宋体" w:cs="宋体"/>
                <w:color w:val="auto"/>
                <w:szCs w:val="21"/>
                <w:highlight w:val="none"/>
              </w:rPr>
              <w:t>中标人确保提供的货物完全是崭新产品。所提供货物质量必须符合国家相关标准，必须满足本次采购的要求，若所供货物经产品质量检测机构检测认定质量不合格，造成的损失和后果由该供应商负全责。</w:t>
            </w:r>
          </w:p>
        </w:tc>
      </w:tr>
      <w:bookmarkEnd w:id="30"/>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b/>
          <w:color w:val="auto"/>
          <w:highlight w:val="none"/>
          <w:lang w:val="en-US" w:eastAsia="zh-CN"/>
        </w:rPr>
      </w:pPr>
      <w:r>
        <w:rPr>
          <w:rFonts w:hint="eastAsia" w:ascii="宋体" w:hAnsi="宋体" w:eastAsia="宋体" w:cs="宋体"/>
          <w:b/>
          <w:iCs/>
          <w:color w:val="auto"/>
          <w:kern w:val="0"/>
          <w:sz w:val="21"/>
          <w:szCs w:val="21"/>
          <w:highlight w:val="none"/>
          <w:lang w:val="en-US" w:eastAsia="zh-CN" w:bidi="ar-SA"/>
        </w:rPr>
        <w:t>二、招标清单及技术需求</w:t>
      </w:r>
    </w:p>
    <w:p>
      <w:pPr>
        <w:pStyle w:val="2"/>
        <w:keepNext w:val="0"/>
        <w:keepLines w:val="0"/>
        <w:pageBreakBefore w:val="0"/>
        <w:widowControl/>
        <w:kinsoku w:val="0"/>
        <w:wordWrap/>
        <w:overflowPunct w:val="0"/>
        <w:topLinePunct w:val="0"/>
        <w:bidi w:val="0"/>
        <w:adjustRightInd w:val="0"/>
        <w:spacing w:line="360" w:lineRule="auto"/>
        <w:jc w:val="left"/>
        <w:rPr>
          <w:rFonts w:hint="eastAsia" w:ascii="宋体" w:hAnsi="宋体" w:eastAsia="宋体" w:cs="宋体"/>
          <w:b/>
          <w:iCs/>
          <w:color w:val="auto"/>
          <w:kern w:val="0"/>
          <w:sz w:val="21"/>
          <w:szCs w:val="21"/>
          <w:highlight w:val="none"/>
          <w:lang w:val="en-US" w:eastAsia="zh-CN"/>
        </w:rPr>
      </w:pPr>
      <w:r>
        <w:rPr>
          <w:rFonts w:hint="eastAsia" w:ascii="宋体" w:hAnsi="宋体" w:eastAsia="宋体" w:cs="宋体"/>
          <w:b/>
          <w:iCs/>
          <w:color w:val="auto"/>
          <w:kern w:val="0"/>
          <w:sz w:val="21"/>
          <w:szCs w:val="21"/>
          <w:highlight w:val="none"/>
          <w:lang w:val="en-US" w:eastAsia="zh-CN"/>
        </w:rPr>
        <w:t>（一）</w:t>
      </w:r>
      <w:r>
        <w:rPr>
          <w:rFonts w:hint="eastAsia" w:ascii="宋体" w:hAnsi="宋体" w:cs="宋体"/>
          <w:b/>
          <w:iCs/>
          <w:color w:val="auto"/>
          <w:kern w:val="0"/>
          <w:sz w:val="21"/>
          <w:szCs w:val="21"/>
          <w:highlight w:val="none"/>
          <w:lang w:val="en-US" w:eastAsia="zh-CN"/>
        </w:rPr>
        <w:t>项目概况</w:t>
      </w:r>
      <w:r>
        <w:rPr>
          <w:rFonts w:hint="eastAsia" w:ascii="宋体" w:hAnsi="宋体" w:eastAsia="宋体" w:cs="宋体"/>
          <w:b/>
          <w:iCs/>
          <w:color w:val="auto"/>
          <w:kern w:val="0"/>
          <w:sz w:val="21"/>
          <w:szCs w:val="21"/>
          <w:highlight w:val="none"/>
          <w:lang w:val="en-US" w:eastAsia="zh-CN"/>
        </w:rPr>
        <w:t>：</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1.1建设目标</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本项目的建设将进一步提升智慧城管的应用效果，提高城市管理水平，提升城市品位，实现以信息化手段推动城市管理的高效率、规范化和精细化，为宁海文明城市创建添砖加瓦，为宁海和谐社会建设保驾护航。</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1）指挥中心建设。对指挥中心的硬件设备新增，保障指挥环境正常运作，实现视频监控等智慧城管系统的正常使用。</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区域无人管理试点。在宁海县智慧城管前期建设成果的基础上，通过在西子国际商圈及新桥路（时代大道-金水路段）试点开展全路段视频监控设备建设，结合无人机动态巡逻，实现对人行道违停、占道经营、流动商贩、垃圾暴露、道路积水等行为及时发现，快速响应处置。在建筑垃圾监管重点路段、重点区域增加视频监控点位，进一步完善宁海全县的全高清视频监控设施覆盖范围。</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3）公厕环境动态感知。按照</w:t>
      </w:r>
      <w:r>
        <w:rPr>
          <w:rFonts w:hint="eastAsia" w:ascii="宋体" w:hAnsi="宋体" w:cs="宋体"/>
          <w:color w:val="auto"/>
          <w:sz w:val="21"/>
          <w:highlight w:val="none"/>
          <w:lang w:val="en-US" w:eastAsia="zh-CN"/>
        </w:rPr>
        <w:t>宁波市城市管理局</w:t>
      </w:r>
      <w:r>
        <w:rPr>
          <w:rFonts w:hint="eastAsia" w:ascii="宋体" w:hAnsi="宋体" w:eastAsia="宋体" w:cs="宋体"/>
          <w:color w:val="auto"/>
          <w:sz w:val="21"/>
          <w:highlight w:val="none"/>
          <w:lang w:val="en-US" w:eastAsia="zh-CN"/>
        </w:rPr>
        <w:t>建设要求，积极探索智慧公厕感知设施建设，全面提升主管部门对公厕环境的实时感知能力，加强公厕为民服务水平。</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1.2建设规模</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指挥中心设备主要用于综合行政执法局智慧城管指挥中心。</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视频监控设备主要覆盖宁海县西子国际商圈及新桥路（时代大道-金水路段）进行全视频试点建设。</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无人机服务主要覆盖宁海县建成区范围。</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智慧公厕感知设备包括跃龙山生态公厕和天明湖公厕。</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1.3建设内容</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本次项目建设内容包括四部分：视频监控设备建设、无人机服务、指挥中心设备新增、智慧公厕感知设施建设。</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指挥中心设备新增主要包括扩声设备、指挥中心配套设备、大屏等。</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无人机服务是以购买服务的方式，通过无人机巡查方式补充地面监测的死角，重点实现垃圾暴露、流动商贩的补充监测。</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视频监控设备建设是以西子国际商圈及新桥路（时代大道-金水路段）为试点，通过在试点路段部署52套前端摄像机，实现城市管理事件的智能化发现、快速处置；配套部署1套视频分析一体机，实现20多类城市管理事件的智能识别分析。</w:t>
      </w:r>
    </w:p>
    <w:p>
      <w:pPr>
        <w:keepNext w:val="0"/>
        <w:keepLines w:val="0"/>
        <w:pageBreakBefore w:val="0"/>
        <w:wordWrap/>
        <w:topLinePunct w:val="0"/>
        <w:bidi w:val="0"/>
        <w:spacing w:beforeLines="0" w:afterLines="0" w:line="360" w:lineRule="auto"/>
        <w:ind w:firstLine="392" w:firstLineChars="187"/>
        <w:rPr>
          <w:rFonts w:hint="eastAsia" w:ascii="宋体" w:hAnsi="宋体" w:cs="宋体"/>
          <w:color w:val="auto"/>
          <w:sz w:val="21"/>
          <w:highlight w:val="none"/>
          <w:lang w:val="en-US" w:eastAsia="zh-CN"/>
        </w:rPr>
      </w:pPr>
      <w:r>
        <w:rPr>
          <w:rFonts w:hint="eastAsia" w:ascii="宋体" w:hAnsi="宋体" w:eastAsia="宋体" w:cs="宋体"/>
          <w:color w:val="auto"/>
          <w:sz w:val="21"/>
          <w:highlight w:val="none"/>
          <w:lang w:val="en-US" w:eastAsia="zh-CN"/>
        </w:rPr>
        <w:t>智慧公厕感知设施建设是以市级智慧公厕建设标准为指导，选取跃龙山生态公厕和天明湖公厕进行智能化改造，实现公厕基础信息、人流量、如厕环境等信息的动态监测。</w:t>
      </w:r>
    </w:p>
    <w:p>
      <w:pPr>
        <w:keepNext w:val="0"/>
        <w:keepLines w:val="0"/>
        <w:pageBreakBefore w:val="0"/>
        <w:wordWrap/>
        <w:topLinePunct w:val="0"/>
        <w:bidi w:val="0"/>
        <w:spacing w:beforeLines="0" w:afterLines="0" w:line="360" w:lineRule="auto"/>
        <w:ind w:firstLine="394" w:firstLineChars="187"/>
        <w:rPr>
          <w:rFonts w:hint="eastAsia" w:ascii="宋体" w:hAnsi="宋体" w:cs="宋体"/>
          <w:b/>
          <w:bCs/>
          <w:color w:val="auto"/>
          <w:sz w:val="21"/>
          <w:highlight w:val="none"/>
          <w:lang w:val="en-US" w:eastAsia="zh-CN"/>
        </w:rPr>
      </w:pPr>
      <w:r>
        <w:rPr>
          <w:rFonts w:hint="eastAsia" w:ascii="宋体" w:hAnsi="宋体" w:cs="宋体"/>
          <w:b/>
          <w:bCs/>
          <w:color w:val="auto"/>
          <w:sz w:val="21"/>
          <w:highlight w:val="none"/>
          <w:lang w:val="en-US" w:eastAsia="zh-CN"/>
        </w:rPr>
        <w:t>1.4数据资源规划和数据库设计、数据资源目录</w:t>
      </w:r>
    </w:p>
    <w:p>
      <w:pPr>
        <w:keepNext w:val="0"/>
        <w:keepLines w:val="0"/>
        <w:pageBreakBefore w:val="0"/>
        <w:wordWrap/>
        <w:topLinePunct w:val="0"/>
        <w:bidi w:val="0"/>
        <w:spacing w:beforeLines="0" w:afterLines="0" w:line="360" w:lineRule="auto"/>
        <w:ind w:firstLine="392" w:firstLineChars="187"/>
        <w:rPr>
          <w:rFonts w:hint="eastAsia" w:ascii="宋体" w:hAnsi="宋体" w:cs="宋体"/>
          <w:color w:val="auto"/>
          <w:sz w:val="21"/>
          <w:highlight w:val="none"/>
          <w:lang w:val="en-US" w:eastAsia="zh-CN"/>
        </w:rPr>
      </w:pPr>
      <w:r>
        <w:rPr>
          <w:rFonts w:hint="eastAsia" w:ascii="宋体" w:hAnsi="宋体" w:cs="宋体"/>
          <w:color w:val="auto"/>
          <w:sz w:val="21"/>
          <w:highlight w:val="none"/>
          <w:lang w:val="en-US" w:eastAsia="zh-CN"/>
        </w:rPr>
        <w:t>本项目主要涉及的数据是视频监控数据、智能分析数据（含车辆违停、道路积水、占道经营、垃圾暴露等）、智慧公厕数据。视频监控数据将共享给宁海县视频共享平台，智能分析数据将通过系统对接方式上传到各相关平台（如城市综合管理服务平台、违法处置平台等）。智慧公厕数据将通过物联感知设备实时将数据上传到市级公厕管理应用。</w:t>
      </w:r>
    </w:p>
    <w:p>
      <w:pPr>
        <w:keepNext w:val="0"/>
        <w:keepLines w:val="0"/>
        <w:pageBreakBefore w:val="0"/>
        <w:wordWrap/>
        <w:topLinePunct w:val="0"/>
        <w:bidi w:val="0"/>
        <w:spacing w:beforeLines="0" w:afterLines="0" w:line="360" w:lineRule="auto"/>
        <w:ind w:firstLine="394" w:firstLineChars="187"/>
        <w:rPr>
          <w:rFonts w:hint="eastAsia" w:ascii="宋体" w:hAnsi="宋体" w:cs="宋体"/>
          <w:b/>
          <w:bCs/>
          <w:color w:val="auto"/>
          <w:sz w:val="21"/>
          <w:highlight w:val="none"/>
          <w:lang w:val="en-US" w:eastAsia="zh-CN"/>
        </w:rPr>
      </w:pPr>
      <w:r>
        <w:rPr>
          <w:rFonts w:hint="eastAsia" w:ascii="宋体" w:hAnsi="宋体" w:cs="宋体"/>
          <w:b/>
          <w:bCs/>
          <w:color w:val="auto"/>
          <w:sz w:val="21"/>
          <w:highlight w:val="none"/>
          <w:lang w:val="en-US" w:eastAsia="zh-CN"/>
        </w:rPr>
        <w:t>1.5数据处理和存储系统设计</w:t>
      </w:r>
    </w:p>
    <w:p>
      <w:pPr>
        <w:keepNext w:val="0"/>
        <w:keepLines w:val="0"/>
        <w:pageBreakBefore w:val="0"/>
        <w:wordWrap/>
        <w:topLinePunct w:val="0"/>
        <w:bidi w:val="0"/>
        <w:spacing w:beforeLines="0" w:afterLines="0" w:line="360" w:lineRule="auto"/>
        <w:ind w:firstLine="392" w:firstLineChars="187"/>
        <w:rPr>
          <w:rFonts w:hint="eastAsia" w:ascii="宋体" w:hAnsi="宋体" w:cs="宋体"/>
          <w:color w:val="auto"/>
          <w:sz w:val="21"/>
          <w:highlight w:val="none"/>
          <w:lang w:val="en-US" w:eastAsia="zh-CN"/>
        </w:rPr>
      </w:pPr>
      <w:r>
        <w:rPr>
          <w:rFonts w:hint="eastAsia" w:ascii="宋体" w:hAnsi="宋体" w:cs="宋体"/>
          <w:color w:val="auto"/>
          <w:sz w:val="21"/>
          <w:highlight w:val="none"/>
          <w:lang w:val="en-US" w:eastAsia="zh-CN"/>
        </w:rPr>
        <w:t>本项目新建的视频监控数据接入现有的视频监控平台，视频分析依托本期新采购的视频分析一体机，视频数据存储于本期购置的磁盘阵列。</w:t>
      </w:r>
    </w:p>
    <w:p>
      <w:pPr>
        <w:keepNext w:val="0"/>
        <w:keepLines w:val="0"/>
        <w:pageBreakBefore w:val="0"/>
        <w:wordWrap/>
        <w:topLinePunct w:val="0"/>
        <w:bidi w:val="0"/>
        <w:spacing w:beforeLines="0" w:afterLines="0" w:line="360" w:lineRule="auto"/>
        <w:ind w:firstLine="394" w:firstLineChars="187"/>
        <w:rPr>
          <w:rFonts w:hint="eastAsia" w:ascii="宋体" w:hAnsi="宋体" w:cs="宋体"/>
          <w:b/>
          <w:bCs/>
          <w:color w:val="auto"/>
          <w:sz w:val="21"/>
          <w:highlight w:val="none"/>
          <w:lang w:val="en-US" w:eastAsia="zh-CN"/>
        </w:rPr>
      </w:pPr>
      <w:r>
        <w:rPr>
          <w:rFonts w:hint="eastAsia" w:ascii="宋体" w:hAnsi="宋体" w:cs="宋体"/>
          <w:b/>
          <w:bCs/>
          <w:color w:val="auto"/>
          <w:sz w:val="21"/>
          <w:highlight w:val="none"/>
          <w:lang w:val="en-US" w:eastAsia="zh-CN"/>
        </w:rPr>
        <w:t>1.6终端系统和接口</w:t>
      </w:r>
    </w:p>
    <w:p>
      <w:pPr>
        <w:keepNext w:val="0"/>
        <w:keepLines w:val="0"/>
        <w:pageBreakBefore w:val="0"/>
        <w:wordWrap/>
        <w:topLinePunct w:val="0"/>
        <w:bidi w:val="0"/>
        <w:spacing w:beforeLines="0" w:afterLines="0" w:line="360" w:lineRule="auto"/>
        <w:ind w:firstLine="392" w:firstLineChars="187"/>
        <w:rPr>
          <w:rFonts w:hint="eastAsia" w:ascii="宋体" w:hAnsi="宋体" w:cs="宋体"/>
          <w:color w:val="auto"/>
          <w:sz w:val="21"/>
          <w:highlight w:val="none"/>
          <w:lang w:val="en-US" w:eastAsia="zh-CN"/>
        </w:rPr>
      </w:pPr>
      <w:r>
        <w:rPr>
          <w:rFonts w:hint="eastAsia" w:ascii="宋体" w:hAnsi="宋体" w:cs="宋体"/>
          <w:color w:val="auto"/>
          <w:sz w:val="21"/>
          <w:highlight w:val="none"/>
          <w:lang w:val="en-US" w:eastAsia="zh-CN"/>
        </w:rPr>
        <w:t>本项目终端采用已有PC终端。</w:t>
      </w:r>
    </w:p>
    <w:p>
      <w:pPr>
        <w:keepNext w:val="0"/>
        <w:keepLines w:val="0"/>
        <w:pageBreakBefore w:val="0"/>
        <w:wordWrap/>
        <w:topLinePunct w:val="0"/>
        <w:bidi w:val="0"/>
        <w:spacing w:beforeLines="0" w:afterLines="0" w:line="360" w:lineRule="auto"/>
        <w:ind w:firstLine="394" w:firstLineChars="187"/>
        <w:rPr>
          <w:rFonts w:hint="eastAsia" w:ascii="宋体" w:hAnsi="宋体" w:cs="宋体"/>
          <w:b/>
          <w:bCs/>
          <w:color w:val="auto"/>
          <w:sz w:val="21"/>
          <w:highlight w:val="none"/>
          <w:lang w:val="en-US" w:eastAsia="zh-CN"/>
        </w:rPr>
      </w:pPr>
      <w:r>
        <w:rPr>
          <w:rFonts w:hint="eastAsia" w:ascii="宋体" w:hAnsi="宋体" w:cs="宋体"/>
          <w:b/>
          <w:bCs/>
          <w:color w:val="auto"/>
          <w:sz w:val="21"/>
          <w:highlight w:val="none"/>
          <w:lang w:val="en-US" w:eastAsia="zh-CN"/>
        </w:rPr>
        <w:t>1.7网络系统设计</w:t>
      </w:r>
    </w:p>
    <w:p>
      <w:pPr>
        <w:keepNext w:val="0"/>
        <w:keepLines w:val="0"/>
        <w:pageBreakBefore w:val="0"/>
        <w:wordWrap/>
        <w:topLinePunct w:val="0"/>
        <w:bidi w:val="0"/>
        <w:spacing w:beforeLines="0" w:afterLines="0" w:line="360" w:lineRule="auto"/>
        <w:ind w:firstLine="394" w:firstLineChars="187"/>
        <w:rPr>
          <w:rFonts w:hint="eastAsia" w:ascii="宋体" w:hAnsi="宋体" w:cs="宋体"/>
          <w:b/>
          <w:bCs/>
          <w:color w:val="auto"/>
          <w:sz w:val="21"/>
          <w:highlight w:val="none"/>
          <w:lang w:val="en-US" w:eastAsia="zh-CN"/>
        </w:rPr>
      </w:pPr>
      <w:r>
        <w:rPr>
          <w:rFonts w:hint="eastAsia" w:ascii="宋体" w:hAnsi="宋体" w:cs="宋体"/>
          <w:b/>
          <w:bCs/>
          <w:color w:val="auto"/>
          <w:sz w:val="21"/>
          <w:highlight w:val="none"/>
          <w:lang w:val="en-US" w:eastAsia="zh-CN"/>
        </w:rPr>
        <w:t>1）视频监控专网</w:t>
      </w:r>
    </w:p>
    <w:p>
      <w:pPr>
        <w:keepNext w:val="0"/>
        <w:keepLines w:val="0"/>
        <w:pageBreakBefore w:val="0"/>
        <w:wordWrap/>
        <w:topLinePunct w:val="0"/>
        <w:bidi w:val="0"/>
        <w:spacing w:beforeLines="0" w:afterLines="0" w:line="360" w:lineRule="auto"/>
        <w:ind w:firstLine="392" w:firstLineChars="187"/>
        <w:rPr>
          <w:rFonts w:hint="eastAsia" w:ascii="宋体" w:hAnsi="宋体" w:cs="宋体"/>
          <w:color w:val="auto"/>
          <w:sz w:val="21"/>
          <w:highlight w:val="none"/>
          <w:lang w:val="en-US" w:eastAsia="zh-CN"/>
        </w:rPr>
      </w:pPr>
      <w:r>
        <w:rPr>
          <w:rFonts w:hint="eastAsia" w:ascii="宋体" w:hAnsi="宋体" w:cs="宋体"/>
          <w:color w:val="auto"/>
          <w:sz w:val="21"/>
          <w:highlight w:val="none"/>
          <w:lang w:val="en-US" w:eastAsia="zh-CN"/>
        </w:rPr>
        <w:t>综合行政执法局视频监控专网组网方式为三层组网，分为核心层（宁海县政务数据中心），汇聚层（智慧城管指挥中心）和接入层（运营商）。综合行政执法局指挥中心配置有1套指挥大屏、1台千兆汇聚交换机、若干接入交换机，在宁海县政务数据中心配置有1台万兆核心交换机及后端存储设备、综合管理服务器（此部分已在智慧城管先期工程实施完成）。综合行政执法局视频监控专网通过防火墙及网闸安全隔离设备将视频资源推送至宁海县视频共享平台。</w:t>
      </w:r>
    </w:p>
    <w:p>
      <w:pPr>
        <w:keepNext w:val="0"/>
        <w:keepLines w:val="0"/>
        <w:pageBreakBefore w:val="0"/>
        <w:wordWrap/>
        <w:topLinePunct w:val="0"/>
        <w:bidi w:val="0"/>
        <w:spacing w:beforeLines="0" w:afterLines="0" w:line="360" w:lineRule="auto"/>
        <w:ind w:firstLine="392" w:firstLineChars="187"/>
        <w:rPr>
          <w:rFonts w:hint="eastAsia" w:ascii="宋体" w:hAnsi="宋体" w:cs="宋体"/>
          <w:color w:val="auto"/>
          <w:sz w:val="21"/>
          <w:highlight w:val="none"/>
          <w:lang w:val="en-US" w:eastAsia="zh-CN"/>
        </w:rPr>
      </w:pPr>
      <w:r>
        <w:rPr>
          <w:rFonts w:hint="eastAsia" w:ascii="宋体" w:hAnsi="宋体" w:cs="宋体"/>
          <w:color w:val="auto"/>
          <w:sz w:val="21"/>
          <w:highlight w:val="none"/>
          <w:lang w:val="en-US" w:eastAsia="zh-CN"/>
        </w:rPr>
        <w:t>本次新增前端监控点，采用高清网络摄像机，每个前端监控点的带宽不少于10M。前端监控摄像机采用PON组网方式，使用专用网络通过ONU接入设备汇聚到综合行政执法局指挥中心。目前接入层与汇聚层之间采用千兆链路传输，汇聚层与核心层之间采用千兆链路传输，本期前端链路增加后，需同步扩容相关链路，达到接入层和汇聚层链路总带宽不小于两千兆，汇聚层和核心层链路带宽不小于两千兆。</w:t>
      </w:r>
    </w:p>
    <w:p>
      <w:pPr>
        <w:keepNext w:val="0"/>
        <w:keepLines w:val="0"/>
        <w:pageBreakBefore w:val="0"/>
        <w:wordWrap/>
        <w:topLinePunct w:val="0"/>
        <w:bidi w:val="0"/>
        <w:spacing w:beforeLines="0" w:afterLines="0" w:line="360" w:lineRule="auto"/>
        <w:ind w:firstLine="394" w:firstLineChars="187"/>
        <w:rPr>
          <w:rFonts w:hint="eastAsia" w:ascii="宋体" w:hAnsi="宋体" w:cs="宋体"/>
          <w:b/>
          <w:bCs/>
          <w:color w:val="auto"/>
          <w:sz w:val="21"/>
          <w:highlight w:val="none"/>
          <w:lang w:val="en-US" w:eastAsia="zh-CN"/>
        </w:rPr>
      </w:pPr>
      <w:r>
        <w:rPr>
          <w:rFonts w:hint="eastAsia" w:ascii="宋体" w:hAnsi="宋体" w:cs="宋体"/>
          <w:b/>
          <w:bCs/>
          <w:color w:val="auto"/>
          <w:sz w:val="21"/>
          <w:highlight w:val="none"/>
          <w:lang w:val="en-US" w:eastAsia="zh-CN"/>
        </w:rPr>
        <w:t>2）宁海县电子政务外网</w:t>
      </w:r>
    </w:p>
    <w:p>
      <w:pPr>
        <w:keepNext w:val="0"/>
        <w:keepLines w:val="0"/>
        <w:pageBreakBefore w:val="0"/>
        <w:wordWrap/>
        <w:topLinePunct w:val="0"/>
        <w:bidi w:val="0"/>
        <w:spacing w:beforeLines="0" w:afterLines="0" w:line="360" w:lineRule="auto"/>
        <w:ind w:firstLine="392" w:firstLineChars="187"/>
        <w:rPr>
          <w:rFonts w:hint="eastAsia" w:ascii="宋体" w:hAnsi="宋体" w:cs="宋体"/>
          <w:color w:val="auto"/>
          <w:sz w:val="21"/>
          <w:highlight w:val="none"/>
          <w:lang w:val="en-US" w:eastAsia="zh-CN"/>
        </w:rPr>
      </w:pPr>
      <w:r>
        <w:rPr>
          <w:rFonts w:hint="eastAsia" w:ascii="宋体" w:hAnsi="宋体" w:cs="宋体"/>
          <w:color w:val="auto"/>
          <w:sz w:val="21"/>
          <w:highlight w:val="none"/>
          <w:lang w:val="en-US" w:eastAsia="zh-CN"/>
        </w:rPr>
        <w:t>宁海县综合行政执法局的业务网部署在宁海县电子政务外网基础平台之上，宁海县电子政务外网是为各种支持平台、应用系统提供网络支持，保证系统的正确联通，正常运行。</w:t>
      </w:r>
    </w:p>
    <w:p>
      <w:pPr>
        <w:keepNext w:val="0"/>
        <w:keepLines w:val="0"/>
        <w:pageBreakBefore w:val="0"/>
        <w:wordWrap/>
        <w:topLinePunct w:val="0"/>
        <w:bidi w:val="0"/>
        <w:spacing w:beforeLines="0" w:afterLines="0" w:line="360" w:lineRule="auto"/>
        <w:ind w:firstLine="392" w:firstLineChars="187"/>
        <w:rPr>
          <w:rFonts w:hint="eastAsia" w:ascii="宋体" w:hAnsi="宋体" w:cs="宋体"/>
          <w:color w:val="auto"/>
          <w:sz w:val="21"/>
          <w:highlight w:val="none"/>
          <w:lang w:val="en-US" w:eastAsia="zh-CN"/>
        </w:rPr>
      </w:pPr>
      <w:r>
        <w:rPr>
          <w:rFonts w:hint="eastAsia" w:ascii="宋体" w:hAnsi="宋体" w:cs="宋体"/>
          <w:color w:val="auto"/>
          <w:sz w:val="21"/>
          <w:highlight w:val="none"/>
          <w:lang w:val="en-US" w:eastAsia="zh-CN"/>
        </w:rPr>
        <w:t>宁海县综合行政执法局视频专网在政务数据中心将视频资源通过标准协议推送视频信号至宁海县视频共享平台，再由宁海县视频共享平台将综合行政执法局视频资源通过标准协议推送视频信号至宁海县电子政务外网的智慧城管平台。</w:t>
      </w:r>
    </w:p>
    <w:p>
      <w:pPr>
        <w:keepNext w:val="0"/>
        <w:keepLines w:val="0"/>
        <w:pageBreakBefore w:val="0"/>
        <w:wordWrap/>
        <w:topLinePunct w:val="0"/>
        <w:bidi w:val="0"/>
        <w:spacing w:beforeLines="0" w:afterLines="0" w:line="360" w:lineRule="auto"/>
        <w:ind w:firstLine="392" w:firstLineChars="187"/>
        <w:rPr>
          <w:rFonts w:hint="eastAsia" w:ascii="宋体" w:hAnsi="宋体" w:cs="宋体"/>
          <w:color w:val="auto"/>
          <w:sz w:val="21"/>
          <w:highlight w:val="none"/>
          <w:lang w:val="en-US" w:eastAsia="zh-CN"/>
        </w:rPr>
      </w:pPr>
      <w:r>
        <w:rPr>
          <w:rFonts w:hint="eastAsia" w:ascii="宋体" w:hAnsi="宋体" w:cs="宋体"/>
          <w:color w:val="auto"/>
          <w:sz w:val="21"/>
          <w:highlight w:val="none"/>
          <w:lang w:val="en-US" w:eastAsia="zh-CN"/>
        </w:rPr>
        <w:t>网络拓扑如下图所示：</w:t>
      </w:r>
    </w:p>
    <w:p>
      <w:pPr>
        <w:keepNext w:val="0"/>
        <w:keepLines w:val="0"/>
        <w:pageBreakBefore w:val="0"/>
        <w:wordWrap/>
        <w:topLinePunct w:val="0"/>
        <w:bidi w:val="0"/>
        <w:spacing w:beforeLines="0" w:afterLines="0" w:line="360" w:lineRule="auto"/>
        <w:ind w:firstLine="392" w:firstLineChars="187"/>
        <w:rPr>
          <w:rFonts w:hint="eastAsia" w:ascii="宋体" w:hAnsi="宋体" w:cs="宋体"/>
          <w:color w:val="auto"/>
          <w:sz w:val="21"/>
          <w:highlight w:val="none"/>
          <w:lang w:val="en-US" w:eastAsia="zh-CN"/>
        </w:rPr>
      </w:pPr>
    </w:p>
    <w:p>
      <w:pPr>
        <w:keepNext w:val="0"/>
        <w:keepLines w:val="0"/>
        <w:pageBreakBefore w:val="0"/>
        <w:wordWrap/>
        <w:topLinePunct w:val="0"/>
        <w:bidi w:val="0"/>
        <w:spacing w:beforeLines="0" w:afterLines="0" w:line="360" w:lineRule="auto"/>
        <w:ind w:firstLine="392" w:firstLineChars="187"/>
        <w:rPr>
          <w:rFonts w:hint="eastAsia" w:ascii="宋体" w:hAnsi="宋体" w:cs="宋体"/>
          <w:color w:val="auto"/>
          <w:sz w:val="21"/>
          <w:highlight w:val="none"/>
          <w:lang w:val="en-US" w:eastAsia="zh-CN"/>
        </w:rPr>
      </w:pPr>
      <w:r>
        <w:rPr>
          <w:rFonts w:hint="eastAsia" w:ascii="宋体" w:hAnsi="宋体" w:cs="宋体"/>
          <w:color w:val="auto"/>
          <w:sz w:val="21"/>
          <w:highlight w:val="none"/>
          <w:lang w:val="en-US" w:eastAsia="zh-CN"/>
        </w:rPr>
        <w:drawing>
          <wp:inline distT="0" distB="0" distL="114300" distR="114300">
            <wp:extent cx="5108575" cy="3484245"/>
            <wp:effectExtent l="0" t="0" r="15875" b="1905"/>
            <wp:docPr id="1" name="图片 1" descr="网络拓扑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网络拓扑图"/>
                    <pic:cNvPicPr>
                      <a:picLocks noChangeAspect="1"/>
                    </pic:cNvPicPr>
                  </pic:nvPicPr>
                  <pic:blipFill>
                    <a:blip r:embed="rId8"/>
                    <a:stretch>
                      <a:fillRect/>
                    </a:stretch>
                  </pic:blipFill>
                  <pic:spPr>
                    <a:xfrm>
                      <a:off x="0" y="0"/>
                      <a:ext cx="5108575" cy="3484245"/>
                    </a:xfrm>
                    <a:prstGeom prst="rect">
                      <a:avLst/>
                    </a:prstGeom>
                    <a:noFill/>
                    <a:ln>
                      <a:noFill/>
                    </a:ln>
                  </pic:spPr>
                </pic:pic>
              </a:graphicData>
            </a:graphic>
          </wp:inline>
        </w:drawing>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bookmarkStart w:id="31" w:name="_Toc20649"/>
      <w:r>
        <w:rPr>
          <w:rFonts w:hint="eastAsia" w:ascii="宋体" w:hAnsi="宋体" w:cs="宋体"/>
          <w:b/>
          <w:bCs/>
          <w:color w:val="auto"/>
          <w:sz w:val="21"/>
          <w:highlight w:val="none"/>
          <w:lang w:val="en-US" w:eastAsia="zh-CN"/>
        </w:rPr>
        <w:t>1.8</w:t>
      </w:r>
      <w:r>
        <w:rPr>
          <w:rFonts w:hint="eastAsia" w:ascii="宋体" w:hAnsi="宋体" w:eastAsia="宋体" w:cs="宋体"/>
          <w:b/>
          <w:bCs/>
          <w:color w:val="auto"/>
          <w:sz w:val="21"/>
          <w:highlight w:val="none"/>
          <w:lang w:val="en-US" w:eastAsia="zh-CN"/>
        </w:rPr>
        <w:t>安全系统设计</w:t>
      </w:r>
      <w:bookmarkEnd w:id="31"/>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本项目依托政务云的安全防护体系，按照二级等保要求，构建涵盖网络层、物理层、数据层和应用层的安全风险监控预警和态势感知体系，有效捕捉安全漏洞攻击、新型病毒攻击事件，并有效展示正在发生的安全攻击行为。</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网络安全。依托宁海县政务云现有的防火墙、入侵防御、抗DDoS攻击、访问控制等安全设备，阻止未经授权的数据访问和传输，降低数据被窃取的风险。</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物理安全。利用政务云的物理环境和软硬件资源建设，依托政务云的环境监控和容灾备份机制消除数据遗失、毁坏、泄露的风险。</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数据安全。通过数据管理平台实施严格的数据授权访问机制，禁止未经授权的数据传输、存储和访问；采用数据脱敏技术，实现对敏感数据的保护；通过数据审计，对操作数据的全过程行为进行监控，提高异常行为发现的几率和抗抵赖性。</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bookmarkStart w:id="32" w:name="_Toc6571"/>
      <w:r>
        <w:rPr>
          <w:rFonts w:hint="eastAsia" w:ascii="宋体" w:hAnsi="宋体" w:cs="宋体"/>
          <w:b/>
          <w:bCs/>
          <w:color w:val="auto"/>
          <w:sz w:val="21"/>
          <w:highlight w:val="none"/>
          <w:lang w:val="en-US" w:eastAsia="zh-CN"/>
        </w:rPr>
        <w:t>1.9</w:t>
      </w:r>
      <w:r>
        <w:rPr>
          <w:rFonts w:hint="eastAsia" w:ascii="宋体" w:hAnsi="宋体" w:eastAsia="宋体" w:cs="宋体"/>
          <w:b/>
          <w:bCs/>
          <w:color w:val="auto"/>
          <w:sz w:val="21"/>
          <w:highlight w:val="none"/>
          <w:lang w:val="en-US" w:eastAsia="zh-CN"/>
        </w:rPr>
        <w:t>其他系统设计</w:t>
      </w:r>
      <w:bookmarkEnd w:id="32"/>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bookmarkStart w:id="33" w:name="_Toc26906"/>
      <w:r>
        <w:rPr>
          <w:rFonts w:hint="eastAsia" w:ascii="宋体" w:hAnsi="宋体" w:cs="宋体"/>
          <w:b/>
          <w:bCs/>
          <w:color w:val="auto"/>
          <w:sz w:val="21"/>
          <w:highlight w:val="none"/>
          <w:lang w:val="en-US" w:eastAsia="zh-CN"/>
        </w:rPr>
        <w:t>1）</w:t>
      </w:r>
      <w:r>
        <w:rPr>
          <w:rFonts w:hint="eastAsia" w:ascii="宋体" w:hAnsi="宋体" w:eastAsia="宋体" w:cs="宋体"/>
          <w:b/>
          <w:bCs/>
          <w:color w:val="auto"/>
          <w:sz w:val="21"/>
          <w:highlight w:val="none"/>
          <w:lang w:val="en-US" w:eastAsia="zh-CN"/>
        </w:rPr>
        <w:t>指挥中心升级改造</w:t>
      </w:r>
      <w:bookmarkEnd w:id="33"/>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综合行政执法局智慧城管指挥中心拟迁移至桃源中路135号4楼，新址没有配置显示大屏及相关设备，需要在现有智慧城管指挥中心设备基础上，进行新增建设，主要包括扩声设备、指挥中心配套设备、大屏及配套设备等。</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新指挥中心为提升档次，方便管理以及保证稳定运行，拟增配操作席、观摩席、扩声设备、室内门禁、室内监控、多媒体展示屏等配套设备。</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bookmarkStart w:id="34" w:name="_Toc11865"/>
      <w:bookmarkStart w:id="35" w:name="_Toc8763714"/>
      <w:r>
        <w:rPr>
          <w:rFonts w:hint="eastAsia" w:ascii="宋体" w:hAnsi="宋体" w:cs="宋体"/>
          <w:b/>
          <w:bCs/>
          <w:color w:val="auto"/>
          <w:sz w:val="21"/>
          <w:highlight w:val="none"/>
          <w:lang w:val="en-US" w:eastAsia="zh-CN"/>
        </w:rPr>
        <w:t>2）</w:t>
      </w:r>
      <w:r>
        <w:rPr>
          <w:rFonts w:hint="eastAsia" w:ascii="宋体" w:hAnsi="宋体" w:eastAsia="宋体" w:cs="宋体"/>
          <w:b/>
          <w:bCs/>
          <w:color w:val="auto"/>
          <w:sz w:val="21"/>
          <w:highlight w:val="none"/>
          <w:lang w:val="en-US" w:eastAsia="zh-CN"/>
        </w:rPr>
        <w:t>视频监控系统</w:t>
      </w:r>
      <w:bookmarkEnd w:id="34"/>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①</w:t>
      </w:r>
      <w:r>
        <w:rPr>
          <w:rFonts w:hint="eastAsia" w:ascii="宋体" w:hAnsi="宋体" w:eastAsia="宋体" w:cs="宋体"/>
          <w:b/>
          <w:bCs/>
          <w:color w:val="auto"/>
          <w:sz w:val="21"/>
          <w:highlight w:val="none"/>
          <w:lang w:val="en-US" w:eastAsia="zh-CN"/>
        </w:rPr>
        <w:t>前端视频监控</w:t>
      </w:r>
      <w:bookmarkEnd w:id="35"/>
      <w:r>
        <w:rPr>
          <w:rFonts w:hint="eastAsia" w:ascii="宋体" w:hAnsi="宋体" w:eastAsia="宋体" w:cs="宋体"/>
          <w:b/>
          <w:bCs/>
          <w:color w:val="auto"/>
          <w:sz w:val="21"/>
          <w:highlight w:val="none"/>
          <w:lang w:val="en-US" w:eastAsia="zh-CN"/>
        </w:rPr>
        <w:t>建设</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视频点位整体设计</w:t>
      </w:r>
      <w:r>
        <w:rPr>
          <w:rFonts w:hint="eastAsia" w:ascii="宋体" w:hAnsi="宋体" w:cs="宋体"/>
          <w:color w:val="auto"/>
          <w:sz w:val="21"/>
          <w:highlight w:val="none"/>
          <w:lang w:val="en-US" w:eastAsia="zh-CN"/>
        </w:rPr>
        <w:t>：</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前端监控采用高清视频监控技术，实现视频图像信息的高清采集、高清编码、高清传输、高清存储、高清显示；系统基于IP网络传输技术，提供视频质量诊断等智能分析技术，实现全网调度、管理及智能化应用，为用户提供一套“高清化、网络化、智能化”的视频图像监控系统，满足用户在视频图像业务应用中日益迫切的需求。</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针对具体监控点位的实际情况，摄像机、安装于监控立杆上，网络传输设备、防雷器、电源等部署于室外抱杆箱。监控网络摄像机前端部署结构如下图所示:</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drawing>
          <wp:inline distT="0" distB="0" distL="114300" distR="114300">
            <wp:extent cx="5276215" cy="3253740"/>
            <wp:effectExtent l="0" t="0" r="635" b="381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9"/>
                    <a:stretch>
                      <a:fillRect/>
                    </a:stretch>
                  </pic:blipFill>
                  <pic:spPr>
                    <a:xfrm>
                      <a:off x="0" y="0"/>
                      <a:ext cx="5276215" cy="3253740"/>
                    </a:xfrm>
                    <a:prstGeom prst="rect">
                      <a:avLst/>
                    </a:prstGeom>
                    <a:noFill/>
                    <a:ln>
                      <a:noFill/>
                    </a:ln>
                  </pic:spPr>
                </pic:pic>
              </a:graphicData>
            </a:graphic>
          </wp:inline>
        </w:drawing>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②</w:t>
      </w:r>
      <w:r>
        <w:rPr>
          <w:rFonts w:hint="eastAsia" w:ascii="宋体" w:hAnsi="宋体" w:eastAsia="宋体" w:cs="宋体"/>
          <w:b/>
          <w:bCs/>
          <w:color w:val="auto"/>
          <w:sz w:val="21"/>
          <w:highlight w:val="none"/>
          <w:lang w:val="en-US" w:eastAsia="zh-CN"/>
        </w:rPr>
        <w:t>规划原则</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（1）城市管理违法行为多发区域：占道经营、人行道违章停车等违法行为集中区域；</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（2）城市管理人群聚集控制区域：饭店、商场、医院、学校、农贸市场、广场、停车场等人员聚集的公共场所。</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（3）城市管理交通枢纽控制区域：重点道路、主要交通路口，公共汽车站等交通枢纽。</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（4）国家法律、法规规定的地点和区域。</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执法中队根据自身业务需要，根据以上选点原则预选监控点位，通过在宁海县视频共享平台确认是否已经覆盖，对于没有覆盖的点位，本期项目新增建设。</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③</w:t>
      </w:r>
      <w:r>
        <w:rPr>
          <w:rFonts w:hint="eastAsia" w:ascii="宋体" w:hAnsi="宋体" w:eastAsia="宋体" w:cs="宋体"/>
          <w:b/>
          <w:bCs/>
          <w:color w:val="auto"/>
          <w:sz w:val="21"/>
          <w:highlight w:val="none"/>
          <w:lang w:val="en-US" w:eastAsia="zh-CN"/>
        </w:rPr>
        <w:t>本期建设内容</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拟在西子国际商圈四周道路（包括桃源中路、外环路、学勉路、正学路）以及新桥路（时代大道-金水路段）进行视频监控部署，在现有路段有4个监控摄像头基础上，开展区域无人管理试点建设，通过对重点区域进行整体点位加密，实现重点路段城市管理违法行为多角度无死角自动抓拍，包括车辆违停、占道经营、流动商贩等行为。本期项目共计部署52台自动抓拍球机，其中固定点位为49台，移动布控球3台（根据实际情况移动补充部署）。</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布点要求：道路两侧间隔部署高清网络视频监控，视频视距不超过50米，在违法案件较多区域加装室外喊话功放设备，形成远程劝导疏散。</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④</w:t>
      </w:r>
      <w:r>
        <w:rPr>
          <w:rFonts w:hint="eastAsia" w:ascii="宋体" w:hAnsi="宋体" w:eastAsia="宋体" w:cs="宋体"/>
          <w:b/>
          <w:bCs/>
          <w:color w:val="auto"/>
          <w:sz w:val="21"/>
          <w:highlight w:val="none"/>
          <w:lang w:val="en-US" w:eastAsia="zh-CN"/>
        </w:rPr>
        <w:t>点位规划</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具体点位规划如下表：</w:t>
      </w:r>
    </w:p>
    <w:tbl>
      <w:tblPr>
        <w:tblStyle w:val="23"/>
        <w:tblW w:w="9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2971"/>
        <w:gridCol w:w="870"/>
        <w:gridCol w:w="1485"/>
        <w:gridCol w:w="1425"/>
        <w:gridCol w:w="1106"/>
        <w:gridCol w:w="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94" w:type="dxa"/>
            <w:gridSpan w:val="2"/>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监控点位</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数量</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经度</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纬度</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无线功放</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杆件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restart"/>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西子国际商圈-外环东路</w:t>
            </w: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学勉南路2号装饰城A区</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121.438869</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29.307802</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西子国际大酒店门口</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121.438027</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29.307738</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琴潮量贩KTV门口</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121.437163</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29.307680</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金融中心南面</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121.438452</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29.307918</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金融中心南面</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121.437566</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29.307891</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restart"/>
            <w:noWrap w:val="0"/>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西子国际商圈-学勉南路</w:t>
            </w: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马路边边门口</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121.438943</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29.305420</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罗浮宫陶瓷门口</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121.438885</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29.306182</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特百惠门口</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121.438825</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29.307068</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学勉南路正学东路东北角</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121.439178</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29.304681</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学勉南路怡惠东路口</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121.439088</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29.305646</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华山小学西</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121.439054</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29.306131</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海静小吃店旁</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121.438993</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29.307425</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restart"/>
            <w:noWrap w:val="0"/>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西子商圈-正学东路</w:t>
            </w: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西子国际南门南面</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121.435551</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29.304361</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中国移动门口</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121.436184</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29.304386</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面对面门口</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121.436937</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29.304430</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南1门出口</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121.437761</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29.304491</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方太门口</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121.438386</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29.304524</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第一医院北门</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121.435537</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29.304232</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第一医院北公交站</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121.436945</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29.304316</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西子国际南1门对面</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121.438256</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29.304392</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正学公园东北角</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121.439029</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29.304427</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23" w:type="dxa"/>
            <w:vMerge w:val="restart"/>
            <w:noWrap w:val="0"/>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西子国际-桃源中路</w:t>
            </w: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地下通道出口</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121.436601</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29.307618</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西子国际北门西面</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121.436434</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29.307166</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西子国际西面</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121.436267</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29.306844</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西子国际西面</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121.435901</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29.306261</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必胜客门口</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121.435778</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29.306024</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西子国际西面</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121.435609</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29.305741</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西子国际西面</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121.435347</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29.305257</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0"/>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西子国际南门西面</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121.435117</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29.304804</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noWrap w:val="0"/>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西子商圈</w:t>
            </w: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移动布控球机，对重点关注路段进行补充监控</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3</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待定</w:t>
            </w:r>
          </w:p>
        </w:tc>
        <w:tc>
          <w:tcPr>
            <w:tcW w:w="1425" w:type="dxa"/>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restart"/>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新桥路（金水路-时代大道）</w:t>
            </w: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新桥路金水路口</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121.432963</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29.322195</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relx悦刻旗舰店附近</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121.433062</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29.321775</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华庭家园西5门对面</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121.433043</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29.321413</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清木人武夷茶</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121.433172</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29.320925</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新桥路兴工三路口</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121.433117</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29.320497</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华庭家园西门南侧</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121.433175</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29.320146</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借杆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哆来咪宾馆北侧</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121.433171</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29.319737</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爱尚名烟名酒南侧</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121.433249</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29.319435</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新桥路兴工二路路口北侧</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121.433270</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29.319087</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新桥路兴工二路路口南侧</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121.433262</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29.318771</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借杆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福利彩票店</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121.433336</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29.318319</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新桥路128号附近</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121.433325</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29.317942</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新桥路兴工一路口</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121.433377</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29.317548</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借杆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新桥路116号</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121.433371</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29.317162</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新桥路98号</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121.433529</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29.316757</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泓医堂南侧（西三门对面）</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121.433431</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29.316301</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新桥路75号</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121.433493</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29.315988</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新桥路59号（茶百道）</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121.433485</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29.315631</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新桥路47号（农业银行对面）</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121.433526</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29.315182</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借杆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23" w:type="dxa"/>
            <w:vMerge w:val="continue"/>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2971"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新桥路45号（桃源中学门口）</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148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121.433486</w:t>
            </w:r>
          </w:p>
        </w:tc>
        <w:tc>
          <w:tcPr>
            <w:tcW w:w="1425"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29.314965</w:t>
            </w: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w:t>
            </w:r>
          </w:p>
        </w:tc>
        <w:tc>
          <w:tcPr>
            <w:tcW w:w="838"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立杆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894" w:type="dxa"/>
            <w:gridSpan w:val="2"/>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总计</w:t>
            </w:r>
          </w:p>
        </w:tc>
        <w:tc>
          <w:tcPr>
            <w:tcW w:w="870"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52</w:t>
            </w:r>
          </w:p>
        </w:tc>
        <w:tc>
          <w:tcPr>
            <w:tcW w:w="1485" w:type="dxa"/>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1425" w:type="dxa"/>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c>
          <w:tcPr>
            <w:tcW w:w="1106" w:type="dxa"/>
            <w:noWrap/>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12</w:t>
            </w:r>
          </w:p>
        </w:tc>
        <w:tc>
          <w:tcPr>
            <w:tcW w:w="838" w:type="dxa"/>
            <w:noWrap/>
            <w:vAlign w:val="center"/>
          </w:tcPr>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p>
        </w:tc>
      </w:tr>
    </w:tbl>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点位部署示意图如下：</w:t>
      </w:r>
    </w:p>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drawing>
          <wp:inline distT="0" distB="0" distL="114300" distR="114300">
            <wp:extent cx="4599305" cy="2586355"/>
            <wp:effectExtent l="0" t="0" r="10795" b="4445"/>
            <wp:docPr id="6" name="图片 3" descr="点位图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点位图_副本"/>
                    <pic:cNvPicPr>
                      <a:picLocks noChangeAspect="1"/>
                    </pic:cNvPicPr>
                  </pic:nvPicPr>
                  <pic:blipFill>
                    <a:blip r:embed="rId10"/>
                    <a:stretch>
                      <a:fillRect/>
                    </a:stretch>
                  </pic:blipFill>
                  <pic:spPr>
                    <a:xfrm>
                      <a:off x="0" y="0"/>
                      <a:ext cx="4599305" cy="2586355"/>
                    </a:xfrm>
                    <a:prstGeom prst="rect">
                      <a:avLst/>
                    </a:prstGeom>
                    <a:noFill/>
                    <a:ln>
                      <a:noFill/>
                    </a:ln>
                  </pic:spPr>
                </pic:pic>
              </a:graphicData>
            </a:graphic>
          </wp:inline>
        </w:drawing>
      </w:r>
    </w:p>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图2 西子国际商圈点位部署示意图</w:t>
      </w:r>
    </w:p>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drawing>
          <wp:inline distT="0" distB="0" distL="114300" distR="114300">
            <wp:extent cx="4668520" cy="2334260"/>
            <wp:effectExtent l="0" t="0" r="17780" b="8890"/>
            <wp:docPr id="5" name="图片 4" descr="新桥路点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新桥路点位"/>
                    <pic:cNvPicPr>
                      <a:picLocks noChangeAspect="1"/>
                    </pic:cNvPicPr>
                  </pic:nvPicPr>
                  <pic:blipFill>
                    <a:blip r:embed="rId11"/>
                    <a:stretch>
                      <a:fillRect/>
                    </a:stretch>
                  </pic:blipFill>
                  <pic:spPr>
                    <a:xfrm>
                      <a:off x="0" y="0"/>
                      <a:ext cx="4668520" cy="2334260"/>
                    </a:xfrm>
                    <a:prstGeom prst="rect">
                      <a:avLst/>
                    </a:prstGeom>
                    <a:noFill/>
                    <a:ln>
                      <a:noFill/>
                    </a:ln>
                  </pic:spPr>
                </pic:pic>
              </a:graphicData>
            </a:graphic>
          </wp:inline>
        </w:drawing>
      </w:r>
    </w:p>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图3 新桥路（时代大道-金水路段）点位部署示意图</w:t>
      </w:r>
    </w:p>
    <w:p>
      <w:pPr>
        <w:pStyle w:val="8"/>
        <w:keepNext/>
        <w:keepLines/>
        <w:pageBreakBefore w:val="0"/>
        <w:widowControl w:val="0"/>
        <w:numPr>
          <w:ilvl w:val="4"/>
          <w:numId w:val="0"/>
        </w:numPr>
        <w:tabs>
          <w:tab w:val="clear" w:pos="2127"/>
        </w:tabs>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bCs w:val="0"/>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⑤</w:t>
      </w:r>
      <w:r>
        <w:rPr>
          <w:rFonts w:hint="eastAsia" w:ascii="宋体" w:hAnsi="宋体" w:eastAsia="宋体" w:cs="宋体"/>
          <w:b/>
          <w:bCs w:val="0"/>
          <w:color w:val="auto"/>
          <w:sz w:val="21"/>
          <w:szCs w:val="21"/>
          <w:highlight w:val="none"/>
          <w:lang w:val="en-US" w:eastAsia="zh-CN"/>
        </w:rPr>
        <w:t>配置要求</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A.</w:t>
      </w:r>
      <w:r>
        <w:rPr>
          <w:rFonts w:hint="eastAsia" w:ascii="宋体" w:hAnsi="宋体" w:eastAsia="宋体" w:cs="宋体"/>
          <w:b/>
          <w:bCs/>
          <w:color w:val="auto"/>
          <w:sz w:val="21"/>
          <w:szCs w:val="21"/>
          <w:highlight w:val="none"/>
        </w:rPr>
        <w:t>监控立杆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立杆杆型为L杆，由垂直立杆和横挑臂两部分组成，通过杆件法兰盘、螺栓、螺丝连接；杆件法兰盘规格统一；螺栓、螺丝采用防腐高强度材料。</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垂直立杆杆件采用八角立杆钢管，壁厚≥6mm，表面热镀锌处理；立杆底板采用420×420mm正方形钢材，厚度为20mm；底部螺栓、螺丝采用防腐高强度材料；根据现场环境采用6M立杆或3～4M立杆。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横挑臂采用无缝钢管，壁厚≥4mm，表面热镀锌处理，长度为1～4M。</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有特定外观设计要求的场所，根据要求设计立杆外观，一是要和周边环境相协调，二是要确保立杆的牢固性、安全性。</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借杆（挑杆）：采用抱箍挑杆，安装在墙上或电线杆上，直径76MM，挑出1～4米，无缝钢管，壁厚4MM以上，镀锌喷塑。</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B.</w:t>
      </w:r>
      <w:r>
        <w:rPr>
          <w:rFonts w:hint="eastAsia" w:ascii="宋体" w:hAnsi="宋体" w:eastAsia="宋体" w:cs="宋体"/>
          <w:b/>
          <w:bCs/>
          <w:color w:val="auto"/>
          <w:sz w:val="21"/>
          <w:szCs w:val="21"/>
          <w:highlight w:val="none"/>
        </w:rPr>
        <w:t>立杆基础</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6M立杆基础深度≥1.5M；底部直径≥1.5M；3～4M立杆基础深度≥1M；底部直径≥1M。</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立杆配带的地笼基础预埋件（6M立杆预埋件采用6根M28钢筋捆扎而成，高度为1.5M；3～4M立杆预埋件采用4根M16钢筋捆扎而成，高度为1M）放置在开挖好的基础内；调整好垂直与水平，用水平尺，测量每个螺栓保证地笼放置水平，并且保证法兰盘和地面齐平；基础预埋件与接地极相连接。</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基础中心放入直径50mm的铁管或尼龙管，与过渡窨井相连。</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基础采用商品砼C16或C28灌筑；保养期为十天左右；混凝土浇注面平整度小于5mm/m尽量保持立杆预埋件水平。</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预埋件法兰盘低于周围地面20</w:t>
      </w:r>
      <w:r>
        <w:rPr>
          <w:rFonts w:hint="eastAsia" w:ascii="宋体" w:hAnsi="宋体" w:eastAsia="宋体" w:cs="宋体"/>
          <w:color w:val="auto"/>
          <w:sz w:val="21"/>
          <w:szCs w:val="21"/>
          <w:highlight w:val="none"/>
          <w:lang w:val="en-US" w:eastAsia="zh-CN"/>
        </w:rPr>
        <w:t>-</w:t>
      </w:r>
      <w:r>
        <w:rPr>
          <w:rFonts w:hint="eastAsia" w:ascii="宋体" w:hAnsi="宋体" w:eastAsia="宋体" w:cs="宋体"/>
          <w:color w:val="auto"/>
          <w:sz w:val="21"/>
          <w:szCs w:val="21"/>
          <w:highlight w:val="none"/>
        </w:rPr>
        <w:t>30mm，再用C25细石砼把加强肋盖住，以防止积水；法兰盘、底部螺栓、螺丝应使用防腐高强度材料，做好防锈防腐保护措施。</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立杆防雷接地电阻≦10Ω。</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C.</w:t>
      </w:r>
      <w:r>
        <w:rPr>
          <w:rFonts w:hint="eastAsia" w:ascii="宋体" w:hAnsi="宋体" w:eastAsia="宋体" w:cs="宋体"/>
          <w:b/>
          <w:bCs/>
          <w:color w:val="auto"/>
          <w:sz w:val="21"/>
          <w:szCs w:val="21"/>
          <w:highlight w:val="none"/>
        </w:rPr>
        <w:t>室外机箱</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设备机箱设计采用抱杆机箱的方案。</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箱体采用201不锈钢材料，防雨防尘，全封闭式设计；高度为500mm,宽度为400mm,深度为200mm；离地3M左右使用抱箍方式安装在立杆上，安装配件及紧固件进行防锈处理。</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箱内，设备安装区域设置为:防雷器安装区(包含漏电保护、电源防雷、信号防雷器安装)、线缆安装区(包含光缆固定、光纤熔接、光纤收发器安装、理线环等)、供配电安装区(包含开关电源、多功能插座等)及其它配套设施安装区(包含温控、风扇、接地铜排等)。</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箱内，前端设备按照箱内安装区域位置合理安装、固定可靠，安装配件及紧固件进行防锈处理:所有线缆整齐编扎、明确标识，固定拥扎在安装板后面:电源线和信号线、控制线分开，走向顺直，无扭绞。</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机箱门印刷“宁海县综合行政执法局视频监控”标志、联系电话、Logo等。</w:t>
      </w:r>
    </w:p>
    <w:p>
      <w:pPr>
        <w:spacing w:line="360" w:lineRule="auto"/>
        <w:ind w:firstLine="422" w:firstLineChars="200"/>
        <w:rPr>
          <w:rFonts w:hint="eastAsia" w:ascii="宋体" w:hAnsi="宋体" w:eastAsia="宋体" w:cs="宋体"/>
          <w:b/>
          <w:bCs/>
          <w:color w:val="auto"/>
          <w:sz w:val="21"/>
          <w:szCs w:val="21"/>
          <w:highlight w:val="none"/>
        </w:rPr>
      </w:pPr>
      <w:bookmarkStart w:id="36" w:name="_Toc11720"/>
      <w:bookmarkStart w:id="37" w:name="_Toc5890"/>
      <w:bookmarkStart w:id="38" w:name="_Toc10561"/>
      <w:bookmarkStart w:id="39" w:name="_Toc528833169"/>
      <w:bookmarkStart w:id="40" w:name="_Toc1073"/>
      <w:bookmarkStart w:id="41" w:name="_Toc11459"/>
      <w:r>
        <w:rPr>
          <w:rFonts w:hint="eastAsia" w:ascii="宋体" w:hAnsi="宋体" w:eastAsia="宋体" w:cs="宋体"/>
          <w:b/>
          <w:bCs/>
          <w:color w:val="auto"/>
          <w:sz w:val="21"/>
          <w:szCs w:val="21"/>
          <w:highlight w:val="none"/>
          <w:lang w:val="en-US" w:eastAsia="zh-CN"/>
        </w:rPr>
        <w:t>D.</w:t>
      </w:r>
      <w:r>
        <w:rPr>
          <w:rFonts w:hint="eastAsia" w:ascii="宋体" w:hAnsi="宋体" w:eastAsia="宋体" w:cs="宋体"/>
          <w:b/>
          <w:bCs/>
          <w:color w:val="auto"/>
          <w:sz w:val="21"/>
          <w:szCs w:val="21"/>
          <w:highlight w:val="none"/>
        </w:rPr>
        <w:t>取电要求</w:t>
      </w:r>
      <w:bookmarkEnd w:id="36"/>
      <w:bookmarkEnd w:id="37"/>
      <w:bookmarkEnd w:id="38"/>
      <w:bookmarkEnd w:id="39"/>
      <w:bookmarkEnd w:id="40"/>
      <w:bookmarkEnd w:id="41"/>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1）前端点位具备电力低压线路的，到供电开户，有供电部门施工接入电源。</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2）前端点位不具备电力低压线路的，就近取电，由建设单位做好协调工作。</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3）借杆施工的，须加套涂锌钢管（或铝管）沿杆件固定，套管高度≥2.5M。</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E.</w:t>
      </w:r>
      <w:r>
        <w:rPr>
          <w:rFonts w:hint="eastAsia" w:ascii="宋体" w:hAnsi="宋体" w:eastAsia="宋体" w:cs="宋体"/>
          <w:b/>
          <w:bCs/>
          <w:color w:val="auto"/>
          <w:sz w:val="21"/>
          <w:szCs w:val="21"/>
          <w:highlight w:val="none"/>
        </w:rPr>
        <w:t>高清网络球机</w:t>
      </w:r>
    </w:p>
    <w:p>
      <w:pPr>
        <w:spacing w:line="360" w:lineRule="auto"/>
        <w:ind w:firstLine="422" w:firstLineChars="200"/>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val="en-US" w:eastAsia="zh-CN"/>
        </w:rPr>
        <w:t>a）</w:t>
      </w:r>
      <w:r>
        <w:rPr>
          <w:rFonts w:hint="eastAsia" w:ascii="宋体" w:hAnsi="宋体" w:eastAsia="宋体" w:cs="宋体"/>
          <w:b/>
          <w:bCs/>
          <w:color w:val="auto"/>
          <w:sz w:val="21"/>
          <w:szCs w:val="21"/>
          <w:highlight w:val="none"/>
        </w:rPr>
        <w:t>摄像机技术要求</w:t>
      </w:r>
    </w:p>
    <w:p>
      <w:pP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rPr>
        <w:t>超低照度</w:t>
      </w:r>
      <w:r>
        <w:rPr>
          <w:rFonts w:hint="eastAsia" w:ascii="宋体" w:hAnsi="宋体" w:eastAsia="宋体" w:cs="宋体"/>
          <w:b/>
          <w:bCs/>
          <w:color w:val="auto"/>
          <w:sz w:val="21"/>
          <w:szCs w:val="21"/>
          <w:highlight w:val="none"/>
          <w:lang w:eastAsia="zh-CN"/>
        </w:rPr>
        <w:t>。</w:t>
      </w:r>
      <w:r>
        <w:rPr>
          <w:rFonts w:hint="eastAsia" w:ascii="宋体" w:hAnsi="宋体" w:eastAsia="宋体" w:cs="宋体"/>
          <w:color w:val="auto"/>
          <w:sz w:val="21"/>
          <w:szCs w:val="21"/>
          <w:highlight w:val="none"/>
        </w:rPr>
        <w:t>本方案所选摄像机采用业界高端传感器和DSP，具备很高的感光度，在光照条件极差的条件下也可获得色彩还原度较高的画面。</w:t>
      </w:r>
    </w:p>
    <w:p>
      <w:pP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强光抑制。</w:t>
      </w:r>
      <w:r>
        <w:rPr>
          <w:rFonts w:hint="eastAsia" w:ascii="宋体" w:hAnsi="宋体" w:eastAsia="宋体" w:cs="宋体"/>
          <w:color w:val="auto"/>
          <w:sz w:val="21"/>
          <w:szCs w:val="21"/>
          <w:highlight w:val="none"/>
          <w:lang w:eastAsia="zh-CN"/>
        </w:rPr>
        <w:t>在夜间监控车辆道路、出入口等情况下，往往因为车光线太强严重影响视频图像质量，本方案所选用产品要求具有强光抑制技术来解决此种困扰，有效抑制强光点直接照射造成的视频图像模糊，能自动分辨强光点，并对强光点附近区域进行补偿以获得更清晰的图像。</w:t>
      </w:r>
    </w:p>
    <w:p>
      <w:pP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高清透雾。</w:t>
      </w:r>
      <w:r>
        <w:rPr>
          <w:rFonts w:hint="eastAsia" w:ascii="宋体" w:hAnsi="宋体" w:eastAsia="宋体" w:cs="宋体"/>
          <w:color w:val="auto"/>
          <w:sz w:val="21"/>
          <w:szCs w:val="21"/>
          <w:highlight w:val="none"/>
        </w:rPr>
        <w:t>雾霾天气下，空气中的液滴和固体小颗粒使户外监控的质量降低，图像显得色彩黯淡、对比度低，一些重要目标的细 节难以观察，视频监控的实用性受到很大影响。本方案要求产品具备高清透雾功能，基于大气透射模型，区分图像不同区域景深与务浓度进行速波处理，同时融合图像增强技术与图像复原技术，获得准确、自然的透雾图像。</w:t>
      </w:r>
    </w:p>
    <w:p>
      <w:pP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3D数字降噪。</w:t>
      </w:r>
      <w:r>
        <w:rPr>
          <w:rFonts w:hint="eastAsia" w:ascii="宋体" w:hAnsi="宋体" w:eastAsia="宋体" w:cs="宋体"/>
          <w:color w:val="auto"/>
          <w:sz w:val="21"/>
          <w:szCs w:val="21"/>
          <w:highlight w:val="none"/>
        </w:rPr>
        <w:t>3D数字降唤功能能够降低弱信号图像的噪波干扰。由于图像噪波的出现是随机的，因此每帧图像出现的噪波是不相同的。3D数字降噪通过对比相邻的几帧图像，将不重叠的信息(即噪波)自动滤出，从而显示出比较纯净组腻的画面。</w:t>
      </w:r>
    </w:p>
    <w:p>
      <w:pPr>
        <w:spacing w:line="360" w:lineRule="auto"/>
        <w:ind w:firstLine="422" w:firstLineChars="200"/>
        <w:rPr>
          <w:rFonts w:hint="eastAsia" w:ascii="宋体" w:hAnsi="宋体" w:eastAsia="宋体" w:cs="宋体"/>
          <w:color w:val="auto"/>
          <w:sz w:val="21"/>
          <w:szCs w:val="21"/>
          <w:highlight w:val="none"/>
        </w:rPr>
      </w:pPr>
      <w:r>
        <w:rPr>
          <w:rFonts w:hint="eastAsia" w:ascii="宋体" w:hAnsi="宋体" w:eastAsia="宋体" w:cs="宋体"/>
          <w:b/>
          <w:bCs/>
          <w:color w:val="auto"/>
          <w:sz w:val="21"/>
          <w:szCs w:val="21"/>
          <w:highlight w:val="none"/>
          <w:lang w:eastAsia="zh-CN"/>
        </w:rPr>
        <w:t>宽动态。</w:t>
      </w:r>
      <w:r>
        <w:rPr>
          <w:rFonts w:hint="eastAsia" w:ascii="宋体" w:hAnsi="宋体" w:eastAsia="宋体" w:cs="宋体"/>
          <w:color w:val="auto"/>
          <w:sz w:val="21"/>
          <w:szCs w:val="21"/>
          <w:highlight w:val="none"/>
        </w:rPr>
        <w:t>监控环境中常会遇到光线明暗反差过大的场景，利用宽动态技术，场景中特别亮的部位和特别暗的部位同时都能看得特别清楚。普通摄像机获取的是背景清晰但是前景较暗的图像，宽动态摄像机能获取前景和背景都清晰的图像。</w:t>
      </w:r>
    </w:p>
    <w:p>
      <w:pPr>
        <w:spacing w:line="360" w:lineRule="auto"/>
        <w:ind w:firstLine="422" w:firstLineChars="200"/>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val="en-US" w:eastAsia="zh-CN"/>
        </w:rPr>
        <w:t>b</w:t>
      </w:r>
      <w:r>
        <w:rPr>
          <w:rFonts w:hint="eastAsia" w:ascii="宋体" w:hAnsi="宋体" w:eastAsia="宋体" w:cs="宋体"/>
          <w:b/>
          <w:bCs/>
          <w:color w:val="auto"/>
          <w:sz w:val="21"/>
          <w:szCs w:val="21"/>
          <w:highlight w:val="none"/>
          <w:lang w:eastAsia="zh-CN"/>
        </w:rPr>
        <w:t>）摄像机参数要求</w:t>
      </w:r>
    </w:p>
    <w:p>
      <w:pPr>
        <w:spacing w:line="360" w:lineRule="auto"/>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图像传感器≥1/1.9”；</w:t>
      </w:r>
    </w:p>
    <w:p>
      <w:pPr>
        <w:spacing w:line="360" w:lineRule="auto"/>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视频输出支持1920×1080@60fps, 1280×720@60fps；</w:t>
      </w:r>
    </w:p>
    <w:p>
      <w:pPr>
        <w:spacing w:line="360" w:lineRule="auto"/>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有效像素≥200万；</w:t>
      </w:r>
    </w:p>
    <w:p>
      <w:pPr>
        <w:spacing w:line="360" w:lineRule="auto"/>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红外距离不小于400米；</w:t>
      </w:r>
    </w:p>
    <w:p>
      <w:pPr>
        <w:spacing w:line="360" w:lineRule="auto"/>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支持不小于20倍光学变焦；</w:t>
      </w:r>
    </w:p>
    <w:p>
      <w:pPr>
        <w:spacing w:line="360" w:lineRule="auto"/>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主码流帧率：1920×1080@60fps；</w:t>
      </w:r>
    </w:p>
    <w:p>
      <w:pPr>
        <w:spacing w:line="360" w:lineRule="auto"/>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支持最低可达彩色≤0.001Lux，黑白≤0.0001Lux；</w:t>
      </w:r>
    </w:p>
    <w:p>
      <w:pPr>
        <w:spacing w:line="360" w:lineRule="auto"/>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支持透雾、强光抑制、电子防抖、数字降噪功能；</w:t>
      </w:r>
    </w:p>
    <w:p>
      <w:pPr>
        <w:spacing w:line="360" w:lineRule="auto"/>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支持宽动态不小于105dB；</w:t>
      </w:r>
    </w:p>
    <w:p>
      <w:pPr>
        <w:spacing w:line="360" w:lineRule="auto"/>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支持300个及以上预置位，支持15条及以上巡航扫描，支持5条及以上的模式路径设置，支持预置点视频冻结功能；</w:t>
      </w:r>
    </w:p>
    <w:p>
      <w:pPr>
        <w:spacing w:line="360" w:lineRule="auto"/>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水平旋转范围为360°连续旋转，垂直旋转范围为-30°～90°；</w:t>
      </w:r>
    </w:p>
    <w:p>
      <w:pPr>
        <w:spacing w:line="360" w:lineRule="auto"/>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支持SD存储卡热插拔，最大支持128GB；</w:t>
      </w:r>
    </w:p>
    <w:p>
      <w:pPr>
        <w:spacing w:line="360" w:lineRule="auto"/>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支持区域入侵、越界入侵、徘徊、物品遗留、物品移除、音频异常、人脸检测、人员聚集、快速移动、进入区域、离开区域，并联动报警；</w:t>
      </w:r>
    </w:p>
    <w:p>
      <w:pPr>
        <w:spacing w:line="360" w:lineRule="auto"/>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支持IP67及以上，TVS 8000V及以上防雷、防浪涌、防突波。</w:t>
      </w:r>
    </w:p>
    <w:p>
      <w:pPr>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F.喊话喇叭</w:t>
      </w:r>
    </w:p>
    <w:p>
      <w:pPr>
        <w:spacing w:line="360" w:lineRule="auto"/>
        <w:ind w:firstLine="420" w:firstLineChars="2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拟在外环东路与桃源中路交叉口、西子国际酒店、学勉南路与外环东路交叉口、学勉南路与正学东路交叉口、正学东路与桃源中路交叉口、西子国际非机动车停车点、华庭小区出入口、华庭小区菜场、桃源中学等违法事件常发区域部署12套高音喊话功放设备，实现远程喊话功能，为远程劝导提供基础支撑。</w:t>
      </w:r>
    </w:p>
    <w:p>
      <w:pPr>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G.移动布控球机</w:t>
      </w:r>
    </w:p>
    <w:p>
      <w:pPr>
        <w:spacing w:line="360" w:lineRule="auto"/>
        <w:ind w:firstLine="420" w:firstLineChars="200"/>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eastAsia="zh-CN"/>
        </w:rPr>
        <w:t>移动布控球机是</w:t>
      </w:r>
      <w:r>
        <w:rPr>
          <w:rFonts w:hint="eastAsia" w:ascii="宋体" w:hAnsi="宋体" w:eastAsia="宋体" w:cs="宋体"/>
          <w:b w:val="0"/>
          <w:bCs w:val="0"/>
          <w:color w:val="auto"/>
          <w:sz w:val="21"/>
          <w:szCs w:val="21"/>
          <w:highlight w:val="none"/>
          <w:lang w:val="en-US" w:eastAsia="zh-CN"/>
        </w:rPr>
        <w:t>对执法管理事件监控</w:t>
      </w:r>
      <w:r>
        <w:rPr>
          <w:rFonts w:hint="eastAsia" w:ascii="宋体" w:hAnsi="宋体" w:eastAsia="宋体" w:cs="宋体"/>
          <w:b w:val="0"/>
          <w:bCs w:val="0"/>
          <w:color w:val="auto"/>
          <w:sz w:val="21"/>
          <w:szCs w:val="21"/>
          <w:highlight w:val="none"/>
          <w:lang w:eastAsia="zh-CN"/>
        </w:rPr>
        <w:t>的补充，对于</w:t>
      </w:r>
      <w:r>
        <w:rPr>
          <w:rFonts w:hint="eastAsia" w:ascii="宋体" w:hAnsi="宋体" w:eastAsia="宋体" w:cs="宋体"/>
          <w:b w:val="0"/>
          <w:bCs w:val="0"/>
          <w:color w:val="auto"/>
          <w:sz w:val="21"/>
          <w:szCs w:val="21"/>
          <w:highlight w:val="none"/>
          <w:lang w:val="en-US" w:eastAsia="zh-CN"/>
        </w:rPr>
        <w:t>部分案件较为</w:t>
      </w:r>
      <w:r>
        <w:rPr>
          <w:rFonts w:hint="eastAsia" w:ascii="宋体" w:hAnsi="宋体" w:eastAsia="宋体" w:cs="宋体"/>
          <w:b w:val="0"/>
          <w:bCs w:val="0"/>
          <w:color w:val="auto"/>
          <w:sz w:val="21"/>
          <w:szCs w:val="21"/>
          <w:highlight w:val="none"/>
          <w:lang w:eastAsia="zh-CN"/>
        </w:rPr>
        <w:t>严重</w:t>
      </w:r>
      <w:r>
        <w:rPr>
          <w:rFonts w:hint="eastAsia" w:ascii="宋体" w:hAnsi="宋体" w:eastAsia="宋体" w:cs="宋体"/>
          <w:b w:val="0"/>
          <w:bCs w:val="0"/>
          <w:color w:val="auto"/>
          <w:sz w:val="21"/>
          <w:szCs w:val="21"/>
          <w:highlight w:val="none"/>
          <w:lang w:val="en-US" w:eastAsia="zh-CN"/>
        </w:rPr>
        <w:t>地区</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lang w:val="en-US" w:eastAsia="zh-CN"/>
        </w:rPr>
        <w:t>又没有实现</w:t>
      </w:r>
      <w:r>
        <w:rPr>
          <w:rFonts w:hint="eastAsia" w:ascii="宋体" w:hAnsi="宋体" w:eastAsia="宋体" w:cs="宋体"/>
          <w:b w:val="0"/>
          <w:bCs w:val="0"/>
          <w:color w:val="auto"/>
          <w:sz w:val="21"/>
          <w:szCs w:val="21"/>
          <w:highlight w:val="none"/>
          <w:lang w:eastAsia="zh-CN"/>
        </w:rPr>
        <w:t>球机覆盖的区域路段，采用移动布控球机</w:t>
      </w:r>
      <w:r>
        <w:rPr>
          <w:rFonts w:hint="eastAsia" w:ascii="宋体" w:hAnsi="宋体" w:eastAsia="宋体" w:cs="宋体"/>
          <w:b w:val="0"/>
          <w:bCs w:val="0"/>
          <w:color w:val="auto"/>
          <w:sz w:val="21"/>
          <w:szCs w:val="21"/>
          <w:highlight w:val="none"/>
          <w:lang w:val="en-US" w:eastAsia="zh-CN"/>
        </w:rPr>
        <w:t>进行</w:t>
      </w:r>
      <w:r>
        <w:rPr>
          <w:rFonts w:hint="eastAsia" w:ascii="宋体" w:hAnsi="宋体" w:eastAsia="宋体" w:cs="宋体"/>
          <w:b w:val="0"/>
          <w:bCs w:val="0"/>
          <w:color w:val="auto"/>
          <w:sz w:val="21"/>
          <w:szCs w:val="21"/>
          <w:highlight w:val="none"/>
          <w:lang w:eastAsia="zh-CN"/>
        </w:rPr>
        <w:t>补盲。移动布控球机有方便移动的特点，如果监控路段违停现象得到控制，则可以移动位置到其他路段，</w:t>
      </w:r>
      <w:r>
        <w:rPr>
          <w:rFonts w:hint="eastAsia" w:ascii="宋体" w:hAnsi="宋体" w:eastAsia="宋体" w:cs="宋体"/>
          <w:b w:val="0"/>
          <w:bCs w:val="0"/>
          <w:color w:val="auto"/>
          <w:sz w:val="21"/>
          <w:szCs w:val="21"/>
          <w:highlight w:val="none"/>
          <w:lang w:val="en-US" w:eastAsia="zh-CN"/>
        </w:rPr>
        <w:t>同时</w:t>
      </w:r>
      <w:r>
        <w:rPr>
          <w:rFonts w:hint="eastAsia" w:ascii="宋体" w:hAnsi="宋体" w:eastAsia="宋体" w:cs="宋体"/>
          <w:b w:val="0"/>
          <w:bCs w:val="0"/>
          <w:color w:val="auto"/>
          <w:sz w:val="21"/>
          <w:szCs w:val="21"/>
          <w:highlight w:val="none"/>
          <w:lang w:eastAsia="zh-CN"/>
        </w:rPr>
        <w:t>移动布控球机也可以配合</w:t>
      </w:r>
      <w:r>
        <w:rPr>
          <w:rFonts w:hint="eastAsia" w:ascii="宋体" w:hAnsi="宋体" w:eastAsia="宋体" w:cs="宋体"/>
          <w:b w:val="0"/>
          <w:bCs w:val="0"/>
          <w:color w:val="auto"/>
          <w:sz w:val="21"/>
          <w:szCs w:val="21"/>
          <w:highlight w:val="none"/>
          <w:lang w:val="en-US" w:eastAsia="zh-CN"/>
        </w:rPr>
        <w:t>其他</w:t>
      </w:r>
      <w:r>
        <w:rPr>
          <w:rFonts w:hint="eastAsia" w:ascii="宋体" w:hAnsi="宋体" w:eastAsia="宋体" w:cs="宋体"/>
          <w:b w:val="0"/>
          <w:bCs w:val="0"/>
          <w:color w:val="auto"/>
          <w:sz w:val="21"/>
          <w:szCs w:val="21"/>
          <w:highlight w:val="none"/>
          <w:lang w:eastAsia="zh-CN"/>
        </w:rPr>
        <w:t>球机对存在死角的区域实现全覆盖。</w:t>
      </w:r>
      <w:r>
        <w:rPr>
          <w:rFonts w:hint="eastAsia" w:ascii="宋体" w:hAnsi="宋体" w:eastAsia="宋体" w:cs="宋体"/>
          <w:b w:val="0"/>
          <w:bCs w:val="0"/>
          <w:color w:val="auto"/>
          <w:sz w:val="21"/>
          <w:szCs w:val="21"/>
          <w:highlight w:val="none"/>
          <w:lang w:val="en-US" w:eastAsia="zh-CN"/>
        </w:rPr>
        <w:t>本期项目拟采购3台移动布控球机作为补充使用。</w:t>
      </w:r>
    </w:p>
    <w:p>
      <w:pPr>
        <w:spacing w:line="360" w:lineRule="auto"/>
        <w:ind w:firstLine="420" w:firstLineChars="200"/>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移动布控球机具有违停取证球机的所有功能。移动布控球机主要的技术参数如下：</w:t>
      </w:r>
    </w:p>
    <w:p>
      <w:pPr>
        <w:pStyle w:val="31"/>
        <w:numPr>
          <w:ilvl w:val="0"/>
          <w:numId w:val="4"/>
        </w:numPr>
        <w:spacing w:line="360" w:lineRule="auto"/>
        <w:ind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传感器不低于200W像素</w:t>
      </w:r>
    </w:p>
    <w:p>
      <w:pPr>
        <w:pStyle w:val="31"/>
        <w:numPr>
          <w:ilvl w:val="0"/>
          <w:numId w:val="4"/>
        </w:numPr>
        <w:spacing w:line="360" w:lineRule="auto"/>
        <w:ind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分辨率不低于1080P</w:t>
      </w:r>
    </w:p>
    <w:p>
      <w:pPr>
        <w:pStyle w:val="31"/>
        <w:numPr>
          <w:ilvl w:val="0"/>
          <w:numId w:val="4"/>
        </w:numPr>
        <w:spacing w:line="360" w:lineRule="auto"/>
        <w:ind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"mailto:低照度，彩色0.05lux@F1.6"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 w:val="21"/>
          <w:szCs w:val="21"/>
          <w:highlight w:val="none"/>
        </w:rPr>
        <w:t>低照度，彩色0.05lux@F1.6</w:t>
      </w:r>
      <w:r>
        <w:rPr>
          <w:rFonts w:hint="eastAsia" w:ascii="宋体" w:hAnsi="宋体" w:eastAsia="宋体" w:cs="宋体"/>
          <w:color w:val="auto"/>
          <w:sz w:val="21"/>
          <w:szCs w:val="21"/>
          <w:highlight w:val="none"/>
        </w:rPr>
        <w:fldChar w:fldCharType="end"/>
      </w:r>
    </w:p>
    <w:p>
      <w:pPr>
        <w:pStyle w:val="31"/>
        <w:numPr>
          <w:ilvl w:val="0"/>
          <w:numId w:val="4"/>
        </w:numPr>
        <w:spacing w:line="360" w:lineRule="auto"/>
        <w:ind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支持自动彩转黑功能，实现昼夜监控</w:t>
      </w:r>
    </w:p>
    <w:p>
      <w:pPr>
        <w:pStyle w:val="31"/>
        <w:numPr>
          <w:ilvl w:val="0"/>
          <w:numId w:val="4"/>
        </w:numPr>
        <w:spacing w:line="360" w:lineRule="auto"/>
        <w:ind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可通过设备自身附带小屏显示当前电池电量、GPS状态、3G/4G状态、录像状态、存储容量、蓝牙状态、平台连接状态、WiFi状态、智能算法模式</w:t>
      </w:r>
    </w:p>
    <w:p>
      <w:pPr>
        <w:pStyle w:val="31"/>
        <w:numPr>
          <w:ilvl w:val="0"/>
          <w:numId w:val="4"/>
        </w:numPr>
        <w:spacing w:line="360" w:lineRule="auto"/>
        <w:ind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支持3D-DNR </w:t>
      </w:r>
    </w:p>
    <w:p>
      <w:pPr>
        <w:pStyle w:val="31"/>
        <w:numPr>
          <w:ilvl w:val="0"/>
          <w:numId w:val="4"/>
        </w:numPr>
        <w:spacing w:line="360" w:lineRule="auto"/>
        <w:ind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支持双TF卡存储</w:t>
      </w:r>
    </w:p>
    <w:p>
      <w:pPr>
        <w:pStyle w:val="31"/>
        <w:numPr>
          <w:ilvl w:val="0"/>
          <w:numId w:val="4"/>
        </w:numPr>
        <w:spacing w:line="360" w:lineRule="auto"/>
        <w:ind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标配支持单4G模块，可额外扩展2个4G模块</w:t>
      </w:r>
    </w:p>
    <w:p>
      <w:pPr>
        <w:pStyle w:val="31"/>
        <w:numPr>
          <w:ilvl w:val="0"/>
          <w:numId w:val="4"/>
        </w:numPr>
        <w:spacing w:line="360" w:lineRule="auto"/>
        <w:ind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配置可拆卸电池，单电池可支持9小时连续工作 </w:t>
      </w:r>
    </w:p>
    <w:p>
      <w:pPr>
        <w:pStyle w:val="31"/>
        <w:numPr>
          <w:ilvl w:val="0"/>
          <w:numId w:val="4"/>
        </w:numPr>
        <w:spacing w:line="360" w:lineRule="auto"/>
        <w:ind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支持MIC、扬声器，可选配支持LINE IN\LINE OUT</w:t>
      </w:r>
    </w:p>
    <w:p>
      <w:pPr>
        <w:pStyle w:val="31"/>
        <w:numPr>
          <w:ilvl w:val="0"/>
          <w:numId w:val="4"/>
        </w:numPr>
        <w:spacing w:line="360" w:lineRule="auto"/>
        <w:ind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支持自定义语音导入，可关联智能分析报警</w:t>
      </w:r>
    </w:p>
    <w:p>
      <w:pPr>
        <w:pStyle w:val="31"/>
        <w:numPr>
          <w:ilvl w:val="0"/>
          <w:numId w:val="4"/>
        </w:numPr>
        <w:spacing w:line="360" w:lineRule="auto"/>
        <w:ind w:firstLineChars="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底部配置高吸力磁铁，安装便捷</w:t>
      </w:r>
    </w:p>
    <w:p>
      <w:pPr>
        <w:pStyle w:val="31"/>
        <w:numPr>
          <w:ilvl w:val="0"/>
          <w:numId w:val="4"/>
        </w:numPr>
        <w:spacing w:line="360" w:lineRule="auto"/>
        <w:ind w:firstLineChars="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智能功能：支持人行道违章取证：违停、逆行、压线、变道、机占非、掉头取证以及断网续传；支持车牌、车身颜色、车型、车辆品牌、车辆子品牌识别</w:t>
      </w:r>
    </w:p>
    <w:p>
      <w:pPr>
        <w:keepNext/>
        <w:keepLines/>
        <w:pageBreakBefore w:val="0"/>
        <w:widowControl w:val="0"/>
        <w:numPr>
          <w:ilvl w:val="0"/>
          <w:numId w:val="0"/>
        </w:numPr>
        <w:kinsoku/>
        <w:wordWrap/>
        <w:overflowPunct/>
        <w:topLinePunct w:val="0"/>
        <w:autoSpaceDE/>
        <w:autoSpaceDN/>
        <w:bidi w:val="0"/>
        <w:adjustRightInd/>
        <w:snapToGrid/>
        <w:spacing w:before="120" w:after="120" w:line="360" w:lineRule="auto"/>
        <w:ind w:leftChars="0" w:firstLine="422" w:firstLineChars="200"/>
        <w:jc w:val="both"/>
        <w:textAlignment w:val="auto"/>
        <w:outlineLvl w:val="2"/>
        <w:rPr>
          <w:rFonts w:hint="eastAsia" w:ascii="宋体" w:hAnsi="宋体" w:eastAsia="宋体" w:cs="宋体"/>
          <w:b/>
          <w:bCs/>
          <w:color w:val="auto"/>
          <w:kern w:val="2"/>
          <w:sz w:val="21"/>
          <w:szCs w:val="21"/>
          <w:highlight w:val="none"/>
          <w:lang w:val="en-US" w:eastAsia="zh-CN" w:bidi="ar-SA"/>
        </w:rPr>
      </w:pPr>
      <w:bookmarkStart w:id="42" w:name="_Toc8763721"/>
      <w:bookmarkStart w:id="43" w:name="_Toc14953"/>
      <w:r>
        <w:rPr>
          <w:rFonts w:hint="eastAsia" w:ascii="宋体" w:hAnsi="宋体" w:eastAsia="宋体" w:cs="宋体"/>
          <w:b/>
          <w:bCs/>
          <w:color w:val="auto"/>
          <w:kern w:val="2"/>
          <w:sz w:val="21"/>
          <w:szCs w:val="21"/>
          <w:highlight w:val="none"/>
          <w:lang w:val="en-US" w:eastAsia="zh-CN" w:bidi="ar-SA"/>
        </w:rPr>
        <w:t>⑥后端</w:t>
      </w:r>
      <w:bookmarkEnd w:id="42"/>
      <w:r>
        <w:rPr>
          <w:rFonts w:hint="eastAsia" w:ascii="宋体" w:hAnsi="宋体" w:eastAsia="宋体" w:cs="宋体"/>
          <w:b/>
          <w:bCs/>
          <w:color w:val="auto"/>
          <w:kern w:val="2"/>
          <w:sz w:val="21"/>
          <w:szCs w:val="21"/>
          <w:highlight w:val="none"/>
          <w:lang w:val="en-US" w:eastAsia="zh-CN" w:bidi="ar-SA"/>
        </w:rPr>
        <w:t>存储设备建设</w:t>
      </w:r>
      <w:bookmarkEnd w:id="43"/>
    </w:p>
    <w:p>
      <w:pPr>
        <w:keepNext/>
        <w:keepLines/>
        <w:pageBreakBefore w:val="0"/>
        <w:widowControl w:val="0"/>
        <w:numPr>
          <w:ilvl w:val="0"/>
          <w:numId w:val="0"/>
        </w:numPr>
        <w:tabs>
          <w:tab w:val="left" w:pos="851"/>
        </w:tabs>
        <w:kinsoku/>
        <w:wordWrap/>
        <w:overflowPunct/>
        <w:topLinePunct w:val="0"/>
        <w:autoSpaceDE/>
        <w:autoSpaceDN/>
        <w:bidi w:val="0"/>
        <w:adjustRightInd/>
        <w:snapToGrid/>
        <w:spacing w:line="360" w:lineRule="auto"/>
        <w:ind w:leftChars="0" w:firstLine="422" w:firstLineChars="200"/>
        <w:jc w:val="both"/>
        <w:textAlignment w:val="auto"/>
        <w:outlineLvl w:val="3"/>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存储设备</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此次存储扩容直接接入政务数据中心，需要109.824T存储空间。</w:t>
      </w:r>
    </w:p>
    <w:p>
      <w:pPr>
        <w:keepNext/>
        <w:keepLines/>
        <w:pageBreakBefore w:val="0"/>
        <w:widowControl w:val="0"/>
        <w:numPr>
          <w:ilvl w:val="0"/>
          <w:numId w:val="0"/>
        </w:numPr>
        <w:tabs>
          <w:tab w:val="left" w:pos="851"/>
        </w:tabs>
        <w:kinsoku/>
        <w:wordWrap/>
        <w:overflowPunct/>
        <w:topLinePunct w:val="0"/>
        <w:autoSpaceDE/>
        <w:autoSpaceDN/>
        <w:bidi w:val="0"/>
        <w:adjustRightInd/>
        <w:snapToGrid/>
        <w:spacing w:line="360" w:lineRule="auto"/>
        <w:ind w:leftChars="0" w:firstLine="422" w:firstLineChars="200"/>
        <w:jc w:val="both"/>
        <w:textAlignment w:val="auto"/>
        <w:outlineLvl w:val="3"/>
        <w:rPr>
          <w:rFonts w:hint="eastAsia" w:ascii="宋体" w:hAnsi="宋体" w:eastAsia="宋体" w:cs="宋体"/>
          <w:b/>
          <w:bCs/>
          <w:color w:val="auto"/>
          <w:kern w:val="2"/>
          <w:sz w:val="21"/>
          <w:szCs w:val="21"/>
          <w:highlight w:val="none"/>
          <w:lang w:val="en-US" w:eastAsia="zh-CN" w:bidi="ar-SA"/>
        </w:rPr>
      </w:pPr>
      <w:r>
        <w:rPr>
          <w:rFonts w:hint="eastAsia" w:ascii="宋体" w:hAnsi="宋体" w:eastAsia="宋体" w:cs="宋体"/>
          <w:b/>
          <w:bCs/>
          <w:color w:val="auto"/>
          <w:kern w:val="2"/>
          <w:sz w:val="21"/>
          <w:szCs w:val="21"/>
          <w:highlight w:val="none"/>
          <w:lang w:val="en-US" w:eastAsia="zh-CN" w:bidi="ar-SA"/>
        </w:rPr>
        <w:t>视频分析服务器</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本期项目拟新采购1台视频分析一体机，</w:t>
      </w:r>
      <w:r>
        <w:rPr>
          <w:rFonts w:hint="eastAsia" w:ascii="宋体" w:hAnsi="宋体" w:eastAsia="宋体" w:cs="宋体"/>
          <w:color w:val="auto"/>
          <w:sz w:val="21"/>
          <w:szCs w:val="21"/>
          <w:highlight w:val="none"/>
        </w:rPr>
        <w:t>部署于</w:t>
      </w:r>
      <w:r>
        <w:rPr>
          <w:rFonts w:hint="eastAsia" w:ascii="宋体" w:hAnsi="宋体" w:eastAsia="宋体" w:cs="宋体"/>
          <w:color w:val="auto"/>
          <w:sz w:val="21"/>
          <w:szCs w:val="21"/>
          <w:highlight w:val="none"/>
          <w:lang w:val="en-US" w:eastAsia="zh-CN"/>
        </w:rPr>
        <w:t>县</w:t>
      </w:r>
      <w:r>
        <w:rPr>
          <w:rFonts w:hint="eastAsia" w:ascii="宋体" w:hAnsi="宋体" w:eastAsia="宋体" w:cs="宋体"/>
          <w:color w:val="auto"/>
          <w:sz w:val="21"/>
          <w:szCs w:val="21"/>
          <w:highlight w:val="none"/>
        </w:rPr>
        <w:t>政务</w:t>
      </w:r>
      <w:r>
        <w:rPr>
          <w:rFonts w:hint="eastAsia" w:ascii="宋体" w:hAnsi="宋体" w:eastAsia="宋体" w:cs="宋体"/>
          <w:color w:val="auto"/>
          <w:sz w:val="21"/>
          <w:szCs w:val="21"/>
          <w:highlight w:val="none"/>
          <w:lang w:val="en-US" w:eastAsia="zh-CN"/>
        </w:rPr>
        <w:t>数据中心，视频智能分析能够24小时不间断地对监控画面进行监视与分析，有超强的持续发现问题能力，能够有效解放人力，提高效率，通过视频分析，能够加强城市管理问题信息智能采集能力。本次智能分析系统的建设需与县综合管理服务平台（原智慧城管）视频管理平台对接。</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主要参数如下：</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CPU: 不低于2颗E5-2620V4（8核2.1GHz）;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内存：≥64GB DDR4；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硬盘：150GB SSD*1，960GB SSD*8；                                        </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4个千兆自适应网口；</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冗余电源</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视频接入软件：支持GB28181接入，支持单台设备接入200路1080P视频；</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重点支持以下各类视频智能分析功能：</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a.占道经营智能识别:支持对指定场景视频中是否出现疑似占道经营行为进行智能分析和识别的功能</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b.无照经营游商智能识别：支持对指定场景视频中是否出现疑似游摊小贩行为进行智能分析和识别的功能；</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c.乱堆物堆料智能识别：支持对指定场景视频中是否出现疑似乱堆物堆料的行为进行智能分析和识别的功能；</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d.暴露垃圾智能识别：支持对指定场景视频中是否出现疑似暴露垃圾的场景进行智能分析和识别的功能；</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e.沿街晾挂智能识别：支持对指定场景视频中是否出现疑似沿街晾挂的行为进行智能分析和识别的功能；</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f.非机动车乱停放智能识别：支持对指定场景视频中是否出现疑似非机动车进行智能分析和识别的功能；</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g.违法设置户外广告智能识别：支持对指定场景视频中是否出现疑似违规广告的行为进行智能分析和识别的功能；</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h.道路积水智能识别：支持对指定场景视频中是否出现疑似道路积水的行为进行智能分析和识别的功能；</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i.车辆违停智能识别：支持对指定场景视频中是否出现疑似机动车违停的行为进行智能分析和识别的功能；</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 xml:space="preserve">系统管理软件： </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a.支持告警展示：支持在实时预览的时候进行动画告警展示。支持告警数据实时展示，支持展示告警详细信息、地图热点分布、点位在线率、违规总数等数据的功能；</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b</w:t>
      </w:r>
      <w:r>
        <w:rPr>
          <w:rFonts w:hint="eastAsia" w:ascii="宋体" w:hAnsi="宋体" w:eastAsia="宋体" w:cs="宋体"/>
          <w:color w:val="auto"/>
          <w:sz w:val="21"/>
          <w:szCs w:val="21"/>
          <w:highlight w:val="none"/>
          <w:lang w:val="en-US" w:eastAsia="zh-CN"/>
        </w:rPr>
        <w:t>.告警去重：支持对告警进行去重处理，告警界面只会显示未处理的第一条告警，后续告警不再显示；</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c</w:t>
      </w:r>
      <w:r>
        <w:rPr>
          <w:rFonts w:hint="eastAsia" w:ascii="宋体" w:hAnsi="宋体" w:eastAsia="宋体" w:cs="宋体"/>
          <w:color w:val="auto"/>
          <w:sz w:val="21"/>
          <w:szCs w:val="21"/>
          <w:highlight w:val="none"/>
          <w:lang w:val="en-US" w:eastAsia="zh-CN"/>
        </w:rPr>
        <w:t>.支持查看违规的记录的当前处理数和待处理记录条数的功能；</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d</w:t>
      </w:r>
      <w:r>
        <w:rPr>
          <w:rFonts w:hint="eastAsia" w:ascii="宋体" w:hAnsi="宋体" w:eastAsia="宋体" w:cs="宋体"/>
          <w:color w:val="auto"/>
          <w:sz w:val="21"/>
          <w:szCs w:val="21"/>
          <w:highlight w:val="none"/>
          <w:lang w:val="en-US" w:eastAsia="zh-CN"/>
        </w:rPr>
        <w:t>.置信度参考：支持对告警自动设置置信度，系统自动判断违规场景的置信度，提供审核参考；</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e</w:t>
      </w:r>
      <w:r>
        <w:rPr>
          <w:rFonts w:hint="eastAsia" w:ascii="宋体" w:hAnsi="宋体" w:eastAsia="宋体" w:cs="宋体"/>
          <w:color w:val="auto"/>
          <w:sz w:val="21"/>
          <w:szCs w:val="21"/>
          <w:highlight w:val="none"/>
          <w:lang w:val="en-US" w:eastAsia="zh-CN"/>
        </w:rPr>
        <w:t>.审核上报：支持在记录详情页面对记录违规情况进行数据审核；支持录入审核补充说明；支持将审核结果上报给业务系统。</w:t>
      </w:r>
    </w:p>
    <w:p>
      <w:pPr>
        <w:keepNext/>
        <w:keepLines/>
        <w:pageBreakBefore w:val="0"/>
        <w:widowControl w:val="0"/>
        <w:numPr>
          <w:ilvl w:val="0"/>
          <w:numId w:val="0"/>
        </w:numPr>
        <w:kinsoku/>
        <w:wordWrap/>
        <w:overflowPunct/>
        <w:topLinePunct w:val="0"/>
        <w:autoSpaceDE/>
        <w:autoSpaceDN/>
        <w:bidi w:val="0"/>
        <w:adjustRightInd/>
        <w:snapToGrid/>
        <w:spacing w:before="120" w:after="120" w:line="360" w:lineRule="auto"/>
        <w:ind w:leftChars="0" w:firstLine="422" w:firstLineChars="200"/>
        <w:jc w:val="both"/>
        <w:textAlignment w:val="auto"/>
        <w:outlineLvl w:val="2"/>
        <w:rPr>
          <w:rFonts w:hint="eastAsia" w:ascii="宋体" w:hAnsi="宋体" w:eastAsia="宋体" w:cs="宋体"/>
          <w:b/>
          <w:bCs/>
          <w:color w:val="auto"/>
          <w:kern w:val="2"/>
          <w:sz w:val="21"/>
          <w:szCs w:val="21"/>
          <w:highlight w:val="none"/>
          <w:lang w:val="en-US" w:eastAsia="zh-CN" w:bidi="ar-SA"/>
        </w:rPr>
      </w:pPr>
      <w:bookmarkStart w:id="44" w:name="_Toc24444"/>
      <w:r>
        <w:rPr>
          <w:rFonts w:hint="eastAsia" w:ascii="宋体" w:hAnsi="宋体" w:eastAsia="宋体" w:cs="宋体"/>
          <w:b/>
          <w:bCs/>
          <w:color w:val="auto"/>
          <w:kern w:val="2"/>
          <w:sz w:val="21"/>
          <w:szCs w:val="21"/>
          <w:highlight w:val="none"/>
          <w:lang w:val="en-US" w:eastAsia="zh-CN" w:bidi="ar-SA"/>
        </w:rPr>
        <w:t>⑦网络系统建设</w:t>
      </w:r>
      <w:bookmarkEnd w:id="44"/>
    </w:p>
    <w:p>
      <w:pPr>
        <w:spacing w:line="360" w:lineRule="auto"/>
        <w:ind w:firstLine="422" w:firstLineChars="200"/>
        <w:rPr>
          <w:rFonts w:hint="eastAsia" w:ascii="宋体" w:hAnsi="宋体" w:eastAsia="宋体" w:cs="宋体"/>
          <w:b/>
          <w:bCs/>
          <w:color w:val="auto"/>
          <w:sz w:val="21"/>
          <w:szCs w:val="21"/>
          <w:highlight w:val="none"/>
          <w:lang w:val="en-US" w:eastAsia="zh-CN"/>
        </w:rPr>
      </w:pPr>
      <w:bookmarkStart w:id="45" w:name="_Toc528833172"/>
      <w:bookmarkStart w:id="46" w:name="_Toc526961616"/>
      <w:bookmarkStart w:id="47" w:name="_Toc496537585"/>
      <w:bookmarkStart w:id="48" w:name="_Toc456010057"/>
      <w:r>
        <w:rPr>
          <w:rFonts w:hint="eastAsia" w:ascii="宋体" w:hAnsi="宋体" w:eastAsia="宋体" w:cs="宋体"/>
          <w:b/>
          <w:bCs/>
          <w:color w:val="auto"/>
          <w:sz w:val="21"/>
          <w:szCs w:val="21"/>
          <w:highlight w:val="none"/>
          <w:lang w:val="en-US" w:eastAsia="zh-CN"/>
        </w:rPr>
        <w:t>前端监控点位的接入</w:t>
      </w:r>
      <w:bookmarkEnd w:id="45"/>
    </w:p>
    <w:p>
      <w:pPr>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（A）各分点接入方式</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各接入点采用PON方式有线光缆接入，根据分片区域就近接入的原则，采取如下接入方案：各接入分点通过在各网点新增的ONU设备，经过ODN网络接入运营商汇聚机房的OLT设备，OLT设备通过千兆链路接入运营商网络。</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接入分点侧ONU下行规划1个FE电接口作为业务接入端口。</w:t>
      </w:r>
    </w:p>
    <w:p>
      <w:pPr>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（B）汇聚点接入方式</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通过物理光纤双上联至综合行政执法局指挥中心汇聚交换机上，实现有效的路由保护，并通过运营商网络与各接入分点互通。</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指挥中心汇聚交换机规划两个GE光口作为业务接入端口。</w:t>
      </w:r>
    </w:p>
    <w:p>
      <w:pPr>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（C）核心点接入方式</w:t>
      </w:r>
    </w:p>
    <w:p>
      <w:pPr>
        <w:spacing w:line="360" w:lineRule="auto"/>
        <w:ind w:firstLine="420" w:firstLineChars="200"/>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综合行政执法局指挥中心汇聚交换机通过裸光纤双上联至宁海县政务数据中心机房核心交换机；政务数据中心机房核心交换机通过裸光纤双上联分别至宁海县视频监控共享平台（宁海县公安视频专网）、电子政务外网。</w:t>
      </w:r>
    </w:p>
    <w:p>
      <w:pPr>
        <w:spacing w:line="360" w:lineRule="auto"/>
        <w:ind w:firstLine="422" w:firstLineChars="200"/>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视频传输网络系统设计</w:t>
      </w:r>
      <w:bookmarkEnd w:id="46"/>
      <w:bookmarkEnd w:id="47"/>
      <w:bookmarkEnd w:id="48"/>
    </w:p>
    <w:p>
      <w:pPr>
        <w:spacing w:line="360" w:lineRule="auto"/>
        <w:ind w:firstLine="422" w:firstLineChars="200"/>
        <w:rPr>
          <w:rFonts w:hint="eastAsia" w:ascii="宋体" w:hAnsi="宋体" w:eastAsia="宋体" w:cs="宋体"/>
          <w:b/>
          <w:bCs/>
          <w:color w:val="auto"/>
          <w:sz w:val="21"/>
          <w:szCs w:val="21"/>
          <w:highlight w:val="none"/>
        </w:rPr>
      </w:pPr>
      <w:bookmarkStart w:id="49" w:name="_Toc456010062"/>
      <w:bookmarkStart w:id="50" w:name="_Toc496537588"/>
      <w:bookmarkStart w:id="51" w:name="_Toc526961619"/>
      <w:r>
        <w:rPr>
          <w:rFonts w:hint="eastAsia" w:ascii="宋体" w:hAnsi="宋体" w:eastAsia="宋体" w:cs="宋体"/>
          <w:b/>
          <w:bCs/>
          <w:color w:val="auto"/>
          <w:sz w:val="21"/>
          <w:szCs w:val="21"/>
          <w:highlight w:val="none"/>
        </w:rPr>
        <w:t>无线网络传输要求</w:t>
      </w:r>
      <w:bookmarkEnd w:id="49"/>
      <w:bookmarkEnd w:id="50"/>
      <w:bookmarkEnd w:id="51"/>
    </w:p>
    <w:p>
      <w:pPr>
        <w:pStyle w:val="31"/>
        <w:numPr>
          <w:ilvl w:val="0"/>
          <w:numId w:val="6"/>
        </w:numPr>
        <w:spacing w:line="360" w:lineRule="auto"/>
        <w:ind w:left="0" w:firstLine="5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IP网络端到端的性能指标</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为了保证无线布控球和4G控制终端信息的实时传输，要求IP网络服务质量(Qos)等级要达到通信行业标准YD/T 1171-2001中所规定的1级(交互式)或1级以上。</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影响IP网络服务质量(Qos)的性能参数主要包括网络时延、抖动和丢包率等，参见YDT1171-2001，具体指标如下：</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网络时延上限应小于400ms</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时延抖动上限应小于50ms</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丢包率上限应小于0.1%</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0" w:leftChars="0" w:firstLine="420" w:firstLineChars="20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包误差率上限应小于0.01%</w:t>
      </w:r>
    </w:p>
    <w:p>
      <w:pPr>
        <w:pStyle w:val="31"/>
        <w:numPr>
          <w:ilvl w:val="0"/>
          <w:numId w:val="6"/>
        </w:numPr>
        <w:spacing w:line="360" w:lineRule="auto"/>
        <w:ind w:left="0" w:firstLine="56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信息传输延迟时间</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当音视频、控制信息及报警信息经由IP网络传输时，端到端的信息延迟时间（包括发送端信息采集、编码、传输和接收端信息解码、显示等过程）应满足要求如下：</w:t>
      </w:r>
    </w:p>
    <w:p>
      <w:pPr>
        <w:spacing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前端设备报警信号接入本级监控中心相应设备间端到端的信息延时时间不大于2s；</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b/>
          <w:bCs/>
          <w:color w:val="auto"/>
          <w:sz w:val="21"/>
          <w:szCs w:val="21"/>
          <w:highlight w:val="none"/>
          <w:lang w:val="en-US" w:eastAsia="zh-CN"/>
        </w:rPr>
      </w:pPr>
      <w:r>
        <w:rPr>
          <w:rFonts w:hint="eastAsia" w:ascii="宋体" w:hAnsi="宋体" w:eastAsia="宋体" w:cs="宋体"/>
          <w:color w:val="auto"/>
          <w:sz w:val="21"/>
          <w:szCs w:val="21"/>
          <w:highlight w:val="none"/>
        </w:rPr>
        <w:t>前端报警设备与联动响应的移动终端之间信息延迟时间应不大于4s。</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bookmarkStart w:id="52" w:name="_Toc15982"/>
      <w:bookmarkStart w:id="53" w:name="_Toc8763722"/>
      <w:r>
        <w:rPr>
          <w:rFonts w:hint="eastAsia" w:ascii="宋体" w:hAnsi="宋体" w:cs="宋体"/>
          <w:b/>
          <w:bCs/>
          <w:color w:val="auto"/>
          <w:sz w:val="21"/>
          <w:highlight w:val="none"/>
          <w:lang w:val="en-US" w:eastAsia="zh-CN"/>
        </w:rPr>
        <w:t>3）</w:t>
      </w:r>
      <w:r>
        <w:rPr>
          <w:rFonts w:hint="eastAsia" w:ascii="宋体" w:hAnsi="宋体" w:eastAsia="宋体" w:cs="宋体"/>
          <w:b/>
          <w:bCs/>
          <w:color w:val="auto"/>
          <w:sz w:val="21"/>
          <w:highlight w:val="none"/>
          <w:lang w:val="en-US" w:eastAsia="zh-CN"/>
        </w:rPr>
        <w:t>智慧公厕设施建设</w:t>
      </w:r>
      <w:bookmarkEnd w:id="52"/>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本次项目将根据市局智慧公厕建设标准，拟选取跃龙山生态公厕和天明湖公园公厕进行智慧化改造，逐步实现公厕的智慧化建设。通过部署各种物联感知设备，使传统厕所具备即时感知，准确判断和精确处理的能力，实现异味控制、节水节能、人流监测、远程管理等功能。</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①</w:t>
      </w:r>
      <w:r>
        <w:rPr>
          <w:rFonts w:hint="eastAsia" w:ascii="宋体" w:hAnsi="宋体" w:eastAsia="宋体" w:cs="宋体"/>
          <w:b/>
          <w:bCs/>
          <w:color w:val="auto"/>
          <w:sz w:val="21"/>
          <w:highlight w:val="none"/>
          <w:lang w:val="en-US" w:eastAsia="zh-CN"/>
        </w:rPr>
        <w:t>建设内容</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智慧公厕由</w:t>
      </w:r>
      <w:r>
        <w:rPr>
          <w:rFonts w:hint="eastAsia" w:hAnsi="宋体"/>
          <w:color w:val="auto"/>
          <w:szCs w:val="24"/>
          <w:highlight w:val="none"/>
          <w:lang w:val="en-US" w:eastAsia="zh-CN"/>
        </w:rPr>
        <w:t>物联网协议（如</w:t>
      </w:r>
      <w:r>
        <w:rPr>
          <w:rFonts w:hint="eastAsia" w:ascii="仿宋_GB2312" w:hAnsi="宋体" w:eastAsia="仿宋_GB2312" w:cs="Times New Roman"/>
          <w:color w:val="auto"/>
          <w:szCs w:val="24"/>
          <w:highlight w:val="none"/>
        </w:rPr>
        <w:t>NB-IoT</w:t>
      </w:r>
      <w:r>
        <w:rPr>
          <w:rFonts w:hint="eastAsia" w:ascii="仿宋_GB2312" w:hAnsi="宋体" w:eastAsia="仿宋_GB2312" w:cs="Times New Roman"/>
          <w:color w:val="auto"/>
          <w:szCs w:val="24"/>
          <w:highlight w:val="none"/>
          <w:lang w:val="en-US" w:eastAsia="zh-CN"/>
        </w:rPr>
        <w:t>/</w:t>
      </w:r>
      <w:r>
        <w:rPr>
          <w:rFonts w:hint="eastAsia" w:ascii="仿宋_GB2312" w:hAnsi="宋体" w:eastAsia="仿宋_GB2312" w:cs="Times New Roman"/>
          <w:color w:val="auto"/>
          <w:szCs w:val="24"/>
          <w:highlight w:val="none"/>
        </w:rPr>
        <w:t>ZigBee</w:t>
      </w:r>
      <w:r>
        <w:rPr>
          <w:rFonts w:hint="eastAsia" w:ascii="仿宋_GB2312" w:hAnsi="宋体" w:eastAsia="仿宋_GB2312" w:cs="Times New Roman"/>
          <w:color w:val="auto"/>
          <w:szCs w:val="24"/>
          <w:highlight w:val="none"/>
          <w:lang w:val="en-US" w:eastAsia="zh-CN"/>
        </w:rPr>
        <w:t>/Lora等</w:t>
      </w:r>
      <w:r>
        <w:rPr>
          <w:rFonts w:hint="eastAsia" w:hAnsi="宋体"/>
          <w:color w:val="auto"/>
          <w:szCs w:val="24"/>
          <w:highlight w:val="none"/>
          <w:lang w:val="en-US" w:eastAsia="zh-CN"/>
        </w:rPr>
        <w:t>）、</w:t>
      </w:r>
      <w:r>
        <w:rPr>
          <w:rFonts w:hint="eastAsia" w:ascii="宋体" w:hAnsi="宋体" w:eastAsia="宋体" w:cs="宋体"/>
          <w:color w:val="auto"/>
          <w:sz w:val="21"/>
          <w:highlight w:val="none"/>
          <w:lang w:val="en-US" w:eastAsia="zh-CN"/>
        </w:rPr>
        <w:t>WiFi、有线等混合组网，接入各类气体传感器等物联网设备和引导屏、人流计数器等监控和显示设备。各类物联网传感器数据通过高级智能网关汇聚，引导屏内容通过网关实现本地闭环，即使外部网络异常也不会对内容显示产生影响，最终由4G路由器上传数据至管理平台。</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p>
      <w:pPr>
        <w:keepNext w:val="0"/>
        <w:keepLines w:val="0"/>
        <w:pageBreakBefore w:val="0"/>
        <w:wordWrap/>
        <w:topLinePunct w:val="0"/>
        <w:bidi w:val="0"/>
        <w:spacing w:beforeLines="0" w:afterLines="0" w:line="360" w:lineRule="auto"/>
        <w:ind w:firstLine="392" w:firstLineChars="187"/>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drawing>
          <wp:inline distT="0" distB="0" distL="114300" distR="114300">
            <wp:extent cx="5273675" cy="2827655"/>
            <wp:effectExtent l="0" t="0" r="3175" b="10795"/>
            <wp:docPr id="2" name="图片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23"/>
                    <pic:cNvPicPr>
                      <a:picLocks noChangeAspect="1"/>
                    </pic:cNvPicPr>
                  </pic:nvPicPr>
                  <pic:blipFill>
                    <a:blip r:embed="rId12"/>
                    <a:stretch>
                      <a:fillRect/>
                    </a:stretch>
                  </pic:blipFill>
                  <pic:spPr>
                    <a:xfrm>
                      <a:off x="0" y="0"/>
                      <a:ext cx="5273675" cy="2827655"/>
                    </a:xfrm>
                    <a:prstGeom prst="rect">
                      <a:avLst/>
                    </a:prstGeom>
                    <a:noFill/>
                    <a:ln>
                      <a:noFill/>
                    </a:ln>
                  </pic:spPr>
                </pic:pic>
              </a:graphicData>
            </a:graphic>
          </wp:inline>
        </w:drawing>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功能介绍如下：</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公厕情报展示。通过公厕引导屏将公厕的客流量，余位情况和环境信息予以公示，同时提供故障报修和满意度评价的窗口。</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能耗监测。通过智能水表和智能电表实时采集公厕的能耗情况，为节水节能提供决策依据，减少城管财政开支。</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人流量监测。通过人流计数摄像机实时监测人流量，获取人流信息。根据人流数量的信息，提供城管厕所新建和改建的数据支撑。</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环境监测。采集温度，湿度，氨气，TVOC等环境指标的监测。在保洁人员打卡时，实时上传当前环境指标，为保洁人员管理考核提供数据支撑。</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智能除臭设备。根据采集到的环境数据，当氨气指标一旦出现超过阈值的情况，自动开启除臭设备，保障公厕清新无异味。</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人脸识别取纸机。自动控制每个人在一定时间内的取纸次数和长度，并且会通过紫外线杀毒。如果出现缺纸或卡纸现象，设备会自动报警，及时通知维护人员。</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bookmarkStart w:id="54" w:name="_Toc31049"/>
      <w:r>
        <w:rPr>
          <w:rFonts w:hint="eastAsia" w:ascii="宋体" w:hAnsi="宋体" w:cs="宋体"/>
          <w:b/>
          <w:bCs/>
          <w:color w:val="auto"/>
          <w:sz w:val="21"/>
          <w:highlight w:val="none"/>
          <w:lang w:val="en-US" w:eastAsia="zh-CN"/>
        </w:rPr>
        <w:t>4）</w:t>
      </w:r>
      <w:r>
        <w:rPr>
          <w:rFonts w:hint="eastAsia" w:ascii="宋体" w:hAnsi="宋体" w:eastAsia="宋体" w:cs="宋体"/>
          <w:b/>
          <w:bCs/>
          <w:color w:val="auto"/>
          <w:sz w:val="21"/>
          <w:highlight w:val="none"/>
          <w:lang w:val="en-US" w:eastAsia="zh-CN"/>
        </w:rPr>
        <w:t>无人机巡查服务</w:t>
      </w:r>
      <w:bookmarkEnd w:id="54"/>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本期项目拟通过购买服务的方式采购无人机设备，重点针对城市重大活动（如创城活动、徐霞客开游节以及重大城市管理活动等）进行空中监测，实现城市监管从二维向三维转变，形成人、车、</w:t>
      </w:r>
      <w:r>
        <w:rPr>
          <w:rFonts w:hint="eastAsia"/>
          <w:color w:val="auto"/>
          <w:highlight w:val="none"/>
          <w:lang w:eastAsia="zh-CN"/>
        </w:rPr>
        <w:t>无人</w:t>
      </w:r>
      <w:r>
        <w:rPr>
          <w:rFonts w:hint="eastAsia" w:ascii="宋体" w:hAnsi="宋体" w:eastAsia="宋体" w:cs="宋体"/>
          <w:color w:val="auto"/>
          <w:sz w:val="21"/>
          <w:highlight w:val="none"/>
          <w:lang w:val="en-US" w:eastAsia="zh-CN"/>
        </w:rPr>
        <w:t>机一体巡查，提升目前采集效率，快速完成采集任务，节省采集成本，从而提升城市管理水平。项目拟按照飞行次数进行最终费用结算，每年飞行次数以6次计算，每次飞行时间不少于1小时。</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bookmarkStart w:id="55" w:name="_Toc482863710"/>
      <w:r>
        <w:rPr>
          <w:rFonts w:hint="eastAsia" w:ascii="宋体" w:hAnsi="宋体" w:cs="宋体"/>
          <w:b/>
          <w:bCs/>
          <w:color w:val="auto"/>
          <w:sz w:val="21"/>
          <w:highlight w:val="none"/>
          <w:lang w:val="en-US" w:eastAsia="zh-CN"/>
        </w:rPr>
        <w:t>①</w:t>
      </w:r>
      <w:r>
        <w:rPr>
          <w:rFonts w:hint="eastAsia" w:ascii="宋体" w:hAnsi="宋体" w:eastAsia="宋体" w:cs="宋体"/>
          <w:b/>
          <w:bCs/>
          <w:color w:val="auto"/>
          <w:sz w:val="21"/>
          <w:highlight w:val="none"/>
          <w:lang w:val="en-US" w:eastAsia="zh-CN"/>
        </w:rPr>
        <w:t>巡查区域划分思路</w:t>
      </w:r>
      <w:bookmarkEnd w:id="55"/>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参照《民用无人机驾驶员规定》、《民用无人机驾驶航空器系统空中交通管理办法》、《中华人民共和国治安管理处罚法》，结合保税区特点的实际情况，充分借鉴其它城市管理经验，根据工作时间和区域巡查密度完成巡查路线编制，划分责任区域，确定定量目标，注重实效，侧重解决城市管理突出问题，力求在数字化城市管理模式方面，进行有益的探索和创新，建立示范模式。</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监督网格划分以社区/街道为单位，规划起降点。采取无人机巡查的方式。</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将覆盖范围按照楼宇密度、道路等级（主次干道、街巷）、政策限制（重点区域、党政机关科研单位）、电磁干扰等限制因素进行规划，最大程度上保证信息采集工作的效率和质量，并且保证安全飞行及有效上报。</w:t>
      </w:r>
      <w:bookmarkStart w:id="56" w:name="_Toc298170242"/>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bookmarkStart w:id="57" w:name="_Toc482863712"/>
      <w:r>
        <w:rPr>
          <w:rFonts w:hint="eastAsia" w:ascii="宋体" w:hAnsi="宋体" w:cs="宋体"/>
          <w:b/>
          <w:bCs/>
          <w:color w:val="auto"/>
          <w:sz w:val="21"/>
          <w:highlight w:val="none"/>
          <w:lang w:val="en-US" w:eastAsia="zh-CN"/>
        </w:rPr>
        <w:t>②</w:t>
      </w:r>
      <w:r>
        <w:rPr>
          <w:rFonts w:hint="eastAsia" w:ascii="宋体" w:hAnsi="宋体" w:eastAsia="宋体" w:cs="宋体"/>
          <w:b/>
          <w:bCs/>
          <w:color w:val="auto"/>
          <w:sz w:val="21"/>
          <w:highlight w:val="none"/>
          <w:lang w:val="en-US" w:eastAsia="zh-CN"/>
        </w:rPr>
        <w:t>飞行范围</w:t>
      </w:r>
      <w:bookmarkEnd w:id="57"/>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严格遵照民航总局《民用无人机家事航空器系统空中管理办法》及《民用无人机驾驶员管理规定》规定，并参照宁海县规定，根据视距内有效飞行距离，规划若干飞行采集网格及规划起降点，以保证安全飞行，本期项目飞行范围为宁海县建成区。</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bookmarkStart w:id="58" w:name="_Toc482863713"/>
      <w:r>
        <w:rPr>
          <w:rFonts w:hint="eastAsia" w:ascii="宋体" w:hAnsi="宋体" w:cs="宋体"/>
          <w:b/>
          <w:bCs/>
          <w:color w:val="auto"/>
          <w:sz w:val="21"/>
          <w:highlight w:val="none"/>
          <w:lang w:val="en-US" w:eastAsia="zh-CN"/>
        </w:rPr>
        <w:t>③</w:t>
      </w:r>
      <w:r>
        <w:rPr>
          <w:rFonts w:hint="eastAsia" w:ascii="宋体" w:hAnsi="宋体" w:eastAsia="宋体" w:cs="宋体"/>
          <w:b/>
          <w:bCs/>
          <w:color w:val="auto"/>
          <w:sz w:val="21"/>
          <w:highlight w:val="none"/>
          <w:lang w:val="en-US" w:eastAsia="zh-CN"/>
        </w:rPr>
        <w:t>队伍</w:t>
      </w:r>
      <w:bookmarkEnd w:id="58"/>
      <w:r>
        <w:rPr>
          <w:rFonts w:hint="eastAsia" w:ascii="宋体" w:hAnsi="宋体" w:eastAsia="宋体" w:cs="宋体"/>
          <w:b/>
          <w:bCs/>
          <w:color w:val="auto"/>
          <w:sz w:val="21"/>
          <w:highlight w:val="none"/>
          <w:lang w:val="en-US" w:eastAsia="zh-CN"/>
        </w:rPr>
        <w:t>配置</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配置无人机飞行小组，由飞控员和观测员组成。配置无人机2台（一主一备）。（车辆根据具体需要配备，由</w:t>
      </w:r>
      <w:r>
        <w:rPr>
          <w:rFonts w:hint="eastAsia" w:ascii="宋体" w:hAnsi="宋体" w:cs="宋体"/>
          <w:color w:val="auto"/>
          <w:sz w:val="21"/>
          <w:highlight w:val="none"/>
          <w:lang w:val="en-US" w:eastAsia="zh-CN"/>
        </w:rPr>
        <w:t>供应商</w:t>
      </w:r>
      <w:r>
        <w:rPr>
          <w:rFonts w:hint="eastAsia" w:ascii="宋体" w:hAnsi="宋体" w:eastAsia="宋体" w:cs="宋体"/>
          <w:color w:val="auto"/>
          <w:sz w:val="21"/>
          <w:highlight w:val="none"/>
          <w:lang w:val="en-US" w:eastAsia="zh-CN"/>
        </w:rPr>
        <w:t>自备）</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bookmarkStart w:id="59" w:name="_Toc482863714"/>
      <w:r>
        <w:rPr>
          <w:rFonts w:hint="eastAsia" w:ascii="宋体" w:hAnsi="宋体" w:cs="宋体"/>
          <w:b/>
          <w:bCs/>
          <w:color w:val="auto"/>
          <w:sz w:val="21"/>
          <w:highlight w:val="none"/>
          <w:lang w:val="en-US" w:eastAsia="zh-CN"/>
        </w:rPr>
        <w:t>④</w:t>
      </w:r>
      <w:r>
        <w:rPr>
          <w:rFonts w:hint="eastAsia" w:ascii="宋体" w:hAnsi="宋体" w:eastAsia="宋体" w:cs="宋体"/>
          <w:b/>
          <w:bCs/>
          <w:color w:val="auto"/>
          <w:sz w:val="21"/>
          <w:highlight w:val="none"/>
          <w:lang w:val="en-US" w:eastAsia="zh-CN"/>
        </w:rPr>
        <w:t>管理对象</w:t>
      </w:r>
      <w:bookmarkEnd w:id="59"/>
    </w:p>
    <w:tbl>
      <w:tblPr>
        <w:tblStyle w:val="23"/>
        <w:tblW w:w="85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7"/>
        <w:gridCol w:w="65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57" w:type="dxa"/>
            <w:noWrap w:val="0"/>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采集场景</w:t>
            </w:r>
          </w:p>
        </w:tc>
        <w:tc>
          <w:tcPr>
            <w:tcW w:w="6592" w:type="dxa"/>
            <w:noWrap w:val="0"/>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场景内容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57" w:type="dxa"/>
            <w:noWrap w:val="0"/>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市容环境类</w:t>
            </w:r>
          </w:p>
        </w:tc>
        <w:tc>
          <w:tcPr>
            <w:tcW w:w="6592" w:type="dxa"/>
            <w:noWrap w:val="0"/>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针对于取证困难的市容场景进行采集，包括垃圾、堆料等进行采集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57" w:type="dxa"/>
            <w:noWrap w:val="0"/>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突发事件</w:t>
            </w:r>
          </w:p>
        </w:tc>
        <w:tc>
          <w:tcPr>
            <w:tcW w:w="6592" w:type="dxa"/>
            <w:noWrap w:val="0"/>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针对难以取证的突发事故现场根据需要进行取证采集</w:t>
            </w:r>
          </w:p>
        </w:tc>
      </w:tr>
      <w:bookmarkEnd w:id="53"/>
      <w:bookmarkEnd w:id="56"/>
    </w:tbl>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6</w:t>
      </w:r>
      <w:bookmarkStart w:id="60" w:name="_Toc29236"/>
      <w:r>
        <w:rPr>
          <w:rFonts w:hint="eastAsia" w:ascii="宋体" w:hAnsi="宋体" w:cs="宋体"/>
          <w:b/>
          <w:bCs/>
          <w:color w:val="auto"/>
          <w:sz w:val="21"/>
          <w:highlight w:val="none"/>
          <w:lang w:val="en-US" w:eastAsia="zh-CN"/>
        </w:rPr>
        <w:t>）</w:t>
      </w:r>
      <w:r>
        <w:rPr>
          <w:rFonts w:hint="eastAsia" w:ascii="宋体" w:hAnsi="宋体" w:eastAsia="宋体" w:cs="宋体"/>
          <w:b/>
          <w:bCs/>
          <w:color w:val="auto"/>
          <w:sz w:val="21"/>
          <w:highlight w:val="none"/>
          <w:lang w:val="en-US" w:eastAsia="zh-CN"/>
        </w:rPr>
        <w:t>系统软硬件配置清单</w:t>
      </w:r>
      <w:bookmarkEnd w:id="60"/>
    </w:p>
    <w:p>
      <w:pPr>
        <w:keepNext w:val="0"/>
        <w:keepLines w:val="0"/>
        <w:pageBreakBefore w:val="0"/>
        <w:wordWrap/>
        <w:topLinePunct w:val="0"/>
        <w:bidi w:val="0"/>
        <w:spacing w:beforeLines="0" w:afterLines="0" w:line="360" w:lineRule="auto"/>
        <w:ind w:firstLine="394" w:firstLineChars="187"/>
        <w:rPr>
          <w:rFonts w:hint="eastAsia" w:ascii="宋体" w:hAnsi="宋体" w:cs="宋体"/>
          <w:b/>
          <w:bCs/>
          <w:color w:val="auto"/>
          <w:sz w:val="21"/>
          <w:highlight w:val="none"/>
          <w:lang w:val="en-US" w:eastAsia="zh-CN"/>
        </w:rPr>
      </w:pPr>
      <w:bookmarkStart w:id="61" w:name="_Toc7213"/>
      <w:r>
        <w:rPr>
          <w:rFonts w:hint="eastAsia" w:ascii="宋体" w:hAnsi="宋体" w:cs="宋体"/>
          <w:b/>
          <w:bCs/>
          <w:color w:val="auto"/>
          <w:sz w:val="21"/>
          <w:highlight w:val="none"/>
          <w:lang w:val="en-US" w:eastAsia="zh-CN"/>
        </w:rPr>
        <w:t>①本期指挥中心配置设备清单如下：</w:t>
      </w:r>
    </w:p>
    <w:tbl>
      <w:tblPr>
        <w:tblStyle w:val="23"/>
        <w:tblW w:w="845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520"/>
        <w:gridCol w:w="4653"/>
        <w:gridCol w:w="73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816" w:type="dxa"/>
            <w:shd w:val="clear" w:color="000000" w:fill="FFFFFF" w:themeFill="background1"/>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bCs/>
                <w:color w:val="auto"/>
                <w:sz w:val="21"/>
                <w:highlight w:val="none"/>
                <w:lang w:val="en-US" w:eastAsia="zh-CN"/>
              </w:rPr>
            </w:pPr>
            <w:r>
              <w:rPr>
                <w:rFonts w:hint="eastAsia" w:ascii="宋体" w:hAnsi="宋体" w:cs="宋体"/>
                <w:b/>
                <w:bCs/>
                <w:color w:val="auto"/>
                <w:sz w:val="21"/>
                <w:highlight w:val="none"/>
                <w:lang w:val="en-US" w:eastAsia="zh-CN"/>
              </w:rPr>
              <w:t>序号</w:t>
            </w:r>
          </w:p>
        </w:tc>
        <w:tc>
          <w:tcPr>
            <w:tcW w:w="1520" w:type="dxa"/>
            <w:shd w:val="clear" w:color="000000" w:fill="FFFFFF" w:themeFill="background1"/>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bCs/>
                <w:color w:val="auto"/>
                <w:sz w:val="21"/>
                <w:highlight w:val="none"/>
                <w:lang w:val="en-US" w:eastAsia="zh-CN"/>
              </w:rPr>
            </w:pPr>
            <w:r>
              <w:rPr>
                <w:rFonts w:hint="eastAsia" w:ascii="宋体" w:hAnsi="宋体" w:cs="宋体"/>
                <w:b/>
                <w:bCs/>
                <w:color w:val="auto"/>
                <w:sz w:val="21"/>
                <w:highlight w:val="none"/>
                <w:lang w:val="en-US" w:eastAsia="zh-CN"/>
              </w:rPr>
              <w:t>设备名称</w:t>
            </w:r>
          </w:p>
        </w:tc>
        <w:tc>
          <w:tcPr>
            <w:tcW w:w="4653" w:type="dxa"/>
            <w:shd w:val="clear" w:color="000000" w:fill="FFFFFF" w:themeFill="background1"/>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bCs/>
                <w:color w:val="auto"/>
                <w:sz w:val="21"/>
                <w:highlight w:val="none"/>
                <w:lang w:val="en-US" w:eastAsia="zh-CN"/>
              </w:rPr>
            </w:pPr>
            <w:r>
              <w:rPr>
                <w:rFonts w:hint="eastAsia" w:ascii="宋体" w:hAnsi="宋体" w:cs="宋体"/>
                <w:b/>
                <w:bCs/>
                <w:color w:val="auto"/>
                <w:sz w:val="21"/>
                <w:highlight w:val="none"/>
                <w:lang w:val="en-US" w:eastAsia="zh-CN"/>
              </w:rPr>
              <w:t>技术参数</w:t>
            </w:r>
          </w:p>
        </w:tc>
        <w:tc>
          <w:tcPr>
            <w:tcW w:w="735" w:type="dxa"/>
            <w:shd w:val="clear" w:color="000000" w:fill="FFFFFF" w:themeFill="background1"/>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bCs/>
                <w:color w:val="auto"/>
                <w:sz w:val="21"/>
                <w:highlight w:val="none"/>
                <w:lang w:val="en-US" w:eastAsia="zh-CN"/>
              </w:rPr>
            </w:pPr>
            <w:r>
              <w:rPr>
                <w:rFonts w:hint="eastAsia" w:ascii="宋体" w:hAnsi="宋体" w:cs="宋体"/>
                <w:b/>
                <w:bCs/>
                <w:color w:val="auto"/>
                <w:sz w:val="21"/>
                <w:highlight w:val="none"/>
                <w:lang w:val="en-US" w:eastAsia="zh-CN"/>
              </w:rPr>
              <w:t>数量</w:t>
            </w:r>
          </w:p>
        </w:tc>
        <w:tc>
          <w:tcPr>
            <w:tcW w:w="735" w:type="dxa"/>
            <w:shd w:val="clear" w:color="000000" w:fill="FFFFFF" w:themeFill="background1"/>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bCs/>
                <w:color w:val="auto"/>
                <w:sz w:val="21"/>
                <w:highlight w:val="none"/>
                <w:lang w:val="en-US" w:eastAsia="zh-CN"/>
              </w:rPr>
            </w:pPr>
            <w:r>
              <w:rPr>
                <w:rFonts w:hint="eastAsia" w:ascii="宋体" w:hAnsi="宋体" w:cs="宋体"/>
                <w:b/>
                <w:bCs/>
                <w:color w:val="auto"/>
                <w:sz w:val="21"/>
                <w:highlight w:val="no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1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w:t>
            </w:r>
          </w:p>
        </w:tc>
        <w:tc>
          <w:tcPr>
            <w:tcW w:w="1520"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55寸-新型模块化-框架</w:t>
            </w:r>
          </w:p>
        </w:tc>
        <w:tc>
          <w:tcPr>
            <w:tcW w:w="465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支架均采用SPCC优质冷轧钢板保障质量的源头；表面采用静电喷塑工艺，喷塑固化温度180-210度，涂层厚度80-100微米，对高防腐要求产品还可选择阴极电泳底漆工艺，防腐耐锈。</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10</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8" w:hRule="atLeast"/>
        </w:trPr>
        <w:tc>
          <w:tcPr>
            <w:tcW w:w="81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2</w:t>
            </w:r>
          </w:p>
        </w:tc>
        <w:tc>
          <w:tcPr>
            <w:tcW w:w="1520"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55寸-新型模块化-底座</w:t>
            </w:r>
          </w:p>
        </w:tc>
        <w:tc>
          <w:tcPr>
            <w:tcW w:w="465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颜色：黑色</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后拉杆长度：600-900mm</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弧度：0°</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开门及封板：底座前封板，含侧封板、顶盖板，无后门结构</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表面处理：静电喷塑</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底座高度：600/800/1000/1200mm</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厚度：400mm</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材料：SPCC高强度钢板</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5</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81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3</w:t>
            </w:r>
          </w:p>
        </w:tc>
        <w:tc>
          <w:tcPr>
            <w:tcW w:w="1520"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操作台</w:t>
            </w:r>
          </w:p>
        </w:tc>
        <w:tc>
          <w:tcPr>
            <w:tcW w:w="465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无纸化操作台，内部可安装2个86插座面板和一个圆形走线孔，台面内部设计有中抽，可放置键盘和鼠标以及小件办公用品，控制台内部有柜体，深度为0.4m，可放置主机箱以及隐藏线，控制台集成升降显示器，麦克风，控制主机。显示器：15.6寸超薄；主机配置：酷睿I5 8G 64G，千兆网卡，含控制软件。操作台宽度根据现场情况定制，风格高端大气，与指挥中心整体环境匹配</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3</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4</w:t>
            </w:r>
          </w:p>
        </w:tc>
        <w:tc>
          <w:tcPr>
            <w:tcW w:w="1520"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观摩席</w:t>
            </w:r>
          </w:p>
        </w:tc>
        <w:tc>
          <w:tcPr>
            <w:tcW w:w="465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多功能观摩席，内部可安装86插座面板和圆形走线孔，台面内部设计有中抽，可放置键盘和鼠标以及小件办公用品，控制台内部有柜体，深度为0.4m，可放置主机箱以及隐藏线。观摩席集成麦克风，观摩席宽度根据现场情况定制，风格高端大气，与指挥中心整体环境匹配。</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5</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trPr>
        <w:tc>
          <w:tcPr>
            <w:tcW w:w="81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5</w:t>
            </w:r>
          </w:p>
        </w:tc>
        <w:tc>
          <w:tcPr>
            <w:tcW w:w="1520"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专业立体声功放</w:t>
            </w:r>
          </w:p>
        </w:tc>
        <w:tc>
          <w:tcPr>
            <w:tcW w:w="465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双声道平衡专业功率放大器,每声道音量单独可调；</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支持2路XLR接口信号输入，2路6.35mm接口信号输入，使用更方便和灵活；</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支持三种输出方式可选选：双声道、单声道和BTL桥接；</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支持智能保护模式，具有短路保护、直流保护、电源通断多种保护和告警功能；</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多个功率级别的设计满足于不同场合的应用需求,额定输出/每声道,8Ω150W，额定输出/每声道,4Ω250W，额定输出/桥接,8Ω500W。</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81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6</w:t>
            </w:r>
          </w:p>
        </w:tc>
        <w:tc>
          <w:tcPr>
            <w:tcW w:w="1520"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吸顶喇叭</w:t>
            </w:r>
          </w:p>
        </w:tc>
        <w:tc>
          <w:tcPr>
            <w:tcW w:w="465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频宽(-10dB)：可达到60Hz-20,000Hz；灵敏度（1m，1W）：90dB；最大声压级(1m)：103dB；</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输入阻抗8欧；</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系统输入功率：20W；</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结构组成：5′低音×1(低、中频)；1′高音×1(高频)；</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适应环境温度-10℃~+40℃；</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尺寸：223mm×Ø196mm；</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安装孔尺寸Ø170mm-Ø203m</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4</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trPr>
        <w:tc>
          <w:tcPr>
            <w:tcW w:w="81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7</w:t>
            </w:r>
          </w:p>
        </w:tc>
        <w:tc>
          <w:tcPr>
            <w:tcW w:w="1520"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手持话筒</w:t>
            </w:r>
          </w:p>
        </w:tc>
        <w:tc>
          <w:tcPr>
            <w:tcW w:w="465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采用PLL四频道锁相环回路设计；</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支持UHF200频道PLL数字锁定自动通讯功能；</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采用红外线对频；</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支持话筒和接收机自动调频或手动调频；</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支持LCD液晶显示功能。</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2</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81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8</w:t>
            </w:r>
          </w:p>
        </w:tc>
        <w:tc>
          <w:tcPr>
            <w:tcW w:w="1520"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调音台</w:t>
            </w:r>
          </w:p>
        </w:tc>
        <w:tc>
          <w:tcPr>
            <w:tcW w:w="465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10通道调音台：4个话筒 / 10 个线路输入 (4 个单声道 + 3 个立体声) / 1 立体声母线 / 1 AUX (包括 FX)</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4个话筒 / 10个线路输入 (4个单声道 + 3个立体声)</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1立体声母线</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3" w:hRule="atLeast"/>
        </w:trPr>
        <w:tc>
          <w:tcPr>
            <w:tcW w:w="81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9</w:t>
            </w:r>
          </w:p>
        </w:tc>
        <w:tc>
          <w:tcPr>
            <w:tcW w:w="1520"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指挥中心球型摄像机</w:t>
            </w:r>
          </w:p>
        </w:tc>
        <w:tc>
          <w:tcPr>
            <w:tcW w:w="465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内置电动云台和一体化变焦镜头，施工便易，方便运维</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智能功能：人脸抓拍、混合目标抓拍（人脸、人体+车辆抓拍）&amp;（人脸比对）、离岗检测、睡岗检测、剧烈运动检测、区域关注度支持指哪抓哪，在大场景监控下可手动选择人脸抓拍目标，实现灵活抓拍</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传感器类型: 1/2.8＂ progressive scan CMOS</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最低照度: 彩色：0.05Lux @ (F1.6，AGC ON),黑白：0.01Lux @(F1.6，AGC ON),0 Lux with IR</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宽动态: 120dB超宽动态</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焦距: 4.8-110 mm，23倍光学变倍</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视场角: 55-2.7度 (广角-望远)</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水平范围: 水平360°</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垂直范围: -5°-90°</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水平速度: 水平键控速度：0.1°-300°/s,速度可设;水平预置点速度：350°/s</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垂直速度: 垂直键控速度：0.1°-160°/s,速度可设;垂直预置点速度：200°/s</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红外照射距离: 50m</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防补光过曝: 支持</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2</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81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10</w:t>
            </w:r>
          </w:p>
        </w:tc>
        <w:tc>
          <w:tcPr>
            <w:tcW w:w="1520"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门禁系统</w:t>
            </w:r>
          </w:p>
        </w:tc>
        <w:tc>
          <w:tcPr>
            <w:tcW w:w="465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1、设备外观：采用7英寸触摸显示屏，200万像素双目摄像头，面部识别距离0.5m-1.5m；</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2、设备容量：支持50000张人脸白名单，50000张卡，100000条记录存储；</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3、体温检测：非接触式体温检测，温度检测距离在0.5m~1.5m之间，测温精度±0.5℃；</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4、认证方式：支持人脸识别、刷卡、密码（超级密码）及组合认证方式，可外接身份证模块做人证比对，识别人员身份后获取该人员体温数据统一绑定；</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5、通讯方式：有线网络；</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6、设备接口： LAN*1；RS485*1；韦根*1；USB *2；门磁*1、开门按钮*1、报警输入*2；电锁*1、报警输出*1；</w:t>
            </w:r>
            <w:r>
              <w:rPr>
                <w:rFonts w:hint="eastAsia" w:ascii="宋体" w:hAnsi="宋体" w:eastAsia="宋体" w:cs="宋体"/>
                <w:b w:val="0"/>
                <w:bCs w:val="0"/>
                <w:color w:val="auto"/>
                <w:sz w:val="21"/>
                <w:highlight w:val="none"/>
                <w:lang w:val="en-US" w:eastAsia="zh-CN"/>
              </w:rPr>
              <w:br w:type="textWrapping"/>
            </w:r>
            <w:r>
              <w:rPr>
                <w:rFonts w:hint="eastAsia" w:ascii="宋体" w:hAnsi="宋体" w:eastAsia="宋体" w:cs="宋体"/>
                <w:b w:val="0"/>
                <w:bCs w:val="0"/>
                <w:color w:val="auto"/>
                <w:sz w:val="21"/>
                <w:highlight w:val="none"/>
                <w:lang w:val="en-US" w:eastAsia="zh-CN"/>
              </w:rPr>
              <w:t>7、传感器类型：氧化钒(VOx)微测辐射热计（热成像测温）。</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2</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6" w:hRule="atLeast"/>
        </w:trPr>
        <w:tc>
          <w:tcPr>
            <w:tcW w:w="81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11</w:t>
            </w:r>
          </w:p>
        </w:tc>
        <w:tc>
          <w:tcPr>
            <w:tcW w:w="1520"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人脸采集器</w:t>
            </w:r>
          </w:p>
        </w:tc>
        <w:tc>
          <w:tcPr>
            <w:tcW w:w="465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1、3.97英寸触摸显示屏，屏幕分辨率800×480；</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2、采用200万双目摄像头，有照片视频防假功能；</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3、支持人脸、卡片（ID/Mifare/CPU/二三代身份证序列号）；</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4、支持有线网络和无线WiFi传输；</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5、支持客户端在线采集和设备端离线采集方式；</w:t>
            </w:r>
            <w:r>
              <w:rPr>
                <w:rFonts w:hint="eastAsia" w:ascii="宋体" w:hAnsi="宋体" w:cs="宋体"/>
                <w:b w:val="0"/>
                <w:bCs w:val="0"/>
                <w:color w:val="auto"/>
                <w:sz w:val="21"/>
                <w:highlight w:val="none"/>
                <w:lang w:val="en-US" w:eastAsia="zh-CN"/>
              </w:rPr>
              <w:br w:type="textWrapping"/>
            </w:r>
            <w:r>
              <w:rPr>
                <w:rFonts w:hint="eastAsia" w:ascii="宋体" w:hAnsi="宋体" w:cs="宋体"/>
                <w:b w:val="0"/>
                <w:bCs w:val="0"/>
                <w:color w:val="auto"/>
                <w:sz w:val="21"/>
                <w:highlight w:val="none"/>
                <w:lang w:val="en-US" w:eastAsia="zh-CN"/>
              </w:rPr>
              <w:t>6、支持2000人员数据存储，含2000 注册人脸图片、20000 张注册卡片信息；</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1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12</w:t>
            </w:r>
          </w:p>
        </w:tc>
        <w:tc>
          <w:tcPr>
            <w:tcW w:w="1520"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多媒体演示屏</w:t>
            </w:r>
          </w:p>
        </w:tc>
        <w:tc>
          <w:tcPr>
            <w:tcW w:w="465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55寸，触控一体</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3</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1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13</w:t>
            </w:r>
          </w:p>
        </w:tc>
        <w:tc>
          <w:tcPr>
            <w:tcW w:w="1520"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多媒体演示工控机</w:t>
            </w:r>
          </w:p>
        </w:tc>
        <w:tc>
          <w:tcPr>
            <w:tcW w:w="465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I5+8G+256g固态+wifi</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1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14</w:t>
            </w:r>
          </w:p>
        </w:tc>
        <w:tc>
          <w:tcPr>
            <w:tcW w:w="1520"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蓄电池</w:t>
            </w:r>
          </w:p>
        </w:tc>
        <w:tc>
          <w:tcPr>
            <w:tcW w:w="465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12V100AH，替换原有电池</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16</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1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15</w:t>
            </w:r>
          </w:p>
        </w:tc>
        <w:tc>
          <w:tcPr>
            <w:tcW w:w="1520"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集成</w:t>
            </w:r>
          </w:p>
        </w:tc>
        <w:tc>
          <w:tcPr>
            <w:tcW w:w="465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设备集成</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81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16</w:t>
            </w:r>
          </w:p>
        </w:tc>
        <w:tc>
          <w:tcPr>
            <w:tcW w:w="1520"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辅材</w:t>
            </w:r>
          </w:p>
        </w:tc>
        <w:tc>
          <w:tcPr>
            <w:tcW w:w="4653"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定制</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1</w:t>
            </w:r>
          </w:p>
        </w:tc>
        <w:tc>
          <w:tcPr>
            <w:tcW w:w="735"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eastAsia" w:ascii="宋体" w:hAnsi="宋体" w:cs="宋体"/>
                <w:b w:val="0"/>
                <w:bCs w:val="0"/>
                <w:color w:val="auto"/>
                <w:sz w:val="21"/>
                <w:highlight w:val="none"/>
                <w:lang w:val="en-US" w:eastAsia="zh-CN"/>
              </w:rPr>
            </w:pPr>
            <w:r>
              <w:rPr>
                <w:rFonts w:hint="eastAsia" w:ascii="宋体" w:hAnsi="宋体" w:cs="宋体"/>
                <w:b w:val="0"/>
                <w:bCs w:val="0"/>
                <w:color w:val="auto"/>
                <w:sz w:val="21"/>
                <w:highlight w:val="none"/>
                <w:lang w:val="en-US" w:eastAsia="zh-CN"/>
              </w:rPr>
              <w:t>批</w:t>
            </w:r>
          </w:p>
        </w:tc>
      </w:tr>
    </w:tbl>
    <w:p>
      <w:pPr>
        <w:keepNext w:val="0"/>
        <w:keepLines w:val="0"/>
        <w:pageBreakBefore w:val="0"/>
        <w:wordWrap/>
        <w:topLinePunct w:val="0"/>
        <w:bidi w:val="0"/>
        <w:spacing w:beforeLines="0" w:afterLines="0" w:line="360" w:lineRule="auto"/>
        <w:ind w:firstLine="422" w:firstLineChars="200"/>
        <w:rPr>
          <w:rFonts w:hint="default"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②本期</w:t>
      </w:r>
      <w:r>
        <w:rPr>
          <w:rFonts w:hint="default" w:ascii="宋体" w:hAnsi="宋体" w:eastAsia="宋体" w:cs="宋体"/>
          <w:b/>
          <w:bCs/>
          <w:color w:val="auto"/>
          <w:sz w:val="21"/>
          <w:highlight w:val="none"/>
          <w:lang w:val="en-US" w:eastAsia="zh-CN"/>
        </w:rPr>
        <w:t>视频监控设备</w:t>
      </w:r>
      <w:bookmarkEnd w:id="61"/>
      <w:r>
        <w:rPr>
          <w:rFonts w:hint="eastAsia" w:ascii="宋体" w:hAnsi="宋体" w:cs="宋体"/>
          <w:b/>
          <w:bCs/>
          <w:color w:val="auto"/>
          <w:sz w:val="21"/>
          <w:highlight w:val="none"/>
          <w:lang w:val="en-US" w:eastAsia="zh-CN"/>
        </w:rPr>
        <w:t>清单如下：</w:t>
      </w:r>
    </w:p>
    <w:tbl>
      <w:tblPr>
        <w:tblStyle w:val="23"/>
        <w:tblW w:w="836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540"/>
        <w:gridCol w:w="4508"/>
        <w:gridCol w:w="735"/>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806" w:type="dxa"/>
            <w:shd w:val="clear" w:color="000000" w:fill="FFFFFF" w:themeFill="background1"/>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bCs/>
                <w:color w:val="auto"/>
                <w:sz w:val="21"/>
                <w:highlight w:val="none"/>
                <w:lang w:val="en-US" w:eastAsia="zh-CN"/>
              </w:rPr>
            </w:pPr>
            <w:r>
              <w:rPr>
                <w:rFonts w:hint="default" w:ascii="宋体" w:hAnsi="宋体" w:eastAsia="宋体" w:cs="宋体"/>
                <w:b/>
                <w:bCs/>
                <w:color w:val="auto"/>
                <w:sz w:val="21"/>
                <w:highlight w:val="none"/>
                <w:lang w:val="en-US" w:eastAsia="zh-CN"/>
              </w:rPr>
              <w:t>序号</w:t>
            </w:r>
          </w:p>
        </w:tc>
        <w:tc>
          <w:tcPr>
            <w:tcW w:w="1540" w:type="dxa"/>
            <w:shd w:val="clear" w:color="000000"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bCs/>
                <w:color w:val="auto"/>
                <w:sz w:val="21"/>
                <w:highlight w:val="none"/>
                <w:lang w:val="en-US" w:eastAsia="zh-CN"/>
              </w:rPr>
            </w:pPr>
            <w:r>
              <w:rPr>
                <w:rFonts w:hint="default" w:ascii="宋体" w:hAnsi="宋体" w:eastAsia="宋体" w:cs="宋体"/>
                <w:b/>
                <w:bCs/>
                <w:color w:val="auto"/>
                <w:sz w:val="21"/>
                <w:highlight w:val="none"/>
                <w:lang w:val="en-US" w:eastAsia="zh-CN"/>
              </w:rPr>
              <w:t>设备名称</w:t>
            </w:r>
          </w:p>
        </w:tc>
        <w:tc>
          <w:tcPr>
            <w:tcW w:w="4508" w:type="dxa"/>
            <w:shd w:val="clear" w:color="000000"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bCs/>
                <w:color w:val="auto"/>
                <w:sz w:val="21"/>
                <w:highlight w:val="none"/>
                <w:lang w:val="en-US" w:eastAsia="zh-CN"/>
              </w:rPr>
            </w:pPr>
            <w:r>
              <w:rPr>
                <w:rFonts w:hint="default" w:ascii="宋体" w:hAnsi="宋体" w:eastAsia="宋体" w:cs="宋体"/>
                <w:b/>
                <w:bCs/>
                <w:color w:val="auto"/>
                <w:sz w:val="21"/>
                <w:highlight w:val="none"/>
                <w:lang w:val="en-US" w:eastAsia="zh-CN"/>
              </w:rPr>
              <w:t>技术参数</w:t>
            </w:r>
          </w:p>
        </w:tc>
        <w:tc>
          <w:tcPr>
            <w:tcW w:w="735" w:type="dxa"/>
            <w:shd w:val="clear" w:color="000000"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bCs/>
                <w:color w:val="auto"/>
                <w:sz w:val="21"/>
                <w:highlight w:val="none"/>
                <w:lang w:val="en-US" w:eastAsia="zh-CN"/>
              </w:rPr>
            </w:pPr>
            <w:r>
              <w:rPr>
                <w:rFonts w:hint="default" w:ascii="宋体" w:hAnsi="宋体" w:eastAsia="宋体" w:cs="宋体"/>
                <w:b/>
                <w:bCs/>
                <w:color w:val="auto"/>
                <w:sz w:val="21"/>
                <w:highlight w:val="none"/>
                <w:lang w:val="en-US" w:eastAsia="zh-CN"/>
              </w:rPr>
              <w:t>数量</w:t>
            </w:r>
          </w:p>
        </w:tc>
        <w:tc>
          <w:tcPr>
            <w:tcW w:w="780" w:type="dxa"/>
            <w:shd w:val="clear" w:color="000000"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bCs/>
                <w:color w:val="auto"/>
                <w:sz w:val="21"/>
                <w:highlight w:val="none"/>
                <w:lang w:val="en-US" w:eastAsia="zh-CN"/>
              </w:rPr>
            </w:pPr>
            <w:r>
              <w:rPr>
                <w:rFonts w:hint="default" w:ascii="宋体" w:hAnsi="宋体" w:eastAsia="宋体" w:cs="宋体"/>
                <w:b/>
                <w:bCs/>
                <w:color w:val="auto"/>
                <w:sz w:val="21"/>
                <w:highlight w:val="no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369" w:type="dxa"/>
            <w:gridSpan w:val="5"/>
            <w:shd w:val="clear" w:color="000000" w:fill="FFFFFF" w:themeFill="background1"/>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（一）前端设备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8369" w:type="dxa"/>
            <w:gridSpan w:val="5"/>
            <w:shd w:val="clear" w:color="000000" w:fill="FFFFFF" w:themeFill="background1"/>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1.高清网络视频监控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80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1.1</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移动布控球机</w:t>
            </w:r>
          </w:p>
        </w:tc>
        <w:tc>
          <w:tcPr>
            <w:tcW w:w="4508"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传感器不低于200W像素</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分辨率不低于1080P</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低照度，彩色0.05lux@F1.6</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支持自动彩转黑功能，实现昼夜监控</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可通过设备自身附带小屏显示当前电池电量、GPS状态、3G/4G状态、录像状态、存储容量、蓝牙状态、平台连接状态、WiFi状态、智能算法模式</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 xml:space="preserve">支持3D-DNR </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支持双TF卡存储</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标配支持单4G模块，可额外扩展2个4G模块</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 xml:space="preserve">配置可拆卸电池，单电池可支持9小时连续工作 </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支持MIC、扬声器，可选配支持LINE IN\LINE OUT</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支持自定义语音导入，可关联智能分析报警</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底部配置高吸力磁铁，安装便捷</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智能功能：</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支持人行道违章取证：违停、逆行、压线、变道、机占非、掉头取证以及断网续传；</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支持车牌、车身颜色、车型、车辆品牌、车辆子品牌识别</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3</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80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1.2</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高清网络球机</w:t>
            </w:r>
          </w:p>
        </w:tc>
        <w:tc>
          <w:tcPr>
            <w:tcW w:w="4508"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像素：不低于400万</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图像传感器:1/1.8＂ Progressive Scan CMOS</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分辨率支持2560×1440@30fps；</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焦距：5.6-208mm，不低于37倍光学变倍；</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不低于200米红外照射距离；</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支持光学透雾；</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支持雨刷；</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支持鹰视智能聚焦算法；</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支持道路违章取证：违停、逆行、压线、变道、机占非、掉头取证以及断网续传；</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支持音频、报警；</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彩色：不低于0.0005Lux @ (F1.5，AGC ON)；黑白：不低于0.0001Lux @ (F1.5，AGC ON)；0 Lux with IR；</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支持3D数字降噪、SmartIR、120dB超宽动态、强光抑制、电子防抖；</w:t>
            </w:r>
            <w:r>
              <w:rPr>
                <w:rFonts w:hint="default" w:ascii="宋体" w:hAnsi="宋体" w:eastAsia="宋体" w:cs="宋体"/>
                <w:b w:val="0"/>
                <w:bCs w:val="0"/>
                <w:color w:val="auto"/>
                <w:sz w:val="21"/>
                <w:highlight w:val="none"/>
                <w:lang w:val="en-US" w:eastAsia="zh-CN"/>
              </w:rPr>
              <w:br w:type="textWrapping"/>
            </w:r>
            <w:r>
              <w:rPr>
                <w:rFonts w:hint="default" w:ascii="宋体" w:hAnsi="宋体" w:eastAsia="宋体" w:cs="宋体"/>
                <w:b w:val="0"/>
                <w:bCs w:val="0"/>
                <w:color w:val="auto"/>
                <w:sz w:val="21"/>
                <w:highlight w:val="none"/>
                <w:lang w:val="en-US" w:eastAsia="zh-CN"/>
              </w:rPr>
              <w:t>水平键控速度不低于210°/s，垂直键控速度不低于150°/s，垂直范围-20°~90°；</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49</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1.3</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无线功放（含遥控软件）</w:t>
            </w:r>
          </w:p>
        </w:tc>
        <w:tc>
          <w:tcPr>
            <w:tcW w:w="4508"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 具有双信道通信功能；</w:t>
            </w:r>
            <w:r>
              <w:rPr>
                <w:rFonts w:hint="default" w:ascii="宋体" w:hAnsi="宋体" w:eastAsia="宋体" w:cs="宋体"/>
                <w:b w:val="0"/>
                <w:bCs w:val="0"/>
                <w:color w:val="auto"/>
                <w:sz w:val="21"/>
                <w:highlight w:val="none"/>
                <w:lang w:val="en-US" w:eastAsia="zh-CN"/>
              </w:rPr>
              <w:cr/>
            </w:r>
            <w:r>
              <w:rPr>
                <w:rFonts w:hint="default" w:ascii="宋体" w:hAnsi="宋体" w:eastAsia="宋体" w:cs="宋体"/>
                <w:b w:val="0"/>
                <w:bCs w:val="0"/>
                <w:color w:val="auto"/>
                <w:sz w:val="21"/>
                <w:highlight w:val="none"/>
                <w:lang w:val="en-US" w:eastAsia="zh-CN"/>
              </w:rPr>
              <w:t>(2) 能发布系统下发的各种指令，实现响应、采用电声报警；</w:t>
            </w:r>
            <w:r>
              <w:rPr>
                <w:rFonts w:hint="default" w:ascii="宋体" w:hAnsi="宋体" w:eastAsia="宋体" w:cs="宋体"/>
                <w:b w:val="0"/>
                <w:bCs w:val="0"/>
                <w:color w:val="auto"/>
                <w:sz w:val="21"/>
                <w:highlight w:val="none"/>
                <w:lang w:val="en-US" w:eastAsia="zh-CN"/>
              </w:rPr>
              <w:cr/>
            </w:r>
            <w:r>
              <w:rPr>
                <w:rFonts w:hint="default" w:ascii="宋体" w:hAnsi="宋体" w:eastAsia="宋体" w:cs="宋体"/>
                <w:b w:val="0"/>
                <w:bCs w:val="0"/>
                <w:color w:val="auto"/>
                <w:sz w:val="21"/>
                <w:highlight w:val="none"/>
                <w:lang w:val="en-US" w:eastAsia="zh-CN"/>
              </w:rPr>
              <w:t>(3) 可接收文字预警，并自动翻译成语音，通过高音喇叭向违规人员发布劝导信息；</w:t>
            </w:r>
            <w:r>
              <w:rPr>
                <w:rFonts w:hint="default" w:ascii="宋体" w:hAnsi="宋体" w:eastAsia="宋体" w:cs="宋体"/>
                <w:b w:val="0"/>
                <w:bCs w:val="0"/>
                <w:color w:val="auto"/>
                <w:sz w:val="21"/>
                <w:highlight w:val="none"/>
                <w:lang w:val="en-US" w:eastAsia="zh-CN"/>
              </w:rPr>
              <w:cr/>
            </w:r>
            <w:r>
              <w:rPr>
                <w:rFonts w:hint="default" w:ascii="宋体" w:hAnsi="宋体" w:eastAsia="宋体" w:cs="宋体"/>
                <w:b w:val="0"/>
                <w:bCs w:val="0"/>
                <w:color w:val="auto"/>
                <w:sz w:val="21"/>
                <w:highlight w:val="none"/>
                <w:lang w:val="en-US" w:eastAsia="zh-CN"/>
              </w:rPr>
              <w:t>(4) 可向前端设施接收与发布系统上报各种指令，反馈加电状态；</w:t>
            </w:r>
            <w:r>
              <w:rPr>
                <w:rFonts w:hint="default" w:ascii="宋体" w:hAnsi="宋体" w:eastAsia="宋体" w:cs="宋体"/>
                <w:b w:val="0"/>
                <w:bCs w:val="0"/>
                <w:color w:val="auto"/>
                <w:sz w:val="21"/>
                <w:highlight w:val="none"/>
                <w:lang w:val="en-US" w:eastAsia="zh-CN"/>
              </w:rPr>
              <w:cr/>
            </w:r>
            <w:r>
              <w:rPr>
                <w:rFonts w:hint="default" w:ascii="宋体" w:hAnsi="宋体" w:eastAsia="宋体" w:cs="宋体"/>
                <w:b w:val="0"/>
                <w:bCs w:val="0"/>
                <w:color w:val="auto"/>
                <w:sz w:val="21"/>
                <w:highlight w:val="none"/>
                <w:lang w:val="en-US" w:eastAsia="zh-CN"/>
              </w:rPr>
              <w:t>(5) 具有协议握手，身份认证等加密技术，具有抗误警、虚警、漏警；含2个喇叭(功率100W以上)及附件。</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12</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80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1.4</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支架</w:t>
            </w:r>
          </w:p>
        </w:tc>
        <w:tc>
          <w:tcPr>
            <w:tcW w:w="4508"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定制配套支架</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52</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2" w:hRule="atLeast"/>
        </w:trPr>
        <w:tc>
          <w:tcPr>
            <w:tcW w:w="80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1.5</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监控立杆（含立杆基础、挑臂）</w:t>
            </w:r>
          </w:p>
        </w:tc>
        <w:tc>
          <w:tcPr>
            <w:tcW w:w="4508"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L形杆，6米,主要挑1-4米，立杆壁厚6MM，材料采用热轧钢板（Q235），表面热镀锌喷塑；立杆底板采用420×420MM正方形或直径Ф420MM圆形钢板，厚度20MM，带加强筋。</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45</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1.6</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挑臂</w:t>
            </w:r>
          </w:p>
        </w:tc>
        <w:tc>
          <w:tcPr>
            <w:tcW w:w="4508"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挑臂长度4米内（挑臂长度1-4米，由于监控点路面情况有变化，工程实施时需调整）</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7</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80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1.7</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抱杆机箱</w:t>
            </w:r>
          </w:p>
        </w:tc>
        <w:tc>
          <w:tcPr>
            <w:tcW w:w="4508"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设备机箱设计采用抱杆机箱的方案，箱体采用201不锈钢材料，防雨防尘，全封闭式设计；高度为500mm,宽度为400mm,深度为200mm；离地3M左右使用抱箍方式安装在立杆上，安装配件及紧固件进行防锈处理；箱内，设备安装区域设置为:防雷器安装区(包含漏电保护、电源防雷、信号防雷器安装)、线缆安装区(包含光缆固定、光纤熔接、光纤收发器安装、理线环等)、供配电安装区(包含开关电源、多功能插座等)及其它配套设施安装区(包含温控、风扇、接地铜排等)；箱内，前端设备按照箱内安装区域位置合理安装、固定可靠，安装配件及紧固件进行防锈处理:所有线缆整齐编扎、明确标识，固定拥扎在安装板后面:电源线和信号线、控制线分开，走向顺直，无扭绞。机箱门印刷“宁海县综合行政执法局视频监控”、联系电话、logo等。</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52</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trPr>
        <w:tc>
          <w:tcPr>
            <w:tcW w:w="80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1.8</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现场管线、破路、传输线路及电源接入</w:t>
            </w:r>
          </w:p>
        </w:tc>
        <w:tc>
          <w:tcPr>
            <w:tcW w:w="4508"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镀锌管道、破马路、马路修复和相关辅助材料；视频线、控制线和电源线等，相关辅助材料；按每个监控点传输60米计算；线缆应采用ZR-YJV线缆，功率应满足前端设备供电，且每芯最小允许截面积不小于4平方毫米。</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48</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1.9</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传输线路及电源接入</w:t>
            </w:r>
          </w:p>
        </w:tc>
        <w:tc>
          <w:tcPr>
            <w:tcW w:w="4508"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视频线、控制线和电源线等，相关辅助材料；按每个监控点传输60米计算；线缆应采用ZR-YJV线缆，功率应满足前端设备供电，且每芯最小允许截面积不小于4平方毫米。</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4</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1.10</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防雷保护</w:t>
            </w:r>
          </w:p>
        </w:tc>
        <w:tc>
          <w:tcPr>
            <w:tcW w:w="4508"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前端监控立杆和监控机箱统一防雷接地，机箱电源接入要求安装防浪涌保护，在设备前端电源线和信号线直流电源和信号防雷器，前端系统基础接电电阻≤10Ω。</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52</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80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1.11</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辅材</w:t>
            </w:r>
          </w:p>
        </w:tc>
        <w:tc>
          <w:tcPr>
            <w:tcW w:w="4508"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视频、电源、控制线、强电线缆、PVC管、BNC头子、过流过压保护装置和接插件、立杆标志牌等。</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52</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69" w:type="dxa"/>
            <w:gridSpan w:val="5"/>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（二）后端设备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69" w:type="dxa"/>
            <w:gridSpan w:val="5"/>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left"/>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1.存储设备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1.1</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磁盘阵列</w:t>
            </w:r>
          </w:p>
        </w:tc>
        <w:tc>
          <w:tcPr>
            <w:tcW w:w="4508"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机架式/4U 36盘位/2048Mbps接入带宽/SATA硬盘/可接SAS扩展柜/双64位多核处理器，8GB高速缓存（可扩展到128GB）,4个千兆网口（可扩展至10个千兆 或增配 2个万兆以太网口）/冗余电源/支持HLS协议，客户端可以进行全帧索引回放，并支持客户端下载视频文件/支持流媒体1:1:1接入存储转发/视频流、图片、SMART、视频文件混合直存/智能事件检索、精确定位、浓缩播放/RAID 0、1、3、5、6、10、50，60、JBOD模式/支持大于4个容器，可在不同容器里存放不同业务模块，业务可做到故障隔离，一个业务模块故障时，不影响其它业务模块。系统可自动重启业务模块并恢复原有业务/网络协议：RTSP/ONVIF/PSIA/SIP（GB/T28181）/iSCSI/NFS/CIFS/FTP/HTTP/AFP</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1.2</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企业级硬盘</w:t>
            </w:r>
          </w:p>
        </w:tc>
        <w:tc>
          <w:tcPr>
            <w:tcW w:w="4508"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3.5英寸6T硬盘</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24</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8369" w:type="dxa"/>
            <w:gridSpan w:val="5"/>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both"/>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2.视频分析一体机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0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2.1</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视频分析一体机</w:t>
            </w:r>
          </w:p>
        </w:tc>
        <w:tc>
          <w:tcPr>
            <w:tcW w:w="4508"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CPU: 不低于E5-2620V4（8核2.1GHz）*2，1张NVIDIA® Tesla® P40卡；内存：≥64GB DDR4；1GbE*4；硬盘：150GB SSD*1，960GB SSD*8，8盘位；2U 8盘位机箱；4个千兆自适应网口；冗余电源；</w:t>
            </w:r>
          </w:p>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视频接入软件：支持GB28181接入，单台设备支持接入200路1080P视频；</w:t>
            </w:r>
          </w:p>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视频智能分析场景：1.占道经营智能识别:支持对指定场景视频中是否出现疑似占道经营行为进行智能分析和识别的功能；2.无照经营游商智能识别：支持对指定场景视频中是否出现疑似游摊小贩行为进行智能分析和识别的功能；3.乱堆物堆料智能识别：支持对指定场景视频中是否出现疑似乱堆物堆料的行为进行智能分析和识别的功能；4.暴露垃圾智能识别：支持对指定场景视频中是否出现疑似暴露垃圾的场景进行智能分析和识别的功能；5.沿街晾挂智能识别：支持对指定场景视频中是否出现疑似沿街晾挂的行为进行智能分析和识别的功能；6.非机动车乱停放智能识别：支持对指定场景视频中是否出现疑似非机动车进行智能分析和识别的功能；7.违法设置户外广告智能识别：支持对指定场景视频中是否出现疑似违规广告的行为进行智能分析和识别的功能；8.道路积水智能识别：支持对指定场景视频中是否出现疑似道路积水的行为进行智能分析和识别的功能；9.车辆违停智能识别：支持对指定场景视频中是否出现疑似机动车违停的行为进行智能分析和识别的功能。</w:t>
            </w:r>
          </w:p>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系统管理软件：1.支持告警展示：支持在实时预览的时候进行动画告警展示。支持告警数据实时展示，支持展示告警详细信息、地图热点分布、点位在线率、违规总数等数据的功能；2.支持查看违规告警抓拍图片的去重展示功能，支持查看违规的记录的当前处理数及待处理数,支持查看违规详情及对违规结果进行审核；3.支持一张图片展示多个违规告警信息，支持对告警自动设置置信度作为审核参考；4.审核上报：支持在记录详情页面对记录违规情况进行数据审核；支持录入审核补充说明；支持将审核结果上报给业务系统。</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06" w:type="dxa"/>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3</w:t>
            </w:r>
          </w:p>
        </w:tc>
        <w:tc>
          <w:tcPr>
            <w:tcW w:w="154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系统集成</w:t>
            </w:r>
          </w:p>
        </w:tc>
        <w:tc>
          <w:tcPr>
            <w:tcW w:w="4508"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后端设备系统集成</w:t>
            </w:r>
          </w:p>
        </w:tc>
        <w:tc>
          <w:tcPr>
            <w:tcW w:w="735"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1</w:t>
            </w:r>
          </w:p>
        </w:tc>
        <w:tc>
          <w:tcPr>
            <w:tcW w:w="780" w:type="dxa"/>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jc w:val="center"/>
              <w:textAlignment w:val="auto"/>
              <w:rPr>
                <w:rFonts w:hint="default" w:ascii="宋体" w:hAnsi="宋体" w:eastAsia="宋体" w:cs="宋体"/>
                <w:b w:val="0"/>
                <w:bCs w:val="0"/>
                <w:color w:val="auto"/>
                <w:sz w:val="21"/>
                <w:highlight w:val="none"/>
                <w:lang w:val="en-US" w:eastAsia="zh-CN"/>
              </w:rPr>
            </w:pPr>
            <w:r>
              <w:rPr>
                <w:rFonts w:hint="default" w:ascii="宋体" w:hAnsi="宋体" w:eastAsia="宋体" w:cs="宋体"/>
                <w:b w:val="0"/>
                <w:bCs w:val="0"/>
                <w:color w:val="auto"/>
                <w:sz w:val="21"/>
                <w:highlight w:val="none"/>
                <w:lang w:val="en-US" w:eastAsia="zh-CN"/>
              </w:rPr>
              <w:t>项</w:t>
            </w:r>
          </w:p>
        </w:tc>
      </w:tr>
    </w:tbl>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color w:val="auto"/>
          <w:sz w:val="21"/>
          <w:highlight w:val="none"/>
          <w:lang w:val="en-US" w:eastAsia="zh-CN"/>
        </w:rPr>
      </w:pPr>
      <w:r>
        <w:rPr>
          <w:rFonts w:hint="eastAsia" w:ascii="宋体" w:hAnsi="宋体" w:cs="宋体"/>
          <w:b/>
          <w:bCs/>
          <w:color w:val="auto"/>
          <w:sz w:val="21"/>
          <w:highlight w:val="none"/>
          <w:lang w:val="en-US" w:eastAsia="zh-CN"/>
        </w:rPr>
        <w:t>③</w:t>
      </w:r>
      <w:r>
        <w:rPr>
          <w:rFonts w:hint="default" w:ascii="宋体" w:hAnsi="宋体" w:eastAsia="宋体" w:cs="宋体"/>
          <w:b/>
          <w:bCs/>
          <w:color w:val="auto"/>
          <w:sz w:val="21"/>
          <w:highlight w:val="none"/>
          <w:lang w:val="en-US" w:eastAsia="zh-CN"/>
        </w:rPr>
        <w:t>本期</w:t>
      </w:r>
      <w:r>
        <w:rPr>
          <w:rFonts w:hint="eastAsia" w:ascii="宋体" w:hAnsi="宋体" w:cs="宋体"/>
          <w:b/>
          <w:bCs/>
          <w:color w:val="auto"/>
          <w:sz w:val="21"/>
          <w:highlight w:val="none"/>
          <w:lang w:val="en-US" w:eastAsia="zh-CN"/>
        </w:rPr>
        <w:t>智慧公厕</w:t>
      </w:r>
      <w:r>
        <w:rPr>
          <w:rFonts w:hint="default" w:ascii="宋体" w:hAnsi="宋体" w:eastAsia="宋体" w:cs="宋体"/>
          <w:b/>
          <w:bCs/>
          <w:color w:val="auto"/>
          <w:sz w:val="21"/>
          <w:highlight w:val="none"/>
          <w:lang w:val="en-US" w:eastAsia="zh-CN"/>
        </w:rPr>
        <w:t>设备清单如下：</w:t>
      </w:r>
    </w:p>
    <w:tbl>
      <w:tblPr>
        <w:tblStyle w:val="23"/>
        <w:tblW w:w="84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140"/>
        <w:gridCol w:w="4085"/>
        <w:gridCol w:w="650"/>
        <w:gridCol w:w="67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tblHeader/>
          <w:jc w:val="center"/>
        </w:trPr>
        <w:tc>
          <w:tcPr>
            <w:tcW w:w="639" w:type="dxa"/>
            <w:noWrap w:val="0"/>
            <w:vAlign w:val="center"/>
          </w:tcPr>
          <w:p>
            <w:pPr>
              <w:widowControl/>
              <w:snapToGrid w:val="0"/>
              <w:spacing w:line="240" w:lineRule="auto"/>
              <w:ind w:left="0" w:leftChars="0" w:firstLine="0" w:firstLineChars="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1140" w:type="dxa"/>
            <w:noWrap w:val="0"/>
            <w:vAlign w:val="center"/>
          </w:tcPr>
          <w:p>
            <w:pPr>
              <w:widowControl/>
              <w:snapToGrid w:val="0"/>
              <w:spacing w:line="240" w:lineRule="auto"/>
              <w:ind w:left="0" w:leftChars="0" w:firstLine="0" w:firstLineChars="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设备</w:t>
            </w:r>
            <w:r>
              <w:rPr>
                <w:rFonts w:hint="eastAsia" w:ascii="宋体" w:hAnsi="宋体" w:eastAsia="宋体" w:cs="宋体"/>
                <w:b/>
                <w:bCs/>
                <w:color w:val="auto"/>
                <w:kern w:val="0"/>
                <w:sz w:val="21"/>
                <w:szCs w:val="21"/>
                <w:highlight w:val="none"/>
              </w:rPr>
              <w:t>名称</w:t>
            </w:r>
          </w:p>
        </w:tc>
        <w:tc>
          <w:tcPr>
            <w:tcW w:w="4085" w:type="dxa"/>
            <w:noWrap w:val="0"/>
            <w:vAlign w:val="center"/>
          </w:tcPr>
          <w:p>
            <w:pPr>
              <w:widowControl/>
              <w:snapToGrid w:val="0"/>
              <w:spacing w:line="240" w:lineRule="auto"/>
              <w:ind w:firstLine="422" w:firstLineChars="20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技术</w:t>
            </w:r>
            <w:r>
              <w:rPr>
                <w:rFonts w:hint="eastAsia" w:ascii="宋体" w:hAnsi="宋体" w:eastAsia="宋体" w:cs="宋体"/>
                <w:b/>
                <w:bCs/>
                <w:color w:val="auto"/>
                <w:kern w:val="0"/>
                <w:sz w:val="21"/>
                <w:szCs w:val="21"/>
                <w:highlight w:val="none"/>
              </w:rPr>
              <w:t>参数</w:t>
            </w:r>
          </w:p>
        </w:tc>
        <w:tc>
          <w:tcPr>
            <w:tcW w:w="650" w:type="dxa"/>
            <w:noWrap w:val="0"/>
            <w:vAlign w:val="center"/>
          </w:tcPr>
          <w:p>
            <w:pPr>
              <w:widowControl/>
              <w:snapToGrid w:val="0"/>
              <w:spacing w:line="240" w:lineRule="auto"/>
              <w:ind w:left="0" w:leftChars="0" w:firstLine="0" w:firstLineChars="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数量</w:t>
            </w:r>
          </w:p>
        </w:tc>
        <w:tc>
          <w:tcPr>
            <w:tcW w:w="675" w:type="dxa"/>
            <w:noWrap w:val="0"/>
            <w:vAlign w:val="center"/>
          </w:tcPr>
          <w:p>
            <w:pPr>
              <w:widowControl/>
              <w:snapToGrid w:val="0"/>
              <w:spacing w:line="240" w:lineRule="auto"/>
              <w:ind w:left="0" w:leftChars="0" w:firstLine="0" w:firstLineChars="0"/>
              <w:jc w:val="center"/>
              <w:rPr>
                <w:rFonts w:hint="eastAsia" w:ascii="宋体" w:hAnsi="宋体" w:eastAsia="宋体" w:cs="宋体"/>
                <w:b/>
                <w:bCs/>
                <w:color w:val="auto"/>
                <w:kern w:val="0"/>
                <w:sz w:val="21"/>
                <w:szCs w:val="21"/>
                <w:highlight w:val="none"/>
                <w:lang w:val="en-US" w:eastAsia="zh-CN"/>
              </w:rPr>
            </w:pPr>
            <w:r>
              <w:rPr>
                <w:rFonts w:hint="eastAsia" w:ascii="宋体" w:hAnsi="宋体" w:eastAsia="宋体" w:cs="宋体"/>
                <w:b/>
                <w:bCs/>
                <w:color w:val="auto"/>
                <w:kern w:val="0"/>
                <w:sz w:val="21"/>
                <w:szCs w:val="21"/>
                <w:highlight w:val="none"/>
                <w:lang w:val="en-US" w:eastAsia="zh-CN"/>
              </w:rPr>
              <w:t>单位</w:t>
            </w:r>
          </w:p>
        </w:tc>
        <w:tc>
          <w:tcPr>
            <w:tcW w:w="1277" w:type="dxa"/>
            <w:noWrap w:val="0"/>
            <w:vAlign w:val="center"/>
          </w:tcPr>
          <w:p>
            <w:pPr>
              <w:widowControl/>
              <w:snapToGrid w:val="0"/>
              <w:spacing w:line="240" w:lineRule="auto"/>
              <w:ind w:left="0" w:leftChars="0" w:firstLine="0" w:firstLineChars="0"/>
              <w:jc w:val="center"/>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监控设备(含128G内存卡)</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传感器类型1/2.7英寸CMOS；像素200万；最大分辨率1920×1080；</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最低照度0.01Lux（彩色模式）；0.001Lux（黑白模式）；镜头类型定焦；镜头焦距2.8mm；</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通用行为分析绊线入侵，区域入侵；</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视频压缩标准H.265；H.264；H.264B；MJPEG；</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智能编码支持H.264：支持H.265；支持宽动态支持；支持内置MIC；内置扬声器支持；</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视频帧率：50Hz： 主码流（1920×1080@25fps）,辅码流（704×576@25fps）；</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7）</w:t>
            </w:r>
            <w:r>
              <w:rPr>
                <w:rFonts w:hint="eastAsia" w:ascii="宋体" w:hAnsi="宋体" w:eastAsia="宋体" w:cs="宋体"/>
                <w:color w:val="auto"/>
                <w:kern w:val="0"/>
                <w:sz w:val="21"/>
                <w:szCs w:val="21"/>
                <w:highlight w:val="none"/>
              </w:rPr>
              <w:t>工作电压：DC12V/POE；</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8）</w:t>
            </w:r>
            <w:r>
              <w:rPr>
                <w:rFonts w:hint="eastAsia" w:ascii="宋体" w:hAnsi="宋体" w:eastAsia="宋体" w:cs="宋体"/>
                <w:color w:val="auto"/>
                <w:kern w:val="0"/>
                <w:sz w:val="21"/>
                <w:szCs w:val="21"/>
                <w:highlight w:val="none"/>
              </w:rPr>
              <w:t>基本功耗：1.7W（DC12V） 最大功耗：3.2W 基本功耗：2.4W（POE） 最大功耗：4.2W；</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rPr>
              <w:t>工作温度：-10℃~+55℃；</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最大亮度鉴别等级≥10级。</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套</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公共区域安全及日常工作监管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2</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人流量统计</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像素130万；最大分辨率1280×960；</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最低照度0.01Lux（彩色模式）；0.001Lux（黑白模式）；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镜头类型定焦；镜头焦距2.1mm；</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人数统计支持对进入、离开以及经过的人员进行数量统计，支持区域内人员进行数量统计，并可显示及输出日、周、月、年统计报表；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5</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智能编码支持H.264，支持H.265；支持宽动态；内置MIC；</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6</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供电方式DC12V/POE；防护等级IP54；</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7</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支持3D降噪，强光抑制，背光补偿，数字</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8</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网口类型：设备的RJ45接口为100M/1000M自适应以太网接口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9</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视频编码格式设置：在IE浏览器下，具有H. 265、H. 264、MJPEG 设置选项；可将H. 264和H. 265格式设置 为 Baseline/Main/High Profile。</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10</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客流统计准确率不低于95%</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套</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在公厕入口处安装感应设备，通过对不同时段人流量统计，获取使用频次数据。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3</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环境监测</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高精度-多参数大气环境检测仪</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仪器用途： 检测室内环境和公共开放区域的PM2.5颗粒物浓度；同时，可用于检测环境的温度、湿度、气压、VOC、CO2、O2、甲醛或一氧化碳等其他多项参数，功能非常强大。  </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尺寸：450g/195mm×115mm×40mm                                                        工作温度范围：-10 ~ 50℃</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工作湿度范围：0 ~ 95%RH</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储存温度范围：-20 ~ 60℃</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电源输入：DC 12~24</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电流消耗：平均值为350mA,峰值为600mA</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left"/>
              <w:textAlignment w:val="auto"/>
              <w:rPr>
                <w:rFonts w:hint="default"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信号输出：Modbus RS485，9600bps，1个起始位，8个数据位，1个停止位，无校验位(可选GPRS，wifi，ZIGBEE，TCP/IP）                 功能描述：环境采集系统，对整个厕所温度，湿度，NH3、H2S等刺激性气体进行实时采集，上传至服务器，然后下派任务给管理人员对空调和环境设备进行操作，达到合理舒适的如厕环境。</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套</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男女厕各1套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2"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4</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49寸以上智能引导信息系统</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(公厕信息展示)</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屏幕比例：16:9</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接口类型：AV HDMI RF射频接口 LAN端子 USB</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分辨率：4K</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刷屏率：60HZ</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扫描方式：逐行扫描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操作系统：安卓5.1以上</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主机尺寸：1227×86.9×722.3</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安装方式：壁挂式</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台</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每个公厕各安装1台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5</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满意度评价器(用户反馈信息显示屏)</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屏幕尺寸：10.1英寸 ;283×225×64MM;感应力度：75g ； 分辨率：1024×768；安装方向：桌面、挂墙、落地； 正常功率：40W</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台</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每个公厕各安装1台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6</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智能人脸识别供纸机</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产品尺寸：275×355×178MM                                                                显示屏：10.1寸液晶显示屏                                                            摄像头：120万像素 以上                                                                工作功率：10W-30W                                                                      工作环境:湿度：0%-90% 温度：-10℃-50℃</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人脸识别准确度&gt;95%</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通过人像识别技术限制一定时间内单人用纸量的控制;达到节约用纸，杜绝浪费。人脸采集数据本地化，每日自动清空，不牵扯个人隐私。纸巾要求：纸巾内孔不小于70mm，外圆不大于235mm，厚度不大于95mm。</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台</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每个公厕各安装1台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7</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智能电表</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产品参数：485通讯、单相</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产品说明：可485组网接入系统，远程抄表，统计用电量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安装方式：电柜导轨安装，485总线接线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电压规格：220V                                                                    工作温度：0℃~40℃                                                           传输方式：RS485                                                             功能：统计用电量应用：前端软件或者后台实时监测公厕用电量，供管理员分析能耗情可远程监控厕所的能耗情况</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台</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每个公厕各安装1台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8</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智能水表</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参数：485通讯、12V供电、40mm管径</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说明：可485组网接入系统，远程抄表，统计用水量</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安装：安装方式同普通水表，需多接一组线，485总线接线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特性：通用水表、远程读表</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功能：统计用水量前端软件或者后台实时监测公厕用水量，供管理员分析能耗情况可远程监控厕所的能耗情况</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台</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每个公厕各安装1台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9</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厕位状态LED显示屏</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产品尺寸：高200×宽100×厚15MM(超薄）                                        供电方式：5V/12V任选    </w:t>
            </w:r>
            <w:r>
              <w:rPr>
                <w:rFonts w:hint="eastAsia" w:ascii="宋体" w:hAnsi="宋体" w:eastAsia="宋体" w:cs="宋体"/>
                <w:color w:val="auto"/>
                <w:kern w:val="0"/>
                <w:sz w:val="21"/>
                <w:szCs w:val="21"/>
                <w:highlight w:val="none"/>
                <w:lang w:val="en-US" w:eastAsia="zh-CN" w:bidi="ar-SA"/>
              </w:rPr>
              <w:br w:type="textWrapping"/>
            </w:r>
            <w:r>
              <w:rPr>
                <w:rFonts w:hint="eastAsia" w:ascii="宋体" w:hAnsi="宋体" w:eastAsia="宋体" w:cs="宋体"/>
                <w:color w:val="auto"/>
                <w:kern w:val="0"/>
                <w:sz w:val="21"/>
                <w:szCs w:val="21"/>
                <w:highlight w:val="none"/>
                <w:lang w:val="en-US" w:eastAsia="zh-CN" w:bidi="ar-SA"/>
              </w:rPr>
              <w:t>产品特点：①单片机控制；干接点触发 ②低电压/低功耗节能设计③胶囊外观，超薄设计，时尚美观</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33</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个</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每个坑位1个，跃龙山生态公厕23个，天明湖公园公厕10个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10</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激光人体感应器</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产品尺寸：86×86MM；  工作电压：12V  产品特点：主动被动一体，双头感应，动静捕捉，无盲区，准确度高达95%。与厕位状态LED显示屏配套使用</w:t>
            </w:r>
            <w:r>
              <w:rPr>
                <w:rFonts w:hint="eastAsia" w:ascii="宋体" w:hAnsi="宋体" w:cs="宋体"/>
                <w:color w:val="auto"/>
                <w:kern w:val="0"/>
                <w:sz w:val="21"/>
                <w:szCs w:val="21"/>
                <w:highlight w:val="none"/>
                <w:lang w:val="en-US" w:eastAsia="zh-CN" w:bidi="ar-SA"/>
              </w:rPr>
              <w:t>。</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33</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个</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每个坑位1个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11</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智能厕位控制器(网关)</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产品功能：厕位信息，气味信息，温湿度信息采集等；可用联网设备（交换机、无线3G/4G)进行组网，上服务器平台；支持64路IO输入口，485信号，支持网络连接，支持RF433M、ZIGBEE无线传输，各类有线智能设备（传感器）接入管理；支持云端管理，支持各种联动控制或业务逻辑，可以接收红外/激光人体感应器信息，接收智能门锁控制信息，接收烟雾探测信息、接收和发送厕位灯控制信号，可扩展其他气体传感器信号接收和控制支持各种联动控制或业务逻辑。                                                                                                                                  外形尺寸：长371MM×宽259MM×厚70MM                                   箱体材质：钣金+高温烤沙纹漆                                        电源输入参数：AC100-240V,0.5A,50/60HZ                          电源输出参数：DC5V,10A,50W                                       安装方式：壁装/嵌入式可选   </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个</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每个厕所各一个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12</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开关电源（12V*9）</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1）输入：AC110/220V±15%</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2）输出：12V/20A</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3）调压范围大约10-14V</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个</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每个公厕2个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13</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除臭机</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尺寸：475×210×175m</w:t>
            </w:r>
            <w:r>
              <w:rPr>
                <w:rFonts w:hint="eastAsia" w:ascii="宋体" w:hAnsi="宋体" w:cs="宋体"/>
                <w:color w:val="auto"/>
                <w:kern w:val="0"/>
                <w:sz w:val="21"/>
                <w:szCs w:val="21"/>
                <w:highlight w:val="none"/>
                <w:lang w:val="en-US" w:eastAsia="zh-CN" w:bidi="ar-SA"/>
              </w:rPr>
              <w:t>m，</w:t>
            </w:r>
            <w:r>
              <w:rPr>
                <w:rFonts w:hint="eastAsia" w:ascii="宋体" w:hAnsi="宋体" w:eastAsia="宋体" w:cs="宋体"/>
                <w:color w:val="auto"/>
                <w:kern w:val="0"/>
                <w:sz w:val="21"/>
                <w:szCs w:val="21"/>
                <w:highlight w:val="none"/>
                <w:lang w:val="en-US" w:eastAsia="zh-CN" w:bidi="ar-SA"/>
              </w:rPr>
              <w:t>20平方</w:t>
            </w:r>
            <w:r>
              <w:rPr>
                <w:rFonts w:hint="eastAsia" w:ascii="宋体" w:hAnsi="宋体" w:cs="宋体"/>
                <w:color w:val="auto"/>
                <w:kern w:val="0"/>
                <w:sz w:val="21"/>
                <w:szCs w:val="21"/>
                <w:highlight w:val="none"/>
                <w:lang w:val="en-US" w:eastAsia="zh-CN" w:bidi="ar-SA"/>
              </w:rPr>
              <w:t>米</w:t>
            </w:r>
            <w:r>
              <w:rPr>
                <w:rFonts w:hint="eastAsia" w:ascii="宋体" w:hAnsi="宋体" w:eastAsia="宋体" w:cs="宋体"/>
                <w:color w:val="auto"/>
                <w:kern w:val="0"/>
                <w:sz w:val="21"/>
                <w:szCs w:val="21"/>
                <w:highlight w:val="none"/>
                <w:lang w:val="en-US" w:eastAsia="zh-CN" w:bidi="ar-SA"/>
              </w:rPr>
              <w:t>有效除臭面积：10-12㎡ 高效离子除臭 安装方式：挂墙式安</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除臭率&gt;90% 定时开关、自动喷香</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灭菌率&gt;95%  氨气脱除率&gt;95% </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套</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男女厕1套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14</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集中控制箱</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机柜</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1）集控箱中存放：网关、电表、路由器、开关电源（控制一路电路的开关）</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2）箱体材质：1.0mm优质冷扎钢板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3）面板材质：0.8mm优质冷扎钢板</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4）产品重量：6.5kg</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5）箱体容量：3U</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6）防静电工艺：表面平光静电喷涂</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个</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每个公厕1个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15</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4G无线路由器</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1）支持网络：中国电信4G 中国移动4G中国联通4G 全网通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2）网络协议: IEEE 802.11b/g/n</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3）WiFi速率：300Mbps</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4）4G速率：150Mbps</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5）网口速率：千兆网口</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6）网络类型: 3G 4G</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7）路由功能：防火墙、防蹭网、PPPoE/静态IP/DHCP、MAC地址过滤、支持VPN</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8）供电方式：DC 12v</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9）壳体材质：ABS</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个</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每个公厕1个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16</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POE交换机</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1）接口数：8个（4个POE供电）</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2）接口速率：100M向下自适应</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3）电源输入：53.5VDC/1.13A</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4）整机PoE输出功率：57W</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5）单端口最大输出：30W</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6）产品尺寸：100mm×98mm×25mm</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个</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每个公厕1个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17</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化粪池监测</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化粪池满溢报警传感器，485通讯，连网关。</w:t>
            </w:r>
          </w:p>
        </w:tc>
        <w:tc>
          <w:tcPr>
            <w:tcW w:w="65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个</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每个公厕1个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18</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考勤系统(指纹打卡机)及二维码系统</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认证方式：指纹密码</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记录容量：60000条</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指纹存储量：2000枚</w:t>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公厕二维码5×10MM亚克力板</w:t>
            </w:r>
          </w:p>
        </w:tc>
        <w:tc>
          <w:tcPr>
            <w:tcW w:w="650" w:type="dxa"/>
            <w:noWrap w:val="0"/>
            <w:vAlign w:val="center"/>
          </w:tcPr>
          <w:p>
            <w:pPr>
              <w:widowControl/>
              <w:snapToGrid w:val="0"/>
              <w:spacing w:line="240" w:lineRule="auto"/>
              <w:ind w:firstLine="110" w:firstLineChars="5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2"/>
                <w:szCs w:val="22"/>
                <w:highlight w:val="none"/>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个</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每个公厕1个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1</w:t>
            </w:r>
            <w:r>
              <w:rPr>
                <w:rFonts w:hint="eastAsia" w:ascii="宋体" w:hAnsi="宋体" w:eastAsia="宋体" w:cs="宋体"/>
                <w:color w:val="auto"/>
                <w:kern w:val="0"/>
                <w:sz w:val="21"/>
                <w:szCs w:val="21"/>
                <w:highlight w:val="none"/>
                <w:lang w:val="en-US" w:eastAsia="zh-CN"/>
              </w:rPr>
              <w:t>9</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救助报警按钮(紧急按钮）</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left"/>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产品尺寸：长86MM×宽86MM×厚27MM;                                     安装方式：适用在各种86*86型标准明装、暗装底盒上；                                                   传输方式：无线315直连一键SOS报警按钮，同步声光报警按钮  实现功能：在第三方卫生间，如身体发生不适或者意外，可以按下求助按钮，发出求助信号至声光报警灯，引起注意进行查看。</w:t>
            </w:r>
          </w:p>
        </w:tc>
        <w:tc>
          <w:tcPr>
            <w:tcW w:w="650" w:type="dxa"/>
            <w:noWrap w:val="0"/>
            <w:vAlign w:val="center"/>
          </w:tcPr>
          <w:p>
            <w:pPr>
              <w:widowControl/>
              <w:snapToGrid w:val="0"/>
              <w:spacing w:line="240" w:lineRule="auto"/>
              <w:ind w:firstLine="110" w:firstLineChars="5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2"/>
                <w:szCs w:val="22"/>
                <w:highlight w:val="none"/>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个</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rPr>
              <w:t>每个公厕1个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3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lang w:val="en-US" w:eastAsia="zh-CN"/>
              </w:rPr>
              <w:t>20</w:t>
            </w:r>
          </w:p>
        </w:tc>
        <w:tc>
          <w:tcPr>
            <w:tcW w:w="1140"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智慧厕所边缘操作系统（监管版）</w:t>
            </w:r>
          </w:p>
        </w:tc>
        <w:tc>
          <w:tcPr>
            <w:tcW w:w="408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厕位状态、环境数据，客流信息等数据实时显示，可播放视频和图片，公厕二维码，按市里要求，一厕一码。生成考勤二维码。</w:t>
            </w:r>
          </w:p>
        </w:tc>
        <w:tc>
          <w:tcPr>
            <w:tcW w:w="650" w:type="dxa"/>
            <w:noWrap w:val="0"/>
            <w:vAlign w:val="center"/>
          </w:tcPr>
          <w:p>
            <w:pPr>
              <w:widowControl/>
              <w:snapToGrid w:val="0"/>
              <w:spacing w:line="240" w:lineRule="auto"/>
              <w:ind w:firstLine="110" w:firstLineChars="50"/>
              <w:jc w:val="center"/>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2"/>
                <w:szCs w:val="22"/>
                <w:highlight w:val="none"/>
                <w:lang w:val="en-US" w:eastAsia="zh-CN"/>
              </w:rPr>
              <w:t>2</w:t>
            </w:r>
          </w:p>
        </w:tc>
        <w:tc>
          <w:tcPr>
            <w:tcW w:w="675"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lang w:val="en-US" w:eastAsia="zh-CN"/>
              </w:rPr>
              <w:t>套</w:t>
            </w:r>
          </w:p>
        </w:tc>
        <w:tc>
          <w:tcPr>
            <w:tcW w:w="127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每个公厕1套</w:t>
            </w:r>
          </w:p>
        </w:tc>
      </w:tr>
    </w:tbl>
    <w:p>
      <w:pPr>
        <w:keepNext w:val="0"/>
        <w:keepLines w:val="0"/>
        <w:pageBreakBefore w:val="0"/>
        <w:wordWrap/>
        <w:topLinePunct w:val="0"/>
        <w:bidi w:val="0"/>
        <w:spacing w:beforeLines="0" w:afterLines="0" w:line="360" w:lineRule="auto"/>
        <w:rPr>
          <w:rFonts w:hint="eastAsia" w:ascii="宋体" w:hAnsi="宋体" w:cs="宋体"/>
          <w:b/>
          <w:bCs/>
          <w:color w:val="auto"/>
          <w:sz w:val="21"/>
          <w:highlight w:val="none"/>
          <w:lang w:val="en-US" w:eastAsia="zh-CN"/>
        </w:rPr>
      </w:pPr>
    </w:p>
    <w:p>
      <w:pPr>
        <w:keepNext w:val="0"/>
        <w:keepLines w:val="0"/>
        <w:pageBreakBefore w:val="0"/>
        <w:wordWrap/>
        <w:topLinePunct w:val="0"/>
        <w:bidi w:val="0"/>
        <w:spacing w:beforeLines="0" w:afterLines="0" w:line="360" w:lineRule="auto"/>
        <w:rPr>
          <w:rFonts w:hint="eastAsia" w:ascii="宋体" w:hAnsi="宋体" w:cs="宋体"/>
          <w:b/>
          <w:bCs/>
          <w:color w:val="auto"/>
          <w:sz w:val="21"/>
          <w:highlight w:val="none"/>
          <w:lang w:val="en-US" w:eastAsia="zh-CN"/>
        </w:rPr>
      </w:pPr>
      <w:r>
        <w:rPr>
          <w:rFonts w:hint="eastAsia" w:ascii="宋体" w:hAnsi="宋体" w:cs="宋体"/>
          <w:b/>
          <w:bCs/>
          <w:color w:val="auto"/>
          <w:sz w:val="21"/>
          <w:highlight w:val="none"/>
          <w:lang w:val="en-US" w:eastAsia="zh-CN"/>
        </w:rPr>
        <w:t>④</w:t>
      </w:r>
      <w:r>
        <w:rPr>
          <w:rFonts w:hint="eastAsia" w:ascii="宋体" w:hAnsi="宋体" w:eastAsia="宋体" w:cs="宋体"/>
          <w:b/>
          <w:bCs/>
          <w:color w:val="auto"/>
          <w:sz w:val="21"/>
          <w:highlight w:val="none"/>
          <w:lang w:val="en-US" w:eastAsia="zh-CN"/>
        </w:rPr>
        <w:t>本期无人机巡查服务如下：</w:t>
      </w:r>
    </w:p>
    <w:tbl>
      <w:tblPr>
        <w:tblStyle w:val="23"/>
        <w:tblW w:w="833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42"/>
        <w:gridCol w:w="4618"/>
        <w:gridCol w:w="662"/>
        <w:gridCol w:w="648"/>
        <w:gridCol w:w="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blHeader/>
        </w:trPr>
        <w:tc>
          <w:tcPr>
            <w:tcW w:w="651" w:type="dxa"/>
            <w:shd w:val="clear" w:color="000000" w:fill="FFFFFF" w:themeFill="background1"/>
            <w:noWrap/>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auto"/>
              <w:textAlignment w:val="auto"/>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序号</w:t>
            </w:r>
          </w:p>
        </w:tc>
        <w:tc>
          <w:tcPr>
            <w:tcW w:w="1042" w:type="dxa"/>
            <w:shd w:val="clear" w:color="000000" w:fill="FFFFFF" w:themeFill="background1"/>
            <w:noWrap/>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项目</w:t>
            </w:r>
          </w:p>
        </w:tc>
        <w:tc>
          <w:tcPr>
            <w:tcW w:w="4618" w:type="dxa"/>
            <w:shd w:val="clear" w:color="000000" w:fill="FFFFFF" w:themeFill="background1"/>
            <w:noWrap/>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参数</w:t>
            </w:r>
          </w:p>
        </w:tc>
        <w:tc>
          <w:tcPr>
            <w:tcW w:w="662" w:type="dxa"/>
            <w:shd w:val="clear" w:color="000000" w:fill="FFFFFF" w:themeFill="background1"/>
            <w:noWrap/>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数量</w:t>
            </w:r>
          </w:p>
        </w:tc>
        <w:tc>
          <w:tcPr>
            <w:tcW w:w="648" w:type="dxa"/>
            <w:shd w:val="clear" w:color="000000" w:fill="FFFFFF" w:themeFill="background1"/>
            <w:noWrap/>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单位</w:t>
            </w:r>
          </w:p>
        </w:tc>
        <w:tc>
          <w:tcPr>
            <w:tcW w:w="716" w:type="dxa"/>
            <w:shd w:val="clear" w:color="000000" w:fill="FFFFFF" w:themeFill="background1"/>
            <w:noWrap/>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6" w:hRule="atLeast"/>
        </w:trPr>
        <w:tc>
          <w:tcPr>
            <w:tcW w:w="651" w:type="dxa"/>
            <w:noWrap/>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1</w:t>
            </w:r>
          </w:p>
        </w:tc>
        <w:tc>
          <w:tcPr>
            <w:tcW w:w="1042" w:type="dxa"/>
            <w:noWrap/>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无人机巡查服务（按次计算）</w:t>
            </w:r>
          </w:p>
        </w:tc>
        <w:tc>
          <w:tcPr>
            <w:tcW w:w="4618" w:type="dxa"/>
            <w:noWrap/>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1）设备参数：重量（含 电池）≤10 kg；最大起飞重量≥15kg；悬停精度垂直：±0.5 m，水平：±1.5 m；最大上升速度≥5 m/s；最大下降速度≥3 m/s；最大可承受风速≥8 m/s；悬停时间无负载：32 min，负载 6 kg：16 min；工作环境温度-10℃ 至 40℃；工作频率5.725 至 5.825 GHz，2.400 至 2.483 GHz；最大通信距离5 km；视频输出接口HDMI、SDI、USB。</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2）避障等级符合2级避障要求。</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3）挂载：</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镜头1台：传感器CMOS，1/2.8" 有效像素：213万；镜头30倍光学变焦镜头；数字变焦6倍；可拆式安装；结构设计范围俯仰：+50°至－140°，平移：±330°，横滚：+90°至 -50°；最大控制转速俯仰：180°/s，平移：180°/s</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喊话器1台：功率100W；使用电压12~24v；传输距离1km。</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其他要求：飞行高度：80-100米（根据飞行高度测算数据，底边为高度1.5倍。）；每小时支持操作范围：2.8-3.6平方公里；每个点位操作时间：5分钟；日工作成果：&gt;64个点位；日控制范围：24-28.8平方公里；不限飞行次数。</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4）具备禁飞区设置功能：在飞行过程中无法进入禁飞区执行飞行任务；支持手动设置临时禁飞区，禁飞区可设置圆形、多边形；当飞机接近禁飞区时，发出警告并限速。</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5）具备有限飞区设置功能，在飞行过程中只能在限制的飞行区域内执行飞行任务，可设置成圆形或多边形。</w:t>
            </w:r>
          </w:p>
          <w:p>
            <w:pPr>
              <w:pStyle w:val="4"/>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6）具备飞行参数记录单元，记录参数包括：识别编码、 坐标、速度、高度、航迹、飞行姿态、控制站操纵记录等；飞行参数可存储、导出并回放，持续存储数据时间≥5000h。</w:t>
            </w:r>
          </w:p>
        </w:tc>
        <w:tc>
          <w:tcPr>
            <w:tcW w:w="662" w:type="dxa"/>
            <w:noWrap/>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6×5</w:t>
            </w:r>
          </w:p>
        </w:tc>
        <w:tc>
          <w:tcPr>
            <w:tcW w:w="648" w:type="dxa"/>
            <w:noWrap/>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年</w:t>
            </w:r>
          </w:p>
        </w:tc>
        <w:tc>
          <w:tcPr>
            <w:tcW w:w="716" w:type="dxa"/>
            <w:noWrap/>
            <w:vAlign w:val="center"/>
          </w:tcPr>
          <w:p>
            <w:pPr>
              <w:pStyle w:val="4"/>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宋体" w:hAnsi="宋体" w:eastAsia="宋体" w:cs="宋体"/>
                <w:b w:val="0"/>
                <w:bCs w:val="0"/>
                <w:color w:val="auto"/>
                <w:sz w:val="21"/>
                <w:highlight w:val="none"/>
                <w:lang w:val="en-US" w:eastAsia="zh-CN"/>
              </w:rPr>
            </w:pPr>
            <w:r>
              <w:rPr>
                <w:rFonts w:hint="eastAsia" w:ascii="宋体" w:hAnsi="宋体" w:eastAsia="宋体" w:cs="宋体"/>
                <w:b w:val="0"/>
                <w:bCs w:val="0"/>
                <w:color w:val="auto"/>
                <w:sz w:val="21"/>
                <w:highlight w:val="none"/>
                <w:lang w:val="en-US" w:eastAsia="zh-CN"/>
              </w:rPr>
              <w:t>每年飞行不少于6次</w:t>
            </w:r>
          </w:p>
        </w:tc>
      </w:tr>
    </w:tbl>
    <w:p>
      <w:pPr>
        <w:pStyle w:val="4"/>
        <w:keepNext/>
        <w:keepLines/>
        <w:pageBreakBefore w:val="0"/>
        <w:widowControl w:val="0"/>
        <w:numPr>
          <w:ilvl w:val="0"/>
          <w:numId w:val="8"/>
        </w:numPr>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项目建设与运行管理</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1）</w:t>
      </w:r>
      <w:r>
        <w:rPr>
          <w:rFonts w:hint="eastAsia" w:ascii="宋体" w:hAnsi="宋体" w:eastAsia="宋体" w:cs="宋体"/>
          <w:b/>
          <w:bCs/>
          <w:color w:val="auto"/>
          <w:sz w:val="21"/>
          <w:highlight w:val="none"/>
          <w:lang w:val="en-US" w:eastAsia="zh-CN"/>
        </w:rPr>
        <w:t>运行维护机构</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本项目的运维机构是中标</w:t>
      </w:r>
      <w:r>
        <w:rPr>
          <w:rFonts w:hint="eastAsia" w:ascii="宋体" w:hAnsi="宋体" w:cs="宋体"/>
          <w:color w:val="auto"/>
          <w:sz w:val="21"/>
          <w:highlight w:val="none"/>
          <w:lang w:val="en-US" w:eastAsia="zh-CN"/>
        </w:rPr>
        <w:t>人</w:t>
      </w:r>
      <w:r>
        <w:rPr>
          <w:rFonts w:hint="eastAsia" w:ascii="宋体" w:hAnsi="宋体" w:eastAsia="宋体" w:cs="宋体"/>
          <w:color w:val="auto"/>
          <w:sz w:val="21"/>
          <w:highlight w:val="none"/>
          <w:lang w:val="en-US" w:eastAsia="zh-CN"/>
        </w:rPr>
        <w:t>，</w:t>
      </w:r>
      <w:r>
        <w:rPr>
          <w:rFonts w:hint="eastAsia" w:ascii="宋体" w:hAnsi="宋体" w:cs="宋体"/>
          <w:color w:val="auto"/>
          <w:sz w:val="21"/>
          <w:highlight w:val="none"/>
          <w:lang w:val="en-US" w:eastAsia="zh-CN"/>
        </w:rPr>
        <w:t>由</w:t>
      </w:r>
      <w:r>
        <w:rPr>
          <w:rFonts w:hint="eastAsia" w:ascii="宋体" w:hAnsi="宋体" w:eastAsia="宋体" w:cs="宋体"/>
          <w:color w:val="auto"/>
          <w:sz w:val="21"/>
          <w:highlight w:val="none"/>
          <w:lang w:val="en-US" w:eastAsia="zh-CN"/>
        </w:rPr>
        <w:t>中标</w:t>
      </w:r>
      <w:r>
        <w:rPr>
          <w:rFonts w:hint="eastAsia" w:ascii="宋体" w:hAnsi="宋体" w:cs="宋体"/>
          <w:color w:val="auto"/>
          <w:sz w:val="21"/>
          <w:highlight w:val="none"/>
          <w:lang w:val="en-US" w:eastAsia="zh-CN"/>
        </w:rPr>
        <w:t>人</w:t>
      </w:r>
      <w:r>
        <w:rPr>
          <w:rFonts w:hint="eastAsia" w:ascii="宋体" w:hAnsi="宋体" w:eastAsia="宋体" w:cs="宋体"/>
          <w:color w:val="auto"/>
          <w:sz w:val="21"/>
          <w:highlight w:val="none"/>
          <w:lang w:val="en-US" w:eastAsia="zh-CN"/>
        </w:rPr>
        <w:t>负责项目验收后5年内的运行维护。</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2）</w:t>
      </w:r>
      <w:r>
        <w:rPr>
          <w:rFonts w:hint="eastAsia" w:ascii="宋体" w:hAnsi="宋体" w:eastAsia="宋体" w:cs="宋体"/>
          <w:b/>
          <w:bCs/>
          <w:color w:val="auto"/>
          <w:sz w:val="21"/>
          <w:highlight w:val="none"/>
          <w:lang w:val="en-US" w:eastAsia="zh-CN"/>
        </w:rPr>
        <w:t>相关管理制度</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项目建成通过验收后，进入运行维护期。运维单位必须提供完善、专业、高质量的运维服务。</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3）</w:t>
      </w:r>
      <w:r>
        <w:rPr>
          <w:rFonts w:hint="eastAsia" w:ascii="宋体" w:hAnsi="宋体" w:eastAsia="宋体" w:cs="宋体"/>
          <w:b/>
          <w:bCs/>
          <w:color w:val="auto"/>
          <w:sz w:val="21"/>
          <w:highlight w:val="none"/>
          <w:lang w:val="en-US" w:eastAsia="zh-CN"/>
        </w:rPr>
        <w:t>运维服务要求</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①</w:t>
      </w:r>
      <w:r>
        <w:rPr>
          <w:rFonts w:hint="eastAsia" w:ascii="宋体" w:hAnsi="宋体" w:eastAsia="宋体" w:cs="宋体"/>
          <w:b/>
          <w:bCs/>
          <w:color w:val="auto"/>
          <w:sz w:val="21"/>
          <w:highlight w:val="none"/>
          <w:lang w:val="en-US" w:eastAsia="zh-CN"/>
        </w:rPr>
        <w:t>服务内容</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设备保修和升级服务；文档提供和更新服务；提供运维的建议和方案；租赁期内在设备扩容及软件升级时，派技术人员到场免费实施或指导。</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运维单位应提供的运维服务内容包括日常运作、服务咨询、巡检保养、主动监测、故障修复和特殊保障。</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（1）日常运作</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运维单位应按招标文件中的系统功能和性能要求，维护系统的日常运作。</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（2）服务咨询</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运维单位应设立专门的服务咨询中心，提供免费的服务热线电话，接受系统故障保修、使用帮助要求、业务和技术咨询、服务投诉等。该服务咨询中心应该7×24小时全天候运行，应配备足够的咨询人员或技术工程师，热线电话的拨通率应达到90％以上。在热线电话发生故障情况下，应提供其它备份的方便和迅速的联系方式。</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（3）巡检保养</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①定期巡检服务</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a.每两周对工程敷设线路及前端安装点进行巡检，并填写巡检记录表，对可能影响线路及前端的情况要及时协调，防止因线路中断等情况造成系统中断；</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b.每季度对工程范围内的设备箱、设备及其供电系统进行一次保养性维护，包括设备除尘、排除故障隐患等，并填写设备养护记录表；以确认所有设备及系统工作正常；</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c.每季度对工程范围内的摄像机除尘清洁一次，并填写记录表；</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d.每半年对防雷系统进行一次检测，填写检测登记表，对不达标的防雷地极进行相应处理。</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②定期抽检服务</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每周进行随机抽查，对系统的运行情况进行检测，并填写记录表。</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4）</w:t>
      </w:r>
      <w:r>
        <w:rPr>
          <w:rFonts w:hint="eastAsia" w:ascii="宋体" w:hAnsi="宋体" w:eastAsia="宋体" w:cs="宋体"/>
          <w:b/>
          <w:bCs/>
          <w:color w:val="auto"/>
          <w:sz w:val="21"/>
          <w:highlight w:val="none"/>
          <w:lang w:val="en-US" w:eastAsia="zh-CN"/>
        </w:rPr>
        <w:t>主动监测</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①</w:t>
      </w:r>
      <w:r>
        <w:rPr>
          <w:rFonts w:hint="eastAsia" w:ascii="宋体" w:hAnsi="宋体" w:eastAsia="宋体" w:cs="宋体"/>
          <w:b/>
          <w:bCs/>
          <w:color w:val="auto"/>
          <w:sz w:val="21"/>
          <w:highlight w:val="none"/>
          <w:lang w:val="en-US" w:eastAsia="zh-CN"/>
        </w:rPr>
        <w:t>设备监控</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运维单位应建立设备管理监控体系，有效地对系统的监控设备运作情况和传输线路的性能、通断情况进行实时监控，及早发现问题，排除故障。</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②</w:t>
      </w:r>
      <w:r>
        <w:rPr>
          <w:rFonts w:hint="eastAsia" w:ascii="宋体" w:hAnsi="宋体" w:eastAsia="宋体" w:cs="宋体"/>
          <w:b/>
          <w:bCs/>
          <w:color w:val="auto"/>
          <w:sz w:val="21"/>
          <w:highlight w:val="none"/>
          <w:lang w:val="en-US" w:eastAsia="zh-CN"/>
        </w:rPr>
        <w:t>图像监控</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运维单位应对每个监控点的图像显示是否正常进行主动监测，以减少故障时间。</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5）</w:t>
      </w:r>
      <w:r>
        <w:rPr>
          <w:rFonts w:hint="eastAsia" w:ascii="宋体" w:hAnsi="宋体" w:eastAsia="宋体" w:cs="宋体"/>
          <w:b/>
          <w:bCs/>
          <w:color w:val="auto"/>
          <w:sz w:val="21"/>
          <w:highlight w:val="none"/>
          <w:lang w:val="en-US" w:eastAsia="zh-CN"/>
        </w:rPr>
        <w:t>故障修复</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①</w:t>
      </w:r>
      <w:r>
        <w:rPr>
          <w:rFonts w:hint="eastAsia" w:ascii="宋体" w:hAnsi="宋体" w:eastAsia="宋体" w:cs="宋体"/>
          <w:b/>
          <w:bCs/>
          <w:color w:val="auto"/>
          <w:sz w:val="21"/>
          <w:highlight w:val="none"/>
          <w:lang w:val="en-US" w:eastAsia="zh-CN"/>
        </w:rPr>
        <w:t>紧急抢修</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运维单位应当承担合同期内系统发生任何故障的抢修任务。</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②备用方案</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如特殊原因造成系统无法正常使用（如光纤切割），运维单位应能提供备用方案和措施确保系统运行正常。</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③易损易耗件</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运维单位应建立备品仓库，储存足够的备用易损易耗件。备品仓库应合理分布。有条件且在采购人同意的情况下，可在采购人的使用现场储存，也可运维单位根据自身条件在就近售后服务点设立备品仓库，保证能满足故障抢修的要求。备品仓库应定期进行检查。</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④更换设备</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若某个设备在1个月内连续发生3次以上（含3次）故障，运维单位应更换使用新的同型号或者性能不低于原型号的替代产品，以保障设备的连续正常使用能力。</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6）特殊保障</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①临时保障</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采购人（或用户单位）如有重大事件、临时现场监控等较特殊的保障措施，运维单位必须能按时提供服务。</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②安全保障</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采购人（或用户单位）如有安全保卫、系统接管等较特殊的要求，运维单位必须能按照要求提供服务。</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7）</w:t>
      </w:r>
      <w:r>
        <w:rPr>
          <w:rFonts w:hint="eastAsia" w:ascii="宋体" w:hAnsi="宋体" w:eastAsia="宋体" w:cs="宋体"/>
          <w:b/>
          <w:bCs/>
          <w:color w:val="auto"/>
          <w:sz w:val="21"/>
          <w:highlight w:val="none"/>
          <w:lang w:val="en-US" w:eastAsia="zh-CN"/>
        </w:rPr>
        <w:t>运维服务报告</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在整个运维服务周期内，运维单位应与用户建立完善的沟通协调机制，应及时提供运维服务的各种报告。包括每日运维服务日志、重大故障维修报告、每月故障总结报告、每季度的设备和系统管理报告、每季度的系统维护总结报告等。此外用户还可根据实际情况需要，要求运维单位就特定事件提交说明报告。</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运维单位应提供各种设备管理的原始数据（包括设备故障数据），接受用户的独立检查。</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8）</w:t>
      </w:r>
      <w:r>
        <w:rPr>
          <w:rFonts w:hint="eastAsia" w:ascii="宋体" w:hAnsi="宋体" w:eastAsia="宋体" w:cs="宋体"/>
          <w:b/>
          <w:bCs/>
          <w:color w:val="auto"/>
          <w:sz w:val="21"/>
          <w:highlight w:val="none"/>
          <w:lang w:val="en-US" w:eastAsia="zh-CN"/>
        </w:rPr>
        <w:t>服务时间</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①</w:t>
      </w:r>
      <w:r>
        <w:rPr>
          <w:rFonts w:hint="eastAsia" w:ascii="宋体" w:hAnsi="宋体" w:eastAsia="宋体" w:cs="宋体"/>
          <w:b/>
          <w:bCs/>
          <w:color w:val="auto"/>
          <w:sz w:val="21"/>
          <w:highlight w:val="none"/>
          <w:lang w:val="en-US" w:eastAsia="zh-CN"/>
        </w:rPr>
        <w:t>提供7×24小时服务承诺</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运维单位需承诺提供5年全天候7×24小时的故障维护服务和技术业务咨询服务，并有专业的技术人员负责及时解决系统出现的任何故障。</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②</w:t>
      </w:r>
      <w:r>
        <w:rPr>
          <w:rFonts w:hint="eastAsia" w:ascii="宋体" w:hAnsi="宋体" w:eastAsia="宋体" w:cs="宋体"/>
          <w:b/>
          <w:bCs/>
          <w:color w:val="auto"/>
          <w:sz w:val="21"/>
          <w:highlight w:val="none"/>
          <w:lang w:val="en-US" w:eastAsia="zh-CN"/>
        </w:rPr>
        <w:t>故障修复时限承诺</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在接到故障报修后，运维单位须在1小时内响应，4小时到达现场，一般问题原则上8小时内解决，复杂问题12小时内解决，如无法按时修复须及时更换备品备件，并将故障配件送厂维修。若运维单位须将故障设备或部件运送至外地维修，修复后需运回采购人指定地点，安装完毕后交付使用，由此发生的一切费用由运维单位承担。对运维单位在规定时间内未能解决的问题，采购人有权请第三方来解决，所发生的费用由运维单位承担。因运维单位技术问题或维修问题（包括未能按时修复）造成的事故，采购人可视情节在应支付款项中扣除相应损失。</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在设备发生紧急故障的情况下，提出应急解决措施（7×24的响应时间，由技术人员立即赶往现场进行排除）。</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如运维单位未能依约提供故障修复服务，采购人（用户）有权聘请第三方进行修复，中标</w:t>
      </w:r>
      <w:r>
        <w:rPr>
          <w:rFonts w:hint="eastAsia" w:ascii="宋体" w:hAnsi="宋体" w:cs="宋体"/>
          <w:color w:val="auto"/>
          <w:sz w:val="21"/>
          <w:highlight w:val="none"/>
          <w:lang w:val="en-US" w:eastAsia="zh-CN"/>
        </w:rPr>
        <w:t>人</w:t>
      </w:r>
      <w:r>
        <w:rPr>
          <w:rFonts w:hint="eastAsia" w:ascii="宋体" w:hAnsi="宋体" w:eastAsia="宋体" w:cs="宋体"/>
          <w:color w:val="auto"/>
          <w:sz w:val="21"/>
          <w:highlight w:val="none"/>
          <w:lang w:val="en-US" w:eastAsia="zh-CN"/>
        </w:rPr>
        <w:t>必须无条件配合并支付相关费用（或从本期应付</w:t>
      </w:r>
      <w:r>
        <w:rPr>
          <w:rFonts w:hint="eastAsia" w:ascii="宋体" w:hAnsi="宋体" w:cs="宋体"/>
          <w:color w:val="auto"/>
          <w:sz w:val="21"/>
          <w:highlight w:val="none"/>
          <w:lang w:val="en-US" w:eastAsia="zh-CN"/>
        </w:rPr>
        <w:t>款项</w:t>
      </w:r>
      <w:r>
        <w:rPr>
          <w:rFonts w:hint="eastAsia" w:ascii="宋体" w:hAnsi="宋体" w:eastAsia="宋体" w:cs="宋体"/>
          <w:color w:val="auto"/>
          <w:sz w:val="21"/>
          <w:highlight w:val="none"/>
          <w:lang w:val="en-US" w:eastAsia="zh-CN"/>
        </w:rPr>
        <w:t>金中扣除）。</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9）</w:t>
      </w:r>
      <w:r>
        <w:rPr>
          <w:rFonts w:hint="eastAsia" w:ascii="宋体" w:hAnsi="宋体" w:eastAsia="宋体" w:cs="宋体"/>
          <w:b/>
          <w:bCs/>
          <w:color w:val="auto"/>
          <w:sz w:val="21"/>
          <w:highlight w:val="none"/>
          <w:lang w:val="en-US" w:eastAsia="zh-CN"/>
        </w:rPr>
        <w:t>运维服务管理要求</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运维单位应根据运维服务要求，参照国际上有关通信和信息系统运行服务标准的要求建立完善的智慧城管建设运维服务管理体系，保障承诺的运维服务内容的实施。</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有关要求如下：</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①</w:t>
      </w:r>
      <w:r>
        <w:rPr>
          <w:rFonts w:hint="eastAsia" w:ascii="宋体" w:hAnsi="宋体" w:eastAsia="宋体" w:cs="宋体"/>
          <w:b/>
          <w:bCs/>
          <w:color w:val="auto"/>
          <w:sz w:val="21"/>
          <w:highlight w:val="none"/>
          <w:lang w:val="en-US" w:eastAsia="zh-CN"/>
        </w:rPr>
        <w:t>运维服务组织机构</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运维单位应建立专门的运维服务管理机构，设立运维服务咨询中心，设立专门的技术服务队伍，配备包括视频监控、网络链路、电气设备、软件和网络设备等各类维护工程师。</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运维单位须派驻不少于2名运维工程师为本项目提供服务，出现重大问题或工作任务繁忙时，必须提供后备技术力量支持。维保服务期间，驻场运维工程师提供5×8小时技术服务，运维单位需要提供365×24小时技术支持服务。未经采购人同意不得随意更换驻场人员，如必须更换，需经采购人同意并面试考核通过后方可继续服务。拟派驻现场项目团队人员及其上级单位同意并支持接受身份审查和保密管理，并愿承担相应的保密责任。</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服务咨询人员和维护工程师应经过专门的培训，具备相应的沟通能力、业务能力和技术能力。</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②</w:t>
      </w:r>
      <w:r>
        <w:rPr>
          <w:rFonts w:hint="eastAsia" w:ascii="宋体" w:hAnsi="宋体" w:eastAsia="宋体" w:cs="宋体"/>
          <w:b/>
          <w:bCs/>
          <w:color w:val="auto"/>
          <w:sz w:val="21"/>
          <w:highlight w:val="none"/>
          <w:lang w:val="en-US" w:eastAsia="zh-CN"/>
        </w:rPr>
        <w:t>运维服务流程</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运维单位应参照国际运维服务标准体系，建立各项运维服务标准流程，制定服务规章制度，应按照流程要求提供高质量、响应快的服务。</w:t>
      </w:r>
    </w:p>
    <w:p>
      <w:pPr>
        <w:keepNext w:val="0"/>
        <w:keepLines w:val="0"/>
        <w:pageBreakBefore w:val="0"/>
        <w:wordWrap/>
        <w:topLinePunct w:val="0"/>
        <w:bidi w:val="0"/>
        <w:spacing w:beforeLines="0" w:afterLines="0" w:line="360" w:lineRule="auto"/>
        <w:ind w:firstLine="392" w:firstLineChars="187"/>
        <w:rPr>
          <w:rFonts w:hint="eastAsia"/>
          <w:color w:val="auto"/>
          <w:highlight w:val="none"/>
          <w:lang w:val="en-US" w:eastAsia="zh-CN"/>
        </w:rPr>
      </w:pPr>
      <w:r>
        <w:rPr>
          <w:rFonts w:hint="eastAsia" w:ascii="宋体" w:hAnsi="宋体" w:eastAsia="宋体" w:cs="宋体"/>
          <w:color w:val="auto"/>
          <w:sz w:val="21"/>
          <w:highlight w:val="none"/>
          <w:lang w:val="en-US" w:eastAsia="zh-CN"/>
        </w:rPr>
        <w:t>服务流程应该包括服务台管理、事件管理、问题管理、配置管理、服务质量管理、服务考核评估等。</w:t>
      </w:r>
    </w:p>
    <w:p>
      <w:pPr>
        <w:pStyle w:val="4"/>
        <w:keepNext/>
        <w:keepLines/>
        <w:pageBreakBefore w:val="0"/>
        <w:widowControl w:val="0"/>
        <w:numPr>
          <w:ilvl w:val="0"/>
          <w:numId w:val="8"/>
        </w:numPr>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人员配置与培训</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1）</w:t>
      </w:r>
      <w:r>
        <w:rPr>
          <w:rFonts w:hint="eastAsia" w:ascii="宋体" w:hAnsi="宋体" w:eastAsia="宋体" w:cs="宋体"/>
          <w:b/>
          <w:bCs/>
          <w:color w:val="auto"/>
          <w:sz w:val="21"/>
          <w:highlight w:val="none"/>
          <w:lang w:val="en-US" w:eastAsia="zh-CN"/>
        </w:rPr>
        <w:t>人员培训方案</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对用户的技术人员进行系统的使用、维护和保养培训，所有培训以中文进行。该培训将教会学员在日常和紧急情况下如何操作系统。</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培训教员对所提供的系统和产品具有丰富的操作和维修经验。培训教员的简历连同培训计划一并提交建设单位。</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在系统完工测试之前为用户技术人员进行现场培训，该培训包括正常操作程序和怎样处理紧急情况。在培训工作开始前向用户免费提供所有中文培训资料，包括中文操作、维修手册，要求受训人员能够了解系统及设备的基本结构、工作原理及操作程序，能进行实际操作和日常维护、排除一般故障。</w:t>
      </w:r>
    </w:p>
    <w:p>
      <w:pPr>
        <w:pStyle w:val="4"/>
        <w:keepNext/>
        <w:keepLines/>
        <w:pageBreakBefore w:val="0"/>
        <w:widowControl w:val="0"/>
        <w:numPr>
          <w:ilvl w:val="0"/>
          <w:numId w:val="8"/>
        </w:numPr>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其他采购要求和说明</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1）</w:t>
      </w:r>
      <w:r>
        <w:rPr>
          <w:rFonts w:hint="eastAsia" w:ascii="宋体" w:hAnsi="宋体" w:eastAsia="宋体" w:cs="宋体"/>
          <w:b/>
          <w:bCs/>
          <w:color w:val="auto"/>
          <w:sz w:val="21"/>
          <w:highlight w:val="none"/>
          <w:lang w:val="en-US" w:eastAsia="zh-CN"/>
        </w:rPr>
        <w:t xml:space="preserve">项目报价要求 </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本项目供应商投标报价应根据本项目内容要求、特点和企业条件确定投标总报价，即建设费用和五年运维服务费用，须包含整体系统建设、五年流量及网络链路使用费、五年前端设备运行电费、五年设备运行维护费用、系统集成、配置常驻人员及培训、地理测绘费用等所发生的一切费用。对在合同实施过程中可能发生的其它费用（如：材料涨价、人工等成本增加等因素），采购人概不负责。</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供应商须承担电力勘护及与其他单位配合协调所承担的一切费用。</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必须保证接入线路的畅通和质量，必须保证线路建设和维护的服务质量；</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按国家规定由供应商缴纳的各种税收已包含在投标总价内，由供应商向税务机关缴纳；</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在征得采购人书面同意之前，供应商不得将本项目资源全部或部分用于其它业务使用。</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本工程线路与设备安装、调试所需的工具、仪表及安装材料均由供应商负责。</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对于本采购文件未列明，而供应商认为必需的费用也需列入投标总报价。在合同实施时，采购人将不予支付中标</w:t>
      </w:r>
      <w:r>
        <w:rPr>
          <w:rFonts w:hint="eastAsia" w:ascii="宋体" w:hAnsi="宋体" w:cs="宋体"/>
          <w:color w:val="auto"/>
          <w:sz w:val="21"/>
          <w:highlight w:val="none"/>
          <w:lang w:val="en-US" w:eastAsia="zh-CN"/>
        </w:rPr>
        <w:t>人</w:t>
      </w:r>
      <w:r>
        <w:rPr>
          <w:rFonts w:hint="eastAsia" w:ascii="宋体" w:hAnsi="宋体" w:eastAsia="宋体" w:cs="宋体"/>
          <w:color w:val="auto"/>
          <w:sz w:val="21"/>
          <w:highlight w:val="none"/>
          <w:lang w:val="en-US" w:eastAsia="zh-CN"/>
        </w:rPr>
        <w:t>没有列入的项目费用，并认为此项目的费用已包括在投标总报价中。</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如有漏项，视同已包含在本项目的总报价中；在建设和维护中的所有费用均包括在本租费中，以后不再发生任何其它费用问题。</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5年服务期内，增加前端监控点的单点价格以合同前端监控点单点5年服务费用为基准逐年下浮，次年新增的前端监控点5年服务费用以下浮3%计算，逐年下浮。</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中标</w:t>
      </w:r>
      <w:r>
        <w:rPr>
          <w:rFonts w:hint="eastAsia" w:ascii="宋体" w:hAnsi="宋体" w:cs="宋体"/>
          <w:color w:val="auto"/>
          <w:sz w:val="21"/>
          <w:highlight w:val="none"/>
          <w:lang w:val="en-US" w:eastAsia="zh-CN"/>
        </w:rPr>
        <w:t>人</w:t>
      </w:r>
      <w:r>
        <w:rPr>
          <w:rFonts w:hint="eastAsia" w:ascii="宋体" w:hAnsi="宋体" w:eastAsia="宋体" w:cs="宋体"/>
          <w:color w:val="auto"/>
          <w:sz w:val="21"/>
          <w:highlight w:val="none"/>
          <w:lang w:val="en-US" w:eastAsia="zh-CN"/>
        </w:rPr>
        <w:t>应无条件无偿负责采购人提出的监控点位移位的要求。在移位数不超过每年总点位数20%的前提下，中标方应无条件无偿负责采购人提出前端移位的要求。移位时产生的一切费用由中标</w:t>
      </w:r>
      <w:r>
        <w:rPr>
          <w:rFonts w:hint="eastAsia" w:ascii="宋体" w:hAnsi="宋体" w:cs="宋体"/>
          <w:color w:val="auto"/>
          <w:sz w:val="21"/>
          <w:highlight w:val="none"/>
          <w:lang w:val="en-US" w:eastAsia="zh-CN"/>
        </w:rPr>
        <w:t>人</w:t>
      </w:r>
      <w:r>
        <w:rPr>
          <w:rFonts w:hint="eastAsia" w:ascii="宋体" w:hAnsi="宋体" w:eastAsia="宋体" w:cs="宋体"/>
          <w:color w:val="auto"/>
          <w:sz w:val="21"/>
          <w:highlight w:val="none"/>
          <w:lang w:val="en-US" w:eastAsia="zh-CN"/>
        </w:rPr>
        <w:t>负责。若超出20%，超出部分按工程量审计价结算。</w:t>
      </w:r>
    </w:p>
    <w:p>
      <w:pPr>
        <w:keepNext w:val="0"/>
        <w:keepLines w:val="0"/>
        <w:pageBreakBefore w:val="0"/>
        <w:wordWrap/>
        <w:topLinePunct w:val="0"/>
        <w:bidi w:val="0"/>
        <w:spacing w:beforeLines="0" w:afterLines="0" w:line="360" w:lineRule="auto"/>
        <w:ind w:firstLine="394" w:firstLineChars="187"/>
        <w:rPr>
          <w:rFonts w:hint="eastAsia" w:ascii="宋体" w:hAnsi="宋体" w:cs="宋体"/>
          <w:b/>
          <w:bCs/>
          <w:color w:val="auto"/>
          <w:sz w:val="21"/>
          <w:highlight w:val="none"/>
          <w:lang w:val="en-US" w:eastAsia="zh-CN"/>
        </w:rPr>
      </w:pP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2）</w:t>
      </w:r>
      <w:r>
        <w:rPr>
          <w:rFonts w:hint="eastAsia" w:ascii="宋体" w:hAnsi="宋体" w:eastAsia="宋体" w:cs="宋体"/>
          <w:b/>
          <w:bCs/>
          <w:color w:val="auto"/>
          <w:sz w:val="21"/>
          <w:highlight w:val="none"/>
          <w:lang w:val="en-US" w:eastAsia="zh-CN"/>
        </w:rPr>
        <w:t>违约责任</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供应商未按运维服务期服务承诺规定时间完成相关服务内容，运维服务期内的违约金支付参考考核标准（详见附件1：考核办法）。逾期超过约定日期十个工作日不能提供服务的，采购人可解除本合同。供应商因逾期提供服务或因其他违约行为导致采购人解除合同的，供应商应向采购人支付违约金，</w:t>
      </w:r>
      <w:r>
        <w:rPr>
          <w:rFonts w:hint="eastAsia"/>
          <w:color w:val="auto"/>
          <w:highlight w:val="none"/>
          <w:lang w:eastAsia="zh-CN"/>
        </w:rPr>
        <w:t>违约金按合同总额的</w:t>
      </w:r>
      <w:r>
        <w:rPr>
          <w:rFonts w:hint="eastAsia"/>
          <w:color w:val="auto"/>
          <w:highlight w:val="none"/>
          <w:lang w:val="en-US" w:eastAsia="zh-CN"/>
        </w:rPr>
        <w:t>20%计算，</w:t>
      </w:r>
      <w:r>
        <w:rPr>
          <w:rFonts w:hint="eastAsia" w:ascii="宋体" w:hAnsi="宋体" w:eastAsia="宋体" w:cs="宋体"/>
          <w:color w:val="auto"/>
          <w:sz w:val="21"/>
          <w:highlight w:val="none"/>
          <w:lang w:val="en-US" w:eastAsia="zh-CN"/>
        </w:rPr>
        <w:t>如造成采购人损失超过约定违约金的，超出部分由供应商继续承担赔偿责任。</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供应商未按时完成项目建设并通过初步验收的，每逾期一日，应按本合同总额的千分之一向采购人支付违约金，逾期超过十个工作日的，采购人可单方面解除本合同。供应商应按合同总额的20%向采购人支付违约金，违约金不足以弥补采购人损失的，供应商还应赔偿采购人由此造成的所有损失。</w:t>
      </w:r>
    </w:p>
    <w:p>
      <w:pPr>
        <w:pStyle w:val="4"/>
        <w:keepNext/>
        <w:keepLines/>
        <w:pageBreakBefore w:val="0"/>
        <w:widowControl w:val="0"/>
        <w:numPr>
          <w:ilvl w:val="0"/>
          <w:numId w:val="8"/>
        </w:numPr>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 w:val="21"/>
          <w:highlight w:val="none"/>
          <w:lang w:val="en-US" w:eastAsia="zh-CN"/>
        </w:rPr>
      </w:pPr>
      <w:r>
        <w:rPr>
          <w:rFonts w:hint="eastAsia" w:ascii="宋体" w:hAnsi="宋体" w:eastAsia="宋体" w:cs="宋体"/>
          <w:b/>
          <w:bCs/>
          <w:color w:val="auto"/>
          <w:sz w:val="21"/>
          <w:highlight w:val="none"/>
          <w:lang w:val="en-US" w:eastAsia="zh-CN"/>
        </w:rPr>
        <w:t>其它说明</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1）</w:t>
      </w:r>
      <w:r>
        <w:rPr>
          <w:rFonts w:hint="eastAsia" w:ascii="宋体" w:hAnsi="宋体" w:eastAsia="宋体" w:cs="宋体"/>
          <w:b/>
          <w:bCs/>
          <w:color w:val="auto"/>
          <w:sz w:val="21"/>
          <w:highlight w:val="none"/>
          <w:lang w:val="en-US" w:eastAsia="zh-CN"/>
        </w:rPr>
        <w:t>产权说明</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本次招标的设备和线路在建设期和运维服务期内的产权属</w:t>
      </w:r>
      <w:r>
        <w:rPr>
          <w:rFonts w:hint="eastAsia" w:ascii="宋体" w:hAnsi="宋体" w:cs="宋体"/>
          <w:color w:val="auto"/>
          <w:sz w:val="21"/>
          <w:highlight w:val="none"/>
          <w:lang w:val="en-US" w:eastAsia="zh-CN"/>
        </w:rPr>
        <w:t>中标人</w:t>
      </w:r>
      <w:r>
        <w:rPr>
          <w:rFonts w:hint="eastAsia" w:ascii="宋体" w:hAnsi="宋体" w:eastAsia="宋体" w:cs="宋体"/>
          <w:color w:val="auto"/>
          <w:sz w:val="21"/>
          <w:highlight w:val="none"/>
          <w:lang w:val="en-US" w:eastAsia="zh-CN"/>
        </w:rPr>
        <w:t>。</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在运维服务期内，中标人负责设备及线路的所有维护、维修、设备更换和系统优化等工作，保证采购人（用户）能正常使用系统，获得高质量满意的服务。在建设期和运维服务期间，由于雷击、被盗、被破坏和其他不可抗力等因素所造成的一切损失由中标人承担(中标人应就上述情况向保险公司投保相应险)，其他由于采购人（用户）使用不当或采购人（用户）故意破坏所造成的损失由采购人（用户）承担。</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无论何时，系统中的声音、图像和数据信息的所有权和使用权都属采购人（用户）。未经采购人（用户）允许，中标人无权使用、转让或处理系统中的声音、图像和数据信息。</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在建设期和运维服务期，所有的系统方案文档、设计文档、开发文档、测试文档、设备使用说明书、施工设计方案、施工图纸、系统维护手册、运维文档、项目管理文档等与本项目有关文档的知识产权属于采购人所有(知识产权归属第三方的除外)。</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在运维服务期满后，不管双方是否终止合作或者续约，本项目所含的所有设备设施（网络链路除外）资产产权无条件归采购人所有。</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五年运维服务期结束后是否续签协议由采购人决定，运维服务费及服务等事宜由双方友好协商。</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b/>
          <w:bCs/>
          <w:color w:val="auto"/>
          <w:sz w:val="21"/>
          <w:highlight w:val="none"/>
          <w:lang w:val="en-US" w:eastAsia="zh-CN"/>
        </w:rPr>
      </w:pPr>
      <w:r>
        <w:rPr>
          <w:rFonts w:hint="eastAsia" w:ascii="宋体" w:hAnsi="宋体" w:eastAsia="宋体" w:cs="宋体"/>
          <w:color w:val="auto"/>
          <w:sz w:val="21"/>
          <w:highlight w:val="none"/>
          <w:lang w:val="en-US" w:eastAsia="zh-CN"/>
        </w:rPr>
        <w:br w:type="page"/>
      </w:r>
      <w:r>
        <w:rPr>
          <w:rFonts w:hint="eastAsia" w:ascii="宋体" w:hAnsi="宋体" w:eastAsia="宋体" w:cs="宋体"/>
          <w:b/>
          <w:bCs/>
          <w:color w:val="auto"/>
          <w:sz w:val="21"/>
          <w:highlight w:val="none"/>
          <w:lang w:val="en-US" w:eastAsia="zh-CN"/>
        </w:rPr>
        <w:t>附件1：考核办法（具体以中标后，中标人与采购人签订的合同为准）</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1）</w:t>
      </w:r>
      <w:r>
        <w:rPr>
          <w:rFonts w:hint="eastAsia" w:ascii="宋体" w:hAnsi="宋体" w:eastAsia="宋体" w:cs="宋体"/>
          <w:b/>
          <w:bCs/>
          <w:color w:val="auto"/>
          <w:sz w:val="21"/>
          <w:highlight w:val="none"/>
          <w:lang w:val="en-US" w:eastAsia="zh-CN"/>
        </w:rPr>
        <w:t>项目运营考核</w:t>
      </w:r>
      <w:r>
        <w:rPr>
          <w:rFonts w:hint="eastAsia" w:ascii="宋体" w:hAnsi="宋体" w:cs="宋体"/>
          <w:b/>
          <w:bCs/>
          <w:color w:val="auto"/>
          <w:sz w:val="21"/>
          <w:highlight w:val="none"/>
          <w:lang w:val="en-US" w:eastAsia="zh-CN"/>
        </w:rPr>
        <w:t>：</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项目实行“季度”考核制。考核内容主要包含设备完好情况、售后服务响应即时性、售后服务驻场情况、日常巡检及清洗情况、售后服务投诉情况等五个方面，由使用单位进行打分，根据权重进行加权平均，按综合分数进行考核。</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具体如下：</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考核内容A（满分100分）</w:t>
      </w:r>
      <w:r>
        <w:rPr>
          <w:rFonts w:hint="eastAsia" w:ascii="宋体" w:hAnsi="宋体" w:cs="宋体"/>
          <w:color w:val="auto"/>
          <w:sz w:val="21"/>
          <w:highlight w:val="none"/>
          <w:lang w:val="en-US" w:eastAsia="zh-CN"/>
        </w:rPr>
        <w:t>，其中</w:t>
      </w:r>
      <w:r>
        <w:rPr>
          <w:rFonts w:hint="eastAsia" w:ascii="宋体" w:hAnsi="宋体" w:eastAsia="宋体" w:cs="宋体"/>
          <w:color w:val="auto"/>
          <w:sz w:val="21"/>
          <w:highlight w:val="none"/>
          <w:lang w:val="en-US" w:eastAsia="zh-CN"/>
        </w:rPr>
        <w:t>整个系统完好情况A1（40分）、售后服务响应即时性A2（20分）、售后服务驻场情况A3（10分）、日常巡检及清洗情况A4（15分）、售后服务投诉情况A5（15分）。</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2）</w:t>
      </w:r>
      <w:r>
        <w:rPr>
          <w:rFonts w:hint="eastAsia" w:ascii="宋体" w:hAnsi="宋体" w:eastAsia="宋体" w:cs="宋体"/>
          <w:b/>
          <w:bCs/>
          <w:color w:val="auto"/>
          <w:sz w:val="21"/>
          <w:highlight w:val="none"/>
          <w:lang w:val="en-US" w:eastAsia="zh-CN"/>
        </w:rPr>
        <w:t>季度具体考核办法如下：</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整体工程系统完善率包括：</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前端监控系统正常率：在服务器期限内，前端系统正常运行，图像清晰可供正常调阅，系统完善率最低要求不得低于95%。</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网络传输系统稳定率：在项目整体服务周期内，网络传输系统无论核心传输网、中心汇聚交换网保持畅通稳定可靠，不得出现数据拥堵和瘫痪，造成的数据丢失，出现故障修复时间最长不得超过4小时。</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数据存储系统完善率：数据存储可靠稳定，不得出现因为存储设备故障而造成的数据丢失，数据完善率不得低于99%。</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平台软件管理系统及时率：系统所用软件必须为最新版本，以避免因为软件问题而引起的系统联网延迟、操作能力不足、软件安全漏洞等，系统更新率为100%，最新版本更新时间不得超过1周，在更新过程中，要考虑数据转移和数据过渡存储问题。</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整体指挥中心保障率：按照机房设计B级要求进行设计，可用性99.75%，每年允许故障时间不得超过21小时。</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①</w:t>
      </w:r>
      <w:r>
        <w:rPr>
          <w:rFonts w:hint="eastAsia" w:ascii="宋体" w:hAnsi="宋体" w:eastAsia="宋体" w:cs="宋体"/>
          <w:color w:val="auto"/>
          <w:sz w:val="21"/>
          <w:highlight w:val="none"/>
          <w:lang w:val="en-US" w:eastAsia="zh-CN"/>
        </w:rPr>
        <w:t>整个系统完好情况A1（40分）。</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全部系统（含前端摄像头）能稳定、完好使用，得满分；</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②</w:t>
      </w:r>
      <w:r>
        <w:rPr>
          <w:rFonts w:hint="eastAsia" w:ascii="宋体" w:hAnsi="宋体" w:eastAsia="宋体" w:cs="宋体"/>
          <w:color w:val="auto"/>
          <w:sz w:val="21"/>
          <w:highlight w:val="none"/>
          <w:lang w:val="en-US" w:eastAsia="zh-CN"/>
        </w:rPr>
        <w:t>售后服务响应即时性A2（20分）。</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故障报错后在在1小时内响应， 4小时到达现场，一般问题原则上8小时内解决，复杂问题12小时内提出解决方案并解决故障，得满分；故障报错后2小时内响应，扣减1分；故障报错后4小时内响应，扣减2分；故障报错后8小时内响应，扣减3分；以此类推。（不可抗的自然灾害造成的故障除外）。</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③</w:t>
      </w:r>
      <w:r>
        <w:rPr>
          <w:rFonts w:hint="eastAsia" w:ascii="宋体" w:hAnsi="宋体" w:eastAsia="宋体" w:cs="宋体"/>
          <w:color w:val="auto"/>
          <w:sz w:val="21"/>
          <w:highlight w:val="none"/>
          <w:lang w:val="en-US" w:eastAsia="zh-CN"/>
        </w:rPr>
        <w:t>售后服务驻场情况A3（10分）。</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 xml:space="preserve">要求提供2名及以上具有本项目服务能力的工程师提供售后服务。 </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驻场时间为每周5天×8小时，得满分；每周驻场服务每少于一天，扣减1分，每天小于8小时，扣减0.5分；以此类推。</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④</w:t>
      </w:r>
      <w:r>
        <w:rPr>
          <w:rFonts w:hint="eastAsia" w:ascii="宋体" w:hAnsi="宋体" w:eastAsia="宋体" w:cs="宋体"/>
          <w:color w:val="auto"/>
          <w:sz w:val="21"/>
          <w:highlight w:val="none"/>
          <w:lang w:val="en-US" w:eastAsia="zh-CN"/>
        </w:rPr>
        <w:t>日常巡检及清洗情况A4（15分）。</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1月巡检一次，3月清洗一次，得满分；2月巡检一次，6月清洗一次，扣减2分；3月巡检一次，9月清洗一次，扣减4分；以此类推。</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⑤</w:t>
      </w:r>
      <w:r>
        <w:rPr>
          <w:rFonts w:hint="eastAsia" w:ascii="宋体" w:hAnsi="宋体" w:eastAsia="宋体" w:cs="宋体"/>
          <w:color w:val="auto"/>
          <w:sz w:val="21"/>
          <w:highlight w:val="none"/>
          <w:lang w:val="en-US" w:eastAsia="zh-CN"/>
        </w:rPr>
        <w:t>售后服务投诉情况A5（15分）。</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没有严重的售后服务不满意投诉（如服务态度差、响应不即时、没有提供有效的驻场服务人员、系统或设备10%以上不能正常使用），得满分；投诉累计超过2次，扣2分，超过4次，扣4分；以此类推。</w:t>
      </w:r>
    </w:p>
    <w:p>
      <w:pPr>
        <w:keepNext w:val="0"/>
        <w:keepLines w:val="0"/>
        <w:pageBreakBefore w:val="0"/>
        <w:wordWrap/>
        <w:topLinePunct w:val="0"/>
        <w:bidi w:val="0"/>
        <w:spacing w:beforeLines="0" w:afterLines="0" w:line="360" w:lineRule="auto"/>
        <w:ind w:firstLine="394" w:firstLineChars="187"/>
        <w:rPr>
          <w:rFonts w:hint="eastAsia" w:ascii="宋体" w:hAnsi="宋体" w:eastAsia="宋体" w:cs="宋体"/>
          <w:b/>
          <w:bCs/>
          <w:color w:val="auto"/>
          <w:sz w:val="21"/>
          <w:highlight w:val="none"/>
          <w:lang w:val="en-US" w:eastAsia="zh-CN"/>
        </w:rPr>
      </w:pPr>
      <w:r>
        <w:rPr>
          <w:rFonts w:hint="eastAsia" w:ascii="宋体" w:hAnsi="宋体" w:cs="宋体"/>
          <w:b/>
          <w:bCs/>
          <w:color w:val="auto"/>
          <w:sz w:val="21"/>
          <w:highlight w:val="none"/>
          <w:lang w:val="en-US" w:eastAsia="zh-CN"/>
        </w:rPr>
        <w:t>3）</w:t>
      </w:r>
      <w:r>
        <w:rPr>
          <w:rFonts w:hint="eastAsia" w:ascii="宋体" w:hAnsi="宋体" w:eastAsia="宋体" w:cs="宋体"/>
          <w:b/>
          <w:bCs/>
          <w:color w:val="auto"/>
          <w:sz w:val="21"/>
          <w:highlight w:val="none"/>
          <w:lang w:val="en-US" w:eastAsia="zh-CN"/>
        </w:rPr>
        <w:t>关于考核细则</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将在供应商中标之后，再与用户单位签订详细考核细则。</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考核单位：                考核时间：         考核人员：</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使用单位考核权重B（满分100%），宁海县综合行政执法局A1（</w:t>
      </w:r>
      <w:r>
        <w:rPr>
          <w:rFonts w:hint="eastAsia" w:ascii="宋体" w:hAnsi="宋体" w:cs="宋体"/>
          <w:color w:val="auto"/>
          <w:sz w:val="21"/>
          <w:highlight w:val="none"/>
          <w:lang w:val="en-US" w:eastAsia="zh-CN"/>
        </w:rPr>
        <w:t>8</w:t>
      </w:r>
      <w:r>
        <w:rPr>
          <w:rFonts w:hint="eastAsia" w:ascii="宋体" w:hAnsi="宋体" w:eastAsia="宋体" w:cs="宋体"/>
          <w:color w:val="auto"/>
          <w:sz w:val="21"/>
          <w:highlight w:val="none"/>
          <w:lang w:val="en-US" w:eastAsia="zh-CN"/>
        </w:rPr>
        <w:t>0%）、其他单位B1（</w:t>
      </w:r>
      <w:r>
        <w:rPr>
          <w:rFonts w:hint="eastAsia" w:ascii="宋体" w:hAnsi="宋体" w:cs="宋体"/>
          <w:color w:val="auto"/>
          <w:sz w:val="21"/>
          <w:highlight w:val="none"/>
          <w:lang w:val="en-US" w:eastAsia="zh-CN"/>
        </w:rPr>
        <w:t>20</w:t>
      </w:r>
      <w:r>
        <w:rPr>
          <w:rFonts w:hint="eastAsia" w:ascii="宋体" w:hAnsi="宋体" w:eastAsia="宋体" w:cs="宋体"/>
          <w:color w:val="auto"/>
          <w:sz w:val="21"/>
          <w:highlight w:val="none"/>
          <w:lang w:val="en-US" w:eastAsia="zh-CN"/>
        </w:rPr>
        <w:t>%）。</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计算方法。总分C=A1+B1。</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智慧城管升级改造服务项目运营状况季度考核汇总表</w:t>
      </w:r>
    </w:p>
    <w:tbl>
      <w:tblPr>
        <w:tblStyle w:val="2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8"/>
        <w:gridCol w:w="1569"/>
        <w:gridCol w:w="1883"/>
        <w:gridCol w:w="1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考核单位</w:t>
            </w:r>
          </w:p>
        </w:tc>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单位考核值</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jc w:val="center"/>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单位考核权重</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宁海县综合行政执法局A1</w:t>
            </w:r>
          </w:p>
        </w:tc>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8</w:t>
            </w:r>
            <w:r>
              <w:rPr>
                <w:rFonts w:hint="eastAsia" w:ascii="宋体" w:hAnsi="宋体" w:eastAsia="宋体" w:cs="宋体"/>
                <w:color w:val="auto"/>
                <w:sz w:val="21"/>
                <w:highlight w:val="none"/>
                <w:lang w:val="en-US" w:eastAsia="zh-CN"/>
              </w:rPr>
              <w:t>0%</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其他单位B</w:t>
            </w:r>
            <w:r>
              <w:rPr>
                <w:rFonts w:hint="eastAsia" w:ascii="宋体" w:hAnsi="宋体" w:cs="宋体"/>
                <w:color w:val="auto"/>
                <w:sz w:val="21"/>
                <w:highlight w:val="none"/>
                <w:lang w:val="en-US" w:eastAsia="zh-CN"/>
              </w:rPr>
              <w:t>1</w:t>
            </w:r>
          </w:p>
        </w:tc>
        <w:tc>
          <w:tcPr>
            <w:tcW w:w="156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c>
          <w:tcPr>
            <w:tcW w:w="1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cs="宋体"/>
                <w:color w:val="auto"/>
                <w:sz w:val="21"/>
                <w:highlight w:val="none"/>
                <w:lang w:val="en-US" w:eastAsia="zh-CN"/>
              </w:rPr>
              <w:t>20</w:t>
            </w:r>
            <w:r>
              <w:rPr>
                <w:rFonts w:hint="eastAsia" w:ascii="宋体" w:hAnsi="宋体" w:eastAsia="宋体" w:cs="宋体"/>
                <w:color w:val="auto"/>
                <w:sz w:val="21"/>
                <w:highlight w:val="none"/>
                <w:lang w:val="en-US" w:eastAsia="zh-CN"/>
              </w:rPr>
              <w:t>%</w:t>
            </w:r>
          </w:p>
        </w:tc>
        <w:tc>
          <w:tcPr>
            <w:tcW w:w="19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7"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合计（C）</w:t>
            </w:r>
          </w:p>
        </w:tc>
        <w:tc>
          <w:tcPr>
            <w:tcW w:w="3821"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r>
    </w:tbl>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考核时间：                              汇总人员：</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考核办法。</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C≥85：全额支付</w:t>
      </w:r>
      <w:r>
        <w:rPr>
          <w:rFonts w:hint="eastAsia" w:ascii="宋体" w:hAnsi="宋体" w:cs="宋体"/>
          <w:color w:val="auto"/>
          <w:sz w:val="21"/>
          <w:highlight w:val="none"/>
          <w:lang w:val="en-US" w:eastAsia="zh-CN"/>
        </w:rPr>
        <w:t>当期费用</w:t>
      </w:r>
      <w:r>
        <w:rPr>
          <w:rFonts w:hint="eastAsia" w:ascii="宋体" w:hAnsi="宋体" w:eastAsia="宋体" w:cs="宋体"/>
          <w:color w:val="auto"/>
          <w:sz w:val="21"/>
          <w:highlight w:val="none"/>
          <w:lang w:val="en-US" w:eastAsia="zh-CN"/>
        </w:rPr>
        <w:t>；</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60≤C&lt;85：在全额支付当期费用基础上，每下降1分，扣减当期费用1%；</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C&lt;60：</w:t>
      </w:r>
      <w:r>
        <w:rPr>
          <w:rFonts w:hint="eastAsia" w:ascii="宋体" w:hAnsi="宋体" w:cs="宋体"/>
          <w:color w:val="auto"/>
          <w:sz w:val="21"/>
          <w:highlight w:val="none"/>
          <w:lang w:val="en-US" w:eastAsia="zh-CN"/>
        </w:rPr>
        <w:t>采购人</w:t>
      </w:r>
      <w:r>
        <w:rPr>
          <w:rFonts w:hint="eastAsia" w:ascii="宋体" w:hAnsi="宋体" w:eastAsia="宋体" w:cs="宋体"/>
          <w:color w:val="auto"/>
          <w:sz w:val="21"/>
          <w:highlight w:val="none"/>
          <w:lang w:val="en-US" w:eastAsia="zh-CN"/>
        </w:rPr>
        <w:t>可中止合同，并按未支付余额的70%进行结算。</w:t>
      </w:r>
    </w:p>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智慧城管升级改造服务项目运营状况（单位）季度考核表</w:t>
      </w:r>
    </w:p>
    <w:tbl>
      <w:tblPr>
        <w:tblStyle w:val="23"/>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4"/>
        <w:gridCol w:w="1624"/>
        <w:gridCol w:w="2195"/>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考核内容</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考核办法</w:t>
            </w:r>
          </w:p>
        </w:tc>
        <w:tc>
          <w:tcPr>
            <w:tcW w:w="2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得分</w:t>
            </w: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系统完好情况A1（40分）</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c>
          <w:tcPr>
            <w:tcW w:w="2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售后服务响应即时性A2（20分）</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c>
          <w:tcPr>
            <w:tcW w:w="2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售后服务驻场情况A3（10分）</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c>
          <w:tcPr>
            <w:tcW w:w="2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日常巡检及清洗情况A4（15分）</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c>
          <w:tcPr>
            <w:tcW w:w="2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售后服务投诉情况A5（15分）</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c>
          <w:tcPr>
            <w:tcW w:w="21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c>
          <w:tcPr>
            <w:tcW w:w="16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0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小计（A）</w:t>
            </w:r>
          </w:p>
        </w:tc>
        <w:tc>
          <w:tcPr>
            <w:tcW w:w="38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ordWrap/>
              <w:topLinePunct w:val="0"/>
              <w:bidi w:val="0"/>
              <w:spacing w:beforeLines="0" w:afterLines="0" w:line="360" w:lineRule="auto"/>
              <w:ind w:firstLine="392" w:firstLineChars="187"/>
              <w:rPr>
                <w:rFonts w:hint="eastAsia" w:ascii="宋体" w:hAnsi="宋体" w:eastAsia="宋体" w:cs="宋体"/>
                <w:color w:val="auto"/>
                <w:sz w:val="21"/>
                <w:highlight w:val="none"/>
                <w:lang w:val="en-US" w:eastAsia="zh-CN"/>
              </w:rPr>
            </w:pPr>
          </w:p>
        </w:tc>
      </w:tr>
    </w:tbl>
    <w:p>
      <w:pPr>
        <w:pStyle w:val="5"/>
        <w:rPr>
          <w:rFonts w:hint="eastAsia" w:ascii="宋体" w:hAnsi="宋体" w:eastAsia="宋体" w:cs="宋体"/>
          <w:color w:val="auto"/>
          <w:highlight w:val="none"/>
        </w:rPr>
      </w:pPr>
      <w:r>
        <w:rPr>
          <w:rFonts w:hint="eastAsia" w:ascii="宋体" w:hAnsi="宋体" w:eastAsia="宋体" w:cs="宋体"/>
          <w:b/>
          <w:bCs/>
          <w:color w:val="auto"/>
          <w:highlight w:val="none"/>
          <w:lang w:eastAsia="zh-CN"/>
        </w:rPr>
        <w:br w:type="page"/>
      </w:r>
      <w:bookmarkStart w:id="62" w:name="_Toc8404"/>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ascii="宋体" w:hAnsi="宋体" w:eastAsia="宋体" w:cs="宋体"/>
          <w:b/>
          <w:bCs/>
          <w:color w:val="auto"/>
          <w:sz w:val="32"/>
          <w:szCs w:val="32"/>
          <w:highlight w:val="none"/>
        </w:rPr>
      </w:pPr>
      <w:r>
        <w:rPr>
          <w:rFonts w:hint="eastAsia" w:ascii="宋体" w:hAnsi="宋体" w:eastAsia="宋体" w:cs="宋体"/>
          <w:b/>
          <w:color w:val="auto"/>
          <w:sz w:val="32"/>
          <w:szCs w:val="32"/>
          <w:highlight w:val="none"/>
        </w:rPr>
        <w:t xml:space="preserve">第三章  </w:t>
      </w:r>
      <w:r>
        <w:rPr>
          <w:rFonts w:hint="eastAsia" w:ascii="宋体" w:hAnsi="宋体" w:eastAsia="宋体" w:cs="宋体"/>
          <w:b/>
          <w:color w:val="auto"/>
          <w:sz w:val="32"/>
          <w:szCs w:val="32"/>
          <w:highlight w:val="none"/>
          <w:lang w:eastAsia="zh-CN"/>
        </w:rPr>
        <w:t>供应商</w:t>
      </w:r>
      <w:r>
        <w:rPr>
          <w:rFonts w:hint="eastAsia" w:ascii="宋体" w:hAnsi="宋体" w:eastAsia="宋体" w:cs="宋体"/>
          <w:b/>
          <w:color w:val="auto"/>
          <w:sz w:val="32"/>
          <w:szCs w:val="32"/>
          <w:highlight w:val="none"/>
        </w:rPr>
        <w:t>须知</w:t>
      </w:r>
      <w:bookmarkEnd w:id="62"/>
    </w:p>
    <w:p>
      <w:pPr>
        <w:keepNext w:val="0"/>
        <w:keepLines w:val="0"/>
        <w:pageBreakBefore w:val="0"/>
        <w:widowControl w:val="0"/>
        <w:kinsoku/>
        <w:wordWrap/>
        <w:overflowPunct/>
        <w:topLinePunct w:val="0"/>
        <w:autoSpaceDE/>
        <w:autoSpaceDN/>
        <w:bidi w:val="0"/>
        <w:adjustRightInd/>
        <w:snapToGrid/>
        <w:spacing w:line="360" w:lineRule="auto"/>
        <w:ind w:left="0"/>
        <w:jc w:val="center"/>
        <w:textAlignment w:val="auto"/>
        <w:rPr>
          <w:rFonts w:hint="eastAsia" w:ascii="宋体" w:hAnsi="宋体" w:eastAsia="宋体" w:cs="宋体"/>
          <w:b/>
          <w:bCs/>
          <w:color w:val="auto"/>
          <w:sz w:val="44"/>
          <w:szCs w:val="32"/>
          <w:highlight w:val="none"/>
        </w:rPr>
      </w:pPr>
      <w:bookmarkStart w:id="63" w:name="_Toc1665"/>
      <w:r>
        <w:rPr>
          <w:rFonts w:hint="eastAsia" w:ascii="宋体" w:hAnsi="宋体" w:eastAsia="宋体" w:cs="宋体"/>
          <w:b/>
          <w:color w:val="auto"/>
          <w:sz w:val="28"/>
          <w:szCs w:val="28"/>
          <w:highlight w:val="none"/>
        </w:rPr>
        <w:t>前 附 表</w:t>
      </w:r>
      <w:bookmarkEnd w:id="63"/>
    </w:p>
    <w:tbl>
      <w:tblPr>
        <w:tblStyle w:val="23"/>
        <w:tblW w:w="84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35"/>
        <w:gridCol w:w="758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序号</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投标报价及费用：</w:t>
            </w:r>
          </w:p>
          <w:p>
            <w:pPr>
              <w:pStyle w:val="12"/>
              <w:keepNext w:val="0"/>
              <w:keepLines w:val="0"/>
              <w:pageBreakBefore w:val="0"/>
              <w:widowControl w:val="0"/>
              <w:kinsoku/>
              <w:wordWrap/>
              <w:overflowPunct/>
              <w:topLinePunct w:val="0"/>
              <w:bidi w:val="0"/>
              <w:adjustRightInd/>
              <w:snapToGrid/>
              <w:spacing w:before="0" w:beforeLines="0" w:after="0" w:afterLines="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1）本项目投标应以人民币报价；</w:t>
            </w:r>
          </w:p>
          <w:p>
            <w:pPr>
              <w:pStyle w:val="12"/>
              <w:keepNext w:val="0"/>
              <w:keepLines w:val="0"/>
              <w:pageBreakBefore w:val="0"/>
              <w:widowControl w:val="0"/>
              <w:kinsoku/>
              <w:wordWrap/>
              <w:overflowPunct/>
              <w:topLinePunct w:val="0"/>
              <w:bidi w:val="0"/>
              <w:adjustRightInd/>
              <w:snapToGrid/>
              <w:spacing w:before="0" w:beforeLines="0" w:after="0" w:afterLines="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2）本项目采购预算（最高限价）：详见第一章《 公开招标采购公告》；投标总价超过采购预算（最高限价）的，作无效标处理。</w:t>
            </w:r>
          </w:p>
          <w:p>
            <w:pPr>
              <w:pStyle w:val="12"/>
              <w:keepNext w:val="0"/>
              <w:keepLines w:val="0"/>
              <w:pageBreakBefore w:val="0"/>
              <w:widowControl w:val="0"/>
              <w:kinsoku/>
              <w:wordWrap/>
              <w:overflowPunct/>
              <w:topLinePunct w:val="0"/>
              <w:bidi w:val="0"/>
              <w:adjustRightInd/>
              <w:snapToGrid/>
              <w:spacing w:before="0" w:beforeLines="0" w:after="0" w:afterLines="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本项目供应商投标报价应根据本项目内容要求、特点和企业条件确定投标总报价，即建设费用和五年运维服务费用，须包含整体系统建设、五年流量及网络链路使用费、五年前端设备运行电费、五年设备运行维护费用、系统集成、配置常驻人员及培训、地理测绘费用</w:t>
            </w:r>
            <w:r>
              <w:rPr>
                <w:rFonts w:hint="eastAsia" w:ascii="宋体" w:hAnsi="宋体" w:cs="宋体"/>
                <w:color w:val="auto"/>
                <w:sz w:val="21"/>
                <w:szCs w:val="21"/>
                <w:highlight w:val="none"/>
                <w:lang w:val="en-US" w:eastAsia="zh-CN"/>
              </w:rPr>
              <w:t>、无人机巡查服务费</w:t>
            </w:r>
            <w:r>
              <w:rPr>
                <w:rFonts w:hint="eastAsia" w:ascii="宋体" w:hAnsi="宋体" w:eastAsia="宋体" w:cs="宋体"/>
                <w:color w:val="auto"/>
                <w:sz w:val="21"/>
                <w:szCs w:val="21"/>
                <w:highlight w:val="none"/>
                <w:lang w:val="en-US" w:eastAsia="zh-CN"/>
              </w:rPr>
              <w:t>等所发生的一切费用。对在合同实施过程中可能发生的其它费用（如：材料涨价、人工等成本增加等因素），采购人概不负责。</w:t>
            </w:r>
          </w:p>
          <w:p>
            <w:pPr>
              <w:pStyle w:val="12"/>
              <w:keepNext w:val="0"/>
              <w:keepLines w:val="0"/>
              <w:pageBreakBefore w:val="0"/>
              <w:widowControl w:val="0"/>
              <w:kinsoku/>
              <w:wordWrap/>
              <w:overflowPunct/>
              <w:topLinePunct w:val="0"/>
              <w:bidi w:val="0"/>
              <w:adjustRightInd/>
              <w:snapToGrid/>
              <w:spacing w:before="0" w:beforeLines="0" w:after="0" w:afterLines="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4）供应商须承担电力勘护及与其他单位配合协调所承担的一切费用。</w:t>
            </w:r>
          </w:p>
          <w:p>
            <w:pPr>
              <w:pStyle w:val="12"/>
              <w:keepNext w:val="0"/>
              <w:keepLines w:val="0"/>
              <w:pageBreakBefore w:val="0"/>
              <w:widowControl w:val="0"/>
              <w:kinsoku/>
              <w:wordWrap/>
              <w:overflowPunct/>
              <w:topLinePunct w:val="0"/>
              <w:bidi w:val="0"/>
              <w:adjustRightInd/>
              <w:snapToGrid/>
              <w:spacing w:before="0" w:beforeLines="0" w:after="0" w:afterLines="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5）对于本招标文件未列明，而供应商认为必需的费用也需列入投标总报价。在合同实施时，采购人将不予支付中标单位没有列入的项目费用，并认为此项目的费用已包括在投标总报价中。</w:t>
            </w:r>
          </w:p>
          <w:p>
            <w:pPr>
              <w:pStyle w:val="12"/>
              <w:keepNext w:val="0"/>
              <w:keepLines w:val="0"/>
              <w:pageBreakBefore w:val="0"/>
              <w:widowControl w:val="0"/>
              <w:kinsoku/>
              <w:wordWrap/>
              <w:overflowPunct/>
              <w:topLinePunct w:val="0"/>
              <w:bidi w:val="0"/>
              <w:adjustRightInd/>
              <w:snapToGrid/>
              <w:spacing w:before="0" w:beforeLines="0" w:after="0" w:afterLines="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6）采购文件中提供的点位数量为暂定，结算时按中标单价及实际点位数计算。每个前端监控点位使用设备按实际情况可做适当调整。</w:t>
            </w:r>
          </w:p>
          <w:p>
            <w:pPr>
              <w:pStyle w:val="12"/>
              <w:keepNext w:val="0"/>
              <w:keepLines w:val="0"/>
              <w:pageBreakBefore w:val="0"/>
              <w:widowControl w:val="0"/>
              <w:kinsoku/>
              <w:wordWrap/>
              <w:overflowPunct/>
              <w:topLinePunct w:val="0"/>
              <w:bidi w:val="0"/>
              <w:adjustRightInd/>
              <w:snapToGrid/>
              <w:spacing w:before="0" w:beforeLines="0" w:after="0" w:afterLines="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7）不论投标结果如何，供应商均应自行承担所有与投标有关的全部费用；</w:t>
            </w:r>
          </w:p>
          <w:p>
            <w:pPr>
              <w:pStyle w:val="12"/>
              <w:keepNext w:val="0"/>
              <w:keepLines w:val="0"/>
              <w:pageBreakBefore w:val="0"/>
              <w:widowControl w:val="0"/>
              <w:kinsoku/>
              <w:wordWrap/>
              <w:overflowPunct/>
              <w:topLinePunct w:val="0"/>
              <w:bidi w:val="0"/>
              <w:adjustRightInd/>
              <w:snapToGrid/>
              <w:spacing w:before="0" w:beforeLines="0" w:after="0" w:afterLines="0" w:line="360" w:lineRule="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5）中标服务费的收取标准：招标公司按下表中</w:t>
            </w:r>
            <w:r>
              <w:rPr>
                <w:rFonts w:hint="eastAsia" w:ascii="宋体" w:hAnsi="宋体" w:cs="宋体"/>
                <w:color w:val="auto"/>
                <w:sz w:val="21"/>
                <w:szCs w:val="21"/>
                <w:highlight w:val="none"/>
                <w:lang w:val="en-US" w:eastAsia="zh-CN"/>
              </w:rPr>
              <w:t>服务</w:t>
            </w:r>
            <w:r>
              <w:rPr>
                <w:rFonts w:hint="eastAsia" w:ascii="宋体" w:hAnsi="宋体" w:eastAsia="宋体" w:cs="宋体"/>
                <w:color w:val="auto"/>
                <w:sz w:val="21"/>
                <w:szCs w:val="21"/>
                <w:highlight w:val="none"/>
                <w:lang w:val="en-US" w:eastAsia="zh-CN"/>
              </w:rPr>
              <w:t>招标的标准（按差额定率累进法计算），根据采购预算，向中标人收取中标服务费。</w:t>
            </w:r>
          </w:p>
          <w:tbl>
            <w:tblPr>
              <w:tblStyle w:val="23"/>
              <w:tblW w:w="7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451"/>
              <w:gridCol w:w="900"/>
              <w:gridCol w:w="90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34" w:hRule="atLeast"/>
                <w:jc w:val="center"/>
              </w:trPr>
              <w:tc>
                <w:tcPr>
                  <w:tcW w:w="4451" w:type="dxa"/>
                  <w:tcBorders>
                    <w:tl2br w:val="single" w:color="auto" w:sz="4" w:space="0"/>
                  </w:tcBorders>
                  <w:noWrap w:val="0"/>
                  <w:tcMar>
                    <w:top w:w="30" w:type="dxa"/>
                    <w:left w:w="150" w:type="dxa"/>
                    <w:bottom w:w="30" w:type="dxa"/>
                    <w:right w:w="150" w:type="dxa"/>
                  </w:tcMar>
                  <w:vAlign w:val="center"/>
                  <mc:AlternateContent>
                    <mc:Choice Requires="wpsCustomData">
                      <wpsCustomData:diagonals>
                        <wpsCustomData:diagonal from="16200" to="30000">
                          <wpsCustomData:border w:val="single" w:color="auto" w:sz="4" w:space="0"/>
                        </wpsCustomData:diagonal>
                        <wpsCustomData:diagonal from="10000" to="30000">
                          <wpsCustomData:border w:val="single" w:color="auto" w:sz="4" w:space="0"/>
                        </wpsCustomData:diagonal>
                      </wpsCustomData:diagonals>
                    </mc:Choice>
                  </mc:AlternateContent>
                </w:tcPr>
                <w:p>
                  <w:pPr>
                    <w:keepNext w:val="0"/>
                    <w:keepLines w:val="0"/>
                    <w:pageBreakBefore w:val="0"/>
                    <w:widowControl w:val="0"/>
                    <w:kinsoku/>
                    <w:wordWrap/>
                    <w:overflowPunct/>
                    <w:topLinePunct w:val="0"/>
                    <w:bidi w:val="0"/>
                    <w:adjustRightInd/>
                    <w:snapToGrid/>
                    <w:spacing w:beforeLines="0" w:afterLines="0" w:line="360" w:lineRule="auto"/>
                    <w:jc w:val="right"/>
                    <w:rPr>
                      <w:rFonts w:hint="eastAsia" w:ascii="宋体" w:hAnsi="宋体" w:eastAsia="宋体" w:cs="宋体"/>
                      <w:color w:val="auto"/>
                      <w:sz w:val="21"/>
                      <w:szCs w:val="21"/>
                      <w:highlight w:val="none"/>
                    </w:rPr>
                  </w:pPr>
                </w:p>
                <w:p>
                  <w:pPr>
                    <w:keepNext w:val="0"/>
                    <w:keepLines w:val="0"/>
                    <w:pageBreakBefore w:val="0"/>
                    <w:widowControl w:val="0"/>
                    <w:kinsoku/>
                    <w:wordWrap/>
                    <w:overflowPunct/>
                    <w:topLinePunct w:val="0"/>
                    <w:bidi w:val="0"/>
                    <w:adjustRightInd/>
                    <w:snapToGrid w:val="0"/>
                    <w:spacing w:beforeLines="0" w:afterLines="0" w:line="240" w:lineRule="auto"/>
                    <mc:AlternateContent>
                      <mc:Choice Requires="wpsCustomData">
                        <wpsCustomData:diagonalParaType/>
                      </mc:Choice>
                    </mc:AlternateConten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金额（万元）</w:t>
                  </w:r>
                </w:p>
                <w:p>
                  <w:pPr>
                    <w:keepNext w:val="0"/>
                    <w:keepLines w:val="0"/>
                    <w:pageBreakBefore w:val="0"/>
                    <w:widowControl w:val="0"/>
                    <w:kinsoku/>
                    <w:wordWrap/>
                    <w:overflowPunct/>
                    <w:topLinePunct w:val="0"/>
                    <w:bidi w:val="0"/>
                    <w:adjustRightInd/>
                    <w:snapToGrid w:val="0"/>
                    <w:spacing w:beforeLines="0" w:afterLines="0" w:line="240" w:lineRule="auto"/>
                    <mc:AlternateContent>
                      <mc:Choice Requires="wpsCustomData">
                        <wpsCustomData:diagonalParaType/>
                      </mc:Choice>
                    </mc:AlternateContent>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费率</w:t>
                  </w:r>
                </w:p>
                <w:p>
                  <w:pPr>
                    <w:keepNext w:val="0"/>
                    <w:keepLines w:val="0"/>
                    <w:pageBreakBefore w:val="0"/>
                    <w:widowControl w:val="0"/>
                    <w:kinsoku/>
                    <w:wordWrap/>
                    <w:overflowPunct/>
                    <w:topLinePunct w:val="0"/>
                    <w:bidi w:val="0"/>
                    <w:adjustRightInd/>
                    <w:snapToGrid/>
                    <w:spacing w:beforeLines="0" w:afterLines="0" w:line="360" w:lineRule="auto"/>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服务类型</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货物招标</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服务招标</w:t>
                  </w:r>
                </w:p>
              </w:tc>
              <w:tc>
                <w:tcPr>
                  <w:tcW w:w="82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b/>
                      <w:color w:val="auto"/>
                      <w:sz w:val="21"/>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51"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100以下</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82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51"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100-500</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0.8%</w:t>
                  </w:r>
                </w:p>
              </w:tc>
              <w:tc>
                <w:tcPr>
                  <w:tcW w:w="82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51"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500-1000</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0.8%</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0.45%</w:t>
                  </w:r>
                </w:p>
              </w:tc>
              <w:tc>
                <w:tcPr>
                  <w:tcW w:w="82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51"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1000-5000</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0.5%</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0.25%</w:t>
                  </w:r>
                </w:p>
              </w:tc>
              <w:tc>
                <w:tcPr>
                  <w:tcW w:w="82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51"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5000-10000</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0.25%</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0.1%</w:t>
                  </w:r>
                </w:p>
              </w:tc>
              <w:tc>
                <w:tcPr>
                  <w:tcW w:w="82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 w:hRule="atLeast"/>
                <w:jc w:val="center"/>
              </w:trPr>
              <w:tc>
                <w:tcPr>
                  <w:tcW w:w="4451"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1亿～5亿</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0.05%</w:t>
                  </w:r>
                </w:p>
              </w:tc>
              <w:tc>
                <w:tcPr>
                  <w:tcW w:w="900"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0.05%</w:t>
                  </w:r>
                </w:p>
              </w:tc>
              <w:tc>
                <w:tcPr>
                  <w:tcW w:w="828" w:type="dxa"/>
                  <w:noWrap w:val="0"/>
                  <w:tcMar>
                    <w:top w:w="30" w:type="dxa"/>
                    <w:left w:w="150" w:type="dxa"/>
                    <w:bottom w:w="30" w:type="dxa"/>
                    <w:right w:w="150" w:type="dxa"/>
                  </w:tcMar>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0.05%</w:t>
                  </w:r>
                </w:p>
              </w:tc>
            </w:tr>
          </w:tbl>
          <w:p>
            <w:pPr>
              <w:keepNext w:val="0"/>
              <w:keepLines w:val="0"/>
              <w:pageBreakBefore w:val="0"/>
              <w:widowControl w:val="0"/>
              <w:kinsoku/>
              <w:wordWrap/>
              <w:overflowPunct/>
              <w:topLinePunct w:val="0"/>
              <w:bidi w:val="0"/>
              <w:adjustRightInd/>
              <w:snapToGrid/>
              <w:spacing w:beforeLines="0" w:afterLines="0"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注：中标</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接到本公司通知后5个工作日内向本招标公司支付中标服务费，并领取中标通知书。中标服务费只收现金、银行票汇款、电汇款。</w:t>
            </w:r>
          </w:p>
          <w:p>
            <w:pPr>
              <w:keepNext w:val="0"/>
              <w:keepLines w:val="0"/>
              <w:pageBreakBefore w:val="0"/>
              <w:widowControl w:val="0"/>
              <w:kinsoku/>
              <w:wordWrap/>
              <w:overflowPunct/>
              <w:topLinePunct w:val="0"/>
              <w:bidi w:val="0"/>
              <w:adjustRightInd/>
              <w:snapToGrid/>
              <w:spacing w:beforeLines="0" w:afterLines="0" w:line="360" w:lineRule="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6）采购代理机构财务信息：</w:t>
            </w:r>
          </w:p>
          <w:p>
            <w:pPr>
              <w:keepNext w:val="0"/>
              <w:keepLines w:val="0"/>
              <w:pageBreakBefore w:val="0"/>
              <w:widowControl w:val="0"/>
              <w:kinsoku/>
              <w:wordWrap/>
              <w:overflowPunct/>
              <w:topLinePunct w:val="0"/>
              <w:bidi w:val="0"/>
              <w:adjustRightInd/>
              <w:snapToGrid/>
              <w:spacing w:beforeLines="0" w:afterLines="0" w:line="360" w:lineRule="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开户银行：宁波银行股份有限公司鄞州中心区支行</w:t>
            </w:r>
          </w:p>
          <w:p>
            <w:pPr>
              <w:keepNext w:val="0"/>
              <w:keepLines w:val="0"/>
              <w:pageBreakBefore w:val="0"/>
              <w:widowControl w:val="0"/>
              <w:kinsoku/>
              <w:wordWrap/>
              <w:overflowPunct/>
              <w:topLinePunct w:val="0"/>
              <w:bidi w:val="0"/>
              <w:adjustRightInd/>
              <w:snapToGrid/>
              <w:spacing w:beforeLines="0" w:afterLines="0" w:line="360" w:lineRule="auto"/>
              <w:outlineLvl w:val="9"/>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帐    号： 30010122001229488</w:t>
            </w:r>
          </w:p>
          <w:p>
            <w:pPr>
              <w:keepNext w:val="0"/>
              <w:keepLines w:val="0"/>
              <w:pageBreakBefore w:val="0"/>
              <w:widowControl w:val="0"/>
              <w:kinsoku/>
              <w:wordWrap/>
              <w:overflowPunct/>
              <w:topLinePunct w:val="0"/>
              <w:bidi w:val="0"/>
              <w:adjustRightInd/>
              <w:snapToGrid/>
              <w:spacing w:beforeLines="0" w:afterLines="0" w:line="360" w:lineRule="auto"/>
              <w:outlineLvl w:val="9"/>
              <w:rPr>
                <w:rFonts w:hint="eastAsia" w:ascii="宋体" w:hAnsi="宋体" w:eastAsia="宋体" w:cs="宋体"/>
                <w:color w:val="auto"/>
                <w:sz w:val="21"/>
                <w:szCs w:val="21"/>
                <w:highlight w:val="none"/>
              </w:rPr>
            </w:pPr>
            <w:r>
              <w:rPr>
                <w:rFonts w:hint="eastAsia" w:ascii="宋体" w:hAnsi="宋体" w:eastAsia="宋体" w:cs="宋体"/>
                <w:color w:val="auto"/>
                <w:szCs w:val="21"/>
                <w:highlight w:val="none"/>
                <w:lang w:val="en-US" w:eastAsia="zh-CN"/>
              </w:rPr>
              <w:t>户    名： 浙江中基正采管理咨询有限公司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投标文件组成</w:t>
            </w:r>
            <w:r>
              <w:rPr>
                <w:rFonts w:hint="eastAsia" w:ascii="宋体" w:hAnsi="宋体" w:eastAsia="宋体" w:cs="宋体"/>
                <w:color w:val="auto"/>
                <w:sz w:val="21"/>
                <w:szCs w:val="21"/>
                <w:highlight w:val="none"/>
                <w:lang w:val="en-US" w:eastAsia="zh-CN"/>
              </w:rPr>
              <w:t>与份数</w:t>
            </w:r>
            <w:r>
              <w:rPr>
                <w:rFonts w:hint="eastAsia" w:ascii="宋体" w:hAnsi="宋体" w:eastAsia="宋体" w:cs="宋体"/>
                <w:color w:val="auto"/>
                <w:sz w:val="21"/>
                <w:szCs w:val="21"/>
                <w:highlight w:val="none"/>
              </w:rPr>
              <w:t>：</w:t>
            </w:r>
          </w:p>
          <w:p>
            <w:pPr>
              <w:keepNext w:val="0"/>
              <w:keepLines w:val="0"/>
              <w:pageBreakBefore w:val="0"/>
              <w:widowControl w:val="0"/>
              <w:numPr>
                <w:ilvl w:val="0"/>
                <w:numId w:val="9"/>
              </w:numPr>
              <w:kinsoku/>
              <w:wordWrap/>
              <w:overflowPunct/>
              <w:topLinePunct w:val="0"/>
              <w:autoSpaceDE w:val="0"/>
              <w:autoSpaceDN w:val="0"/>
              <w:bidi w:val="0"/>
              <w:adjustRightInd/>
              <w:snapToGrid/>
              <w:spacing w:beforeLines="0" w:afterLines="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上传到政府采购云平台的电子投标文件（含资格文件、商务技术文件、报价文件）1份。</w:t>
            </w:r>
          </w:p>
          <w:p>
            <w:pPr>
              <w:keepNext w:val="0"/>
              <w:keepLines w:val="0"/>
              <w:pageBreakBefore w:val="0"/>
              <w:widowControl w:val="0"/>
              <w:numPr>
                <w:ilvl w:val="0"/>
                <w:numId w:val="9"/>
              </w:numPr>
              <w:kinsoku/>
              <w:wordWrap/>
              <w:overflowPunct/>
              <w:topLinePunct w:val="0"/>
              <w:autoSpaceDE w:val="0"/>
              <w:autoSpaceDN w:val="0"/>
              <w:bidi w:val="0"/>
              <w:adjustRightInd/>
              <w:snapToGrid/>
              <w:spacing w:beforeLines="0" w:afterLines="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以U盘存储的电子备份投标文件（含资格文件、商务技术文件、报价文件）1份。</w:t>
            </w:r>
          </w:p>
          <w:p>
            <w:pPr>
              <w:keepNext w:val="0"/>
              <w:keepLines w:val="0"/>
              <w:pageBreakBefore w:val="0"/>
              <w:widowControl w:val="0"/>
              <w:numPr>
                <w:ilvl w:val="0"/>
                <w:numId w:val="9"/>
              </w:numPr>
              <w:kinsoku/>
              <w:wordWrap/>
              <w:overflowPunct/>
              <w:topLinePunct w:val="0"/>
              <w:autoSpaceDE w:val="0"/>
              <w:autoSpaceDN w:val="0"/>
              <w:bidi w:val="0"/>
              <w:adjustRightInd/>
              <w:snapToGrid/>
              <w:spacing w:beforeLines="0" w:afterLines="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纸质备份投标文件：资格、商务技术文件（正本1份，副本4份）、报价文件（正本1份，副本4份）。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评标结果公示：评标结束后，评标结果公示于浙江政府采购网、宁波政府采购网、宁波公共资源交易</w:t>
            </w:r>
            <w:r>
              <w:rPr>
                <w:rFonts w:hint="eastAsia" w:ascii="宋体" w:hAnsi="宋体" w:eastAsia="宋体" w:cs="宋体"/>
                <w:color w:val="auto"/>
                <w:sz w:val="21"/>
                <w:szCs w:val="21"/>
                <w:highlight w:val="none"/>
                <w:lang w:val="en-US" w:eastAsia="zh-CN"/>
              </w:rPr>
              <w:t>网</w:t>
            </w:r>
            <w:r>
              <w:rPr>
                <w:rFonts w:hint="eastAsia" w:ascii="宋体" w:hAnsi="宋体" w:eastAsia="宋体" w:cs="宋体"/>
                <w:color w:val="auto"/>
                <w:sz w:val="21"/>
                <w:szCs w:val="21"/>
                <w:highlight w:val="none"/>
              </w:rPr>
              <w:t>宁海</w:t>
            </w:r>
            <w:r>
              <w:rPr>
                <w:rFonts w:hint="eastAsia" w:ascii="宋体" w:hAnsi="宋体" w:eastAsia="宋体" w:cs="宋体"/>
                <w:color w:val="auto"/>
                <w:sz w:val="21"/>
                <w:szCs w:val="21"/>
                <w:highlight w:val="none"/>
                <w:lang w:val="en-US" w:eastAsia="zh-CN"/>
              </w:rPr>
              <w:t>县分网</w:t>
            </w:r>
            <w:r>
              <w:rPr>
                <w:rFonts w:hint="eastAsia" w:ascii="宋体" w:hAnsi="宋体" w:eastAsia="宋体" w:cs="宋体"/>
                <w:color w:val="auto"/>
                <w:sz w:val="21"/>
                <w:szCs w:val="21"/>
                <w:highlight w:val="none"/>
              </w:rPr>
              <w:t>、</w:t>
            </w:r>
            <w:r>
              <w:rPr>
                <w:rFonts w:hint="eastAsia" w:ascii="宋体" w:hAnsi="宋体" w:cs="宋体"/>
                <w:color w:val="auto"/>
                <w:sz w:val="21"/>
                <w:szCs w:val="21"/>
                <w:highlight w:val="none"/>
                <w:lang w:eastAsia="zh-CN"/>
              </w:rPr>
              <w:t>浙江中基正采管理咨询有限公司</w:t>
            </w:r>
            <w:r>
              <w:rPr>
                <w:rFonts w:hint="eastAsia" w:ascii="宋体" w:hAnsi="宋体" w:eastAsia="宋体" w:cs="宋体"/>
                <w:color w:val="auto"/>
                <w:sz w:val="21"/>
                <w:szCs w:val="21"/>
                <w:highlight w:val="none"/>
                <w:lang w:eastAsia="zh-CN"/>
              </w:rPr>
              <w:t>网</w:t>
            </w:r>
            <w:r>
              <w:rPr>
                <w:rFonts w:hint="eastAsia" w:ascii="宋体" w:hAnsi="宋体" w:eastAsia="宋体" w:cs="宋体"/>
                <w:color w:val="auto"/>
                <w:sz w:val="21"/>
                <w:szCs w:val="21"/>
                <w:highlight w:val="none"/>
              </w:rPr>
              <w:t>等网站。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360" w:lineRule="auto"/>
              <w:textAlignment w:val="bottom"/>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签订合同时间：中标通知书发出后</w:t>
            </w:r>
            <w:r>
              <w:rPr>
                <w:rFonts w:hint="eastAsia" w:ascii="宋体" w:hAnsi="宋体" w:eastAsia="宋体" w:cs="宋体"/>
                <w:color w:val="auto"/>
                <w:sz w:val="21"/>
                <w:szCs w:val="21"/>
                <w:highlight w:val="none"/>
                <w:u w:val="single"/>
              </w:rPr>
              <w:t>30</w:t>
            </w:r>
            <w:r>
              <w:rPr>
                <w:rFonts w:hint="eastAsia" w:ascii="宋体" w:hAnsi="宋体" w:eastAsia="宋体" w:cs="宋体"/>
                <w:color w:val="auto"/>
                <w:sz w:val="21"/>
                <w:szCs w:val="21"/>
                <w:highlight w:val="none"/>
              </w:rPr>
              <w:t>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360" w:lineRule="auto"/>
              <w:textAlignment w:val="bottom"/>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采购资金来源：</w:t>
            </w:r>
            <w:r>
              <w:rPr>
                <w:rFonts w:hint="eastAsia" w:ascii="宋体" w:hAnsi="宋体" w:eastAsia="宋体" w:cs="宋体"/>
                <w:color w:val="auto"/>
                <w:sz w:val="21"/>
                <w:szCs w:val="21"/>
                <w:highlight w:val="none"/>
                <w:lang w:eastAsia="zh-CN"/>
              </w:rPr>
              <w:t>自筹资金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758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bidi w:val="0"/>
              <w:adjustRightInd/>
              <w:snapToGrid/>
              <w:spacing w:beforeLines="0" w:afterLines="0"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投标文件有效期：90天。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842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val="0"/>
              <w:autoSpaceDN w:val="0"/>
              <w:bidi w:val="0"/>
              <w:adjustRightInd/>
              <w:snapToGrid/>
              <w:spacing w:beforeLines="0" w:afterLines="0" w:line="360" w:lineRule="auto"/>
              <w:jc w:val="left"/>
              <w:textAlignment w:val="bottom"/>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解释：本</w:t>
            </w:r>
            <w:r>
              <w:rPr>
                <w:rFonts w:hint="eastAsia" w:ascii="宋体" w:hAnsi="宋体" w:eastAsia="宋体" w:cs="宋体"/>
                <w:b/>
                <w:bCs/>
                <w:color w:val="auto"/>
                <w:sz w:val="21"/>
                <w:szCs w:val="21"/>
                <w:highlight w:val="none"/>
                <w:lang w:eastAsia="zh-CN"/>
              </w:rPr>
              <w:t>招标文件</w:t>
            </w:r>
            <w:r>
              <w:rPr>
                <w:rFonts w:hint="eastAsia" w:ascii="宋体" w:hAnsi="宋体" w:eastAsia="宋体" w:cs="宋体"/>
                <w:b/>
                <w:bCs/>
                <w:color w:val="auto"/>
                <w:sz w:val="21"/>
                <w:szCs w:val="21"/>
                <w:highlight w:val="none"/>
              </w:rPr>
              <w:t>的解释权属于招标采购单位。</w:t>
            </w:r>
          </w:p>
        </w:tc>
      </w:tr>
    </w:tbl>
    <w:p>
      <w:pPr>
        <w:pStyle w:val="14"/>
        <w:snapToGrid w:val="0"/>
        <w:spacing w:before="0" w:beforeLines="0" w:after="0" w:afterLines="0" w:line="240" w:lineRule="auto"/>
        <w:rPr>
          <w:rFonts w:hint="eastAsia" w:ascii="宋体" w:hAnsi="宋体" w:eastAsia="宋体" w:cs="宋体"/>
          <w:color w:val="auto"/>
          <w:highlight w:val="none"/>
        </w:rPr>
      </w:pPr>
    </w:p>
    <w:p>
      <w:pPr>
        <w:pStyle w:val="14"/>
        <w:snapToGrid w:val="0"/>
        <w:spacing w:before="0" w:beforeLines="0" w:after="0" w:afterLines="0" w:line="360" w:lineRule="auto"/>
        <w:rPr>
          <w:rFonts w:hint="eastAsia" w:ascii="宋体" w:hAnsi="宋体" w:eastAsia="宋体" w:cs="宋体"/>
          <w:b/>
          <w:color w:val="auto"/>
          <w:highlight w:val="none"/>
        </w:rPr>
      </w:pPr>
      <w:r>
        <w:rPr>
          <w:rFonts w:hint="eastAsia" w:ascii="宋体" w:hAnsi="宋体" w:eastAsia="宋体" w:cs="宋体"/>
          <w:b/>
          <w:color w:val="auto"/>
          <w:highlight w:val="none"/>
        </w:rPr>
        <w:br w:type="page"/>
      </w:r>
      <w:r>
        <w:rPr>
          <w:rFonts w:hint="eastAsia" w:ascii="宋体" w:hAnsi="宋体" w:eastAsia="宋体" w:cs="宋体"/>
          <w:b/>
          <w:color w:val="auto"/>
          <w:highlight w:val="none"/>
        </w:rPr>
        <w:t>一   总  则</w:t>
      </w:r>
    </w:p>
    <w:p>
      <w:pPr>
        <w:snapToGrid w:val="0"/>
        <w:spacing w:line="360" w:lineRule="auto"/>
        <w:ind w:firstLine="413" w:firstLineChars="196"/>
        <w:jc w:val="left"/>
        <w:rPr>
          <w:rFonts w:hint="eastAsia" w:ascii="宋体" w:hAnsi="宋体" w:eastAsia="宋体" w:cs="宋体"/>
          <w:b/>
          <w:color w:val="auto"/>
          <w:szCs w:val="21"/>
          <w:highlight w:val="none"/>
        </w:rPr>
      </w:pPr>
      <w:bookmarkStart w:id="64" w:name="_Toc1476"/>
      <w:r>
        <w:rPr>
          <w:rFonts w:hint="eastAsia" w:ascii="宋体" w:hAnsi="宋体" w:eastAsia="宋体" w:cs="宋体"/>
          <w:b/>
          <w:color w:val="auto"/>
          <w:szCs w:val="21"/>
          <w:highlight w:val="none"/>
        </w:rPr>
        <w:t>（一） 适用范围</w:t>
      </w:r>
      <w:bookmarkEnd w:id="64"/>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适用于本项目的招标、投标、评标、定标、验收、合同履约、付款等行为（法律、法规另有规定的，从其规定）。</w:t>
      </w:r>
    </w:p>
    <w:p>
      <w:pPr>
        <w:snapToGrid w:val="0"/>
        <w:spacing w:line="360" w:lineRule="auto"/>
        <w:ind w:firstLine="310" w:firstLineChars="147"/>
        <w:jc w:val="left"/>
        <w:rPr>
          <w:rFonts w:hint="eastAsia" w:ascii="宋体" w:hAnsi="宋体" w:eastAsia="宋体" w:cs="宋体"/>
          <w:b/>
          <w:color w:val="auto"/>
          <w:szCs w:val="21"/>
          <w:highlight w:val="none"/>
        </w:rPr>
      </w:pPr>
      <w:bookmarkStart w:id="65" w:name="_Toc7571"/>
      <w:r>
        <w:rPr>
          <w:rFonts w:hint="eastAsia" w:ascii="宋体" w:hAnsi="宋体" w:eastAsia="宋体" w:cs="宋体"/>
          <w:b/>
          <w:color w:val="auto"/>
          <w:szCs w:val="21"/>
          <w:highlight w:val="none"/>
        </w:rPr>
        <w:t>（二）定义</w:t>
      </w:r>
      <w:bookmarkEnd w:id="65"/>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“招标采购单位”系指组织本次招标的采购代理机构和采购人。</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”系指向采购人提交投标文件的单位或个人。</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“产品”系指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按</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规定，须向采购人提供的一切设备、保险、税金、备品备件、工具、手册及其它有关技术资料和材料。</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“服务”系指</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规定</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须承担的安装、调试、技术协助、校准、培训、技术指导以及其他类似的义务。</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“项目”系指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按</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规定向采购人提供的产品和服务。</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“书面形式”包括信函、传真、</w:t>
      </w:r>
      <w:r>
        <w:rPr>
          <w:rFonts w:hint="eastAsia" w:ascii="宋体" w:hAnsi="宋体" w:eastAsia="宋体" w:cs="宋体"/>
          <w:color w:val="auto"/>
          <w:szCs w:val="21"/>
          <w:highlight w:val="none"/>
          <w:lang w:eastAsia="zh-CN"/>
        </w:rPr>
        <w:t>电函</w:t>
      </w:r>
      <w:r>
        <w:rPr>
          <w:rFonts w:hint="eastAsia" w:ascii="宋体" w:hAnsi="宋体" w:eastAsia="宋体" w:cs="宋体"/>
          <w:color w:val="auto"/>
          <w:szCs w:val="21"/>
          <w:highlight w:val="none"/>
        </w:rPr>
        <w:t>等。</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“★”系指实质性要求条款，</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的投标对任何带“★”号的重要商务和技术条款的偏离和未作实质性响应都将直接导致</w:t>
      </w:r>
      <w:r>
        <w:rPr>
          <w:rFonts w:hint="eastAsia" w:ascii="宋体" w:hAnsi="宋体" w:eastAsia="宋体" w:cs="宋体"/>
          <w:color w:val="auto"/>
          <w:szCs w:val="21"/>
          <w:highlight w:val="none"/>
          <w:lang w:val="en-US" w:eastAsia="zh-CN"/>
        </w:rPr>
        <w:t>投标无效</w:t>
      </w:r>
      <w:r>
        <w:rPr>
          <w:rFonts w:hint="eastAsia" w:ascii="宋体" w:hAnsi="宋体" w:eastAsia="宋体" w:cs="宋体"/>
          <w:color w:val="auto"/>
          <w:szCs w:val="21"/>
          <w:highlight w:val="none"/>
        </w:rPr>
        <w:t>。</w:t>
      </w:r>
    </w:p>
    <w:p>
      <w:pPr>
        <w:snapToGrid w:val="0"/>
        <w:spacing w:line="360" w:lineRule="auto"/>
        <w:ind w:firstLine="413" w:firstLineChars="196"/>
        <w:jc w:val="left"/>
        <w:rPr>
          <w:rFonts w:hint="eastAsia" w:ascii="宋体" w:hAnsi="宋体" w:eastAsia="宋体" w:cs="宋体"/>
          <w:b/>
          <w:color w:val="auto"/>
          <w:szCs w:val="21"/>
          <w:highlight w:val="none"/>
        </w:rPr>
      </w:pPr>
      <w:bookmarkStart w:id="66" w:name="_Toc20685"/>
      <w:r>
        <w:rPr>
          <w:rFonts w:hint="eastAsia" w:ascii="宋体" w:hAnsi="宋体" w:eastAsia="宋体" w:cs="宋体"/>
          <w:b/>
          <w:color w:val="auto"/>
          <w:szCs w:val="21"/>
          <w:highlight w:val="none"/>
        </w:rPr>
        <w:t>（三）招标方式</w:t>
      </w:r>
      <w:bookmarkEnd w:id="66"/>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本次招标采用公开招标方式进行。</w:t>
      </w:r>
    </w:p>
    <w:p>
      <w:pPr>
        <w:snapToGrid w:val="0"/>
        <w:spacing w:line="360" w:lineRule="auto"/>
        <w:ind w:firstLine="413" w:firstLineChars="196"/>
        <w:jc w:val="left"/>
        <w:rPr>
          <w:rFonts w:hint="eastAsia" w:ascii="宋体" w:hAnsi="宋体" w:eastAsia="宋体" w:cs="宋体"/>
          <w:b/>
          <w:color w:val="auto"/>
          <w:szCs w:val="21"/>
          <w:highlight w:val="none"/>
        </w:rPr>
      </w:pPr>
      <w:bookmarkStart w:id="67" w:name="_Toc21721"/>
      <w:r>
        <w:rPr>
          <w:rFonts w:hint="eastAsia" w:ascii="宋体" w:hAnsi="宋体" w:eastAsia="宋体" w:cs="宋体"/>
          <w:b/>
          <w:color w:val="auto"/>
          <w:szCs w:val="21"/>
          <w:highlight w:val="none"/>
        </w:rPr>
        <w:t>（四）投标委托</w:t>
      </w:r>
      <w:bookmarkEnd w:id="67"/>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如</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派授权代表出席开标会议</w:t>
      </w:r>
      <w:r>
        <w:rPr>
          <w:rFonts w:hint="eastAsia" w:ascii="宋体" w:hAnsi="宋体" w:eastAsia="宋体" w:cs="宋体"/>
          <w:color w:val="auto"/>
          <w:szCs w:val="21"/>
          <w:highlight w:val="none"/>
          <w:lang w:eastAsia="zh-CN"/>
        </w:rPr>
        <w:t>，授权代表</w:t>
      </w:r>
      <w:r>
        <w:rPr>
          <w:rFonts w:hint="eastAsia" w:ascii="宋体" w:hAnsi="宋体" w:eastAsia="宋体" w:cs="宋体"/>
          <w:color w:val="auto"/>
          <w:szCs w:val="21"/>
          <w:highlight w:val="none"/>
        </w:rPr>
        <w:t>须携带有效身份证件。如</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代表不是法定代表人，须有法定代表人出具的授权委托书（正本用原件，副本用复印件，格式见第六章）。</w:t>
      </w:r>
    </w:p>
    <w:p>
      <w:pPr>
        <w:snapToGrid w:val="0"/>
        <w:spacing w:line="360" w:lineRule="auto"/>
        <w:ind w:firstLine="413" w:firstLineChars="196"/>
        <w:jc w:val="left"/>
        <w:rPr>
          <w:rFonts w:hint="eastAsia" w:ascii="宋体" w:hAnsi="宋体" w:eastAsia="宋体" w:cs="宋体"/>
          <w:b/>
          <w:color w:val="auto"/>
          <w:szCs w:val="21"/>
          <w:highlight w:val="none"/>
        </w:rPr>
      </w:pPr>
      <w:bookmarkStart w:id="68" w:name="_Toc1659"/>
      <w:r>
        <w:rPr>
          <w:rFonts w:hint="eastAsia" w:ascii="宋体" w:hAnsi="宋体" w:eastAsia="宋体" w:cs="宋体"/>
          <w:b/>
          <w:color w:val="auto"/>
          <w:szCs w:val="21"/>
          <w:highlight w:val="none"/>
        </w:rPr>
        <w:t>（五）投标费用</w:t>
      </w:r>
      <w:bookmarkEnd w:id="68"/>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不论投标结果如何，</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均应自行承担所有与投标有关的全部费用（</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有其他规定除外）。</w:t>
      </w:r>
    </w:p>
    <w:p>
      <w:pPr>
        <w:snapToGrid w:val="0"/>
        <w:spacing w:line="360" w:lineRule="auto"/>
        <w:ind w:firstLine="413" w:firstLineChars="196"/>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（六）联合体投标</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本项目不允许联合体投标。</w:t>
      </w:r>
    </w:p>
    <w:p>
      <w:pPr>
        <w:snapToGrid w:val="0"/>
        <w:spacing w:line="360" w:lineRule="auto"/>
        <w:ind w:firstLine="413" w:firstLineChars="196"/>
        <w:rPr>
          <w:rFonts w:hint="eastAsia" w:ascii="宋体" w:hAnsi="宋体" w:eastAsia="宋体" w:cs="宋体"/>
          <w:b/>
          <w:color w:val="auto"/>
          <w:kern w:val="0"/>
          <w:szCs w:val="21"/>
          <w:highlight w:val="none"/>
        </w:rPr>
      </w:pPr>
      <w:r>
        <w:rPr>
          <w:rFonts w:hint="eastAsia" w:ascii="宋体" w:hAnsi="宋体" w:eastAsia="宋体" w:cs="宋体"/>
          <w:b/>
          <w:color w:val="auto"/>
          <w:szCs w:val="21"/>
          <w:highlight w:val="none"/>
        </w:rPr>
        <w:t>（七）</w:t>
      </w:r>
      <w:r>
        <w:rPr>
          <w:rFonts w:hint="eastAsia" w:ascii="宋体" w:hAnsi="宋体" w:eastAsia="宋体" w:cs="宋体"/>
          <w:b/>
          <w:color w:val="auto"/>
          <w:kern w:val="0"/>
          <w:szCs w:val="21"/>
          <w:highlight w:val="none"/>
        </w:rPr>
        <w:t>转包与分包</w:t>
      </w:r>
    </w:p>
    <w:p>
      <w:pPr>
        <w:snapToGrid w:val="0"/>
        <w:spacing w:line="360" w:lineRule="auto"/>
        <w:ind w:firstLine="411" w:firstLineChars="196"/>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rPr>
        <w:t>本项目不允许转包</w:t>
      </w:r>
      <w:r>
        <w:rPr>
          <w:rFonts w:hint="eastAsia" w:ascii="宋体" w:hAnsi="宋体" w:eastAsia="宋体" w:cs="宋体"/>
          <w:color w:val="auto"/>
          <w:kern w:val="0"/>
          <w:szCs w:val="21"/>
          <w:highlight w:val="none"/>
          <w:lang w:eastAsia="zh-CN"/>
        </w:rPr>
        <w:t>；未经采购人同意不得分包</w:t>
      </w:r>
      <w:r>
        <w:rPr>
          <w:rFonts w:hint="eastAsia" w:ascii="宋体" w:hAnsi="宋体" w:eastAsia="宋体" w:cs="宋体"/>
          <w:color w:val="auto"/>
          <w:kern w:val="0"/>
          <w:szCs w:val="21"/>
          <w:highlight w:val="none"/>
        </w:rPr>
        <w:t>。</w:t>
      </w:r>
    </w:p>
    <w:p>
      <w:pPr>
        <w:snapToGrid w:val="0"/>
        <w:spacing w:line="360" w:lineRule="auto"/>
        <w:ind w:firstLine="413" w:firstLineChars="196"/>
        <w:jc w:val="left"/>
        <w:rPr>
          <w:rFonts w:hint="eastAsia" w:ascii="宋体" w:hAnsi="宋体" w:eastAsia="宋体" w:cs="宋体"/>
          <w:b/>
          <w:color w:val="auto"/>
          <w:szCs w:val="21"/>
          <w:highlight w:val="none"/>
        </w:rPr>
      </w:pPr>
      <w:bookmarkStart w:id="69" w:name="_Toc13174"/>
      <w:r>
        <w:rPr>
          <w:rFonts w:hint="eastAsia" w:ascii="宋体" w:hAnsi="宋体" w:eastAsia="宋体" w:cs="宋体"/>
          <w:b/>
          <w:color w:val="auto"/>
          <w:szCs w:val="21"/>
          <w:highlight w:val="none"/>
        </w:rPr>
        <w:t>（八）特别说明：</w:t>
      </w:r>
      <w:bookmarkEnd w:id="69"/>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1、提供相同品牌产品且通过资格审查、符合性审查的不同</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参加同一合同项下投标的，按一家</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计算。(如适用)</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若采用综合评分法进行评审的，评审后得分最高的同品牌</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获得中标人推荐资格；评审得分相同的，由评标委员会按照</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规定的方式确定一个</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获得中标人的推荐资格，</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未规定的采取随机抽取的方式确定，其他同品牌</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不作为中标候选人。</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若采用最低评标价法进行评审的，以报价最低的</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参加评审，报价相同的，由评标委员会按照</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规定的方式确定一个</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获得中标人的推荐资格，</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未规定的采取随机抽取的方式确定，其他投标无效。</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 xml:space="preserve"> 非单一产品采购项目，</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使用相同制造产品（相同制造产品是指</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中指定的“核心产品”）作为其项目的一部分，按一家</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认定。</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在投标活动中提供任何虚假材料,其投标无效，并报监管部门查处；中标后发现的,中标人须依照相关规定赔偿采购人，且民事赔偿并不免除违法</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的行政与刑事责任。</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 xml:space="preserve">的澄清与修改 </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（1）采购人或者采购代理机构对</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进行必要的澄清或者修改的，澄清或者修改在原公告发布媒体上发布澄清公告。澄清或者修改的内容可能影响投标文件编制的，澄清公告</w:t>
      </w:r>
      <w:r>
        <w:rPr>
          <w:rFonts w:hint="eastAsia" w:ascii="宋体" w:hAnsi="宋体" w:eastAsia="宋体" w:cs="宋体"/>
          <w:color w:val="auto"/>
          <w:kern w:val="1"/>
          <w:highlight w:val="none"/>
        </w:rPr>
        <w:t>在投标截止时间至少15日前发出；</w:t>
      </w:r>
      <w:r>
        <w:rPr>
          <w:rFonts w:hint="eastAsia" w:ascii="宋体" w:hAnsi="宋体" w:eastAsia="宋体" w:cs="宋体"/>
          <w:bCs/>
          <w:color w:val="auto"/>
          <w:highlight w:val="none"/>
        </w:rPr>
        <w:t>不足15日的，顺延提交投标文件的截止时间。</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2</w:t>
      </w:r>
      <w:r>
        <w:rPr>
          <w:rFonts w:hint="eastAsia" w:ascii="宋体" w:hAnsi="宋体" w:eastAsia="宋体" w:cs="宋体"/>
          <w:bCs/>
          <w:color w:val="auto"/>
          <w:highlight w:val="none"/>
        </w:rPr>
        <w:t>）澄清公告为</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的组成部分，一经在网站发布，视同已通知所有</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的收受人，不再采用其它方式传达相关信息, 若因未能及时了解到上述网站上发布的相关信息而导致的一切后果自行承担。</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3</w:t>
      </w:r>
      <w:r>
        <w:rPr>
          <w:rFonts w:hint="eastAsia" w:ascii="宋体" w:hAnsi="宋体" w:eastAsia="宋体" w:cs="宋体"/>
          <w:bCs/>
          <w:color w:val="auto"/>
          <w:highlight w:val="none"/>
        </w:rPr>
        <w:t>）</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澄清、答复、修改、补充的内容为</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的组成部分。当</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与</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的答复、澄清、修改、补充通知就同一内容的表述不一致时，以最后发出的澄清公告为准。</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w:t>
      </w:r>
      <w:r>
        <w:rPr>
          <w:rFonts w:hint="eastAsia" w:ascii="宋体" w:hAnsi="宋体" w:eastAsia="宋体" w:cs="宋体"/>
          <w:bCs/>
          <w:color w:val="auto"/>
          <w:highlight w:val="none"/>
          <w:lang w:val="en-US" w:eastAsia="zh-CN"/>
        </w:rPr>
        <w:t>4</w:t>
      </w:r>
      <w:r>
        <w:rPr>
          <w:rFonts w:hint="eastAsia" w:ascii="宋体" w:hAnsi="宋体" w:eastAsia="宋体" w:cs="宋体"/>
          <w:bCs/>
          <w:color w:val="auto"/>
          <w:highlight w:val="none"/>
        </w:rPr>
        <w:t>）</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的澄清、答复、修改或补充都应该通过本代理机构以法定形式发布，采购人非通过本机构，不得擅自澄清、答复、修改或补充</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4、关于分公司投标</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5、关于知识产权</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必须保证，采购人在中华人民共和国境内使用投标货物、资料、技术、服务或其任何一部分时，享有不受限制的无偿使用权，如有第三方向采购人提出侵犯其专利权、商标权或其它知识产权的主张，该责任应由</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承担。</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（2）投标报价应包含所有应向所有权人支付的专利权、商标权或其它知识产权的一切相关费用。</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（3）系统软件、通用软件必须是具有在中国境内的合法使用权或版权的正版软件，涉及到第三方提出侵权或知识产权的起诉及支付版税等费用由</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承担所有责任及费用。</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6、</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的风险</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（1）</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应详细阅读</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中的全部内容和要求，按照</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的要求提交投标文件，没有按照</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要求提供投标文件和资料导致的风险由</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承担,并对所提供的全部资料的真实性承担法律责任。</w:t>
      </w:r>
    </w:p>
    <w:p>
      <w:pPr>
        <w:pStyle w:val="14"/>
        <w:snapToGrid w:val="0"/>
        <w:spacing w:before="0" w:beforeLines="0" w:after="0" w:afterLines="0" w:line="360" w:lineRule="auto"/>
        <w:ind w:left="2" w:leftChars="1"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（2）无论因何种原因导致本次采购活动终止致</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损失的，相关责任人均不承担任何责任。</w:t>
      </w:r>
    </w:p>
    <w:p>
      <w:pPr>
        <w:pStyle w:val="14"/>
        <w:snapToGrid w:val="0"/>
        <w:spacing w:before="0" w:beforeLines="0" w:after="0" w:afterLines="0" w:line="360" w:lineRule="auto"/>
        <w:ind w:left="2" w:leftChars="1" w:firstLine="420" w:firstLineChars="200"/>
        <w:rPr>
          <w:rFonts w:hint="eastAsia" w:ascii="宋体" w:hAnsi="宋体" w:eastAsia="宋体" w:cs="宋体"/>
          <w:b/>
          <w:color w:val="auto"/>
          <w:highlight w:val="none"/>
        </w:rPr>
      </w:pPr>
      <w:r>
        <w:rPr>
          <w:rFonts w:hint="eastAsia" w:ascii="宋体" w:hAnsi="宋体" w:eastAsia="宋体" w:cs="宋体"/>
          <w:bCs/>
          <w:color w:val="auto"/>
          <w:highlight w:val="none"/>
        </w:rPr>
        <w:t>7、解释：本</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的解释权属于采购人。</w:t>
      </w:r>
    </w:p>
    <w:p>
      <w:pPr>
        <w:pStyle w:val="14"/>
        <w:snapToGrid w:val="0"/>
        <w:spacing w:before="0" w:beforeLines="0" w:after="0" w:afterLines="0" w:line="360" w:lineRule="auto"/>
        <w:ind w:firstLine="413" w:firstLineChars="196"/>
        <w:rPr>
          <w:rFonts w:hint="eastAsia" w:ascii="宋体" w:hAnsi="宋体" w:eastAsia="宋体" w:cs="宋体"/>
          <w:b/>
          <w:bCs/>
          <w:color w:val="auto"/>
          <w:highlight w:val="none"/>
        </w:rPr>
      </w:pPr>
      <w:bookmarkStart w:id="70" w:name="_Toc13650"/>
      <w:r>
        <w:rPr>
          <w:rFonts w:hint="eastAsia" w:ascii="宋体" w:hAnsi="宋体" w:eastAsia="宋体" w:cs="宋体"/>
          <w:b/>
          <w:bCs/>
          <w:color w:val="auto"/>
          <w:highlight w:val="none"/>
        </w:rPr>
        <w:t>（九）质疑和投诉</w:t>
      </w:r>
      <w:bookmarkEnd w:id="70"/>
    </w:p>
    <w:p>
      <w:pPr>
        <w:spacing w:line="360" w:lineRule="auto"/>
        <w:ind w:firstLine="420" w:firstLineChars="200"/>
        <w:rPr>
          <w:rFonts w:hint="eastAsia" w:ascii="宋体" w:hAnsi="宋体" w:eastAsia="宋体" w:cs="宋体"/>
          <w:color w:val="auto"/>
          <w:highlight w:val="none"/>
        </w:rPr>
      </w:pPr>
      <w:bookmarkStart w:id="71" w:name="_Toc27142"/>
      <w:r>
        <w:rPr>
          <w:rFonts w:hint="eastAsia" w:ascii="宋体" w:hAnsi="宋体" w:eastAsia="宋体" w:cs="宋体"/>
          <w:color w:val="auto"/>
          <w:highlight w:val="none"/>
        </w:rPr>
        <w:t>1</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认为</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、采购过程、中标或者成交结果使自己的权益受到损害的，须在应知其利益受损之日起七个工作日内以书面形式向采购人、采购代理机构提出质疑。</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应当在法定质疑期内一次性提出针对同一采购程序环节的质疑。</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提出质疑的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应当是参与所质疑项目采购活动的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。未依法获取</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的，不得就</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提出质疑；未提交投标文件的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，视为与采购结果没有利害关系，不得就采购响应截止时间后的采购过程、采购结果提出质疑。</w:t>
      </w:r>
    </w:p>
    <w:p>
      <w:pPr>
        <w:widowControl/>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提出质疑应当提交质疑函和必要的证明材料，质疑函应当面以书面形式提出，质疑函格式和内容须符合财政部《质疑函范本》要求，</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可到</w:t>
      </w:r>
      <w:r>
        <w:rPr>
          <w:rFonts w:hint="eastAsia" w:ascii="宋体" w:hAnsi="宋体" w:eastAsia="宋体" w:cs="宋体"/>
          <w:color w:val="auto"/>
          <w:kern w:val="0"/>
          <w:highlight w:val="none"/>
        </w:rPr>
        <w:t>浙江政府采购网下载专区下载。</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第一章有关联系方式。</w:t>
      </w:r>
    </w:p>
    <w:p>
      <w:pPr>
        <w:widowControl/>
        <w:spacing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5</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对采购人或采购代理机构的质疑答复不满意或者采购人或采购代理机构未在规定时间内作出答复的，可以在答复期满后十五个工作日内向同级采购监管部门投诉。</w:t>
      </w:r>
      <w:r>
        <w:rPr>
          <w:rFonts w:hint="eastAsia" w:ascii="宋体" w:hAnsi="宋体" w:eastAsia="宋体" w:cs="宋体"/>
          <w:color w:val="auto"/>
          <w:kern w:val="0"/>
          <w:highlight w:val="none"/>
        </w:rPr>
        <w:t>投诉书范本请到浙江政府采购网下载专区下载。</w:t>
      </w:r>
    </w:p>
    <w:p>
      <w:pPr>
        <w:pStyle w:val="14"/>
        <w:snapToGrid w:val="0"/>
        <w:spacing w:before="0" w:beforeLines="0" w:after="0" w:afterLines="0" w:line="360" w:lineRule="auto"/>
        <w:ind w:firstLine="413" w:firstLineChars="196"/>
        <w:rPr>
          <w:rFonts w:hint="eastAsia" w:ascii="宋体" w:hAnsi="宋体" w:eastAsia="宋体" w:cs="宋体"/>
          <w:b/>
          <w:color w:val="auto"/>
          <w:highlight w:val="none"/>
          <w:lang w:eastAsia="zh-CN"/>
        </w:rPr>
      </w:pPr>
      <w:r>
        <w:rPr>
          <w:rFonts w:hint="eastAsia" w:ascii="宋体" w:hAnsi="宋体" w:eastAsia="宋体" w:cs="宋体"/>
          <w:b/>
          <w:color w:val="auto"/>
          <w:highlight w:val="none"/>
        </w:rPr>
        <w:t xml:space="preserve">二  </w:t>
      </w:r>
      <w:bookmarkEnd w:id="71"/>
      <w:r>
        <w:rPr>
          <w:rFonts w:hint="eastAsia" w:ascii="宋体" w:hAnsi="宋体" w:eastAsia="宋体" w:cs="宋体"/>
          <w:b/>
          <w:color w:val="auto"/>
          <w:highlight w:val="none"/>
          <w:lang w:eastAsia="zh-CN"/>
        </w:rPr>
        <w:t>招标文件</w:t>
      </w:r>
    </w:p>
    <w:p>
      <w:pPr>
        <w:snapToGrid w:val="0"/>
        <w:spacing w:line="360" w:lineRule="auto"/>
        <w:ind w:firstLine="413" w:firstLineChars="196"/>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w:t>
      </w:r>
      <w:r>
        <w:rPr>
          <w:rFonts w:hint="eastAsia" w:ascii="宋体" w:hAnsi="宋体" w:eastAsia="宋体" w:cs="宋体"/>
          <w:b/>
          <w:color w:val="auto"/>
          <w:szCs w:val="21"/>
          <w:highlight w:val="none"/>
          <w:lang w:eastAsia="zh-CN"/>
        </w:rPr>
        <w:t>招标文件</w:t>
      </w:r>
      <w:r>
        <w:rPr>
          <w:rFonts w:hint="eastAsia" w:ascii="宋体" w:hAnsi="宋体" w:eastAsia="宋体" w:cs="宋体"/>
          <w:b/>
          <w:color w:val="auto"/>
          <w:szCs w:val="21"/>
          <w:highlight w:val="none"/>
        </w:rPr>
        <w:t>的构成。本</w:t>
      </w:r>
      <w:r>
        <w:rPr>
          <w:rFonts w:hint="eastAsia" w:ascii="宋体" w:hAnsi="宋体" w:eastAsia="宋体" w:cs="宋体"/>
          <w:b/>
          <w:color w:val="auto"/>
          <w:szCs w:val="21"/>
          <w:highlight w:val="none"/>
          <w:lang w:eastAsia="zh-CN"/>
        </w:rPr>
        <w:t>招标文件</w:t>
      </w:r>
      <w:r>
        <w:rPr>
          <w:rFonts w:hint="eastAsia" w:ascii="宋体" w:hAnsi="宋体" w:eastAsia="宋体" w:cs="宋体"/>
          <w:b/>
          <w:color w:val="auto"/>
          <w:szCs w:val="21"/>
          <w:highlight w:val="none"/>
        </w:rPr>
        <w:t>由以下</w:t>
      </w:r>
      <w:r>
        <w:rPr>
          <w:rFonts w:hint="eastAsia" w:ascii="宋体" w:hAnsi="宋体" w:eastAsia="宋体" w:cs="宋体"/>
          <w:b/>
          <w:color w:val="auto"/>
          <w:szCs w:val="21"/>
          <w:highlight w:val="none"/>
          <w:lang w:val="en-US" w:eastAsia="zh-CN"/>
        </w:rPr>
        <w:t>部分</w:t>
      </w:r>
      <w:r>
        <w:rPr>
          <w:rFonts w:hint="eastAsia" w:ascii="宋体" w:hAnsi="宋体" w:eastAsia="宋体" w:cs="宋体"/>
          <w:b/>
          <w:color w:val="auto"/>
          <w:szCs w:val="21"/>
          <w:highlight w:val="none"/>
        </w:rPr>
        <w:t>组成：</w:t>
      </w:r>
    </w:p>
    <w:p>
      <w:pPr>
        <w:snapToGrid w:val="0"/>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、公开招标公告</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采购需求</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须知</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评标办法及评分标准</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政府采购合同主要条款</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投标文件格式</w:t>
      </w:r>
    </w:p>
    <w:p>
      <w:pPr>
        <w:snapToGrid w:val="0"/>
        <w:spacing w:line="360" w:lineRule="auto"/>
        <w:ind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7</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本项目</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的澄清、答复、修改、补充的内容</w:t>
      </w:r>
    </w:p>
    <w:p>
      <w:pPr>
        <w:snapToGrid w:val="0"/>
        <w:spacing w:line="360" w:lineRule="auto"/>
        <w:ind w:firstLine="413" w:firstLineChars="196"/>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w:t>
      </w:r>
      <w:r>
        <w:rPr>
          <w:rFonts w:hint="eastAsia" w:ascii="宋体" w:hAnsi="宋体" w:eastAsia="宋体" w:cs="宋体"/>
          <w:b/>
          <w:color w:val="auto"/>
          <w:szCs w:val="21"/>
          <w:highlight w:val="none"/>
          <w:lang w:eastAsia="zh-CN"/>
        </w:rPr>
        <w:t>供应商</w:t>
      </w:r>
      <w:r>
        <w:rPr>
          <w:rFonts w:hint="eastAsia" w:ascii="宋体" w:hAnsi="宋体" w:eastAsia="宋体" w:cs="宋体"/>
          <w:b/>
          <w:color w:val="auto"/>
          <w:szCs w:val="21"/>
          <w:highlight w:val="none"/>
        </w:rPr>
        <w:t>的风险</w:t>
      </w:r>
    </w:p>
    <w:p>
      <w:pPr>
        <w:pStyle w:val="20"/>
        <w:spacing w:line="360" w:lineRule="auto"/>
        <w:ind w:firstLine="42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没有按照</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要求提供全部资料，或者</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没有对</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在各方面作出实质性响应是</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的风险，并可能导致其投标被拒绝。</w:t>
      </w:r>
    </w:p>
    <w:p>
      <w:pPr>
        <w:pStyle w:val="14"/>
        <w:snapToGrid w:val="0"/>
        <w:spacing w:before="0" w:beforeLines="0" w:after="0" w:afterLines="0" w:line="360" w:lineRule="auto"/>
        <w:ind w:firstLine="413" w:firstLineChars="196"/>
        <w:rPr>
          <w:rFonts w:hint="eastAsia" w:ascii="宋体" w:hAnsi="宋体" w:eastAsia="宋体" w:cs="宋体"/>
          <w:b/>
          <w:color w:val="auto"/>
          <w:highlight w:val="none"/>
        </w:rPr>
      </w:pPr>
      <w:bookmarkStart w:id="72" w:name="_Toc24324"/>
      <w:r>
        <w:rPr>
          <w:rFonts w:hint="eastAsia" w:ascii="宋体" w:hAnsi="宋体" w:eastAsia="宋体" w:cs="宋体"/>
          <w:b/>
          <w:color w:val="auto"/>
          <w:highlight w:val="none"/>
        </w:rPr>
        <w:t>三、投标文件的编制</w:t>
      </w:r>
      <w:bookmarkEnd w:id="72"/>
    </w:p>
    <w:p>
      <w:pPr>
        <w:snapToGrid w:val="0"/>
        <w:spacing w:line="360" w:lineRule="auto"/>
        <w:ind w:firstLine="413" w:firstLineChars="196"/>
        <w:jc w:val="left"/>
        <w:rPr>
          <w:rFonts w:hint="eastAsia" w:ascii="宋体" w:hAnsi="宋体" w:eastAsia="宋体" w:cs="宋体"/>
          <w:b/>
          <w:color w:val="auto"/>
          <w:szCs w:val="21"/>
          <w:highlight w:val="none"/>
        </w:rPr>
      </w:pPr>
      <w:bookmarkStart w:id="73" w:name="_Toc16622"/>
      <w:r>
        <w:rPr>
          <w:rFonts w:hint="eastAsia" w:ascii="宋体" w:hAnsi="宋体" w:eastAsia="宋体" w:cs="宋体"/>
          <w:b/>
          <w:color w:val="auto"/>
          <w:szCs w:val="21"/>
          <w:highlight w:val="none"/>
        </w:rPr>
        <w:t>（一）投标文件的组成</w:t>
      </w:r>
      <w:bookmarkEnd w:id="73"/>
    </w:p>
    <w:p>
      <w:pPr>
        <w:keepNext w:val="0"/>
        <w:keepLines w:val="0"/>
        <w:pageBreakBefore w:val="0"/>
        <w:widowControl w:val="0"/>
        <w:kinsoku/>
        <w:wordWrap/>
        <w:overflowPunct/>
        <w:topLinePunct w:val="0"/>
        <w:autoSpaceDE/>
        <w:autoSpaceDN/>
        <w:bidi w:val="0"/>
        <w:adjustRightInd/>
        <w:snapToGrid/>
        <w:spacing w:line="336" w:lineRule="auto"/>
        <w:ind w:left="0" w:leftChars="0" w:firstLine="420" w:firstLineChars="200"/>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投标文件由</w:t>
      </w:r>
      <w:r>
        <w:rPr>
          <w:rFonts w:hint="eastAsia" w:ascii="宋体" w:hAnsi="宋体" w:eastAsia="宋体" w:cs="宋体"/>
          <w:color w:val="auto"/>
          <w:highlight w:val="none"/>
          <w:lang w:eastAsia="zh-CN"/>
        </w:rPr>
        <w:t>资格文件</w:t>
      </w:r>
      <w:r>
        <w:rPr>
          <w:rFonts w:hint="eastAsia" w:ascii="宋体" w:hAnsi="宋体" w:eastAsia="宋体" w:cs="宋体"/>
          <w:color w:val="auto"/>
          <w:highlight w:val="none"/>
        </w:rPr>
        <w:t>、商务技术文件和报价文件三部分组成。</w:t>
      </w:r>
      <w:r>
        <w:rPr>
          <w:rFonts w:hint="eastAsia" w:ascii="宋体" w:hAnsi="宋体" w:eastAsia="宋体" w:cs="宋体"/>
          <w:b/>
          <w:bCs/>
          <w:color w:val="auto"/>
          <w:szCs w:val="21"/>
          <w:highlight w:val="none"/>
          <w:lang w:eastAsia="zh-CN"/>
        </w:rPr>
        <w:t>（纸质备份投标文件：</w:t>
      </w:r>
      <w:r>
        <w:rPr>
          <w:rFonts w:hint="eastAsia" w:ascii="宋体" w:hAnsi="宋体" w:eastAsia="宋体" w:cs="宋体"/>
          <w:b/>
          <w:bCs/>
          <w:color w:val="auto"/>
          <w:highlight w:val="none"/>
          <w:lang w:eastAsia="zh-CN"/>
        </w:rPr>
        <w:t>资格文件</w:t>
      </w:r>
      <w:r>
        <w:rPr>
          <w:rFonts w:hint="eastAsia" w:ascii="宋体" w:hAnsi="宋体" w:eastAsia="宋体" w:cs="宋体"/>
          <w:b/>
          <w:bCs/>
          <w:color w:val="auto"/>
          <w:highlight w:val="none"/>
        </w:rPr>
        <w:t>、商务技术文件</w:t>
      </w:r>
      <w:r>
        <w:rPr>
          <w:rFonts w:hint="eastAsia" w:ascii="宋体" w:hAnsi="宋体" w:eastAsia="宋体" w:cs="宋体"/>
          <w:b/>
          <w:bCs/>
          <w:color w:val="auto"/>
          <w:highlight w:val="none"/>
          <w:lang w:val="en-US" w:eastAsia="zh-CN"/>
        </w:rPr>
        <w:t>二部分可一起装订成册，</w:t>
      </w:r>
      <w:r>
        <w:rPr>
          <w:rFonts w:hint="eastAsia" w:ascii="宋体" w:hAnsi="宋体" w:eastAsia="宋体" w:cs="宋体"/>
          <w:b/>
          <w:bCs/>
          <w:color w:val="auto"/>
          <w:highlight w:val="none"/>
        </w:rPr>
        <w:t>报价文件</w:t>
      </w:r>
      <w:r>
        <w:rPr>
          <w:rFonts w:hint="eastAsia" w:ascii="宋体" w:hAnsi="宋体" w:eastAsia="宋体" w:cs="宋体"/>
          <w:b/>
          <w:bCs/>
          <w:color w:val="auto"/>
          <w:highlight w:val="none"/>
          <w:lang w:val="en-US" w:eastAsia="zh-CN"/>
        </w:rPr>
        <w:t>须</w:t>
      </w:r>
      <w:r>
        <w:rPr>
          <w:rFonts w:hint="eastAsia" w:ascii="宋体" w:hAnsi="宋体" w:eastAsia="宋体" w:cs="宋体"/>
          <w:b/>
          <w:bCs/>
          <w:color w:val="auto"/>
          <w:highlight w:val="none"/>
        </w:rPr>
        <w:t>单独装订成册</w:t>
      </w:r>
      <w:r>
        <w:rPr>
          <w:rFonts w:hint="eastAsia" w:ascii="宋体" w:hAnsi="宋体" w:eastAsia="宋体" w:cs="宋体"/>
          <w:b/>
          <w:bCs/>
          <w:color w:val="auto"/>
          <w:highlight w:val="none"/>
          <w:lang w:eastAsia="zh-CN"/>
        </w:rPr>
        <w:t>）</w:t>
      </w:r>
    </w:p>
    <w:p>
      <w:pPr>
        <w:numPr>
          <w:ilvl w:val="0"/>
          <w:numId w:val="10"/>
        </w:numPr>
        <w:snapToGrid w:val="0"/>
        <w:spacing w:line="360" w:lineRule="auto"/>
        <w:ind w:firstLine="422" w:firstLineChars="200"/>
        <w:jc w:val="left"/>
        <w:rPr>
          <w:rFonts w:hint="eastAsia" w:ascii="宋体" w:hAnsi="宋体" w:eastAsia="宋体" w:cs="宋体"/>
          <w:b/>
          <w:bCs/>
          <w:color w:val="auto"/>
          <w:highlight w:val="none"/>
        </w:rPr>
      </w:pPr>
      <w:r>
        <w:rPr>
          <w:rFonts w:hint="eastAsia" w:ascii="宋体" w:hAnsi="宋体" w:eastAsia="宋体" w:cs="宋体"/>
          <w:b/>
          <w:bCs/>
          <w:color w:val="auto"/>
          <w:highlight w:val="none"/>
          <w:lang w:eastAsia="zh-CN"/>
        </w:rPr>
        <w:t>资格文件</w:t>
      </w:r>
      <w:r>
        <w:rPr>
          <w:rFonts w:hint="eastAsia" w:ascii="宋体" w:hAnsi="宋体" w:eastAsia="宋体" w:cs="宋体"/>
          <w:b/>
          <w:bCs/>
          <w:color w:val="auto"/>
          <w:highlight w:val="none"/>
        </w:rPr>
        <w:t>：</w:t>
      </w:r>
    </w:p>
    <w:p>
      <w:pPr>
        <w:numPr>
          <w:ilvl w:val="0"/>
          <w:numId w:val="11"/>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资格声明函（格式见附件）；</w:t>
      </w:r>
    </w:p>
    <w:p>
      <w:pPr>
        <w:numPr>
          <w:ilvl w:val="0"/>
          <w:numId w:val="11"/>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投标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numPr>
          <w:ilvl w:val="0"/>
          <w:numId w:val="11"/>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特定资格条件的证明文件：</w:t>
      </w:r>
      <w:r>
        <w:rPr>
          <w:rFonts w:hint="eastAsia" w:ascii="宋体" w:hAnsi="宋体" w:eastAsia="宋体" w:cs="宋体"/>
          <w:color w:val="auto"/>
          <w:highlight w:val="none"/>
          <w:lang w:eastAsia="zh-CN"/>
        </w:rPr>
        <w:t xml:space="preserve">详见“第一章  公开招标公告  </w:t>
      </w:r>
      <w:r>
        <w:rPr>
          <w:rFonts w:hint="eastAsia" w:ascii="宋体" w:hAnsi="宋体" w:eastAsia="宋体" w:cs="宋体"/>
          <w:color w:val="auto"/>
          <w:highlight w:val="none"/>
          <w:lang w:val="en-US" w:eastAsia="zh-CN"/>
        </w:rPr>
        <w:t>二</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申请人的资格要求3.本项目的</w:t>
      </w:r>
      <w:r>
        <w:rPr>
          <w:rFonts w:hint="eastAsia" w:ascii="宋体" w:hAnsi="宋体" w:eastAsia="宋体" w:cs="宋体"/>
          <w:color w:val="auto"/>
          <w:highlight w:val="none"/>
          <w:lang w:eastAsia="zh-CN"/>
        </w:rPr>
        <w:t>特定资格</w:t>
      </w:r>
      <w:r>
        <w:rPr>
          <w:rFonts w:hint="eastAsia" w:ascii="宋体" w:hAnsi="宋体" w:eastAsia="宋体" w:cs="宋体"/>
          <w:color w:val="auto"/>
          <w:highlight w:val="none"/>
          <w:lang w:val="en-US" w:eastAsia="zh-CN"/>
        </w:rPr>
        <w:t>要求</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w:t>
      </w:r>
    </w:p>
    <w:p>
      <w:pPr>
        <w:numPr>
          <w:ilvl w:val="0"/>
          <w:numId w:val="11"/>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要求的其他资格条件证明材料（如有）；</w:t>
      </w:r>
    </w:p>
    <w:p>
      <w:pPr>
        <w:numPr>
          <w:ilvl w:val="0"/>
          <w:numId w:val="10"/>
        </w:numPr>
        <w:snapToGrid w:val="0"/>
        <w:spacing w:line="360" w:lineRule="auto"/>
        <w:ind w:firstLine="422" w:firstLineChars="200"/>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商务技术文件内容包括：</w:t>
      </w:r>
    </w:p>
    <w:p>
      <w:pPr>
        <w:numPr>
          <w:ilvl w:val="0"/>
          <w:numId w:val="12"/>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符合性自查表（格式见附件）；</w:t>
      </w:r>
    </w:p>
    <w:p>
      <w:pPr>
        <w:numPr>
          <w:ilvl w:val="0"/>
          <w:numId w:val="12"/>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响应表（格式见附件）；</w:t>
      </w:r>
    </w:p>
    <w:p>
      <w:pPr>
        <w:numPr>
          <w:ilvl w:val="0"/>
          <w:numId w:val="12"/>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商务条款偏离表（格式见附件）；</w:t>
      </w:r>
    </w:p>
    <w:p>
      <w:pPr>
        <w:numPr>
          <w:ilvl w:val="0"/>
          <w:numId w:val="12"/>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投标函（格式见附件）；</w:t>
      </w:r>
    </w:p>
    <w:p>
      <w:pPr>
        <w:numPr>
          <w:ilvl w:val="0"/>
          <w:numId w:val="12"/>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法定代表人身份证明或法定代表人授权委托书（格式见附件）；</w:t>
      </w:r>
    </w:p>
    <w:p>
      <w:pPr>
        <w:numPr>
          <w:ilvl w:val="0"/>
          <w:numId w:val="12"/>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技术（服务）条款偏离表（格式见附件）；</w:t>
      </w:r>
    </w:p>
    <w:p>
      <w:pPr>
        <w:numPr>
          <w:ilvl w:val="0"/>
          <w:numId w:val="12"/>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基本情况表（格式见附件）；</w:t>
      </w:r>
    </w:p>
    <w:p>
      <w:pPr>
        <w:numPr>
          <w:ilvl w:val="0"/>
          <w:numId w:val="12"/>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本项目负责人简历表（格式见附件）</w:t>
      </w:r>
    </w:p>
    <w:p>
      <w:pPr>
        <w:numPr>
          <w:ilvl w:val="0"/>
          <w:numId w:val="12"/>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本项目人员配备情况表（格式见附件）</w:t>
      </w:r>
    </w:p>
    <w:p>
      <w:pPr>
        <w:numPr>
          <w:ilvl w:val="0"/>
          <w:numId w:val="12"/>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同类业绩情况一览表（格式见附件）；</w:t>
      </w:r>
    </w:p>
    <w:p>
      <w:pPr>
        <w:numPr>
          <w:ilvl w:val="0"/>
          <w:numId w:val="12"/>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技术部分：针对本项目第二章采购需求和第四章评分标准中的条款拟</w:t>
      </w:r>
      <w:r>
        <w:rPr>
          <w:rFonts w:hint="eastAsia" w:ascii="宋体" w:hAnsi="宋体" w:eastAsia="宋体" w:cs="宋体"/>
          <w:bCs/>
          <w:color w:val="auto"/>
          <w:highlight w:val="none"/>
        </w:rPr>
        <w:t>定</w:t>
      </w:r>
      <w:r>
        <w:rPr>
          <w:rFonts w:hint="eastAsia" w:ascii="宋体" w:hAnsi="宋体" w:eastAsia="宋体" w:cs="宋体"/>
          <w:color w:val="auto"/>
          <w:highlight w:val="none"/>
        </w:rPr>
        <w:t>完整方案，格式自拟；</w:t>
      </w:r>
    </w:p>
    <w:p>
      <w:pPr>
        <w:numPr>
          <w:ilvl w:val="0"/>
          <w:numId w:val="12"/>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第四章评标办法及评分标准中需提供的其他相关证书及合同复印件等并加盖公章；</w:t>
      </w:r>
    </w:p>
    <w:p>
      <w:pPr>
        <w:numPr>
          <w:ilvl w:val="0"/>
          <w:numId w:val="0"/>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13）</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认为有需要提供的其它有关证明资料。</w:t>
      </w:r>
    </w:p>
    <w:p>
      <w:pPr>
        <w:numPr>
          <w:ilvl w:val="0"/>
          <w:numId w:val="10"/>
        </w:numPr>
        <w:snapToGrid w:val="0"/>
        <w:spacing w:line="360" w:lineRule="auto"/>
        <w:ind w:firstLine="422" w:firstLineChars="200"/>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报价文件内容包括：</w:t>
      </w:r>
    </w:p>
    <w:p>
      <w:pPr>
        <w:numPr>
          <w:ilvl w:val="0"/>
          <w:numId w:val="13"/>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开标一览表（格式见附件）；</w:t>
      </w:r>
    </w:p>
    <w:p>
      <w:pPr>
        <w:numPr>
          <w:ilvl w:val="0"/>
          <w:numId w:val="13"/>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投标报价明细表（格式见附件）</w:t>
      </w:r>
      <w:r>
        <w:rPr>
          <w:rFonts w:hint="eastAsia" w:ascii="宋体" w:hAnsi="宋体" w:eastAsia="宋体" w:cs="宋体"/>
          <w:color w:val="auto"/>
          <w:highlight w:val="none"/>
          <w:lang w:eastAsia="zh-CN"/>
        </w:rPr>
        <w:t>；</w:t>
      </w:r>
    </w:p>
    <w:p>
      <w:pPr>
        <w:numPr>
          <w:ilvl w:val="0"/>
          <w:numId w:val="13"/>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中小企业声明函（如有)（格式见附件）；</w:t>
      </w:r>
    </w:p>
    <w:p>
      <w:pPr>
        <w:numPr>
          <w:ilvl w:val="0"/>
          <w:numId w:val="13"/>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残疾人福利性单位声明函（非残疾人福利性单位无需提供本函)（格式见附件）；</w:t>
      </w:r>
    </w:p>
    <w:p>
      <w:pPr>
        <w:numPr>
          <w:ilvl w:val="0"/>
          <w:numId w:val="13"/>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针对报价需要说明的其他文件和说明（格式自拟）；</w:t>
      </w:r>
    </w:p>
    <w:p>
      <w:pPr>
        <w:snapToGrid w:val="0"/>
        <w:spacing w:line="360" w:lineRule="auto"/>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 注：法定代表人授权委托书必须由法定代表人</w:t>
      </w:r>
      <w:r>
        <w:rPr>
          <w:rFonts w:hint="eastAsia" w:ascii="宋体" w:hAnsi="宋体" w:eastAsia="宋体" w:cs="宋体"/>
          <w:b/>
          <w:color w:val="auto"/>
          <w:szCs w:val="21"/>
          <w:highlight w:val="none"/>
          <w:lang w:val="en-US" w:eastAsia="zh-CN"/>
        </w:rPr>
        <w:t>签署（签名或印章）</w:t>
      </w:r>
      <w:r>
        <w:rPr>
          <w:rFonts w:hint="eastAsia" w:ascii="宋体" w:hAnsi="宋体" w:eastAsia="宋体" w:cs="宋体"/>
          <w:b/>
          <w:color w:val="auto"/>
          <w:szCs w:val="21"/>
          <w:highlight w:val="none"/>
        </w:rPr>
        <w:t>并加盖单位公章；</w:t>
      </w:r>
      <w:r>
        <w:rPr>
          <w:rFonts w:hint="eastAsia" w:ascii="宋体" w:hAnsi="宋体" w:eastAsia="宋体" w:cs="宋体"/>
          <w:b/>
          <w:color w:val="auto"/>
          <w:szCs w:val="21"/>
          <w:highlight w:val="none"/>
          <w:lang w:eastAsia="zh-CN"/>
        </w:rPr>
        <w:t>供应商</w:t>
      </w:r>
      <w:r>
        <w:rPr>
          <w:rFonts w:hint="eastAsia" w:ascii="宋体" w:hAnsi="宋体" w:eastAsia="宋体" w:cs="宋体"/>
          <w:b/>
          <w:color w:val="auto"/>
          <w:szCs w:val="21"/>
          <w:highlight w:val="none"/>
        </w:rPr>
        <w:t>资格声明函、投标函、开标一览表必须由法定代表人或授权代表</w:t>
      </w:r>
      <w:r>
        <w:rPr>
          <w:rFonts w:hint="eastAsia" w:ascii="宋体" w:hAnsi="宋体" w:eastAsia="宋体" w:cs="宋体"/>
          <w:b/>
          <w:color w:val="auto"/>
          <w:szCs w:val="21"/>
          <w:highlight w:val="none"/>
          <w:lang w:val="en-US" w:eastAsia="zh-CN"/>
        </w:rPr>
        <w:t>签署（签名或印章）</w:t>
      </w:r>
      <w:r>
        <w:rPr>
          <w:rFonts w:hint="eastAsia" w:ascii="宋体" w:hAnsi="宋体" w:eastAsia="宋体" w:cs="宋体"/>
          <w:b/>
          <w:color w:val="auto"/>
          <w:szCs w:val="21"/>
          <w:highlight w:val="none"/>
        </w:rPr>
        <w:t>并加盖单位公章。</w:t>
      </w:r>
    </w:p>
    <w:p>
      <w:pPr>
        <w:snapToGrid w:val="0"/>
        <w:spacing w:line="360" w:lineRule="auto"/>
        <w:ind w:firstLine="413" w:firstLineChars="196"/>
        <w:jc w:val="left"/>
        <w:rPr>
          <w:rFonts w:hint="eastAsia" w:ascii="宋体" w:hAnsi="宋体" w:eastAsia="宋体" w:cs="宋体"/>
          <w:b/>
          <w:color w:val="auto"/>
          <w:szCs w:val="21"/>
          <w:highlight w:val="none"/>
        </w:rPr>
      </w:pPr>
      <w:bookmarkStart w:id="74" w:name="_Toc10734"/>
      <w:r>
        <w:rPr>
          <w:rFonts w:hint="eastAsia" w:ascii="宋体" w:hAnsi="宋体" w:eastAsia="宋体" w:cs="宋体"/>
          <w:b/>
          <w:color w:val="auto"/>
          <w:szCs w:val="21"/>
          <w:highlight w:val="none"/>
        </w:rPr>
        <w:t>★（二）投标文件的语言及计量</w:t>
      </w:r>
      <w:bookmarkEnd w:id="74"/>
    </w:p>
    <w:p>
      <w:pPr>
        <w:snapToGrid w:val="0"/>
        <w:spacing w:line="360" w:lineRule="auto"/>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1</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投标文件以及</w:t>
      </w:r>
      <w:r>
        <w:rPr>
          <w:rFonts w:hint="eastAsia" w:ascii="宋体" w:hAnsi="宋体" w:eastAsia="宋体" w:cs="宋体"/>
          <w:b/>
          <w:color w:val="auto"/>
          <w:szCs w:val="21"/>
          <w:highlight w:val="none"/>
          <w:lang w:eastAsia="zh-CN"/>
        </w:rPr>
        <w:t>供应商</w:t>
      </w:r>
      <w:r>
        <w:rPr>
          <w:rFonts w:hint="eastAsia" w:ascii="宋体" w:hAnsi="宋体" w:eastAsia="宋体" w:cs="宋体"/>
          <w:b/>
          <w:color w:val="auto"/>
          <w:szCs w:val="21"/>
          <w:highlight w:val="none"/>
        </w:rPr>
        <w:t>与采购人就有关投标事宜的所有来往函电，均应以中文汉语书写。除签名、盖章、专用名称等特殊情形外，以中文汉语以外的文字表述的投标文件视同未提供。</w:t>
      </w:r>
    </w:p>
    <w:p>
      <w:pPr>
        <w:snapToGrid w:val="0"/>
        <w:spacing w:line="360" w:lineRule="auto"/>
        <w:ind w:firstLine="422" w:firstLineChars="200"/>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2</w:t>
      </w:r>
      <w:r>
        <w:rPr>
          <w:rFonts w:hint="eastAsia" w:ascii="宋体" w:hAnsi="宋体" w:eastAsia="宋体" w:cs="宋体"/>
          <w:b/>
          <w:color w:val="auto"/>
          <w:szCs w:val="21"/>
          <w:highlight w:val="none"/>
          <w:lang w:eastAsia="zh-CN"/>
        </w:rPr>
        <w:t>）</w:t>
      </w:r>
      <w:r>
        <w:rPr>
          <w:rFonts w:hint="eastAsia" w:ascii="宋体" w:hAnsi="宋体" w:eastAsia="宋体" w:cs="宋体"/>
          <w:b/>
          <w:color w:val="auto"/>
          <w:szCs w:val="21"/>
          <w:highlight w:val="none"/>
        </w:rPr>
        <w:t>投标计量单位，</w:t>
      </w:r>
      <w:r>
        <w:rPr>
          <w:rFonts w:hint="eastAsia" w:ascii="宋体" w:hAnsi="宋体" w:eastAsia="宋体" w:cs="宋体"/>
          <w:b/>
          <w:color w:val="auto"/>
          <w:szCs w:val="21"/>
          <w:highlight w:val="none"/>
          <w:lang w:eastAsia="zh-CN"/>
        </w:rPr>
        <w:t>招标文件</w:t>
      </w:r>
      <w:r>
        <w:rPr>
          <w:rFonts w:hint="eastAsia" w:ascii="宋体" w:hAnsi="宋体" w:eastAsia="宋体" w:cs="宋体"/>
          <w:b/>
          <w:color w:val="auto"/>
          <w:szCs w:val="21"/>
          <w:highlight w:val="none"/>
        </w:rPr>
        <w:t>已有明确规定的，使用</w:t>
      </w:r>
      <w:r>
        <w:rPr>
          <w:rFonts w:hint="eastAsia" w:ascii="宋体" w:hAnsi="宋体" w:eastAsia="宋体" w:cs="宋体"/>
          <w:b/>
          <w:color w:val="auto"/>
          <w:szCs w:val="21"/>
          <w:highlight w:val="none"/>
          <w:lang w:eastAsia="zh-CN"/>
        </w:rPr>
        <w:t>招标文件</w:t>
      </w:r>
      <w:r>
        <w:rPr>
          <w:rFonts w:hint="eastAsia" w:ascii="宋体" w:hAnsi="宋体" w:eastAsia="宋体" w:cs="宋体"/>
          <w:b/>
          <w:color w:val="auto"/>
          <w:szCs w:val="21"/>
          <w:highlight w:val="none"/>
        </w:rPr>
        <w:t>规定的计量单位；</w:t>
      </w:r>
      <w:r>
        <w:rPr>
          <w:rFonts w:hint="eastAsia" w:ascii="宋体" w:hAnsi="宋体" w:eastAsia="宋体" w:cs="宋体"/>
          <w:b/>
          <w:color w:val="auto"/>
          <w:szCs w:val="21"/>
          <w:highlight w:val="none"/>
          <w:lang w:eastAsia="zh-CN"/>
        </w:rPr>
        <w:t>招标文件</w:t>
      </w:r>
      <w:r>
        <w:rPr>
          <w:rFonts w:hint="eastAsia" w:ascii="宋体" w:hAnsi="宋体" w:eastAsia="宋体" w:cs="宋体"/>
          <w:b/>
          <w:color w:val="auto"/>
          <w:szCs w:val="21"/>
          <w:highlight w:val="none"/>
        </w:rPr>
        <w:t>没有规定的，应采用中华人民共和国法定计量单位（货币单位：人民币元），否则视同未响应。</w:t>
      </w:r>
    </w:p>
    <w:p>
      <w:pPr>
        <w:snapToGrid w:val="0"/>
        <w:spacing w:line="360" w:lineRule="auto"/>
        <w:ind w:firstLine="413" w:firstLineChars="196"/>
        <w:jc w:val="left"/>
        <w:rPr>
          <w:rFonts w:hint="eastAsia" w:ascii="宋体" w:hAnsi="宋体" w:eastAsia="宋体" w:cs="宋体"/>
          <w:b/>
          <w:color w:val="auto"/>
          <w:szCs w:val="21"/>
          <w:highlight w:val="none"/>
        </w:rPr>
      </w:pPr>
      <w:bookmarkStart w:id="75" w:name="_Toc3681"/>
      <w:r>
        <w:rPr>
          <w:rFonts w:hint="eastAsia" w:ascii="宋体" w:hAnsi="宋体" w:eastAsia="宋体" w:cs="宋体"/>
          <w:b/>
          <w:color w:val="auto"/>
          <w:szCs w:val="21"/>
          <w:highlight w:val="none"/>
        </w:rPr>
        <w:t>（三）投标报价</w:t>
      </w:r>
      <w:bookmarkEnd w:id="75"/>
    </w:p>
    <w:p>
      <w:pPr>
        <w:pStyle w:val="14"/>
        <w:snapToGrid w:val="0"/>
        <w:spacing w:before="0" w:beforeLines="0" w:after="0" w:afterLines="0"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投标报价应按</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中相关附表格式填写。</w:t>
      </w:r>
    </w:p>
    <w:p>
      <w:pPr>
        <w:pStyle w:val="14"/>
        <w:snapToGrid w:val="0"/>
        <w:spacing w:before="0" w:beforeLines="0" w:after="0" w:afterLines="0" w:line="360" w:lineRule="auto"/>
        <w:ind w:firstLine="420" w:firstLineChars="200"/>
        <w:jc w:val="left"/>
        <w:rPr>
          <w:rFonts w:hint="eastAsia" w:ascii="宋体" w:hAnsi="宋体" w:eastAsia="宋体" w:cs="宋体"/>
          <w:bCs/>
          <w:color w:val="auto"/>
          <w:highlight w:val="none"/>
        </w:rPr>
      </w:pPr>
      <w:r>
        <w:rPr>
          <w:rFonts w:hint="eastAsia" w:ascii="宋体" w:hAnsi="宋体" w:eastAsia="宋体" w:cs="宋体"/>
          <w:bCs/>
          <w:color w:val="auto"/>
          <w:highlight w:val="none"/>
        </w:rPr>
        <w:t>★2</w:t>
      </w:r>
      <w:r>
        <w:rPr>
          <w:rFonts w:hint="eastAsia" w:ascii="宋体" w:hAnsi="宋体" w:eastAsia="宋体" w:cs="宋体"/>
          <w:bCs/>
          <w:color w:val="auto"/>
          <w:highlight w:val="none"/>
          <w:lang w:eastAsia="zh-CN"/>
        </w:rPr>
        <w:t>、</w:t>
      </w:r>
      <w:r>
        <w:rPr>
          <w:rFonts w:hint="eastAsia" w:ascii="宋体" w:hAnsi="宋体" w:eastAsia="宋体" w:cs="宋体"/>
          <w:bCs/>
          <w:color w:val="auto"/>
          <w:highlight w:val="none"/>
        </w:rPr>
        <w:t>投标报价是履行合同的最终价格，具体详见第三章《</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 xml:space="preserve">须知》。 </w:t>
      </w:r>
    </w:p>
    <w:p>
      <w:pPr>
        <w:pStyle w:val="14"/>
        <w:snapToGrid w:val="0"/>
        <w:spacing w:before="0" w:beforeLines="0" w:after="0" w:afterLines="0" w:line="360" w:lineRule="auto"/>
        <w:ind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投标文件只允许有一个报价，有选择的或有条件的报价将不予接受。</w:t>
      </w:r>
    </w:p>
    <w:p>
      <w:pPr>
        <w:pStyle w:val="9"/>
        <w:widowControl w:val="0"/>
        <w:numPr>
          <w:ilvl w:val="-1"/>
          <w:numId w:val="0"/>
        </w:numPr>
        <w:tabs>
          <w:tab w:val="left" w:pos="720"/>
        </w:tabs>
        <w:snapToGrid w:val="0"/>
        <w:spacing w:after="0" w:afterLines="0" w:line="360" w:lineRule="auto"/>
        <w:ind w:left="0" w:firstLine="413" w:firstLineChars="196"/>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（四）投标文件的有效期</w:t>
      </w:r>
    </w:p>
    <w:p>
      <w:pPr>
        <w:pStyle w:val="9"/>
        <w:widowControl w:val="0"/>
        <w:numPr>
          <w:ilvl w:val="-1"/>
          <w:numId w:val="0"/>
        </w:numPr>
        <w:tabs>
          <w:tab w:val="left" w:pos="720"/>
        </w:tabs>
        <w:snapToGrid w:val="0"/>
        <w:spacing w:after="0" w:afterLines="0" w:line="360" w:lineRule="auto"/>
        <w:ind w:left="0" w:firstLine="422" w:firstLineChars="200"/>
        <w:jc w:val="left"/>
        <w:rPr>
          <w:rFonts w:hint="eastAsia" w:ascii="宋体" w:hAnsi="宋体" w:eastAsia="宋体" w:cs="宋体"/>
          <w:b/>
          <w:color w:val="auto"/>
          <w:kern w:val="0"/>
          <w:sz w:val="21"/>
          <w:szCs w:val="21"/>
          <w:highlight w:val="none"/>
        </w:rPr>
      </w:pPr>
      <w:r>
        <w:rPr>
          <w:rFonts w:hint="eastAsia" w:ascii="宋体" w:hAnsi="宋体" w:eastAsia="宋体" w:cs="宋体"/>
          <w:b/>
          <w:color w:val="auto"/>
          <w:kern w:val="0"/>
          <w:sz w:val="21"/>
          <w:szCs w:val="21"/>
          <w:highlight w:val="none"/>
        </w:rPr>
        <w:t>★1</w:t>
      </w:r>
      <w:r>
        <w:rPr>
          <w:rFonts w:hint="eastAsia" w:ascii="宋体" w:hAnsi="宋体" w:eastAsia="宋体" w:cs="宋体"/>
          <w:b/>
          <w:color w:val="auto"/>
          <w:kern w:val="0"/>
          <w:sz w:val="21"/>
          <w:szCs w:val="21"/>
          <w:highlight w:val="none"/>
          <w:lang w:eastAsia="zh-CN"/>
        </w:rPr>
        <w:t>、</w:t>
      </w:r>
      <w:r>
        <w:rPr>
          <w:rFonts w:hint="eastAsia" w:ascii="宋体" w:hAnsi="宋体" w:eastAsia="宋体" w:cs="宋体"/>
          <w:b/>
          <w:color w:val="auto"/>
          <w:kern w:val="0"/>
          <w:sz w:val="21"/>
          <w:szCs w:val="21"/>
          <w:highlight w:val="none"/>
        </w:rPr>
        <w:t>自投标截止日起</w:t>
      </w:r>
      <w:r>
        <w:rPr>
          <w:rFonts w:hint="eastAsia" w:ascii="宋体" w:hAnsi="宋体" w:eastAsia="宋体" w:cs="宋体"/>
          <w:b/>
          <w:color w:val="auto"/>
          <w:kern w:val="0"/>
          <w:sz w:val="21"/>
          <w:szCs w:val="21"/>
          <w:highlight w:val="none"/>
          <w:u w:val="single"/>
        </w:rPr>
        <w:t>90</w:t>
      </w:r>
      <w:r>
        <w:rPr>
          <w:rFonts w:hint="eastAsia" w:ascii="宋体" w:hAnsi="宋体" w:eastAsia="宋体" w:cs="宋体"/>
          <w:b/>
          <w:color w:val="auto"/>
          <w:kern w:val="0"/>
          <w:sz w:val="21"/>
          <w:szCs w:val="21"/>
          <w:highlight w:val="none"/>
        </w:rPr>
        <w:t>天投标文件应保持有效。</w:t>
      </w:r>
    </w:p>
    <w:p>
      <w:pPr>
        <w:pStyle w:val="9"/>
        <w:widowControl w:val="0"/>
        <w:numPr>
          <w:ilvl w:val="-1"/>
          <w:numId w:val="0"/>
        </w:numPr>
        <w:tabs>
          <w:tab w:val="left" w:pos="720"/>
        </w:tabs>
        <w:snapToGrid w:val="0"/>
        <w:spacing w:after="0" w:afterLines="0" w:line="360" w:lineRule="auto"/>
        <w:ind w:left="0" w:firstLine="420" w:firstLineChars="200"/>
        <w:jc w:val="left"/>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在特殊情况下，采购人可与</w:t>
      </w:r>
      <w:r>
        <w:rPr>
          <w:rFonts w:hint="eastAsia" w:ascii="宋体" w:hAnsi="宋体" w:eastAsia="宋体" w:cs="宋体"/>
          <w:color w:val="auto"/>
          <w:kern w:val="0"/>
          <w:sz w:val="21"/>
          <w:szCs w:val="21"/>
          <w:highlight w:val="none"/>
          <w:lang w:eastAsia="zh-CN"/>
        </w:rPr>
        <w:t>供应商</w:t>
      </w:r>
      <w:r>
        <w:rPr>
          <w:rFonts w:hint="eastAsia" w:ascii="宋体" w:hAnsi="宋体" w:eastAsia="宋体" w:cs="宋体"/>
          <w:color w:val="auto"/>
          <w:kern w:val="0"/>
          <w:sz w:val="21"/>
          <w:szCs w:val="21"/>
          <w:highlight w:val="none"/>
        </w:rPr>
        <w:t>协商延长投标书的有效期，这种要求和答复均以书面形式进行。</w:t>
      </w:r>
    </w:p>
    <w:p>
      <w:pPr>
        <w:snapToGrid w:val="0"/>
        <w:spacing w:line="360" w:lineRule="auto"/>
        <w:ind w:firstLine="420" w:firstLineChars="200"/>
        <w:jc w:val="left"/>
        <w:rPr>
          <w:rFonts w:hint="eastAsia" w:ascii="宋体" w:hAnsi="宋体" w:eastAsia="宋体" w:cs="宋体"/>
          <w:b/>
          <w:color w:val="auto"/>
          <w:szCs w:val="21"/>
          <w:highlight w:val="none"/>
        </w:rPr>
      </w:pPr>
      <w:bookmarkStart w:id="76" w:name="_Toc24481"/>
      <w:r>
        <w:rPr>
          <w:rFonts w:hint="eastAsia" w:ascii="宋体" w:hAnsi="宋体" w:eastAsia="宋体" w:cs="宋体"/>
          <w:color w:val="auto"/>
          <w:szCs w:val="21"/>
          <w:highlight w:val="none"/>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同意延长有效期的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不能修改投标文件。</w:t>
      </w:r>
      <w:bookmarkEnd w:id="76"/>
      <w:r>
        <w:rPr>
          <w:rFonts w:hint="eastAsia" w:ascii="宋体" w:hAnsi="宋体" w:eastAsia="宋体" w:cs="宋体"/>
          <w:b/>
          <w:color w:val="auto"/>
          <w:szCs w:val="21"/>
          <w:highlight w:val="none"/>
        </w:rPr>
        <w:t xml:space="preserve"> </w:t>
      </w:r>
    </w:p>
    <w:p>
      <w:pPr>
        <w:snapToGrid w:val="0"/>
        <w:spacing w:line="360" w:lineRule="auto"/>
        <w:ind w:firstLine="420" w:firstLineChars="200"/>
        <w:jc w:val="left"/>
        <w:rPr>
          <w:rFonts w:hint="eastAsia" w:ascii="宋体" w:hAnsi="宋体" w:eastAsia="宋体" w:cs="宋体"/>
          <w:b/>
          <w:color w:val="auto"/>
          <w:szCs w:val="21"/>
          <w:highlight w:val="none"/>
        </w:rPr>
      </w:pPr>
      <w:bookmarkStart w:id="77" w:name="_Toc6471"/>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中标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的投标文件自开标之日起至合同履行完毕止均应保持有效。</w:t>
      </w:r>
      <w:bookmarkEnd w:id="77"/>
    </w:p>
    <w:p>
      <w:pPr>
        <w:snapToGrid w:val="0"/>
        <w:spacing w:line="360" w:lineRule="auto"/>
        <w:ind w:firstLine="413" w:firstLineChars="196"/>
        <w:jc w:val="left"/>
        <w:rPr>
          <w:rFonts w:hint="eastAsia" w:ascii="宋体" w:hAnsi="宋体" w:eastAsia="宋体" w:cs="宋体"/>
          <w:b/>
          <w:color w:val="auto"/>
          <w:szCs w:val="21"/>
          <w:highlight w:val="none"/>
        </w:rPr>
      </w:pPr>
      <w:bookmarkStart w:id="78" w:name="_Toc14508"/>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val="en-US" w:eastAsia="zh-CN"/>
        </w:rPr>
        <w:t>五</w:t>
      </w:r>
      <w:r>
        <w:rPr>
          <w:rFonts w:hint="eastAsia" w:ascii="宋体" w:hAnsi="宋体" w:eastAsia="宋体" w:cs="宋体"/>
          <w:b/>
          <w:color w:val="auto"/>
          <w:szCs w:val="21"/>
          <w:highlight w:val="none"/>
        </w:rPr>
        <w:t>）投标文件的签署和份数</w:t>
      </w:r>
      <w:bookmarkEnd w:id="78"/>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应按本</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规定的格式和顺序编制、装订投标文件</w:t>
      </w:r>
      <w:r>
        <w:rPr>
          <w:rFonts w:hint="eastAsia" w:ascii="宋体" w:hAnsi="宋体" w:eastAsia="宋体" w:cs="宋体"/>
          <w:color w:val="auto"/>
          <w:szCs w:val="21"/>
          <w:highlight w:val="none"/>
        </w:rPr>
        <w:t>，投标文件要求有目录并标注页码</w:t>
      </w:r>
      <w:r>
        <w:rPr>
          <w:rFonts w:hint="eastAsia" w:ascii="宋体" w:hAnsi="宋体" w:eastAsia="宋体" w:cs="宋体"/>
          <w:color w:val="auto"/>
          <w:highlight w:val="none"/>
        </w:rPr>
        <w:t>，投标文件内容不完整、编排混乱导致投标文件被误读、漏读或者查找不到相关内容的，是</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的责任。</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投标文件的份数：</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本项目实行网上投标，</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应准备以下投标文件：</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（1）上传到政府采购云平台的电子投标文件（含资格文件、商务技术文件、报价文件）1份。</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（2）以U盘存储的电子备份投标文件（含资格文件、商务技术文件、报价文件）1份。</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rPr>
        <w:t xml:space="preserve">（3）纸质备份投标文件：资格、商务技术文件（正本1份，副本4份）、报价文件（正本1份，副本4份）。 </w:t>
      </w:r>
    </w:p>
    <w:p>
      <w:pPr>
        <w:spacing w:line="360" w:lineRule="auto"/>
        <w:ind w:firstLine="525" w:firstLineChars="25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3、电子投标文件：</w:t>
      </w:r>
    </w:p>
    <w:p>
      <w:pPr>
        <w:spacing w:line="360" w:lineRule="auto"/>
        <w:ind w:firstLine="525" w:firstLineChars="25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3.1供应商应根据</w:t>
      </w:r>
      <w:r>
        <w:rPr>
          <w:rFonts w:hint="eastAsia" w:ascii="宋体" w:hAnsi="宋体" w:eastAsia="宋体" w:cs="宋体"/>
          <w:color w:val="auto"/>
          <w:kern w:val="0"/>
          <w:szCs w:val="21"/>
          <w:highlight w:val="none"/>
        </w:rPr>
        <w:t>政府采购云平台的要求</w:t>
      </w:r>
      <w:r>
        <w:rPr>
          <w:rFonts w:hint="eastAsia" w:ascii="宋体" w:hAnsi="宋体" w:eastAsia="宋体" w:cs="宋体"/>
          <w:color w:val="auto"/>
          <w:highlight w:val="none"/>
          <w:lang w:val="en-US" w:eastAsia="zh-CN"/>
        </w:rPr>
        <w:t>及本招标文件规定的格式和顺序编制电子投标文件并进行关联定位。</w:t>
      </w:r>
    </w:p>
    <w:p>
      <w:pPr>
        <w:spacing w:line="360" w:lineRule="auto"/>
        <w:ind w:firstLine="525" w:firstLineChars="250"/>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纸质备份投标文件</w:t>
      </w:r>
      <w:r>
        <w:rPr>
          <w:rFonts w:hint="eastAsia" w:ascii="宋体" w:hAnsi="宋体" w:eastAsia="宋体" w:cs="宋体"/>
          <w:color w:val="auto"/>
          <w:highlight w:val="none"/>
          <w:lang w:eastAsia="zh-CN"/>
        </w:rPr>
        <w:t>：</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4.1</w:t>
      </w:r>
      <w:r>
        <w:rPr>
          <w:rFonts w:hint="eastAsia" w:ascii="宋体" w:hAnsi="宋体" w:eastAsia="宋体" w:cs="宋体"/>
          <w:color w:val="auto"/>
          <w:highlight w:val="none"/>
        </w:rPr>
        <w:t>投标文件应按</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要求由</w:t>
      </w:r>
      <w:r>
        <w:rPr>
          <w:rFonts w:hint="eastAsia" w:ascii="宋体" w:hAnsi="宋体" w:eastAsia="宋体" w:cs="宋体"/>
          <w:color w:val="auto"/>
          <w:highlight w:val="none"/>
          <w:lang w:eastAsia="zh-CN"/>
        </w:rPr>
        <w:t>资格文件</w:t>
      </w:r>
      <w:r>
        <w:rPr>
          <w:rFonts w:hint="eastAsia" w:ascii="宋体" w:hAnsi="宋体" w:eastAsia="宋体" w:cs="宋体"/>
          <w:color w:val="auto"/>
          <w:highlight w:val="none"/>
        </w:rPr>
        <w:t>、商务技术文件和报价文件三部分组成。</w:t>
      </w:r>
      <w:r>
        <w:rPr>
          <w:rFonts w:hint="eastAsia" w:ascii="宋体" w:hAnsi="宋体" w:eastAsia="宋体" w:cs="宋体"/>
          <w:color w:val="auto"/>
          <w:highlight w:val="none"/>
          <w:lang w:val="en-US" w:eastAsia="zh-CN"/>
        </w:rPr>
        <w:t>资格文件、商务技术文件二部分可一起装订成册，报价文件须单独装订成册。投标文件的封面应注明“正本”、“副本”字样。</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4.2</w:t>
      </w:r>
      <w:r>
        <w:rPr>
          <w:rFonts w:hint="eastAsia" w:ascii="宋体" w:hAnsi="宋体" w:eastAsia="宋体" w:cs="宋体"/>
          <w:color w:val="auto"/>
          <w:highlight w:val="none"/>
        </w:rPr>
        <w:t>若有多个</w:t>
      </w: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w:t>
      </w:r>
      <w:r>
        <w:rPr>
          <w:rFonts w:hint="eastAsia" w:ascii="宋体" w:hAnsi="宋体" w:eastAsia="宋体" w:cs="宋体"/>
          <w:color w:val="auto"/>
          <w:highlight w:val="none"/>
          <w:lang w:eastAsia="zh-CN"/>
        </w:rPr>
        <w:t>资格文件</w:t>
      </w:r>
      <w:r>
        <w:rPr>
          <w:rFonts w:hint="eastAsia" w:ascii="宋体" w:hAnsi="宋体" w:eastAsia="宋体" w:cs="宋体"/>
          <w:color w:val="auto"/>
          <w:highlight w:val="none"/>
        </w:rPr>
        <w:t>、商务技术文件二部分可装订成一册，报价文件应按</w:t>
      </w: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分别装订、密封、包装，未按规定装订、密封、包装的投标文件将被拒绝。</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4.3</w:t>
      </w:r>
      <w:r>
        <w:rPr>
          <w:rFonts w:hint="eastAsia" w:ascii="宋体" w:hAnsi="宋体" w:eastAsia="宋体" w:cs="宋体"/>
          <w:color w:val="auto"/>
          <w:highlight w:val="none"/>
        </w:rPr>
        <w:t>投标文件的正本需打印或用不褪色的墨水填写，投标文件正本除本《</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须知》中规定的可提供复印件外均须提供原件。副本可以为正本的复印件，投标文件正、副本内容不一致的，以正本为准。</w:t>
      </w:r>
    </w:p>
    <w:p>
      <w:pPr>
        <w:spacing w:line="360" w:lineRule="auto"/>
        <w:ind w:firstLine="525" w:firstLineChars="25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4.4</w:t>
      </w:r>
      <w:r>
        <w:rPr>
          <w:rFonts w:hint="eastAsia" w:ascii="宋体" w:hAnsi="宋体" w:eastAsia="宋体" w:cs="宋体"/>
          <w:color w:val="auto"/>
          <w:highlight w:val="none"/>
        </w:rPr>
        <w:t>投标文件不得涂改，若有修改错漏处，须加盖单位公章或者法定代表人或授权委托人签名或盖章。投标文件因字迹潦草或表达不清所引起的后果由</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负责。</w:t>
      </w:r>
    </w:p>
    <w:p>
      <w:pPr>
        <w:spacing w:line="360" w:lineRule="auto"/>
        <w:ind w:firstLine="525" w:firstLineChars="250"/>
        <w:rPr>
          <w:rFonts w:hint="eastAsia" w:ascii="宋体" w:hAnsi="宋体" w:eastAsia="宋体" w:cs="宋体"/>
          <w:color w:val="auto"/>
          <w:highlight w:val="none"/>
          <w:lang w:val="en-US" w:eastAsia="zh-CN"/>
        </w:rPr>
      </w:pPr>
      <w:r>
        <w:rPr>
          <w:rFonts w:hint="eastAsia" w:ascii="宋体" w:hAnsi="宋体" w:eastAsia="宋体" w:cs="宋体"/>
          <w:color w:val="auto"/>
          <w:highlight w:val="none"/>
          <w:lang w:val="en-US" w:eastAsia="zh-CN"/>
        </w:rPr>
        <w:t>4.5</w:t>
      </w:r>
      <w:r>
        <w:rPr>
          <w:rFonts w:hint="eastAsia" w:ascii="宋体" w:hAnsi="宋体" w:eastAsia="宋体" w:cs="宋体"/>
          <w:color w:val="auto"/>
          <w:highlight w:val="none"/>
        </w:rPr>
        <w:t>投标文件须由</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在规定位置盖章并由法定代表人或法定代表人的授权委托人签署，</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应写全称。</w:t>
      </w:r>
    </w:p>
    <w:p>
      <w:pPr>
        <w:snapToGrid w:val="0"/>
        <w:spacing w:line="360" w:lineRule="auto"/>
        <w:ind w:firstLine="310" w:firstLineChars="147"/>
        <w:jc w:val="lef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w:t>
      </w:r>
      <w:r>
        <w:rPr>
          <w:rFonts w:hint="eastAsia" w:ascii="宋体" w:hAnsi="宋体" w:eastAsia="宋体" w:cs="宋体"/>
          <w:b/>
          <w:color w:val="auto"/>
          <w:szCs w:val="21"/>
          <w:highlight w:val="none"/>
          <w:lang w:val="en-US" w:eastAsia="zh-CN"/>
        </w:rPr>
        <w:t>六</w:t>
      </w:r>
      <w:r>
        <w:rPr>
          <w:rFonts w:hint="eastAsia" w:ascii="宋体" w:hAnsi="宋体" w:eastAsia="宋体" w:cs="宋体"/>
          <w:b/>
          <w:color w:val="auto"/>
          <w:szCs w:val="21"/>
          <w:highlight w:val="none"/>
        </w:rPr>
        <w:t>）投标文件的包装、递交、修改和撤回</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w:t>
      </w:r>
      <w:r>
        <w:rPr>
          <w:rFonts w:hint="eastAsia" w:ascii="宋体" w:hAnsi="宋体" w:eastAsia="宋体" w:cs="宋体"/>
          <w:color w:val="auto"/>
          <w:kern w:val="0"/>
          <w:szCs w:val="21"/>
          <w:highlight w:val="none"/>
        </w:rPr>
        <w:t>以U盘存储的电子备份投标文件</w:t>
      </w:r>
      <w:r>
        <w:rPr>
          <w:rFonts w:hint="eastAsia" w:ascii="宋体" w:hAnsi="宋体" w:eastAsia="宋体" w:cs="宋体"/>
          <w:color w:val="auto"/>
          <w:szCs w:val="21"/>
          <w:highlight w:val="none"/>
        </w:rPr>
        <w:t>用封袋密封后递交。</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2、纸质备份投标文件，要求分别按资格、商务技术文件和报价文件二部分分开包装。</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3、投标文件的包装封面上应注明</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地址、投标文件名称(电子备份投标文件/资格文件/商务技术文件/报价文件/资格、商务技术文件)、投标项目名称、项目编号、标项号，并加盖</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公章。</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未按规定密封或标记的投标文件将被拒绝，由此造成投标文件被误投或提前拆封的风险由</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承担。</w:t>
      </w:r>
    </w:p>
    <w:p>
      <w:pPr>
        <w:snapToGrid w:val="0"/>
        <w:spacing w:line="360" w:lineRule="auto"/>
        <w:ind w:firstLine="42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在投标截止时间之前，可以对已提交的</w:t>
      </w:r>
      <w:r>
        <w:rPr>
          <w:rFonts w:hint="eastAsia" w:ascii="宋体" w:hAnsi="宋体" w:eastAsia="宋体" w:cs="宋体"/>
          <w:color w:val="auto"/>
          <w:kern w:val="0"/>
          <w:szCs w:val="21"/>
          <w:highlight w:val="none"/>
        </w:rPr>
        <w:t>电子备份投标文件</w:t>
      </w:r>
      <w:r>
        <w:rPr>
          <w:rFonts w:hint="eastAsia" w:ascii="宋体" w:hAnsi="宋体" w:eastAsia="宋体" w:cs="宋体"/>
          <w:color w:val="auto"/>
          <w:kern w:val="0"/>
          <w:szCs w:val="21"/>
          <w:highlight w:val="none"/>
          <w:lang w:val="en-US" w:eastAsia="zh-CN"/>
        </w:rPr>
        <w:t>和</w:t>
      </w:r>
      <w:r>
        <w:rPr>
          <w:rFonts w:hint="eastAsia" w:ascii="宋体" w:hAnsi="宋体" w:eastAsia="宋体" w:cs="宋体"/>
          <w:color w:val="auto"/>
          <w:kern w:val="0"/>
          <w:szCs w:val="21"/>
          <w:highlight w:val="none"/>
        </w:rPr>
        <w:t>纸质备份投标文件</w:t>
      </w:r>
      <w:r>
        <w:rPr>
          <w:rFonts w:hint="eastAsia" w:ascii="宋体" w:hAnsi="宋体" w:eastAsia="宋体" w:cs="宋体"/>
          <w:color w:val="auto"/>
          <w:szCs w:val="21"/>
          <w:highlight w:val="none"/>
        </w:rPr>
        <w:t>进行修改或撤回，并书面通知招标采购单位；投标截止时间后，</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不得撤回、修改投标文件。修改后重新递交的</w:t>
      </w:r>
      <w:r>
        <w:rPr>
          <w:rFonts w:hint="eastAsia" w:ascii="宋体" w:hAnsi="宋体" w:eastAsia="宋体" w:cs="宋体"/>
          <w:color w:val="auto"/>
          <w:kern w:val="0"/>
          <w:szCs w:val="21"/>
          <w:highlight w:val="none"/>
        </w:rPr>
        <w:t>电子备份投标文件</w:t>
      </w:r>
      <w:r>
        <w:rPr>
          <w:rFonts w:hint="eastAsia" w:ascii="宋体" w:hAnsi="宋体" w:eastAsia="宋体" w:cs="宋体"/>
          <w:color w:val="auto"/>
          <w:kern w:val="0"/>
          <w:szCs w:val="21"/>
          <w:highlight w:val="none"/>
          <w:lang w:val="en-US" w:eastAsia="zh-CN"/>
        </w:rPr>
        <w:t>和</w:t>
      </w:r>
      <w:r>
        <w:rPr>
          <w:rFonts w:hint="eastAsia" w:ascii="宋体" w:hAnsi="宋体" w:eastAsia="宋体" w:cs="宋体"/>
          <w:color w:val="auto"/>
          <w:kern w:val="0"/>
          <w:szCs w:val="21"/>
          <w:highlight w:val="none"/>
        </w:rPr>
        <w:t>纸质备份投标文件</w:t>
      </w:r>
      <w:r>
        <w:rPr>
          <w:rFonts w:hint="eastAsia" w:ascii="宋体" w:hAnsi="宋体" w:eastAsia="宋体" w:cs="宋体"/>
          <w:color w:val="auto"/>
          <w:szCs w:val="21"/>
          <w:highlight w:val="none"/>
        </w:rPr>
        <w:t>应当按本</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的要求签署、盖章和密封。</w:t>
      </w:r>
    </w:p>
    <w:p>
      <w:pPr>
        <w:snapToGrid w:val="0"/>
        <w:spacing w:line="360" w:lineRule="auto"/>
        <w:ind w:firstLine="42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pStyle w:val="14"/>
        <w:snapToGrid w:val="0"/>
        <w:spacing w:before="0" w:beforeLines="0" w:after="0" w:afterLines="0" w:line="360" w:lineRule="auto"/>
        <w:ind w:left="772" w:leftChars="267" w:hanging="211" w:hangingChars="100"/>
        <w:rPr>
          <w:rFonts w:hint="eastAsia" w:ascii="宋体" w:hAnsi="宋体" w:eastAsia="宋体" w:cs="宋体"/>
          <w:b/>
          <w:color w:val="auto"/>
          <w:highlight w:val="none"/>
        </w:rPr>
      </w:pPr>
      <w:bookmarkStart w:id="79" w:name="_Toc2054"/>
      <w:r>
        <w:rPr>
          <w:rFonts w:hint="eastAsia" w:ascii="宋体" w:hAnsi="宋体" w:eastAsia="宋体" w:cs="宋体"/>
          <w:b/>
          <w:color w:val="auto"/>
          <w:highlight w:val="none"/>
          <w:lang w:val="en-US" w:eastAsia="zh-CN"/>
        </w:rPr>
        <w:t>四</w:t>
      </w:r>
      <w:r>
        <w:rPr>
          <w:rFonts w:hint="eastAsia" w:ascii="宋体" w:hAnsi="宋体" w:eastAsia="宋体" w:cs="宋体"/>
          <w:b/>
          <w:color w:val="auto"/>
          <w:highlight w:val="none"/>
        </w:rPr>
        <w:t>、特别说明</w:t>
      </w:r>
      <w:bookmarkEnd w:id="79"/>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1、本项目</w:t>
      </w:r>
      <w:r>
        <w:rPr>
          <w:rFonts w:hint="eastAsia" w:ascii="宋体" w:hAnsi="宋体" w:eastAsia="宋体" w:cs="宋体"/>
          <w:color w:val="auto"/>
          <w:szCs w:val="21"/>
          <w:highlight w:val="none"/>
          <w:u w:val="single"/>
          <w:lang w:val="zh-CN"/>
        </w:rPr>
        <w:t xml:space="preserve"> 非</w:t>
      </w:r>
      <w:r>
        <w:rPr>
          <w:rFonts w:hint="eastAsia" w:ascii="宋体" w:hAnsi="宋体" w:eastAsia="宋体" w:cs="宋体"/>
          <w:color w:val="auto"/>
          <w:szCs w:val="21"/>
          <w:highlight w:val="none"/>
          <w:u w:val="single"/>
          <w:lang w:val="en-US" w:eastAsia="zh-CN"/>
        </w:rPr>
        <w:t xml:space="preserve"> </w:t>
      </w:r>
      <w:r>
        <w:rPr>
          <w:rFonts w:hint="eastAsia" w:ascii="宋体" w:hAnsi="宋体" w:eastAsia="宋体" w:cs="宋体"/>
          <w:color w:val="auto"/>
          <w:szCs w:val="21"/>
          <w:highlight w:val="none"/>
          <w:lang w:val="zh-CN"/>
        </w:rPr>
        <w:t>专门面向中小企业采购。</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2、本项目对应的中小企业划分标准所属行业：</w:t>
      </w:r>
      <w:r>
        <w:rPr>
          <w:rFonts w:hint="eastAsia" w:ascii="宋体" w:hAnsi="宋体" w:eastAsia="宋体" w:cs="宋体"/>
          <w:color w:val="auto"/>
          <w:szCs w:val="21"/>
          <w:highlight w:val="none"/>
          <w:u w:val="single"/>
          <w:lang w:val="en-US" w:eastAsia="zh-CN"/>
        </w:rPr>
        <w:t xml:space="preserve"> 软件和信息技术服务业 </w:t>
      </w:r>
      <w:r>
        <w:rPr>
          <w:rFonts w:hint="eastAsia" w:ascii="宋体" w:hAnsi="宋体" w:eastAsia="宋体" w:cs="宋体"/>
          <w:color w:val="auto"/>
          <w:szCs w:val="21"/>
          <w:highlight w:val="none"/>
          <w:lang w:val="zh-CN"/>
        </w:rPr>
        <w:t xml:space="preserve">。 </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3、小微企业是指中华人民共和国境内依法设立，依据国务院批准的中小企业划分标准确定的小型企业和微型企业，但与大企业的负责人为同一人，或者与大企业存在直接控股、管理关系的除外。</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符合中小企业划分标准的个体工商户，在政府采购活动中视同中小企业。</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国务院批准的中小企业划分标准：具体见工信部联企业[2011]300号。</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4、在政府采购活动中，供应商提供的货物、工程或者服务符合下列情形的，可享受小型、微型企业（以下简称小微企业）的价格扣除：</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（1）在货物采购项目中，货物由小微企业制造，即货物由小微企业生产且使用该小微企业商号或者注册商标；</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（2）在工程采购项目中，工程由小微企业承建，即工程施工单位为小微企业；</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（3）在服务采购项目中，服务由小微企业承接，即提供服务的人员为小微企业依照《中华人民共和国劳动合同法》订立劳动合同的从业人员。</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以联合体形式参加政府采购活动，联合体各方均为小微企业的，联合体视同小微企业。</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5、在货物采购项目中，供应商提供的货物既有中小企业制造货物，也有大型企业制造货物的，不享受的小微企业价格扣除。</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6、对于非专门面向中小企业采购的采购项目，小微企业报价给予 6%（工程项目为 3%）的扣除，用扣除后的价格参加评审。</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7、小微企业应按照招标文件格式要求提供《中小企业声明函》。</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9、根据《关于促进残疾人就业政府采购政策的通知》（财库[2017]141号）规定，在政府采购活动中，残疾人福利性单位视同小型、微型企业。残疾人福利性单位参加政府采购活动时，提供《残疾人福利性单位声明函》。</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10、按规定享受扶持政策获得政府采购合同的，小微企业不得将合同分包给大中型企业，中型企业不得将合同分包给大型企业。</w:t>
      </w:r>
    </w:p>
    <w:p>
      <w:pPr>
        <w:snapToGrid w:val="0"/>
        <w:spacing w:line="360" w:lineRule="auto"/>
        <w:ind w:firstLine="420"/>
        <w:jc w:val="left"/>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11、供应商按照《政府采购促进中小企业发展管理办法》规定提供声明函内容不实的，属于提供虚假材料谋取中标、成交，依照《中华人民共和国政府采购法》等国家有关规定追究相应责任。</w:t>
      </w:r>
    </w:p>
    <w:p>
      <w:pPr>
        <w:snapToGrid w:val="0"/>
        <w:spacing w:line="360" w:lineRule="auto"/>
        <w:jc w:val="left"/>
        <w:rPr>
          <w:rFonts w:hint="eastAsia" w:ascii="宋体" w:hAnsi="宋体" w:eastAsia="宋体" w:cs="宋体"/>
          <w:b/>
          <w:bCs/>
          <w:color w:val="auto"/>
          <w:sz w:val="32"/>
          <w:szCs w:val="32"/>
          <w:highlight w:val="none"/>
        </w:rPr>
        <w:sectPr>
          <w:pgSz w:w="11906" w:h="16838"/>
          <w:pgMar w:top="1474" w:right="1797" w:bottom="1247" w:left="1797" w:header="851" w:footer="851" w:gutter="0"/>
          <w:pgBorders>
            <w:top w:val="none" w:sz="0" w:space="0"/>
            <w:left w:val="none" w:sz="0" w:space="0"/>
            <w:bottom w:val="none" w:sz="0" w:space="0"/>
            <w:right w:val="none" w:sz="0" w:space="0"/>
          </w:pgBorders>
          <w:pgNumType w:fmt="decimal" w:start="1"/>
          <w:cols w:space="720" w:num="1"/>
          <w:docGrid w:linePitch="312" w:charSpace="0"/>
        </w:sectPr>
      </w:pPr>
      <w:bookmarkStart w:id="80" w:name="_Toc11063"/>
    </w:p>
    <w:p>
      <w:pPr>
        <w:snapToGrid w:val="0"/>
        <w:spacing w:line="360" w:lineRule="auto"/>
        <w:jc w:val="center"/>
        <w:rPr>
          <w:rFonts w:hint="eastAsia" w:ascii="宋体" w:hAnsi="宋体" w:eastAsia="宋体" w:cs="宋体"/>
          <w:color w:val="auto"/>
          <w:highlight w:val="none"/>
        </w:rPr>
      </w:pPr>
      <w:r>
        <w:rPr>
          <w:rFonts w:hint="eastAsia" w:ascii="宋体" w:hAnsi="宋体" w:eastAsia="宋体" w:cs="宋体"/>
          <w:b/>
          <w:bCs/>
          <w:color w:val="auto"/>
          <w:sz w:val="32"/>
          <w:szCs w:val="32"/>
          <w:highlight w:val="none"/>
        </w:rPr>
        <w:t>第四章  评标办法及评分标准</w:t>
      </w:r>
      <w:bookmarkEnd w:id="80"/>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本办法严格遵照《中华人民共和国政府采购法》、《政府采购货物和服务招标投标管理办法》，结合项目所在地政府有关政府采购规定和项目的实际情况制定。本次采购为非专门面向中小企业，本次评标将对中小企业声明函满足要求的小型和微型企业（或视同小微企业）产品的价格给予6%的扣除，对联合体投标（如有）中满足要求的小型和微型企业产品的价格给予2%的扣除，用扣除后的价格参与评审。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一、开标准备</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采购代理机构将在规定的时间和地点进行开标，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的法定代表人或其授权代表</w:t>
      </w:r>
      <w:r>
        <w:rPr>
          <w:rFonts w:hint="eastAsia" w:ascii="宋体" w:hAnsi="宋体" w:eastAsia="宋体" w:cs="宋体"/>
          <w:color w:val="auto"/>
          <w:szCs w:val="21"/>
          <w:highlight w:val="none"/>
          <w:lang w:val="en-US" w:eastAsia="zh-CN"/>
        </w:rPr>
        <w:t>可</w:t>
      </w:r>
      <w:r>
        <w:rPr>
          <w:rFonts w:hint="eastAsia" w:ascii="宋体" w:hAnsi="宋体" w:eastAsia="宋体" w:cs="宋体"/>
          <w:color w:val="auto"/>
          <w:szCs w:val="21"/>
          <w:highlight w:val="none"/>
        </w:rPr>
        <w:t>参加开标会。</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的法定代表人或其授权代表未</w:t>
      </w:r>
      <w:r>
        <w:rPr>
          <w:rFonts w:hint="eastAsia" w:ascii="宋体" w:hAnsi="宋体" w:eastAsia="宋体" w:cs="宋体"/>
          <w:color w:val="auto"/>
          <w:szCs w:val="21"/>
          <w:highlight w:val="none"/>
          <w:lang w:val="en-US" w:eastAsia="zh-CN"/>
        </w:rPr>
        <w:t>参加</w:t>
      </w:r>
      <w:r>
        <w:rPr>
          <w:rFonts w:hint="eastAsia" w:ascii="宋体" w:hAnsi="宋体" w:eastAsia="宋体" w:cs="宋体"/>
          <w:color w:val="auto"/>
          <w:szCs w:val="21"/>
          <w:highlight w:val="none"/>
        </w:rPr>
        <w:t>开标会</w:t>
      </w:r>
      <w:r>
        <w:rPr>
          <w:rFonts w:hint="eastAsia" w:ascii="宋体" w:hAnsi="宋体" w:eastAsia="宋体" w:cs="宋体"/>
          <w:color w:val="auto"/>
          <w:szCs w:val="21"/>
          <w:highlight w:val="none"/>
          <w:lang w:val="en-US" w:eastAsia="zh-CN"/>
        </w:rPr>
        <w:t>的</w:t>
      </w:r>
      <w:r>
        <w:rPr>
          <w:rFonts w:hint="eastAsia" w:ascii="宋体" w:hAnsi="宋体" w:eastAsia="宋体" w:cs="宋体"/>
          <w:color w:val="auto"/>
          <w:szCs w:val="21"/>
          <w:highlight w:val="none"/>
        </w:rPr>
        <w:t>，视同放弃开标监督权利、认可开标结果。</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t>二、开标程序：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Cs/>
          <w:color w:val="auto"/>
          <w:szCs w:val="21"/>
          <w:highlight w:val="none"/>
          <w:lang w:eastAsia="zh-CN" w:bidi="ar"/>
        </w:rPr>
      </w:pPr>
      <w:r>
        <w:rPr>
          <w:rFonts w:hint="eastAsia" w:ascii="宋体" w:hAnsi="宋体" w:eastAsia="宋体" w:cs="宋体"/>
          <w:bCs/>
          <w:color w:val="auto"/>
          <w:szCs w:val="21"/>
          <w:highlight w:val="none"/>
          <w:lang w:val="en-US" w:eastAsia="zh-CN" w:bidi="ar"/>
        </w:rPr>
        <w:t>1、</w:t>
      </w:r>
      <w:r>
        <w:rPr>
          <w:rFonts w:hint="eastAsia" w:ascii="宋体" w:hAnsi="宋体" w:eastAsia="宋体" w:cs="宋体"/>
          <w:bCs/>
          <w:color w:val="auto"/>
          <w:szCs w:val="21"/>
          <w:highlight w:val="none"/>
          <w:lang w:bidi="ar"/>
        </w:rPr>
        <w:t>电子招投标开标</w:t>
      </w:r>
      <w:r>
        <w:rPr>
          <w:rFonts w:hint="eastAsia" w:ascii="宋体" w:hAnsi="宋体" w:eastAsia="宋体" w:cs="宋体"/>
          <w:bCs/>
          <w:color w:val="auto"/>
          <w:szCs w:val="21"/>
          <w:highlight w:val="none"/>
          <w:lang w:val="en-US" w:eastAsia="zh-CN" w:bidi="ar"/>
        </w:rPr>
        <w:t>程序</w:t>
      </w:r>
      <w:r>
        <w:rPr>
          <w:rFonts w:hint="eastAsia" w:ascii="宋体" w:hAnsi="宋体" w:eastAsia="宋体" w:cs="宋体"/>
          <w:bCs/>
          <w:color w:val="auto"/>
          <w:szCs w:val="21"/>
          <w:highlight w:val="none"/>
          <w:lang w:eastAsia="zh-CN" w:bidi="ar"/>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第一阶段</w:t>
      </w:r>
      <w:r>
        <w:rPr>
          <w:rFonts w:hint="eastAsia" w:ascii="宋体" w:hAnsi="宋体" w:eastAsia="宋体" w:cs="宋体"/>
          <w:color w:val="auto"/>
          <w:szCs w:val="21"/>
          <w:highlight w:val="none"/>
          <w:lang w:eastAsia="zh-CN"/>
        </w:rPr>
        <w:t>：</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投标截止时间后，</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登录政府采购云平台，用“项目采购-开标评标”功能对电子投标文件进行在线解密，在线解密电子投标文件时间为开标时间</w:t>
      </w:r>
      <w:r>
        <w:rPr>
          <w:rFonts w:hint="eastAsia" w:ascii="宋体" w:hAnsi="宋体" w:eastAsia="宋体" w:cs="宋体"/>
          <w:color w:val="auto"/>
          <w:szCs w:val="21"/>
          <w:highlight w:val="none"/>
          <w:lang w:val="en-US" w:eastAsia="zh-CN"/>
        </w:rPr>
        <w:t>后30分钟</w:t>
      </w:r>
      <w:r>
        <w:rPr>
          <w:rFonts w:hint="eastAsia" w:ascii="宋体" w:hAnsi="宋体" w:eastAsia="宋体" w:cs="宋体"/>
          <w:color w:val="auto"/>
          <w:szCs w:val="21"/>
          <w:highlight w:val="none"/>
        </w:rPr>
        <w:t>内。</w:t>
      </w:r>
    </w:p>
    <w:p>
      <w:pPr>
        <w:keepNext w:val="0"/>
        <w:keepLines w:val="0"/>
        <w:pageBreakBefore w:val="0"/>
        <w:widowControl w:val="0"/>
        <w:numPr>
          <w:ilvl w:val="0"/>
          <w:numId w:val="14"/>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在政府采购云平台开启</w:t>
      </w:r>
      <w:r>
        <w:rPr>
          <w:rFonts w:hint="eastAsia" w:ascii="宋体" w:hAnsi="宋体" w:eastAsia="宋体" w:cs="宋体"/>
          <w:color w:val="auto"/>
          <w:szCs w:val="21"/>
          <w:highlight w:val="none"/>
          <w:lang w:val="en-US" w:eastAsia="zh-CN"/>
        </w:rPr>
        <w:t>已解密</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的“资格文件、商务技术文件”</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并做开标记录；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第二阶段</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（1）在</w:t>
      </w:r>
      <w:r>
        <w:rPr>
          <w:rFonts w:hint="eastAsia" w:ascii="宋体" w:hAnsi="宋体" w:eastAsia="宋体" w:cs="宋体"/>
          <w:color w:val="auto"/>
          <w:kern w:val="0"/>
          <w:szCs w:val="21"/>
          <w:highlight w:val="none"/>
        </w:rPr>
        <w:t>政府采购云平台</w:t>
      </w:r>
      <w:r>
        <w:rPr>
          <w:rFonts w:hint="eastAsia" w:ascii="宋体" w:hAnsi="宋体" w:eastAsia="宋体" w:cs="宋体"/>
          <w:color w:val="auto"/>
          <w:szCs w:val="21"/>
          <w:highlight w:val="none"/>
        </w:rPr>
        <w:t>宣告第一阶段评审无效</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名单及理由；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（2）公布经第一阶段评审符合</w:t>
      </w:r>
      <w:r>
        <w:rPr>
          <w:rFonts w:hint="eastAsia" w:ascii="宋体" w:hAnsi="宋体" w:eastAsia="宋体" w:cs="宋体"/>
          <w:color w:val="auto"/>
          <w:szCs w:val="21"/>
          <w:highlight w:val="none"/>
          <w:lang w:val="en-US" w:eastAsia="zh-CN"/>
        </w:rPr>
        <w:t>招标文件</w:t>
      </w:r>
      <w:r>
        <w:rPr>
          <w:rFonts w:hint="eastAsia" w:ascii="宋体" w:hAnsi="宋体" w:eastAsia="宋体" w:cs="宋体"/>
          <w:color w:val="auto"/>
          <w:szCs w:val="21"/>
          <w:highlight w:val="none"/>
        </w:rPr>
        <w:t>要求的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的商务技术得分情况；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（3）在</w:t>
      </w:r>
      <w:r>
        <w:rPr>
          <w:rFonts w:hint="eastAsia" w:ascii="宋体" w:hAnsi="宋体" w:eastAsia="宋体" w:cs="宋体"/>
          <w:color w:val="auto"/>
          <w:kern w:val="0"/>
          <w:szCs w:val="21"/>
          <w:highlight w:val="none"/>
        </w:rPr>
        <w:t>政府采购云平台</w:t>
      </w:r>
      <w:r>
        <w:rPr>
          <w:rFonts w:hint="eastAsia" w:ascii="宋体" w:hAnsi="宋体" w:eastAsia="宋体" w:cs="宋体"/>
          <w:color w:val="auto"/>
          <w:szCs w:val="21"/>
          <w:highlight w:val="none"/>
        </w:rPr>
        <w:t>开启除第一阶段无效标外的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的“报价文件”</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并做开标记录；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（4）在</w:t>
      </w:r>
      <w:r>
        <w:rPr>
          <w:rFonts w:hint="eastAsia" w:ascii="宋体" w:hAnsi="宋体" w:eastAsia="宋体" w:cs="宋体"/>
          <w:color w:val="auto"/>
          <w:kern w:val="0"/>
          <w:szCs w:val="21"/>
          <w:highlight w:val="none"/>
        </w:rPr>
        <w:t>政府采购云平台</w:t>
      </w:r>
      <w:r>
        <w:rPr>
          <w:rFonts w:hint="eastAsia" w:ascii="宋体" w:hAnsi="宋体" w:eastAsia="宋体" w:cs="宋体"/>
          <w:color w:val="auto"/>
          <w:szCs w:val="21"/>
          <w:highlight w:val="none"/>
        </w:rPr>
        <w:t>公布</w:t>
      </w:r>
      <w:r>
        <w:rPr>
          <w:rFonts w:hint="eastAsia" w:ascii="宋体" w:hAnsi="宋体" w:eastAsia="宋体" w:cs="宋体"/>
          <w:color w:val="auto"/>
          <w:szCs w:val="21"/>
          <w:highlight w:val="none"/>
          <w:lang w:val="en-US" w:eastAsia="zh-CN"/>
        </w:rPr>
        <w:t>评审结果</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highlight w:val="none"/>
          <w:lang w:eastAsia="zh-CN"/>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开标会议结束。</w:t>
      </w:r>
    </w:p>
    <w:p>
      <w:pPr>
        <w:keepNext w:val="0"/>
        <w:keepLines w:val="0"/>
        <w:pageBreakBefore w:val="0"/>
        <w:widowControl w:val="0"/>
        <w:numPr>
          <w:ilvl w:val="0"/>
          <w:numId w:val="15"/>
        </w:numPr>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线下开标程序</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第一阶段</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开标会由采购代理机构主持，主持人宣布开标会议开始；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bookmarkStart w:id="81" w:name="_Toc396115155"/>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主持人介绍参加开标会的人员名单；</w:t>
      </w:r>
      <w:bookmarkEnd w:id="81"/>
      <w:r>
        <w:rPr>
          <w:rFonts w:hint="eastAsia" w:ascii="宋体" w:hAnsi="宋体" w:eastAsia="宋体" w:cs="宋体"/>
          <w:color w:val="auto"/>
          <w:szCs w:val="21"/>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bookmarkStart w:id="82" w:name="_Toc396115156"/>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主持人宣布评标期间的有关事项，告知应当回避的情形,提请有关人员回避；</w:t>
      </w:r>
      <w:bookmarkEnd w:id="8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bookmarkStart w:id="83" w:name="_Toc396115157"/>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由</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或其当场推荐的代表检查资格、商务技术文件密封的完整性；</w:t>
      </w:r>
      <w:bookmarkEnd w:id="83"/>
      <w:bookmarkStart w:id="84" w:name="_Toc396115158"/>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按各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提交投标文件时间的先后顺序打开投标文件的资格、商务技术文件外包装，清点投标文件正本、副本数量</w:t>
      </w:r>
      <w:bookmarkEnd w:id="84"/>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并做开标记录；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eastAsia="zh-CN"/>
        </w:rPr>
      </w:pPr>
      <w:bookmarkStart w:id="85" w:name="_Toc396115159"/>
      <w:r>
        <w:rPr>
          <w:rFonts w:hint="eastAsia" w:ascii="宋体" w:hAnsi="宋体" w:eastAsia="宋体" w:cs="宋体"/>
          <w:color w:val="auto"/>
          <w:szCs w:val="21"/>
          <w:highlight w:val="none"/>
        </w:rPr>
        <w:t>第二阶段</w:t>
      </w:r>
      <w:r>
        <w:rPr>
          <w:rFonts w:hint="eastAsia" w:ascii="宋体" w:hAnsi="宋体" w:eastAsia="宋体" w:cs="宋体"/>
          <w:color w:val="auto"/>
          <w:szCs w:val="21"/>
          <w:highlight w:val="none"/>
          <w:lang w:eastAsia="zh-CN"/>
        </w:rPr>
        <w:t>：</w:t>
      </w:r>
    </w:p>
    <w:bookmarkEnd w:id="85"/>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val="en-US" w:eastAsia="zh-CN"/>
        </w:rPr>
        <w:t>由主持人公布</w:t>
      </w:r>
      <w:r>
        <w:rPr>
          <w:rFonts w:hint="eastAsia" w:ascii="宋体" w:hAnsi="宋体" w:eastAsia="宋体" w:cs="宋体"/>
          <w:color w:val="auto"/>
          <w:szCs w:val="21"/>
          <w:highlight w:val="none"/>
        </w:rPr>
        <w:t>第一阶段评审无效</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名单及理由；</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（2）公布经第一阶段评审符合</w:t>
      </w:r>
      <w:r>
        <w:rPr>
          <w:rFonts w:hint="eastAsia" w:ascii="宋体" w:hAnsi="宋体" w:eastAsia="宋体" w:cs="宋体"/>
          <w:color w:val="auto"/>
          <w:szCs w:val="21"/>
          <w:highlight w:val="none"/>
          <w:lang w:val="en-US" w:eastAsia="zh-CN"/>
        </w:rPr>
        <w:t>招标文件</w:t>
      </w:r>
      <w:r>
        <w:rPr>
          <w:rFonts w:hint="eastAsia" w:ascii="宋体" w:hAnsi="宋体" w:eastAsia="宋体" w:cs="宋体"/>
          <w:color w:val="auto"/>
          <w:szCs w:val="21"/>
          <w:highlight w:val="none"/>
        </w:rPr>
        <w:t>要求的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的商务技术得分情况；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bookmarkStart w:id="86" w:name="_Toc396115160"/>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由</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或其当场推荐的代表检查报价文件密封的完整性；</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再开启报价文件，由主持人宣读《开标一览表》中的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名称及在其投标文件中承诺的投标报价、交货期（服务期限）等投标内容，以及采购代理机构认为有必要宣读的其他内容；</w:t>
      </w:r>
      <w:bookmarkEnd w:id="86"/>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bookmarkStart w:id="87" w:name="_Toc396115161"/>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采购代理机构做开标记录, 同时由记录人、监督人当场签字确认；</w:t>
      </w:r>
      <w:bookmarkEnd w:id="8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主持人公布</w:t>
      </w:r>
      <w:r>
        <w:rPr>
          <w:rFonts w:hint="eastAsia" w:ascii="宋体" w:hAnsi="宋体" w:eastAsia="宋体" w:cs="宋体"/>
          <w:color w:val="auto"/>
          <w:szCs w:val="21"/>
          <w:highlight w:val="none"/>
          <w:lang w:val="en-US" w:eastAsia="zh-CN"/>
        </w:rPr>
        <w:t>评审结果</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bookmarkStart w:id="88" w:name="_Toc396115163"/>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开标会议结束。</w:t>
      </w:r>
      <w:bookmarkEnd w:id="88"/>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3、特别说明：</w:t>
      </w:r>
      <w:r>
        <w:rPr>
          <w:rFonts w:hint="eastAsia" w:ascii="宋体" w:hAnsi="宋体" w:eastAsia="宋体" w:cs="宋体"/>
          <w:color w:val="auto"/>
          <w:kern w:val="0"/>
          <w:szCs w:val="21"/>
          <w:highlight w:val="none"/>
        </w:rPr>
        <w:t>政府采购云平台</w:t>
      </w:r>
      <w:r>
        <w:rPr>
          <w:rFonts w:hint="eastAsia" w:ascii="宋体" w:hAnsi="宋体" w:eastAsia="宋体" w:cs="宋体"/>
          <w:color w:val="auto"/>
          <w:szCs w:val="21"/>
          <w:highlight w:val="none"/>
        </w:rPr>
        <w:t>如对电子化开标及评审程序有调整的，按调整后的程序操作。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本项目原则上采用政采云</w:t>
      </w:r>
      <w:r>
        <w:rPr>
          <w:rFonts w:hint="eastAsia" w:ascii="宋体" w:hAnsi="宋体" w:eastAsia="宋体" w:cs="宋体"/>
          <w:bCs/>
          <w:color w:val="auto"/>
          <w:szCs w:val="21"/>
          <w:highlight w:val="none"/>
          <w:lang w:bidi="ar"/>
        </w:rPr>
        <w:t>电子招投标开标</w:t>
      </w:r>
      <w:r>
        <w:rPr>
          <w:rFonts w:hint="eastAsia" w:ascii="宋体" w:hAnsi="宋体" w:eastAsia="宋体" w:cs="宋体"/>
          <w:bCs/>
          <w:color w:val="auto"/>
          <w:szCs w:val="21"/>
          <w:highlight w:val="none"/>
          <w:lang w:val="en-US" w:eastAsia="zh-CN" w:bidi="ar"/>
        </w:rPr>
        <w:t>程序</w:t>
      </w:r>
      <w:r>
        <w:rPr>
          <w:rFonts w:hint="eastAsia" w:ascii="宋体" w:hAnsi="宋体" w:eastAsia="宋体" w:cs="宋体"/>
          <w:color w:val="auto"/>
          <w:szCs w:val="21"/>
          <w:highlight w:val="none"/>
        </w:rPr>
        <w:t>，但有</w:t>
      </w:r>
      <w:r>
        <w:rPr>
          <w:rFonts w:hint="eastAsia" w:ascii="宋体" w:hAnsi="宋体" w:eastAsia="宋体" w:cs="宋体"/>
          <w:color w:val="auto"/>
          <w:szCs w:val="21"/>
          <w:highlight w:val="none"/>
          <w:lang w:eastAsia="zh-CN"/>
        </w:rPr>
        <w:t>以</w:t>
      </w:r>
      <w:r>
        <w:rPr>
          <w:rFonts w:hint="eastAsia" w:ascii="宋体" w:hAnsi="宋体" w:eastAsia="宋体" w:cs="宋体"/>
          <w:color w:val="auto"/>
          <w:szCs w:val="21"/>
          <w:highlight w:val="none"/>
        </w:rPr>
        <w:t>下情形之一的，按以下情况处理：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（1）若</w:t>
      </w:r>
      <w:r>
        <w:rPr>
          <w:rFonts w:hint="eastAsia" w:ascii="宋体" w:hAnsi="宋体" w:eastAsia="宋体" w:cs="宋体"/>
          <w:color w:val="auto"/>
          <w:szCs w:val="21"/>
          <w:highlight w:val="none"/>
          <w:lang w:eastAsia="zh-CN"/>
        </w:rPr>
        <w:t>有供应商</w:t>
      </w:r>
      <w:r>
        <w:rPr>
          <w:rFonts w:hint="eastAsia" w:ascii="宋体" w:hAnsi="宋体" w:eastAsia="宋体" w:cs="宋体"/>
          <w:color w:val="auto"/>
          <w:szCs w:val="21"/>
          <w:highlight w:val="none"/>
        </w:rPr>
        <w:t>在规定时间内无法解密或解密失败，代理机构将开启</w:t>
      </w:r>
      <w:r>
        <w:rPr>
          <w:rFonts w:hint="eastAsia" w:ascii="宋体" w:hAnsi="宋体" w:eastAsia="宋体" w:cs="宋体"/>
          <w:color w:val="auto"/>
          <w:szCs w:val="21"/>
          <w:highlight w:val="none"/>
          <w:lang w:eastAsia="zh-CN"/>
        </w:rPr>
        <w:t>该供应商</w:t>
      </w:r>
      <w:r>
        <w:rPr>
          <w:rFonts w:hint="eastAsia" w:ascii="宋体" w:hAnsi="宋体" w:eastAsia="宋体" w:cs="宋体"/>
          <w:color w:val="auto"/>
          <w:szCs w:val="21"/>
          <w:highlight w:val="none"/>
        </w:rPr>
        <w:t>递交的</w:t>
      </w:r>
      <w:r>
        <w:rPr>
          <w:rFonts w:hint="eastAsia" w:ascii="宋体" w:hAnsi="宋体" w:eastAsia="宋体" w:cs="宋体"/>
          <w:color w:val="auto"/>
          <w:kern w:val="0"/>
          <w:szCs w:val="21"/>
          <w:highlight w:val="none"/>
        </w:rPr>
        <w:t>以U盘存储的电子备份投标文件</w:t>
      </w:r>
      <w:r>
        <w:rPr>
          <w:rFonts w:hint="eastAsia" w:ascii="宋体" w:hAnsi="宋体" w:eastAsia="宋体" w:cs="宋体"/>
          <w:color w:val="auto"/>
          <w:szCs w:val="21"/>
          <w:highlight w:val="none"/>
        </w:rPr>
        <w:t>，上传至政采云平台项目采购模块，以完成开标，电子投标文件自动失效。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（2）若因</w:t>
      </w:r>
      <w:r>
        <w:rPr>
          <w:rFonts w:hint="eastAsia" w:ascii="宋体" w:hAnsi="宋体" w:eastAsia="宋体" w:cs="宋体"/>
          <w:color w:val="auto"/>
          <w:kern w:val="0"/>
          <w:szCs w:val="21"/>
          <w:highlight w:val="none"/>
        </w:rPr>
        <w:t>政府采购云平台</w:t>
      </w:r>
      <w:r>
        <w:rPr>
          <w:rFonts w:hint="eastAsia" w:ascii="宋体" w:hAnsi="宋体" w:eastAsia="宋体" w:cs="宋体"/>
          <w:color w:val="auto"/>
          <w:szCs w:val="21"/>
          <w:highlight w:val="none"/>
        </w:rPr>
        <w:t>原因无法读取或电子开评标无法正常进行，代理机构将开启所有</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递交的纸质备份投标文件，以完成开标，电子投标文件及</w:t>
      </w:r>
      <w:r>
        <w:rPr>
          <w:rFonts w:hint="eastAsia" w:ascii="宋体" w:hAnsi="宋体" w:eastAsia="宋体" w:cs="宋体"/>
          <w:color w:val="auto"/>
          <w:kern w:val="0"/>
          <w:szCs w:val="21"/>
          <w:highlight w:val="none"/>
        </w:rPr>
        <w:t>以U盘存储的电子备份投标文件</w:t>
      </w:r>
      <w:r>
        <w:rPr>
          <w:rFonts w:hint="eastAsia" w:ascii="宋体" w:hAnsi="宋体" w:eastAsia="宋体" w:cs="宋体"/>
          <w:color w:val="auto"/>
          <w:szCs w:val="21"/>
          <w:highlight w:val="none"/>
        </w:rPr>
        <w:t>自动失效。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（3）采购过程中出现以下情形，导致电子交易平台无法正常运行，或者无法保证电子交易的公平、公正和安全时，采购人（或代理机构）可中止电子交易活动：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3.1</w:t>
      </w:r>
      <w:r>
        <w:rPr>
          <w:rFonts w:hint="eastAsia" w:ascii="宋体" w:hAnsi="宋体" w:eastAsia="宋体" w:cs="宋体"/>
          <w:color w:val="auto"/>
          <w:szCs w:val="21"/>
          <w:highlight w:val="none"/>
        </w:rPr>
        <w:t xml:space="preserve">电子交易平台发生故障而无法登录访问的；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3.2</w:t>
      </w:r>
      <w:r>
        <w:rPr>
          <w:rFonts w:hint="eastAsia" w:ascii="宋体" w:hAnsi="宋体" w:eastAsia="宋体" w:cs="宋体"/>
          <w:color w:val="auto"/>
          <w:szCs w:val="21"/>
          <w:highlight w:val="none"/>
        </w:rPr>
        <w:t>电子交易平台应用或数据库出现错误，不能进行正常操作的；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3.3</w:t>
      </w:r>
      <w:r>
        <w:rPr>
          <w:rFonts w:hint="eastAsia" w:ascii="宋体" w:hAnsi="宋体" w:eastAsia="宋体" w:cs="宋体"/>
          <w:color w:val="auto"/>
          <w:szCs w:val="21"/>
          <w:highlight w:val="none"/>
        </w:rPr>
        <w:t>电子交易平台发现严重安全漏洞，有潜在泄密危险的；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3.4</w:t>
      </w:r>
      <w:r>
        <w:rPr>
          <w:rFonts w:hint="eastAsia" w:ascii="宋体" w:hAnsi="宋体" w:eastAsia="宋体" w:cs="宋体"/>
          <w:color w:val="auto"/>
          <w:szCs w:val="21"/>
          <w:highlight w:val="none"/>
        </w:rPr>
        <w:t xml:space="preserve">病毒发作导致不能进行正常操作的；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3.5</w:t>
      </w:r>
      <w:r>
        <w:rPr>
          <w:rFonts w:hint="eastAsia" w:ascii="宋体" w:hAnsi="宋体" w:eastAsia="宋体" w:cs="宋体"/>
          <w:color w:val="auto"/>
          <w:szCs w:val="21"/>
          <w:highlight w:val="none"/>
        </w:rPr>
        <w:t>其他无法保证电子交易的公平、公正和安全的情况。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出现前款规定情形，不影响采购公平、公正性的，采购人（或代理机构）可以待上述情形消除后继续组织电子交易活动，也可以决定某些环节以纸质形式进行。</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（4）未开启的备份投标文件现场予以退还。</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三、评标委员会</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（一）本次招标依法组建评标委员会。</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（二）评标原则。评标委员会必须遵循公平、公正、客观、科学的原则和规定的程序进行评标；评标的依据为</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和投标文件；评审人员应独立评标，不得带有任何倾向性和启发性影响他人评审；任何单位和个人不得干扰、影响评标的正常进行；评标委员会及有关工作人员不得私下与</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接触，不得向外界透露任何与评标有关的内容。</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（三）评审专家有下列情形之一的，受到邀请应主动提出回避，采购当事人也可以要求该评审专家回避：</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1、本人、配偶或直系亲属3年内曾在参加该采购项目的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中任职（包括一般工作）或担任顾问，或与参加该采购项目的</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发生过法律纠纷；</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2、任职单位与采购人或参加该采购项目</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存在行政隶属关系；</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3、曾经参加过该采购项目的进口产品或</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、采购需求、采购方式的论证和咨询服务工作；</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4、是参加该采购项目</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的上级主管部门、控股或参股单位的工作人员，或与该</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存在其他经济利益关系；</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5、评审委员会成员之间具有配偶、近亲属关系；</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、法律、法规、规章规定应当回避以及其他可能影响公正评审的。</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（四）评标委员会判断投标文件的有效性、合格性和响应情况，仅依据</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所递交一切文件的真实表述，不受与本项目无直接关联的外部信息、传言而影响自身的专业判断。</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四、评标方法</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（一）本次采购项目的评标方法为：综合评分法。</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采用综合评分法的，评标结果按评审后得分由高到低顺序</w:t>
      </w:r>
      <w:r>
        <w:rPr>
          <w:rFonts w:hint="eastAsia" w:ascii="宋体" w:hAnsi="宋体" w:eastAsia="宋体" w:cs="宋体"/>
          <w:bCs/>
          <w:color w:val="auto"/>
          <w:highlight w:val="none"/>
        </w:rPr>
        <w:t>推荐3名及以上</w:t>
      </w:r>
      <w:r>
        <w:rPr>
          <w:rFonts w:hint="eastAsia" w:ascii="宋体" w:hAnsi="宋体" w:eastAsia="宋体" w:cs="宋体"/>
          <w:color w:val="auto"/>
          <w:szCs w:val="21"/>
          <w:highlight w:val="none"/>
        </w:rPr>
        <w:t>中标</w:t>
      </w:r>
      <w:r>
        <w:rPr>
          <w:rFonts w:hint="eastAsia" w:ascii="宋体" w:hAnsi="宋体" w:eastAsia="宋体" w:cs="宋体"/>
          <w:bCs/>
          <w:color w:val="auto"/>
          <w:highlight w:val="none"/>
        </w:rPr>
        <w:t>候选人</w:t>
      </w:r>
      <w:r>
        <w:rPr>
          <w:rFonts w:hint="eastAsia" w:ascii="宋体" w:hAnsi="宋体" w:eastAsia="宋体" w:cs="宋体"/>
          <w:color w:val="auto"/>
          <w:szCs w:val="21"/>
          <w:highlight w:val="none"/>
        </w:rPr>
        <w:t>。得分相同的，按投标报价由低到高顺序排列。得分且投标报价相同的并列，则抽签决定。</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（三）投标文件的澄清</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1、对于投标文件中含义不明确、同类问题表述不一致或者有明显文字和计算错误的内容，评标委员会应当以书面形式要求</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作出必要的澄清、说明或者补正。</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的澄清、说明或者补正应当采用书面形式</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或扫描件上传政采云平台</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，并加盖公章，或者由法定代表人或其授权的代表</w:t>
      </w:r>
      <w:r>
        <w:rPr>
          <w:rFonts w:hint="eastAsia" w:ascii="宋体" w:hAnsi="宋体" w:eastAsia="宋体" w:cs="宋体"/>
          <w:color w:val="auto"/>
          <w:szCs w:val="21"/>
          <w:highlight w:val="none"/>
          <w:lang w:eastAsia="zh-CN"/>
        </w:rPr>
        <w:t>签名或盖章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的澄清、说明或者补正不得超出投标文件的范围或者改变投标文件的实质性内容。</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（四）投标文件错误修正原则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投标文件如果出现计算或表达上的错误，修正错误的原则如下：</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1、投标文件中开标一览表（报价表）内容与投标文件中相应内容不一致的，以开标一览表（报价表）为准；</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2、大写金额和小写金额不一致的，以大写金额为准；</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3、单价金额小数点或者百分比有明显错位的，以开标一览表的总价为准，并修改单价；</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4、总价金额与按单价汇总金额不一致的，以单价金额计算结果为准。</w:t>
      </w:r>
    </w:p>
    <w:p>
      <w:pPr>
        <w:widowControl/>
        <w:numPr>
          <w:ilvl w:val="0"/>
          <w:numId w:val="16"/>
        </w:numPr>
        <w:autoSpaceDE w:val="0"/>
        <w:spacing w:line="360" w:lineRule="auto"/>
        <w:ind w:firstLine="415" w:firstLineChars="198"/>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政采云平台填报的开标一览表中的价格与上传的报价文件中开标一览表的报价不一致的，以上传的报价文件为准。</w:t>
      </w:r>
    </w:p>
    <w:p>
      <w:pPr>
        <w:pStyle w:val="16"/>
        <w:keepNext w:val="0"/>
        <w:keepLines w:val="0"/>
        <w:pageBreakBefore w:val="0"/>
        <w:widowControl w:val="0"/>
        <w:kinsoku/>
        <w:wordWrap/>
        <w:overflowPunct/>
        <w:topLinePunct w:val="0"/>
        <w:autoSpaceDE/>
        <w:autoSpaceDN/>
        <w:bidi w:val="0"/>
        <w:adjustRightInd/>
        <w:snapToGrid/>
        <w:spacing w:line="360" w:lineRule="auto"/>
        <w:ind w:firstLine="417" w:firstLineChars="19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同时出现两种以上不一致的，按照前款规定的顺序修正。修正后的报价按照投标文件澄清第二款的规定经</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确认后产生约束力，</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不确认的，其投标无效。</w:t>
      </w:r>
    </w:p>
    <w:p>
      <w:pPr>
        <w:pStyle w:val="16"/>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textAlignment w:val="auto"/>
        <w:rPr>
          <w:rFonts w:hint="eastAsia" w:ascii="宋体" w:hAnsi="宋体" w:eastAsia="宋体" w:cs="宋体"/>
          <w:color w:val="auto"/>
          <w:szCs w:val="21"/>
          <w:highlight w:val="none"/>
        </w:rPr>
      </w:pP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bookmarkStart w:id="89" w:name="_Toc481567077"/>
      <w:bookmarkStart w:id="90" w:name="_Toc493058318"/>
      <w:r>
        <w:rPr>
          <w:rFonts w:hint="eastAsia" w:ascii="宋体" w:hAnsi="宋体" w:eastAsia="宋体" w:cs="宋体"/>
          <w:b/>
          <w:bCs/>
          <w:color w:val="auto"/>
          <w:szCs w:val="21"/>
          <w:highlight w:val="none"/>
        </w:rPr>
        <w:t>评标</w:t>
      </w:r>
      <w:bookmarkEnd w:id="89"/>
      <w:r>
        <w:rPr>
          <w:rFonts w:hint="eastAsia" w:ascii="宋体" w:hAnsi="宋体" w:eastAsia="宋体" w:cs="宋体"/>
          <w:b/>
          <w:bCs/>
          <w:color w:val="auto"/>
          <w:szCs w:val="21"/>
          <w:highlight w:val="none"/>
        </w:rPr>
        <w:t>程序</w:t>
      </w:r>
      <w:bookmarkEnd w:id="90"/>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（一）资格条件审查</w:t>
      </w:r>
    </w:p>
    <w:p>
      <w:pPr>
        <w:keepNext w:val="0"/>
        <w:keepLines w:val="0"/>
        <w:pageBreakBefore w:val="0"/>
        <w:widowControl w:val="0"/>
        <w:kinsoku/>
        <w:wordWrap/>
        <w:overflowPunct/>
        <w:topLinePunct w:val="0"/>
        <w:autoSpaceDE/>
        <w:autoSpaceDN/>
        <w:bidi w:val="0"/>
        <w:adjustRightInd/>
        <w:snapToGrid/>
        <w:spacing w:line="360" w:lineRule="auto"/>
        <w:ind w:firstLine="522" w:firstLineChars="249"/>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由采购人或采购代理机构对</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的资格进行审查。</w:t>
      </w:r>
    </w:p>
    <w:tbl>
      <w:tblPr>
        <w:tblStyle w:val="23"/>
        <w:tblW w:w="8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审查类别</w:t>
            </w:r>
          </w:p>
        </w:tc>
        <w:tc>
          <w:tcPr>
            <w:tcW w:w="6794"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资格条件审查</w:t>
            </w:r>
          </w:p>
        </w:tc>
        <w:tc>
          <w:tcPr>
            <w:tcW w:w="6794" w:type="dxa"/>
            <w:noWrap w:val="0"/>
            <w:vAlign w:val="top"/>
          </w:tcPr>
          <w:p>
            <w:pPr>
              <w:keepNext w:val="0"/>
              <w:keepLines w:val="0"/>
              <w:pageBreakBefore w:val="0"/>
              <w:widowControl w:val="0"/>
              <w:numPr>
                <w:ilvl w:val="0"/>
                <w:numId w:val="18"/>
              </w:numPr>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i w:val="0"/>
                <w:iCs w:val="0"/>
                <w:color w:val="auto"/>
                <w:sz w:val="21"/>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Cs w:val="21"/>
                <w:highlight w:val="none"/>
              </w:rPr>
            </w:pPr>
          </w:p>
        </w:tc>
        <w:tc>
          <w:tcPr>
            <w:tcW w:w="6794" w:type="dxa"/>
            <w:noWrap w:val="0"/>
            <w:vAlign w:val="top"/>
          </w:tcPr>
          <w:p>
            <w:pPr>
              <w:keepNext w:val="0"/>
              <w:keepLines w:val="0"/>
              <w:pageBreakBefore w:val="0"/>
              <w:widowControl w:val="0"/>
              <w:numPr>
                <w:ilvl w:val="0"/>
                <w:numId w:val="18"/>
              </w:numPr>
              <w:kinsoku/>
              <w:wordWrap/>
              <w:overflowPunct/>
              <w:topLinePunct w:val="0"/>
              <w:autoSpaceDE/>
              <w:autoSpaceDN/>
              <w:bidi w:val="0"/>
              <w:adjustRightInd/>
              <w:snapToGrid/>
              <w:spacing w:line="336" w:lineRule="auto"/>
              <w:textAlignment w:val="auto"/>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落实政府采购政策需满足的资格要求：无。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p>
        </w:tc>
        <w:tc>
          <w:tcPr>
            <w:tcW w:w="6794"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三</w:t>
            </w:r>
            <w:r>
              <w:rPr>
                <w:rFonts w:hint="eastAsia" w:ascii="宋体" w:hAnsi="宋体" w:eastAsia="宋体" w:cs="宋体"/>
                <w:color w:val="auto"/>
                <w:highlight w:val="none"/>
              </w:rPr>
              <w:t>）特定资格条件：</w:t>
            </w:r>
            <w:r>
              <w:rPr>
                <w:rFonts w:hint="eastAsia" w:ascii="宋体" w:hAnsi="宋体" w:eastAsia="宋体" w:cs="宋体"/>
                <w:color w:val="auto"/>
                <w:highlight w:val="none"/>
                <w:lang w:eastAsia="zh-CN"/>
              </w:rPr>
              <w:t>详见“第一章  公开招标公告 二、申请人的资格要求：3.本项目的特定资格要求”</w:t>
            </w: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p>
        </w:tc>
        <w:tc>
          <w:tcPr>
            <w:tcW w:w="6794"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w:t>
            </w:r>
            <w:r>
              <w:rPr>
                <w:rFonts w:hint="eastAsia" w:ascii="宋体" w:hAnsi="宋体" w:eastAsia="宋体" w:cs="宋体"/>
                <w:color w:val="auto"/>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Cs w:val="21"/>
                <w:highlight w:val="none"/>
              </w:rPr>
            </w:pPr>
          </w:p>
        </w:tc>
        <w:tc>
          <w:tcPr>
            <w:tcW w:w="6794"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要求的其他资格条件（如有）。</w:t>
            </w:r>
          </w:p>
        </w:tc>
      </w:tr>
    </w:tbl>
    <w:p>
      <w:pPr>
        <w:spacing w:line="360" w:lineRule="auto"/>
        <w:ind w:firstLine="422" w:firstLineChars="20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（二）符合性审查</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评标委员会应当对符合资格的</w:t>
      </w:r>
      <w:r>
        <w:rPr>
          <w:rFonts w:hint="eastAsia" w:ascii="宋体" w:hAnsi="宋体" w:eastAsia="宋体" w:cs="宋体"/>
          <w:color w:val="auto"/>
          <w:kern w:val="0"/>
          <w:szCs w:val="21"/>
          <w:highlight w:val="none"/>
          <w:lang w:eastAsia="zh-CN"/>
        </w:rPr>
        <w:t>供应商</w:t>
      </w:r>
      <w:r>
        <w:rPr>
          <w:rFonts w:hint="eastAsia" w:ascii="宋体" w:hAnsi="宋体" w:eastAsia="宋体" w:cs="宋体"/>
          <w:color w:val="auto"/>
          <w:kern w:val="0"/>
          <w:szCs w:val="21"/>
          <w:highlight w:val="none"/>
        </w:rPr>
        <w:t>的投标文件进行符合性审查，以确定其是否满足</w:t>
      </w:r>
      <w:r>
        <w:rPr>
          <w:rFonts w:hint="eastAsia" w:ascii="宋体" w:hAnsi="宋体" w:eastAsia="宋体" w:cs="宋体"/>
          <w:color w:val="auto"/>
          <w:kern w:val="0"/>
          <w:szCs w:val="21"/>
          <w:highlight w:val="none"/>
          <w:lang w:eastAsia="zh-CN"/>
        </w:rPr>
        <w:t>招标文件</w:t>
      </w:r>
      <w:r>
        <w:rPr>
          <w:rFonts w:hint="eastAsia" w:ascii="宋体" w:hAnsi="宋体" w:eastAsia="宋体" w:cs="宋体"/>
          <w:color w:val="auto"/>
          <w:kern w:val="0"/>
          <w:szCs w:val="21"/>
          <w:highlight w:val="none"/>
        </w:rPr>
        <w:t>的实质性要求。</w:t>
      </w:r>
    </w:p>
    <w:tbl>
      <w:tblPr>
        <w:tblStyle w:val="23"/>
        <w:tblW w:w="831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0"/>
        <w:gridCol w:w="6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90"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审查类别</w:t>
            </w:r>
          </w:p>
        </w:tc>
        <w:tc>
          <w:tcPr>
            <w:tcW w:w="6525" w:type="dxa"/>
            <w:noWrap w:val="0"/>
            <w:vAlign w:val="top"/>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符合性审查</w:t>
            </w:r>
          </w:p>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商务技术文件</w:t>
            </w:r>
            <w:r>
              <w:rPr>
                <w:rFonts w:hint="eastAsia" w:ascii="宋体" w:hAnsi="宋体" w:eastAsia="宋体" w:cs="宋体"/>
                <w:color w:val="auto"/>
                <w:sz w:val="21"/>
                <w:szCs w:val="21"/>
                <w:highlight w:val="none"/>
                <w:lang w:eastAsia="zh-CN"/>
              </w:rPr>
              <w:t>）</w:t>
            </w: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）投标函已提交并符合</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）按照</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）投标文件</w:t>
            </w:r>
            <w:r>
              <w:rPr>
                <w:rFonts w:hint="eastAsia" w:ascii="宋体" w:hAnsi="宋体" w:eastAsia="宋体" w:cs="宋体"/>
                <w:color w:val="auto"/>
                <w:sz w:val="21"/>
                <w:szCs w:val="21"/>
                <w:highlight w:val="none"/>
                <w:lang w:val="en-US" w:eastAsia="zh-CN"/>
              </w:rPr>
              <w:t>有</w:t>
            </w:r>
            <w:r>
              <w:rPr>
                <w:rFonts w:hint="eastAsia" w:ascii="宋体" w:hAnsi="宋体" w:eastAsia="宋体" w:cs="宋体"/>
                <w:color w:val="auto"/>
                <w:sz w:val="21"/>
                <w:szCs w:val="21"/>
                <w:highlight w:val="none"/>
              </w:rPr>
              <w:t>法定代表人签署本人姓名（或印盖本人姓名章）</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或签署人提供有效的法定代表人授权委托书</w:t>
            </w:r>
            <w:r>
              <w:rPr>
                <w:rFonts w:hint="eastAsia" w:ascii="宋体" w:hAnsi="宋体" w:eastAsia="宋体" w:cs="宋体"/>
                <w:color w:val="auto"/>
                <w:sz w:val="21"/>
                <w:szCs w:val="21"/>
                <w:highlight w:val="none"/>
                <w:lang w:val="en-US" w:eastAsia="zh-CN"/>
              </w:rPr>
              <w:t>且</w:t>
            </w:r>
            <w:r>
              <w:rPr>
                <w:rFonts w:hint="eastAsia" w:ascii="宋体" w:hAnsi="宋体" w:eastAsia="宋体" w:cs="宋体"/>
                <w:color w:val="auto"/>
                <w:sz w:val="21"/>
                <w:szCs w:val="21"/>
                <w:highlight w:val="none"/>
              </w:rPr>
              <w:t>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）投标文件标明的响应或偏离与事实</w:t>
            </w:r>
            <w:r>
              <w:rPr>
                <w:rFonts w:hint="eastAsia" w:ascii="宋体" w:hAnsi="宋体" w:eastAsia="宋体" w:cs="宋体"/>
                <w:color w:val="auto"/>
                <w:sz w:val="21"/>
                <w:szCs w:val="21"/>
                <w:highlight w:val="none"/>
                <w:lang w:val="en-US" w:eastAsia="zh-CN"/>
              </w:rPr>
              <w:t>相符且无</w:t>
            </w:r>
            <w:r>
              <w:rPr>
                <w:rFonts w:hint="eastAsia" w:ascii="宋体" w:hAnsi="宋体" w:eastAsia="宋体" w:cs="宋体"/>
                <w:color w:val="auto"/>
                <w:sz w:val="21"/>
                <w:szCs w:val="21"/>
                <w:highlight w:val="none"/>
              </w:rPr>
              <w:t>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六</w:t>
            </w:r>
            <w:r>
              <w:rPr>
                <w:rFonts w:hint="eastAsia" w:ascii="宋体" w:hAnsi="宋体" w:eastAsia="宋体" w:cs="宋体"/>
                <w:color w:val="auto"/>
                <w:sz w:val="21"/>
                <w:szCs w:val="21"/>
                <w:highlight w:val="none"/>
              </w:rPr>
              <w:t>）投标文件的实质性内容使用中文表述</w:t>
            </w:r>
            <w:r>
              <w:rPr>
                <w:rFonts w:hint="eastAsia" w:ascii="宋体" w:hAnsi="宋体" w:eastAsia="宋体" w:cs="宋体"/>
                <w:color w:val="auto"/>
                <w:sz w:val="21"/>
                <w:szCs w:val="21"/>
                <w:highlight w:val="none"/>
                <w:lang w:val="en-US" w:eastAsia="zh-CN"/>
              </w:rPr>
              <w:t>且</w:t>
            </w:r>
            <w:r>
              <w:rPr>
                <w:rFonts w:hint="eastAsia" w:ascii="宋体" w:hAnsi="宋体" w:eastAsia="宋体" w:cs="宋体"/>
                <w:color w:val="auto"/>
                <w:sz w:val="21"/>
                <w:szCs w:val="21"/>
                <w:highlight w:val="none"/>
              </w:rPr>
              <w:t>意思表述明确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前后</w:t>
            </w:r>
            <w:r>
              <w:rPr>
                <w:rFonts w:hint="eastAsia" w:ascii="宋体" w:hAnsi="宋体" w:eastAsia="宋体" w:cs="宋体"/>
                <w:color w:val="auto"/>
                <w:sz w:val="21"/>
                <w:szCs w:val="21"/>
                <w:highlight w:val="none"/>
                <w:lang w:val="en-US" w:eastAsia="zh-CN"/>
              </w:rPr>
              <w:t>无</w:t>
            </w:r>
            <w:r>
              <w:rPr>
                <w:rFonts w:hint="eastAsia" w:ascii="宋体" w:hAnsi="宋体" w:eastAsia="宋体" w:cs="宋体"/>
                <w:color w:val="auto"/>
                <w:sz w:val="21"/>
                <w:szCs w:val="21"/>
                <w:highlight w:val="none"/>
              </w:rPr>
              <w:t>矛盾</w:t>
            </w:r>
            <w:r>
              <w:rPr>
                <w:rFonts w:hint="eastAsia" w:ascii="宋体" w:hAnsi="宋体" w:eastAsia="宋体" w:cs="宋体"/>
                <w:color w:val="auto"/>
                <w:sz w:val="21"/>
                <w:szCs w:val="21"/>
                <w:highlight w:val="none"/>
                <w:lang w:val="en-US" w:eastAsia="zh-CN"/>
              </w:rPr>
              <w:t>且</w:t>
            </w:r>
            <w:r>
              <w:rPr>
                <w:rFonts w:hint="eastAsia" w:ascii="宋体" w:hAnsi="宋体" w:eastAsia="宋体" w:cs="宋体"/>
                <w:color w:val="auto"/>
                <w:sz w:val="21"/>
                <w:szCs w:val="21"/>
                <w:highlight w:val="none"/>
              </w:rPr>
              <w:t>使用计量单位符合</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）带“★”的条款满足</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val="en-US" w:eastAsia="zh-CN"/>
              </w:rPr>
              <w:t>已</w:t>
            </w:r>
            <w:r>
              <w:rPr>
                <w:rFonts w:hint="eastAsia" w:ascii="宋体" w:hAnsi="宋体" w:eastAsia="宋体" w:cs="宋体"/>
                <w:color w:val="auto"/>
                <w:sz w:val="21"/>
                <w:szCs w:val="21"/>
                <w:highlight w:val="none"/>
              </w:rPr>
              <w:t>实质性响应</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要求</w:t>
            </w:r>
            <w:r>
              <w:rPr>
                <w:rFonts w:hint="eastAsia" w:ascii="宋体" w:hAnsi="宋体" w:eastAsia="宋体" w:cs="宋体"/>
                <w:color w:val="auto"/>
                <w:sz w:val="21"/>
                <w:szCs w:val="21"/>
                <w:highlight w:val="none"/>
                <w:lang w:val="en-US" w:eastAsia="zh-CN"/>
              </w:rPr>
              <w:t>且</w:t>
            </w:r>
            <w:r>
              <w:rPr>
                <w:rFonts w:hint="eastAsia" w:ascii="宋体" w:hAnsi="宋体" w:eastAsia="宋体" w:cs="宋体"/>
                <w:color w:val="auto"/>
                <w:sz w:val="21"/>
                <w:szCs w:val="21"/>
                <w:highlight w:val="none"/>
              </w:rPr>
              <w:t>投标文件</w:t>
            </w:r>
            <w:r>
              <w:rPr>
                <w:rFonts w:hint="eastAsia" w:ascii="宋体" w:hAnsi="宋体" w:eastAsia="宋体" w:cs="宋体"/>
                <w:color w:val="auto"/>
                <w:sz w:val="21"/>
                <w:szCs w:val="21"/>
                <w:highlight w:val="none"/>
                <w:lang w:val="en-US" w:eastAsia="zh-CN"/>
              </w:rPr>
              <w:t>无</w:t>
            </w:r>
            <w:r>
              <w:rPr>
                <w:rFonts w:hint="eastAsia" w:ascii="宋体" w:hAnsi="宋体" w:eastAsia="宋体" w:cs="宋体"/>
                <w:color w:val="auto"/>
                <w:sz w:val="21"/>
                <w:szCs w:val="21"/>
                <w:highlight w:val="none"/>
              </w:rPr>
              <w:t>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八</w:t>
            </w:r>
            <w:r>
              <w:rPr>
                <w:rFonts w:hint="eastAsia" w:ascii="宋体" w:hAnsi="宋体" w:eastAsia="宋体" w:cs="宋体"/>
                <w:color w:val="auto"/>
                <w:sz w:val="21"/>
                <w:szCs w:val="21"/>
                <w:highlight w:val="none"/>
              </w:rPr>
              <w:t>）允许偏离的技术、性能指标或者辅助功能项目发生负偏离</w:t>
            </w:r>
            <w:r>
              <w:rPr>
                <w:rFonts w:hint="eastAsia" w:ascii="宋体" w:hAnsi="宋体" w:eastAsia="宋体" w:cs="宋体"/>
                <w:color w:val="auto"/>
                <w:sz w:val="21"/>
                <w:szCs w:val="21"/>
                <w:highlight w:val="none"/>
                <w:lang w:val="en-US" w:eastAsia="zh-CN"/>
              </w:rPr>
              <w:t>未</w:t>
            </w:r>
            <w:r>
              <w:rPr>
                <w:rFonts w:hint="eastAsia" w:ascii="宋体" w:hAnsi="宋体" w:eastAsia="宋体" w:cs="宋体"/>
                <w:color w:val="auto"/>
                <w:sz w:val="21"/>
                <w:szCs w:val="21"/>
                <w:highlight w:val="none"/>
              </w:rPr>
              <w:t>达10项（含）以上的；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九</w:t>
            </w:r>
            <w:r>
              <w:rPr>
                <w:rFonts w:hint="eastAsia" w:ascii="宋体" w:hAnsi="宋体" w:eastAsia="宋体" w:cs="宋体"/>
                <w:color w:val="auto"/>
                <w:sz w:val="21"/>
                <w:szCs w:val="21"/>
                <w:highlight w:val="none"/>
              </w:rPr>
              <w:t>）投标技术方案明确，</w:t>
            </w:r>
            <w:r>
              <w:rPr>
                <w:rFonts w:hint="eastAsia" w:ascii="宋体" w:hAnsi="宋体" w:eastAsia="宋体" w:cs="宋体"/>
                <w:color w:val="auto"/>
                <w:sz w:val="21"/>
                <w:szCs w:val="21"/>
                <w:highlight w:val="none"/>
                <w:lang w:val="en-US" w:eastAsia="zh-CN"/>
              </w:rPr>
              <w:t>不</w:t>
            </w:r>
            <w:r>
              <w:rPr>
                <w:rFonts w:hint="eastAsia" w:ascii="宋体" w:hAnsi="宋体" w:eastAsia="宋体" w:cs="宋体"/>
                <w:color w:val="auto"/>
                <w:sz w:val="21"/>
                <w:szCs w:val="21"/>
                <w:highlight w:val="none"/>
              </w:rPr>
              <w:t>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十</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商务</w:t>
            </w:r>
            <w:r>
              <w:rPr>
                <w:rFonts w:hint="eastAsia" w:ascii="宋体" w:hAnsi="宋体" w:eastAsia="宋体" w:cs="宋体"/>
                <w:color w:val="auto"/>
                <w:sz w:val="21"/>
                <w:szCs w:val="21"/>
                <w:highlight w:val="none"/>
              </w:rPr>
              <w:t>技术文件中</w:t>
            </w:r>
            <w:r>
              <w:rPr>
                <w:rFonts w:hint="eastAsia" w:ascii="宋体" w:hAnsi="宋体" w:eastAsia="宋体" w:cs="宋体"/>
                <w:color w:val="auto"/>
                <w:sz w:val="21"/>
                <w:szCs w:val="21"/>
                <w:highlight w:val="none"/>
                <w:lang w:val="en-US" w:eastAsia="zh-CN"/>
              </w:rPr>
              <w:t>未</w:t>
            </w:r>
            <w:r>
              <w:rPr>
                <w:rFonts w:hint="eastAsia" w:ascii="宋体" w:hAnsi="宋体" w:eastAsia="宋体" w:cs="宋体"/>
                <w:color w:val="auto"/>
                <w:sz w:val="21"/>
                <w:szCs w:val="21"/>
                <w:highlight w:val="none"/>
              </w:rPr>
              <w:t>出现报价或单价的</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十一</w:t>
            </w:r>
            <w:r>
              <w:rPr>
                <w:rFonts w:hint="eastAsia" w:ascii="宋体" w:hAnsi="宋体" w:eastAsia="宋体" w:cs="宋体"/>
                <w:color w:val="auto"/>
                <w:sz w:val="21"/>
                <w:szCs w:val="21"/>
                <w:highlight w:val="none"/>
              </w:rPr>
              <w:t>）不存在法律、法规和</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规定的其他无效情形</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p>
        </w:tc>
        <w:tc>
          <w:tcPr>
            <w:tcW w:w="6525"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十二</w:t>
            </w:r>
            <w:r>
              <w:rPr>
                <w:rFonts w:hint="eastAsia" w:ascii="宋体" w:hAnsi="宋体" w:eastAsia="宋体" w:cs="宋体"/>
                <w:color w:val="auto"/>
                <w:sz w:val="21"/>
                <w:szCs w:val="21"/>
                <w:highlight w:val="none"/>
              </w:rPr>
              <w:t>）不存在投标文件的有效期不满足</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要求情形</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符合性审查</w:t>
            </w:r>
          </w:p>
          <w:p>
            <w:pPr>
              <w:keepNext w:val="0"/>
              <w:keepLines w:val="0"/>
              <w:pageBreakBefore w:val="0"/>
              <w:widowControl w:val="0"/>
              <w:kinsoku/>
              <w:wordWrap/>
              <w:overflowPunct/>
              <w:topLinePunct w:val="0"/>
              <w:autoSpaceDE/>
              <w:autoSpaceDN/>
              <w:bidi w:val="0"/>
              <w:adjustRightInd/>
              <w:snapToGrid/>
              <w:spacing w:line="336" w:lineRule="auto"/>
              <w:ind w:firstLine="210" w:firstLineChars="10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报价文件</w:t>
            </w:r>
            <w:r>
              <w:rPr>
                <w:rFonts w:hint="eastAsia" w:ascii="宋体" w:hAnsi="宋体" w:eastAsia="宋体" w:cs="宋体"/>
                <w:color w:val="auto"/>
                <w:sz w:val="21"/>
                <w:szCs w:val="21"/>
                <w:highlight w:val="none"/>
                <w:lang w:eastAsia="zh-CN"/>
              </w:rPr>
              <w:t>）</w:t>
            </w: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一</w:t>
            </w:r>
            <w:r>
              <w:rPr>
                <w:rFonts w:hint="eastAsia" w:ascii="宋体" w:hAnsi="宋体" w:eastAsia="宋体" w:cs="宋体"/>
                <w:color w:val="auto"/>
                <w:sz w:val="21"/>
                <w:szCs w:val="21"/>
                <w:highlight w:val="none"/>
              </w:rPr>
              <w:t>）按照</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二</w:t>
            </w:r>
            <w:r>
              <w:rPr>
                <w:rFonts w:hint="eastAsia" w:ascii="宋体" w:hAnsi="宋体" w:eastAsia="宋体" w:cs="宋体"/>
                <w:color w:val="auto"/>
                <w:sz w:val="21"/>
                <w:szCs w:val="21"/>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三</w:t>
            </w:r>
            <w:r>
              <w:rPr>
                <w:rFonts w:hint="eastAsia" w:ascii="宋体" w:hAnsi="宋体" w:eastAsia="宋体" w:cs="宋体"/>
                <w:color w:val="auto"/>
                <w:sz w:val="21"/>
                <w:szCs w:val="21"/>
                <w:highlight w:val="none"/>
              </w:rPr>
              <w:t>）采用人民币报价或者按照</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四</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不存在</w:t>
            </w:r>
            <w:r>
              <w:rPr>
                <w:rFonts w:hint="eastAsia" w:ascii="宋体" w:hAnsi="宋体" w:eastAsia="宋体" w:cs="宋体"/>
                <w:color w:val="auto"/>
                <w:sz w:val="21"/>
                <w:szCs w:val="21"/>
                <w:highlight w:val="none"/>
              </w:rPr>
              <w:t>报价超出最高限价，或者超出采购预算金额，采购人不能支付的</w:t>
            </w:r>
            <w:r>
              <w:rPr>
                <w:rFonts w:hint="eastAsia" w:ascii="宋体" w:hAnsi="宋体" w:eastAsia="宋体" w:cs="宋体"/>
                <w:color w:val="auto"/>
                <w:sz w:val="21"/>
                <w:szCs w:val="21"/>
                <w:highlight w:val="none"/>
                <w:lang w:val="en-US" w:eastAsia="zh-CN"/>
              </w:rPr>
              <w:t>情形</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不存在</w:t>
            </w:r>
            <w:r>
              <w:rPr>
                <w:rFonts w:hint="eastAsia" w:ascii="宋体" w:hAnsi="宋体" w:eastAsia="宋体" w:cs="宋体"/>
                <w:color w:val="auto"/>
                <w:sz w:val="21"/>
                <w:szCs w:val="21"/>
                <w:highlight w:val="none"/>
              </w:rPr>
              <w:t>投标报价具有选择性的</w:t>
            </w:r>
            <w:r>
              <w:rPr>
                <w:rFonts w:hint="eastAsia" w:ascii="宋体" w:hAnsi="宋体" w:eastAsia="宋体" w:cs="宋体"/>
                <w:color w:val="auto"/>
                <w:sz w:val="21"/>
                <w:szCs w:val="21"/>
                <w:highlight w:val="none"/>
                <w:lang w:val="en-US" w:eastAsia="zh-CN"/>
              </w:rPr>
              <w:t>情形</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六</w:t>
            </w:r>
            <w:r>
              <w:rPr>
                <w:rFonts w:hint="eastAsia" w:ascii="宋体" w:hAnsi="宋体" w:eastAsia="宋体" w:cs="宋体"/>
                <w:color w:val="auto"/>
                <w:sz w:val="21"/>
                <w:szCs w:val="21"/>
                <w:highlight w:val="none"/>
              </w:rPr>
              <w:t>）投标报价中</w:t>
            </w:r>
            <w:r>
              <w:rPr>
                <w:rFonts w:hint="eastAsia" w:ascii="宋体" w:hAnsi="宋体" w:eastAsia="宋体" w:cs="宋体"/>
                <w:color w:val="auto"/>
                <w:sz w:val="21"/>
                <w:szCs w:val="21"/>
                <w:highlight w:val="none"/>
                <w:lang w:val="en-US" w:eastAsia="zh-CN"/>
              </w:rPr>
              <w:t>未</w:t>
            </w:r>
            <w:r>
              <w:rPr>
                <w:rFonts w:hint="eastAsia" w:ascii="宋体" w:hAnsi="宋体" w:eastAsia="宋体" w:cs="宋体"/>
                <w:color w:val="auto"/>
                <w:sz w:val="21"/>
                <w:szCs w:val="21"/>
                <w:highlight w:val="none"/>
              </w:rPr>
              <w:t>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七</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不存在</w:t>
            </w:r>
            <w:r>
              <w:rPr>
                <w:rFonts w:hint="eastAsia" w:ascii="宋体" w:hAnsi="宋体" w:eastAsia="宋体" w:cs="宋体"/>
                <w:color w:val="auto"/>
                <w:sz w:val="21"/>
                <w:szCs w:val="21"/>
                <w:highlight w:val="none"/>
              </w:rPr>
              <w:t>评标委员会认为</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的报价明显低于其他通过符合性审查</w:t>
            </w:r>
            <w:r>
              <w:rPr>
                <w:rFonts w:hint="eastAsia" w:ascii="宋体" w:hAnsi="宋体" w:eastAsia="宋体" w:cs="宋体"/>
                <w:color w:val="auto"/>
                <w:sz w:val="21"/>
                <w:szCs w:val="21"/>
                <w:highlight w:val="none"/>
                <w:lang w:eastAsia="zh-CN"/>
              </w:rPr>
              <w:t>供应商</w:t>
            </w:r>
            <w:r>
              <w:rPr>
                <w:rFonts w:hint="eastAsia" w:ascii="宋体" w:hAnsi="宋体" w:eastAsia="宋体" w:cs="宋体"/>
                <w:color w:val="auto"/>
                <w:sz w:val="21"/>
                <w:szCs w:val="21"/>
                <w:highlight w:val="none"/>
              </w:rPr>
              <w:t>的报价，有可能影响产品质量或者不能诚信履约的且不能在评标现场合理时间内提供相关证明材料说明其报价的合理性的</w:t>
            </w:r>
            <w:r>
              <w:rPr>
                <w:rFonts w:hint="eastAsia" w:ascii="宋体" w:hAnsi="宋体" w:eastAsia="宋体" w:cs="宋体"/>
                <w:color w:val="auto"/>
                <w:sz w:val="21"/>
                <w:szCs w:val="21"/>
                <w:highlight w:val="none"/>
                <w:lang w:val="en-US" w:eastAsia="zh-CN"/>
              </w:rPr>
              <w:t>情形</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八</w:t>
            </w:r>
            <w:r>
              <w:rPr>
                <w:rFonts w:hint="eastAsia" w:ascii="宋体" w:hAnsi="宋体" w:eastAsia="宋体" w:cs="宋体"/>
                <w:color w:val="auto"/>
                <w:sz w:val="21"/>
                <w:szCs w:val="21"/>
                <w:highlight w:val="none"/>
              </w:rPr>
              <w:t>）投标文件（报价文件）内容与投标文件（商务技术文件）内容</w:t>
            </w:r>
            <w:r>
              <w:rPr>
                <w:rFonts w:hint="eastAsia" w:ascii="宋体" w:hAnsi="宋体" w:eastAsia="宋体" w:cs="宋体"/>
                <w:color w:val="auto"/>
                <w:sz w:val="21"/>
                <w:szCs w:val="21"/>
                <w:highlight w:val="none"/>
                <w:lang w:val="en-US" w:eastAsia="zh-CN"/>
              </w:rPr>
              <w:t>不存在</w:t>
            </w:r>
            <w:r>
              <w:rPr>
                <w:rFonts w:hint="eastAsia" w:ascii="宋体" w:hAnsi="宋体" w:eastAsia="宋体" w:cs="宋体"/>
                <w:color w:val="auto"/>
                <w:sz w:val="21"/>
                <w:szCs w:val="21"/>
                <w:highlight w:val="none"/>
              </w:rPr>
              <w:t>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90"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36" w:lineRule="auto"/>
              <w:ind w:firstLine="210" w:firstLineChars="100"/>
              <w:textAlignment w:val="auto"/>
              <w:rPr>
                <w:rFonts w:hint="eastAsia" w:ascii="宋体" w:hAnsi="宋体" w:eastAsia="宋体" w:cs="宋体"/>
                <w:color w:val="auto"/>
                <w:sz w:val="21"/>
                <w:szCs w:val="21"/>
                <w:highlight w:val="none"/>
                <w:lang w:eastAsia="zh-CN"/>
              </w:rPr>
            </w:pPr>
          </w:p>
        </w:tc>
        <w:tc>
          <w:tcPr>
            <w:tcW w:w="6525" w:type="dxa"/>
            <w:noWrap w:val="0"/>
            <w:vAlign w:val="center"/>
          </w:tcPr>
          <w:p>
            <w:pPr>
              <w:keepNext w:val="0"/>
              <w:keepLines w:val="0"/>
              <w:pageBreakBefore w:val="0"/>
              <w:widowControl w:val="0"/>
              <w:kinsoku/>
              <w:wordWrap/>
              <w:overflowPunct/>
              <w:topLinePunct w:val="0"/>
              <w:autoSpaceDE/>
              <w:autoSpaceDN/>
              <w:bidi w:val="0"/>
              <w:adjustRightInd/>
              <w:snapToGrid/>
              <w:spacing w:line="336" w:lineRule="auto"/>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九</w:t>
            </w:r>
            <w:r>
              <w:rPr>
                <w:rFonts w:hint="eastAsia" w:ascii="宋体" w:hAnsi="宋体" w:eastAsia="宋体" w:cs="宋体"/>
                <w:color w:val="auto"/>
                <w:sz w:val="21"/>
                <w:szCs w:val="21"/>
                <w:highlight w:val="none"/>
              </w:rPr>
              <w:t>）不存在法律、法规和</w:t>
            </w:r>
            <w:r>
              <w:rPr>
                <w:rFonts w:hint="eastAsia" w:ascii="宋体" w:hAnsi="宋体" w:eastAsia="宋体" w:cs="宋体"/>
                <w:color w:val="auto"/>
                <w:sz w:val="21"/>
                <w:szCs w:val="21"/>
                <w:highlight w:val="none"/>
                <w:lang w:eastAsia="zh-CN"/>
              </w:rPr>
              <w:t>招标文件</w:t>
            </w:r>
            <w:r>
              <w:rPr>
                <w:rFonts w:hint="eastAsia" w:ascii="宋体" w:hAnsi="宋体" w:eastAsia="宋体" w:cs="宋体"/>
                <w:color w:val="auto"/>
                <w:sz w:val="21"/>
                <w:szCs w:val="21"/>
                <w:highlight w:val="none"/>
              </w:rPr>
              <w:t>规定的其他无效情形</w:t>
            </w:r>
            <w:r>
              <w:rPr>
                <w:rFonts w:hint="eastAsia" w:ascii="宋体" w:hAnsi="宋体" w:eastAsia="宋体" w:cs="宋体"/>
                <w:color w:val="auto"/>
                <w:sz w:val="21"/>
                <w:szCs w:val="21"/>
                <w:highlight w:val="none"/>
                <w:lang w:eastAsia="zh-CN"/>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hint="eastAsia" w:ascii="宋体" w:hAnsi="宋体" w:eastAsia="宋体" w:cs="宋体"/>
          <w:b/>
          <w:color w:val="auto"/>
          <w:highlight w:val="none"/>
        </w:rPr>
      </w:pPr>
      <w:bookmarkStart w:id="91" w:name="_Toc259108323"/>
      <w:bookmarkStart w:id="92" w:name="_Toc249866767"/>
      <w:r>
        <w:rPr>
          <w:rFonts w:hint="eastAsia" w:ascii="宋体" w:hAnsi="宋体" w:eastAsia="宋体" w:cs="宋体"/>
          <w:b/>
          <w:color w:val="auto"/>
          <w:highlight w:val="none"/>
        </w:rPr>
        <w:t>（三）投标无效的情形</w:t>
      </w:r>
      <w:bookmarkEnd w:id="91"/>
      <w:bookmarkEnd w:id="92"/>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没有响应</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实质性要求的投标将被视为无效投标。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不得通过修正或撤消不合要求的偏离或保留从而使其投标成为实质上响应的投标，但经评标委员会认定属于</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要求的，应认定其投标无效。</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修改、补正投标文件后，不影响评标委员会对其投标文件所作的评价和评分结果。</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A、</w:t>
      </w:r>
      <w:r>
        <w:rPr>
          <w:rFonts w:hint="eastAsia" w:ascii="宋体" w:hAnsi="宋体" w:eastAsia="宋体" w:cs="宋体"/>
          <w:b/>
          <w:bCs/>
          <w:color w:val="auto"/>
          <w:szCs w:val="21"/>
          <w:highlight w:val="none"/>
        </w:rPr>
        <w:t>在资格审查时，如发现下列情形之一的，将被视为无效投标文件：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1、资格证明文件不全的或者不符合</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标明的资格要求的；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B、在符合性审查</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lang w:val="en-US" w:eastAsia="zh-CN"/>
        </w:rPr>
        <w:t>商务技术文件</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时，如发现下列情形之一的，将被视为无效投标文件：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未</w:t>
      </w:r>
      <w:r>
        <w:rPr>
          <w:rFonts w:hint="eastAsia" w:ascii="宋体" w:hAnsi="宋体" w:eastAsia="宋体" w:cs="宋体"/>
          <w:color w:val="auto"/>
          <w:highlight w:val="none"/>
        </w:rPr>
        <w:t>提交投标函</w:t>
      </w:r>
      <w:r>
        <w:rPr>
          <w:rFonts w:hint="eastAsia" w:ascii="宋体" w:hAnsi="宋体" w:eastAsia="宋体" w:cs="宋体"/>
          <w:color w:val="auto"/>
          <w:highlight w:val="none"/>
          <w:lang w:val="en-US" w:eastAsia="zh-CN"/>
        </w:rPr>
        <w:t>或投标函内容不</w:t>
      </w:r>
      <w:r>
        <w:rPr>
          <w:rFonts w:hint="eastAsia" w:ascii="宋体" w:hAnsi="宋体" w:eastAsia="宋体" w:cs="宋体"/>
          <w:color w:val="auto"/>
          <w:highlight w:val="none"/>
        </w:rPr>
        <w:t>符合</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2、未按照招标文件规定要求签署或盖章；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3、投标文件无法定代表人签署本人姓名（或印盖本人姓名章），或签署人</w:t>
      </w:r>
      <w:r>
        <w:rPr>
          <w:rFonts w:hint="eastAsia" w:ascii="宋体" w:hAnsi="宋体" w:eastAsia="宋体" w:cs="宋体"/>
          <w:color w:val="auto"/>
          <w:szCs w:val="21"/>
          <w:highlight w:val="none"/>
        </w:rPr>
        <w:t>未提供</w:t>
      </w:r>
      <w:r>
        <w:rPr>
          <w:rFonts w:hint="eastAsia" w:ascii="宋体" w:hAnsi="宋体" w:eastAsia="宋体" w:cs="宋体"/>
          <w:color w:val="auto"/>
          <w:szCs w:val="21"/>
          <w:highlight w:val="none"/>
          <w:lang w:val="en-US" w:eastAsia="zh-CN"/>
        </w:rPr>
        <w:t>有效的</w:t>
      </w:r>
      <w:r>
        <w:rPr>
          <w:rFonts w:hint="eastAsia" w:ascii="宋体" w:hAnsi="宋体" w:eastAsia="宋体" w:cs="宋体"/>
          <w:color w:val="auto"/>
          <w:szCs w:val="21"/>
          <w:highlight w:val="none"/>
        </w:rPr>
        <w:t>法定代表人授权委托书</w:t>
      </w:r>
      <w:r>
        <w:rPr>
          <w:rFonts w:hint="eastAsia" w:ascii="宋体" w:hAnsi="宋体" w:eastAsia="宋体" w:cs="宋体"/>
          <w:color w:val="auto"/>
          <w:szCs w:val="21"/>
          <w:highlight w:val="none"/>
          <w:lang w:val="en-US" w:eastAsia="zh-CN"/>
        </w:rPr>
        <w:t>或</w:t>
      </w:r>
      <w:r>
        <w:rPr>
          <w:rFonts w:hint="eastAsia" w:ascii="宋体" w:hAnsi="宋体" w:eastAsia="宋体" w:cs="宋体"/>
          <w:color w:val="auto"/>
          <w:szCs w:val="21"/>
          <w:highlight w:val="none"/>
        </w:rPr>
        <w:t xml:space="preserve">授权委托书填写项目不齐全的；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、投标文件项目不齐全</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投标文件标明的响应或偏离与事实不符或虚假投标的；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、投标文件的实质性内容未使用中文表述、意思表述不明确、前后矛盾或者使用计量单位不符合</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要求的（经评标委员会认定并允许其当场更正的笔误除外）；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、带“★”的条款不能满足</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要求、未实质性响应</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要求或者投标文件有采购</w:t>
      </w:r>
      <w:r>
        <w:rPr>
          <w:rFonts w:hint="eastAsia" w:ascii="宋体" w:hAnsi="宋体" w:eastAsia="宋体" w:cs="宋体"/>
          <w:color w:val="auto"/>
          <w:szCs w:val="21"/>
          <w:highlight w:val="none"/>
          <w:lang w:val="en-US" w:eastAsia="zh-CN"/>
        </w:rPr>
        <w:t>人</w:t>
      </w:r>
      <w:r>
        <w:rPr>
          <w:rFonts w:hint="eastAsia" w:ascii="宋体" w:hAnsi="宋体" w:eastAsia="宋体" w:cs="宋体"/>
          <w:color w:val="auto"/>
          <w:szCs w:val="21"/>
          <w:highlight w:val="none"/>
        </w:rPr>
        <w:t>不能接受的附加条件的</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b w:val="0"/>
          <w:bCs w:val="0"/>
          <w:color w:val="auto"/>
          <w:kern w:val="1"/>
          <w:sz w:val="21"/>
          <w:szCs w:val="21"/>
          <w:highlight w:val="none"/>
          <w:lang w:eastAsia="zh-CN"/>
        </w:rPr>
      </w:pPr>
      <w:r>
        <w:rPr>
          <w:rFonts w:hint="eastAsia" w:ascii="宋体" w:hAnsi="宋体" w:eastAsia="宋体" w:cs="宋体"/>
          <w:b w:val="0"/>
          <w:bCs w:val="0"/>
          <w:color w:val="auto"/>
          <w:szCs w:val="21"/>
          <w:highlight w:val="none"/>
          <w:lang w:val="en-US" w:eastAsia="zh-CN"/>
        </w:rPr>
        <w:t>8、</w:t>
      </w:r>
      <w:r>
        <w:rPr>
          <w:rFonts w:hint="eastAsia" w:ascii="宋体" w:hAnsi="宋体" w:eastAsia="宋体" w:cs="宋体"/>
          <w:b w:val="0"/>
          <w:bCs w:val="0"/>
          <w:color w:val="auto"/>
          <w:kern w:val="1"/>
          <w:sz w:val="21"/>
          <w:szCs w:val="21"/>
          <w:highlight w:val="none"/>
        </w:rPr>
        <w:t>允许偏离的技术、性能指标或者辅助功能项目发生负偏离达</w:t>
      </w:r>
      <w:r>
        <w:rPr>
          <w:rFonts w:hint="eastAsia" w:ascii="宋体" w:hAnsi="宋体" w:cs="宋体"/>
          <w:b w:val="0"/>
          <w:bCs w:val="0"/>
          <w:color w:val="auto"/>
          <w:kern w:val="1"/>
          <w:sz w:val="21"/>
          <w:szCs w:val="21"/>
          <w:highlight w:val="none"/>
          <w:lang w:val="en-US" w:eastAsia="zh-CN"/>
        </w:rPr>
        <w:t>3</w:t>
      </w:r>
      <w:r>
        <w:rPr>
          <w:rFonts w:hint="eastAsia" w:ascii="宋体" w:hAnsi="宋体" w:eastAsia="宋体" w:cs="宋体"/>
          <w:b w:val="0"/>
          <w:bCs w:val="0"/>
          <w:color w:val="auto"/>
          <w:kern w:val="1"/>
          <w:sz w:val="21"/>
          <w:szCs w:val="21"/>
          <w:highlight w:val="none"/>
          <w:lang w:val="en-US" w:eastAsia="zh-CN"/>
        </w:rPr>
        <w:t>0</w:t>
      </w:r>
      <w:r>
        <w:rPr>
          <w:rFonts w:hint="eastAsia" w:ascii="宋体" w:hAnsi="宋体" w:eastAsia="宋体" w:cs="宋体"/>
          <w:b w:val="0"/>
          <w:bCs w:val="0"/>
          <w:color w:val="auto"/>
          <w:kern w:val="1"/>
          <w:sz w:val="21"/>
          <w:szCs w:val="21"/>
          <w:highlight w:val="none"/>
        </w:rPr>
        <w:t>项（含）以上的</w:t>
      </w:r>
      <w:r>
        <w:rPr>
          <w:rFonts w:hint="eastAsia" w:ascii="宋体" w:hAnsi="宋体" w:eastAsia="宋体" w:cs="宋体"/>
          <w:b w:val="0"/>
          <w:bCs w:val="0"/>
          <w:color w:val="auto"/>
          <w:kern w:val="1"/>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、投标技术方案不明确，存在一个或一个以上备选（替代）投标方案的；</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kern w:val="1"/>
          <w:sz w:val="21"/>
          <w:szCs w:val="21"/>
          <w:highlight w:val="none"/>
          <w:lang w:eastAsia="zh-CN"/>
        </w:rPr>
      </w:pPr>
      <w:r>
        <w:rPr>
          <w:rFonts w:hint="eastAsia" w:ascii="宋体" w:hAnsi="宋体" w:eastAsia="宋体" w:cs="宋体"/>
          <w:color w:val="auto"/>
          <w:kern w:val="1"/>
          <w:sz w:val="21"/>
          <w:szCs w:val="21"/>
          <w:highlight w:val="none"/>
          <w:lang w:val="en-US" w:eastAsia="zh-CN"/>
        </w:rPr>
        <w:t>10</w:t>
      </w:r>
      <w:r>
        <w:rPr>
          <w:rFonts w:hint="eastAsia" w:ascii="宋体" w:hAnsi="宋体" w:eastAsia="宋体" w:cs="宋体"/>
          <w:color w:val="auto"/>
          <w:kern w:val="1"/>
          <w:sz w:val="21"/>
          <w:szCs w:val="21"/>
          <w:highlight w:val="none"/>
        </w:rPr>
        <w:t>、商务技术文件中出现报价或单价的</w:t>
      </w:r>
      <w:r>
        <w:rPr>
          <w:rFonts w:hint="eastAsia" w:ascii="宋体" w:hAnsi="宋体" w:eastAsia="宋体" w:cs="宋体"/>
          <w:color w:val="auto"/>
          <w:kern w:val="1"/>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kern w:val="1"/>
          <w:sz w:val="21"/>
          <w:szCs w:val="21"/>
          <w:highlight w:val="none"/>
          <w:lang w:eastAsia="zh-CN"/>
        </w:rPr>
      </w:pPr>
      <w:r>
        <w:rPr>
          <w:rFonts w:hint="eastAsia" w:ascii="宋体" w:hAnsi="宋体" w:eastAsia="宋体" w:cs="宋体"/>
          <w:color w:val="auto"/>
          <w:kern w:val="1"/>
          <w:sz w:val="21"/>
          <w:szCs w:val="21"/>
          <w:highlight w:val="none"/>
          <w:lang w:val="en-US" w:eastAsia="zh-CN"/>
        </w:rPr>
        <w:t>11、</w:t>
      </w:r>
      <w:r>
        <w:rPr>
          <w:rFonts w:hint="eastAsia" w:ascii="宋体" w:hAnsi="宋体" w:eastAsia="宋体" w:cs="宋体"/>
          <w:color w:val="auto"/>
          <w:kern w:val="1"/>
          <w:sz w:val="21"/>
          <w:szCs w:val="21"/>
          <w:highlight w:val="none"/>
        </w:rPr>
        <w:t>法律、法规和</w:t>
      </w:r>
      <w:r>
        <w:rPr>
          <w:rFonts w:hint="eastAsia" w:ascii="宋体" w:hAnsi="宋体" w:eastAsia="宋体" w:cs="宋体"/>
          <w:color w:val="auto"/>
          <w:kern w:val="1"/>
          <w:sz w:val="21"/>
          <w:szCs w:val="21"/>
          <w:highlight w:val="none"/>
          <w:lang w:eastAsia="zh-CN"/>
        </w:rPr>
        <w:t>招标文件</w:t>
      </w:r>
      <w:r>
        <w:rPr>
          <w:rFonts w:hint="eastAsia" w:ascii="宋体" w:hAnsi="宋体" w:eastAsia="宋体" w:cs="宋体"/>
          <w:color w:val="auto"/>
          <w:kern w:val="1"/>
          <w:sz w:val="21"/>
          <w:szCs w:val="21"/>
          <w:highlight w:val="none"/>
        </w:rPr>
        <w:t>规定的其他无效情形</w:t>
      </w:r>
      <w:r>
        <w:rPr>
          <w:rFonts w:hint="eastAsia" w:ascii="宋体" w:hAnsi="宋体" w:eastAsia="宋体" w:cs="宋体"/>
          <w:color w:val="auto"/>
          <w:kern w:val="1"/>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textAlignment w:val="auto"/>
        <w:rPr>
          <w:rFonts w:hint="eastAsia" w:ascii="宋体" w:hAnsi="宋体" w:eastAsia="宋体" w:cs="宋体"/>
          <w:color w:val="auto"/>
          <w:kern w:val="1"/>
          <w:sz w:val="21"/>
          <w:szCs w:val="21"/>
          <w:highlight w:val="none"/>
          <w:lang w:val="en-US" w:eastAsia="zh-CN"/>
        </w:rPr>
      </w:pPr>
      <w:r>
        <w:rPr>
          <w:rFonts w:hint="eastAsia" w:ascii="宋体" w:hAnsi="宋体" w:eastAsia="宋体" w:cs="宋体"/>
          <w:color w:val="auto"/>
          <w:kern w:val="1"/>
          <w:sz w:val="21"/>
          <w:szCs w:val="21"/>
          <w:highlight w:val="none"/>
          <w:lang w:val="en-US" w:eastAsia="zh-CN"/>
        </w:rPr>
        <w:t>12、投标文件的有效期不满足招标文件要求；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val="en-US" w:eastAsia="zh-CN"/>
        </w:rPr>
        <w:t>C</w:t>
      </w:r>
      <w:r>
        <w:rPr>
          <w:rFonts w:hint="eastAsia" w:ascii="宋体" w:hAnsi="宋体" w:eastAsia="宋体" w:cs="宋体"/>
          <w:b/>
          <w:bCs/>
          <w:color w:val="auto"/>
          <w:szCs w:val="21"/>
          <w:highlight w:val="none"/>
        </w:rPr>
        <w:t>、在符合性审查</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lang w:val="en-US" w:eastAsia="zh-CN"/>
        </w:rPr>
        <w:t>报价文件</w:t>
      </w:r>
      <w:r>
        <w:rPr>
          <w:rFonts w:hint="eastAsia" w:ascii="宋体" w:hAnsi="宋体" w:eastAsia="宋体" w:cs="宋体"/>
          <w:b/>
          <w:bCs/>
          <w:color w:val="auto"/>
          <w:szCs w:val="21"/>
          <w:highlight w:val="none"/>
          <w:lang w:eastAsia="zh-CN"/>
        </w:rPr>
        <w:t>）</w:t>
      </w:r>
      <w:r>
        <w:rPr>
          <w:rFonts w:hint="eastAsia" w:ascii="宋体" w:hAnsi="宋体" w:eastAsia="宋体" w:cs="宋体"/>
          <w:b/>
          <w:bCs/>
          <w:color w:val="auto"/>
          <w:szCs w:val="21"/>
          <w:highlight w:val="none"/>
        </w:rPr>
        <w:t>时，如发现下列情形之一的，将被视为无效投标文件：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1、未按照</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规定要求签署或盖章；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highlight w:val="none"/>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、投标文件项目不齐全</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未采用人民币报价或者未按照</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标明的币种报价的；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、报价超出最高限价，或者超出采购预算金额，采购人不能支付的；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5</w:t>
      </w:r>
      <w:r>
        <w:rPr>
          <w:rFonts w:hint="eastAsia" w:ascii="宋体" w:hAnsi="宋体" w:eastAsia="宋体" w:cs="宋体"/>
          <w:color w:val="auto"/>
          <w:szCs w:val="21"/>
          <w:highlight w:val="none"/>
        </w:rPr>
        <w:t>、投标报价具有选择性的；</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、投标报价中出现重大缺项、漏项；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rPr>
        <w:t>、评标委员会认为</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的报价明显低于其他通过符合性审查</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的报价，有可能影响产品质量或者不能诚信履约的，且不能在评标现场合理时间内提供相关证明材料说明其报价的合理性的</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投标文件（报价文件）内容与投标文件（商务技术文件）内容有重大差异的</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val="en-US" w:eastAsia="zh-CN"/>
        </w:rPr>
        <w:t>9</w:t>
      </w:r>
      <w:r>
        <w:rPr>
          <w:rFonts w:hint="eastAsia" w:ascii="宋体" w:hAnsi="宋体" w:eastAsia="宋体" w:cs="宋体"/>
          <w:color w:val="auto"/>
          <w:szCs w:val="21"/>
          <w:highlight w:val="none"/>
        </w:rPr>
        <w:t>、法律、法规和</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规定的其他无效情形</w:t>
      </w:r>
      <w:r>
        <w:rPr>
          <w:rFonts w:hint="eastAsia" w:ascii="宋体" w:hAnsi="宋体" w:eastAsia="宋体" w:cs="宋体"/>
          <w:color w:val="auto"/>
          <w:szCs w:val="21"/>
          <w:highlight w:val="none"/>
          <w:lang w:eastAsia="zh-CN"/>
        </w:rPr>
        <w:t>；</w:t>
      </w:r>
    </w:p>
    <w:p>
      <w:pPr>
        <w:numPr>
          <w:ilvl w:val="0"/>
          <w:numId w:val="19"/>
        </w:numPr>
        <w:spacing w:line="360" w:lineRule="exact"/>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rPr>
        <w:t>评分标准（兼评委打分表）</w:t>
      </w:r>
    </w:p>
    <w:tbl>
      <w:tblPr>
        <w:tblStyle w:val="23"/>
        <w:tblW w:w="8947"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51"/>
        <w:gridCol w:w="1658"/>
        <w:gridCol w:w="4589"/>
        <w:gridCol w:w="54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8398" w:type="dxa"/>
            <w:gridSpan w:val="4"/>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内      容</w:t>
            </w:r>
          </w:p>
        </w:tc>
        <w:tc>
          <w:tcPr>
            <w:tcW w:w="549" w:type="dxa"/>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分值</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restart"/>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商务技术分</w:t>
            </w:r>
          </w:p>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8</w:t>
            </w:r>
            <w:r>
              <w:rPr>
                <w:rFonts w:hint="eastAsia" w:ascii="宋体" w:hAnsi="宋体" w:eastAsia="宋体" w:cs="Times New Roman"/>
                <w:bCs/>
                <w:color w:val="auto"/>
                <w:kern w:val="0"/>
                <w:sz w:val="21"/>
                <w:szCs w:val="21"/>
                <w:highlight w:val="none"/>
                <w:lang w:val="en-US" w:eastAsia="zh-CN" w:bidi="ar-SA"/>
              </w:rPr>
              <w:t>0分</w:t>
            </w:r>
          </w:p>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7498" w:type="dxa"/>
            <w:gridSpan w:val="3"/>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1、供应商提供的针对用户需求理解是否准确、全面、有针对性等情况进行综合评价（5分）。</w:t>
            </w:r>
          </w:p>
        </w:tc>
        <w:tc>
          <w:tcPr>
            <w:tcW w:w="549" w:type="dxa"/>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1251" w:type="dxa"/>
            <w:vMerge w:val="restart"/>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2、总体技术方案及深化设计方案（</w:t>
            </w:r>
            <w:r>
              <w:rPr>
                <w:rFonts w:hint="eastAsia" w:ascii="宋体" w:hAnsi="宋体" w:cs="Times New Roman"/>
                <w:bCs/>
                <w:color w:val="auto"/>
                <w:kern w:val="0"/>
                <w:sz w:val="21"/>
                <w:szCs w:val="21"/>
                <w:highlight w:val="none"/>
                <w:lang w:val="en-US" w:eastAsia="zh-CN" w:bidi="ar-SA"/>
              </w:rPr>
              <w:t>8</w:t>
            </w:r>
            <w:r>
              <w:rPr>
                <w:rFonts w:hint="eastAsia" w:ascii="宋体" w:hAnsi="宋体" w:eastAsia="宋体" w:cs="Times New Roman"/>
                <w:bCs/>
                <w:color w:val="auto"/>
                <w:kern w:val="0"/>
                <w:sz w:val="21"/>
                <w:szCs w:val="21"/>
                <w:highlight w:val="none"/>
                <w:lang w:val="en-US" w:eastAsia="zh-CN" w:bidi="ar-SA"/>
              </w:rPr>
              <w:t>分）</w:t>
            </w:r>
          </w:p>
        </w:tc>
        <w:tc>
          <w:tcPr>
            <w:tcW w:w="6247" w:type="dxa"/>
            <w:gridSpan w:val="2"/>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2.1根据供应商提供的总体技术方案的合理性、完整性、先进性、科学性进行综合评分（</w:t>
            </w:r>
            <w:r>
              <w:rPr>
                <w:rFonts w:hint="eastAsia" w:ascii="宋体" w:hAnsi="宋体" w:cs="Times New Roman"/>
                <w:bCs/>
                <w:color w:val="auto"/>
                <w:kern w:val="0"/>
                <w:sz w:val="21"/>
                <w:szCs w:val="21"/>
                <w:highlight w:val="none"/>
                <w:lang w:val="en-US" w:eastAsia="zh-CN" w:bidi="ar-SA"/>
              </w:rPr>
              <w:t>4</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1251"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6247" w:type="dxa"/>
            <w:gridSpan w:val="2"/>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2.2根据供应商提供的深化设计方案的合理性、完整性、先进性、科学性进行综合评分（</w:t>
            </w:r>
            <w:r>
              <w:rPr>
                <w:rFonts w:hint="eastAsia" w:ascii="宋体" w:hAnsi="宋体" w:cs="Times New Roman"/>
                <w:bCs/>
                <w:color w:val="auto"/>
                <w:kern w:val="0"/>
                <w:sz w:val="21"/>
                <w:szCs w:val="21"/>
                <w:highlight w:val="none"/>
                <w:lang w:val="en-US" w:eastAsia="zh-CN" w:bidi="ar-SA"/>
              </w:rPr>
              <w:t>4</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1251" w:type="dxa"/>
            <w:vMerge w:val="restart"/>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3、投标设备的性能（</w:t>
            </w:r>
            <w:r>
              <w:rPr>
                <w:rFonts w:hint="eastAsia" w:ascii="宋体" w:hAnsi="宋体" w:cs="Times New Roman"/>
                <w:bCs/>
                <w:color w:val="auto"/>
                <w:kern w:val="0"/>
                <w:sz w:val="21"/>
                <w:szCs w:val="21"/>
                <w:highlight w:val="none"/>
                <w:lang w:val="en-US" w:eastAsia="zh-CN" w:bidi="ar-SA"/>
              </w:rPr>
              <w:t>25</w:t>
            </w:r>
            <w:r>
              <w:rPr>
                <w:rFonts w:hint="eastAsia" w:ascii="宋体" w:hAnsi="宋体" w:eastAsia="宋体" w:cs="Times New Roman"/>
                <w:bCs/>
                <w:color w:val="auto"/>
                <w:kern w:val="0"/>
                <w:sz w:val="21"/>
                <w:szCs w:val="21"/>
                <w:highlight w:val="none"/>
                <w:lang w:val="en-US" w:eastAsia="zh-CN" w:bidi="ar-SA"/>
              </w:rPr>
              <w:t>分）</w:t>
            </w:r>
          </w:p>
        </w:tc>
        <w:tc>
          <w:tcPr>
            <w:tcW w:w="1658" w:type="dxa"/>
            <w:vMerge w:val="restart"/>
            <w:noWrap w:val="0"/>
            <w:vAlign w:val="center"/>
          </w:tcPr>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3.1视频监控系统建设（</w:t>
            </w:r>
            <w:r>
              <w:rPr>
                <w:rFonts w:hint="eastAsia" w:ascii="宋体" w:hAnsi="宋体" w:cs="Times New Roman"/>
                <w:bCs/>
                <w:color w:val="auto"/>
                <w:kern w:val="0"/>
                <w:sz w:val="21"/>
                <w:szCs w:val="21"/>
                <w:highlight w:val="none"/>
                <w:lang w:val="en-US" w:eastAsia="zh-CN" w:bidi="ar-SA"/>
              </w:rPr>
              <w:t>15</w:t>
            </w:r>
            <w:r>
              <w:rPr>
                <w:rFonts w:hint="eastAsia" w:ascii="宋体" w:hAnsi="宋体" w:eastAsia="宋体" w:cs="Times New Roman"/>
                <w:bCs/>
                <w:color w:val="auto"/>
                <w:kern w:val="0"/>
                <w:sz w:val="21"/>
                <w:szCs w:val="21"/>
                <w:highlight w:val="none"/>
                <w:lang w:val="en-US" w:eastAsia="zh-CN" w:bidi="ar-SA"/>
              </w:rPr>
              <w:t>分）</w:t>
            </w:r>
          </w:p>
        </w:tc>
        <w:tc>
          <w:tcPr>
            <w:tcW w:w="4589" w:type="dxa"/>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3.1.1根据供应商所投</w:t>
            </w:r>
            <w:r>
              <w:rPr>
                <w:rFonts w:hint="eastAsia" w:ascii="宋体" w:hAnsi="宋体" w:eastAsia="宋体" w:cs="宋体"/>
                <w:bCs/>
                <w:color w:val="auto"/>
                <w:kern w:val="0"/>
                <w:sz w:val="21"/>
                <w:szCs w:val="21"/>
                <w:highlight w:val="none"/>
                <w:lang w:val="en-US" w:eastAsia="zh-CN" w:bidi="ar-SA"/>
              </w:rPr>
              <w:t>高清网络视频监控</w:t>
            </w:r>
            <w:r>
              <w:rPr>
                <w:rFonts w:hint="eastAsia" w:ascii="宋体" w:hAnsi="宋体" w:eastAsia="宋体" w:cs="Times New Roman"/>
                <w:bCs/>
                <w:color w:val="auto"/>
                <w:kern w:val="0"/>
                <w:sz w:val="21"/>
                <w:szCs w:val="21"/>
                <w:highlight w:val="none"/>
                <w:lang w:val="en-US" w:eastAsia="zh-CN" w:bidi="ar-SA"/>
              </w:rPr>
              <w:t>与招标文件第二章 采购需求二、招标清单及技术需求中 视频监控系统 前端设备 高清网络视频监控</w:t>
            </w:r>
            <w:r>
              <w:rPr>
                <w:rFonts w:hint="eastAsia" w:ascii="宋体" w:hAnsi="宋体" w:eastAsia="宋体" w:cs="宋体"/>
                <w:bCs/>
                <w:color w:val="auto"/>
                <w:kern w:val="0"/>
                <w:sz w:val="21"/>
                <w:szCs w:val="21"/>
                <w:highlight w:val="none"/>
                <w:lang w:val="en-US" w:eastAsia="zh-CN" w:bidi="ar-SA"/>
              </w:rPr>
              <w:t>的</w:t>
            </w:r>
            <w:r>
              <w:rPr>
                <w:rFonts w:hint="eastAsia" w:ascii="宋体" w:hAnsi="宋体" w:eastAsia="宋体" w:cs="Times New Roman"/>
                <w:bCs/>
                <w:color w:val="auto"/>
                <w:kern w:val="0"/>
                <w:sz w:val="21"/>
                <w:szCs w:val="21"/>
                <w:highlight w:val="none"/>
                <w:lang w:val="en-US" w:eastAsia="zh-CN" w:bidi="ar-SA"/>
              </w:rPr>
              <w:t>响应情况进行综合评议（</w:t>
            </w:r>
            <w:r>
              <w:rPr>
                <w:rFonts w:hint="eastAsia" w:ascii="宋体" w:hAnsi="宋体" w:cs="Times New Roman"/>
                <w:bCs/>
                <w:color w:val="auto"/>
                <w:kern w:val="0"/>
                <w:sz w:val="21"/>
                <w:szCs w:val="21"/>
                <w:highlight w:val="none"/>
                <w:lang w:val="en-US" w:eastAsia="zh-CN" w:bidi="ar-SA"/>
              </w:rPr>
              <w:t>5</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1251"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1658"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4589" w:type="dxa"/>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3.1.2根据供应商所投</w:t>
            </w:r>
            <w:r>
              <w:rPr>
                <w:rFonts w:hint="eastAsia" w:ascii="宋体" w:hAnsi="宋体" w:eastAsia="宋体" w:cs="宋体"/>
                <w:bCs/>
                <w:color w:val="auto"/>
                <w:kern w:val="0"/>
                <w:sz w:val="21"/>
                <w:szCs w:val="21"/>
                <w:highlight w:val="none"/>
                <w:lang w:val="en-US" w:eastAsia="zh-CN" w:bidi="ar-SA"/>
              </w:rPr>
              <w:t>存储设备</w:t>
            </w:r>
            <w:r>
              <w:rPr>
                <w:rFonts w:hint="eastAsia" w:ascii="宋体" w:hAnsi="宋体" w:eastAsia="宋体" w:cs="Times New Roman"/>
                <w:bCs/>
                <w:color w:val="auto"/>
                <w:kern w:val="0"/>
                <w:sz w:val="21"/>
                <w:szCs w:val="21"/>
                <w:highlight w:val="none"/>
                <w:lang w:val="en-US" w:eastAsia="zh-CN" w:bidi="ar-SA"/>
              </w:rPr>
              <w:t>与招标文件第二章 采购需求二、招标清单及技术需求中视频监控系统 后端设备 存储设备</w:t>
            </w:r>
            <w:r>
              <w:rPr>
                <w:rFonts w:hint="eastAsia" w:ascii="宋体" w:hAnsi="宋体" w:eastAsia="宋体" w:cs="宋体"/>
                <w:bCs/>
                <w:color w:val="auto"/>
                <w:kern w:val="0"/>
                <w:sz w:val="21"/>
                <w:szCs w:val="21"/>
                <w:highlight w:val="none"/>
                <w:lang w:val="en-US" w:eastAsia="zh-CN" w:bidi="ar-SA"/>
              </w:rPr>
              <w:t>的</w:t>
            </w:r>
            <w:r>
              <w:rPr>
                <w:rFonts w:hint="eastAsia" w:ascii="宋体" w:hAnsi="宋体" w:eastAsia="宋体" w:cs="Times New Roman"/>
                <w:bCs/>
                <w:color w:val="auto"/>
                <w:kern w:val="0"/>
                <w:sz w:val="21"/>
                <w:szCs w:val="21"/>
                <w:highlight w:val="none"/>
                <w:lang w:val="en-US" w:eastAsia="zh-CN" w:bidi="ar-SA"/>
              </w:rPr>
              <w:t>响应情况进行综合评议（</w:t>
            </w:r>
            <w:r>
              <w:rPr>
                <w:rFonts w:hint="eastAsia" w:ascii="宋体" w:hAnsi="宋体" w:cs="Times New Roman"/>
                <w:bCs/>
                <w:color w:val="auto"/>
                <w:kern w:val="0"/>
                <w:sz w:val="21"/>
                <w:szCs w:val="21"/>
                <w:highlight w:val="none"/>
                <w:lang w:val="en-US" w:eastAsia="zh-CN" w:bidi="ar-SA"/>
              </w:rPr>
              <w:t>5</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1251"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1658"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4589" w:type="dxa"/>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3.1.3根据供应商所投</w:t>
            </w:r>
            <w:r>
              <w:rPr>
                <w:rFonts w:hint="eastAsia" w:ascii="宋体" w:hAnsi="宋体" w:eastAsia="宋体" w:cs="宋体"/>
                <w:bCs/>
                <w:color w:val="auto"/>
                <w:kern w:val="0"/>
                <w:sz w:val="21"/>
                <w:szCs w:val="21"/>
                <w:highlight w:val="none"/>
                <w:lang w:val="en-US" w:eastAsia="zh-CN" w:bidi="ar-SA"/>
              </w:rPr>
              <w:t>视频分析一体机</w:t>
            </w:r>
            <w:r>
              <w:rPr>
                <w:rFonts w:hint="eastAsia" w:ascii="宋体" w:hAnsi="宋体" w:eastAsia="宋体" w:cs="Times New Roman"/>
                <w:bCs/>
                <w:color w:val="auto"/>
                <w:kern w:val="0"/>
                <w:sz w:val="21"/>
                <w:szCs w:val="21"/>
                <w:highlight w:val="none"/>
                <w:lang w:val="en-US" w:eastAsia="zh-CN" w:bidi="ar-SA"/>
              </w:rPr>
              <w:t>与招标文件第二章 采购需求二、招标清单及技术需求中视频监控系统 后端设备 视频分析一体机</w:t>
            </w:r>
            <w:r>
              <w:rPr>
                <w:rFonts w:hint="eastAsia" w:ascii="宋体" w:hAnsi="宋体" w:eastAsia="宋体" w:cs="宋体"/>
                <w:bCs/>
                <w:color w:val="auto"/>
                <w:kern w:val="0"/>
                <w:sz w:val="21"/>
                <w:szCs w:val="21"/>
                <w:highlight w:val="none"/>
                <w:lang w:val="en-US" w:eastAsia="zh-CN" w:bidi="ar-SA"/>
              </w:rPr>
              <w:t>的</w:t>
            </w:r>
            <w:r>
              <w:rPr>
                <w:rFonts w:hint="eastAsia" w:ascii="宋体" w:hAnsi="宋体" w:eastAsia="宋体" w:cs="Times New Roman"/>
                <w:bCs/>
                <w:color w:val="auto"/>
                <w:kern w:val="0"/>
                <w:sz w:val="21"/>
                <w:szCs w:val="21"/>
                <w:highlight w:val="none"/>
                <w:lang w:val="en-US" w:eastAsia="zh-CN" w:bidi="ar-SA"/>
              </w:rPr>
              <w:t>响应情况进行综合评议（</w:t>
            </w:r>
            <w:r>
              <w:rPr>
                <w:rFonts w:hint="eastAsia" w:ascii="宋体" w:hAnsi="宋体" w:cs="Times New Roman"/>
                <w:bCs/>
                <w:color w:val="auto"/>
                <w:kern w:val="0"/>
                <w:sz w:val="21"/>
                <w:szCs w:val="21"/>
                <w:highlight w:val="none"/>
                <w:lang w:val="en-US" w:eastAsia="zh-CN" w:bidi="ar-SA"/>
              </w:rPr>
              <w:t>5</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1251"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1658" w:type="dxa"/>
            <w:noWrap w:val="0"/>
            <w:vAlign w:val="center"/>
          </w:tcPr>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3.2指挥中心建设（5分）</w:t>
            </w:r>
          </w:p>
        </w:tc>
        <w:tc>
          <w:tcPr>
            <w:tcW w:w="4589" w:type="dxa"/>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3.2.1</w:t>
            </w:r>
            <w:r>
              <w:rPr>
                <w:rFonts w:hint="eastAsia" w:ascii="宋体" w:hAnsi="宋体" w:eastAsia="宋体" w:cs="Times New Roman"/>
                <w:bCs/>
                <w:color w:val="auto"/>
                <w:kern w:val="0"/>
                <w:sz w:val="21"/>
                <w:szCs w:val="21"/>
                <w:highlight w:val="none"/>
                <w:lang w:val="en-US" w:eastAsia="zh-CN" w:bidi="ar-SA"/>
              </w:rPr>
              <w:t>根据供应商所投</w:t>
            </w:r>
            <w:r>
              <w:rPr>
                <w:rFonts w:hint="eastAsia" w:ascii="宋体" w:hAnsi="宋体" w:eastAsia="宋体" w:cs="宋体"/>
                <w:bCs/>
                <w:color w:val="auto"/>
                <w:kern w:val="0"/>
                <w:sz w:val="21"/>
                <w:szCs w:val="21"/>
                <w:highlight w:val="none"/>
                <w:lang w:val="en-US" w:eastAsia="zh-CN" w:bidi="ar-SA"/>
              </w:rPr>
              <w:t>指挥中心建设</w:t>
            </w:r>
            <w:r>
              <w:rPr>
                <w:rFonts w:hint="eastAsia" w:ascii="宋体" w:hAnsi="宋体" w:eastAsia="宋体" w:cs="Times New Roman"/>
                <w:bCs/>
                <w:color w:val="auto"/>
                <w:kern w:val="0"/>
                <w:sz w:val="21"/>
                <w:szCs w:val="21"/>
                <w:highlight w:val="none"/>
                <w:lang w:val="en-US" w:eastAsia="zh-CN" w:bidi="ar-SA"/>
              </w:rPr>
              <w:t>与招标文件第二章 采购需求二、招标清单及技术需求中指挥中心建设</w:t>
            </w:r>
            <w:r>
              <w:rPr>
                <w:rFonts w:hint="eastAsia" w:ascii="宋体" w:hAnsi="宋体" w:eastAsia="宋体" w:cs="宋体"/>
                <w:bCs/>
                <w:color w:val="auto"/>
                <w:kern w:val="0"/>
                <w:sz w:val="21"/>
                <w:szCs w:val="21"/>
                <w:highlight w:val="none"/>
                <w:lang w:val="en-US" w:eastAsia="zh-CN" w:bidi="ar-SA"/>
              </w:rPr>
              <w:t>的</w:t>
            </w:r>
            <w:r>
              <w:rPr>
                <w:rFonts w:hint="eastAsia" w:ascii="宋体" w:hAnsi="宋体" w:eastAsia="宋体" w:cs="Times New Roman"/>
                <w:bCs/>
                <w:color w:val="auto"/>
                <w:kern w:val="0"/>
                <w:sz w:val="21"/>
                <w:szCs w:val="21"/>
                <w:highlight w:val="none"/>
                <w:lang w:val="en-US" w:eastAsia="zh-CN" w:bidi="ar-SA"/>
              </w:rPr>
              <w:t>响应情况进行综合评议（5分）。</w:t>
            </w:r>
          </w:p>
        </w:tc>
        <w:tc>
          <w:tcPr>
            <w:tcW w:w="549" w:type="dxa"/>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1251"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1658" w:type="dxa"/>
            <w:noWrap w:val="0"/>
            <w:vAlign w:val="center"/>
          </w:tcPr>
          <w:p>
            <w:pPr>
              <w:widowControl/>
              <w:spacing w:line="240" w:lineRule="auto"/>
              <w:ind w:firstLine="0" w:firstLineChars="0"/>
              <w:jc w:val="left"/>
              <w:rPr>
                <w:rFonts w:hint="default"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3.3 智慧公厕设施建设（5分）</w:t>
            </w:r>
          </w:p>
        </w:tc>
        <w:tc>
          <w:tcPr>
            <w:tcW w:w="4589" w:type="dxa"/>
            <w:noWrap w:val="0"/>
            <w:vAlign w:val="center"/>
          </w:tcPr>
          <w:p>
            <w:pPr>
              <w:widowControl/>
              <w:spacing w:line="240" w:lineRule="auto"/>
              <w:ind w:firstLine="0" w:firstLineChars="0"/>
              <w:jc w:val="left"/>
              <w:rPr>
                <w:rFonts w:hint="eastAsia" w:ascii="宋体" w:hAnsi="宋体" w:eastAsia="宋体" w:cs="宋体"/>
                <w:bCs/>
                <w:color w:val="auto"/>
                <w:kern w:val="0"/>
                <w:sz w:val="21"/>
                <w:szCs w:val="21"/>
                <w:highlight w:val="none"/>
                <w:lang w:val="en-US" w:eastAsia="zh-CN" w:bidi="ar-SA"/>
              </w:rPr>
            </w:pPr>
            <w:r>
              <w:rPr>
                <w:rFonts w:hint="eastAsia" w:ascii="宋体" w:hAnsi="宋体" w:eastAsia="宋体" w:cs="宋体"/>
                <w:bCs/>
                <w:color w:val="auto"/>
                <w:kern w:val="0"/>
                <w:sz w:val="21"/>
                <w:szCs w:val="21"/>
                <w:highlight w:val="none"/>
                <w:lang w:val="en-US" w:eastAsia="zh-CN" w:bidi="ar-SA"/>
              </w:rPr>
              <w:t>3.3.1</w:t>
            </w:r>
            <w:r>
              <w:rPr>
                <w:rFonts w:hint="eastAsia" w:ascii="宋体" w:hAnsi="宋体" w:eastAsia="宋体" w:cs="Times New Roman"/>
                <w:bCs/>
                <w:color w:val="auto"/>
                <w:kern w:val="0"/>
                <w:sz w:val="21"/>
                <w:szCs w:val="21"/>
                <w:highlight w:val="none"/>
                <w:lang w:val="en-US" w:eastAsia="zh-CN" w:bidi="ar-SA"/>
              </w:rPr>
              <w:t>根据供应商所投</w:t>
            </w:r>
            <w:r>
              <w:rPr>
                <w:rFonts w:hint="eastAsia" w:ascii="宋体" w:hAnsi="宋体" w:eastAsia="宋体" w:cs="宋体"/>
                <w:bCs/>
                <w:color w:val="auto"/>
                <w:kern w:val="0"/>
                <w:sz w:val="21"/>
                <w:szCs w:val="21"/>
                <w:highlight w:val="none"/>
                <w:lang w:val="en-US" w:eastAsia="zh-CN" w:bidi="ar-SA"/>
              </w:rPr>
              <w:t>智慧公厕设施建设</w:t>
            </w:r>
            <w:r>
              <w:rPr>
                <w:rFonts w:hint="eastAsia" w:ascii="宋体" w:hAnsi="宋体" w:eastAsia="宋体" w:cs="Times New Roman"/>
                <w:bCs/>
                <w:color w:val="auto"/>
                <w:kern w:val="0"/>
                <w:sz w:val="21"/>
                <w:szCs w:val="21"/>
                <w:highlight w:val="none"/>
                <w:lang w:val="en-US" w:eastAsia="zh-CN" w:bidi="ar-SA"/>
              </w:rPr>
              <w:t>与招标文件第二章 采购需求二、招标清单及技术需求中智慧公厕设施建设</w:t>
            </w:r>
            <w:r>
              <w:rPr>
                <w:rFonts w:hint="eastAsia" w:ascii="宋体" w:hAnsi="宋体" w:eastAsia="宋体" w:cs="宋体"/>
                <w:bCs/>
                <w:color w:val="auto"/>
                <w:kern w:val="0"/>
                <w:sz w:val="21"/>
                <w:szCs w:val="21"/>
                <w:highlight w:val="none"/>
                <w:lang w:val="en-US" w:eastAsia="zh-CN" w:bidi="ar-SA"/>
              </w:rPr>
              <w:t>的</w:t>
            </w:r>
            <w:r>
              <w:rPr>
                <w:rFonts w:hint="eastAsia" w:ascii="宋体" w:hAnsi="宋体" w:eastAsia="宋体" w:cs="Times New Roman"/>
                <w:bCs/>
                <w:color w:val="auto"/>
                <w:kern w:val="0"/>
                <w:sz w:val="21"/>
                <w:szCs w:val="21"/>
                <w:highlight w:val="none"/>
                <w:lang w:val="en-US" w:eastAsia="zh-CN" w:bidi="ar-SA"/>
              </w:rPr>
              <w:t>响应情况进行综合评议（5分）。</w:t>
            </w:r>
          </w:p>
        </w:tc>
        <w:tc>
          <w:tcPr>
            <w:tcW w:w="549" w:type="dxa"/>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1251" w:type="dxa"/>
            <w:noWrap w:val="0"/>
            <w:vAlign w:val="center"/>
          </w:tcPr>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4、无人机巡查服务（5分）</w:t>
            </w:r>
          </w:p>
        </w:tc>
        <w:tc>
          <w:tcPr>
            <w:tcW w:w="6247" w:type="dxa"/>
            <w:gridSpan w:val="2"/>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4.1根据供应商</w:t>
            </w:r>
            <w:r>
              <w:rPr>
                <w:rFonts w:hint="eastAsia" w:ascii="宋体" w:hAnsi="等线" w:eastAsia="宋体" w:cs="宋体"/>
                <w:bCs/>
                <w:color w:val="auto"/>
                <w:kern w:val="0"/>
                <w:sz w:val="20"/>
                <w:szCs w:val="20"/>
                <w:highlight w:val="none"/>
                <w:lang w:val="en-US" w:eastAsia="zh-CN" w:bidi="ar-SA"/>
              </w:rPr>
              <w:t>无人机巡查服务方案与招标文件的</w:t>
            </w:r>
            <w:r>
              <w:rPr>
                <w:rFonts w:hint="eastAsia" w:ascii="宋体" w:hAnsi="宋体" w:eastAsia="宋体" w:cs="Times New Roman"/>
                <w:bCs/>
                <w:color w:val="auto"/>
                <w:kern w:val="0"/>
                <w:sz w:val="21"/>
                <w:szCs w:val="21"/>
                <w:highlight w:val="none"/>
                <w:lang w:val="en-US" w:eastAsia="zh-CN" w:bidi="ar-SA"/>
              </w:rPr>
              <w:t>响应情况进行综合评议（5分）。</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1251" w:type="dxa"/>
            <w:vMerge w:val="restart"/>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5、运维服务期内的运营方案（1</w:t>
            </w:r>
            <w:r>
              <w:rPr>
                <w:rFonts w:hint="eastAsia" w:ascii="宋体" w:hAnsi="宋体" w:cs="Times New Roman"/>
                <w:bCs/>
                <w:color w:val="auto"/>
                <w:kern w:val="0"/>
                <w:sz w:val="21"/>
                <w:szCs w:val="21"/>
                <w:highlight w:val="none"/>
                <w:lang w:val="en-US" w:eastAsia="zh-CN" w:bidi="ar-SA"/>
              </w:rPr>
              <w:t>5</w:t>
            </w:r>
            <w:r>
              <w:rPr>
                <w:rFonts w:hint="eastAsia" w:ascii="宋体" w:hAnsi="宋体" w:eastAsia="宋体" w:cs="Times New Roman"/>
                <w:bCs/>
                <w:color w:val="auto"/>
                <w:kern w:val="0"/>
                <w:sz w:val="21"/>
                <w:szCs w:val="21"/>
                <w:highlight w:val="none"/>
                <w:lang w:val="en-US" w:eastAsia="zh-CN" w:bidi="ar-SA"/>
              </w:rPr>
              <w:t>分）</w:t>
            </w:r>
          </w:p>
        </w:tc>
        <w:tc>
          <w:tcPr>
            <w:tcW w:w="6247" w:type="dxa"/>
            <w:gridSpan w:val="2"/>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5.1根据供应商提供的服务方案、运维服务管理体系、应急方案、服务承诺的可操作性等进行综合评议（</w:t>
            </w:r>
            <w:r>
              <w:rPr>
                <w:rFonts w:hint="eastAsia" w:ascii="宋体" w:hAnsi="宋体" w:cs="Times New Roman"/>
                <w:bCs/>
                <w:color w:val="auto"/>
                <w:kern w:val="0"/>
                <w:sz w:val="21"/>
                <w:szCs w:val="21"/>
                <w:highlight w:val="none"/>
                <w:lang w:val="en-US" w:eastAsia="zh-CN" w:bidi="ar-SA"/>
              </w:rPr>
              <w:t>5</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continue"/>
            <w:noWrap w:val="0"/>
            <w:vAlign w:val="center"/>
          </w:tcPr>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p>
        </w:tc>
        <w:tc>
          <w:tcPr>
            <w:tcW w:w="1251" w:type="dxa"/>
            <w:vMerge w:val="continue"/>
            <w:noWrap w:val="0"/>
            <w:vAlign w:val="center"/>
          </w:tcPr>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p>
        </w:tc>
        <w:tc>
          <w:tcPr>
            <w:tcW w:w="6247" w:type="dxa"/>
            <w:gridSpan w:val="2"/>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5.2根据供应商的培训计划及服务团队的经验及人员配置进行综合评议（</w:t>
            </w:r>
            <w:r>
              <w:rPr>
                <w:rFonts w:hint="eastAsia" w:ascii="宋体" w:hAnsi="宋体" w:cs="Times New Roman"/>
                <w:bCs/>
                <w:color w:val="auto"/>
                <w:kern w:val="0"/>
                <w:sz w:val="21"/>
                <w:szCs w:val="21"/>
                <w:highlight w:val="none"/>
                <w:lang w:val="en-US" w:eastAsia="zh-CN" w:bidi="ar-SA"/>
              </w:rPr>
              <w:t>5</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1251" w:type="dxa"/>
            <w:vMerge w:val="continue"/>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p>
        </w:tc>
        <w:tc>
          <w:tcPr>
            <w:tcW w:w="6247" w:type="dxa"/>
            <w:gridSpan w:val="2"/>
            <w:noWrap w:val="0"/>
            <w:vAlign w:val="center"/>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5.3根据供应商提供的备品备件、故障恢复时间、维修服务、保障措施等进行综合评议（</w:t>
            </w:r>
            <w:r>
              <w:rPr>
                <w:rFonts w:hint="eastAsia" w:ascii="宋体" w:hAnsi="宋体" w:cs="Times New Roman"/>
                <w:bCs/>
                <w:color w:val="auto"/>
                <w:kern w:val="0"/>
                <w:sz w:val="21"/>
                <w:szCs w:val="21"/>
                <w:highlight w:val="none"/>
                <w:lang w:val="en-US" w:eastAsia="zh-CN" w:bidi="ar-SA"/>
              </w:rPr>
              <w:t>5</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900" w:type="dxa"/>
            <w:vMerge w:val="continue"/>
            <w:noWrap w:val="0"/>
            <w:vAlign w:val="top"/>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7498" w:type="dxa"/>
            <w:gridSpan w:val="3"/>
            <w:noWrap w:val="0"/>
            <w:vAlign w:val="center"/>
          </w:tcPr>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6、供应商根据招标内容对原</w:t>
            </w:r>
            <w:r>
              <w:rPr>
                <w:rFonts w:ascii="宋体" w:hAnsi="宋体" w:eastAsia="宋体" w:cs="Times New Roman"/>
                <w:bCs/>
                <w:color w:val="auto"/>
                <w:kern w:val="0"/>
                <w:sz w:val="21"/>
                <w:szCs w:val="21"/>
                <w:highlight w:val="none"/>
                <w:lang w:val="en-US" w:eastAsia="zh-CN" w:bidi="ar-SA"/>
              </w:rPr>
              <w:t>智慧城管平台实现无缝对接</w:t>
            </w:r>
            <w:r>
              <w:rPr>
                <w:rFonts w:hint="eastAsia" w:ascii="宋体" w:hAnsi="宋体" w:eastAsia="宋体" w:cs="Times New Roman"/>
                <w:bCs/>
                <w:color w:val="auto"/>
                <w:kern w:val="0"/>
                <w:sz w:val="21"/>
                <w:szCs w:val="21"/>
                <w:highlight w:val="none"/>
                <w:lang w:val="en-US" w:eastAsia="zh-CN" w:bidi="ar-SA"/>
              </w:rPr>
              <w:t>，根据平台对接方案的完整性、合理性及科学性进行评议（</w:t>
            </w:r>
            <w:r>
              <w:rPr>
                <w:rFonts w:hint="eastAsia" w:ascii="宋体" w:hAnsi="宋体" w:cs="Times New Roman"/>
                <w:bCs/>
                <w:color w:val="auto"/>
                <w:kern w:val="0"/>
                <w:sz w:val="21"/>
                <w:szCs w:val="21"/>
                <w:highlight w:val="none"/>
                <w:lang w:val="en-US" w:eastAsia="zh-CN" w:bidi="ar-SA"/>
              </w:rPr>
              <w:t>5</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5</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7498" w:type="dxa"/>
            <w:gridSpan w:val="3"/>
            <w:noWrap w:val="0"/>
            <w:vAlign w:val="center"/>
          </w:tcPr>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7、是否制定科学合理的施工进度表及安全和文明施工措施，并就质量控制、投资控制、变更控制等情况综合评议（</w:t>
            </w:r>
            <w:r>
              <w:rPr>
                <w:rFonts w:hint="eastAsia" w:ascii="宋体" w:hAnsi="宋体" w:cs="Times New Roman"/>
                <w:bCs/>
                <w:color w:val="auto"/>
                <w:kern w:val="0"/>
                <w:sz w:val="21"/>
                <w:szCs w:val="21"/>
                <w:highlight w:val="none"/>
                <w:lang w:val="en-US" w:eastAsia="zh-CN" w:bidi="ar-SA"/>
              </w:rPr>
              <w:t>3</w:t>
            </w:r>
            <w:r>
              <w:rPr>
                <w:rFonts w:hint="eastAsia" w:ascii="宋体" w:hAnsi="宋体" w:eastAsia="宋体" w:cs="Times New Roman"/>
                <w:bCs/>
                <w:color w:val="auto"/>
                <w:kern w:val="0"/>
                <w:sz w:val="21"/>
                <w:szCs w:val="21"/>
                <w:highlight w:val="none"/>
                <w:lang w:val="en-US" w:eastAsia="zh-CN" w:bidi="ar-SA"/>
              </w:rPr>
              <w:t>分）。</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900"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7498" w:type="dxa"/>
            <w:gridSpan w:val="3"/>
            <w:noWrap w:val="0"/>
            <w:vAlign w:val="center"/>
          </w:tcPr>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8、根据项目负责人的资质、经验、能力等情况进行综合评议（</w:t>
            </w:r>
            <w:r>
              <w:rPr>
                <w:rFonts w:hint="eastAsia" w:ascii="宋体" w:hAnsi="宋体" w:cs="Times New Roman"/>
                <w:bCs/>
                <w:color w:val="auto"/>
                <w:kern w:val="0"/>
                <w:sz w:val="21"/>
                <w:szCs w:val="21"/>
                <w:highlight w:val="none"/>
                <w:lang w:val="en-US" w:eastAsia="zh-CN" w:bidi="ar-SA"/>
              </w:rPr>
              <w:t>4</w:t>
            </w:r>
            <w:r>
              <w:rPr>
                <w:rFonts w:hint="eastAsia" w:ascii="宋体" w:hAnsi="宋体" w:eastAsia="宋体" w:cs="Times New Roman"/>
                <w:bCs/>
                <w:color w:val="auto"/>
                <w:kern w:val="0"/>
                <w:sz w:val="21"/>
                <w:szCs w:val="21"/>
                <w:highlight w:val="none"/>
                <w:lang w:val="en-US" w:eastAsia="zh-CN" w:bidi="ar-SA"/>
              </w:rPr>
              <w:t>分）。注：项目负责人必须为供应商公司人员，必须提供社保部门出具的近三个月的社会保险缴费证明复印件加盖公章。</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7498" w:type="dxa"/>
            <w:gridSpan w:val="3"/>
            <w:noWrap w:val="0"/>
            <w:vAlign w:val="center"/>
          </w:tcPr>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9、运维服务期满后的运营方案：根据供应商提供的运维服务期满后的运营方案的合理性进行综合评议（4分）。</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4</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00"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7498" w:type="dxa"/>
            <w:gridSpan w:val="3"/>
            <w:noWrap w:val="0"/>
            <w:vAlign w:val="center"/>
          </w:tcPr>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10、业绩分：自2018年1月1日以来（以合同签订时间为准），供应商承担过类似智慧城管系统建设项目，每个案例得1分，最多得</w:t>
            </w:r>
            <w:r>
              <w:rPr>
                <w:rFonts w:ascii="宋体" w:hAnsi="宋体" w:eastAsia="宋体" w:cs="Times New Roman"/>
                <w:bCs/>
                <w:color w:val="auto"/>
                <w:kern w:val="0"/>
                <w:sz w:val="21"/>
                <w:szCs w:val="21"/>
                <w:highlight w:val="none"/>
                <w:lang w:val="en-US" w:eastAsia="zh-CN" w:bidi="ar-SA"/>
              </w:rPr>
              <w:t>3</w:t>
            </w:r>
            <w:r>
              <w:rPr>
                <w:rFonts w:hint="eastAsia" w:ascii="宋体" w:hAnsi="宋体" w:eastAsia="宋体" w:cs="Times New Roman"/>
                <w:bCs/>
                <w:color w:val="auto"/>
                <w:kern w:val="0"/>
                <w:sz w:val="21"/>
                <w:szCs w:val="21"/>
                <w:highlight w:val="none"/>
                <w:lang w:val="en-US" w:eastAsia="zh-CN" w:bidi="ar-SA"/>
              </w:rPr>
              <w:t>分。</w:t>
            </w:r>
          </w:p>
          <w:p>
            <w:pPr>
              <w:widowControl/>
              <w:spacing w:line="240" w:lineRule="auto"/>
              <w:ind w:firstLine="0" w:firstLineChars="0"/>
              <w:jc w:val="both"/>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同一个项目不累计加分。（投标文件中须附加盖公章的合同复印件）</w:t>
            </w:r>
          </w:p>
        </w:tc>
        <w:tc>
          <w:tcPr>
            <w:tcW w:w="549" w:type="dxa"/>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00" w:type="dxa"/>
            <w:vMerge w:val="continue"/>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p>
        </w:tc>
        <w:tc>
          <w:tcPr>
            <w:tcW w:w="7498" w:type="dxa"/>
            <w:gridSpan w:val="3"/>
            <w:noWrap w:val="0"/>
            <w:vAlign w:val="center"/>
          </w:tcPr>
          <w:p>
            <w:pPr>
              <w:widowControl/>
              <w:spacing w:line="240" w:lineRule="auto"/>
              <w:ind w:firstLine="0" w:firstLineChars="0"/>
              <w:jc w:val="left"/>
              <w:rPr>
                <w:rFonts w:hint="default"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11、评标委员会根据供应商在本项目区域内4G无线网络覆盖情况进行评议（3分）。</w:t>
            </w:r>
          </w:p>
        </w:tc>
        <w:tc>
          <w:tcPr>
            <w:tcW w:w="549" w:type="dxa"/>
            <w:noWrap w:val="0"/>
            <w:vAlign w:val="center"/>
          </w:tcPr>
          <w:p>
            <w:pPr>
              <w:widowControl/>
              <w:spacing w:line="240" w:lineRule="auto"/>
              <w:ind w:firstLine="0" w:firstLineChars="0"/>
              <w:jc w:val="center"/>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价格分</w:t>
            </w:r>
          </w:p>
          <w:p>
            <w:pPr>
              <w:widowControl/>
              <w:spacing w:line="240" w:lineRule="auto"/>
              <w:ind w:firstLine="0" w:firstLineChars="0"/>
              <w:jc w:val="center"/>
              <w:rPr>
                <w:rFonts w:ascii="宋体" w:hAnsi="宋体" w:eastAsia="宋体" w:cs="Times New Roman"/>
                <w:bCs/>
                <w:color w:val="auto"/>
                <w:kern w:val="0"/>
                <w:sz w:val="21"/>
                <w:szCs w:val="21"/>
                <w:highlight w:val="none"/>
                <w:lang w:val="en-US" w:eastAsia="zh-CN" w:bidi="ar-SA"/>
              </w:rPr>
            </w:pPr>
            <w:r>
              <w:rPr>
                <w:rFonts w:hint="eastAsia" w:ascii="宋体" w:hAnsi="宋体" w:cs="Times New Roman"/>
                <w:bCs/>
                <w:color w:val="auto"/>
                <w:kern w:val="0"/>
                <w:sz w:val="21"/>
                <w:szCs w:val="21"/>
                <w:highlight w:val="none"/>
                <w:lang w:val="en-US" w:eastAsia="zh-CN" w:bidi="ar-SA"/>
              </w:rPr>
              <w:t>2</w:t>
            </w:r>
            <w:r>
              <w:rPr>
                <w:rFonts w:hint="eastAsia" w:ascii="宋体" w:hAnsi="宋体" w:eastAsia="宋体" w:cs="Times New Roman"/>
                <w:bCs/>
                <w:color w:val="auto"/>
                <w:kern w:val="0"/>
                <w:sz w:val="21"/>
                <w:szCs w:val="21"/>
                <w:highlight w:val="none"/>
                <w:lang w:val="en-US" w:eastAsia="zh-CN" w:bidi="ar-SA"/>
              </w:rPr>
              <w:t>0分</w:t>
            </w:r>
          </w:p>
        </w:tc>
        <w:tc>
          <w:tcPr>
            <w:tcW w:w="8047" w:type="dxa"/>
            <w:gridSpan w:val="4"/>
            <w:noWrap w:val="0"/>
            <w:vAlign w:val="top"/>
          </w:tcPr>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参与评审的价格=投标报价-小微企业优惠（如有）；</w:t>
            </w:r>
          </w:p>
          <w:p>
            <w:pPr>
              <w:widowControl/>
              <w:spacing w:line="240" w:lineRule="auto"/>
              <w:ind w:firstLine="0" w:firstLineChars="0"/>
              <w:jc w:val="left"/>
              <w:rPr>
                <w:rFonts w:hint="eastAsia"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满足采购要求的有效投标且参与评审的价格最低的参与评审的价格为评标基准价，得</w:t>
            </w:r>
            <w:r>
              <w:rPr>
                <w:rFonts w:hint="eastAsia" w:ascii="宋体" w:hAnsi="宋体" w:cs="Times New Roman"/>
                <w:bCs/>
                <w:color w:val="auto"/>
                <w:kern w:val="0"/>
                <w:sz w:val="21"/>
                <w:szCs w:val="21"/>
                <w:highlight w:val="none"/>
                <w:lang w:val="en-US" w:eastAsia="zh-CN" w:bidi="ar-SA"/>
              </w:rPr>
              <w:t>2</w:t>
            </w:r>
            <w:r>
              <w:rPr>
                <w:rFonts w:hint="eastAsia" w:ascii="宋体" w:hAnsi="宋体" w:eastAsia="宋体" w:cs="Times New Roman"/>
                <w:bCs/>
                <w:color w:val="auto"/>
                <w:kern w:val="0"/>
                <w:sz w:val="21"/>
                <w:szCs w:val="21"/>
                <w:highlight w:val="none"/>
                <w:lang w:val="en-US" w:eastAsia="zh-CN" w:bidi="ar-SA"/>
              </w:rPr>
              <w:t>0分；</w:t>
            </w:r>
          </w:p>
          <w:p>
            <w:pPr>
              <w:widowControl/>
              <w:spacing w:line="240" w:lineRule="auto"/>
              <w:ind w:firstLine="0" w:firstLineChars="0"/>
              <w:jc w:val="left"/>
              <w:rPr>
                <w:rFonts w:ascii="宋体" w:hAnsi="宋体" w:eastAsia="宋体" w:cs="Times New Roman"/>
                <w:bCs/>
                <w:color w:val="auto"/>
                <w:kern w:val="0"/>
                <w:sz w:val="21"/>
                <w:szCs w:val="21"/>
                <w:highlight w:val="none"/>
                <w:lang w:val="en-US" w:eastAsia="zh-CN" w:bidi="ar-SA"/>
              </w:rPr>
            </w:pPr>
            <w:r>
              <w:rPr>
                <w:rFonts w:hint="eastAsia" w:ascii="宋体" w:hAnsi="宋体" w:eastAsia="宋体" w:cs="Times New Roman"/>
                <w:bCs/>
                <w:color w:val="auto"/>
                <w:kern w:val="0"/>
                <w:sz w:val="21"/>
                <w:szCs w:val="21"/>
                <w:highlight w:val="none"/>
                <w:lang w:val="en-US" w:eastAsia="zh-CN" w:bidi="ar-SA"/>
              </w:rPr>
              <w:t>其他投标报价得分计算公式如下：投标报价得分=（评标基准价/参与评审的价格）×</w:t>
            </w:r>
            <w:r>
              <w:rPr>
                <w:rFonts w:hint="eastAsia" w:ascii="宋体" w:hAnsi="宋体" w:cs="Times New Roman"/>
                <w:bCs/>
                <w:color w:val="auto"/>
                <w:kern w:val="0"/>
                <w:sz w:val="21"/>
                <w:szCs w:val="21"/>
                <w:highlight w:val="none"/>
                <w:lang w:val="en-US" w:eastAsia="zh-CN" w:bidi="ar-SA"/>
              </w:rPr>
              <w:t>2</w:t>
            </w:r>
            <w:r>
              <w:rPr>
                <w:rFonts w:hint="eastAsia" w:ascii="宋体" w:hAnsi="宋体" w:eastAsia="宋体" w:cs="Times New Roman"/>
                <w:bCs/>
                <w:color w:val="auto"/>
                <w:kern w:val="0"/>
                <w:sz w:val="21"/>
                <w:szCs w:val="21"/>
                <w:highlight w:val="none"/>
                <w:lang w:val="en-US" w:eastAsia="zh-CN" w:bidi="ar-SA"/>
              </w:rPr>
              <w:t>0%×100。</w:t>
            </w:r>
          </w:p>
        </w:tc>
      </w:tr>
    </w:tbl>
    <w:p>
      <w:pPr>
        <w:snapToGrid w:val="0"/>
        <w:spacing w:line="360" w:lineRule="auto"/>
        <w:ind w:firstLine="420" w:firstLineChars="20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注：1、小数点后保留一位数。2、各评标委员会成员自行按以上参考分值评分。3、重大事件由评标委员会集体讨论，应当按照少数服从多数的原则作出结论。</w:t>
      </w:r>
    </w:p>
    <w:p>
      <w:pPr>
        <w:pStyle w:val="14"/>
        <w:snapToGrid w:val="0"/>
        <w:spacing w:before="0" w:beforeLines="0" w:after="0" w:afterLines="0" w:line="360" w:lineRule="auto"/>
        <w:rPr>
          <w:rFonts w:hint="eastAsia" w:ascii="宋体" w:hAnsi="宋体" w:eastAsia="宋体" w:cs="宋体"/>
          <w:b/>
          <w:color w:val="auto"/>
          <w:highlight w:val="none"/>
        </w:rPr>
      </w:pPr>
      <w:bookmarkStart w:id="93" w:name="_Toc9029"/>
      <w:bookmarkStart w:id="94" w:name="_Toc14242"/>
    </w:p>
    <w:p>
      <w:pPr>
        <w:pStyle w:val="14"/>
        <w:snapToGrid w:val="0"/>
        <w:spacing w:before="0" w:beforeLines="0" w:after="0" w:afterLines="0" w:line="360" w:lineRule="auto"/>
        <w:rPr>
          <w:rFonts w:hint="eastAsia" w:ascii="宋体" w:hAnsi="宋体" w:eastAsia="宋体" w:cs="宋体"/>
          <w:b/>
          <w:color w:val="auto"/>
          <w:highlight w:val="none"/>
        </w:rPr>
      </w:pPr>
      <w:r>
        <w:rPr>
          <w:rFonts w:hint="eastAsia" w:ascii="宋体" w:hAnsi="宋体" w:eastAsia="宋体" w:cs="宋体"/>
          <w:b/>
          <w:color w:val="auto"/>
          <w:highlight w:val="none"/>
        </w:rPr>
        <w:t>六、定标</w:t>
      </w:r>
      <w:bookmarkEnd w:id="93"/>
    </w:p>
    <w:p>
      <w:pPr>
        <w:pStyle w:val="14"/>
        <w:snapToGrid w:val="0"/>
        <w:spacing w:before="0" w:beforeLines="0" w:after="0" w:afterLines="0" w:line="360" w:lineRule="auto"/>
        <w:ind w:firstLine="413"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（一）确定中标</w:t>
      </w:r>
      <w:r>
        <w:rPr>
          <w:rFonts w:hint="eastAsia" w:ascii="宋体" w:hAnsi="宋体" w:eastAsia="宋体" w:cs="宋体"/>
          <w:b/>
          <w:bCs/>
          <w:color w:val="auto"/>
          <w:highlight w:val="none"/>
          <w:lang w:eastAsia="zh-CN"/>
        </w:rPr>
        <w:t>供应商</w:t>
      </w:r>
      <w:r>
        <w:rPr>
          <w:rFonts w:hint="eastAsia" w:ascii="宋体" w:hAnsi="宋体" w:eastAsia="宋体" w:cs="宋体"/>
          <w:b/>
          <w:bCs/>
          <w:color w:val="auto"/>
          <w:highlight w:val="none"/>
        </w:rPr>
        <w:t>。本项目由采购人（或采购人事先授权评标委员会）确定中标</w:t>
      </w:r>
      <w:r>
        <w:rPr>
          <w:rFonts w:hint="eastAsia" w:ascii="宋体" w:hAnsi="宋体" w:eastAsia="宋体" w:cs="宋体"/>
          <w:b/>
          <w:bCs/>
          <w:color w:val="auto"/>
          <w:highlight w:val="none"/>
          <w:lang w:eastAsia="zh-CN"/>
        </w:rPr>
        <w:t>供应商</w:t>
      </w:r>
      <w:r>
        <w:rPr>
          <w:rFonts w:hint="eastAsia" w:ascii="宋体" w:hAnsi="宋体" w:eastAsia="宋体" w:cs="宋体"/>
          <w:b/>
          <w:bCs/>
          <w:color w:val="auto"/>
          <w:highlight w:val="none"/>
        </w:rPr>
        <w:t>。</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1.采购代理机构在评标结束后将评标报告交采购人确认。</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对评标结果无异议的，采购人应在收到评标报告后5个工作日内对评标结果进行确认。如有</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对评标结果提出质疑的，采购人可在质疑处理完毕后确定中标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3.采购人依法确定中标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后2个工作日内，采购代理机构以书面形式发出《中标通知书》,并同时在相关网站上发布中标公告。</w:t>
      </w:r>
    </w:p>
    <w:p>
      <w:pPr>
        <w:snapToGrid w:val="0"/>
        <w:spacing w:line="360" w:lineRule="auto"/>
        <w:ind w:firstLine="420" w:firstLineChars="20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rPr>
        <w:t>4.</w:t>
      </w:r>
      <w:r>
        <w:rPr>
          <w:rFonts w:hint="eastAsia" w:ascii="宋体" w:hAnsi="宋体" w:eastAsia="宋体" w:cs="宋体"/>
          <w:color w:val="auto"/>
          <w:szCs w:val="21"/>
          <w:highlight w:val="none"/>
          <w:lang w:bidi="ar"/>
        </w:rPr>
        <w:t>若中标</w:t>
      </w:r>
      <w:r>
        <w:rPr>
          <w:rFonts w:hint="eastAsia" w:ascii="宋体" w:hAnsi="宋体" w:eastAsia="宋体" w:cs="宋体"/>
          <w:color w:val="auto"/>
          <w:szCs w:val="21"/>
          <w:highlight w:val="none"/>
          <w:lang w:eastAsia="zh-CN" w:bidi="ar"/>
        </w:rPr>
        <w:t>供应商</w:t>
      </w:r>
      <w:r>
        <w:rPr>
          <w:rFonts w:hint="eastAsia" w:ascii="宋体" w:hAnsi="宋体" w:eastAsia="宋体" w:cs="宋体"/>
          <w:color w:val="auto"/>
          <w:szCs w:val="21"/>
          <w:highlight w:val="none"/>
          <w:lang w:bidi="ar"/>
        </w:rPr>
        <w:t>放弃中标，或因不可抗力提出不能履行合同，或不按</w:t>
      </w:r>
      <w:r>
        <w:rPr>
          <w:rFonts w:hint="eastAsia" w:ascii="宋体" w:hAnsi="宋体" w:eastAsia="宋体" w:cs="宋体"/>
          <w:color w:val="auto"/>
          <w:szCs w:val="21"/>
          <w:highlight w:val="none"/>
          <w:lang w:eastAsia="zh-CN" w:bidi="ar"/>
        </w:rPr>
        <w:t>招标文件</w:t>
      </w:r>
      <w:r>
        <w:rPr>
          <w:rFonts w:hint="eastAsia" w:ascii="宋体" w:hAnsi="宋体" w:eastAsia="宋体" w:cs="宋体"/>
          <w:color w:val="auto"/>
          <w:szCs w:val="21"/>
          <w:highlight w:val="none"/>
          <w:lang w:bidi="ar"/>
        </w:rPr>
        <w:t>规定提交履约担保，或其它原因被依法撤销中标资格，则采购人可确定排名</w:t>
      </w:r>
      <w:r>
        <w:rPr>
          <w:rFonts w:hint="eastAsia" w:ascii="宋体" w:hAnsi="宋体" w:eastAsia="宋体" w:cs="宋体"/>
          <w:color w:val="auto"/>
          <w:szCs w:val="21"/>
          <w:highlight w:val="none"/>
          <w:lang w:val="en-US" w:eastAsia="zh-CN" w:bidi="ar"/>
        </w:rPr>
        <w:t>次之</w:t>
      </w:r>
      <w:r>
        <w:rPr>
          <w:rFonts w:hint="eastAsia" w:ascii="宋体" w:hAnsi="宋体" w:eastAsia="宋体" w:cs="宋体"/>
          <w:color w:val="auto"/>
          <w:szCs w:val="21"/>
          <w:highlight w:val="none"/>
          <w:lang w:bidi="ar"/>
        </w:rPr>
        <w:t>的中标候选人为中标人或重新组织招标。</w:t>
      </w:r>
    </w:p>
    <w:p>
      <w:pPr>
        <w:pStyle w:val="14"/>
        <w:snapToGrid w:val="0"/>
        <w:spacing w:before="0" w:beforeLines="0" w:after="0" w:afterLines="0" w:line="360" w:lineRule="auto"/>
        <w:rPr>
          <w:rFonts w:hint="eastAsia" w:ascii="宋体" w:hAnsi="宋体" w:eastAsia="宋体" w:cs="宋体"/>
          <w:b/>
          <w:bCs/>
          <w:color w:val="auto"/>
          <w:szCs w:val="21"/>
          <w:highlight w:val="none"/>
          <w:lang w:bidi="ar"/>
        </w:rPr>
      </w:pPr>
      <w:r>
        <w:rPr>
          <w:rFonts w:hint="eastAsia" w:ascii="宋体" w:hAnsi="宋体" w:eastAsia="宋体" w:cs="宋体"/>
          <w:b/>
          <w:bCs/>
          <w:color w:val="auto"/>
          <w:szCs w:val="21"/>
          <w:highlight w:val="none"/>
          <w:lang w:bidi="ar"/>
        </w:rPr>
        <w:t>七、评标过程的监控与保密</w:t>
      </w:r>
    </w:p>
    <w:p>
      <w:pPr>
        <w:snapToGrid w:val="0"/>
        <w:spacing w:line="360" w:lineRule="auto"/>
        <w:ind w:firstLine="420" w:firstLineChars="20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1、本项目评标过程实行全程录音、录像监控，</w:t>
      </w:r>
      <w:r>
        <w:rPr>
          <w:rFonts w:hint="eastAsia" w:ascii="宋体" w:hAnsi="宋体" w:eastAsia="宋体" w:cs="宋体"/>
          <w:color w:val="auto"/>
          <w:szCs w:val="21"/>
          <w:highlight w:val="none"/>
          <w:lang w:eastAsia="zh-CN" w:bidi="ar"/>
        </w:rPr>
        <w:t>供应商</w:t>
      </w:r>
      <w:r>
        <w:rPr>
          <w:rFonts w:hint="eastAsia" w:ascii="宋体" w:hAnsi="宋体" w:eastAsia="宋体" w:cs="宋体"/>
          <w:color w:val="auto"/>
          <w:szCs w:val="21"/>
          <w:highlight w:val="none"/>
          <w:lang w:bidi="ar"/>
        </w:rPr>
        <w:t>在评标过程中所进行的试图影响评标结果的不公正活动，可能导致其投标被拒绝。</w:t>
      </w:r>
    </w:p>
    <w:p>
      <w:pPr>
        <w:snapToGrid w:val="0"/>
        <w:spacing w:line="360" w:lineRule="auto"/>
        <w:ind w:firstLine="420" w:firstLineChars="200"/>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2、开标后到中标通知书发出之前，所有涉及评标委员会名单以及对投标文件的澄清、评价、比较等情况，评标委员会成员、采购人和采购代理机构的有关人员均不得向</w:t>
      </w:r>
      <w:r>
        <w:rPr>
          <w:rFonts w:hint="eastAsia" w:ascii="宋体" w:hAnsi="宋体" w:eastAsia="宋体" w:cs="宋体"/>
          <w:color w:val="auto"/>
          <w:szCs w:val="21"/>
          <w:highlight w:val="none"/>
          <w:lang w:eastAsia="zh-CN" w:bidi="ar"/>
        </w:rPr>
        <w:t>供应商</w:t>
      </w:r>
      <w:r>
        <w:rPr>
          <w:rFonts w:hint="eastAsia" w:ascii="宋体" w:hAnsi="宋体" w:eastAsia="宋体" w:cs="宋体"/>
          <w:color w:val="auto"/>
          <w:szCs w:val="21"/>
          <w:highlight w:val="none"/>
          <w:lang w:bidi="ar"/>
        </w:rPr>
        <w:t>或其他无关人员透露。</w:t>
      </w:r>
    </w:p>
    <w:p>
      <w:pPr>
        <w:pStyle w:val="14"/>
        <w:snapToGrid w:val="0"/>
        <w:spacing w:before="0" w:beforeLines="0" w:after="0" w:afterLines="0" w:line="360" w:lineRule="auto"/>
        <w:rPr>
          <w:rFonts w:hint="eastAsia" w:ascii="宋体" w:hAnsi="宋体" w:eastAsia="宋体" w:cs="宋体"/>
          <w:b/>
          <w:bCs/>
          <w:color w:val="auto"/>
          <w:szCs w:val="21"/>
          <w:highlight w:val="none"/>
        </w:rPr>
      </w:pPr>
      <w:bookmarkStart w:id="95" w:name="_Toc17747"/>
      <w:r>
        <w:rPr>
          <w:rFonts w:hint="eastAsia" w:ascii="宋体" w:hAnsi="宋体" w:eastAsia="宋体" w:cs="宋体"/>
          <w:b/>
          <w:color w:val="auto"/>
          <w:szCs w:val="21"/>
          <w:highlight w:val="none"/>
        </w:rPr>
        <w:t>八、</w:t>
      </w:r>
      <w:r>
        <w:rPr>
          <w:rFonts w:hint="eastAsia" w:ascii="宋体" w:hAnsi="宋体" w:eastAsia="宋体" w:cs="宋体"/>
          <w:b/>
          <w:bCs/>
          <w:color w:val="auto"/>
          <w:szCs w:val="21"/>
          <w:highlight w:val="none"/>
          <w:lang w:bidi="ar"/>
        </w:rPr>
        <w:t>合同</w:t>
      </w:r>
      <w:r>
        <w:rPr>
          <w:rFonts w:hint="eastAsia" w:ascii="宋体" w:hAnsi="宋体" w:eastAsia="宋体" w:cs="宋体"/>
          <w:b/>
          <w:color w:val="auto"/>
          <w:szCs w:val="21"/>
          <w:highlight w:val="none"/>
        </w:rPr>
        <w:t>授予</w:t>
      </w:r>
      <w:bookmarkEnd w:id="95"/>
      <w:r>
        <w:rPr>
          <w:rFonts w:hint="eastAsia" w:ascii="宋体" w:hAnsi="宋体" w:eastAsia="宋体" w:cs="宋体"/>
          <w:b/>
          <w:color w:val="auto"/>
          <w:szCs w:val="21"/>
          <w:highlight w:val="none"/>
        </w:rPr>
        <w:t>：</w:t>
      </w:r>
      <w:r>
        <w:rPr>
          <w:rFonts w:hint="eastAsia" w:ascii="宋体" w:hAnsi="宋体" w:eastAsia="宋体" w:cs="宋体"/>
          <w:b/>
          <w:bCs/>
          <w:color w:val="auto"/>
          <w:szCs w:val="21"/>
          <w:highlight w:val="none"/>
        </w:rPr>
        <w:t>签订合同</w:t>
      </w:r>
    </w:p>
    <w:p>
      <w:pPr>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kern w:val="0"/>
          <w:szCs w:val="21"/>
          <w:highlight w:val="none"/>
        </w:rPr>
        <w:t>采购人应当自中标通知书发出之日起30日内，按照</w:t>
      </w:r>
      <w:r>
        <w:rPr>
          <w:rFonts w:hint="eastAsia" w:ascii="宋体" w:hAnsi="宋体" w:eastAsia="宋体" w:cs="宋体"/>
          <w:color w:val="auto"/>
          <w:kern w:val="0"/>
          <w:szCs w:val="21"/>
          <w:highlight w:val="none"/>
          <w:lang w:eastAsia="zh-CN"/>
        </w:rPr>
        <w:t>招标文件</w:t>
      </w:r>
      <w:r>
        <w:rPr>
          <w:rFonts w:hint="eastAsia" w:ascii="宋体" w:hAnsi="宋体" w:eastAsia="宋体" w:cs="宋体"/>
          <w:color w:val="auto"/>
          <w:kern w:val="0"/>
          <w:szCs w:val="21"/>
          <w:highlight w:val="none"/>
        </w:rPr>
        <w:t>和中标人投标文件的规定，与中标人签订书面合同。所签订的合同不得对</w:t>
      </w:r>
      <w:r>
        <w:rPr>
          <w:rFonts w:hint="eastAsia" w:ascii="宋体" w:hAnsi="宋体" w:eastAsia="宋体" w:cs="宋体"/>
          <w:color w:val="auto"/>
          <w:kern w:val="0"/>
          <w:szCs w:val="21"/>
          <w:highlight w:val="none"/>
          <w:lang w:eastAsia="zh-CN"/>
        </w:rPr>
        <w:t>招标文件</w:t>
      </w:r>
      <w:r>
        <w:rPr>
          <w:rFonts w:hint="eastAsia" w:ascii="宋体" w:hAnsi="宋体" w:eastAsia="宋体" w:cs="宋体"/>
          <w:color w:val="auto"/>
          <w:kern w:val="0"/>
          <w:szCs w:val="21"/>
          <w:highlight w:val="none"/>
        </w:rPr>
        <w:t>确定的事项和中标人投标文件作实质性修改。</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采购人不得向中标人提出任何不合理的要求作为签订合同的条件。</w:t>
      </w:r>
    </w:p>
    <w:p>
      <w:pPr>
        <w:pStyle w:val="14"/>
        <w:snapToGrid w:val="0"/>
        <w:spacing w:before="0" w:beforeLines="0" w:after="0" w:afterLines="0"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rPr>
        <w:t>2</w:t>
      </w:r>
      <w:r>
        <w:rPr>
          <w:rFonts w:hint="eastAsia" w:ascii="宋体" w:hAnsi="宋体" w:eastAsia="宋体" w:cs="宋体"/>
          <w:color w:val="auto"/>
          <w:highlight w:val="none"/>
        </w:rPr>
        <w:t>.</w:t>
      </w:r>
      <w:r>
        <w:rPr>
          <w:rFonts w:hint="eastAsia" w:ascii="宋体" w:hAnsi="宋体" w:eastAsia="宋体" w:cs="宋体"/>
          <w:bCs/>
          <w:color w:val="auto"/>
          <w:highlight w:val="none"/>
        </w:rPr>
        <w:t>采购人在签订合同时，在合同金额变更范围内，如需审批的办理相关审批手续。有权变更采购项目的数量和服务内容，但不能对单价或其他条款和条件作任何改变。</w:t>
      </w:r>
    </w:p>
    <w:p>
      <w:pPr>
        <w:pStyle w:val="14"/>
        <w:snapToGrid w:val="0"/>
        <w:spacing w:before="0" w:beforeLines="0" w:after="0" w:afterLines="0"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rPr>
        <w:t>3</w:t>
      </w:r>
      <w:r>
        <w:rPr>
          <w:rFonts w:hint="eastAsia" w:ascii="宋体" w:hAnsi="宋体" w:eastAsia="宋体" w:cs="宋体"/>
          <w:color w:val="auto"/>
          <w:highlight w:val="none"/>
        </w:rPr>
        <w:t>.</w:t>
      </w:r>
      <w:r>
        <w:rPr>
          <w:rFonts w:hint="eastAsia" w:ascii="宋体" w:hAnsi="宋体" w:eastAsia="宋体" w:cs="宋体"/>
          <w:bCs/>
          <w:color w:val="auto"/>
          <w:highlight w:val="none"/>
          <w:lang w:eastAsia="zh-CN"/>
        </w:rPr>
        <w:t>招标文件</w:t>
      </w:r>
      <w:r>
        <w:rPr>
          <w:rFonts w:hint="eastAsia" w:ascii="宋体" w:hAnsi="宋体" w:eastAsia="宋体" w:cs="宋体"/>
          <w:bCs/>
          <w:color w:val="auto"/>
          <w:highlight w:val="none"/>
        </w:rPr>
        <w:t>、中标</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的投标文件及评标过程中有关的澄清文件均应作为合同签订的附件。</w:t>
      </w:r>
    </w:p>
    <w:p>
      <w:pPr>
        <w:pStyle w:val="14"/>
        <w:snapToGrid w:val="0"/>
        <w:spacing w:before="0" w:beforeLines="0" w:after="0" w:afterLines="0"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rPr>
        <w:t>4.中标或者成交</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拒绝与采购人签订合同的，采购人应重新招标。</w:t>
      </w:r>
    </w:p>
    <w:p>
      <w:pPr>
        <w:pStyle w:val="14"/>
        <w:snapToGrid w:val="0"/>
        <w:spacing w:before="0" w:beforeLines="0" w:after="0" w:afterLines="0" w:line="360" w:lineRule="auto"/>
        <w:ind w:firstLine="411" w:firstLineChars="196"/>
        <w:rPr>
          <w:rFonts w:hint="eastAsia" w:ascii="宋体" w:hAnsi="宋体" w:eastAsia="宋体" w:cs="宋体"/>
          <w:bCs/>
          <w:color w:val="auto"/>
          <w:highlight w:val="none"/>
        </w:rPr>
      </w:pPr>
      <w:r>
        <w:rPr>
          <w:rFonts w:hint="eastAsia" w:ascii="宋体" w:hAnsi="宋体" w:eastAsia="宋体" w:cs="宋体"/>
          <w:bCs/>
          <w:color w:val="auto"/>
          <w:highlight w:val="none"/>
          <w:lang w:val="en-US" w:eastAsia="zh-CN"/>
        </w:rPr>
        <w:t>5.</w:t>
      </w:r>
      <w:r>
        <w:rPr>
          <w:rFonts w:hint="eastAsia" w:ascii="宋体" w:hAnsi="宋体" w:eastAsia="宋体" w:cs="宋体"/>
          <w:bCs/>
          <w:color w:val="auto"/>
          <w:highlight w:val="none"/>
        </w:rPr>
        <w:t>中标人如不遵守</w:t>
      </w:r>
      <w:r>
        <w:rPr>
          <w:rFonts w:hint="eastAsia" w:ascii="宋体" w:hAnsi="宋体" w:eastAsia="宋体" w:cs="宋体"/>
          <w:bCs/>
          <w:color w:val="auto"/>
          <w:highlight w:val="none"/>
          <w:lang w:val="en-US" w:eastAsia="zh-CN"/>
        </w:rPr>
        <w:t>招标文件</w:t>
      </w:r>
      <w:r>
        <w:rPr>
          <w:rFonts w:hint="eastAsia" w:ascii="宋体" w:hAnsi="宋体" w:eastAsia="宋体" w:cs="宋体"/>
          <w:bCs/>
          <w:color w:val="auto"/>
          <w:highlight w:val="none"/>
        </w:rPr>
        <w:t>或投标文件各项条款的邀约与要约，或在接到中标通知书后借故拖延，拒签合同的，采购人将按《浙江省政府采购</w:t>
      </w:r>
      <w:r>
        <w:rPr>
          <w:rFonts w:hint="eastAsia" w:ascii="宋体" w:hAnsi="宋体" w:eastAsia="宋体" w:cs="宋体"/>
          <w:bCs/>
          <w:color w:val="auto"/>
          <w:highlight w:val="none"/>
          <w:lang w:eastAsia="zh-CN"/>
        </w:rPr>
        <w:t>供应商</w:t>
      </w:r>
      <w:r>
        <w:rPr>
          <w:rFonts w:hint="eastAsia" w:ascii="宋体" w:hAnsi="宋体" w:eastAsia="宋体" w:cs="宋体"/>
          <w:bCs/>
          <w:color w:val="auto"/>
          <w:highlight w:val="none"/>
        </w:rPr>
        <w:t>注册及诚信管理暂行办法》的规定上报诚信状况。给采购人造成的损失的还应当予以赔偿。</w:t>
      </w:r>
    </w:p>
    <w:p>
      <w:pPr>
        <w:pStyle w:val="14"/>
        <w:snapToGrid w:val="0"/>
        <w:spacing w:before="0" w:beforeLines="0" w:after="0" w:afterLines="0" w:line="360" w:lineRule="auto"/>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九、</w:t>
      </w:r>
      <w:r>
        <w:rPr>
          <w:rFonts w:hint="eastAsia" w:ascii="宋体" w:hAnsi="宋体" w:eastAsia="宋体" w:cs="宋体"/>
          <w:b/>
          <w:bCs/>
          <w:color w:val="auto"/>
          <w:szCs w:val="21"/>
          <w:highlight w:val="none"/>
          <w:lang w:bidi="ar"/>
        </w:rPr>
        <w:t>履约</w:t>
      </w:r>
      <w:r>
        <w:rPr>
          <w:rFonts w:hint="eastAsia" w:ascii="宋体" w:hAnsi="宋体" w:eastAsia="宋体" w:cs="宋体"/>
          <w:b/>
          <w:color w:val="auto"/>
          <w:szCs w:val="21"/>
          <w:highlight w:val="none"/>
        </w:rPr>
        <w:t>验收：</w:t>
      </w:r>
    </w:p>
    <w:p>
      <w:pPr>
        <w:snapToGrid w:val="0"/>
        <w:spacing w:line="360" w:lineRule="auto"/>
        <w:ind w:firstLine="411" w:firstLineChars="196"/>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采购人负责对中标</w:t>
      </w:r>
      <w:r>
        <w:rPr>
          <w:rFonts w:hint="eastAsia" w:ascii="宋体" w:hAnsi="宋体" w:eastAsia="宋体" w:cs="宋体"/>
          <w:bCs/>
          <w:color w:val="auto"/>
          <w:szCs w:val="21"/>
          <w:highlight w:val="none"/>
          <w:lang w:eastAsia="zh-CN"/>
        </w:rPr>
        <w:t>供应商</w:t>
      </w:r>
      <w:r>
        <w:rPr>
          <w:rFonts w:hint="eastAsia" w:ascii="宋体" w:hAnsi="宋体" w:eastAsia="宋体" w:cs="宋体"/>
          <w:bCs/>
          <w:color w:val="auto"/>
          <w:szCs w:val="21"/>
          <w:highlight w:val="none"/>
        </w:rPr>
        <w:t>的履约行为进行验收。政府向社会公众提供的公共服务项目，验收时应当邀请服务对象参与并出具意见，验收结果应当向社会公告。</w:t>
      </w:r>
    </w:p>
    <w:p>
      <w:pPr>
        <w:pStyle w:val="27"/>
        <w:spacing w:line="700" w:lineRule="exact"/>
        <w:ind w:firstLine="0" w:firstLineChars="0"/>
        <w:jc w:val="center"/>
        <w:outlineLvl w:val="0"/>
        <w:rPr>
          <w:rFonts w:hint="eastAsia" w:ascii="宋体" w:hAnsi="宋体" w:eastAsia="宋体" w:cs="宋体"/>
          <w:b/>
          <w:bCs/>
          <w:color w:val="auto"/>
          <w:sz w:val="32"/>
          <w:szCs w:val="32"/>
          <w:highlight w:val="none"/>
        </w:rPr>
      </w:pPr>
      <w:r>
        <w:rPr>
          <w:rFonts w:hint="eastAsia" w:ascii="宋体" w:hAnsi="宋体" w:eastAsia="宋体" w:cs="宋体"/>
          <w:bCs/>
          <w:color w:val="auto"/>
          <w:highlight w:val="none"/>
        </w:rPr>
        <w:br w:type="page"/>
      </w:r>
      <w:bookmarkStart w:id="96" w:name="_Toc21397"/>
      <w:r>
        <w:rPr>
          <w:rFonts w:hint="eastAsia" w:ascii="宋体" w:hAnsi="宋体" w:eastAsia="宋体" w:cs="宋体"/>
          <w:b/>
          <w:color w:val="auto"/>
          <w:sz w:val="32"/>
          <w:szCs w:val="32"/>
          <w:highlight w:val="none"/>
        </w:rPr>
        <w:t>第五章  政府采购合同主要条款</w:t>
      </w:r>
      <w:bookmarkEnd w:id="94"/>
      <w:bookmarkEnd w:id="96"/>
    </w:p>
    <w:p>
      <w:pPr>
        <w:widowControl w:val="0"/>
        <w:snapToGrid w:val="0"/>
        <w:spacing w:before="120" w:beforeLines="50" w:after="120" w:afterLines="50"/>
        <w:jc w:val="center"/>
        <w:rPr>
          <w:rFonts w:hint="eastAsia" w:ascii="宋体" w:hAnsi="宋体" w:eastAsia="宋体" w:cs="宋体"/>
          <w:b/>
          <w:bCs/>
          <w:color w:val="auto"/>
          <w:kern w:val="2"/>
          <w:sz w:val="30"/>
          <w:szCs w:val="32"/>
          <w:highlight w:val="none"/>
        </w:rPr>
      </w:pPr>
      <w:r>
        <w:rPr>
          <w:rFonts w:hint="eastAsia" w:ascii="宋体" w:hAnsi="宋体" w:eastAsia="宋体" w:cs="宋体"/>
          <w:b/>
          <w:color w:val="auto"/>
          <w:kern w:val="2"/>
          <w:sz w:val="30"/>
          <w:szCs w:val="32"/>
          <w:highlight w:val="none"/>
        </w:rPr>
        <w:t>采购合同（供参考）</w:t>
      </w:r>
    </w:p>
    <w:p>
      <w:pPr>
        <w:widowControl/>
        <w:spacing w:before="0" w:beforeLines="0" w:after="0" w:afterLines="0" w:line="360" w:lineRule="auto"/>
        <w:contextualSpacing/>
        <w:jc w:val="left"/>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（本合同条款为参考格式，具体由甲乙双方协商签订，与前款冲突之处以前款约定为准）</w:t>
      </w:r>
    </w:p>
    <w:p>
      <w:pPr>
        <w:widowControl/>
        <w:spacing w:before="0" w:beforeLines="0" w:after="0" w:afterLines="0" w:line="360" w:lineRule="auto"/>
        <w:contextualSpacing/>
        <w:jc w:val="left"/>
        <w:rPr>
          <w:rFonts w:hint="eastAsia" w:ascii="宋体" w:hAnsi="宋体" w:eastAsia="宋体" w:cs="宋体"/>
          <w:color w:val="auto"/>
          <w:kern w:val="2"/>
          <w:sz w:val="21"/>
          <w:szCs w:val="21"/>
          <w:highlight w:val="none"/>
          <w:lang w:val="en-US" w:eastAsia="zh-CN" w:bidi="ar-SA"/>
        </w:rPr>
      </w:pPr>
    </w:p>
    <w:p>
      <w:pPr>
        <w:widowControl w:val="0"/>
        <w:spacing w:line="360" w:lineRule="atLeast"/>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甲方：</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（以下简称甲方）</w:t>
      </w:r>
    </w:p>
    <w:p>
      <w:pPr>
        <w:widowControl w:val="0"/>
        <w:spacing w:line="360" w:lineRule="atLeast"/>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乙方：</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（以下简称乙方）</w:t>
      </w:r>
    </w:p>
    <w:p>
      <w:pPr>
        <w:widowControl w:val="0"/>
        <w:spacing w:line="360" w:lineRule="atLeast"/>
        <w:jc w:val="both"/>
        <w:rPr>
          <w:rFonts w:hint="eastAsia" w:ascii="宋体" w:hAnsi="宋体" w:eastAsia="宋体" w:cs="宋体"/>
          <w:color w:val="auto"/>
          <w:kern w:val="2"/>
          <w:szCs w:val="21"/>
          <w:highlight w:val="none"/>
        </w:rPr>
      </w:pPr>
    </w:p>
    <w:p>
      <w:pPr>
        <w:widowControl w:val="0"/>
        <w:spacing w:line="360" w:lineRule="auto"/>
        <w:ind w:firstLine="420" w:firstLineChars="20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根据《中华人民共和国政府采购法》、《中华人民共和国政府采购法实施条例》、《政府采购货物和服务招标投标管理办法》等法律法规，</w:t>
      </w:r>
      <w:r>
        <w:rPr>
          <w:rFonts w:hint="eastAsia" w:ascii="宋体" w:hAnsi="宋体" w:eastAsia="宋体" w:cs="宋体"/>
          <w:color w:val="auto"/>
          <w:kern w:val="2"/>
          <w:szCs w:val="21"/>
          <w:highlight w:val="none"/>
          <w:u w:val="single"/>
        </w:rPr>
        <w:t>项目名称（项目编号：   ）</w:t>
      </w:r>
      <w:r>
        <w:rPr>
          <w:rFonts w:hint="eastAsia" w:ascii="宋体" w:hAnsi="宋体" w:eastAsia="宋体" w:cs="宋体"/>
          <w:color w:val="auto"/>
          <w:kern w:val="2"/>
          <w:szCs w:val="21"/>
          <w:highlight w:val="none"/>
        </w:rPr>
        <w:t xml:space="preserve">于 </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年</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月</w:t>
      </w:r>
      <w:r>
        <w:rPr>
          <w:rFonts w:hint="eastAsia" w:ascii="宋体" w:hAnsi="宋体" w:eastAsia="宋体" w:cs="宋体"/>
          <w:color w:val="auto"/>
          <w:kern w:val="2"/>
          <w:szCs w:val="21"/>
          <w:highlight w:val="none"/>
          <w:u w:val="single"/>
        </w:rPr>
        <w:t xml:space="preserve">   </w:t>
      </w:r>
      <w:r>
        <w:rPr>
          <w:rFonts w:hint="eastAsia" w:ascii="宋体" w:hAnsi="宋体" w:eastAsia="宋体" w:cs="宋体"/>
          <w:color w:val="auto"/>
          <w:kern w:val="2"/>
          <w:szCs w:val="21"/>
          <w:highlight w:val="none"/>
        </w:rPr>
        <w:t>日，在</w:t>
      </w:r>
      <w:r>
        <w:rPr>
          <w:rFonts w:hint="eastAsia" w:ascii="宋体" w:hAnsi="宋体" w:eastAsia="宋体" w:cs="宋体"/>
          <w:color w:val="auto"/>
          <w:kern w:val="2"/>
          <w:szCs w:val="21"/>
          <w:highlight w:val="none"/>
          <w:lang w:val="en-US" w:eastAsia="zh-CN"/>
        </w:rPr>
        <w:t>宁海县</w:t>
      </w:r>
      <w:r>
        <w:rPr>
          <w:rFonts w:hint="eastAsia" w:ascii="宋体" w:hAnsi="宋体" w:eastAsia="宋体" w:cs="宋体"/>
          <w:color w:val="auto"/>
          <w:kern w:val="2"/>
          <w:szCs w:val="21"/>
          <w:highlight w:val="none"/>
        </w:rPr>
        <w:t>公共资源交易中心进行公开招标，确定由乙方中标。按照《中华人民共和国</w:t>
      </w:r>
      <w:r>
        <w:rPr>
          <w:rFonts w:hint="eastAsia" w:ascii="宋体" w:hAnsi="宋体" w:cs="宋体"/>
          <w:color w:val="auto"/>
          <w:kern w:val="2"/>
          <w:szCs w:val="21"/>
          <w:highlight w:val="none"/>
          <w:lang w:val="en-US" w:eastAsia="zh-CN"/>
        </w:rPr>
        <w:t>民法典</w:t>
      </w:r>
      <w:r>
        <w:rPr>
          <w:rFonts w:hint="eastAsia" w:ascii="宋体" w:hAnsi="宋体" w:eastAsia="宋体" w:cs="宋体"/>
          <w:color w:val="auto"/>
          <w:kern w:val="2"/>
          <w:szCs w:val="21"/>
          <w:highlight w:val="none"/>
        </w:rPr>
        <w:t>》的有关规定，在自愿、平等、公平、诚信的基础上，经双方协商一致，签订本合同。</w:t>
      </w:r>
    </w:p>
    <w:p>
      <w:pPr>
        <w:widowControl w:val="0"/>
        <w:spacing w:before="0" w:beforeLines="0" w:after="0" w:afterLines="0" w:line="360" w:lineRule="auto"/>
        <w:ind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下述文件作为附件，是合同的一部分，并与本合同一起阅读和解释：</w:t>
      </w:r>
    </w:p>
    <w:p>
      <w:pPr>
        <w:widowControl w:val="0"/>
        <w:spacing w:before="0" w:beforeLines="0" w:after="0" w:afterLines="0" w:line="360" w:lineRule="auto"/>
        <w:ind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a.招标文件；</w:t>
      </w:r>
    </w:p>
    <w:p>
      <w:pPr>
        <w:widowControl w:val="0"/>
        <w:spacing w:before="0" w:beforeLines="0" w:after="0" w:afterLines="0" w:line="360" w:lineRule="auto"/>
        <w:ind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b.投标文件及澄清文件；</w:t>
      </w:r>
    </w:p>
    <w:p>
      <w:pPr>
        <w:widowControl w:val="0"/>
        <w:spacing w:before="0" w:beforeLines="0" w:after="0" w:afterLines="0" w:line="360" w:lineRule="auto"/>
        <w:ind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c.中标通知书；</w:t>
      </w:r>
    </w:p>
    <w:p>
      <w:pPr>
        <w:widowControl w:val="0"/>
        <w:spacing w:before="0" w:beforeLines="0" w:after="0" w:afterLines="0" w:line="360" w:lineRule="auto"/>
        <w:ind w:firstLine="420" w:firstLine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上述文件与合同若有不一致之处，优先次序第一应为合同、第二应为附件(附件的优先次序为 c,b,a)。</w:t>
      </w:r>
    </w:p>
    <w:p>
      <w:pPr>
        <w:widowControl w:val="0"/>
        <w:snapToGrid w:val="0"/>
        <w:spacing w:before="120" w:beforeLines="50" w:after="120" w:afterLines="50" w:line="4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一、货物清单</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 货物清单：</w:t>
      </w:r>
    </w:p>
    <w:p>
      <w:pPr>
        <w:widowControl w:val="0"/>
        <w:snapToGrid w:val="0"/>
        <w:spacing w:before="120" w:beforeLines="50" w:after="120" w:afterLines="50" w:line="4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二、合同金额</w:t>
      </w:r>
    </w:p>
    <w:p>
      <w:pPr>
        <w:widowControl w:val="0"/>
        <w:snapToGrid w:val="0"/>
        <w:spacing w:before="120" w:beforeLines="50" w:after="120" w:afterLines="50" w:line="400" w:lineRule="exact"/>
        <w:ind w:left="359" w:hanging="359" w:hangingChars="171"/>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2.1 本合同金额为（大写）：_______________________元（￥_______________元）人民币。</w:t>
      </w:r>
    </w:p>
    <w:p>
      <w:pPr>
        <w:widowControl w:val="0"/>
        <w:snapToGrid w:val="0"/>
        <w:spacing w:before="120" w:beforeLines="50" w:after="120" w:afterLines="50" w:line="4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三、技术资料</w:t>
      </w:r>
    </w:p>
    <w:p>
      <w:pPr>
        <w:widowControl w:val="0"/>
        <w:snapToGrid w:val="0"/>
        <w:spacing w:before="120" w:beforeLines="50" w:after="120" w:afterLines="50" w:line="400" w:lineRule="exact"/>
        <w:ind w:left="359" w:hanging="359" w:hangingChars="171"/>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3.1乙方应按采购文件规定的时间向甲方提供使用货物的有关技术资料。</w:t>
      </w:r>
    </w:p>
    <w:p>
      <w:pPr>
        <w:widowControl w:val="0"/>
        <w:snapToGrid w:val="0"/>
        <w:spacing w:before="120" w:beforeLines="50" w:after="120" w:afterLines="50" w:line="400" w:lineRule="exact"/>
        <w:ind w:left="359" w:hanging="359" w:hangingChars="171"/>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val="0"/>
        <w:snapToGrid w:val="0"/>
        <w:spacing w:before="120" w:beforeLines="50" w:after="120" w:afterLines="50" w:line="400" w:lineRule="exact"/>
        <w:ind w:left="360" w:hanging="361" w:hangingChars="171"/>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四、知识产权及产权担保</w:t>
      </w:r>
    </w:p>
    <w:p>
      <w:pPr>
        <w:widowControl w:val="0"/>
        <w:snapToGrid w:val="0"/>
        <w:spacing w:before="120" w:beforeLines="50" w:after="120" w:afterLines="50" w:line="400" w:lineRule="exact"/>
        <w:ind w:left="359" w:hanging="359" w:hangingChars="171"/>
        <w:jc w:val="both"/>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4.1 乙方应保证所提供的货物或其任何一部分均不会侵犯任何第三方的知识产权</w:t>
      </w:r>
      <w:r>
        <w:rPr>
          <w:rFonts w:hint="eastAsia" w:ascii="宋体" w:hAnsi="宋体" w:eastAsia="宋体" w:cs="宋体"/>
          <w:bCs/>
          <w:color w:val="auto"/>
          <w:kern w:val="2"/>
          <w:sz w:val="21"/>
          <w:szCs w:val="21"/>
          <w:highlight w:val="none"/>
          <w:lang w:val="en-US" w:eastAsia="zh-CN" w:bidi="ar-SA"/>
        </w:rPr>
        <w:t>。</w:t>
      </w:r>
    </w:p>
    <w:p>
      <w:pPr>
        <w:widowControl w:val="0"/>
        <w:snapToGrid w:val="0"/>
        <w:spacing w:before="120" w:beforeLines="50" w:after="120" w:afterLines="50" w:line="400" w:lineRule="exact"/>
        <w:ind w:left="357" w:hanging="357" w:hangingChars="170"/>
        <w:jc w:val="both"/>
        <w:rPr>
          <w:rFonts w:hint="eastAsia" w:ascii="宋体" w:hAnsi="宋体" w:eastAsia="宋体" w:cs="宋体"/>
          <w:color w:val="auto"/>
          <w:kern w:val="2"/>
          <w:sz w:val="21"/>
          <w:szCs w:val="21"/>
          <w:highlight w:val="none"/>
          <w:u w:val="single"/>
          <w:lang w:val="en-US" w:eastAsia="zh-CN" w:bidi="ar-SA"/>
        </w:rPr>
      </w:pPr>
      <w:r>
        <w:rPr>
          <w:rFonts w:hint="eastAsia" w:ascii="宋体" w:hAnsi="宋体" w:eastAsia="宋体" w:cs="宋体"/>
          <w:color w:val="auto"/>
          <w:kern w:val="2"/>
          <w:sz w:val="21"/>
          <w:szCs w:val="21"/>
          <w:highlight w:val="none"/>
          <w:lang w:val="en-US" w:eastAsia="zh-CN" w:bidi="ar-SA"/>
        </w:rPr>
        <w:t>4.2乙方保证所交付的货物的所有权完全属于乙方且无任何抵押、查封等产权瑕疵。</w:t>
      </w:r>
    </w:p>
    <w:p>
      <w:pPr>
        <w:widowControl w:val="0"/>
        <w:snapToGrid w:val="0"/>
        <w:spacing w:before="120" w:beforeLines="50" w:after="120" w:afterLines="50" w:line="400" w:lineRule="exact"/>
        <w:ind w:left="358" w:hanging="358" w:hangingChars="170"/>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五、履约保证金</w:t>
      </w:r>
    </w:p>
    <w:p>
      <w:pPr>
        <w:widowControl w:val="0"/>
        <w:snapToGrid w:val="0"/>
        <w:spacing w:before="120" w:beforeLines="50" w:after="120" w:afterLines="50" w:line="400" w:lineRule="exact"/>
        <w:ind w:left="357" w:hanging="357" w:hangingChars="17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5.1 乙方交纳人民币</w:t>
      </w:r>
      <w:r>
        <w:rPr>
          <w:rFonts w:hint="eastAsia" w:ascii="宋体" w:hAnsi="宋体" w:eastAsia="宋体" w:cs="宋体"/>
          <w:b/>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lang w:val="en-US" w:eastAsia="zh-CN" w:bidi="ar-SA"/>
        </w:rPr>
        <w:t>元作为本合同的履约保证金。</w:t>
      </w:r>
    </w:p>
    <w:p>
      <w:pPr>
        <w:widowControl w:val="0"/>
        <w:snapToGrid w:val="0"/>
        <w:spacing w:before="120" w:beforeLines="50" w:after="120" w:afterLines="50"/>
        <w:jc w:val="both"/>
        <w:rPr>
          <w:rFonts w:hint="eastAsia" w:ascii="宋体" w:hAnsi="宋体" w:eastAsia="宋体" w:cs="宋体"/>
          <w:b/>
          <w:bCs/>
          <w:color w:val="auto"/>
          <w:kern w:val="2"/>
          <w:szCs w:val="21"/>
          <w:highlight w:val="none"/>
        </w:rPr>
      </w:pPr>
      <w:r>
        <w:rPr>
          <w:rFonts w:hint="eastAsia" w:ascii="宋体" w:hAnsi="宋体" w:eastAsia="宋体" w:cs="宋体"/>
          <w:b/>
          <w:bCs/>
          <w:color w:val="auto"/>
          <w:kern w:val="2"/>
          <w:szCs w:val="21"/>
          <w:highlight w:val="none"/>
        </w:rPr>
        <w:t>六、转包或分包</w:t>
      </w:r>
    </w:p>
    <w:p>
      <w:pPr>
        <w:widowControl w:val="0"/>
        <w:snapToGrid w:val="0"/>
        <w:spacing w:before="120" w:beforeLines="50" w:after="120" w:afterLines="5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6.1本合同范围的货物，应由乙方直接供应，不得转让他人供应；</w:t>
      </w:r>
    </w:p>
    <w:p>
      <w:pPr>
        <w:widowControl w:val="0"/>
        <w:snapToGrid w:val="0"/>
        <w:spacing w:before="120" w:beforeLines="50" w:after="120" w:afterLines="5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6.2 除非得到甲方的书面同意，乙方不得部分分包给他人供应。</w:t>
      </w:r>
    </w:p>
    <w:p>
      <w:pPr>
        <w:widowControl w:val="0"/>
        <w:snapToGrid w:val="0"/>
        <w:spacing w:before="120" w:beforeLines="50" w:after="120" w:afterLines="5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6.3如有转让和未经甲方同意的分包行为，甲方有权给予终止合同。</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七、质保期</w:t>
      </w:r>
    </w:p>
    <w:p>
      <w:pPr>
        <w:widowControl w:val="0"/>
        <w:snapToGrid w:val="0"/>
        <w:spacing w:before="120" w:beforeLines="50" w:after="120" w:afterLines="50"/>
        <w:jc w:val="both"/>
        <w:rPr>
          <w:rFonts w:hint="eastAsia" w:ascii="宋体" w:hAnsi="宋体" w:eastAsia="宋体" w:cs="宋体"/>
          <w:color w:val="auto"/>
          <w:kern w:val="2"/>
          <w:szCs w:val="21"/>
          <w:highlight w:val="none"/>
          <w:lang w:val="en-US" w:eastAsia="zh-CN"/>
        </w:rPr>
      </w:pPr>
      <w:r>
        <w:rPr>
          <w:rFonts w:hint="eastAsia" w:ascii="宋体" w:hAnsi="宋体" w:eastAsia="宋体" w:cs="宋体"/>
          <w:color w:val="auto"/>
          <w:kern w:val="2"/>
          <w:sz w:val="21"/>
          <w:szCs w:val="21"/>
          <w:highlight w:val="none"/>
          <w:lang w:val="en-US" w:eastAsia="zh-CN" w:bidi="ar-SA"/>
        </w:rPr>
        <w:t>7.1 质保期</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cs="宋体"/>
          <w:color w:val="auto"/>
          <w:kern w:val="2"/>
          <w:sz w:val="21"/>
          <w:szCs w:val="21"/>
          <w:highlight w:val="none"/>
          <w:u w:val="single"/>
          <w:lang w:val="en-US" w:eastAsia="zh-CN" w:bidi="ar-SA"/>
        </w:rPr>
        <w:t>5</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2"/>
          <w:sz w:val="21"/>
          <w:szCs w:val="21"/>
          <w:highlight w:val="none"/>
          <w:lang w:val="en-US" w:eastAsia="zh-CN" w:bidi="ar-SA"/>
        </w:rPr>
        <w:t>年。（自</w:t>
      </w:r>
      <w:r>
        <w:rPr>
          <w:rFonts w:hint="eastAsia"/>
          <w:color w:val="auto"/>
          <w:highlight w:val="none"/>
          <w:lang w:eastAsia="zh-CN"/>
        </w:rPr>
        <w:t>项目试运行通过且经甲方书面竣工</w:t>
      </w:r>
      <w:r>
        <w:rPr>
          <w:rFonts w:hint="eastAsia" w:ascii="宋体" w:hAnsi="宋体" w:eastAsia="宋体" w:cs="宋体"/>
          <w:color w:val="auto"/>
          <w:kern w:val="2"/>
          <w:sz w:val="21"/>
          <w:szCs w:val="21"/>
          <w:highlight w:val="none"/>
          <w:lang w:val="en-US" w:eastAsia="zh-CN" w:bidi="ar-SA"/>
        </w:rPr>
        <w:t>验</w:t>
      </w:r>
      <w:r>
        <w:rPr>
          <w:rFonts w:hint="eastAsia" w:ascii="宋体" w:hAnsi="宋体" w:eastAsia="宋体" w:cs="宋体"/>
          <w:color w:val="auto"/>
          <w:kern w:val="2"/>
          <w:szCs w:val="21"/>
          <w:highlight w:val="none"/>
          <w:lang w:val="en-US" w:eastAsia="zh-CN"/>
        </w:rPr>
        <w:t>收合格之日起计）</w:t>
      </w:r>
    </w:p>
    <w:p>
      <w:pPr>
        <w:widowControl w:val="0"/>
        <w:snapToGrid w:val="0"/>
        <w:spacing w:before="120" w:beforeLines="50" w:after="120" w:afterLines="50"/>
        <w:jc w:val="both"/>
        <w:rPr>
          <w:rFonts w:hint="default"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Cs w:val="21"/>
          <w:highlight w:val="none"/>
          <w:lang w:val="en-US" w:eastAsia="zh-CN"/>
        </w:rPr>
        <w:t xml:space="preserve">7.2 </w:t>
      </w:r>
      <w:r>
        <w:rPr>
          <w:rFonts w:hint="eastAsia" w:ascii="宋体" w:hAnsi="宋体" w:eastAsia="宋体" w:cs="宋体"/>
          <w:color w:val="auto"/>
          <w:kern w:val="2"/>
          <w:sz w:val="21"/>
          <w:szCs w:val="21"/>
          <w:highlight w:val="none"/>
          <w:lang w:val="en-US" w:eastAsia="zh-CN" w:bidi="ar-SA"/>
        </w:rPr>
        <w:t>在质保期内，本项目中所有产品要求免费上门服务，乙方应负责对其提供的设备免费进行现场维修、损坏件更换。质保期内因产品本身缺陷造成各种故障应由乙方免费技术服务和维修。</w:t>
      </w:r>
    </w:p>
    <w:p>
      <w:pPr>
        <w:widowControl w:val="0"/>
        <w:snapToGrid w:val="0"/>
        <w:spacing w:before="120" w:beforeLines="50" w:after="120" w:afterLines="50" w:line="400" w:lineRule="exact"/>
        <w:jc w:val="both"/>
        <w:rPr>
          <w:rFonts w:hint="default"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八、</w:t>
      </w:r>
      <w:r>
        <w:rPr>
          <w:rFonts w:hint="eastAsia" w:ascii="宋体" w:hAnsi="宋体" w:cs="宋体"/>
          <w:b/>
          <w:color w:val="auto"/>
          <w:kern w:val="2"/>
          <w:sz w:val="21"/>
          <w:szCs w:val="21"/>
          <w:highlight w:val="none"/>
          <w:lang w:val="en-US" w:eastAsia="zh-CN" w:bidi="ar-SA"/>
        </w:rPr>
        <w:t>服务期限</w:t>
      </w:r>
    </w:p>
    <w:p>
      <w:pPr>
        <w:widowControl w:val="0"/>
        <w:snapToGrid w:val="0"/>
        <w:spacing w:before="120" w:beforeLines="50" w:after="120" w:afterLines="50" w:line="400" w:lineRule="exact"/>
        <w:jc w:val="both"/>
        <w:rPr>
          <w:rFonts w:hint="eastAsia" w:ascii="宋体" w:hAnsi="宋体" w:eastAsia="宋体" w:cs="宋体"/>
          <w:bCs/>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 xml:space="preserve">8.1 </w:t>
      </w:r>
      <w:r>
        <w:rPr>
          <w:rFonts w:hint="eastAsia" w:ascii="宋体" w:hAnsi="宋体" w:cs="宋体"/>
          <w:bCs/>
          <w:color w:val="auto"/>
          <w:kern w:val="2"/>
          <w:sz w:val="21"/>
          <w:szCs w:val="21"/>
          <w:highlight w:val="none"/>
          <w:lang w:val="en-US" w:eastAsia="zh-CN" w:bidi="ar-SA"/>
        </w:rPr>
        <w:t>服务期限</w:t>
      </w:r>
      <w:r>
        <w:rPr>
          <w:rFonts w:hint="eastAsia" w:ascii="宋体" w:hAnsi="宋体" w:eastAsia="宋体" w:cs="宋体"/>
          <w:bCs/>
          <w:color w:val="auto"/>
          <w:kern w:val="2"/>
          <w:sz w:val="21"/>
          <w:szCs w:val="21"/>
          <w:highlight w:val="none"/>
          <w:lang w:val="en-US" w:eastAsia="zh-CN" w:bidi="ar-SA"/>
        </w:rPr>
        <w:t>：</w:t>
      </w:r>
      <w:r>
        <w:rPr>
          <w:rFonts w:hint="eastAsia"/>
          <w:color w:val="auto"/>
          <w:highlight w:val="none"/>
          <w:lang w:eastAsia="zh-CN"/>
        </w:rPr>
        <w:t>合同签订后</w:t>
      </w:r>
      <w:r>
        <w:rPr>
          <w:rFonts w:hint="eastAsia"/>
          <w:color w:val="auto"/>
          <w:highlight w:val="none"/>
          <w:lang w:val="en-US" w:eastAsia="zh-CN"/>
        </w:rPr>
        <w:t>2个月内完成项目建设并通过初步验收，之后</w:t>
      </w:r>
      <w:r>
        <w:rPr>
          <w:rFonts w:hint="eastAsia" w:ascii="宋体" w:hAnsi="宋体" w:cs="宋体"/>
          <w:i w:val="0"/>
          <w:iCs w:val="0"/>
          <w:color w:val="auto"/>
          <w:sz w:val="21"/>
          <w:szCs w:val="21"/>
          <w:highlight w:val="none"/>
          <w:lang w:val="en-US" w:eastAsia="zh-CN"/>
        </w:rPr>
        <w:t>进入为期</w:t>
      </w:r>
      <w:r>
        <w:rPr>
          <w:rFonts w:hint="eastAsia" w:ascii="宋体" w:hAnsi="宋体" w:eastAsia="宋体" w:cs="宋体"/>
          <w:i w:val="0"/>
          <w:iCs w:val="0"/>
          <w:color w:val="auto"/>
          <w:sz w:val="21"/>
          <w:szCs w:val="21"/>
          <w:highlight w:val="none"/>
          <w:lang w:val="en-US" w:eastAsia="zh-CN"/>
        </w:rPr>
        <w:t>1个月的试运行</w:t>
      </w:r>
      <w:r>
        <w:rPr>
          <w:rFonts w:hint="eastAsia" w:ascii="宋体" w:hAnsi="宋体" w:cs="宋体"/>
          <w:i w:val="0"/>
          <w:iCs w:val="0"/>
          <w:color w:val="auto"/>
          <w:sz w:val="21"/>
          <w:szCs w:val="21"/>
          <w:highlight w:val="none"/>
          <w:lang w:val="en-US" w:eastAsia="zh-CN"/>
        </w:rPr>
        <w:t>；试运行完成后，</w:t>
      </w:r>
      <w:r>
        <w:rPr>
          <w:rFonts w:hint="eastAsia" w:ascii="宋体" w:hAnsi="宋体" w:eastAsia="宋体" w:cs="宋体"/>
          <w:i w:val="0"/>
          <w:iCs w:val="0"/>
          <w:color w:val="auto"/>
          <w:sz w:val="21"/>
          <w:szCs w:val="21"/>
          <w:highlight w:val="none"/>
          <w:lang w:val="en-US" w:eastAsia="zh-CN"/>
        </w:rPr>
        <w:t>通过项目竣工验收，</w:t>
      </w:r>
      <w:r>
        <w:rPr>
          <w:rFonts w:hint="eastAsia" w:ascii="宋体" w:hAnsi="宋体" w:cs="宋体"/>
          <w:i w:val="0"/>
          <w:iCs w:val="0"/>
          <w:color w:val="auto"/>
          <w:sz w:val="21"/>
          <w:szCs w:val="21"/>
          <w:highlight w:val="none"/>
          <w:lang w:val="en-US" w:eastAsia="zh-CN"/>
        </w:rPr>
        <w:t>并</w:t>
      </w:r>
      <w:r>
        <w:rPr>
          <w:rFonts w:hint="eastAsia" w:ascii="宋体" w:hAnsi="宋体" w:eastAsia="宋体" w:cs="宋体"/>
          <w:i w:val="0"/>
          <w:iCs w:val="0"/>
          <w:color w:val="auto"/>
          <w:sz w:val="21"/>
          <w:szCs w:val="21"/>
          <w:highlight w:val="none"/>
          <w:lang w:val="en-US" w:eastAsia="zh-CN"/>
        </w:rPr>
        <w:t>进入为期5年的运维期。</w:t>
      </w:r>
    </w:p>
    <w:p>
      <w:pPr>
        <w:widowControl w:val="0"/>
        <w:snapToGrid w:val="0"/>
        <w:spacing w:before="120" w:beforeLines="50" w:after="120" w:afterLines="50" w:line="4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九、</w:t>
      </w:r>
      <w:r>
        <w:rPr>
          <w:rFonts w:hint="eastAsia" w:ascii="宋体" w:hAnsi="宋体" w:cs="宋体"/>
          <w:b/>
          <w:color w:val="auto"/>
          <w:kern w:val="2"/>
          <w:sz w:val="21"/>
          <w:szCs w:val="21"/>
          <w:highlight w:val="none"/>
          <w:lang w:val="en-US" w:eastAsia="zh-CN" w:bidi="ar-SA"/>
        </w:rPr>
        <w:t>款项</w:t>
      </w:r>
      <w:r>
        <w:rPr>
          <w:rFonts w:hint="eastAsia" w:ascii="宋体" w:hAnsi="宋体" w:eastAsia="宋体" w:cs="宋体"/>
          <w:b/>
          <w:color w:val="auto"/>
          <w:kern w:val="2"/>
          <w:sz w:val="21"/>
          <w:szCs w:val="21"/>
          <w:highlight w:val="none"/>
          <w:lang w:val="en-US" w:eastAsia="zh-CN" w:bidi="ar-SA"/>
        </w:rPr>
        <w:t>支付</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Cs/>
          <w:color w:val="auto"/>
          <w:kern w:val="2"/>
          <w:sz w:val="21"/>
          <w:szCs w:val="21"/>
          <w:highlight w:val="none"/>
          <w:lang w:val="en-US" w:eastAsia="zh-CN" w:bidi="ar-SA"/>
        </w:rPr>
        <w:t>9.1</w:t>
      </w:r>
      <w:r>
        <w:rPr>
          <w:rFonts w:hint="eastAsia" w:ascii="宋体" w:hAnsi="宋体" w:eastAsia="宋体" w:cs="宋体"/>
          <w:color w:val="auto"/>
          <w:kern w:val="2"/>
          <w:sz w:val="21"/>
          <w:szCs w:val="21"/>
          <w:highlight w:val="none"/>
          <w:lang w:val="en-US" w:eastAsia="zh-CN" w:bidi="ar-SA"/>
        </w:rPr>
        <w:t>付款方式：合同签订后支付合同总价30%的预付款；</w:t>
      </w:r>
      <w:r>
        <w:rPr>
          <w:rFonts w:hint="eastAsia"/>
          <w:color w:val="auto"/>
          <w:highlight w:val="none"/>
          <w:lang w:eastAsia="zh-CN"/>
        </w:rPr>
        <w:t>项目建设完成经试运行通过并经甲方最终竣工验收通过后起算</w:t>
      </w:r>
      <w:r>
        <w:rPr>
          <w:rFonts w:hint="eastAsia" w:ascii="宋体" w:hAnsi="宋体" w:eastAsia="宋体" w:cs="宋体"/>
          <w:color w:val="auto"/>
          <w:kern w:val="2"/>
          <w:sz w:val="21"/>
          <w:szCs w:val="21"/>
          <w:highlight w:val="none"/>
          <w:lang w:val="en-US" w:eastAsia="zh-CN" w:bidi="ar-SA"/>
        </w:rPr>
        <w:t>，视频监控设备建设、指挥中心设备建设、智慧公厕感知设施建设费用分10期支付，每半年支付一次。（先使用后支付，先从预付款中扣除相应金额，待预付款支付完后再另行按实支付）。无人机巡查服务按照实际飞行次数核算，采用一年一付方式。每次实际支付金额按考核结果，考核办法参考附件。合同期内所有费用为包干价，任何情况下不再追加。</w:t>
      </w:r>
    </w:p>
    <w:p>
      <w:pPr>
        <w:widowControl w:val="0"/>
        <w:snapToGrid w:val="0"/>
        <w:spacing w:before="120" w:beforeLines="50" w:after="120" w:afterLines="50"/>
        <w:jc w:val="both"/>
        <w:rPr>
          <w:rFonts w:hint="eastAsia" w:ascii="宋体" w:hAnsi="宋体" w:eastAsia="宋体" w:cs="宋体"/>
          <w:b/>
          <w:color w:val="auto"/>
          <w:kern w:val="2"/>
          <w:szCs w:val="21"/>
          <w:highlight w:val="none"/>
        </w:rPr>
      </w:pPr>
      <w:r>
        <w:rPr>
          <w:rFonts w:hint="eastAsia" w:ascii="宋体" w:hAnsi="宋体" w:eastAsia="宋体" w:cs="宋体"/>
          <w:b/>
          <w:color w:val="auto"/>
          <w:kern w:val="2"/>
          <w:szCs w:val="21"/>
          <w:highlight w:val="none"/>
        </w:rPr>
        <w:t>十.税</w:t>
      </w:r>
    </w:p>
    <w:p>
      <w:pPr>
        <w:widowControl w:val="0"/>
        <w:snapToGrid w:val="0"/>
        <w:spacing w:before="120" w:beforeLines="50" w:after="120" w:afterLines="50"/>
        <w:jc w:val="both"/>
        <w:rPr>
          <w:rFonts w:hint="eastAsia" w:ascii="宋体" w:hAnsi="宋体" w:eastAsia="宋体" w:cs="宋体"/>
          <w:color w:val="auto"/>
          <w:kern w:val="2"/>
          <w:szCs w:val="21"/>
          <w:highlight w:val="none"/>
        </w:rPr>
      </w:pPr>
      <w:r>
        <w:rPr>
          <w:rFonts w:hint="eastAsia" w:ascii="宋体" w:hAnsi="宋体" w:eastAsia="宋体" w:cs="宋体"/>
          <w:color w:val="auto"/>
          <w:kern w:val="2"/>
          <w:szCs w:val="21"/>
          <w:highlight w:val="none"/>
        </w:rPr>
        <w:t>10.1本合同执行中相关的一切税费均由乙方负担。</w:t>
      </w:r>
    </w:p>
    <w:p>
      <w:pPr>
        <w:widowControl w:val="0"/>
        <w:snapToGrid w:val="0"/>
        <w:spacing w:before="120" w:beforeLines="50" w:after="120" w:afterLines="50" w:line="400" w:lineRule="exact"/>
        <w:ind w:left="360" w:hanging="361" w:hangingChars="171"/>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十一、质量保证及售后服务</w:t>
      </w:r>
    </w:p>
    <w:p>
      <w:pPr>
        <w:widowControl w:val="0"/>
        <w:snapToGrid w:val="0"/>
        <w:spacing w:before="120" w:beforeLines="50" w:after="120" w:afterLines="50" w:line="400" w:lineRule="exact"/>
        <w:ind w:left="359" w:hanging="359" w:hangingChars="171"/>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11.1 乙方应按采购文件规定的货物性能、技术要求、质量标准向甲方提供未经使用的全新产品。</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11.2 乙方提供的货物在质量保证期内因货物本身的质量问题发生故障，乙方应负责免费更换。对达不到技术要求者，根据实际情况，经双方协商，可按以下办法处理：</w:t>
      </w:r>
    </w:p>
    <w:p>
      <w:pPr>
        <w:widowControl w:val="0"/>
        <w:snapToGrid w:val="0"/>
        <w:spacing w:before="120" w:beforeLines="50" w:after="120" w:afterLines="50" w:line="400" w:lineRule="exact"/>
        <w:ind w:firstLine="42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⑴更换：由乙方承担所发生的全部费用。</w:t>
      </w:r>
    </w:p>
    <w:p>
      <w:pPr>
        <w:widowControl w:val="0"/>
        <w:snapToGrid w:val="0"/>
        <w:spacing w:before="120" w:beforeLines="50" w:after="120" w:afterLines="50" w:line="400" w:lineRule="exact"/>
        <w:ind w:firstLine="42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⑵贬值处理：由甲乙双方合议定价。</w:t>
      </w:r>
    </w:p>
    <w:p>
      <w:pPr>
        <w:widowControl w:val="0"/>
        <w:snapToGrid w:val="0"/>
        <w:spacing w:before="120" w:beforeLines="50" w:after="120" w:afterLines="50" w:line="400" w:lineRule="exact"/>
        <w:ind w:left="420" w:left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⑶退货处理：乙方应退还甲方支付的合同款，同时应承担该货物的直接费用（运输、保险、检验、货款利息及银行手续费等）。</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11.3 质量保修期内（项目建设完成并通过竣工验收之日起五年），提供1小时电话支持响应和24小时现场支持响应服务；故障解决时间在72小时内。</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11.4 在质保期内，乙方应对货物出现的质量及安全问题负责处理解决并承担一切费用。</w:t>
      </w:r>
    </w:p>
    <w:p>
      <w:pPr>
        <w:widowControl w:val="0"/>
        <w:snapToGrid w:val="0"/>
        <w:spacing w:before="120" w:beforeLines="50" w:after="120" w:afterLines="50" w:line="4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十二、调试和验收</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12.1 甲方对乙方提交的货物依据采购文件上的技术规格要求和国家有关质量标准进行现场初步验收，外观、说明书符合采购文件技术要求的，给予签收，初步验收不合格的不予签收。货到后，甲方需在五个工作日内验收。</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12.2 乙方交货前应对产品作出全面检查和对验收文件进行整理，并列出清单，作为甲方收货验收和使用的技术条件依据，检验的结果应随货物交甲方。</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u w:val="single"/>
          <w:lang w:val="en-US" w:eastAsia="zh-CN" w:bidi="ar-SA"/>
        </w:rPr>
      </w:pPr>
      <w:r>
        <w:rPr>
          <w:rFonts w:hint="eastAsia" w:ascii="宋体" w:hAnsi="宋体" w:eastAsia="宋体" w:cs="宋体"/>
          <w:color w:val="auto"/>
          <w:kern w:val="2"/>
          <w:sz w:val="21"/>
          <w:szCs w:val="21"/>
          <w:highlight w:val="none"/>
          <w:lang w:val="en-US" w:eastAsia="zh-CN" w:bidi="ar-SA"/>
        </w:rPr>
        <w:t>12.3 甲方对乙方提供的货物在使用前进行调试时，乙方需负责安装并培训甲方的使用操作人员，并协助甲方一起调试，直到符合技术要求，甲方才做最终验收。</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12.4 对技术复杂的货物，甲方应请国家认可的专业检测机构参与初步验收及最终验收，并由其出具质量检测报告。</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12.5 验收时乙方必须在现场，验收完毕后作出验收结果报告；验收费用由乙方负责。</w:t>
      </w:r>
    </w:p>
    <w:p>
      <w:pPr>
        <w:widowControl w:val="0"/>
        <w:snapToGrid w:val="0"/>
        <w:spacing w:before="120" w:beforeLines="50" w:after="120" w:afterLines="50" w:line="4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十三、货物包装、发运及运输</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13.1 乙方应在货物发运前对其进行满足运输距离、防潮、防震、防锈和防破损装卸等要求包装，以保证货物安全运达甲方指定地点。</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13.2 使用说明书、质量检验证明书、随配附件和工具以及清单一并附于货物内。</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13.3 乙方在货物发运手续办理完毕后24小时内或货到甲方48小时前通知甲方，以准备接货。</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13.4 货物在交付甲方前发生的风险均由乙方负责。</w:t>
      </w:r>
    </w:p>
    <w:p>
      <w:pPr>
        <w:widowControl w:val="0"/>
        <w:snapToGrid w:val="0"/>
        <w:spacing w:before="120" w:beforeLines="50" w:after="120" w:afterLines="50" w:line="400" w:lineRule="exact"/>
        <w:ind w:left="420" w:right="26"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13.5 货物在规定的交付期限内由乙方送达甲方指定的地点视为交付，乙方同时需通知甲方货物已送达。</w:t>
      </w:r>
    </w:p>
    <w:p>
      <w:pPr>
        <w:widowControl w:val="0"/>
        <w:snapToGrid w:val="0"/>
        <w:spacing w:before="120" w:beforeLines="50" w:after="120" w:afterLines="50" w:line="4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十四、违约责任</w:t>
      </w:r>
    </w:p>
    <w:p>
      <w:pPr>
        <w:widowControl w:val="0"/>
        <w:snapToGrid w:val="0"/>
        <w:spacing w:before="120" w:beforeLines="50" w:after="120" w:afterLines="50" w:line="400" w:lineRule="exact"/>
        <w:ind w:left="359" w:hanging="359" w:hangingChars="171"/>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14.1 甲方无正当理由拒收货物的，甲方向乙方偿付拒收货款总值的百分之五违约金。</w:t>
      </w:r>
    </w:p>
    <w:p>
      <w:pPr>
        <w:widowControl w:val="0"/>
        <w:snapToGrid w:val="0"/>
        <w:spacing w:before="120" w:beforeLines="50" w:after="120" w:afterLines="50" w:line="400" w:lineRule="exact"/>
        <w:ind w:left="359" w:hanging="359" w:hangingChars="171"/>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14.2 甲方无故逾期</w:t>
      </w:r>
      <w:r>
        <w:rPr>
          <w:rFonts w:hint="eastAsia"/>
          <w:color w:val="auto"/>
          <w:highlight w:val="none"/>
          <w:lang w:eastAsia="zh-CN"/>
        </w:rPr>
        <w:t>支付合同款项的</w:t>
      </w:r>
      <w:r>
        <w:rPr>
          <w:rFonts w:hint="eastAsia" w:ascii="宋体" w:hAnsi="宋体" w:eastAsia="宋体" w:cs="宋体"/>
          <w:color w:val="auto"/>
          <w:kern w:val="2"/>
          <w:sz w:val="21"/>
          <w:szCs w:val="21"/>
          <w:highlight w:val="none"/>
          <w:lang w:val="en-US" w:eastAsia="zh-CN" w:bidi="ar-SA"/>
        </w:rPr>
        <w:t>,甲方应按逾期付款总额每日万分之五向乙方支付违约金。</w:t>
      </w:r>
    </w:p>
    <w:p>
      <w:pPr>
        <w:widowControl w:val="0"/>
        <w:snapToGrid w:val="0"/>
        <w:spacing w:before="120" w:beforeLines="50" w:after="120" w:afterLines="50" w:line="400" w:lineRule="exact"/>
        <w:ind w:left="359" w:hanging="359" w:hangingChars="171"/>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14.3 </w:t>
      </w:r>
      <w:r>
        <w:rPr>
          <w:rFonts w:hint="eastAsia"/>
          <w:color w:val="auto"/>
          <w:highlight w:val="none"/>
          <w:lang w:eastAsia="zh-CN"/>
        </w:rPr>
        <w:t>乙方逾期完成项目建设并通过初步验收的，每逾期一日，应按本合同总额的千分之一向甲方支付违约金，逾期超过十个工作日的，甲方可单方面解除本合同。乙方应按合同总额的</w:t>
      </w:r>
      <w:r>
        <w:rPr>
          <w:rFonts w:hint="eastAsia"/>
          <w:color w:val="auto"/>
          <w:highlight w:val="none"/>
          <w:lang w:val="en-US" w:eastAsia="zh-CN"/>
        </w:rPr>
        <w:t>20%向甲方支付违约金，违约金不足以弥补甲方损失的，乙方还应赔偿甲方由此造成的所有损失。</w:t>
      </w:r>
      <w:r>
        <w:rPr>
          <w:rFonts w:hint="eastAsia" w:ascii="宋体" w:hAnsi="宋体" w:eastAsia="宋体" w:cs="宋体"/>
          <w:color w:val="auto"/>
          <w:kern w:val="2"/>
          <w:sz w:val="21"/>
          <w:szCs w:val="21"/>
          <w:highlight w:val="none"/>
          <w:lang w:val="en-US" w:eastAsia="zh-CN" w:bidi="ar-SA"/>
        </w:rPr>
        <w:t xml:space="preserve"> </w:t>
      </w:r>
    </w:p>
    <w:p>
      <w:pPr>
        <w:widowControl w:val="0"/>
        <w:snapToGrid w:val="0"/>
        <w:spacing w:before="120" w:beforeLines="50" w:after="120" w:afterLines="50" w:line="400" w:lineRule="exact"/>
        <w:ind w:left="359" w:hanging="359" w:hangingChars="171"/>
        <w:jc w:val="both"/>
        <w:rPr>
          <w:rFonts w:hint="eastAsia"/>
          <w:color w:val="auto"/>
          <w:highlight w:val="none"/>
          <w:lang w:val="en-US" w:eastAsia="zh-CN"/>
        </w:rPr>
      </w:pPr>
      <w:r>
        <w:rPr>
          <w:rFonts w:hint="eastAsia" w:ascii="宋体" w:hAnsi="宋体" w:eastAsia="宋体" w:cs="宋体"/>
          <w:color w:val="auto"/>
          <w:kern w:val="2"/>
          <w:sz w:val="21"/>
          <w:szCs w:val="21"/>
          <w:highlight w:val="none"/>
          <w:lang w:val="en-US" w:eastAsia="zh-CN" w:bidi="ar-SA"/>
        </w:rPr>
        <w:t xml:space="preserve">14.4 </w:t>
      </w:r>
      <w:r>
        <w:rPr>
          <w:rFonts w:hint="eastAsia"/>
          <w:color w:val="auto"/>
          <w:highlight w:val="none"/>
          <w:lang w:eastAsia="zh-CN"/>
        </w:rPr>
        <w:t>乙方</w:t>
      </w:r>
      <w:r>
        <w:rPr>
          <w:rFonts w:hint="eastAsia"/>
          <w:color w:val="auto"/>
          <w:highlight w:val="none"/>
          <w:lang w:val="en-US" w:eastAsia="zh-CN"/>
        </w:rPr>
        <w:t>未按运维服务期服务承诺规定时间完成相关服务内容，运维服务期内的违约金支付参考考核标准（详见附件1：考核办法）。逾期超过约定日期十个工作日不能提供服务的，甲方可单方面解除本合同。</w:t>
      </w:r>
      <w:r>
        <w:rPr>
          <w:rFonts w:hint="eastAsia"/>
          <w:color w:val="auto"/>
          <w:highlight w:val="none"/>
          <w:lang w:eastAsia="zh-CN"/>
        </w:rPr>
        <w:t>乙方应按合同总额的</w:t>
      </w:r>
      <w:r>
        <w:rPr>
          <w:rFonts w:hint="eastAsia"/>
          <w:color w:val="auto"/>
          <w:highlight w:val="none"/>
          <w:lang w:val="en-US" w:eastAsia="zh-CN"/>
        </w:rPr>
        <w:t>20%向甲方支付违约金，违约金不足以弥补甲方损失的，乙方还应赔偿甲方由此造成的所有损失。</w:t>
      </w:r>
    </w:p>
    <w:p>
      <w:pPr>
        <w:widowControl w:val="0"/>
        <w:snapToGrid w:val="0"/>
        <w:spacing w:before="120" w:beforeLines="50" w:after="120" w:afterLines="50" w:line="400" w:lineRule="exact"/>
        <w:ind w:left="359" w:hanging="359" w:hangingChars="171"/>
        <w:jc w:val="both"/>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14.5</w:t>
      </w:r>
      <w:r>
        <w:rPr>
          <w:rFonts w:hint="eastAsia" w:ascii="宋体" w:hAnsi="宋体" w:eastAsia="宋体" w:cs="宋体"/>
          <w:color w:val="auto"/>
          <w:kern w:val="2"/>
          <w:sz w:val="21"/>
          <w:szCs w:val="21"/>
          <w:highlight w:val="none"/>
          <w:lang w:val="en-US" w:eastAsia="zh-CN" w:bidi="ar-SA"/>
        </w:rPr>
        <w:t>乙方违反本协合同约定或招投标文件及澄清文件规定的，甲方可以口头或书面方式通知乙方进行整改，乙方在接甲方通知后10日内仍未完成整改的，视为乙方严重违约，甲方有权单方面解除本合同，乙方应按本合同总金额的20%向甲方支付违约金，违约金不足以弥补甲方损失的，乙方还应赔偿甲方由此造成的所有损失。</w:t>
      </w:r>
    </w:p>
    <w:p>
      <w:pPr>
        <w:widowControl w:val="0"/>
        <w:snapToGrid w:val="0"/>
        <w:spacing w:before="120" w:beforeLines="50" w:after="120" w:afterLines="50" w:line="400" w:lineRule="exact"/>
        <w:ind w:left="359" w:hanging="359" w:hangingChars="171"/>
        <w:jc w:val="both"/>
        <w:rPr>
          <w:rFonts w:hint="eastAsia" w:ascii="宋体" w:hAnsi="宋体" w:eastAsia="宋体" w:cs="宋体"/>
          <w:color w:val="auto"/>
          <w:kern w:val="2"/>
          <w:sz w:val="21"/>
          <w:szCs w:val="21"/>
          <w:highlight w:val="none"/>
          <w:lang w:val="en-US" w:eastAsia="zh-CN" w:bidi="ar-SA"/>
        </w:rPr>
      </w:pPr>
      <w:r>
        <w:rPr>
          <w:rFonts w:hint="eastAsia"/>
          <w:color w:val="auto"/>
          <w:highlight w:val="none"/>
          <w:lang w:val="en-US" w:eastAsia="zh-CN"/>
        </w:rPr>
        <w:t>14.6</w:t>
      </w:r>
      <w:r>
        <w:rPr>
          <w:rFonts w:hint="eastAsia" w:ascii="宋体" w:hAnsi="宋体" w:eastAsia="宋体" w:cs="宋体"/>
          <w:color w:val="auto"/>
          <w:kern w:val="2"/>
          <w:sz w:val="21"/>
          <w:szCs w:val="21"/>
          <w:highlight w:val="none"/>
          <w:lang w:val="en-US" w:eastAsia="zh-CN" w:bidi="ar-SA"/>
        </w:rPr>
        <w:t>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val="0"/>
        <w:snapToGrid w:val="0"/>
        <w:spacing w:before="120" w:beforeLines="50" w:after="120" w:afterLines="50" w:line="4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十五、不可抗力事件处理</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15.1 在合同有效期内，任何一方因不可抗力事件导致不能履行合同，则合同履行期可延长，其延长期与不可抗力影响期相同。</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15.2 不可抗力事件发生后，应立即通知对方，并寄送有关权威机构出具的证明。</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15.3 不可抗力事件延续120天以上，双方应通过友好协商，确定是否继续履行合同。</w:t>
      </w:r>
    </w:p>
    <w:p>
      <w:pPr>
        <w:widowControl w:val="0"/>
        <w:snapToGrid w:val="0"/>
        <w:spacing w:before="120" w:beforeLines="50" w:after="120" w:afterLines="50" w:line="4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十六、诉讼</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16.1 双方在执行合同中所发生的一切争议，应通过协商解决。如协商不成，可向</w:t>
      </w:r>
      <w:r>
        <w:rPr>
          <w:rFonts w:hint="eastAsia"/>
          <w:color w:val="auto"/>
          <w:highlight w:val="none"/>
          <w:lang w:eastAsia="zh-CN"/>
        </w:rPr>
        <w:t>宁海县人民法院提起诉讼</w:t>
      </w:r>
      <w:r>
        <w:rPr>
          <w:rFonts w:hint="eastAsia" w:ascii="宋体" w:hAnsi="宋体" w:eastAsia="宋体" w:cs="宋体"/>
          <w:color w:val="auto"/>
          <w:kern w:val="2"/>
          <w:sz w:val="21"/>
          <w:szCs w:val="21"/>
          <w:highlight w:val="none"/>
          <w:lang w:val="en-US" w:eastAsia="zh-CN" w:bidi="ar-SA"/>
        </w:rPr>
        <w:t>。</w:t>
      </w:r>
    </w:p>
    <w:p>
      <w:pPr>
        <w:widowControl w:val="0"/>
        <w:snapToGrid w:val="0"/>
        <w:spacing w:before="120" w:beforeLines="50" w:after="120" w:afterLines="50" w:line="400" w:lineRule="exact"/>
        <w:jc w:val="both"/>
        <w:rPr>
          <w:rFonts w:hint="eastAsia" w:ascii="宋体" w:hAnsi="宋体" w:eastAsia="宋体" w:cs="宋体"/>
          <w:b/>
          <w:color w:val="auto"/>
          <w:kern w:val="2"/>
          <w:sz w:val="21"/>
          <w:szCs w:val="21"/>
          <w:highlight w:val="none"/>
          <w:lang w:val="en-US" w:eastAsia="zh-CN" w:bidi="ar-SA"/>
        </w:rPr>
      </w:pPr>
      <w:r>
        <w:rPr>
          <w:rFonts w:hint="eastAsia" w:ascii="宋体" w:hAnsi="宋体" w:eastAsia="宋体" w:cs="宋体"/>
          <w:b/>
          <w:color w:val="auto"/>
          <w:kern w:val="2"/>
          <w:sz w:val="21"/>
          <w:szCs w:val="21"/>
          <w:highlight w:val="none"/>
          <w:lang w:val="en-US" w:eastAsia="zh-CN" w:bidi="ar-SA"/>
        </w:rPr>
        <w:t>十七、合同生效及其它</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17.1 合同经双方法定代表人或授权委托代理人签字并加盖单位公章后生效。</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17.2合同执行中涉及采购资金和采购内容修改或补充的，须经甲方审批，并签书面补充协议并报相关部门备案，方可作为主合同不可分割的一部分。</w:t>
      </w:r>
    </w:p>
    <w:p>
      <w:pPr>
        <w:widowControl w:val="0"/>
        <w:snapToGrid w:val="0"/>
        <w:spacing w:before="120" w:beforeLines="50" w:after="120" w:afterLines="50" w:line="400" w:lineRule="exact"/>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17.3 招标书和乙方的应标文件、及应标承诺等作为本次合同不可分割的一部分，乙方必须严格遵守执行。</w:t>
      </w:r>
    </w:p>
    <w:p>
      <w:pPr>
        <w:widowControl w:val="0"/>
        <w:snapToGrid w:val="0"/>
        <w:spacing w:before="120" w:beforeLines="50" w:after="120" w:afterLines="50" w:line="400" w:lineRule="exact"/>
        <w:ind w:left="420" w:hanging="420" w:hangingChars="200"/>
        <w:jc w:val="both"/>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17.4本合同未尽事宜，遵照《民法典》</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Cs w:val="21"/>
          <w:highlight w:val="none"/>
        </w:rPr>
        <w:t>《中华人民共和国政府采购法》、《中华人民共和国政府采购法实施条例》</w:t>
      </w:r>
      <w:r>
        <w:rPr>
          <w:rFonts w:hint="eastAsia" w:ascii="宋体" w:hAnsi="宋体" w:cs="宋体"/>
          <w:color w:val="auto"/>
          <w:kern w:val="2"/>
          <w:szCs w:val="21"/>
          <w:highlight w:val="none"/>
          <w:lang w:eastAsia="zh-CN"/>
        </w:rPr>
        <w:t>等法律法规</w:t>
      </w:r>
      <w:r>
        <w:rPr>
          <w:rFonts w:hint="eastAsia" w:ascii="宋体" w:hAnsi="宋体" w:eastAsia="宋体" w:cs="宋体"/>
          <w:color w:val="auto"/>
          <w:kern w:val="2"/>
          <w:sz w:val="21"/>
          <w:szCs w:val="21"/>
          <w:highlight w:val="none"/>
          <w:lang w:val="en-US" w:eastAsia="zh-CN" w:bidi="ar-SA"/>
        </w:rPr>
        <w:t>有关条文执行。</w:t>
      </w:r>
    </w:p>
    <w:p>
      <w:pPr>
        <w:widowControl w:val="0"/>
        <w:spacing w:line="360" w:lineRule="auto"/>
        <w:jc w:val="both"/>
        <w:rPr>
          <w:rFonts w:hint="eastAsia" w:ascii="宋体" w:hAnsi="宋体" w:eastAsia="宋体" w:cs="宋体"/>
          <w:color w:val="auto"/>
          <w:kern w:val="1"/>
          <w:szCs w:val="21"/>
          <w:highlight w:val="none"/>
        </w:rPr>
      </w:pPr>
      <w:r>
        <w:rPr>
          <w:rFonts w:hint="eastAsia" w:ascii="Times New Roman" w:hAnsi="宋体" w:eastAsia="宋体" w:cs="宋体"/>
          <w:color w:val="auto"/>
          <w:kern w:val="2"/>
          <w:szCs w:val="21"/>
          <w:highlight w:val="none"/>
        </w:rPr>
        <w:t>17.5 本合同正本一式两份，具有同等法律效力，甲乙双方各执一份；副本</w:t>
      </w:r>
      <w:r>
        <w:rPr>
          <w:rFonts w:hint="eastAsia" w:ascii="Times New Roman" w:hAnsi="宋体" w:eastAsia="宋体" w:cs="宋体"/>
          <w:b/>
          <w:color w:val="auto"/>
          <w:kern w:val="2"/>
          <w:szCs w:val="21"/>
          <w:highlight w:val="none"/>
        </w:rPr>
        <w:t xml:space="preserve"> </w:t>
      </w:r>
      <w:r>
        <w:rPr>
          <w:rFonts w:hint="eastAsia" w:ascii="Times New Roman" w:hAnsi="宋体" w:eastAsia="宋体" w:cs="宋体"/>
          <w:b/>
          <w:color w:val="auto"/>
          <w:kern w:val="2"/>
          <w:szCs w:val="21"/>
          <w:highlight w:val="none"/>
          <w:u w:val="single"/>
        </w:rPr>
        <w:t xml:space="preserve">    </w:t>
      </w:r>
      <w:r>
        <w:rPr>
          <w:rFonts w:hint="eastAsia" w:ascii="Times New Roman" w:hAnsi="宋体" w:eastAsia="宋体" w:cs="宋体"/>
          <w:color w:val="auto"/>
          <w:kern w:val="2"/>
          <w:szCs w:val="21"/>
          <w:highlight w:val="none"/>
        </w:rPr>
        <w:t>份，(用途)。</w:t>
      </w:r>
    </w:p>
    <w:p>
      <w:pPr>
        <w:widowControl w:val="0"/>
        <w:spacing w:line="360" w:lineRule="auto"/>
        <w:jc w:val="both"/>
        <w:rPr>
          <w:rFonts w:hint="eastAsia" w:ascii="宋体" w:hAnsi="宋体" w:eastAsia="宋体" w:cs="宋体"/>
          <w:color w:val="auto"/>
          <w:kern w:val="1"/>
          <w:szCs w:val="21"/>
          <w:highlight w:val="none"/>
        </w:rPr>
      </w:pPr>
      <w:r>
        <w:rPr>
          <w:rFonts w:hint="eastAsia" w:ascii="宋体" w:hAnsi="宋体" w:eastAsia="宋体" w:cs="宋体"/>
          <w:color w:val="auto"/>
          <w:kern w:val="1"/>
          <w:szCs w:val="21"/>
          <w:highlight w:val="none"/>
        </w:rPr>
        <w:t xml:space="preserve"> </w:t>
      </w:r>
    </w:p>
    <w:p>
      <w:pPr>
        <w:widowControl w:val="0"/>
        <w:spacing w:line="360" w:lineRule="auto"/>
        <w:jc w:val="both"/>
        <w:rPr>
          <w:rFonts w:hint="eastAsia" w:ascii="宋体" w:hAnsi="宋体" w:eastAsia="宋体" w:cs="宋体"/>
          <w:color w:val="auto"/>
          <w:kern w:val="1"/>
          <w:szCs w:val="21"/>
          <w:highlight w:val="none"/>
        </w:rPr>
      </w:pPr>
      <w:r>
        <w:rPr>
          <w:rFonts w:hint="eastAsia" w:ascii="宋体" w:hAnsi="宋体" w:eastAsia="宋体" w:cs="宋体"/>
          <w:color w:val="auto"/>
          <w:kern w:val="1"/>
          <w:szCs w:val="21"/>
          <w:highlight w:val="none"/>
        </w:rPr>
        <w:t xml:space="preserve">  甲方：                                   乙方： </w:t>
      </w:r>
    </w:p>
    <w:p>
      <w:pPr>
        <w:widowControl w:val="0"/>
        <w:spacing w:line="360" w:lineRule="auto"/>
        <w:jc w:val="both"/>
        <w:rPr>
          <w:rFonts w:hint="eastAsia" w:ascii="宋体" w:hAnsi="宋体" w:eastAsia="宋体" w:cs="宋体"/>
          <w:color w:val="auto"/>
          <w:kern w:val="1"/>
          <w:szCs w:val="21"/>
          <w:highlight w:val="none"/>
        </w:rPr>
      </w:pPr>
      <w:r>
        <w:rPr>
          <w:rFonts w:hint="eastAsia" w:ascii="宋体" w:hAnsi="宋体" w:eastAsia="宋体" w:cs="宋体"/>
          <w:color w:val="auto"/>
          <w:kern w:val="1"/>
          <w:szCs w:val="21"/>
          <w:highlight w:val="none"/>
        </w:rPr>
        <w:t xml:space="preserve">  地址：                                   地址： </w:t>
      </w:r>
    </w:p>
    <w:p>
      <w:pPr>
        <w:widowControl w:val="0"/>
        <w:spacing w:line="360" w:lineRule="auto"/>
        <w:jc w:val="both"/>
        <w:rPr>
          <w:rFonts w:hint="eastAsia" w:ascii="宋体" w:hAnsi="宋体" w:eastAsia="宋体" w:cs="宋体"/>
          <w:color w:val="auto"/>
          <w:kern w:val="1"/>
          <w:szCs w:val="21"/>
          <w:highlight w:val="none"/>
        </w:rPr>
      </w:pPr>
      <w:r>
        <w:rPr>
          <w:rFonts w:hint="eastAsia" w:ascii="宋体" w:hAnsi="宋体" w:eastAsia="宋体" w:cs="宋体"/>
          <w:color w:val="auto"/>
          <w:kern w:val="1"/>
          <w:szCs w:val="21"/>
          <w:highlight w:val="none"/>
        </w:rPr>
        <w:t xml:space="preserve">  法定（授权）代表人：                     法定（授权）代表人：</w:t>
      </w:r>
    </w:p>
    <w:p>
      <w:pPr>
        <w:pStyle w:val="14"/>
        <w:widowControl/>
        <w:spacing w:before="0" w:beforeLines="-2147483648" w:after="0" w:afterLines="-2147483648" w:line="360" w:lineRule="auto"/>
        <w:ind w:left="420" w:leftChars="100" w:hanging="210" w:hangingChars="100"/>
        <w:jc w:val="left"/>
        <w:rPr>
          <w:rFonts w:hint="eastAsia" w:ascii="宋体" w:hAnsi="宋体" w:eastAsia="宋体" w:cs="宋体"/>
          <w:color w:val="auto"/>
          <w:kern w:val="1"/>
          <w:szCs w:val="21"/>
          <w:highlight w:val="none"/>
        </w:rPr>
      </w:pPr>
      <w:r>
        <w:rPr>
          <w:rFonts w:hint="eastAsia" w:ascii="宋体" w:hAnsi="宋体" w:eastAsia="宋体" w:cs="宋体"/>
          <w:color w:val="auto"/>
          <w:kern w:val="1"/>
          <w:szCs w:val="21"/>
          <w:highlight w:val="none"/>
        </w:rPr>
        <w:t xml:space="preserve">签字日期：      年  月  日          </w:t>
      </w:r>
      <w:r>
        <w:rPr>
          <w:rFonts w:hint="eastAsia" w:hAnsi="宋体" w:eastAsia="宋体" w:cs="宋体"/>
          <w:color w:val="auto"/>
          <w:kern w:val="1"/>
          <w:szCs w:val="21"/>
          <w:highlight w:val="none"/>
          <w:lang w:val="en-US" w:eastAsia="zh-CN"/>
        </w:rPr>
        <w:t xml:space="preserve">    </w:t>
      </w:r>
      <w:r>
        <w:rPr>
          <w:rFonts w:hint="eastAsia" w:ascii="宋体" w:hAnsi="宋体" w:eastAsia="宋体" w:cs="宋体"/>
          <w:color w:val="auto"/>
          <w:kern w:val="1"/>
          <w:szCs w:val="21"/>
          <w:highlight w:val="none"/>
        </w:rPr>
        <w:t xml:space="preserve"> 签字日期：      年  月  日</w:t>
      </w:r>
    </w:p>
    <w:p>
      <w:pPr>
        <w:pStyle w:val="2"/>
        <w:keepNext w:val="0"/>
        <w:keepLines w:val="0"/>
        <w:pageBreakBefore w:val="0"/>
        <w:widowControl/>
        <w:kinsoku w:val="0"/>
        <w:wordWrap/>
        <w:overflowPunct w:val="0"/>
        <w:topLinePunct w:val="0"/>
        <w:bidi w:val="0"/>
        <w:adjustRightInd w:val="0"/>
        <w:spacing w:line="360" w:lineRule="auto"/>
        <w:ind w:firstLine="210" w:firstLineChars="1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kern w:val="1"/>
          <w:sz w:val="21"/>
          <w:szCs w:val="21"/>
          <w:highlight w:val="none"/>
          <w:lang w:val="en-US" w:eastAsia="zh-CN" w:bidi="ar-SA"/>
        </w:rPr>
        <w:t>见证方：</w:t>
      </w:r>
      <w:r>
        <w:rPr>
          <w:rFonts w:hint="eastAsia" w:ascii="宋体" w:hAnsi="宋体" w:cs="宋体"/>
          <w:color w:val="auto"/>
          <w:kern w:val="1"/>
          <w:sz w:val="21"/>
          <w:szCs w:val="21"/>
          <w:highlight w:val="none"/>
          <w:lang w:val="en-US" w:eastAsia="zh-CN" w:bidi="ar-SA"/>
        </w:rPr>
        <w:t>浙江中基正采管理咨询有限公司</w:t>
      </w:r>
      <w:r>
        <w:rPr>
          <w:rFonts w:hint="eastAsia" w:ascii="宋体" w:hAnsi="宋体" w:eastAsia="宋体" w:cs="宋体"/>
          <w:color w:val="auto"/>
          <w:kern w:val="1"/>
          <w:sz w:val="21"/>
          <w:szCs w:val="21"/>
          <w:highlight w:val="none"/>
          <w:lang w:val="en-US" w:eastAsia="zh-CN" w:bidi="ar-SA"/>
        </w:rPr>
        <w:br w:type="textWrapping"/>
      </w:r>
    </w:p>
    <w:p>
      <w:pPr>
        <w:pStyle w:val="3"/>
        <w:rPr>
          <w:rFonts w:hint="eastAsia" w:ascii="宋体" w:hAnsi="宋体" w:eastAsia="宋体" w:cs="宋体"/>
          <w:color w:val="auto"/>
          <w:sz w:val="21"/>
          <w:szCs w:val="21"/>
          <w:highlight w:val="none"/>
          <w:lang w:eastAsia="zh-CN"/>
        </w:rPr>
      </w:pPr>
    </w:p>
    <w:p>
      <w:pPr>
        <w:pStyle w:val="3"/>
        <w:rPr>
          <w:rFonts w:hint="eastAsia" w:ascii="宋体" w:hAnsi="宋体" w:eastAsia="宋体" w:cs="宋体"/>
          <w:color w:val="auto"/>
          <w:sz w:val="21"/>
          <w:szCs w:val="21"/>
          <w:highlight w:val="none"/>
          <w:lang w:eastAsia="zh-CN"/>
        </w:rPr>
      </w:pPr>
    </w:p>
    <w:p>
      <w:pPr>
        <w:pStyle w:val="3"/>
        <w:rPr>
          <w:rFonts w:hint="eastAsia" w:ascii="宋体" w:hAnsi="宋体" w:eastAsia="宋体" w:cs="宋体"/>
          <w:color w:val="auto"/>
          <w:sz w:val="21"/>
          <w:szCs w:val="21"/>
          <w:highlight w:val="none"/>
          <w:lang w:eastAsia="zh-CN"/>
        </w:rPr>
      </w:pPr>
    </w:p>
    <w:p>
      <w:pPr>
        <w:pStyle w:val="3"/>
        <w:rPr>
          <w:rFonts w:hint="eastAsia" w:ascii="宋体" w:hAnsi="宋体" w:eastAsia="宋体" w:cs="宋体"/>
          <w:color w:val="auto"/>
          <w:sz w:val="21"/>
          <w:szCs w:val="21"/>
          <w:highlight w:val="none"/>
          <w:lang w:eastAsia="zh-CN"/>
        </w:rPr>
      </w:pPr>
    </w:p>
    <w:p>
      <w:pPr>
        <w:pStyle w:val="3"/>
        <w:rPr>
          <w:rFonts w:hint="eastAsia" w:ascii="宋体" w:hAnsi="宋体" w:eastAsia="宋体" w:cs="宋体"/>
          <w:color w:val="auto"/>
          <w:sz w:val="21"/>
          <w:szCs w:val="21"/>
          <w:highlight w:val="none"/>
          <w:lang w:eastAsia="zh-CN"/>
        </w:rPr>
      </w:pPr>
    </w:p>
    <w:p>
      <w:pPr>
        <w:pStyle w:val="3"/>
        <w:rPr>
          <w:rFonts w:hint="eastAsia" w:ascii="宋体" w:hAnsi="宋体" w:eastAsia="宋体" w:cs="宋体"/>
          <w:color w:val="auto"/>
          <w:sz w:val="21"/>
          <w:szCs w:val="21"/>
          <w:highlight w:val="none"/>
          <w:lang w:eastAsia="zh-CN"/>
        </w:rPr>
      </w:pPr>
    </w:p>
    <w:p>
      <w:pPr>
        <w:pStyle w:val="3"/>
        <w:rPr>
          <w:rFonts w:hint="eastAsia" w:ascii="宋体" w:hAnsi="宋体" w:eastAsia="宋体" w:cs="宋体"/>
          <w:color w:val="auto"/>
          <w:sz w:val="21"/>
          <w:szCs w:val="21"/>
          <w:highlight w:val="none"/>
          <w:lang w:eastAsia="zh-CN"/>
        </w:rPr>
      </w:pPr>
    </w:p>
    <w:p>
      <w:pPr>
        <w:pStyle w:val="3"/>
        <w:rPr>
          <w:rFonts w:hint="eastAsia" w:ascii="宋体" w:hAnsi="宋体" w:eastAsia="宋体" w:cs="宋体"/>
          <w:color w:val="auto"/>
          <w:sz w:val="21"/>
          <w:szCs w:val="21"/>
          <w:highlight w:val="none"/>
          <w:lang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3"/>
        <w:ind w:left="0" w:leftChars="0" w:firstLine="0" w:firstLineChars="0"/>
        <w:rPr>
          <w:rFonts w:hint="eastAsia" w:ascii="宋体" w:hAnsi="宋体" w:cs="宋体"/>
          <w:color w:val="auto"/>
          <w:sz w:val="21"/>
          <w:szCs w:val="21"/>
          <w:highlight w:val="none"/>
          <w:lang w:val="en-US" w:eastAsia="zh-CN"/>
        </w:rPr>
      </w:pPr>
    </w:p>
    <w:p>
      <w:pPr>
        <w:pStyle w:val="3"/>
        <w:rPr>
          <w:rFonts w:hint="eastAsia" w:ascii="宋体" w:hAnsi="宋体" w:cs="宋体"/>
          <w:color w:val="auto"/>
          <w:sz w:val="21"/>
          <w:szCs w:val="21"/>
          <w:highlight w:val="none"/>
          <w:lang w:val="en-US" w:eastAsia="zh-CN"/>
        </w:rPr>
      </w:pPr>
    </w:p>
    <w:p>
      <w:pPr>
        <w:pStyle w:val="14"/>
        <w:spacing w:before="0" w:beforeLines="0" w:after="0" w:afterLines="0"/>
        <w:jc w:val="center"/>
        <w:outlineLvl w:val="0"/>
        <w:rPr>
          <w:rFonts w:hint="eastAsia" w:ascii="宋体" w:hAnsi="宋体" w:eastAsia="宋体" w:cs="宋体"/>
          <w:b/>
          <w:color w:val="auto"/>
          <w:sz w:val="32"/>
          <w:szCs w:val="32"/>
          <w:highlight w:val="none"/>
        </w:rPr>
      </w:pPr>
      <w:bookmarkStart w:id="97" w:name="_Toc32283"/>
      <w:bookmarkStart w:id="98" w:name="_Toc12504"/>
    </w:p>
    <w:p>
      <w:pPr>
        <w:pStyle w:val="14"/>
        <w:spacing w:before="0" w:beforeLines="0" w:after="0" w:afterLines="0"/>
        <w:jc w:val="center"/>
        <w:outlineLvl w:val="0"/>
        <w:rPr>
          <w:rFonts w:hint="eastAsia" w:ascii="宋体" w:hAnsi="宋体" w:eastAsia="宋体" w:cs="宋体"/>
          <w:b/>
          <w:color w:val="auto"/>
          <w:highlight w:val="none"/>
        </w:rPr>
      </w:pPr>
      <w:r>
        <w:rPr>
          <w:rFonts w:hint="eastAsia" w:ascii="宋体" w:hAnsi="宋体" w:eastAsia="宋体" w:cs="宋体"/>
          <w:b/>
          <w:color w:val="auto"/>
          <w:sz w:val="32"/>
          <w:szCs w:val="32"/>
          <w:highlight w:val="none"/>
        </w:rPr>
        <w:t>第六章　投标文件格式</w:t>
      </w:r>
      <w:bookmarkEnd w:id="97"/>
      <w:bookmarkEnd w:id="98"/>
    </w:p>
    <w:p>
      <w:pPr>
        <w:snapToGrid w:val="0"/>
        <w:spacing w:line="360" w:lineRule="auto"/>
        <w:jc w:val="center"/>
        <w:rPr>
          <w:rFonts w:hint="eastAsia" w:ascii="宋体" w:hAnsi="宋体" w:eastAsia="宋体" w:cs="宋体"/>
          <w:b/>
          <w:bCs/>
          <w:color w:val="auto"/>
          <w:sz w:val="28"/>
          <w:szCs w:val="28"/>
          <w:highlight w:val="none"/>
        </w:rPr>
      </w:pPr>
    </w:p>
    <w:p>
      <w:pPr>
        <w:snapToGrid w:val="0"/>
        <w:spacing w:line="360" w:lineRule="auto"/>
        <w:jc w:val="center"/>
        <w:rPr>
          <w:rFonts w:hint="eastAsia" w:ascii="宋体" w:hAnsi="宋体" w:eastAsia="宋体" w:cs="宋体"/>
          <w:b/>
          <w:bCs/>
          <w:color w:val="auto"/>
          <w:sz w:val="28"/>
          <w:szCs w:val="28"/>
          <w:highlight w:val="none"/>
          <w:lang w:eastAsia="zh-CN"/>
        </w:rPr>
      </w:pPr>
      <w:r>
        <w:rPr>
          <w:rFonts w:hint="eastAsia" w:ascii="宋体" w:hAnsi="宋体" w:eastAsia="宋体" w:cs="宋体"/>
          <w:b/>
          <w:bCs/>
          <w:color w:val="auto"/>
          <w:sz w:val="28"/>
          <w:szCs w:val="28"/>
          <w:highlight w:val="none"/>
        </w:rPr>
        <w:t>一、资格文件、商务技术文件格式</w:t>
      </w:r>
    </w:p>
    <w:p>
      <w:pPr>
        <w:snapToGrid w:val="0"/>
        <w:spacing w:line="360" w:lineRule="auto"/>
        <w:rPr>
          <w:rFonts w:hint="eastAsia" w:ascii="宋体" w:hAnsi="宋体" w:eastAsia="宋体" w:cs="宋体"/>
          <w:b/>
          <w:color w:val="auto"/>
          <w:sz w:val="28"/>
          <w:szCs w:val="28"/>
          <w:highlight w:val="none"/>
          <w:lang w:bidi="ar"/>
        </w:rPr>
      </w:pP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资格、商务技术文件的外包装封面格式：</w:t>
      </w:r>
    </w:p>
    <w:p>
      <w:pPr>
        <w:snapToGrid w:val="0"/>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外包装格式：</w:t>
      </w:r>
    </w:p>
    <w:p>
      <w:pPr>
        <w:snapToGrid w:val="0"/>
        <w:spacing w:line="360" w:lineRule="auto"/>
        <w:jc w:val="center"/>
        <w:rPr>
          <w:rFonts w:hint="eastAsia" w:ascii="宋体" w:hAnsi="宋体" w:eastAsia="宋体" w:cs="宋体"/>
          <w:bCs/>
          <w:color w:val="auto"/>
          <w:sz w:val="40"/>
          <w:szCs w:val="40"/>
          <w:highlight w:val="none"/>
          <w:lang w:eastAsia="zh-CN"/>
        </w:rPr>
      </w:pPr>
      <w:r>
        <w:rPr>
          <w:rFonts w:hint="eastAsia" w:ascii="宋体" w:hAnsi="宋体" w:eastAsia="宋体" w:cs="宋体"/>
          <w:bCs/>
          <w:color w:val="auto"/>
          <w:sz w:val="40"/>
          <w:szCs w:val="40"/>
          <w:highlight w:val="none"/>
          <w:lang w:eastAsia="zh-CN"/>
        </w:rPr>
        <w:t>资格、商务技术文件</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 xml:space="preserve">项目名称： </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eastAsia="zh-CN" w:bidi="ar"/>
        </w:rPr>
        <w:t>标项</w:t>
      </w:r>
      <w:r>
        <w:rPr>
          <w:rFonts w:hint="eastAsia" w:ascii="宋体" w:hAnsi="宋体" w:eastAsia="宋体" w:cs="宋体"/>
          <w:bCs/>
          <w:color w:val="auto"/>
          <w:sz w:val="24"/>
          <w:highlight w:val="none"/>
          <w:lang w:bidi="ar"/>
        </w:rPr>
        <w:t>号：</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名称（加盖公章）：</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地址：</w:t>
      </w:r>
    </w:p>
    <w:p>
      <w:pPr>
        <w:snapToGrid w:val="0"/>
        <w:spacing w:line="360" w:lineRule="auto"/>
        <w:jc w:val="center"/>
        <w:rPr>
          <w:rFonts w:hint="eastAsia" w:ascii="宋体" w:hAnsi="宋体" w:eastAsia="宋体" w:cs="宋体"/>
          <w:bCs/>
          <w:color w:val="auto"/>
          <w:sz w:val="28"/>
          <w:szCs w:val="28"/>
          <w:highlight w:val="none"/>
          <w:lang w:bidi="ar"/>
        </w:rPr>
      </w:pPr>
      <w:r>
        <w:rPr>
          <w:rFonts w:hint="eastAsia" w:ascii="宋体" w:hAnsi="宋体" w:eastAsia="宋体" w:cs="宋体"/>
          <w:bCs/>
          <w:color w:val="auto"/>
          <w:sz w:val="24"/>
          <w:highlight w:val="none"/>
          <w:lang w:bidi="ar"/>
        </w:rPr>
        <w:t xml:space="preserve">                        年  月  日</w:t>
      </w:r>
    </w:p>
    <w:p>
      <w:pPr>
        <w:snapToGrid w:val="0"/>
        <w:spacing w:line="360" w:lineRule="auto"/>
        <w:jc w:val="left"/>
        <w:rPr>
          <w:rFonts w:hint="eastAsia" w:ascii="宋体" w:hAnsi="宋体" w:eastAsia="宋体" w:cs="宋体"/>
          <w:bCs/>
          <w:color w:val="auto"/>
          <w:sz w:val="28"/>
          <w:szCs w:val="28"/>
          <w:highlight w:val="none"/>
          <w:lang w:bidi="ar"/>
        </w:rPr>
      </w:pP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资格、商务技术文件</w:t>
      </w:r>
      <w:r>
        <w:rPr>
          <w:rFonts w:hint="eastAsia" w:ascii="宋体" w:hAnsi="宋体" w:eastAsia="宋体" w:cs="宋体"/>
          <w:color w:val="auto"/>
          <w:highlight w:val="none"/>
        </w:rPr>
        <w:t>封面格式：</w:t>
      </w:r>
    </w:p>
    <w:p>
      <w:pPr>
        <w:snapToGrid w:val="0"/>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封面格式：</w:t>
      </w:r>
    </w:p>
    <w:p>
      <w:pPr>
        <w:snapToGrid w:val="0"/>
        <w:spacing w:line="360" w:lineRule="auto"/>
        <w:jc w:val="center"/>
        <w:rPr>
          <w:rFonts w:hint="eastAsia" w:ascii="宋体" w:hAnsi="宋体" w:eastAsia="宋体" w:cs="宋体"/>
          <w:bCs/>
          <w:color w:val="auto"/>
          <w:sz w:val="28"/>
          <w:szCs w:val="28"/>
          <w:highlight w:val="none"/>
        </w:rPr>
      </w:pPr>
      <w:r>
        <w:rPr>
          <w:rFonts w:hint="eastAsia" w:ascii="宋体" w:hAnsi="宋体" w:eastAsia="宋体" w:cs="宋体"/>
          <w:b/>
          <w:color w:val="auto"/>
          <w:sz w:val="28"/>
          <w:szCs w:val="28"/>
          <w:highlight w:val="none"/>
          <w:lang w:bidi="ar"/>
        </w:rPr>
        <w:t xml:space="preserve">                                            正本/或副本</w:t>
      </w:r>
    </w:p>
    <w:p>
      <w:pPr>
        <w:snapToGrid w:val="0"/>
        <w:spacing w:line="360" w:lineRule="auto"/>
        <w:jc w:val="center"/>
        <w:rPr>
          <w:rFonts w:hint="eastAsia" w:ascii="宋体" w:hAnsi="宋体" w:eastAsia="宋体" w:cs="宋体"/>
          <w:bCs/>
          <w:color w:val="auto"/>
          <w:sz w:val="24"/>
          <w:highlight w:val="none"/>
          <w:lang w:eastAsia="zh-CN"/>
        </w:rPr>
      </w:pPr>
      <w:r>
        <w:rPr>
          <w:rFonts w:hint="eastAsia" w:ascii="宋体" w:hAnsi="宋体" w:eastAsia="宋体" w:cs="宋体"/>
          <w:bCs/>
          <w:color w:val="auto"/>
          <w:sz w:val="40"/>
          <w:szCs w:val="40"/>
          <w:highlight w:val="none"/>
          <w:lang w:eastAsia="zh-CN"/>
        </w:rPr>
        <w:t>资格、商务技术文件</w:t>
      </w:r>
    </w:p>
    <w:p>
      <w:pPr>
        <w:snapToGrid w:val="0"/>
        <w:spacing w:line="360" w:lineRule="auto"/>
        <w:ind w:firstLine="6919" w:firstLineChars="2883"/>
        <w:rPr>
          <w:rFonts w:hint="eastAsia" w:ascii="宋体" w:hAnsi="宋体" w:eastAsia="宋体" w:cs="宋体"/>
          <w:bCs/>
          <w:color w:val="auto"/>
          <w:sz w:val="24"/>
          <w:highlight w:val="none"/>
        </w:rPr>
      </w:pP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项目名称：</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eastAsia="zh-CN" w:bidi="ar"/>
        </w:rPr>
        <w:t>标项</w:t>
      </w:r>
      <w:r>
        <w:rPr>
          <w:rFonts w:hint="eastAsia" w:ascii="宋体" w:hAnsi="宋体" w:eastAsia="宋体" w:cs="宋体"/>
          <w:bCs/>
          <w:color w:val="auto"/>
          <w:sz w:val="24"/>
          <w:highlight w:val="none"/>
          <w:lang w:bidi="ar"/>
        </w:rPr>
        <w:t>号：</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名称（加盖公章）：</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地址：</w:t>
      </w:r>
    </w:p>
    <w:p>
      <w:pPr>
        <w:snapToGrid w:val="0"/>
        <w:spacing w:line="360" w:lineRule="auto"/>
        <w:rPr>
          <w:rFonts w:hint="eastAsia" w:ascii="宋体" w:hAnsi="宋体" w:eastAsia="宋体" w:cs="宋体"/>
          <w:color w:val="auto"/>
          <w:sz w:val="20"/>
          <w:szCs w:val="20"/>
          <w:highlight w:val="none"/>
        </w:rPr>
      </w:pPr>
      <w:r>
        <w:rPr>
          <w:rFonts w:hint="eastAsia" w:ascii="宋体" w:hAnsi="宋体" w:eastAsia="宋体" w:cs="宋体"/>
          <w:bCs/>
          <w:color w:val="auto"/>
          <w:sz w:val="24"/>
          <w:highlight w:val="none"/>
          <w:lang w:bidi="ar"/>
        </w:rPr>
        <w:t xml:space="preserve">                                      </w:t>
      </w:r>
      <w:bookmarkStart w:id="99" w:name="_Toc9414"/>
      <w:r>
        <w:rPr>
          <w:rFonts w:hint="eastAsia" w:ascii="宋体" w:hAnsi="宋体" w:eastAsia="宋体" w:cs="宋体"/>
          <w:bCs/>
          <w:color w:val="auto"/>
          <w:sz w:val="24"/>
          <w:highlight w:val="none"/>
          <w:lang w:bidi="ar"/>
        </w:rPr>
        <w:t>年  月  日</w:t>
      </w:r>
      <w:bookmarkEnd w:id="99"/>
    </w:p>
    <w:p>
      <w:pPr>
        <w:snapToGrid w:val="0"/>
        <w:spacing w:line="360" w:lineRule="auto"/>
        <w:rPr>
          <w:rFonts w:hint="eastAsia" w:ascii="宋体" w:hAnsi="宋体" w:eastAsia="宋体" w:cs="宋体"/>
          <w:color w:val="auto"/>
          <w:sz w:val="20"/>
          <w:szCs w:val="20"/>
          <w:highlight w:val="none"/>
        </w:rPr>
      </w:pPr>
    </w:p>
    <w:p>
      <w:pPr>
        <w:pStyle w:val="14"/>
        <w:snapToGrid w:val="0"/>
        <w:spacing w:before="0" w:beforeLines="0" w:after="0" w:afterLines="0" w:line="240" w:lineRule="auto"/>
        <w:rPr>
          <w:rFonts w:hint="eastAsia" w:ascii="宋体" w:hAnsi="宋体" w:eastAsia="宋体" w:cs="宋体"/>
          <w:color w:val="auto"/>
          <w:highlight w:val="none"/>
        </w:rPr>
      </w:pPr>
    </w:p>
    <w:p>
      <w:pPr>
        <w:snapToGrid w:val="0"/>
        <w:spacing w:line="360" w:lineRule="auto"/>
        <w:jc w:val="left"/>
        <w:rPr>
          <w:rFonts w:hint="eastAsia" w:ascii="宋体" w:hAnsi="宋体" w:eastAsia="宋体" w:cs="宋体"/>
          <w:b/>
          <w:bCs/>
          <w:color w:val="auto"/>
          <w:highlight w:val="none"/>
        </w:rPr>
      </w:pPr>
      <w:r>
        <w:rPr>
          <w:rFonts w:hint="eastAsia" w:ascii="宋体" w:hAnsi="宋体" w:eastAsia="宋体" w:cs="宋体"/>
          <w:color w:val="auto"/>
          <w:szCs w:val="21"/>
          <w:highlight w:val="none"/>
        </w:rPr>
        <w:br w:type="page"/>
      </w:r>
      <w:r>
        <w:rPr>
          <w:rFonts w:hint="eastAsia" w:ascii="宋体" w:hAnsi="宋体" w:eastAsia="宋体" w:cs="宋体"/>
          <w:b/>
          <w:bCs/>
          <w:color w:val="auto"/>
          <w:highlight w:val="none"/>
          <w:lang w:val="en-US" w:eastAsia="zh-CN"/>
        </w:rPr>
        <w:t>3、</w:t>
      </w:r>
      <w:r>
        <w:rPr>
          <w:rFonts w:hint="eastAsia" w:ascii="宋体" w:hAnsi="宋体" w:eastAsia="宋体" w:cs="宋体"/>
          <w:b/>
          <w:bCs/>
          <w:color w:val="auto"/>
          <w:highlight w:val="none"/>
          <w:lang w:eastAsia="zh-CN"/>
        </w:rPr>
        <w:t>资格文件：</w:t>
      </w:r>
    </w:p>
    <w:p>
      <w:pPr>
        <w:numPr>
          <w:ilvl w:val="0"/>
          <w:numId w:val="20"/>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资格声明函（格式见附件）；</w:t>
      </w:r>
    </w:p>
    <w:p>
      <w:pPr>
        <w:numPr>
          <w:ilvl w:val="0"/>
          <w:numId w:val="20"/>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投标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numPr>
          <w:ilvl w:val="0"/>
          <w:numId w:val="20"/>
        </w:numPr>
        <w:snapToGrid w:val="0"/>
        <w:spacing w:line="360" w:lineRule="auto"/>
        <w:ind w:left="210" w:leftChars="100"/>
        <w:jc w:val="left"/>
        <w:rPr>
          <w:rFonts w:hint="eastAsia" w:ascii="宋体" w:hAnsi="宋体" w:eastAsia="宋体" w:cs="宋体"/>
          <w:color w:val="auto"/>
          <w:szCs w:val="21"/>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特定资格条件的证明文件：</w:t>
      </w:r>
      <w:r>
        <w:rPr>
          <w:rFonts w:hint="eastAsia" w:ascii="宋体" w:hAnsi="宋体" w:eastAsia="宋体" w:cs="宋体"/>
          <w:color w:val="auto"/>
          <w:highlight w:val="none"/>
          <w:lang w:eastAsia="zh-CN"/>
        </w:rPr>
        <w:t>详见“第一章  公开招标公告 二、申请人的资格要求：3.本项目的特定资格要求”</w:t>
      </w:r>
      <w:r>
        <w:rPr>
          <w:rFonts w:hint="eastAsia" w:ascii="宋体" w:hAnsi="宋体" w:eastAsia="宋体" w:cs="宋体"/>
          <w:color w:val="auto"/>
          <w:highlight w:val="none"/>
        </w:rPr>
        <w:t>；</w:t>
      </w:r>
    </w:p>
    <w:p>
      <w:pPr>
        <w:numPr>
          <w:ilvl w:val="0"/>
          <w:numId w:val="20"/>
        </w:numPr>
        <w:snapToGrid w:val="0"/>
        <w:spacing w:line="360" w:lineRule="auto"/>
        <w:ind w:left="210" w:leftChars="100"/>
        <w:jc w:val="left"/>
        <w:rPr>
          <w:rFonts w:hint="eastAsia" w:ascii="宋体" w:hAnsi="宋体" w:eastAsia="宋体" w:cs="宋体"/>
          <w:color w:val="auto"/>
          <w:highlight w:val="none"/>
        </w:rPr>
      </w:pPr>
      <w:r>
        <w:rPr>
          <w:rFonts w:hint="eastAsia" w:ascii="宋体" w:hAnsi="宋体" w:eastAsia="宋体" w:cs="宋体"/>
          <w:color w:val="auto"/>
          <w:szCs w:val="22"/>
          <w:highlight w:val="none"/>
          <w:lang w:eastAsia="zh-CN"/>
        </w:rPr>
        <w:t>招标文件</w:t>
      </w:r>
      <w:r>
        <w:rPr>
          <w:rFonts w:hint="eastAsia" w:ascii="宋体" w:hAnsi="宋体" w:eastAsia="宋体" w:cs="宋体"/>
          <w:color w:val="auto"/>
          <w:szCs w:val="21"/>
          <w:highlight w:val="none"/>
        </w:rPr>
        <w:t>要求的其他资格条件证明材料（如有）；</w:t>
      </w:r>
    </w:p>
    <w:p>
      <w:pPr>
        <w:numPr>
          <w:ilvl w:val="0"/>
          <w:numId w:val="0"/>
        </w:numPr>
        <w:snapToGrid w:val="0"/>
        <w:rPr>
          <w:rFonts w:hint="eastAsia" w:ascii="宋体" w:hAnsi="宋体" w:eastAsia="宋体" w:cs="宋体"/>
          <w:b/>
          <w:bCs/>
          <w:color w:val="auto"/>
          <w:highlight w:val="none"/>
        </w:rPr>
      </w:pPr>
      <w:r>
        <w:rPr>
          <w:rFonts w:hint="eastAsia" w:ascii="宋体" w:hAnsi="宋体" w:eastAsia="宋体" w:cs="宋体"/>
          <w:color w:val="auto"/>
          <w:szCs w:val="21"/>
          <w:highlight w:val="none"/>
        </w:rPr>
        <w:br w:type="page"/>
      </w:r>
      <w:r>
        <w:rPr>
          <w:rFonts w:hint="eastAsia" w:ascii="宋体" w:hAnsi="宋体" w:cs="宋体"/>
          <w:b/>
          <w:bCs/>
          <w:color w:val="auto"/>
          <w:highlight w:val="none"/>
          <w:lang w:val="en-US" w:eastAsia="zh-CN"/>
        </w:rPr>
        <w:t>4、</w:t>
      </w:r>
      <w:r>
        <w:rPr>
          <w:rFonts w:hint="eastAsia" w:ascii="宋体" w:hAnsi="宋体" w:eastAsia="宋体" w:cs="宋体"/>
          <w:b/>
          <w:bCs/>
          <w:color w:val="auto"/>
          <w:highlight w:val="none"/>
          <w:lang w:val="en-US" w:eastAsia="zh-CN"/>
        </w:rPr>
        <w:t>供</w:t>
      </w:r>
      <w:r>
        <w:rPr>
          <w:rFonts w:hint="eastAsia" w:ascii="宋体" w:hAnsi="宋体" w:eastAsia="宋体" w:cs="宋体"/>
          <w:b/>
          <w:bCs/>
          <w:color w:val="auto"/>
          <w:highlight w:val="none"/>
          <w:lang w:eastAsia="zh-CN"/>
        </w:rPr>
        <w:t>应商资格声明函；</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供应商</w:t>
      </w:r>
      <w:r>
        <w:rPr>
          <w:rFonts w:hint="eastAsia" w:ascii="宋体" w:hAnsi="宋体" w:eastAsia="宋体" w:cs="宋体"/>
          <w:b/>
          <w:color w:val="auto"/>
          <w:sz w:val="32"/>
          <w:szCs w:val="32"/>
          <w:highlight w:val="none"/>
        </w:rPr>
        <w:t>资格声明函</w:t>
      </w:r>
    </w:p>
    <w:p>
      <w:pPr>
        <w:snapToGrid w:val="0"/>
        <w:rPr>
          <w:rFonts w:hint="eastAsia" w:ascii="宋体" w:hAnsi="宋体" w:eastAsia="宋体" w:cs="宋体"/>
          <w:b/>
          <w:color w:val="auto"/>
          <w:szCs w:val="21"/>
          <w:highlight w:val="none"/>
        </w:rPr>
      </w:pPr>
    </w:p>
    <w:p>
      <w:pPr>
        <w:spacing w:line="360" w:lineRule="auto"/>
        <w:ind w:right="420" w:firstLine="3150" w:firstLineChars="1500"/>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pacing w:line="360" w:lineRule="auto"/>
        <w:rPr>
          <w:rFonts w:hint="eastAsia" w:ascii="宋体" w:hAnsi="宋体" w:eastAsia="宋体" w:cs="宋体"/>
          <w:b/>
          <w:color w:val="auto"/>
          <w:highlight w:val="none"/>
        </w:rPr>
      </w:pPr>
      <w:r>
        <w:rPr>
          <w:rFonts w:hint="eastAsia" w:ascii="宋体" w:hAnsi="宋体" w:cs="宋体"/>
          <w:b/>
          <w:color w:val="auto"/>
          <w:highlight w:val="none"/>
          <w:lang w:eastAsia="zh-CN"/>
        </w:rPr>
        <w:t>浙江中基正采管理咨询有限公司</w:t>
      </w:r>
      <w:r>
        <w:rPr>
          <w:rFonts w:hint="eastAsia" w:ascii="宋体" w:hAnsi="宋体" w:eastAsia="宋体" w:cs="宋体"/>
          <w:b/>
          <w:color w:val="auto"/>
          <w:highlight w:val="none"/>
        </w:rPr>
        <w:t>：</w:t>
      </w:r>
    </w:p>
    <w:p>
      <w:pPr>
        <w:snapToGrid w:val="0"/>
        <w:spacing w:before="120" w:beforeLines="50"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关于贵司</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w:t>
      </w:r>
      <w:r>
        <w:rPr>
          <w:rFonts w:hint="eastAsia" w:ascii="宋体" w:hAnsi="宋体" w:eastAsia="宋体" w:cs="宋体"/>
          <w:color w:val="auto"/>
          <w:highlight w:val="none"/>
        </w:rPr>
        <w:t>日发布</w:t>
      </w:r>
      <w:r>
        <w:rPr>
          <w:rFonts w:hint="eastAsia" w:ascii="宋体" w:hAnsi="宋体" w:eastAsia="宋体" w:cs="宋体"/>
          <w:color w:val="auto"/>
          <w:highlight w:val="none"/>
          <w:u w:val="single"/>
        </w:rPr>
        <w:t xml:space="preserve">  </w:t>
      </w:r>
      <w:r>
        <w:rPr>
          <w:rFonts w:hint="eastAsia" w:ascii="宋体" w:hAnsi="宋体" w:eastAsia="宋体" w:cs="宋体"/>
          <w:color w:val="auto"/>
          <w:kern w:val="28"/>
          <w:highlight w:val="none"/>
          <w:u w:val="single"/>
        </w:rPr>
        <w:t>XXXXXXXXXXXXXXXXXXXXXXXXXXXX</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项目（项目编号：　　　）的采购公告，本公司（企业）愿意参加投标，并声明：</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1、本公司（企业）具备《中华人民共和国政府采购法》第二十二条资格条件：</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1.1、具有独立承担民事责任的能力；</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1.2、具有良好的商业信誉和健全的财务会计制度；</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1.3、具有履行合同所必需的设备和专业技术能力；</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1.4、有依法缴纳税收和社会保障资金的良好记录；</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1.5、参加政府采购活动前三年内，在经营活动中没有重大违法记录；</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1.6、法律、行政法规规定的其他条件。</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本公司（企业）的法定代表人或单位负责人与所参投的本采购项目的其他</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的法定代表人或单位负责人不为同一人且与其他</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之间不存在直接控股、管理关系。</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szCs w:val="21"/>
          <w:highlight w:val="none"/>
        </w:rPr>
        <w:t>根据《中华人民共和国政府采购法</w:t>
      </w:r>
      <w:r>
        <w:rPr>
          <w:rFonts w:hint="eastAsia" w:ascii="宋体" w:hAnsi="宋体" w:eastAsia="宋体" w:cs="宋体"/>
          <w:color w:val="auto"/>
          <w:highlight w:val="none"/>
        </w:rPr>
        <w:t>实施条例》的规定，本公司（企业）如为本采购项目提供整体设计、规范编制或者项目管理、监理、检测等服务的</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，不得再参加该采购项目的其他采购活动。否则，由此所造成的损失、不良后果及法律责任，一律由我公司（企业）承担。</w:t>
      </w:r>
    </w:p>
    <w:p>
      <w:pPr>
        <w:snapToGrid w:val="0"/>
        <w:spacing w:line="360" w:lineRule="auto"/>
        <w:ind w:firstLine="426" w:firstLineChars="202"/>
        <w:rPr>
          <w:rFonts w:hint="eastAsia" w:ascii="宋体" w:hAnsi="宋体" w:eastAsia="宋体" w:cs="宋体"/>
          <w:b/>
          <w:bCs/>
          <w:color w:val="auto"/>
          <w:highlight w:val="none"/>
        </w:rPr>
      </w:pPr>
      <w:r>
        <w:rPr>
          <w:rFonts w:hint="eastAsia" w:ascii="宋体" w:hAnsi="宋体" w:eastAsia="宋体" w:cs="宋体"/>
          <w:b/>
          <w:bCs/>
          <w:color w:val="auto"/>
          <w:highlight w:val="none"/>
        </w:rPr>
        <w:t>本公司（企业）</w:t>
      </w:r>
      <w:r>
        <w:rPr>
          <w:rFonts w:hint="eastAsia" w:ascii="宋体" w:hAnsi="宋体" w:eastAsia="宋体" w:cs="宋体"/>
          <w:b/>
          <w:bCs/>
          <w:color w:val="auto"/>
          <w:szCs w:val="21"/>
          <w:highlight w:val="none"/>
        </w:rPr>
        <w:t>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未在中国裁判文书网有行贿犯罪相关记录。</w:t>
      </w:r>
      <w:r>
        <w:rPr>
          <w:rFonts w:hint="eastAsia" w:ascii="宋体" w:hAnsi="宋体" w:eastAsia="宋体" w:cs="宋体"/>
          <w:b/>
          <w:bCs/>
          <w:color w:val="auto"/>
          <w:highlight w:val="none"/>
        </w:rPr>
        <w:t>否则，由此所造成的损失、不良后果及法律责任，一律由我公司（企业）承担。</w:t>
      </w:r>
    </w:p>
    <w:p>
      <w:pPr>
        <w:snapToGrid w:val="0"/>
        <w:spacing w:line="360" w:lineRule="auto"/>
        <w:ind w:firstLine="424" w:firstLineChars="202"/>
        <w:rPr>
          <w:rFonts w:hint="eastAsia" w:ascii="宋体" w:hAnsi="宋体" w:eastAsia="宋体" w:cs="宋体"/>
          <w:color w:val="auto"/>
          <w:highlight w:val="none"/>
        </w:rPr>
      </w:pPr>
      <w:r>
        <w:rPr>
          <w:rFonts w:hint="eastAsia" w:ascii="宋体" w:hAnsi="宋体" w:eastAsia="宋体" w:cs="宋体"/>
          <w:color w:val="auto"/>
          <w:highlight w:val="none"/>
        </w:rPr>
        <w:t>本次招标采购活动中，如有违法、违规、弄虚作假行为，所造成的损失、不良后果及法律责任，一律由我公司（企业）承担。</w:t>
      </w:r>
    </w:p>
    <w:p>
      <w:pPr>
        <w:spacing w:line="360" w:lineRule="auto"/>
        <w:ind w:firstLine="420"/>
        <w:rPr>
          <w:rFonts w:hint="eastAsia" w:ascii="宋体" w:hAnsi="宋体" w:eastAsia="宋体" w:cs="宋体"/>
          <w:b/>
          <w:color w:val="auto"/>
          <w:highlight w:val="none"/>
        </w:rPr>
      </w:pPr>
      <w:r>
        <w:rPr>
          <w:rFonts w:hint="eastAsia" w:ascii="宋体" w:hAnsi="宋体" w:eastAsia="宋体" w:cs="宋体"/>
          <w:b/>
          <w:color w:val="auto"/>
          <w:highlight w:val="none"/>
        </w:rPr>
        <w:t>特此声明！</w:t>
      </w:r>
    </w:p>
    <w:p>
      <w:pPr>
        <w:adjustRightInd w:val="0"/>
        <w:snapToGrid w:val="0"/>
        <w:spacing w:line="360" w:lineRule="auto"/>
        <w:ind w:left="425"/>
        <w:rPr>
          <w:rFonts w:hint="eastAsia" w:ascii="宋体" w:hAnsi="宋体" w:eastAsia="宋体" w:cs="宋体"/>
          <w:color w:val="auto"/>
          <w:spacing w:val="4"/>
          <w:highlight w:val="none"/>
        </w:rPr>
      </w:pPr>
    </w:p>
    <w:p>
      <w:pPr>
        <w:spacing w:line="360" w:lineRule="auto"/>
        <w:ind w:right="420" w:firstLine="3150" w:firstLineChars="1500"/>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法定代表人或授权代表（签名或印章）：</w:t>
      </w:r>
    </w:p>
    <w:p>
      <w:pPr>
        <w:spacing w:line="360" w:lineRule="auto"/>
        <w:ind w:right="420" w:firstLine="3150" w:firstLineChars="150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公章：</w:t>
      </w:r>
    </w:p>
    <w:p>
      <w:pPr>
        <w:spacing w:line="360" w:lineRule="auto"/>
        <w:ind w:right="420" w:firstLine="3150" w:firstLineChars="1500"/>
        <w:rPr>
          <w:rFonts w:hint="eastAsia" w:ascii="宋体" w:hAnsi="宋体" w:eastAsia="宋体" w:cs="宋体"/>
          <w:color w:val="auto"/>
          <w:highlight w:val="none"/>
        </w:rPr>
      </w:pPr>
      <w:r>
        <w:rPr>
          <w:rFonts w:hint="eastAsia" w:ascii="宋体" w:hAnsi="宋体" w:eastAsia="宋体" w:cs="宋体"/>
          <w:color w:val="auto"/>
          <w:highlight w:val="none"/>
        </w:rPr>
        <w:t>年    月    日</w:t>
      </w:r>
    </w:p>
    <w:p>
      <w:pPr>
        <w:spacing w:line="360" w:lineRule="auto"/>
        <w:ind w:right="420" w:firstLine="3150" w:firstLineChars="1500"/>
        <w:rPr>
          <w:rFonts w:hint="eastAsia" w:ascii="宋体" w:hAnsi="宋体" w:eastAsia="宋体" w:cs="宋体"/>
          <w:color w:val="auto"/>
          <w:highlight w:val="none"/>
        </w:rPr>
      </w:pPr>
    </w:p>
    <w:p>
      <w:pPr>
        <w:snapToGrid w:val="0"/>
        <w:rPr>
          <w:rFonts w:hint="eastAsia" w:ascii="宋体" w:hAnsi="宋体" w:eastAsia="宋体" w:cs="宋体"/>
          <w:color w:val="auto"/>
          <w:szCs w:val="21"/>
          <w:highlight w:val="none"/>
        </w:rPr>
      </w:pPr>
      <w:r>
        <w:rPr>
          <w:rFonts w:hint="eastAsia" w:ascii="宋体" w:hAnsi="宋体" w:eastAsia="宋体" w:cs="宋体"/>
          <w:color w:val="auto"/>
          <w:highlight w:val="none"/>
        </w:rPr>
        <w:br w:type="page"/>
      </w:r>
      <w:r>
        <w:rPr>
          <w:rFonts w:hint="eastAsia" w:ascii="宋体" w:hAnsi="宋体" w:eastAsia="宋体" w:cs="宋体"/>
          <w:color w:val="auto"/>
          <w:szCs w:val="21"/>
          <w:highlight w:val="none"/>
          <w:lang w:val="en-US" w:eastAsia="zh-CN"/>
        </w:rPr>
        <w:t>5、</w:t>
      </w:r>
      <w:r>
        <w:rPr>
          <w:rFonts w:hint="eastAsia" w:ascii="宋体" w:hAnsi="宋体" w:eastAsia="宋体" w:cs="宋体"/>
          <w:color w:val="auto"/>
          <w:highlight w:val="none"/>
        </w:rPr>
        <w:t>有效的企业法人营业执照（或事业法人登记证）、其他组织（个体工商户）的营业执照或者民办非企业单位登记证书复印件</w:t>
      </w:r>
      <w:r>
        <w:rPr>
          <w:rFonts w:hint="eastAsia" w:ascii="宋体" w:hAnsi="宋体" w:eastAsia="宋体" w:cs="宋体"/>
          <w:color w:val="auto"/>
          <w:highlight w:val="none"/>
          <w:lang w:eastAsia="zh-CN"/>
        </w:rPr>
        <w:t>；</w:t>
      </w:r>
      <w:r>
        <w:rPr>
          <w:rFonts w:hint="eastAsia" w:ascii="宋体" w:hAnsi="宋体" w:eastAsia="宋体" w:cs="宋体"/>
          <w:color w:val="auto"/>
          <w:szCs w:val="21"/>
          <w:highlight w:val="none"/>
        </w:rPr>
        <w:t>投标</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eastAsia="宋体" w:cs="宋体"/>
          <w:color w:val="auto"/>
          <w:highlight w:val="none"/>
        </w:rPr>
        <w:t>；</w:t>
      </w: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特定资格条件的证明文件（如有）：</w:t>
      </w:r>
      <w:r>
        <w:rPr>
          <w:rFonts w:hint="eastAsia" w:ascii="宋体" w:hAnsi="宋体" w:eastAsia="宋体" w:cs="宋体"/>
          <w:color w:val="auto"/>
          <w:highlight w:val="none"/>
          <w:lang w:eastAsia="zh-CN"/>
        </w:rPr>
        <w:t>详见“第一章  公开招标公告 二、申请人的资格要求：3.本项目的特定资格要求”</w:t>
      </w:r>
      <w:r>
        <w:rPr>
          <w:rFonts w:hint="eastAsia" w:ascii="宋体" w:hAnsi="宋体" w:eastAsia="宋体" w:cs="宋体"/>
          <w:color w:val="auto"/>
          <w:szCs w:val="21"/>
          <w:highlight w:val="none"/>
        </w:rPr>
        <w:t>；</w:t>
      </w: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要求的其他资格条件证明材料（如有）；</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宋体" w:hAnsi="宋体" w:eastAsia="宋体" w:cs="宋体"/>
          <w:bCs/>
          <w:color w:val="auto"/>
          <w:sz w:val="24"/>
          <w:highlight w:val="none"/>
          <w:lang w:bidi="ar"/>
        </w:rPr>
      </w:pPr>
      <w:r>
        <w:rPr>
          <w:rFonts w:hint="eastAsia" w:ascii="宋体" w:hAnsi="宋体" w:eastAsia="宋体" w:cs="宋体"/>
          <w:color w:val="auto"/>
          <w:szCs w:val="21"/>
          <w:highlight w:val="none"/>
        </w:rPr>
        <w:br w:type="page"/>
      </w:r>
      <w:r>
        <w:rPr>
          <w:rFonts w:hint="eastAsia" w:ascii="宋体" w:hAnsi="宋体" w:eastAsia="宋体" w:cs="宋体"/>
          <w:b/>
          <w:bCs/>
          <w:color w:val="auto"/>
          <w:highlight w:val="none"/>
          <w:lang w:val="en-US" w:eastAsia="zh-CN"/>
        </w:rPr>
        <w:t>8.</w:t>
      </w:r>
      <w:r>
        <w:rPr>
          <w:rFonts w:hint="eastAsia" w:ascii="宋体" w:hAnsi="宋体" w:eastAsia="宋体" w:cs="宋体"/>
          <w:b/>
          <w:bCs/>
          <w:color w:val="auto"/>
          <w:highlight w:val="none"/>
        </w:rPr>
        <w:t>商务技术文件内容包括</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rPr>
        <w:t>符合性自查表（格式见附件）；</w:t>
      </w:r>
    </w:p>
    <w:p>
      <w:pPr>
        <w:keepNext w:val="0"/>
        <w:keepLines w:val="0"/>
        <w:pageBreakBefore w:val="0"/>
        <w:widowControl w:val="0"/>
        <w:numPr>
          <w:ilvl w:val="0"/>
          <w:numId w:val="21"/>
        </w:numPr>
        <w:kinsoku/>
        <w:wordWrap/>
        <w:overflowPunct/>
        <w:topLinePunct w:val="0"/>
        <w:autoSpaceDE/>
        <w:autoSpaceDN/>
        <w:bidi w:val="0"/>
        <w:adjustRightInd/>
        <w:snapToGrid w:val="0"/>
        <w:spacing w:line="360" w:lineRule="auto"/>
        <w:jc w:val="left"/>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响应表（格式见附件）；</w:t>
      </w:r>
    </w:p>
    <w:p>
      <w:pPr>
        <w:numPr>
          <w:ilvl w:val="0"/>
          <w:numId w:val="21"/>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商务条款偏离表（格式见附件）；</w:t>
      </w:r>
    </w:p>
    <w:p>
      <w:pPr>
        <w:numPr>
          <w:ilvl w:val="0"/>
          <w:numId w:val="21"/>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投标函（格式见附件）；</w:t>
      </w:r>
    </w:p>
    <w:p>
      <w:pPr>
        <w:numPr>
          <w:ilvl w:val="0"/>
          <w:numId w:val="21"/>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法定代表人身份证明或法定代表人授权委托书（格式见附件）；</w:t>
      </w:r>
    </w:p>
    <w:p>
      <w:pPr>
        <w:numPr>
          <w:ilvl w:val="0"/>
          <w:numId w:val="21"/>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技术（服务）条款偏离表（格式见附件）；</w:t>
      </w:r>
    </w:p>
    <w:p>
      <w:pPr>
        <w:numPr>
          <w:ilvl w:val="0"/>
          <w:numId w:val="21"/>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基本情况表（格式见附件）；</w:t>
      </w:r>
    </w:p>
    <w:p>
      <w:pPr>
        <w:numPr>
          <w:ilvl w:val="0"/>
          <w:numId w:val="21"/>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本项目负责人简历表（格式见附件）</w:t>
      </w:r>
    </w:p>
    <w:p>
      <w:pPr>
        <w:numPr>
          <w:ilvl w:val="0"/>
          <w:numId w:val="21"/>
        </w:num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本项目组人员配备情况表（格式见附件）</w:t>
      </w:r>
    </w:p>
    <w:p>
      <w:pPr>
        <w:numPr>
          <w:ilvl w:val="0"/>
          <w:numId w:val="21"/>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同类业绩情况一览表（格式见附件）；</w:t>
      </w:r>
    </w:p>
    <w:p>
      <w:pPr>
        <w:numPr>
          <w:ilvl w:val="0"/>
          <w:numId w:val="21"/>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技术部分：针对本项目第二章采购需求和第四章评分标准中的条款拟定完整方案，格式自拟；</w:t>
      </w:r>
    </w:p>
    <w:p>
      <w:pPr>
        <w:numPr>
          <w:ilvl w:val="0"/>
          <w:numId w:val="21"/>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第四章评标办法及评分标准中需提供的其他相关证书及合同复印件等并加盖公章；</w:t>
      </w:r>
    </w:p>
    <w:p>
      <w:pPr>
        <w:numPr>
          <w:ilvl w:val="0"/>
          <w:numId w:val="21"/>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认为有需要提供的其它有关证明资料。</w:t>
      </w:r>
    </w:p>
    <w:p>
      <w:pPr>
        <w:snapToGrid w:val="0"/>
        <w:rPr>
          <w:rFonts w:hint="eastAsia" w:ascii="宋体" w:hAnsi="宋体" w:eastAsia="宋体" w:cs="宋体"/>
          <w:bCs/>
          <w:color w:val="auto"/>
          <w:sz w:val="24"/>
          <w:highlight w:val="none"/>
          <w:lang w:bidi="ar"/>
        </w:rPr>
      </w:pPr>
    </w:p>
    <w:p>
      <w:pPr>
        <w:snapToGrid w:val="0"/>
        <w:rPr>
          <w:rFonts w:hint="eastAsia" w:ascii="宋体" w:hAnsi="宋体" w:eastAsia="宋体" w:cs="宋体"/>
          <w:bCs/>
          <w:color w:val="auto"/>
          <w:sz w:val="24"/>
          <w:highlight w:val="none"/>
          <w:lang w:bidi="ar"/>
        </w:rPr>
      </w:pPr>
    </w:p>
    <w:p>
      <w:pPr>
        <w:numPr>
          <w:ilvl w:val="0"/>
          <w:numId w:val="22"/>
        </w:numPr>
        <w:snapToGrid w:val="0"/>
        <w:rPr>
          <w:rFonts w:hint="eastAsia" w:ascii="宋体" w:hAnsi="宋体" w:eastAsia="宋体" w:cs="宋体"/>
          <w:b/>
          <w:color w:val="auto"/>
          <w:szCs w:val="21"/>
          <w:highlight w:val="none"/>
          <w:lang w:bidi="ar"/>
        </w:rPr>
      </w:pPr>
      <w:r>
        <w:rPr>
          <w:rFonts w:hint="eastAsia" w:ascii="宋体" w:hAnsi="宋体" w:eastAsia="宋体" w:cs="宋体"/>
          <w:b/>
          <w:color w:val="auto"/>
          <w:szCs w:val="21"/>
          <w:highlight w:val="none"/>
          <w:lang w:bidi="ar"/>
        </w:rPr>
        <w:br w:type="page"/>
      </w:r>
      <w:r>
        <w:rPr>
          <w:rFonts w:hint="eastAsia" w:ascii="宋体" w:hAnsi="宋体" w:eastAsia="宋体" w:cs="宋体"/>
          <w:b/>
          <w:color w:val="auto"/>
          <w:szCs w:val="21"/>
          <w:highlight w:val="none"/>
          <w:lang w:bidi="ar"/>
        </w:rPr>
        <w:t>符合性自查表格式</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符合性自查表</w:t>
      </w:r>
    </w:p>
    <w:tbl>
      <w:tblPr>
        <w:tblStyle w:val="23"/>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99"/>
        <w:gridCol w:w="12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评审内容</w:t>
            </w:r>
          </w:p>
        </w:tc>
        <w:tc>
          <w:tcPr>
            <w:tcW w:w="349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自查结论</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符合性审</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lang w:eastAsia="zh-CN"/>
              </w:rPr>
            </w:pPr>
            <w:r>
              <w:rPr>
                <w:rFonts w:hint="eastAsia" w:ascii="宋体" w:hAnsi="宋体" w:eastAsia="宋体" w:cs="宋体"/>
                <w:color w:val="auto"/>
                <w:highlight w:val="none"/>
              </w:rPr>
              <w:t>查</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商务技术文件</w:t>
            </w:r>
            <w:r>
              <w:rPr>
                <w:rFonts w:hint="eastAsia" w:ascii="宋体" w:hAnsi="宋体" w:eastAsia="宋体" w:cs="宋体"/>
                <w:color w:val="auto"/>
                <w:highlight w:val="none"/>
                <w:lang w:eastAsia="zh-CN"/>
              </w:rPr>
              <w:t>）</w:t>
            </w: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一</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投标函已提交并符合</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二</w:t>
            </w:r>
            <w:r>
              <w:rPr>
                <w:rFonts w:hint="eastAsia" w:ascii="宋体" w:hAnsi="宋体" w:eastAsia="宋体" w:cs="宋体"/>
                <w:color w:val="auto"/>
                <w:szCs w:val="21"/>
                <w:highlight w:val="none"/>
              </w:rPr>
              <w:t>）</w:t>
            </w:r>
            <w:r>
              <w:rPr>
                <w:rFonts w:hint="eastAsia" w:ascii="宋体" w:hAnsi="宋体" w:eastAsia="宋体" w:cs="宋体"/>
                <w:color w:val="auto"/>
                <w:highlight w:val="none"/>
              </w:rPr>
              <w:t>按照</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规定要求签署或盖章；</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三</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投标文件</w:t>
            </w:r>
            <w:r>
              <w:rPr>
                <w:rFonts w:hint="eastAsia" w:ascii="宋体" w:hAnsi="宋体" w:eastAsia="宋体" w:cs="宋体"/>
                <w:color w:val="auto"/>
                <w:highlight w:val="none"/>
                <w:lang w:val="en-US" w:eastAsia="zh-CN"/>
              </w:rPr>
              <w:t>有</w:t>
            </w:r>
            <w:r>
              <w:rPr>
                <w:rFonts w:hint="eastAsia" w:ascii="宋体" w:hAnsi="宋体" w:eastAsia="宋体" w:cs="宋体"/>
                <w:color w:val="auto"/>
                <w:highlight w:val="none"/>
              </w:rPr>
              <w:t>法定代表人签署本人姓名（或印盖本人姓名章）</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或签署人提供有效的法定代表人授权委托书</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授权委托书填写项目齐全的；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四</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投标文件项目齐全；</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0"/>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投标文件标明的响应或偏离与事实</w:t>
            </w:r>
            <w:r>
              <w:rPr>
                <w:rFonts w:hint="eastAsia" w:ascii="宋体" w:hAnsi="宋体" w:eastAsia="宋体" w:cs="宋体"/>
                <w:color w:val="auto"/>
                <w:highlight w:val="none"/>
                <w:lang w:val="en-US" w:eastAsia="zh-CN"/>
              </w:rPr>
              <w:t>相符且无</w:t>
            </w:r>
            <w:r>
              <w:rPr>
                <w:rFonts w:hint="eastAsia" w:ascii="宋体" w:hAnsi="宋体" w:eastAsia="宋体" w:cs="宋体"/>
                <w:color w:val="auto"/>
                <w:highlight w:val="none"/>
              </w:rPr>
              <w:t>虚假投标的；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六</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投标文件的实质性内容使用中文表述</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意思表述明确</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前后</w:t>
            </w:r>
            <w:r>
              <w:rPr>
                <w:rFonts w:hint="eastAsia" w:ascii="宋体" w:hAnsi="宋体" w:eastAsia="宋体" w:cs="宋体"/>
                <w:color w:val="auto"/>
                <w:highlight w:val="none"/>
                <w:lang w:val="en-US" w:eastAsia="zh-CN"/>
              </w:rPr>
              <w:t>无</w:t>
            </w:r>
            <w:r>
              <w:rPr>
                <w:rFonts w:hint="eastAsia" w:ascii="宋体" w:hAnsi="宋体" w:eastAsia="宋体" w:cs="宋体"/>
                <w:color w:val="auto"/>
                <w:highlight w:val="none"/>
              </w:rPr>
              <w:t>矛盾</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使用计量单位符合</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七</w:t>
            </w:r>
            <w:r>
              <w:rPr>
                <w:rFonts w:hint="eastAsia" w:ascii="宋体" w:hAnsi="宋体" w:eastAsia="宋体" w:cs="宋体"/>
                <w:color w:val="auto"/>
                <w:szCs w:val="21"/>
                <w:highlight w:val="none"/>
              </w:rPr>
              <w:t>）</w:t>
            </w:r>
            <w:r>
              <w:rPr>
                <w:rFonts w:hint="eastAsia" w:ascii="宋体" w:hAnsi="宋体" w:eastAsia="宋体" w:cs="宋体"/>
                <w:color w:val="auto"/>
                <w:highlight w:val="none"/>
              </w:rPr>
              <w:t>带“★”的条款满足</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w:t>
            </w:r>
            <w:r>
              <w:rPr>
                <w:rFonts w:hint="eastAsia" w:ascii="宋体" w:hAnsi="宋体" w:eastAsia="宋体" w:cs="宋体"/>
                <w:color w:val="auto"/>
                <w:highlight w:val="none"/>
                <w:lang w:val="en-US" w:eastAsia="zh-CN"/>
              </w:rPr>
              <w:t>已</w:t>
            </w:r>
            <w:r>
              <w:rPr>
                <w:rFonts w:hint="eastAsia" w:ascii="宋体" w:hAnsi="宋体" w:eastAsia="宋体" w:cs="宋体"/>
                <w:color w:val="auto"/>
                <w:highlight w:val="none"/>
              </w:rPr>
              <w:t>实质性响应</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w:t>
            </w:r>
            <w:r>
              <w:rPr>
                <w:rFonts w:hint="eastAsia" w:ascii="宋体" w:hAnsi="宋体" w:eastAsia="宋体" w:cs="宋体"/>
                <w:color w:val="auto"/>
                <w:highlight w:val="none"/>
                <w:lang w:val="en-US" w:eastAsia="zh-CN"/>
              </w:rPr>
              <w:t>且</w:t>
            </w:r>
            <w:r>
              <w:rPr>
                <w:rFonts w:hint="eastAsia" w:ascii="宋体" w:hAnsi="宋体" w:eastAsia="宋体" w:cs="宋体"/>
                <w:color w:val="auto"/>
                <w:highlight w:val="none"/>
              </w:rPr>
              <w:t>投标文件</w:t>
            </w:r>
            <w:r>
              <w:rPr>
                <w:rFonts w:hint="eastAsia" w:ascii="宋体" w:hAnsi="宋体" w:eastAsia="宋体" w:cs="宋体"/>
                <w:color w:val="auto"/>
                <w:highlight w:val="none"/>
                <w:lang w:val="en-US" w:eastAsia="zh-CN"/>
              </w:rPr>
              <w:t>无</w:t>
            </w:r>
            <w:r>
              <w:rPr>
                <w:rFonts w:hint="eastAsia" w:ascii="宋体" w:hAnsi="宋体" w:eastAsia="宋体" w:cs="宋体"/>
                <w:color w:val="auto"/>
                <w:highlight w:val="none"/>
              </w:rPr>
              <w:t>采购人不能接受的附加条件的；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八</w:t>
            </w:r>
            <w:r>
              <w:rPr>
                <w:rFonts w:hint="eastAsia" w:ascii="宋体" w:hAnsi="宋体" w:eastAsia="宋体" w:cs="宋体"/>
                <w:color w:val="auto"/>
                <w:szCs w:val="21"/>
                <w:highlight w:val="none"/>
              </w:rPr>
              <w:t>）</w:t>
            </w:r>
            <w:r>
              <w:rPr>
                <w:rFonts w:hint="eastAsia" w:ascii="宋体" w:hAnsi="宋体" w:eastAsia="宋体" w:cs="宋体"/>
                <w:color w:val="auto"/>
                <w:highlight w:val="none"/>
              </w:rPr>
              <w:t>允许偏离的技术、性能指标或者辅助功能项目发生负偏离</w:t>
            </w:r>
            <w:r>
              <w:rPr>
                <w:rFonts w:hint="eastAsia" w:ascii="宋体" w:hAnsi="宋体" w:eastAsia="宋体" w:cs="宋体"/>
                <w:color w:val="auto"/>
                <w:highlight w:val="none"/>
                <w:lang w:val="en-US" w:eastAsia="zh-CN"/>
              </w:rPr>
              <w:t>未</w:t>
            </w:r>
            <w:r>
              <w:rPr>
                <w:rFonts w:hint="eastAsia" w:ascii="宋体" w:hAnsi="宋体" w:eastAsia="宋体" w:cs="宋体"/>
                <w:color w:val="auto"/>
                <w:highlight w:val="none"/>
              </w:rPr>
              <w:t>达</w:t>
            </w:r>
            <w:r>
              <w:rPr>
                <w:rFonts w:hint="eastAsia" w:ascii="宋体" w:hAnsi="宋体" w:cs="宋体"/>
                <w:color w:val="auto"/>
                <w:highlight w:val="none"/>
                <w:lang w:val="en-US" w:eastAsia="zh-CN"/>
              </w:rPr>
              <w:t>3合同签订后2个月内完成项目建设，通过初步验收并进入为期1个月的试运行；试运行完成后，通过项目竣工验收，并进入为期5年的运维期。合同签订后2个月内完成项目建设，通过初步验收并进入为期1个月的试运行；试运行完成后，通过项目竣工验收，并进入为期5年的运维期。</w:t>
            </w:r>
            <w:r>
              <w:rPr>
                <w:rFonts w:hint="eastAsia" w:ascii="宋体" w:hAnsi="宋体" w:eastAsia="宋体" w:cs="宋体"/>
                <w:color w:val="auto"/>
                <w:highlight w:val="none"/>
              </w:rPr>
              <w:t>0项（含）以上的；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九</w:t>
            </w:r>
            <w:r>
              <w:rPr>
                <w:rFonts w:hint="eastAsia" w:ascii="宋体" w:hAnsi="宋体" w:eastAsia="宋体" w:cs="宋体"/>
                <w:color w:val="auto"/>
                <w:szCs w:val="21"/>
                <w:highlight w:val="none"/>
              </w:rPr>
              <w:t>）</w:t>
            </w:r>
            <w:r>
              <w:rPr>
                <w:rFonts w:hint="eastAsia" w:ascii="宋体" w:hAnsi="宋体" w:eastAsia="宋体" w:cs="宋体"/>
                <w:color w:val="auto"/>
                <w:highlight w:val="none"/>
              </w:rPr>
              <w:t>投标技术方案明确，</w:t>
            </w:r>
            <w:r>
              <w:rPr>
                <w:rFonts w:hint="eastAsia" w:ascii="宋体" w:hAnsi="宋体" w:eastAsia="宋体" w:cs="宋体"/>
                <w:color w:val="auto"/>
                <w:highlight w:val="none"/>
                <w:lang w:val="en-US" w:eastAsia="zh-CN"/>
              </w:rPr>
              <w:t>不</w:t>
            </w:r>
            <w:r>
              <w:rPr>
                <w:rFonts w:hint="eastAsia" w:ascii="宋体" w:hAnsi="宋体" w:eastAsia="宋体" w:cs="宋体"/>
                <w:color w:val="auto"/>
                <w:highlight w:val="none"/>
              </w:rPr>
              <w:t>存在一个或一个以上备选（替代）投标方案的；</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十</w:t>
            </w:r>
            <w:r>
              <w:rPr>
                <w:rFonts w:hint="eastAsia" w:ascii="宋体" w:hAnsi="宋体" w:eastAsia="宋体" w:cs="宋体"/>
                <w:color w:val="auto"/>
                <w:szCs w:val="21"/>
                <w:highlight w:val="none"/>
              </w:rPr>
              <w:t>）</w:t>
            </w:r>
            <w:r>
              <w:rPr>
                <w:rFonts w:hint="eastAsia" w:ascii="宋体" w:hAnsi="宋体" w:eastAsia="宋体" w:cs="宋体"/>
                <w:color w:val="auto"/>
                <w:highlight w:val="none"/>
                <w:lang w:val="en-US" w:eastAsia="zh-CN"/>
              </w:rPr>
              <w:t>商务</w:t>
            </w:r>
            <w:r>
              <w:rPr>
                <w:rFonts w:hint="eastAsia" w:ascii="宋体" w:hAnsi="宋体" w:eastAsia="宋体" w:cs="宋体"/>
                <w:color w:val="auto"/>
                <w:highlight w:val="none"/>
              </w:rPr>
              <w:t>技术文件中</w:t>
            </w:r>
            <w:r>
              <w:rPr>
                <w:rFonts w:hint="eastAsia" w:ascii="宋体" w:hAnsi="宋体" w:eastAsia="宋体" w:cs="宋体"/>
                <w:color w:val="auto"/>
                <w:highlight w:val="none"/>
                <w:lang w:val="en-US" w:eastAsia="zh-CN"/>
              </w:rPr>
              <w:t>未</w:t>
            </w:r>
            <w:r>
              <w:rPr>
                <w:rFonts w:hint="eastAsia" w:ascii="宋体" w:hAnsi="宋体" w:eastAsia="宋体" w:cs="宋体"/>
                <w:color w:val="auto"/>
                <w:highlight w:val="none"/>
              </w:rPr>
              <w:t>出现报价或单价的</w:t>
            </w:r>
            <w:r>
              <w:rPr>
                <w:rFonts w:hint="eastAsia" w:ascii="宋体" w:hAnsi="宋体" w:eastAsia="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十一</w:t>
            </w:r>
            <w:r>
              <w:rPr>
                <w:rFonts w:hint="eastAsia" w:ascii="宋体" w:hAnsi="宋体" w:eastAsia="宋体" w:cs="宋体"/>
                <w:color w:val="auto"/>
                <w:szCs w:val="21"/>
                <w:highlight w:val="none"/>
              </w:rPr>
              <w:t>）</w:t>
            </w:r>
            <w:r>
              <w:rPr>
                <w:rFonts w:hint="eastAsia" w:ascii="宋体" w:hAnsi="宋体" w:eastAsia="宋体" w:cs="宋体"/>
                <w:color w:val="auto"/>
                <w:highlight w:val="none"/>
              </w:rPr>
              <w:t>不存在法律、法规和</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规定的其他无效情形</w:t>
            </w:r>
            <w:r>
              <w:rPr>
                <w:rFonts w:hint="eastAsia" w:ascii="宋体" w:hAnsi="宋体" w:eastAsia="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3" w:hRule="atLeast"/>
          <w:jc w:val="center"/>
        </w:trPr>
        <w:tc>
          <w:tcPr>
            <w:tcW w:w="1149"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p>
        </w:tc>
        <w:tc>
          <w:tcPr>
            <w:tcW w:w="3499" w:type="dxa"/>
            <w:noWrap w:val="0"/>
            <w:vAlign w:val="center"/>
          </w:tcPr>
          <w:p>
            <w:pPr>
              <w:keepNext w:val="0"/>
              <w:keepLines w:val="0"/>
              <w:pageBreakBefore w:val="0"/>
              <w:widowControl w:val="0"/>
              <w:tabs>
                <w:tab w:val="left" w:pos="612"/>
              </w:tabs>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十二</w:t>
            </w:r>
            <w:r>
              <w:rPr>
                <w:rFonts w:hint="eastAsia" w:ascii="宋体" w:hAnsi="宋体" w:eastAsia="宋体" w:cs="宋体"/>
                <w:color w:val="auto"/>
                <w:szCs w:val="21"/>
                <w:highlight w:val="none"/>
              </w:rPr>
              <w:t>）</w:t>
            </w:r>
            <w:r>
              <w:rPr>
                <w:rFonts w:hint="eastAsia" w:ascii="宋体" w:hAnsi="宋体" w:eastAsia="宋体" w:cs="宋体"/>
                <w:color w:val="auto"/>
                <w:highlight w:val="none"/>
              </w:rPr>
              <w:t>不存在投标文件的有效期不满足</w:t>
            </w: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要求情形</w:t>
            </w:r>
            <w:r>
              <w:rPr>
                <w:rFonts w:hint="eastAsia" w:ascii="宋体" w:hAnsi="宋体" w:eastAsia="宋体" w:cs="宋体"/>
                <w:color w:val="auto"/>
                <w:highlight w:val="none"/>
                <w:lang w:eastAsia="zh-CN"/>
              </w:rPr>
              <w:t>；</w:t>
            </w:r>
          </w:p>
        </w:tc>
        <w:tc>
          <w:tcPr>
            <w:tcW w:w="124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highlight w:val="none"/>
              </w:rPr>
            </w:pPr>
            <w:r>
              <w:rPr>
                <w:rFonts w:hint="eastAsia" w:ascii="宋体" w:hAnsi="宋体" w:eastAsia="宋体" w:cs="宋体"/>
                <w:color w:val="auto"/>
                <w:highlight w:val="none"/>
              </w:rPr>
              <w:t xml:space="preserve">□通过 </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□不通过</w:t>
            </w:r>
          </w:p>
        </w:tc>
        <w:tc>
          <w:tcPr>
            <w:tcW w:w="25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宋体" w:hAnsi="宋体" w:eastAsia="宋体" w:cs="宋体"/>
                <w:color w:val="auto"/>
                <w:kern w:val="2"/>
                <w:sz w:val="21"/>
                <w:szCs w:val="24"/>
                <w:highlight w:val="none"/>
                <w:lang w:val="en-US" w:eastAsia="zh-CN" w:bidi="ar-SA"/>
              </w:rPr>
            </w:pPr>
            <w:r>
              <w:rPr>
                <w:rFonts w:hint="eastAsia" w:ascii="宋体" w:hAnsi="宋体" w:eastAsia="宋体" w:cs="宋体"/>
                <w:color w:val="auto"/>
                <w:highlight w:val="none"/>
              </w:rPr>
              <w:t>第（ ）页</w:t>
            </w:r>
          </w:p>
        </w:tc>
      </w:tr>
    </w:tbl>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备注：符合性自查表将作为投标</w:t>
      </w:r>
      <w:r>
        <w:rPr>
          <w:rFonts w:hint="eastAsia" w:ascii="宋体" w:hAnsi="宋体" w:eastAsia="宋体" w:cs="宋体"/>
          <w:b/>
          <w:color w:val="auto"/>
          <w:szCs w:val="21"/>
          <w:highlight w:val="none"/>
          <w:lang w:eastAsia="zh-CN"/>
        </w:rPr>
        <w:t>供应商</w:t>
      </w:r>
      <w:r>
        <w:rPr>
          <w:rFonts w:hint="eastAsia" w:ascii="宋体" w:hAnsi="宋体" w:eastAsia="宋体" w:cs="宋体"/>
          <w:b/>
          <w:color w:val="auto"/>
          <w:szCs w:val="21"/>
          <w:highlight w:val="none"/>
        </w:rPr>
        <w:t>有效性审查的重要内容之一，投标</w:t>
      </w:r>
      <w:r>
        <w:rPr>
          <w:rFonts w:hint="eastAsia" w:ascii="宋体" w:hAnsi="宋体" w:eastAsia="宋体" w:cs="宋体"/>
          <w:b/>
          <w:color w:val="auto"/>
          <w:szCs w:val="21"/>
          <w:highlight w:val="none"/>
          <w:lang w:eastAsia="zh-CN"/>
        </w:rPr>
        <w:t>供应商</w:t>
      </w:r>
      <w:r>
        <w:rPr>
          <w:rFonts w:hint="eastAsia" w:ascii="宋体" w:hAnsi="宋体" w:eastAsia="宋体" w:cs="宋体"/>
          <w:b/>
          <w:color w:val="auto"/>
          <w:szCs w:val="21"/>
          <w:highlight w:val="none"/>
        </w:rPr>
        <w:t xml:space="preserve">必须严格按照其内容及序列要求在投标文件中对应如实提供，对证明文件的任何缺漏和不符合项将会直接导致投标无效！ </w:t>
      </w:r>
    </w:p>
    <w:p>
      <w:pPr>
        <w:snapToGrid w:val="0"/>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lang w:bidi="ar"/>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2</w:t>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eastAsia="zh-CN" w:bidi="ar"/>
        </w:rPr>
        <w:t>供应商</w:t>
      </w:r>
      <w:r>
        <w:rPr>
          <w:rFonts w:hint="eastAsia" w:ascii="宋体" w:hAnsi="宋体" w:eastAsia="宋体" w:cs="宋体"/>
          <w:b/>
          <w:color w:val="auto"/>
          <w:szCs w:val="21"/>
          <w:highlight w:val="none"/>
          <w:lang w:bidi="ar"/>
        </w:rPr>
        <w:t>响应表格式</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lang w:eastAsia="zh-CN"/>
        </w:rPr>
        <w:t>供应商</w:t>
      </w:r>
      <w:r>
        <w:rPr>
          <w:rFonts w:hint="eastAsia" w:ascii="宋体" w:hAnsi="宋体" w:eastAsia="宋体" w:cs="宋体"/>
          <w:b/>
          <w:color w:val="auto"/>
          <w:sz w:val="32"/>
          <w:szCs w:val="32"/>
          <w:highlight w:val="none"/>
        </w:rPr>
        <w:t>响应表</w:t>
      </w:r>
    </w:p>
    <w:p>
      <w:pPr>
        <w:rPr>
          <w:rFonts w:hint="eastAsia" w:ascii="宋体" w:hAnsi="宋体" w:eastAsia="宋体" w:cs="宋体"/>
          <w:color w:val="auto"/>
          <w:highlight w:val="none"/>
        </w:rPr>
      </w:pP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项目名称</w:t>
      </w:r>
      <w:r>
        <w:rPr>
          <w:rFonts w:hint="eastAsia" w:ascii="宋体" w:hAnsi="宋体" w:eastAsia="宋体" w:cs="宋体"/>
          <w:color w:val="auto"/>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号：</w:t>
      </w:r>
    </w:p>
    <w:tbl>
      <w:tblPr>
        <w:tblStyle w:val="23"/>
        <w:tblW w:w="8436" w:type="dxa"/>
        <w:tblInd w:w="93" w:type="dxa"/>
        <w:tblLayout w:type="fixed"/>
        <w:tblCellMar>
          <w:top w:w="0" w:type="dxa"/>
          <w:left w:w="108" w:type="dxa"/>
          <w:bottom w:w="0" w:type="dxa"/>
          <w:right w:w="108" w:type="dxa"/>
        </w:tblCellMar>
      </w:tblPr>
      <w:tblGrid>
        <w:gridCol w:w="574"/>
        <w:gridCol w:w="4942"/>
        <w:gridCol w:w="1460"/>
        <w:gridCol w:w="1460"/>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494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评审内容</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自评分</w:t>
            </w: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证明文件</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nil"/>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nil"/>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p>
        </w:tc>
        <w:tc>
          <w:tcPr>
            <w:tcW w:w="1460" w:type="dxa"/>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见（  ）页</w:t>
            </w:r>
          </w:p>
        </w:tc>
      </w:tr>
    </w:tbl>
    <w:p>
      <w:pP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注：根据评分标准内容逐条填写并自行评分</w:t>
      </w:r>
      <w:r>
        <w:rPr>
          <w:rFonts w:hint="eastAsia" w:ascii="宋体" w:hAnsi="宋体" w:eastAsia="宋体" w:cs="宋体"/>
          <w:b/>
          <w:color w:val="auto"/>
          <w:sz w:val="24"/>
          <w:szCs w:val="24"/>
          <w:highlight w:val="none"/>
          <w:lang w:bidi="ar"/>
        </w:rPr>
        <w:t>（价格分除外）</w:t>
      </w:r>
      <w:r>
        <w:rPr>
          <w:rFonts w:hint="eastAsia" w:ascii="宋体" w:hAnsi="宋体" w:eastAsia="宋体" w:cs="宋体"/>
          <w:b/>
          <w:color w:val="auto"/>
          <w:sz w:val="24"/>
          <w:szCs w:val="24"/>
          <w:highlight w:val="none"/>
          <w:lang w:eastAsia="zh-CN" w:bidi="ar"/>
        </w:rPr>
        <w:t>，放于目录之前</w:t>
      </w:r>
      <w:r>
        <w:rPr>
          <w:rFonts w:hint="eastAsia" w:ascii="宋体" w:hAnsi="宋体" w:eastAsia="宋体" w:cs="宋体"/>
          <w:b/>
          <w:color w:val="auto"/>
          <w:sz w:val="24"/>
          <w:szCs w:val="24"/>
          <w:highlight w:val="none"/>
        </w:rPr>
        <w:t>。</w:t>
      </w:r>
    </w:p>
    <w:p>
      <w:pPr>
        <w:rPr>
          <w:rFonts w:hint="eastAsia" w:ascii="宋体" w:hAnsi="宋体" w:eastAsia="宋体" w:cs="宋体"/>
          <w:color w:val="auto"/>
          <w:highlight w:val="none"/>
        </w:rPr>
      </w:pPr>
    </w:p>
    <w:p>
      <w:pPr>
        <w:ind w:firstLine="6090" w:firstLineChars="290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名称：</w:t>
      </w:r>
    </w:p>
    <w:p>
      <w:pPr>
        <w:rPr>
          <w:rFonts w:hint="eastAsia" w:ascii="宋体" w:hAnsi="宋体" w:eastAsia="宋体" w:cs="宋体"/>
          <w:color w:val="auto"/>
          <w:highlight w:val="none"/>
        </w:rPr>
      </w:pPr>
    </w:p>
    <w:p>
      <w:pPr>
        <w:ind w:firstLine="6090" w:firstLineChars="2900"/>
        <w:rPr>
          <w:rFonts w:hint="eastAsia" w:ascii="宋体" w:hAnsi="宋体" w:eastAsia="宋体" w:cs="宋体"/>
          <w:color w:val="auto"/>
          <w:highlight w:val="none"/>
        </w:rPr>
      </w:pPr>
      <w:r>
        <w:rPr>
          <w:rFonts w:hint="eastAsia" w:ascii="宋体" w:hAnsi="宋体" w:eastAsia="宋体" w:cs="宋体"/>
          <w:color w:val="auto"/>
          <w:highlight w:val="none"/>
        </w:rPr>
        <w:t>年  月  日</w:t>
      </w:r>
    </w:p>
    <w:p>
      <w:pPr>
        <w:snapToGrid w:val="0"/>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3</w:t>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rPr>
        <w:t>商务条款偏离表格式</w:t>
      </w:r>
    </w:p>
    <w:p>
      <w:pPr>
        <w:jc w:val="center"/>
        <w:rPr>
          <w:rFonts w:hint="eastAsia" w:ascii="宋体" w:hAnsi="宋体" w:eastAsia="宋体" w:cs="宋体"/>
          <w:color w:val="auto"/>
          <w:sz w:val="32"/>
          <w:szCs w:val="32"/>
          <w:highlight w:val="none"/>
        </w:rPr>
      </w:pPr>
      <w:r>
        <w:rPr>
          <w:rFonts w:hint="eastAsia" w:ascii="宋体" w:hAnsi="宋体" w:eastAsia="宋体" w:cs="宋体"/>
          <w:b/>
          <w:color w:val="auto"/>
          <w:sz w:val="32"/>
          <w:szCs w:val="32"/>
          <w:highlight w:val="none"/>
        </w:rPr>
        <w:t>商务条款偏离表</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项目名称</w:t>
      </w:r>
      <w:r>
        <w:rPr>
          <w:rFonts w:hint="eastAsia" w:ascii="宋体" w:hAnsi="宋体" w:eastAsia="宋体" w:cs="宋体"/>
          <w:color w:val="auto"/>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号：</w:t>
      </w:r>
    </w:p>
    <w:tbl>
      <w:tblPr>
        <w:tblStyle w:val="23"/>
        <w:tblW w:w="84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条款号</w:t>
            </w:r>
          </w:p>
        </w:tc>
        <w:tc>
          <w:tcPr>
            <w:tcW w:w="4647"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的商务条款</w:t>
            </w:r>
          </w:p>
        </w:tc>
        <w:tc>
          <w:tcPr>
            <w:tcW w:w="157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投标文件的</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响应情况</w:t>
            </w:r>
          </w:p>
        </w:tc>
        <w:tc>
          <w:tcPr>
            <w:tcW w:w="118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bl>
    <w:p>
      <w:pPr>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lang w:val="en-US" w:eastAsia="zh-CN"/>
        </w:rPr>
        <w:t>须</w:t>
      </w:r>
      <w:r>
        <w:rPr>
          <w:rFonts w:hint="eastAsia" w:ascii="宋体" w:hAnsi="宋体" w:eastAsia="宋体" w:cs="宋体"/>
          <w:color w:val="auto"/>
          <w:highlight w:val="none"/>
        </w:rPr>
        <w:t>按第二章《采购需求》</w:t>
      </w:r>
      <w:r>
        <w:rPr>
          <w:rFonts w:hint="eastAsia" w:ascii="宋体" w:hAnsi="宋体" w:eastAsia="宋体" w:cs="宋体"/>
          <w:color w:val="auto"/>
          <w:szCs w:val="21"/>
          <w:highlight w:val="none"/>
        </w:rPr>
        <w:t>“</w:t>
      </w:r>
      <w:r>
        <w:rPr>
          <w:rFonts w:hint="eastAsia" w:ascii="宋体" w:hAnsi="宋体" w:eastAsia="宋体" w:cs="宋体"/>
          <w:color w:val="auto"/>
          <w:highlight w:val="none"/>
        </w:rPr>
        <w:t>一、</w:t>
      </w:r>
      <w:r>
        <w:rPr>
          <w:rFonts w:hint="eastAsia" w:ascii="宋体" w:hAnsi="宋体" w:eastAsia="宋体" w:cs="宋体"/>
          <w:color w:val="auto"/>
          <w:highlight w:val="none"/>
          <w:lang w:eastAsia="zh-CN"/>
        </w:rPr>
        <w:t>重要商务要求一览表</w:t>
      </w:r>
      <w:r>
        <w:rPr>
          <w:rFonts w:hint="eastAsia" w:ascii="宋体" w:hAnsi="宋体" w:eastAsia="宋体" w:cs="宋体"/>
          <w:color w:val="auto"/>
          <w:highlight w:val="none"/>
        </w:rPr>
        <w:t>”逐项填写，</w:t>
      </w:r>
      <w:r>
        <w:rPr>
          <w:rFonts w:hint="eastAsia" w:ascii="宋体" w:hAnsi="宋体" w:eastAsia="宋体" w:cs="宋体"/>
          <w:color w:val="auto"/>
          <w:highlight w:val="none"/>
          <w:lang w:val="en-US" w:eastAsia="zh-CN"/>
        </w:rPr>
        <w:t>并根据“第五章 政府采购合同主要条款”内容</w:t>
      </w:r>
      <w:r>
        <w:rPr>
          <w:rFonts w:hint="eastAsia" w:ascii="宋体" w:hAnsi="宋体" w:eastAsia="宋体" w:cs="宋体"/>
          <w:color w:val="auto"/>
          <w:highlight w:val="none"/>
        </w:rPr>
        <w:t>自行补充。</w:t>
      </w:r>
    </w:p>
    <w:p>
      <w:pPr>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p>
    <w:p>
      <w:pPr>
        <w:spacing w:line="360" w:lineRule="auto"/>
        <w:ind w:firstLine="4095" w:firstLineChars="1950"/>
        <w:rPr>
          <w:rFonts w:hint="eastAsia" w:ascii="宋体" w:hAnsi="宋体" w:eastAsia="宋体" w:cs="宋体"/>
          <w:color w:val="auto"/>
          <w:highlight w:val="none"/>
        </w:rPr>
      </w:pPr>
      <w:r>
        <w:rPr>
          <w:rFonts w:hint="eastAsia" w:ascii="宋体" w:hAnsi="宋体" w:eastAsia="宋体" w:cs="宋体"/>
          <w:color w:val="auto"/>
          <w:highlight w:val="none"/>
        </w:rPr>
        <w:t xml:space="preserve">法定代表人或授权代表（签名或印章）：        </w:t>
      </w:r>
    </w:p>
    <w:p>
      <w:pPr>
        <w:spacing w:line="360" w:lineRule="auto"/>
        <w:ind w:firstLine="5460" w:firstLineChars="260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 xml:space="preserve">盖章：         </w:t>
      </w:r>
    </w:p>
    <w:p>
      <w:pPr>
        <w:spacing w:line="360" w:lineRule="auto"/>
        <w:ind w:firstLine="5460" w:firstLineChars="2600"/>
        <w:rPr>
          <w:rFonts w:hint="eastAsia" w:ascii="宋体" w:hAnsi="宋体" w:eastAsia="宋体" w:cs="宋体"/>
          <w:color w:val="auto"/>
          <w:highlight w:val="none"/>
        </w:rPr>
      </w:pPr>
      <w:r>
        <w:rPr>
          <w:rFonts w:hint="eastAsia" w:ascii="宋体" w:hAnsi="宋体" w:eastAsia="宋体" w:cs="宋体"/>
          <w:color w:val="auto"/>
          <w:highlight w:val="none"/>
        </w:rPr>
        <w:t xml:space="preserve">日  期：        </w:t>
      </w:r>
    </w:p>
    <w:p>
      <w:pPr>
        <w:snapToGrid w:val="0"/>
        <w:rPr>
          <w:rFonts w:hint="eastAsia" w:ascii="宋体" w:hAnsi="宋体" w:eastAsia="宋体" w:cs="宋体"/>
          <w:b/>
          <w:color w:val="auto"/>
          <w:szCs w:val="21"/>
          <w:highlight w:val="none"/>
        </w:rPr>
      </w:pPr>
    </w:p>
    <w:p>
      <w:pPr>
        <w:snapToGrid w:val="0"/>
        <w:spacing w:before="120" w:beforeLines="50" w:after="50"/>
        <w:rPr>
          <w:rFonts w:hint="eastAsia" w:ascii="宋体" w:hAnsi="宋体" w:eastAsia="宋体" w:cs="宋体"/>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4</w:t>
      </w:r>
      <w:r>
        <w:rPr>
          <w:rFonts w:hint="eastAsia" w:ascii="宋体" w:hAnsi="宋体" w:eastAsia="宋体" w:cs="宋体"/>
          <w:b/>
          <w:color w:val="auto"/>
          <w:szCs w:val="21"/>
          <w:highlight w:val="none"/>
          <w:lang w:bidi="ar"/>
        </w:rPr>
        <w:t>）</w:t>
      </w:r>
      <w:r>
        <w:rPr>
          <w:rFonts w:hint="eastAsia" w:ascii="宋体" w:hAnsi="宋体" w:eastAsia="宋体" w:cs="宋体"/>
          <w:b/>
          <w:bCs/>
          <w:color w:val="auto"/>
          <w:szCs w:val="21"/>
          <w:highlight w:val="none"/>
        </w:rPr>
        <w:t>投标函格式</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投 标 函</w:t>
      </w:r>
    </w:p>
    <w:p>
      <w:pPr>
        <w:snapToGrid w:val="0"/>
        <w:spacing w:before="120" w:beforeLines="50" w:after="50"/>
        <w:jc w:val="center"/>
        <w:rPr>
          <w:rFonts w:hint="eastAsia" w:ascii="宋体" w:hAnsi="宋体" w:eastAsia="宋体" w:cs="宋体"/>
          <w:b/>
          <w:color w:val="auto"/>
          <w:szCs w:val="21"/>
          <w:highlight w:val="none"/>
        </w:rPr>
      </w:pP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（招标采购单位名称）：</w:t>
      </w:r>
    </w:p>
    <w:p>
      <w:pPr>
        <w:snapToGrid w:val="0"/>
        <w:spacing w:line="360"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根据贵方为</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项目的采购公告/投标邀请书（项目编号：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标项</w:t>
      </w:r>
      <w:r>
        <w:rPr>
          <w:rFonts w:hint="eastAsia" w:ascii="宋体" w:hAnsi="宋体" w:eastAsia="宋体" w:cs="宋体"/>
          <w:color w:val="auto"/>
          <w:szCs w:val="21"/>
          <w:highlight w:val="none"/>
        </w:rPr>
        <w:t>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），签字代表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（全名）经正式授权并代表</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名称）提交</w:t>
      </w:r>
      <w:r>
        <w:rPr>
          <w:rFonts w:hint="eastAsia" w:ascii="宋体" w:hAnsi="宋体" w:eastAsia="宋体" w:cs="宋体"/>
          <w:color w:val="auto"/>
          <w:szCs w:val="21"/>
          <w:highlight w:val="none"/>
          <w:lang w:val="en-US" w:eastAsia="zh-CN"/>
        </w:rPr>
        <w:t>投标文件</w:t>
      </w:r>
      <w:r>
        <w:rPr>
          <w:rFonts w:hint="eastAsia" w:ascii="宋体" w:hAnsi="宋体" w:eastAsia="宋体" w:cs="宋体"/>
          <w:color w:val="auto"/>
          <w:szCs w:val="21"/>
          <w:highlight w:val="none"/>
        </w:rPr>
        <w:t>。</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据此函，签字代表宣布同意如下：</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已详细审查全部“</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”，包括修改文件（如有的话）以及全部参考资料和有关附件，已经了解我方对于</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、采购过程、采购结果有依法进行询问、质疑、投诉的权利及相关渠道和要求。</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在投标之前已经与贵方进行了充分的沟通，完全理解并接受</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的各项规定和要求，对</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的合理性、合法性不再有异议。</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3.本投标有效期自开标日起90个日历日。</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4.如中标，本投标文件至本项目合同履行完毕止均保持有效，本</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将按“</w:t>
      </w:r>
      <w:r>
        <w:rPr>
          <w:rFonts w:hint="eastAsia" w:ascii="宋体" w:hAnsi="宋体" w:eastAsia="宋体" w:cs="宋体"/>
          <w:color w:val="auto"/>
          <w:szCs w:val="21"/>
          <w:highlight w:val="none"/>
          <w:lang w:eastAsia="zh-CN"/>
        </w:rPr>
        <w:t>招标文件</w:t>
      </w:r>
      <w:r>
        <w:rPr>
          <w:rFonts w:hint="eastAsia" w:ascii="宋体" w:hAnsi="宋体" w:eastAsia="宋体" w:cs="宋体"/>
          <w:color w:val="auto"/>
          <w:szCs w:val="21"/>
          <w:highlight w:val="none"/>
        </w:rPr>
        <w:t>”及政府采购法律、法规的规定履行合同责任和义务。</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同意按照贵方要求提供与投标有关的一切数据或资料。</w:t>
      </w:r>
    </w:p>
    <w:p>
      <w:pPr>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rPr>
        <w:t>6.</w:t>
      </w:r>
      <w:r>
        <w:rPr>
          <w:rFonts w:hint="eastAsia" w:ascii="宋体" w:hAnsi="宋体" w:eastAsia="宋体" w:cs="宋体"/>
          <w:color w:val="auto"/>
          <w:szCs w:val="21"/>
          <w:highlight w:val="none"/>
          <w:lang w:val="zh-CN"/>
        </w:rPr>
        <w:t>我们郑重声明：本投标文件提供的情况和文件完全是真实的。</w:t>
      </w:r>
    </w:p>
    <w:p>
      <w:pPr>
        <w:snapToGrid w:val="0"/>
        <w:spacing w:line="360" w:lineRule="auto"/>
        <w:ind w:firstLine="420" w:firstLineChars="200"/>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en-US" w:eastAsia="zh-CN"/>
        </w:rPr>
        <w:t>7.</w:t>
      </w:r>
      <w:r>
        <w:rPr>
          <w:rFonts w:hint="eastAsia" w:ascii="宋体" w:hAnsi="宋体" w:eastAsia="宋体" w:cs="宋体"/>
          <w:color w:val="auto"/>
          <w:szCs w:val="21"/>
          <w:highlight w:val="none"/>
          <w:lang w:val="zh-CN"/>
        </w:rPr>
        <w:t>按照</w:t>
      </w:r>
      <w:r>
        <w:rPr>
          <w:rFonts w:hint="eastAsia" w:ascii="宋体" w:hAnsi="宋体" w:eastAsia="宋体" w:cs="宋体"/>
          <w:color w:val="auto"/>
          <w:szCs w:val="21"/>
          <w:highlight w:val="none"/>
          <w:lang w:val="en-US" w:eastAsia="zh-CN"/>
        </w:rPr>
        <w:t>招标文件</w:t>
      </w:r>
      <w:r>
        <w:rPr>
          <w:rFonts w:hint="eastAsia" w:ascii="宋体" w:hAnsi="宋体" w:eastAsia="宋体" w:cs="宋体"/>
          <w:color w:val="auto"/>
          <w:szCs w:val="21"/>
          <w:highlight w:val="none"/>
          <w:lang w:val="zh-CN"/>
        </w:rPr>
        <w:t>的规定，在中标后向</w:t>
      </w:r>
      <w:r>
        <w:rPr>
          <w:rFonts w:hint="eastAsia" w:ascii="宋体" w:hAnsi="宋体" w:eastAsia="宋体" w:cs="宋体"/>
          <w:color w:val="auto"/>
          <w:szCs w:val="21"/>
          <w:highlight w:val="none"/>
          <w:lang w:val="en-US" w:eastAsia="zh-CN"/>
        </w:rPr>
        <w:t>采购代理机构</w:t>
      </w:r>
      <w:r>
        <w:rPr>
          <w:rFonts w:hint="eastAsia" w:ascii="宋体" w:hAnsi="宋体" w:eastAsia="宋体" w:cs="宋体"/>
          <w:color w:val="auto"/>
          <w:szCs w:val="21"/>
          <w:highlight w:val="none"/>
          <w:lang w:val="zh-CN"/>
        </w:rPr>
        <w:t>一次性支付招标代理费。</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8.</w:t>
      </w:r>
      <w:r>
        <w:rPr>
          <w:rFonts w:hint="eastAsia" w:ascii="宋体" w:hAnsi="宋体" w:eastAsia="宋体" w:cs="宋体"/>
          <w:color w:val="auto"/>
          <w:szCs w:val="21"/>
          <w:highlight w:val="none"/>
        </w:rPr>
        <w:t>与本投标有关的一切正式往来信函请寄：</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邮编：__________   电话：______________</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传真：______________</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代表姓名 ___________  职务：______</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_______</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名称(公章):___________________</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开户银行：</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银行帐号：</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napToGrid w:val="0"/>
        <w:spacing w:before="50" w:after="120" w:afterLines="5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法定代表人或授权代表</w:t>
      </w:r>
      <w:r>
        <w:rPr>
          <w:rFonts w:hint="eastAsia" w:ascii="宋体" w:hAnsi="宋体" w:eastAsia="宋体" w:cs="宋体"/>
          <w:color w:val="auto"/>
          <w:highlight w:val="none"/>
        </w:rPr>
        <w:t>（签名或印章）</w:t>
      </w:r>
      <w:r>
        <w:rPr>
          <w:rFonts w:hint="eastAsia" w:ascii="宋体" w:hAnsi="宋体" w:eastAsia="宋体" w:cs="宋体"/>
          <w:color w:val="auto"/>
          <w:szCs w:val="21"/>
          <w:highlight w:val="none"/>
        </w:rPr>
        <w:t>:___________          日期:_____年___月___日</w:t>
      </w:r>
    </w:p>
    <w:p>
      <w:pPr>
        <w:snapToGrid w:val="0"/>
        <w:rPr>
          <w:rFonts w:hint="eastAsia" w:ascii="宋体" w:hAnsi="宋体" w:eastAsia="宋体" w:cs="宋体"/>
          <w:b/>
          <w:color w:val="auto"/>
          <w:szCs w:val="21"/>
          <w:highlight w:val="none"/>
        </w:rPr>
      </w:pPr>
      <w:r>
        <w:rPr>
          <w:rFonts w:hint="eastAsia" w:ascii="宋体" w:hAnsi="宋体" w:eastAsia="宋体" w:cs="宋体"/>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5</w:t>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rPr>
        <w:t>法定代表人身份证明或法定代表人授权委托书格式</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法定代表人身份证明</w:t>
      </w:r>
    </w:p>
    <w:p>
      <w:pPr>
        <w:spacing w:line="480" w:lineRule="auto"/>
        <w:ind w:firstLine="420" w:firstLineChars="200"/>
        <w:rPr>
          <w:rFonts w:hint="eastAsia" w:ascii="宋体" w:hAnsi="宋体" w:eastAsia="宋体" w:cs="宋体"/>
          <w:color w:val="auto"/>
          <w:szCs w:val="21"/>
          <w:highlight w:val="none"/>
        </w:rPr>
      </w:pP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w:t>
      </w:r>
      <w:r>
        <w:rPr>
          <w:rFonts w:hint="eastAsia" w:ascii="宋体" w:hAnsi="宋体" w:eastAsia="宋体" w:cs="宋体"/>
          <w:color w:val="auto"/>
          <w:szCs w:val="21"/>
          <w:highlight w:val="none"/>
          <w:u w:val="singl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单位性质：</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地址：</w:t>
      </w:r>
      <w:r>
        <w:rPr>
          <w:rFonts w:hint="eastAsia" w:ascii="宋体" w:hAnsi="宋体" w:eastAsia="宋体" w:cs="宋体"/>
          <w:color w:val="auto"/>
          <w:szCs w:val="21"/>
          <w:highlight w:val="none"/>
          <w:u w:val="singl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成立时间：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经营期限：</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姓名：</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性别：</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年龄：</w:t>
      </w:r>
      <w:r>
        <w:rPr>
          <w:rFonts w:hint="eastAsia" w:ascii="宋体" w:hAnsi="宋体" w:eastAsia="宋体" w:cs="宋体"/>
          <w:color w:val="auto"/>
          <w:szCs w:val="21"/>
          <w:highlight w:val="none"/>
          <w:u w:val="single"/>
        </w:rPr>
        <w:t xml:space="preserve">    周岁  </w:t>
      </w: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_</w:t>
      </w:r>
    </w:p>
    <w:p>
      <w:pPr>
        <w:spacing w:line="48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身份证号码：</w:t>
      </w:r>
      <w:r>
        <w:rPr>
          <w:rFonts w:hint="eastAsia" w:ascii="宋体" w:hAnsi="宋体" w:eastAsia="宋体" w:cs="宋体"/>
          <w:color w:val="auto"/>
          <w:szCs w:val="21"/>
          <w:highlight w:val="none"/>
          <w:u w:val="single"/>
        </w:rPr>
        <w:t xml:space="preserve">                   </w:t>
      </w:r>
    </w:p>
    <w:p>
      <w:pPr>
        <w:spacing w:line="48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名称）的法定代表人。</w:t>
      </w:r>
    </w:p>
    <w:p>
      <w:pPr>
        <w:spacing w:line="480" w:lineRule="auto"/>
        <w:ind w:firstLine="840" w:firstLineChars="4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特此证明。</w:t>
      </w:r>
    </w:p>
    <w:p>
      <w:pPr>
        <w:spacing w:line="360" w:lineRule="auto"/>
        <w:ind w:firstLine="420" w:firstLineChars="200"/>
        <w:rPr>
          <w:rFonts w:hint="eastAsia" w:ascii="宋体" w:hAnsi="宋体" w:eastAsia="宋体" w:cs="宋体"/>
          <w:color w:val="auto"/>
          <w:szCs w:val="21"/>
          <w:highlight w:val="none"/>
        </w:rPr>
      </w:pPr>
    </w:p>
    <w:p>
      <w:pPr>
        <w:spacing w:line="360" w:lineRule="auto"/>
        <w:ind w:firstLine="420" w:firstLineChars="200"/>
        <w:rPr>
          <w:rFonts w:hint="eastAsia" w:ascii="宋体" w:hAnsi="宋体" w:eastAsia="宋体" w:cs="宋体"/>
          <w:color w:val="auto"/>
          <w:szCs w:val="21"/>
          <w:highlight w:val="none"/>
        </w:rPr>
      </w:pPr>
    </w:p>
    <w:p>
      <w:pPr>
        <w:wordWrap w:val="0"/>
        <w:spacing w:line="360" w:lineRule="auto"/>
        <w:jc w:val="right"/>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（盖单位公章）</w:t>
      </w:r>
    </w:p>
    <w:p>
      <w:pPr>
        <w:spacing w:line="360" w:lineRule="auto"/>
        <w:ind w:firstLine="4515" w:firstLineChars="2150"/>
        <w:rPr>
          <w:rFonts w:hint="eastAsia" w:ascii="宋体" w:hAnsi="宋体" w:eastAsia="宋体" w:cs="宋体"/>
          <w:color w:val="auto"/>
          <w:szCs w:val="21"/>
          <w:highlight w:val="none"/>
          <w:u w:val="single"/>
        </w:rPr>
      </w:pPr>
    </w:p>
    <w:p>
      <w:pPr>
        <w:spacing w:line="360" w:lineRule="auto"/>
        <w:ind w:firstLine="3675" w:firstLineChars="1750"/>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月</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b/>
          <w:color w:val="auto"/>
          <w:szCs w:val="21"/>
          <w:highlight w:val="none"/>
        </w:rPr>
      </w:pPr>
    </w:p>
    <w:p>
      <w:pPr>
        <w:spacing w:line="360" w:lineRule="auto"/>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附法定代表人身份证复印件（正反面）：</w:t>
      </w: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 w:val="32"/>
          <w:szCs w:val="32"/>
          <w:highlight w:val="none"/>
        </w:rPr>
        <w:t>法定代表人授权委托书</w:t>
      </w:r>
    </w:p>
    <w:p>
      <w:pPr>
        <w:jc w:val="center"/>
        <w:rPr>
          <w:rFonts w:hint="eastAsia" w:ascii="宋体" w:hAnsi="宋体" w:eastAsia="宋体" w:cs="宋体"/>
          <w:b/>
          <w:color w:val="auto"/>
          <w:sz w:val="32"/>
          <w:szCs w:val="32"/>
          <w:highlight w:val="none"/>
        </w:rPr>
      </w:pPr>
      <w:r>
        <w:rPr>
          <w:rFonts w:hint="eastAsia" w:ascii="宋体" w:hAnsi="宋体" w:eastAsia="宋体" w:cs="宋体"/>
          <w:bCs/>
          <w:color w:val="auto"/>
          <w:sz w:val="24"/>
          <w:highlight w:val="none"/>
        </w:rPr>
        <w:t>（法定代表人来投标的，此表不用）</w:t>
      </w:r>
    </w:p>
    <w:p>
      <w:pPr>
        <w:snapToGrid w:val="0"/>
        <w:spacing w:line="360" w:lineRule="auto"/>
        <w:rPr>
          <w:rFonts w:hint="eastAsia" w:ascii="宋体" w:hAnsi="宋体" w:eastAsia="宋体" w:cs="宋体"/>
          <w:bCs/>
          <w:color w:val="auto"/>
          <w:sz w:val="24"/>
          <w:highlight w:val="none"/>
        </w:rPr>
      </w:pP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致：</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（采购人名称）</w:t>
      </w:r>
      <w:r>
        <w:rPr>
          <w:rFonts w:hint="eastAsia" w:ascii="宋体" w:hAnsi="宋体" w:eastAsia="宋体" w:cs="宋体"/>
          <w:b/>
          <w:bCs/>
          <w:color w:val="auto"/>
          <w:szCs w:val="21"/>
          <w:highlight w:val="none"/>
        </w:rPr>
        <w:t xml:space="preserve"> </w:t>
      </w:r>
      <w:r>
        <w:rPr>
          <w:rFonts w:hint="eastAsia" w:ascii="宋体" w:hAnsi="宋体" w:eastAsia="宋体" w:cs="宋体"/>
          <w:color w:val="auto"/>
          <w:szCs w:val="21"/>
          <w:highlight w:val="none"/>
        </w:rPr>
        <w:t>：</w:t>
      </w:r>
    </w:p>
    <w:p>
      <w:pPr>
        <w:snapToGrid w:val="0"/>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我</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（姓名）系</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 xml:space="preserve">名称）的法定代表人，现授权委托本单位在职职工 </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（姓名）以我方的名义参加</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我方对授权代表的签名事项负全部责任。</w:t>
      </w:r>
    </w:p>
    <w:p>
      <w:pPr>
        <w:snapToGrid w:val="0"/>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在撤销授权的书面通知以前，本授权书一直有效。授权代表在授权书有效期内签署的所有文件不因授权的撤销而失效。</w:t>
      </w:r>
    </w:p>
    <w:p>
      <w:pPr>
        <w:snapToGrid w:val="0"/>
        <w:spacing w:line="360" w:lineRule="auto"/>
        <w:ind w:firstLine="480"/>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授权代表无转委托权，特此委托。</w:t>
      </w:r>
    </w:p>
    <w:p>
      <w:pPr>
        <w:snapToGrid w:val="0"/>
        <w:spacing w:line="360" w:lineRule="auto"/>
        <w:rPr>
          <w:rFonts w:hint="eastAsia" w:ascii="宋体" w:hAnsi="宋体" w:eastAsia="宋体" w:cs="宋体"/>
          <w:color w:val="auto"/>
          <w:szCs w:val="21"/>
          <w:highlight w:val="none"/>
        </w:rPr>
      </w:pPr>
    </w:p>
    <w:p>
      <w:pPr>
        <w:snapToGrid w:val="0"/>
        <w:spacing w:line="360" w:lineRule="auto"/>
        <w:rPr>
          <w:rFonts w:hint="eastAsia" w:ascii="宋体" w:hAnsi="宋体" w:eastAsia="宋体" w:cs="宋体"/>
          <w:color w:val="auto"/>
          <w:szCs w:val="21"/>
          <w:highlight w:val="none"/>
        </w:rPr>
      </w:pPr>
    </w:p>
    <w:p>
      <w:pPr>
        <w:snapToGrid w:val="0"/>
        <w:spacing w:line="360" w:lineRule="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rPr>
        <w:t>授权代表</w:t>
      </w:r>
      <w:r>
        <w:rPr>
          <w:rFonts w:hint="eastAsia" w:ascii="宋体" w:hAnsi="宋体" w:eastAsia="宋体" w:cs="宋体"/>
          <w:color w:val="auto"/>
          <w:highlight w:val="none"/>
        </w:rPr>
        <w:t>（签名或印章）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法定代表人</w:t>
      </w:r>
      <w:r>
        <w:rPr>
          <w:rFonts w:hint="eastAsia" w:ascii="宋体" w:hAnsi="宋体" w:eastAsia="宋体" w:cs="宋体"/>
          <w:color w:val="auto"/>
          <w:highlight w:val="none"/>
        </w:rPr>
        <w:t>（签名或印章）</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u w:val="single"/>
        </w:rPr>
        <w:t xml:space="preserve">          </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职务：</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 xml:space="preserve"> 职务：</w:t>
      </w:r>
      <w:r>
        <w:rPr>
          <w:rFonts w:hint="eastAsia" w:ascii="宋体" w:hAnsi="宋体" w:eastAsia="宋体" w:cs="宋体"/>
          <w:color w:val="auto"/>
          <w:szCs w:val="21"/>
          <w:highlight w:val="none"/>
          <w:u w:val="single"/>
        </w:rPr>
        <w:t xml:space="preserve">           </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授权代表身份证号码：</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 xml:space="preserve"> </w:t>
      </w:r>
    </w:p>
    <w:p>
      <w:pPr>
        <w:snapToGrid w:val="0"/>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snapToGrid w:val="0"/>
        <w:spacing w:line="360" w:lineRule="auto"/>
        <w:rPr>
          <w:rFonts w:hint="eastAsia" w:ascii="宋体" w:hAnsi="宋体" w:eastAsia="宋体" w:cs="宋体"/>
          <w:color w:val="auto"/>
          <w:szCs w:val="21"/>
          <w:highlight w:val="none"/>
        </w:rPr>
      </w:pPr>
    </w:p>
    <w:p>
      <w:pPr>
        <w:snapToGrid w:val="0"/>
        <w:spacing w:line="360" w:lineRule="auto"/>
        <w:ind w:firstLine="4830" w:firstLineChars="2300"/>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供应商</w:t>
      </w:r>
      <w:r>
        <w:rPr>
          <w:rFonts w:hint="eastAsia" w:ascii="宋体" w:hAnsi="宋体" w:eastAsia="宋体" w:cs="宋体"/>
          <w:color w:val="auto"/>
          <w:szCs w:val="21"/>
          <w:highlight w:val="none"/>
        </w:rPr>
        <w:t>公章：</w:t>
      </w:r>
    </w:p>
    <w:p>
      <w:pPr>
        <w:snapToGrid w:val="0"/>
        <w:spacing w:line="360" w:lineRule="auto"/>
        <w:ind w:firstLine="4830" w:firstLineChars="2300"/>
        <w:rPr>
          <w:rFonts w:hint="eastAsia" w:ascii="宋体" w:hAnsi="宋体" w:eastAsia="宋体" w:cs="宋体"/>
          <w:color w:val="auto"/>
          <w:szCs w:val="21"/>
          <w:highlight w:val="none"/>
        </w:rPr>
      </w:pPr>
    </w:p>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年    月    日</w:t>
      </w:r>
    </w:p>
    <w:p>
      <w:pPr>
        <w:spacing w:line="360" w:lineRule="auto"/>
        <w:rPr>
          <w:rFonts w:hint="eastAsia" w:ascii="宋体" w:hAnsi="宋体" w:eastAsia="宋体" w:cs="宋体"/>
          <w:b/>
          <w:color w:val="auto"/>
          <w:szCs w:val="21"/>
          <w:highlight w:val="none"/>
        </w:rPr>
      </w:pPr>
    </w:p>
    <w:p>
      <w:pPr>
        <w:spacing w:line="360" w:lineRule="auto"/>
        <w:rPr>
          <w:rFonts w:hint="eastAsia" w:ascii="宋体" w:hAnsi="宋体" w:eastAsia="宋体" w:cs="宋体"/>
          <w:b/>
          <w:color w:val="auto"/>
          <w:szCs w:val="21"/>
          <w:highlight w:val="none"/>
        </w:rPr>
      </w:pPr>
    </w:p>
    <w:p>
      <w:pPr>
        <w:snapToGrid w:val="0"/>
        <w:spacing w:before="50" w:after="5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附：授权代表身份证复印件（正反面）及开标日前近三个月内当地相关部门出具的社保证明。</w:t>
      </w:r>
    </w:p>
    <w:p>
      <w:pPr>
        <w:spacing w:line="360" w:lineRule="auto"/>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rPr>
      </w:pPr>
    </w:p>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6</w:t>
      </w:r>
      <w:r>
        <w:rPr>
          <w:rFonts w:hint="eastAsia" w:ascii="宋体" w:hAnsi="宋体" w:eastAsia="宋体" w:cs="宋体"/>
          <w:b/>
          <w:color w:val="auto"/>
          <w:szCs w:val="21"/>
          <w:highlight w:val="none"/>
          <w:lang w:bidi="ar"/>
        </w:rPr>
        <w:t>）技术（服务）条款偏离表</w:t>
      </w:r>
      <w:r>
        <w:rPr>
          <w:rFonts w:hint="eastAsia" w:ascii="宋体" w:hAnsi="宋体" w:eastAsia="宋体" w:cs="宋体"/>
          <w:b/>
          <w:color w:val="auto"/>
          <w:szCs w:val="21"/>
          <w:highlight w:val="none"/>
        </w:rPr>
        <w:t>格式</w:t>
      </w:r>
    </w:p>
    <w:p>
      <w:pPr>
        <w:rPr>
          <w:rFonts w:hint="eastAsia" w:ascii="宋体" w:hAnsi="宋体" w:eastAsia="宋体" w:cs="宋体"/>
          <w:color w:val="auto"/>
          <w:highlight w:val="none"/>
        </w:rPr>
      </w:pPr>
    </w:p>
    <w:p>
      <w:pPr>
        <w:jc w:val="center"/>
        <w:rPr>
          <w:rFonts w:hint="eastAsia" w:ascii="宋体" w:hAnsi="宋体" w:eastAsia="宋体" w:cs="宋体"/>
          <w:b/>
          <w:color w:val="auto"/>
          <w:sz w:val="32"/>
          <w:szCs w:val="32"/>
          <w:highlight w:val="none"/>
        </w:rPr>
      </w:pPr>
      <w:r>
        <w:rPr>
          <w:rFonts w:hint="eastAsia" w:ascii="宋体" w:hAnsi="宋体" w:eastAsia="宋体" w:cs="宋体"/>
          <w:b/>
          <w:color w:val="auto"/>
          <w:sz w:val="32"/>
          <w:szCs w:val="32"/>
          <w:highlight w:val="none"/>
        </w:rPr>
        <w:t>技术（服务）条款偏离表</w:t>
      </w:r>
    </w:p>
    <w:p>
      <w:pPr>
        <w:snapToGrid w:val="0"/>
        <w:spacing w:before="50"/>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eastAsia="zh-CN"/>
        </w:rPr>
        <w:t>项目</w:t>
      </w:r>
      <w:r>
        <w:rPr>
          <w:rFonts w:hint="eastAsia" w:ascii="宋体" w:hAnsi="宋体" w:eastAsia="宋体" w:cs="宋体"/>
          <w:color w:val="auto"/>
          <w:szCs w:val="21"/>
          <w:highlight w:val="none"/>
        </w:rPr>
        <w:t xml:space="preserve">编号：                   项目名称：                       </w:t>
      </w:r>
      <w:r>
        <w:rPr>
          <w:rFonts w:hint="eastAsia" w:ascii="宋体" w:hAnsi="宋体" w:eastAsia="宋体" w:cs="宋体"/>
          <w:color w:val="auto"/>
          <w:szCs w:val="21"/>
          <w:highlight w:val="none"/>
          <w:lang w:eastAsia="zh-CN"/>
        </w:rPr>
        <w:t>标项</w:t>
      </w:r>
      <w:r>
        <w:rPr>
          <w:rFonts w:hint="eastAsia" w:ascii="宋体" w:hAnsi="宋体" w:eastAsia="宋体" w:cs="宋体"/>
          <w:color w:val="auto"/>
          <w:szCs w:val="21"/>
          <w:highlight w:val="none"/>
        </w:rPr>
        <w:t>号：</w:t>
      </w:r>
    </w:p>
    <w:tbl>
      <w:tblPr>
        <w:tblStyle w:val="23"/>
        <w:tblW w:w="84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条款号</w:t>
            </w:r>
          </w:p>
        </w:tc>
        <w:tc>
          <w:tcPr>
            <w:tcW w:w="4647"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lang w:eastAsia="zh-CN"/>
              </w:rPr>
              <w:t>招标文件</w:t>
            </w:r>
            <w:r>
              <w:rPr>
                <w:rFonts w:hint="eastAsia" w:ascii="宋体" w:hAnsi="宋体" w:eastAsia="宋体" w:cs="宋体"/>
                <w:color w:val="auto"/>
                <w:highlight w:val="none"/>
              </w:rPr>
              <w:t>的技术（服务）条款</w:t>
            </w:r>
          </w:p>
        </w:tc>
        <w:tc>
          <w:tcPr>
            <w:tcW w:w="157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投标文件的</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响应情况</w:t>
            </w:r>
          </w:p>
        </w:tc>
        <w:tc>
          <w:tcPr>
            <w:tcW w:w="1185" w:type="dxa"/>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b/>
                <w:bCs/>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noWrap w:val="0"/>
            <w:vAlign w:val="center"/>
          </w:tcPr>
          <w:p>
            <w:pPr>
              <w:spacing w:line="360" w:lineRule="auto"/>
              <w:jc w:val="center"/>
              <w:rPr>
                <w:rFonts w:hint="eastAsia" w:ascii="宋体" w:hAnsi="宋体" w:eastAsia="宋体" w:cs="宋体"/>
                <w:color w:val="auto"/>
                <w:highlight w:val="none"/>
              </w:rPr>
            </w:pPr>
          </w:p>
        </w:tc>
        <w:tc>
          <w:tcPr>
            <w:tcW w:w="4647" w:type="dxa"/>
            <w:noWrap w:val="0"/>
            <w:vAlign w:val="center"/>
          </w:tcPr>
          <w:p>
            <w:pPr>
              <w:spacing w:line="360" w:lineRule="auto"/>
              <w:rPr>
                <w:rFonts w:hint="eastAsia" w:ascii="宋体" w:hAnsi="宋体" w:eastAsia="宋体" w:cs="宋体"/>
                <w:color w:val="auto"/>
                <w:highlight w:val="none"/>
              </w:rPr>
            </w:pPr>
          </w:p>
        </w:tc>
        <w:tc>
          <w:tcPr>
            <w:tcW w:w="1575" w:type="dxa"/>
            <w:noWrap w:val="0"/>
            <w:vAlign w:val="center"/>
          </w:tcPr>
          <w:p>
            <w:pPr>
              <w:spacing w:line="360" w:lineRule="auto"/>
              <w:jc w:val="center"/>
              <w:rPr>
                <w:rFonts w:hint="eastAsia" w:ascii="宋体" w:hAnsi="宋体" w:eastAsia="宋体" w:cs="宋体"/>
                <w:color w:val="auto"/>
                <w:sz w:val="24"/>
                <w:highlight w:val="none"/>
              </w:rPr>
            </w:pPr>
          </w:p>
        </w:tc>
        <w:tc>
          <w:tcPr>
            <w:tcW w:w="1185" w:type="dxa"/>
            <w:noWrap w:val="0"/>
            <w:vAlign w:val="center"/>
          </w:tcPr>
          <w:p>
            <w:pPr>
              <w:spacing w:line="360" w:lineRule="auto"/>
              <w:jc w:val="center"/>
              <w:rPr>
                <w:rFonts w:hint="eastAsia" w:ascii="宋体" w:hAnsi="宋体" w:eastAsia="宋体" w:cs="宋体"/>
                <w:color w:val="auto"/>
                <w:sz w:val="24"/>
                <w:highlight w:val="none"/>
              </w:rPr>
            </w:pPr>
          </w:p>
        </w:tc>
      </w:tr>
    </w:tbl>
    <w:p>
      <w:pPr>
        <w:snapToGrid w:val="0"/>
        <w:spacing w:before="50"/>
        <w:rPr>
          <w:rFonts w:hint="eastAsia" w:ascii="宋体" w:hAnsi="宋体" w:eastAsia="宋体" w:cs="宋体"/>
          <w:color w:val="auto"/>
          <w:szCs w:val="21"/>
          <w:highlight w:val="none"/>
        </w:rPr>
      </w:pPr>
    </w:p>
    <w:p>
      <w:pPr>
        <w:spacing w:line="360" w:lineRule="auto"/>
        <w:ind w:firstLine="3675" w:firstLineChars="175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法定代表人或授权代表（签名或印章）：</w:t>
      </w:r>
    </w:p>
    <w:p>
      <w:pPr>
        <w:snapToGrid w:val="0"/>
        <w:rPr>
          <w:rFonts w:hint="eastAsia" w:ascii="宋体" w:hAnsi="宋体" w:eastAsia="宋体" w:cs="宋体"/>
          <w:b/>
          <w:color w:val="auto"/>
          <w:szCs w:val="21"/>
          <w:highlight w:val="none"/>
        </w:rPr>
      </w:pPr>
      <w:r>
        <w:rPr>
          <w:rFonts w:hint="eastAsia" w:ascii="宋体" w:hAnsi="宋体" w:eastAsia="宋体" w:cs="宋体"/>
          <w:color w:val="auto"/>
          <w:highlight w:val="none"/>
        </w:rPr>
        <w:t xml:space="preserve">                                    日    期：</w:t>
      </w:r>
    </w:p>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7</w:t>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eastAsia="zh-CN"/>
        </w:rPr>
        <w:t>供应商</w:t>
      </w:r>
      <w:r>
        <w:rPr>
          <w:rFonts w:hint="eastAsia" w:ascii="宋体" w:hAnsi="宋体" w:eastAsia="宋体" w:cs="宋体"/>
          <w:b/>
          <w:color w:val="auto"/>
          <w:szCs w:val="21"/>
          <w:highlight w:val="none"/>
        </w:rPr>
        <w:t>基本情况表格式</w:t>
      </w:r>
    </w:p>
    <w:p>
      <w:pPr>
        <w:jc w:val="center"/>
        <w:rPr>
          <w:rFonts w:hint="eastAsia" w:ascii="宋体" w:hAnsi="宋体" w:eastAsia="宋体" w:cs="宋体"/>
          <w:b/>
          <w:color w:val="auto"/>
          <w:sz w:val="32"/>
          <w:szCs w:val="32"/>
          <w:highlight w:val="none"/>
        </w:rPr>
      </w:pPr>
      <w:bookmarkStart w:id="100" w:name="_Toc110393361"/>
      <w:bookmarkStart w:id="101" w:name="_Toc479927873"/>
      <w:bookmarkStart w:id="102" w:name="_Toc488936100"/>
      <w:bookmarkStart w:id="103" w:name="_Toc483379796"/>
      <w:bookmarkStart w:id="104" w:name="_Toc14746861"/>
      <w:bookmarkStart w:id="105" w:name="_Toc225223761"/>
      <w:r>
        <w:rPr>
          <w:rFonts w:hint="eastAsia" w:ascii="宋体" w:hAnsi="宋体" w:eastAsia="宋体" w:cs="宋体"/>
          <w:b/>
          <w:color w:val="auto"/>
          <w:sz w:val="32"/>
          <w:szCs w:val="32"/>
          <w:highlight w:val="none"/>
          <w:lang w:eastAsia="zh-CN"/>
        </w:rPr>
        <w:t>供应商</w:t>
      </w:r>
      <w:r>
        <w:rPr>
          <w:rFonts w:hint="eastAsia" w:ascii="宋体" w:hAnsi="宋体" w:eastAsia="宋体" w:cs="宋体"/>
          <w:b/>
          <w:color w:val="auto"/>
          <w:sz w:val="32"/>
          <w:szCs w:val="32"/>
          <w:highlight w:val="none"/>
        </w:rPr>
        <w:t>基本情况</w:t>
      </w:r>
      <w:bookmarkEnd w:id="100"/>
      <w:bookmarkEnd w:id="101"/>
      <w:bookmarkEnd w:id="102"/>
      <w:bookmarkEnd w:id="103"/>
      <w:bookmarkEnd w:id="104"/>
      <w:bookmarkEnd w:id="105"/>
      <w:r>
        <w:rPr>
          <w:rFonts w:hint="eastAsia" w:ascii="宋体" w:hAnsi="宋体" w:eastAsia="宋体" w:cs="宋体"/>
          <w:b/>
          <w:color w:val="auto"/>
          <w:sz w:val="32"/>
          <w:szCs w:val="32"/>
          <w:highlight w:val="none"/>
        </w:rPr>
        <w:t>表</w:t>
      </w:r>
    </w:p>
    <w:tbl>
      <w:tblPr>
        <w:tblStyle w:val="23"/>
        <w:tblW w:w="821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835"/>
        <w:gridCol w:w="969"/>
        <w:gridCol w:w="695"/>
        <w:gridCol w:w="2141"/>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单位名称</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组织机构代码</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注册地址</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注册登记号</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经营地址</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pacing w:val="30"/>
                <w:szCs w:val="21"/>
                <w:highlight w:val="none"/>
              </w:rPr>
            </w:pPr>
            <w:r>
              <w:rPr>
                <w:rFonts w:hint="eastAsia" w:ascii="宋体" w:hAnsi="宋体" w:eastAsia="宋体" w:cs="宋体"/>
                <w:color w:val="auto"/>
                <w:szCs w:val="21"/>
                <w:highlight w:val="none"/>
              </w:rPr>
              <w:t>税务登记证号</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单位性质</w:t>
            </w:r>
          </w:p>
        </w:tc>
        <w:tc>
          <w:tcPr>
            <w:tcW w:w="2499" w:type="dxa"/>
            <w:gridSpan w:val="3"/>
            <w:noWrap w:val="0"/>
            <w:vAlign w:val="center"/>
          </w:tcPr>
          <w:p>
            <w:pPr>
              <w:pStyle w:val="28"/>
              <w:widowControl w:val="0"/>
              <w:spacing w:before="0" w:beforeAutospacing="0" w:after="0" w:afterAutospacing="0" w:line="360" w:lineRule="auto"/>
              <w:ind w:left="2160" w:hanging="480"/>
              <w:rPr>
                <w:rFonts w:hint="eastAsia" w:ascii="宋体" w:hAnsi="宋体" w:eastAsia="宋体" w:cs="宋体"/>
                <w:color w:val="auto"/>
                <w:kern w:val="2"/>
                <w:sz w:val="21"/>
                <w:szCs w:val="21"/>
                <w:highlight w:val="none"/>
              </w:rPr>
            </w:pPr>
          </w:p>
        </w:tc>
        <w:tc>
          <w:tcPr>
            <w:tcW w:w="2141" w:type="dxa"/>
            <w:noWrap w:val="0"/>
            <w:vAlign w:val="center"/>
          </w:tcPr>
          <w:p>
            <w:pPr>
              <w:spacing w:line="360" w:lineRule="auto"/>
              <w:jc w:val="center"/>
              <w:rPr>
                <w:rFonts w:hint="eastAsia" w:ascii="宋体" w:hAnsi="宋体" w:eastAsia="宋体" w:cs="宋体"/>
                <w:color w:val="auto"/>
                <w:spacing w:val="34"/>
                <w:szCs w:val="21"/>
                <w:highlight w:val="none"/>
              </w:rPr>
            </w:pPr>
            <w:r>
              <w:rPr>
                <w:rFonts w:hint="eastAsia" w:ascii="宋体" w:hAnsi="宋体" w:eastAsia="宋体" w:cs="宋体"/>
                <w:color w:val="auto"/>
                <w:spacing w:val="34"/>
                <w:szCs w:val="21"/>
                <w:highlight w:val="none"/>
              </w:rPr>
              <w:t>注册资本</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经营范围</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营业期限</w:t>
            </w:r>
          </w:p>
        </w:tc>
        <w:tc>
          <w:tcPr>
            <w:tcW w:w="210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年 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资质情况</w:t>
            </w:r>
          </w:p>
        </w:tc>
        <w:tc>
          <w:tcPr>
            <w:tcW w:w="6740" w:type="dxa"/>
            <w:gridSpan w:val="5"/>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员工数量</w:t>
            </w:r>
          </w:p>
        </w:tc>
        <w:tc>
          <w:tcPr>
            <w:tcW w:w="6740" w:type="dxa"/>
            <w:gridSpan w:val="5"/>
            <w:noWrap w:val="0"/>
            <w:vAlign w:val="center"/>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共</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人，其中，高级职称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人，中级职称</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联系电话</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传真</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主要业绩</w:t>
            </w:r>
          </w:p>
        </w:tc>
        <w:tc>
          <w:tcPr>
            <w:tcW w:w="6740" w:type="dxa"/>
            <w:gridSpan w:val="5"/>
            <w:noWrap w:val="0"/>
            <w:vAlign w:val="center"/>
          </w:tcPr>
          <w:p>
            <w:pPr>
              <w:spacing w:line="360" w:lineRule="auto"/>
              <w:rPr>
                <w:rFonts w:hint="eastAsia" w:ascii="宋体" w:hAnsi="宋体" w:eastAsia="宋体" w:cs="宋体"/>
                <w:color w:val="auto"/>
                <w:szCs w:val="21"/>
                <w:highlight w:val="none"/>
              </w:rPr>
            </w:pPr>
          </w:p>
          <w:p>
            <w:pPr>
              <w:spacing w:line="360" w:lineRule="auto"/>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210" w:type="dxa"/>
            <w:gridSpan w:val="6"/>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 定 代 表 人 基 本 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姓  名</w:t>
            </w:r>
          </w:p>
        </w:tc>
        <w:tc>
          <w:tcPr>
            <w:tcW w:w="2499" w:type="dxa"/>
            <w:gridSpan w:val="3"/>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身份证号码</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0"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务</w:t>
            </w:r>
          </w:p>
        </w:tc>
        <w:tc>
          <w:tcPr>
            <w:tcW w:w="835" w:type="dxa"/>
            <w:noWrap w:val="0"/>
            <w:vAlign w:val="center"/>
          </w:tcPr>
          <w:p>
            <w:pPr>
              <w:spacing w:line="360" w:lineRule="auto"/>
              <w:jc w:val="center"/>
              <w:rPr>
                <w:rFonts w:hint="eastAsia" w:ascii="宋体" w:hAnsi="宋体" w:eastAsia="宋体" w:cs="宋体"/>
                <w:color w:val="auto"/>
                <w:szCs w:val="21"/>
                <w:highlight w:val="none"/>
              </w:rPr>
            </w:pPr>
          </w:p>
        </w:tc>
        <w:tc>
          <w:tcPr>
            <w:tcW w:w="969"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职   称</w:t>
            </w:r>
          </w:p>
        </w:tc>
        <w:tc>
          <w:tcPr>
            <w:tcW w:w="695" w:type="dxa"/>
            <w:noWrap w:val="0"/>
            <w:vAlign w:val="center"/>
          </w:tcPr>
          <w:p>
            <w:pPr>
              <w:spacing w:line="360" w:lineRule="auto"/>
              <w:jc w:val="center"/>
              <w:rPr>
                <w:rFonts w:hint="eastAsia" w:ascii="宋体" w:hAnsi="宋体" w:eastAsia="宋体" w:cs="宋体"/>
                <w:color w:val="auto"/>
                <w:szCs w:val="21"/>
                <w:highlight w:val="none"/>
              </w:rPr>
            </w:pPr>
          </w:p>
        </w:tc>
        <w:tc>
          <w:tcPr>
            <w:tcW w:w="2141" w:type="dxa"/>
            <w:noWrap w:val="0"/>
            <w:vAlign w:val="center"/>
          </w:tcPr>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学    历</w:t>
            </w:r>
          </w:p>
        </w:tc>
        <w:tc>
          <w:tcPr>
            <w:tcW w:w="2100" w:type="dxa"/>
            <w:noWrap w:val="0"/>
            <w:vAlign w:val="center"/>
          </w:tcPr>
          <w:p>
            <w:pPr>
              <w:spacing w:line="360" w:lineRule="auto"/>
              <w:jc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8210" w:type="dxa"/>
            <w:gridSpan w:val="6"/>
            <w:noWrap w:val="0"/>
            <w:vAlign w:val="top"/>
          </w:tcPr>
          <w:p>
            <w:pPr>
              <w:spacing w:line="360" w:lineRule="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备注:</w:t>
            </w:r>
          </w:p>
        </w:tc>
      </w:tr>
    </w:tbl>
    <w:p>
      <w:pPr>
        <w:spacing w:line="360" w:lineRule="auto"/>
        <w:rPr>
          <w:rFonts w:hint="eastAsia" w:ascii="宋体" w:hAnsi="宋体" w:eastAsia="宋体" w:cs="宋体"/>
          <w:b/>
          <w:color w:val="auto"/>
          <w:szCs w:val="21"/>
          <w:highlight w:val="none"/>
        </w:rPr>
      </w:pPr>
      <w:r>
        <w:rPr>
          <w:rFonts w:hint="eastAsia" w:ascii="宋体" w:hAnsi="宋体" w:eastAsia="宋体" w:cs="宋体"/>
          <w:color w:val="auto"/>
          <w:szCs w:val="21"/>
          <w:highlight w:val="none"/>
        </w:rPr>
        <w:t xml:space="preserve">  </w:t>
      </w:r>
      <w:r>
        <w:rPr>
          <w:rFonts w:hint="eastAsia" w:ascii="宋体" w:hAnsi="宋体" w:eastAsia="宋体" w:cs="宋体"/>
          <w:b/>
          <w:color w:val="auto"/>
          <w:szCs w:val="21"/>
          <w:highlight w:val="none"/>
        </w:rPr>
        <w:t>兹证明上述声明是真实、正确的，并提供了全部能提供的资料和数据，我们同意遵照贵方要求出示有关证明文件。</w:t>
      </w:r>
    </w:p>
    <w:p>
      <w:pPr>
        <w:spacing w:line="360" w:lineRule="auto"/>
        <w:rPr>
          <w:rFonts w:hint="eastAsia" w:ascii="宋体" w:hAnsi="宋体" w:eastAsia="宋体" w:cs="宋体"/>
          <w:b/>
          <w:color w:val="auto"/>
          <w:highlight w:val="none"/>
        </w:rPr>
      </w:pPr>
    </w:p>
    <w:p>
      <w:pPr>
        <w:rPr>
          <w:rFonts w:hint="eastAsia" w:ascii="宋体" w:hAnsi="宋体" w:eastAsia="宋体" w:cs="宋体"/>
          <w:color w:val="auto"/>
          <w:highlight w:val="none"/>
        </w:rPr>
      </w:pPr>
    </w:p>
    <w:p>
      <w:pPr>
        <w:spacing w:line="360" w:lineRule="auto"/>
        <w:ind w:firstLine="3675" w:firstLineChars="175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 xml:space="preserve">             法定代表人或授权代表（签名或印章）：</w:t>
      </w:r>
    </w:p>
    <w:p>
      <w:pPr>
        <w:snapToGrid w:val="0"/>
        <w:rPr>
          <w:rFonts w:hint="eastAsia" w:ascii="宋体" w:hAnsi="宋体" w:eastAsia="宋体" w:cs="宋体"/>
          <w:b/>
          <w:color w:val="auto"/>
          <w:szCs w:val="21"/>
          <w:highlight w:val="none"/>
        </w:rPr>
      </w:pPr>
      <w:r>
        <w:rPr>
          <w:rFonts w:hint="eastAsia" w:ascii="宋体" w:hAnsi="宋体" w:eastAsia="宋体" w:cs="宋体"/>
          <w:color w:val="auto"/>
          <w:highlight w:val="none"/>
        </w:rPr>
        <w:t xml:space="preserve">                                    日    期：</w:t>
      </w:r>
    </w:p>
    <w:p>
      <w:pPr>
        <w:snapToGrid w:val="0"/>
        <w:rPr>
          <w:rFonts w:hint="eastAsia" w:ascii="宋体" w:hAnsi="宋体" w:eastAsia="宋体" w:cs="宋体"/>
          <w:color w:val="auto"/>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lang w:val="en-US" w:eastAsia="zh-CN" w:bidi="ar"/>
        </w:rPr>
        <w:t>8</w:t>
      </w:r>
      <w:r>
        <w:rPr>
          <w:rFonts w:hint="eastAsia" w:ascii="宋体" w:hAnsi="宋体" w:eastAsia="宋体" w:cs="宋体"/>
          <w:b/>
          <w:color w:val="auto"/>
          <w:szCs w:val="21"/>
          <w:highlight w:val="none"/>
          <w:lang w:bidi="ar"/>
        </w:rPr>
        <w:t>)本项目负责人简历表格式</w:t>
      </w:r>
    </w:p>
    <w:p>
      <w:pPr>
        <w:spacing w:line="360" w:lineRule="auto"/>
        <w:ind w:right="25" w:rightChars="12"/>
        <w:jc w:val="center"/>
        <w:rPr>
          <w:rFonts w:hint="eastAsia" w:ascii="宋体" w:hAnsi="宋体" w:eastAsia="宋体" w:cs="宋体"/>
          <w:b/>
          <w:color w:val="auto"/>
          <w:sz w:val="28"/>
          <w:szCs w:val="28"/>
          <w:highlight w:val="none"/>
          <w:lang w:bidi="ar"/>
        </w:rPr>
      </w:pPr>
      <w:r>
        <w:rPr>
          <w:rFonts w:hint="eastAsia" w:ascii="宋体" w:hAnsi="宋体" w:eastAsia="宋体" w:cs="宋体"/>
          <w:b/>
          <w:color w:val="auto"/>
          <w:sz w:val="28"/>
          <w:szCs w:val="28"/>
          <w:highlight w:val="none"/>
          <w:lang w:bidi="ar"/>
        </w:rPr>
        <w:t>本项目负责人简历表</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项目名称</w:t>
      </w:r>
      <w:r>
        <w:rPr>
          <w:rFonts w:hint="eastAsia" w:ascii="宋体" w:hAnsi="宋体" w:eastAsia="宋体" w:cs="宋体"/>
          <w:color w:val="auto"/>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autoSpaceDN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号：</w:t>
      </w:r>
      <w:r>
        <w:rPr>
          <w:rFonts w:hint="eastAsia" w:ascii="宋体" w:hAnsi="宋体" w:eastAsia="宋体" w:cs="宋体"/>
          <w:bCs/>
          <w:color w:val="auto"/>
          <w:szCs w:val="21"/>
          <w:highlight w:val="none"/>
          <w:lang w:bidi="ar"/>
        </w:rPr>
        <w:t xml:space="preserve"> </w:t>
      </w:r>
      <w:r>
        <w:rPr>
          <w:rFonts w:hint="eastAsia" w:ascii="宋体" w:hAnsi="宋体" w:eastAsia="宋体" w:cs="宋体"/>
          <w:bCs/>
          <w:color w:val="auto"/>
          <w:szCs w:val="21"/>
          <w:highlight w:val="none"/>
          <w:lang w:val="zh-CN" w:bidi="ar"/>
        </w:rPr>
        <w:t xml:space="preserve">  </w:t>
      </w:r>
    </w:p>
    <w:tbl>
      <w:tblPr>
        <w:tblStyle w:val="23"/>
        <w:tblW w:w="8925" w:type="dxa"/>
        <w:jc w:val="center"/>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Layout w:type="fixed"/>
        <w:tblCellMar>
          <w:top w:w="0" w:type="dxa"/>
          <w:left w:w="108" w:type="dxa"/>
          <w:bottom w:w="0" w:type="dxa"/>
          <w:right w:w="108" w:type="dxa"/>
        </w:tblCellMar>
      </w:tblPr>
      <w:tblGrid>
        <w:gridCol w:w="1785"/>
        <w:gridCol w:w="1575"/>
        <w:gridCol w:w="630"/>
        <w:gridCol w:w="1184"/>
        <w:gridCol w:w="1021"/>
        <w:gridCol w:w="404"/>
        <w:gridCol w:w="2326"/>
      </w:tblGrid>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姓    名</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性    别</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资质等级</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职    称</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学    历</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年    龄</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参加工作时间</w:t>
            </w: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20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从事项目经理年限</w:t>
            </w:r>
          </w:p>
        </w:tc>
        <w:tc>
          <w:tcPr>
            <w:tcW w:w="2730"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460" w:hRule="atLeast"/>
          <w:jc w:val="center"/>
        </w:trPr>
        <w:tc>
          <w:tcPr>
            <w:tcW w:w="8925" w:type="dxa"/>
            <w:gridSpan w:val="7"/>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已完成及正在实施类似项目情况</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业主单位</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项目名称</w:t>
            </w: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合同金额（万元）</w:t>
            </w: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服务期限</w:t>
            </w: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承接项目质量</w:t>
            </w: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500" w:hRule="atLeast"/>
          <w:jc w:val="center"/>
        </w:trPr>
        <w:tc>
          <w:tcPr>
            <w:tcW w:w="178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814"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1425"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c>
          <w:tcPr>
            <w:tcW w:w="2326" w:type="dxa"/>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outset" w:color="auto" w:sz="6" w:space="0"/>
            <w:insideV w:val="outset" w:color="auto" w:sz="6" w:space="0"/>
          </w:tblBorders>
          <w:tblCellMar>
            <w:top w:w="0" w:type="dxa"/>
            <w:left w:w="108" w:type="dxa"/>
            <w:bottom w:w="0" w:type="dxa"/>
            <w:right w:w="108" w:type="dxa"/>
          </w:tblCellMar>
        </w:tblPrEx>
        <w:trPr>
          <w:cantSplit/>
          <w:trHeight w:val="1215" w:hRule="atLeast"/>
          <w:jc w:val="center"/>
        </w:trPr>
        <w:tc>
          <w:tcPr>
            <w:tcW w:w="1785" w:type="dxa"/>
            <w:tcBorders>
              <w:top w:val="single" w:color="000000" w:sz="4" w:space="0"/>
              <w:left w:val="single" w:color="000000" w:sz="4" w:space="0"/>
              <w:bottom w:val="single" w:color="000000" w:sz="4" w:space="0"/>
              <w:right w:val="nil"/>
            </w:tcBorders>
            <w:noWrap w:val="0"/>
            <w:vAlign w:val="center"/>
          </w:tcPr>
          <w:p>
            <w:pPr>
              <w:autoSpaceDN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备注</w:t>
            </w:r>
          </w:p>
        </w:tc>
        <w:tc>
          <w:tcPr>
            <w:tcW w:w="7140" w:type="dxa"/>
            <w:gridSpan w:val="6"/>
            <w:tcBorders>
              <w:top w:val="single" w:color="000000" w:sz="4" w:space="0"/>
              <w:left w:val="single" w:color="000000" w:sz="4" w:space="0"/>
              <w:bottom w:val="single" w:color="000000" w:sz="4" w:space="0"/>
              <w:right w:val="single" w:color="000000" w:sz="4" w:space="0"/>
            </w:tcBorders>
            <w:noWrap w:val="0"/>
            <w:vAlign w:val="center"/>
          </w:tcPr>
          <w:p>
            <w:pPr>
              <w:autoSpaceDN w:val="0"/>
              <w:spacing w:line="360" w:lineRule="auto"/>
              <w:jc w:val="center"/>
              <w:rPr>
                <w:rFonts w:hint="eastAsia" w:ascii="宋体" w:hAnsi="宋体" w:eastAsia="宋体" w:cs="宋体"/>
                <w:color w:val="auto"/>
                <w:szCs w:val="21"/>
                <w:highlight w:val="none"/>
              </w:rPr>
            </w:pPr>
          </w:p>
        </w:tc>
      </w:tr>
    </w:tbl>
    <w:p>
      <w:pPr>
        <w:rPr>
          <w:rFonts w:hint="eastAsia" w:ascii="宋体" w:hAnsi="宋体" w:eastAsia="宋体" w:cs="宋体"/>
          <w:color w:val="auto"/>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法定代表人或授权代表（签名或印章）：</w:t>
      </w:r>
    </w:p>
    <w:p>
      <w:pPr>
        <w:snapToGrid w:val="0"/>
        <w:rPr>
          <w:rFonts w:hint="eastAsia" w:ascii="宋体" w:hAnsi="宋体" w:eastAsia="宋体" w:cs="宋体"/>
          <w:color w:val="auto"/>
          <w:highlight w:val="none"/>
        </w:rPr>
      </w:pPr>
      <w:r>
        <w:rPr>
          <w:rFonts w:hint="eastAsia" w:ascii="宋体" w:hAnsi="宋体" w:eastAsia="宋体" w:cs="宋体"/>
          <w:color w:val="auto"/>
          <w:highlight w:val="none"/>
        </w:rPr>
        <w:t>日    期：</w:t>
      </w:r>
    </w:p>
    <w:p>
      <w:pPr>
        <w:snapToGrid w:val="0"/>
        <w:rPr>
          <w:rFonts w:hint="eastAsia" w:ascii="宋体" w:hAnsi="宋体" w:eastAsia="宋体" w:cs="宋体"/>
          <w:b/>
          <w:color w:val="auto"/>
          <w:szCs w:val="21"/>
          <w:highlight w:val="none"/>
          <w:lang w:bidi="ar"/>
        </w:rPr>
      </w:pPr>
      <w:r>
        <w:rPr>
          <w:rFonts w:hint="eastAsia" w:ascii="宋体" w:hAnsi="宋体" w:eastAsia="宋体" w:cs="宋体"/>
          <w:color w:val="auto"/>
          <w:highlight w:val="none"/>
        </w:rPr>
        <w:br w:type="page"/>
      </w:r>
      <w:r>
        <w:rPr>
          <w:rFonts w:hint="eastAsia" w:ascii="宋体" w:hAnsi="宋体" w:eastAsia="宋体" w:cs="宋体"/>
          <w:b/>
          <w:color w:val="auto"/>
          <w:szCs w:val="21"/>
          <w:highlight w:val="none"/>
          <w:lang w:bidi="ar"/>
        </w:rPr>
        <w:t xml:space="preserve"> (</w:t>
      </w:r>
      <w:r>
        <w:rPr>
          <w:rFonts w:hint="eastAsia" w:ascii="宋体" w:hAnsi="宋体" w:eastAsia="宋体" w:cs="宋体"/>
          <w:b/>
          <w:color w:val="auto"/>
          <w:szCs w:val="21"/>
          <w:highlight w:val="none"/>
          <w:lang w:val="en-US" w:eastAsia="zh-CN" w:bidi="ar"/>
        </w:rPr>
        <w:t>9</w:t>
      </w:r>
      <w:r>
        <w:rPr>
          <w:rFonts w:hint="eastAsia" w:ascii="宋体" w:hAnsi="宋体" w:eastAsia="宋体" w:cs="宋体"/>
          <w:b/>
          <w:color w:val="auto"/>
          <w:szCs w:val="21"/>
          <w:highlight w:val="none"/>
          <w:lang w:bidi="ar"/>
        </w:rPr>
        <w:t>)本项目人员配备情况表格式</w:t>
      </w:r>
    </w:p>
    <w:p>
      <w:pPr>
        <w:spacing w:line="360" w:lineRule="auto"/>
        <w:ind w:right="25" w:rightChars="12"/>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本项目人员配备情况表</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项目名称</w:t>
      </w:r>
      <w:r>
        <w:rPr>
          <w:rFonts w:hint="eastAsia" w:ascii="宋体" w:hAnsi="宋体" w:eastAsia="宋体" w:cs="宋体"/>
          <w:color w:val="auto"/>
          <w:highlight w:val="none"/>
        </w:rPr>
        <w:t>：</w:t>
      </w:r>
    </w:p>
    <w:p>
      <w:pPr>
        <w:rPr>
          <w:rFonts w:hint="eastAsia" w:ascii="宋体" w:hAnsi="宋体" w:eastAsia="宋体" w:cs="宋体"/>
          <w:color w:val="auto"/>
          <w:highlight w:val="none"/>
        </w:rPr>
      </w:pPr>
      <w:r>
        <w:rPr>
          <w:rFonts w:hint="eastAsia" w:ascii="宋体" w:hAnsi="宋体" w:eastAsia="宋体" w:cs="宋体"/>
          <w:color w:val="auto"/>
          <w:highlight w:val="none"/>
        </w:rPr>
        <w:t>项目编号：</w:t>
      </w:r>
    </w:p>
    <w:p>
      <w:pPr>
        <w:rPr>
          <w:rFonts w:hint="eastAsia" w:ascii="宋体" w:hAnsi="宋体" w:eastAsia="宋体" w:cs="宋体"/>
          <w:color w:val="auto"/>
          <w:highlight w:val="none"/>
        </w:rPr>
      </w:pPr>
      <w:r>
        <w:rPr>
          <w:rFonts w:hint="eastAsia" w:ascii="宋体" w:hAnsi="宋体" w:eastAsia="宋体" w:cs="宋体"/>
          <w:color w:val="auto"/>
          <w:highlight w:val="none"/>
          <w:lang w:eastAsia="zh-CN"/>
        </w:rPr>
        <w:t>标项</w:t>
      </w:r>
      <w:r>
        <w:rPr>
          <w:rFonts w:hint="eastAsia" w:ascii="宋体" w:hAnsi="宋体" w:eastAsia="宋体" w:cs="宋体"/>
          <w:color w:val="auto"/>
          <w:highlight w:val="none"/>
        </w:rPr>
        <w:t>号：</w:t>
      </w:r>
      <w:r>
        <w:rPr>
          <w:rFonts w:hint="eastAsia" w:ascii="宋体" w:hAnsi="宋体" w:eastAsia="宋体" w:cs="宋体"/>
          <w:bCs/>
          <w:color w:val="auto"/>
          <w:szCs w:val="21"/>
          <w:highlight w:val="none"/>
          <w:lang w:bidi="ar"/>
        </w:rPr>
        <w:t xml:space="preserve"> </w:t>
      </w:r>
      <w:r>
        <w:rPr>
          <w:rFonts w:hint="eastAsia" w:ascii="宋体" w:hAnsi="宋体" w:eastAsia="宋体" w:cs="宋体"/>
          <w:bCs/>
          <w:color w:val="auto"/>
          <w:szCs w:val="21"/>
          <w:highlight w:val="none"/>
          <w:lang w:val="zh-CN" w:bidi="ar"/>
        </w:rPr>
        <w:t xml:space="preserve">                      </w:t>
      </w:r>
    </w:p>
    <w:tbl>
      <w:tblPr>
        <w:tblStyle w:val="23"/>
        <w:tblW w:w="9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34"/>
        <w:gridCol w:w="1134"/>
        <w:gridCol w:w="1966"/>
        <w:gridCol w:w="1861"/>
        <w:gridCol w:w="1389"/>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序号</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姓名</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性别</w:t>
            </w:r>
          </w:p>
        </w:tc>
        <w:tc>
          <w:tcPr>
            <w:tcW w:w="1966"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出生年月</w:t>
            </w:r>
          </w:p>
        </w:tc>
        <w:tc>
          <w:tcPr>
            <w:tcW w:w="1861"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所处岗位</w:t>
            </w:r>
          </w:p>
        </w:tc>
        <w:tc>
          <w:tcPr>
            <w:tcW w:w="138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lang w:bidi="ar"/>
              </w:rPr>
            </w:pPr>
            <w:r>
              <w:rPr>
                <w:rFonts w:hint="eastAsia" w:ascii="宋体" w:hAnsi="宋体" w:eastAsia="宋体" w:cs="宋体"/>
                <w:color w:val="auto"/>
                <w:szCs w:val="21"/>
                <w:highlight w:val="none"/>
                <w:lang w:bidi="ar"/>
              </w:rPr>
              <w:t>上岗证书</w:t>
            </w:r>
          </w:p>
        </w:tc>
        <w:tc>
          <w:tcPr>
            <w:tcW w:w="1504"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right="25" w:rightChars="12"/>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966"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861"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38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c>
          <w:tcPr>
            <w:tcW w:w="1504"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25" w:rightChars="12"/>
              <w:rPr>
                <w:rFonts w:hint="eastAsia" w:ascii="宋体" w:hAnsi="宋体" w:eastAsia="宋体" w:cs="宋体"/>
                <w:color w:val="auto"/>
                <w:szCs w:val="21"/>
                <w:highlight w:val="none"/>
              </w:rPr>
            </w:pPr>
          </w:p>
        </w:tc>
      </w:tr>
    </w:tbl>
    <w:p>
      <w:pPr>
        <w:spacing w:line="360" w:lineRule="auto"/>
        <w:ind w:right="25" w:rightChars="12"/>
        <w:rPr>
          <w:rFonts w:hint="eastAsia" w:ascii="宋体" w:hAnsi="宋体" w:eastAsia="宋体" w:cs="宋体"/>
          <w:color w:val="auto"/>
          <w:szCs w:val="21"/>
          <w:highlight w:val="none"/>
        </w:rPr>
      </w:pP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（盖章）</w:t>
      </w:r>
    </w:p>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法定代表人或授权代表（签名或印章）：</w:t>
      </w:r>
    </w:p>
    <w:p>
      <w:pPr>
        <w:snapToGrid w:val="0"/>
        <w:rPr>
          <w:rFonts w:hint="eastAsia" w:ascii="宋体" w:hAnsi="宋体" w:eastAsia="宋体" w:cs="宋体"/>
          <w:color w:val="auto"/>
          <w:highlight w:val="none"/>
        </w:rPr>
      </w:pPr>
      <w:r>
        <w:rPr>
          <w:rFonts w:hint="eastAsia" w:ascii="宋体" w:hAnsi="宋体" w:eastAsia="宋体" w:cs="宋体"/>
          <w:color w:val="auto"/>
          <w:highlight w:val="none"/>
        </w:rPr>
        <w:t>日    期：</w:t>
      </w:r>
    </w:p>
    <w:p>
      <w:pPr>
        <w:snapToGrid w:val="0"/>
        <w:rPr>
          <w:rFonts w:hint="eastAsia" w:ascii="宋体" w:hAnsi="宋体" w:eastAsia="宋体" w:cs="宋体"/>
          <w:b/>
          <w:color w:val="auto"/>
          <w:szCs w:val="21"/>
          <w:highlight w:val="none"/>
        </w:rPr>
      </w:pPr>
    </w:p>
    <w:p>
      <w:pPr>
        <w:spacing w:line="360" w:lineRule="auto"/>
        <w:rPr>
          <w:rFonts w:hint="eastAsia" w:ascii="宋体" w:hAnsi="宋体" w:eastAsia="宋体" w:cs="宋体"/>
          <w:color w:val="auto"/>
          <w:highlight w:val="none"/>
        </w:rPr>
      </w:pPr>
    </w:p>
    <w:p>
      <w:pPr>
        <w:snapToGrid w:val="0"/>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lang w:bidi="ar"/>
        </w:rPr>
        <w:t>（1</w:t>
      </w:r>
      <w:r>
        <w:rPr>
          <w:rFonts w:hint="eastAsia" w:ascii="宋体" w:hAnsi="宋体" w:eastAsia="宋体" w:cs="宋体"/>
          <w:b/>
          <w:color w:val="auto"/>
          <w:szCs w:val="21"/>
          <w:highlight w:val="none"/>
          <w:lang w:val="en-US" w:eastAsia="zh-CN" w:bidi="ar"/>
        </w:rPr>
        <w:t>0</w:t>
      </w:r>
      <w:r>
        <w:rPr>
          <w:rFonts w:hint="eastAsia" w:ascii="宋体" w:hAnsi="宋体" w:eastAsia="宋体" w:cs="宋体"/>
          <w:b/>
          <w:color w:val="auto"/>
          <w:szCs w:val="21"/>
          <w:highlight w:val="none"/>
          <w:lang w:bidi="ar"/>
        </w:rPr>
        <w:t>）</w:t>
      </w:r>
      <w:r>
        <w:rPr>
          <w:rFonts w:hint="eastAsia" w:ascii="宋体" w:hAnsi="宋体" w:eastAsia="宋体" w:cs="宋体"/>
          <w:b/>
          <w:color w:val="auto"/>
          <w:szCs w:val="21"/>
          <w:highlight w:val="none"/>
        </w:rPr>
        <w:t>同类业绩情况一览表格式</w:t>
      </w:r>
    </w:p>
    <w:p>
      <w:pPr>
        <w:jc w:val="center"/>
        <w:rPr>
          <w:rFonts w:hint="eastAsia" w:ascii="宋体" w:hAnsi="宋体" w:eastAsia="宋体" w:cs="宋体"/>
          <w:b/>
          <w:color w:val="auto"/>
          <w:szCs w:val="21"/>
          <w:highlight w:val="none"/>
        </w:rPr>
      </w:pPr>
    </w:p>
    <w:p>
      <w:pPr>
        <w:spacing w:line="360" w:lineRule="auto"/>
        <w:ind w:right="25" w:rightChars="12"/>
        <w:jc w:val="center"/>
        <w:rPr>
          <w:rFonts w:hint="eastAsia" w:ascii="宋体" w:hAnsi="宋体" w:eastAsia="宋体" w:cs="宋体"/>
          <w:b/>
          <w:color w:val="auto"/>
          <w:sz w:val="28"/>
          <w:szCs w:val="28"/>
          <w:highlight w:val="none"/>
          <w:lang w:val="zh-CN" w:bidi="ar"/>
        </w:rPr>
      </w:pPr>
      <w:r>
        <w:rPr>
          <w:rFonts w:hint="eastAsia" w:ascii="宋体" w:hAnsi="宋体" w:eastAsia="宋体" w:cs="宋体"/>
          <w:b/>
          <w:color w:val="auto"/>
          <w:sz w:val="28"/>
          <w:szCs w:val="28"/>
          <w:highlight w:val="none"/>
          <w:lang w:bidi="ar"/>
        </w:rPr>
        <w:t>同类业绩情况一览表</w:t>
      </w:r>
    </w:p>
    <w:p>
      <w:pPr>
        <w:ind w:right="25" w:rightChars="12"/>
        <w:rPr>
          <w:rFonts w:hint="eastAsia" w:ascii="宋体" w:hAnsi="宋体" w:eastAsia="宋体" w:cs="宋体"/>
          <w:color w:val="auto"/>
          <w:highlight w:val="none"/>
        </w:rPr>
      </w:pPr>
      <w:r>
        <w:rPr>
          <w:rFonts w:hint="eastAsia" w:ascii="宋体" w:hAnsi="宋体" w:eastAsia="宋体" w:cs="宋体"/>
          <w:color w:val="auto"/>
          <w:highlight w:val="none"/>
          <w:lang w:val="zh-CN" w:eastAsia="zh-CN"/>
        </w:rPr>
        <w:t>项目名称</w:t>
      </w:r>
      <w:r>
        <w:rPr>
          <w:rFonts w:hint="eastAsia" w:ascii="宋体" w:hAnsi="宋体" w:eastAsia="宋体" w:cs="宋体"/>
          <w:color w:val="auto"/>
          <w:highlight w:val="none"/>
          <w:lang w:val="zh-CN"/>
        </w:rPr>
        <w:t>：</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 xml:space="preserve"> 项目编号</w:t>
      </w:r>
      <w:r>
        <w:rPr>
          <w:rFonts w:hint="eastAsia" w:ascii="宋体" w:hAnsi="宋体" w:eastAsia="宋体" w:cs="宋体"/>
          <w:color w:val="auto"/>
          <w:highlight w:val="none"/>
          <w:u w:val="single"/>
          <w:lang w:val="zh-CN"/>
        </w:rPr>
        <w:t xml:space="preserve">：             </w:t>
      </w:r>
      <w:r>
        <w:rPr>
          <w:rFonts w:hint="eastAsia" w:ascii="宋体" w:hAnsi="宋体" w:eastAsia="宋体" w:cs="宋体"/>
          <w:color w:val="auto"/>
          <w:highlight w:val="none"/>
          <w:lang w:val="zh-CN"/>
        </w:rPr>
        <w:t xml:space="preserve"> </w:t>
      </w:r>
      <w:r>
        <w:rPr>
          <w:rFonts w:hint="eastAsia" w:ascii="宋体" w:hAnsi="宋体" w:eastAsia="宋体" w:cs="宋体"/>
          <w:color w:val="auto"/>
          <w:spacing w:val="-4"/>
          <w:highlight w:val="none"/>
          <w:lang w:eastAsia="zh-CN"/>
        </w:rPr>
        <w:t>标项</w:t>
      </w:r>
      <w:r>
        <w:rPr>
          <w:rFonts w:hint="eastAsia" w:ascii="宋体" w:hAnsi="宋体" w:eastAsia="宋体" w:cs="宋体"/>
          <w:color w:val="auto"/>
          <w:spacing w:val="-4"/>
          <w:highlight w:val="none"/>
        </w:rPr>
        <w:t>号：</w:t>
      </w:r>
      <w:r>
        <w:rPr>
          <w:rFonts w:hint="eastAsia" w:ascii="宋体" w:hAnsi="宋体" w:eastAsia="宋体" w:cs="宋体"/>
          <w:color w:val="auto"/>
          <w:spacing w:val="-4"/>
          <w:highlight w:val="none"/>
          <w:u w:val="single"/>
        </w:rPr>
        <w:t xml:space="preserve">            </w:t>
      </w:r>
      <w:r>
        <w:rPr>
          <w:rFonts w:hint="eastAsia" w:ascii="宋体" w:hAnsi="宋体" w:eastAsia="宋体" w:cs="宋体"/>
          <w:bCs/>
          <w:color w:val="auto"/>
          <w:highlight w:val="none"/>
          <w:u w:val="single"/>
        </w:rPr>
        <w:t xml:space="preserve">   </w:t>
      </w:r>
    </w:p>
    <w:tbl>
      <w:tblPr>
        <w:tblStyle w:val="23"/>
        <w:tblW w:w="9060" w:type="dxa"/>
        <w:tblInd w:w="91"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87"/>
        <w:gridCol w:w="1246"/>
        <w:gridCol w:w="1607"/>
        <w:gridCol w:w="1291"/>
        <w:gridCol w:w="1216"/>
        <w:gridCol w:w="1216"/>
        <w:gridCol w:w="16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787"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1246"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业主单位</w:t>
            </w:r>
          </w:p>
        </w:tc>
        <w:tc>
          <w:tcPr>
            <w:tcW w:w="1607"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1291"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服务地点</w:t>
            </w:r>
          </w:p>
        </w:tc>
        <w:tc>
          <w:tcPr>
            <w:tcW w:w="1216"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服务期限</w:t>
            </w:r>
          </w:p>
        </w:tc>
        <w:tc>
          <w:tcPr>
            <w:tcW w:w="1216"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合同价格（元）</w:t>
            </w:r>
          </w:p>
        </w:tc>
        <w:tc>
          <w:tcPr>
            <w:tcW w:w="1697" w:type="dxa"/>
            <w:noWrap w:val="0"/>
            <w:vAlign w:val="center"/>
          </w:tcPr>
          <w:p>
            <w:pPr>
              <w:spacing w:line="400" w:lineRule="exact"/>
              <w:ind w:right="23" w:rightChars="11"/>
              <w:jc w:val="center"/>
              <w:rPr>
                <w:rFonts w:hint="eastAsia" w:ascii="宋体" w:hAnsi="宋体" w:eastAsia="宋体" w:cs="宋体"/>
                <w:color w:val="auto"/>
                <w:highlight w:val="none"/>
              </w:rPr>
            </w:pPr>
            <w:r>
              <w:rPr>
                <w:rFonts w:hint="eastAsia" w:ascii="宋体" w:hAnsi="宋体" w:eastAsia="宋体" w:cs="宋体"/>
                <w:color w:val="auto"/>
                <w:highlight w:val="none"/>
              </w:rPr>
              <w:t>业主单位联系人/电话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r>
              <w:rPr>
                <w:rFonts w:hint="eastAsia" w:ascii="宋体" w:hAnsi="宋体" w:eastAsia="宋体" w:cs="宋体"/>
                <w:color w:val="auto"/>
                <w:highlight w:val="none"/>
              </w:rPr>
              <w:t>…</w:t>
            </w: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87" w:type="dxa"/>
            <w:noWrap w:val="0"/>
            <w:vAlign w:val="center"/>
          </w:tcPr>
          <w:p>
            <w:pPr>
              <w:spacing w:line="400" w:lineRule="exact"/>
              <w:ind w:right="25" w:rightChars="12"/>
              <w:jc w:val="center"/>
              <w:rPr>
                <w:rFonts w:hint="eastAsia" w:ascii="宋体" w:hAnsi="宋体" w:eastAsia="宋体" w:cs="宋体"/>
                <w:color w:val="auto"/>
                <w:highlight w:val="none"/>
              </w:rPr>
            </w:pPr>
          </w:p>
        </w:tc>
        <w:tc>
          <w:tcPr>
            <w:tcW w:w="124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07"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91"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216" w:type="dxa"/>
            <w:noWrap w:val="0"/>
            <w:vAlign w:val="top"/>
          </w:tcPr>
          <w:p>
            <w:pPr>
              <w:spacing w:line="400" w:lineRule="exact"/>
              <w:ind w:right="25" w:rightChars="12"/>
              <w:jc w:val="center"/>
              <w:rPr>
                <w:rFonts w:hint="eastAsia" w:ascii="宋体" w:hAnsi="宋体" w:eastAsia="宋体" w:cs="宋体"/>
                <w:b/>
                <w:color w:val="auto"/>
                <w:highlight w:val="none"/>
              </w:rPr>
            </w:pPr>
          </w:p>
        </w:tc>
        <w:tc>
          <w:tcPr>
            <w:tcW w:w="1697" w:type="dxa"/>
            <w:noWrap w:val="0"/>
            <w:vAlign w:val="top"/>
          </w:tcPr>
          <w:p>
            <w:pPr>
              <w:spacing w:line="400" w:lineRule="exact"/>
              <w:ind w:right="25" w:rightChars="12"/>
              <w:jc w:val="center"/>
              <w:rPr>
                <w:rFonts w:hint="eastAsia" w:ascii="宋体" w:hAnsi="宋体" w:eastAsia="宋体" w:cs="宋体"/>
                <w:b/>
                <w:color w:val="auto"/>
                <w:highlight w:val="none"/>
              </w:rPr>
            </w:pPr>
          </w:p>
        </w:tc>
      </w:tr>
    </w:tbl>
    <w:p>
      <w:pPr>
        <w:rPr>
          <w:rFonts w:hint="eastAsia" w:ascii="宋体" w:hAnsi="宋体" w:eastAsia="宋体" w:cs="宋体"/>
          <w:bCs/>
          <w:color w:val="auto"/>
          <w:kern w:val="36"/>
          <w:highlight w:val="none"/>
        </w:rPr>
      </w:pPr>
    </w:p>
    <w:p>
      <w:p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 </w:t>
      </w:r>
    </w:p>
    <w:p>
      <w:pPr>
        <w:snapToGrid w:val="0"/>
        <w:spacing w:line="360" w:lineRule="auto"/>
        <w:jc w:val="left"/>
        <w:rPr>
          <w:rFonts w:hint="eastAsia" w:ascii="宋体" w:hAnsi="宋体" w:eastAsia="宋体" w:cs="宋体"/>
          <w:color w:val="auto"/>
          <w:highlight w:val="none"/>
        </w:rPr>
      </w:pPr>
    </w:p>
    <w:p>
      <w:pPr>
        <w:snapToGrid w:val="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11</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技术部分：针对本项目第二章采购需求和第四章评分标准中的条款拟定完整方案，格式自拟；</w:t>
      </w:r>
    </w:p>
    <w:p>
      <w:pPr>
        <w:snapToGrid w:val="0"/>
        <w:rPr>
          <w:rFonts w:hint="eastAsia" w:ascii="宋体" w:hAnsi="宋体" w:eastAsia="宋体" w:cs="宋体"/>
          <w:color w:val="auto"/>
          <w:highlight w:val="none"/>
        </w:rPr>
      </w:pPr>
    </w:p>
    <w:p>
      <w:pPr>
        <w:snapToGrid w:val="0"/>
        <w:rPr>
          <w:rFonts w:hint="eastAsia" w:ascii="宋体" w:hAnsi="宋体" w:eastAsia="宋体" w:cs="宋体"/>
          <w:color w:val="auto"/>
          <w:highlight w:val="none"/>
        </w:rPr>
      </w:pPr>
    </w:p>
    <w:p>
      <w:pPr>
        <w:pStyle w:val="26"/>
        <w:rPr>
          <w:rFonts w:hint="eastAsia" w:ascii="宋体" w:hAnsi="宋体" w:eastAsia="宋体" w:cs="宋体"/>
          <w:color w:val="auto"/>
          <w:highlight w:val="none"/>
        </w:rPr>
      </w:pPr>
    </w:p>
    <w:p>
      <w:pPr>
        <w:snapToGrid w:val="0"/>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12</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第四章评标办法及评分标准中需提供的其他相关证书及合同复印件等并加盖公章；</w:t>
      </w:r>
    </w:p>
    <w:p>
      <w:pPr>
        <w:jc w:val="both"/>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numPr>
          <w:ilvl w:val="0"/>
          <w:numId w:val="0"/>
        </w:numPr>
        <w:snapToGrid w:val="0"/>
        <w:spacing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13</w:t>
      </w: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认为有需要提供的其它有关证明资料。</w:t>
      </w:r>
    </w:p>
    <w:p>
      <w:pPr>
        <w:snapToGrid w:val="0"/>
        <w:spacing w:line="360" w:lineRule="auto"/>
        <w:jc w:val="left"/>
        <w:rPr>
          <w:rFonts w:hint="eastAsia" w:ascii="宋体" w:hAnsi="宋体" w:eastAsia="宋体" w:cs="宋体"/>
          <w:color w:val="auto"/>
          <w:highlight w:val="none"/>
        </w:rPr>
      </w:pPr>
    </w:p>
    <w:p>
      <w:pPr>
        <w:spacing w:line="360" w:lineRule="auto"/>
        <w:rPr>
          <w:rFonts w:hint="eastAsia" w:ascii="宋体" w:hAnsi="宋体" w:eastAsia="宋体" w:cs="宋体"/>
          <w:b/>
          <w:bCs/>
          <w:color w:val="auto"/>
          <w:sz w:val="28"/>
          <w:szCs w:val="28"/>
          <w:highlight w:val="none"/>
        </w:rPr>
        <w:sectPr>
          <w:pgSz w:w="11906" w:h="16838"/>
          <w:pgMar w:top="1474" w:right="1797" w:bottom="1247" w:left="1797" w:header="851" w:footer="851" w:gutter="0"/>
          <w:pgBorders>
            <w:top w:val="none" w:sz="0" w:space="0"/>
            <w:left w:val="none" w:sz="0" w:space="0"/>
            <w:bottom w:val="none" w:sz="0" w:space="0"/>
            <w:right w:val="none" w:sz="0" w:space="0"/>
          </w:pgBorders>
          <w:pgNumType w:fmt="decimal"/>
          <w:cols w:space="720" w:num="1"/>
          <w:docGrid w:linePitch="312" w:charSpace="0"/>
        </w:sectPr>
      </w:pPr>
    </w:p>
    <w:p>
      <w:pPr>
        <w:snapToGrid w:val="0"/>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二</w:t>
      </w:r>
      <w:r>
        <w:rPr>
          <w:rFonts w:hint="eastAsia" w:ascii="宋体" w:hAnsi="宋体" w:eastAsia="宋体" w:cs="宋体"/>
          <w:b/>
          <w:bCs/>
          <w:color w:val="auto"/>
          <w:sz w:val="28"/>
          <w:szCs w:val="28"/>
          <w:highlight w:val="none"/>
        </w:rPr>
        <w:t>、报价文件</w:t>
      </w:r>
    </w:p>
    <w:p>
      <w:pPr>
        <w:snapToGrid w:val="0"/>
        <w:spacing w:line="360" w:lineRule="auto"/>
        <w:rPr>
          <w:rFonts w:hint="eastAsia" w:ascii="宋体" w:hAnsi="宋体" w:eastAsia="宋体" w:cs="宋体"/>
          <w:b/>
          <w:color w:val="auto"/>
          <w:sz w:val="28"/>
          <w:szCs w:val="28"/>
          <w:highlight w:val="none"/>
          <w:lang w:bidi="ar"/>
        </w:rPr>
      </w:pPr>
      <w:r>
        <w:rPr>
          <w:rFonts w:hint="eastAsia" w:ascii="宋体" w:hAnsi="宋体" w:eastAsia="宋体" w:cs="宋体"/>
          <w:color w:val="auto"/>
          <w:highlight w:val="none"/>
        </w:rPr>
        <w:t>（一）报价文件的外包装封面格式：</w:t>
      </w:r>
    </w:p>
    <w:p>
      <w:pPr>
        <w:snapToGrid w:val="0"/>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外包装格式：</w:t>
      </w:r>
    </w:p>
    <w:p>
      <w:pPr>
        <w:snapToGrid w:val="0"/>
        <w:spacing w:line="360" w:lineRule="auto"/>
        <w:jc w:val="center"/>
        <w:rPr>
          <w:rFonts w:hint="eastAsia" w:ascii="宋体" w:hAnsi="宋体" w:eastAsia="宋体" w:cs="宋体"/>
          <w:color w:val="auto"/>
          <w:sz w:val="40"/>
          <w:szCs w:val="40"/>
          <w:highlight w:val="none"/>
        </w:rPr>
      </w:pPr>
      <w:r>
        <w:rPr>
          <w:rFonts w:hint="eastAsia" w:ascii="宋体" w:hAnsi="宋体" w:eastAsia="宋体" w:cs="宋体"/>
          <w:color w:val="auto"/>
          <w:sz w:val="40"/>
          <w:szCs w:val="40"/>
          <w:highlight w:val="none"/>
        </w:rPr>
        <w:t>报价文件</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 xml:space="preserve">项目名称： </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eastAsia="zh-CN" w:bidi="ar"/>
        </w:rPr>
        <w:t>标项</w:t>
      </w:r>
      <w:r>
        <w:rPr>
          <w:rFonts w:hint="eastAsia" w:ascii="宋体" w:hAnsi="宋体" w:eastAsia="宋体" w:cs="宋体"/>
          <w:bCs/>
          <w:color w:val="auto"/>
          <w:sz w:val="24"/>
          <w:highlight w:val="none"/>
          <w:lang w:bidi="ar"/>
        </w:rPr>
        <w:t>号：</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名称（加盖公章）：</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地址：</w:t>
      </w:r>
    </w:p>
    <w:p>
      <w:pPr>
        <w:snapToGrid w:val="0"/>
        <w:spacing w:line="360" w:lineRule="auto"/>
        <w:jc w:val="center"/>
        <w:rPr>
          <w:rFonts w:hint="eastAsia" w:ascii="宋体" w:hAnsi="宋体" w:eastAsia="宋体" w:cs="宋体"/>
          <w:bCs/>
          <w:color w:val="auto"/>
          <w:sz w:val="28"/>
          <w:szCs w:val="28"/>
          <w:highlight w:val="none"/>
          <w:lang w:bidi="ar"/>
        </w:rPr>
      </w:pPr>
      <w:r>
        <w:rPr>
          <w:rFonts w:hint="eastAsia" w:ascii="宋体" w:hAnsi="宋体" w:eastAsia="宋体" w:cs="宋体"/>
          <w:bCs/>
          <w:color w:val="auto"/>
          <w:sz w:val="24"/>
          <w:highlight w:val="none"/>
          <w:lang w:bidi="ar"/>
        </w:rPr>
        <w:t xml:space="preserve">                        年  月  日</w:t>
      </w:r>
    </w:p>
    <w:p>
      <w:pPr>
        <w:snapToGrid w:val="0"/>
        <w:spacing w:line="360" w:lineRule="auto"/>
        <w:jc w:val="left"/>
        <w:rPr>
          <w:rFonts w:hint="eastAsia" w:ascii="宋体" w:hAnsi="宋体" w:eastAsia="宋体" w:cs="宋体"/>
          <w:bCs/>
          <w:color w:val="auto"/>
          <w:sz w:val="28"/>
          <w:szCs w:val="28"/>
          <w:highlight w:val="none"/>
          <w:lang w:bidi="ar"/>
        </w:rPr>
      </w:pPr>
      <w:r>
        <w:rPr>
          <w:rFonts w:hint="eastAsia" w:ascii="宋体" w:hAnsi="宋体" w:eastAsia="宋体" w:cs="宋体"/>
          <w:color w:val="auto"/>
          <w:szCs w:val="21"/>
          <w:highlight w:val="none"/>
        </w:rPr>
        <w:t>（二）报价文件</w:t>
      </w:r>
      <w:r>
        <w:rPr>
          <w:rFonts w:hint="eastAsia" w:ascii="宋体" w:hAnsi="宋体" w:eastAsia="宋体" w:cs="宋体"/>
          <w:color w:val="auto"/>
          <w:highlight w:val="none"/>
        </w:rPr>
        <w:t>封面格式：</w:t>
      </w:r>
    </w:p>
    <w:p>
      <w:pPr>
        <w:snapToGrid w:val="0"/>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封面格式：</w:t>
      </w:r>
    </w:p>
    <w:p>
      <w:pPr>
        <w:snapToGrid w:val="0"/>
        <w:spacing w:line="360" w:lineRule="auto"/>
        <w:jc w:val="center"/>
        <w:rPr>
          <w:rFonts w:hint="eastAsia" w:ascii="宋体" w:hAnsi="宋体" w:eastAsia="宋体" w:cs="宋体"/>
          <w:bCs/>
          <w:color w:val="auto"/>
          <w:sz w:val="28"/>
          <w:szCs w:val="28"/>
          <w:highlight w:val="none"/>
        </w:rPr>
      </w:pPr>
      <w:r>
        <w:rPr>
          <w:rFonts w:hint="eastAsia" w:ascii="宋体" w:hAnsi="宋体" w:eastAsia="宋体" w:cs="宋体"/>
          <w:b/>
          <w:color w:val="auto"/>
          <w:sz w:val="28"/>
          <w:szCs w:val="28"/>
          <w:highlight w:val="none"/>
          <w:lang w:bidi="ar"/>
        </w:rPr>
        <w:t xml:space="preserve">                                            正本/或副本</w:t>
      </w:r>
    </w:p>
    <w:p>
      <w:pPr>
        <w:snapToGrid w:val="0"/>
        <w:spacing w:line="360" w:lineRule="auto"/>
        <w:jc w:val="center"/>
        <w:rPr>
          <w:rFonts w:hint="eastAsia" w:ascii="宋体" w:hAnsi="宋体" w:eastAsia="宋体" w:cs="宋体"/>
          <w:color w:val="auto"/>
          <w:sz w:val="40"/>
          <w:szCs w:val="40"/>
          <w:highlight w:val="none"/>
        </w:rPr>
      </w:pPr>
      <w:r>
        <w:rPr>
          <w:rFonts w:hint="eastAsia" w:ascii="宋体" w:hAnsi="宋体" w:eastAsia="宋体" w:cs="宋体"/>
          <w:color w:val="auto"/>
          <w:sz w:val="40"/>
          <w:szCs w:val="40"/>
          <w:highlight w:val="none"/>
        </w:rPr>
        <w:t>报价文件</w:t>
      </w:r>
    </w:p>
    <w:p>
      <w:pPr>
        <w:snapToGrid w:val="0"/>
        <w:spacing w:line="360" w:lineRule="auto"/>
        <w:ind w:firstLine="6919" w:firstLineChars="2883"/>
        <w:rPr>
          <w:rFonts w:hint="eastAsia" w:ascii="宋体" w:hAnsi="宋体" w:eastAsia="宋体" w:cs="宋体"/>
          <w:bCs/>
          <w:color w:val="auto"/>
          <w:sz w:val="24"/>
          <w:highlight w:val="none"/>
        </w:rPr>
      </w:pP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项目名称：</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eastAsia="zh-CN" w:bidi="ar"/>
        </w:rPr>
        <w:t>标项</w:t>
      </w:r>
      <w:r>
        <w:rPr>
          <w:rFonts w:hint="eastAsia" w:ascii="宋体" w:hAnsi="宋体" w:eastAsia="宋体" w:cs="宋体"/>
          <w:bCs/>
          <w:color w:val="auto"/>
          <w:sz w:val="24"/>
          <w:highlight w:val="none"/>
          <w:lang w:bidi="ar"/>
        </w:rPr>
        <w:t>号：</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名称（加盖公章）：</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地址：</w:t>
      </w:r>
    </w:p>
    <w:p>
      <w:pPr>
        <w:snapToGrid w:val="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 xml:space="preserve">                                      年  月  日</w:t>
      </w:r>
    </w:p>
    <w:p>
      <w:pPr>
        <w:snapToGrid w:val="0"/>
        <w:rPr>
          <w:rFonts w:hint="eastAsia" w:ascii="宋体" w:hAnsi="宋体" w:eastAsia="宋体" w:cs="宋体"/>
          <w:color w:val="auto"/>
          <w:szCs w:val="21"/>
          <w:highlight w:val="none"/>
        </w:rPr>
      </w:pPr>
      <w:r>
        <w:rPr>
          <w:rFonts w:hint="eastAsia" w:ascii="宋体" w:hAnsi="宋体" w:eastAsia="宋体" w:cs="宋体"/>
          <w:b/>
          <w:bCs/>
          <w:color w:val="auto"/>
          <w:szCs w:val="21"/>
          <w:highlight w:val="none"/>
        </w:rPr>
        <w:br w:type="page"/>
      </w:r>
      <w:r>
        <w:rPr>
          <w:rFonts w:hint="eastAsia" w:ascii="宋体" w:hAnsi="宋体" w:eastAsia="宋体" w:cs="宋体"/>
          <w:color w:val="auto"/>
          <w:szCs w:val="21"/>
          <w:highlight w:val="none"/>
        </w:rPr>
        <w:t>（三）报价文件内容包括：</w:t>
      </w:r>
    </w:p>
    <w:p>
      <w:pPr>
        <w:numPr>
          <w:ilvl w:val="0"/>
          <w:numId w:val="23"/>
        </w:numPr>
        <w:snapToGrid w:val="0"/>
        <w:spacing w:line="360" w:lineRule="auto"/>
        <w:ind w:left="420" w:leftChars="0"/>
        <w:jc w:val="left"/>
        <w:rPr>
          <w:rFonts w:hint="eastAsia" w:ascii="宋体" w:hAnsi="宋体" w:eastAsia="宋体" w:cs="宋体"/>
          <w:color w:val="auto"/>
          <w:highlight w:val="none"/>
        </w:rPr>
      </w:pPr>
      <w:r>
        <w:rPr>
          <w:rFonts w:hint="eastAsia" w:ascii="宋体" w:hAnsi="宋体" w:eastAsia="宋体" w:cs="宋体"/>
          <w:color w:val="auto"/>
          <w:highlight w:val="none"/>
        </w:rPr>
        <w:t>开标一览表（格式见附件）；</w:t>
      </w:r>
    </w:p>
    <w:p>
      <w:pPr>
        <w:numPr>
          <w:ilvl w:val="0"/>
          <w:numId w:val="23"/>
        </w:numPr>
        <w:snapToGrid w:val="0"/>
        <w:spacing w:line="360" w:lineRule="auto"/>
        <w:ind w:left="420" w:leftChars="0"/>
        <w:jc w:val="left"/>
        <w:rPr>
          <w:rFonts w:hint="eastAsia" w:ascii="宋体" w:hAnsi="宋体" w:eastAsia="宋体" w:cs="宋体"/>
          <w:color w:val="auto"/>
          <w:highlight w:val="none"/>
        </w:rPr>
      </w:pPr>
      <w:r>
        <w:rPr>
          <w:rFonts w:hint="eastAsia" w:ascii="宋体" w:hAnsi="宋体" w:eastAsia="宋体" w:cs="宋体"/>
          <w:color w:val="auto"/>
          <w:highlight w:val="none"/>
        </w:rPr>
        <w:t>投标报价明细表（格式见附件）</w:t>
      </w:r>
      <w:r>
        <w:rPr>
          <w:rFonts w:hint="eastAsia" w:ascii="宋体" w:hAnsi="宋体" w:eastAsia="宋体" w:cs="宋体"/>
          <w:color w:val="auto"/>
          <w:highlight w:val="none"/>
          <w:lang w:eastAsia="zh-CN"/>
        </w:rPr>
        <w:t>；</w:t>
      </w:r>
    </w:p>
    <w:p>
      <w:pPr>
        <w:numPr>
          <w:ilvl w:val="0"/>
          <w:numId w:val="23"/>
        </w:numPr>
        <w:snapToGrid w:val="0"/>
        <w:spacing w:line="360" w:lineRule="auto"/>
        <w:ind w:left="420" w:leftChars="0"/>
        <w:jc w:val="left"/>
        <w:rPr>
          <w:rFonts w:hint="eastAsia" w:ascii="宋体" w:hAnsi="宋体" w:eastAsia="宋体" w:cs="宋体"/>
          <w:color w:val="auto"/>
          <w:highlight w:val="none"/>
        </w:rPr>
      </w:pPr>
      <w:r>
        <w:rPr>
          <w:rFonts w:hint="eastAsia" w:ascii="宋体" w:hAnsi="宋体" w:eastAsia="宋体" w:cs="宋体"/>
          <w:color w:val="auto"/>
          <w:highlight w:val="none"/>
        </w:rPr>
        <w:t>中小企业声明函（如有)（格式见附件）；</w:t>
      </w:r>
    </w:p>
    <w:p>
      <w:pPr>
        <w:numPr>
          <w:ilvl w:val="0"/>
          <w:numId w:val="23"/>
        </w:numPr>
        <w:snapToGrid w:val="0"/>
        <w:spacing w:line="360" w:lineRule="auto"/>
        <w:ind w:left="420" w:leftChars="0"/>
        <w:jc w:val="left"/>
        <w:rPr>
          <w:rFonts w:hint="eastAsia" w:ascii="宋体" w:hAnsi="宋体" w:eastAsia="宋体" w:cs="宋体"/>
          <w:color w:val="auto"/>
          <w:highlight w:val="none"/>
        </w:rPr>
      </w:pPr>
      <w:r>
        <w:rPr>
          <w:rFonts w:hint="eastAsia" w:ascii="宋体" w:hAnsi="宋体" w:eastAsia="宋体" w:cs="宋体"/>
          <w:color w:val="auto"/>
          <w:highlight w:val="none"/>
        </w:rPr>
        <w:t>残疾人福利性单位声明函（非残疾人福利性单位无需提供本函)（格式见附件）；</w:t>
      </w:r>
    </w:p>
    <w:p>
      <w:pPr>
        <w:numPr>
          <w:ilvl w:val="0"/>
          <w:numId w:val="23"/>
        </w:numPr>
        <w:snapToGrid w:val="0"/>
        <w:spacing w:line="360" w:lineRule="auto"/>
        <w:ind w:left="420" w:leftChars="0"/>
        <w:jc w:val="left"/>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针对报价需要说明的其他文件和说明（格式自拟）；</w:t>
      </w:r>
    </w:p>
    <w:p>
      <w:pPr>
        <w:snapToGrid w:val="0"/>
        <w:spacing w:line="360" w:lineRule="auto"/>
        <w:jc w:val="left"/>
        <w:rPr>
          <w:rFonts w:hint="eastAsia" w:ascii="宋体" w:hAnsi="宋体" w:eastAsia="宋体" w:cs="宋体"/>
          <w:color w:val="auto"/>
          <w:highlight w:val="none"/>
        </w:rPr>
      </w:pPr>
    </w:p>
    <w:p>
      <w:pPr>
        <w:snapToGrid w:val="0"/>
        <w:spacing w:line="360" w:lineRule="auto"/>
        <w:jc w:val="left"/>
        <w:rPr>
          <w:rFonts w:hint="eastAsia" w:ascii="宋体" w:hAnsi="宋体" w:eastAsia="宋体" w:cs="宋体"/>
          <w:b/>
          <w:bCs/>
          <w:color w:val="auto"/>
          <w:szCs w:val="21"/>
          <w:highlight w:val="none"/>
        </w:rPr>
      </w:pPr>
      <w:r>
        <w:rPr>
          <w:rFonts w:hint="eastAsia" w:ascii="宋体" w:hAnsi="宋体" w:eastAsia="宋体" w:cs="宋体"/>
          <w:color w:val="auto"/>
          <w:highlight w:val="none"/>
        </w:rPr>
        <w:br w:type="page"/>
      </w:r>
      <w:r>
        <w:rPr>
          <w:rFonts w:hint="eastAsia" w:ascii="宋体" w:hAnsi="宋体" w:eastAsia="宋体" w:cs="宋体"/>
          <w:b/>
          <w:bCs/>
          <w:color w:val="auto"/>
          <w:szCs w:val="21"/>
          <w:highlight w:val="none"/>
        </w:rPr>
        <w:t>（1）开标一览表格式</w:t>
      </w:r>
    </w:p>
    <w:p>
      <w:pPr>
        <w:pStyle w:val="21"/>
        <w:widowControl w:val="0"/>
        <w:tabs>
          <w:tab w:val="left" w:pos="4841"/>
        </w:tabs>
        <w:spacing w:before="0" w:beforeAutospacing="0" w:after="0" w:afterAutospacing="0" w:line="360" w:lineRule="auto"/>
        <w:ind w:firstLine="301"/>
        <w:jc w:val="center"/>
        <w:rPr>
          <w:rFonts w:hint="eastAsia" w:ascii="宋体" w:hAnsi="宋体" w:eastAsia="宋体" w:cs="宋体"/>
          <w:b/>
          <w:color w:val="auto"/>
          <w:szCs w:val="20"/>
          <w:highlight w:val="none"/>
        </w:rPr>
      </w:pPr>
      <w:r>
        <w:rPr>
          <w:rFonts w:hint="eastAsia" w:ascii="宋体" w:hAnsi="宋体" w:eastAsia="宋体" w:cs="宋体"/>
          <w:b/>
          <w:color w:val="auto"/>
          <w:spacing w:val="-4"/>
          <w:kern w:val="2"/>
          <w:szCs w:val="20"/>
          <w:highlight w:val="none"/>
          <w:lang w:bidi="ar"/>
        </w:rPr>
        <w:t>开标一览表</w:t>
      </w:r>
    </w:p>
    <w:p>
      <w:pPr>
        <w:pStyle w:val="21"/>
        <w:widowControl w:val="0"/>
        <w:snapToGrid w:val="0"/>
        <w:spacing w:before="0" w:beforeAutospacing="0" w:after="0" w:afterAutospacing="0" w:line="360" w:lineRule="auto"/>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eastAsia="zh-CN" w:bidi="ar"/>
        </w:rPr>
        <w:t>项目名称</w:t>
      </w:r>
      <w:r>
        <w:rPr>
          <w:rFonts w:hint="eastAsia" w:ascii="宋体" w:hAnsi="宋体" w:eastAsia="宋体" w:cs="宋体"/>
          <w:color w:val="auto"/>
          <w:spacing w:val="-4"/>
          <w:kern w:val="2"/>
          <w:sz w:val="21"/>
          <w:szCs w:val="21"/>
          <w:highlight w:val="none"/>
          <w:lang w:bidi="ar"/>
        </w:rPr>
        <w:t>：                                               项目编号：</w:t>
      </w:r>
    </w:p>
    <w:p>
      <w:pPr>
        <w:pStyle w:val="21"/>
        <w:widowControl w:val="0"/>
        <w:snapToGrid w:val="0"/>
        <w:spacing w:before="0" w:beforeAutospacing="0" w:after="0" w:afterAutospacing="0" w:line="360" w:lineRule="auto"/>
        <w:jc w:val="right"/>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单位：人民币元</w:t>
      </w:r>
    </w:p>
    <w:tbl>
      <w:tblPr>
        <w:tblStyle w:val="23"/>
        <w:tblW w:w="9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0"/>
        <w:gridCol w:w="2101"/>
        <w:gridCol w:w="1718"/>
        <w:gridCol w:w="3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60" w:type="dxa"/>
            <w:noWrap w:val="0"/>
            <w:vAlign w:val="center"/>
          </w:tcPr>
          <w:p>
            <w:pPr>
              <w:snapToGrid w:val="0"/>
              <w:spacing w:line="360" w:lineRule="auto"/>
              <w:jc w:val="center"/>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lang w:eastAsia="zh-CN"/>
              </w:rPr>
              <w:t>标项</w:t>
            </w:r>
            <w:r>
              <w:rPr>
                <w:rFonts w:hint="eastAsia" w:ascii="宋体" w:hAnsi="宋体" w:eastAsia="宋体" w:cs="宋体"/>
                <w:b/>
                <w:bCs/>
                <w:color w:val="auto"/>
                <w:szCs w:val="21"/>
                <w:highlight w:val="none"/>
              </w:rPr>
              <w:t>号</w:t>
            </w:r>
          </w:p>
        </w:tc>
        <w:tc>
          <w:tcPr>
            <w:tcW w:w="2101" w:type="dxa"/>
            <w:noWrap w:val="0"/>
            <w:vAlign w:val="center"/>
          </w:tcPr>
          <w:p>
            <w:pPr>
              <w:snapToGrid w:val="0"/>
              <w:spacing w:line="360" w:lineRule="auto"/>
              <w:jc w:val="center"/>
              <w:rPr>
                <w:rFonts w:hint="eastAsia" w:ascii="宋体" w:hAnsi="宋体" w:eastAsia="宋体" w:cs="宋体"/>
                <w:b/>
                <w:bCs/>
                <w:color w:val="auto"/>
                <w:szCs w:val="21"/>
                <w:highlight w:val="none"/>
              </w:rPr>
            </w:pPr>
            <w:r>
              <w:rPr>
                <w:rFonts w:hint="eastAsia" w:ascii="宋体" w:hAnsi="宋体" w:cs="宋体"/>
                <w:b/>
                <w:bCs/>
                <w:color w:val="auto"/>
                <w:szCs w:val="21"/>
                <w:highlight w:val="none"/>
                <w:lang w:val="en-US" w:eastAsia="zh-CN"/>
              </w:rPr>
              <w:t>采购</w:t>
            </w:r>
            <w:r>
              <w:rPr>
                <w:rFonts w:hint="eastAsia" w:ascii="宋体" w:hAnsi="宋体" w:eastAsia="宋体" w:cs="宋体"/>
                <w:b/>
                <w:bCs/>
                <w:color w:val="auto"/>
                <w:szCs w:val="21"/>
                <w:highlight w:val="none"/>
              </w:rPr>
              <w:t>内容</w:t>
            </w:r>
          </w:p>
        </w:tc>
        <w:tc>
          <w:tcPr>
            <w:tcW w:w="1718" w:type="dxa"/>
            <w:noWrap w:val="0"/>
            <w:vAlign w:val="center"/>
          </w:tcPr>
          <w:p>
            <w:pPr>
              <w:snapToGrid w:val="0"/>
              <w:spacing w:line="360" w:lineRule="auto"/>
              <w:jc w:val="center"/>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rPr>
              <w:t>数量</w:t>
            </w:r>
          </w:p>
        </w:tc>
        <w:tc>
          <w:tcPr>
            <w:tcW w:w="3382" w:type="dxa"/>
            <w:noWrap w:val="0"/>
            <w:vAlign w:val="center"/>
          </w:tcPr>
          <w:p>
            <w:pPr>
              <w:snapToGrid w:val="0"/>
              <w:spacing w:line="360" w:lineRule="auto"/>
              <w:jc w:val="center"/>
              <w:rPr>
                <w:rFonts w:hint="default" w:ascii="宋体" w:hAnsi="宋体" w:eastAsia="宋体" w:cs="宋体"/>
                <w:b/>
                <w:bCs/>
                <w:color w:val="auto"/>
                <w:szCs w:val="21"/>
                <w:highlight w:val="none"/>
                <w:lang w:val="en-US" w:eastAsia="zh-CN"/>
              </w:rPr>
            </w:pPr>
            <w:r>
              <w:rPr>
                <w:rFonts w:hint="eastAsia" w:ascii="宋体" w:hAnsi="宋体" w:cs="宋体"/>
                <w:b/>
                <w:bCs/>
                <w:color w:val="auto"/>
                <w:szCs w:val="21"/>
                <w:highlight w:val="none"/>
                <w:lang w:val="en-US" w:eastAsia="zh-CN"/>
              </w:rPr>
              <w:t>合同履约期限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2060" w:type="dxa"/>
            <w:noWrap w:val="0"/>
            <w:vAlign w:val="center"/>
          </w:tcPr>
          <w:p>
            <w:pPr>
              <w:snapToGrid w:val="0"/>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一</w:t>
            </w:r>
          </w:p>
        </w:tc>
        <w:tc>
          <w:tcPr>
            <w:tcW w:w="2101" w:type="dxa"/>
            <w:noWrap w:val="0"/>
            <w:vAlign w:val="center"/>
          </w:tcPr>
          <w:p>
            <w:pPr>
              <w:snapToGrid w:val="0"/>
              <w:spacing w:line="360" w:lineRule="auto"/>
              <w:jc w:val="center"/>
              <w:rPr>
                <w:rFonts w:hint="eastAsia" w:ascii="宋体" w:hAnsi="宋体" w:eastAsia="宋体" w:cs="宋体"/>
                <w:color w:val="auto"/>
                <w:szCs w:val="21"/>
                <w:highlight w:val="none"/>
              </w:rPr>
            </w:pPr>
          </w:p>
        </w:tc>
        <w:tc>
          <w:tcPr>
            <w:tcW w:w="1718" w:type="dxa"/>
            <w:noWrap w:val="0"/>
            <w:vAlign w:val="center"/>
          </w:tcPr>
          <w:p>
            <w:pPr>
              <w:snapToGrid w:val="0"/>
              <w:spacing w:line="360" w:lineRule="auto"/>
              <w:rPr>
                <w:rFonts w:hint="eastAsia" w:ascii="宋体" w:hAnsi="宋体" w:eastAsia="宋体" w:cs="宋体"/>
                <w:color w:val="auto"/>
                <w:szCs w:val="21"/>
                <w:highlight w:val="none"/>
              </w:rPr>
            </w:pPr>
          </w:p>
        </w:tc>
        <w:tc>
          <w:tcPr>
            <w:tcW w:w="3382" w:type="dxa"/>
            <w:noWrap w:val="0"/>
            <w:vAlign w:val="center"/>
          </w:tcPr>
          <w:p>
            <w:pPr>
              <w:snapToGrid w:val="0"/>
              <w:spacing w:line="360" w:lineRule="auto"/>
              <w:jc w:val="center"/>
              <w:rPr>
                <w:rFonts w:hint="eastAsia" w:ascii="宋体" w:hAnsi="宋体" w:eastAsia="宋体" w:cs="宋体"/>
                <w:color w:val="auto"/>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4161" w:type="dxa"/>
            <w:gridSpan w:val="2"/>
            <w:noWrap w:val="0"/>
            <w:vAlign w:val="center"/>
          </w:tcPr>
          <w:p>
            <w:pPr>
              <w:snapToGrid w:val="0"/>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投标总价（</w:t>
            </w:r>
            <w:r>
              <w:rPr>
                <w:rFonts w:hint="eastAsia" w:ascii="宋体" w:hAnsi="宋体" w:cs="宋体"/>
                <w:color w:val="auto"/>
                <w:szCs w:val="21"/>
                <w:highlight w:val="none"/>
                <w:lang w:val="en-US" w:eastAsia="zh-CN"/>
              </w:rPr>
              <w:t>元</w:t>
            </w:r>
            <w:r>
              <w:rPr>
                <w:rFonts w:hint="eastAsia" w:ascii="宋体" w:hAnsi="宋体" w:eastAsia="宋体" w:cs="宋体"/>
                <w:color w:val="auto"/>
                <w:szCs w:val="21"/>
                <w:highlight w:val="none"/>
                <w:lang w:eastAsia="zh-CN"/>
              </w:rPr>
              <w:t>）</w:t>
            </w:r>
          </w:p>
        </w:tc>
        <w:tc>
          <w:tcPr>
            <w:tcW w:w="5100" w:type="dxa"/>
            <w:gridSpan w:val="2"/>
            <w:noWrap w:val="0"/>
            <w:vAlign w:val="center"/>
          </w:tcPr>
          <w:p>
            <w:pPr>
              <w:snapToGrid w:val="0"/>
              <w:spacing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小写：</w:t>
            </w:r>
          </w:p>
          <w:p>
            <w:pPr>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3" w:hRule="atLeast"/>
          <w:jc w:val="center"/>
        </w:trPr>
        <w:tc>
          <w:tcPr>
            <w:tcW w:w="2060" w:type="dxa"/>
            <w:noWrap w:val="0"/>
            <w:vAlign w:val="center"/>
          </w:tcPr>
          <w:p>
            <w:pPr>
              <w:snapToGrid w:val="0"/>
              <w:spacing w:line="360" w:lineRule="auto"/>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投标声明</w:t>
            </w:r>
          </w:p>
        </w:tc>
        <w:tc>
          <w:tcPr>
            <w:tcW w:w="7201" w:type="dxa"/>
            <w:gridSpan w:val="3"/>
            <w:noWrap w:val="0"/>
            <w:vAlign w:val="center"/>
          </w:tcPr>
          <w:p>
            <w:pPr>
              <w:snapToGrid w:val="0"/>
              <w:spacing w:line="360" w:lineRule="auto"/>
              <w:jc w:val="center"/>
              <w:rPr>
                <w:rFonts w:hint="eastAsia" w:ascii="宋体" w:hAnsi="宋体" w:eastAsia="宋体" w:cs="宋体"/>
                <w:color w:val="auto"/>
                <w:szCs w:val="21"/>
                <w:highlight w:val="none"/>
              </w:rPr>
            </w:pPr>
          </w:p>
        </w:tc>
      </w:tr>
    </w:tbl>
    <w:p>
      <w:pPr>
        <w:pStyle w:val="21"/>
        <w:widowControl w:val="0"/>
        <w:spacing w:before="0" w:beforeAutospacing="0" w:after="0" w:afterAutospacing="0" w:line="360" w:lineRule="auto"/>
        <w:jc w:val="both"/>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注：1、若</w:t>
      </w:r>
      <w:r>
        <w:rPr>
          <w:rFonts w:hint="eastAsia" w:ascii="宋体" w:hAnsi="宋体" w:eastAsia="宋体" w:cs="宋体"/>
          <w:color w:val="auto"/>
          <w:spacing w:val="-4"/>
          <w:kern w:val="2"/>
          <w:sz w:val="21"/>
          <w:szCs w:val="21"/>
          <w:highlight w:val="none"/>
          <w:lang w:eastAsia="zh-CN" w:bidi="ar"/>
        </w:rPr>
        <w:t>供应商</w:t>
      </w:r>
      <w:r>
        <w:rPr>
          <w:rFonts w:hint="eastAsia" w:ascii="宋体" w:hAnsi="宋体" w:eastAsia="宋体" w:cs="宋体"/>
          <w:color w:val="auto"/>
          <w:spacing w:val="-4"/>
          <w:kern w:val="2"/>
          <w:sz w:val="21"/>
          <w:szCs w:val="21"/>
          <w:highlight w:val="none"/>
          <w:lang w:bidi="ar"/>
        </w:rPr>
        <w:t>尚有其它内容需明列的，请按此表格式扩展。</w:t>
      </w:r>
    </w:p>
    <w:p>
      <w:pPr>
        <w:pStyle w:val="21"/>
        <w:widowControl w:val="0"/>
        <w:numPr>
          <w:ilvl w:val="0"/>
          <w:numId w:val="0"/>
        </w:numPr>
        <w:spacing w:before="0" w:beforeAutospacing="0" w:after="0" w:afterAutospacing="0" w:line="360" w:lineRule="auto"/>
        <w:ind w:leftChars="196"/>
        <w:jc w:val="both"/>
        <w:rPr>
          <w:rFonts w:hint="eastAsia" w:ascii="宋体" w:hAnsi="宋体" w:eastAsia="宋体" w:cs="宋体"/>
          <w:color w:val="auto"/>
          <w:spacing w:val="-4"/>
          <w:kern w:val="2"/>
          <w:sz w:val="21"/>
          <w:szCs w:val="21"/>
          <w:highlight w:val="none"/>
          <w:lang w:bidi="ar"/>
        </w:rPr>
      </w:pPr>
      <w:r>
        <w:rPr>
          <w:rFonts w:hint="eastAsia" w:ascii="宋体" w:hAnsi="宋体" w:cs="宋体"/>
          <w:color w:val="auto"/>
          <w:spacing w:val="-4"/>
          <w:kern w:val="2"/>
          <w:sz w:val="21"/>
          <w:szCs w:val="21"/>
          <w:highlight w:val="none"/>
          <w:lang w:val="en-US" w:eastAsia="zh-CN" w:bidi="ar"/>
        </w:rPr>
        <w:t>2、</w:t>
      </w:r>
      <w:r>
        <w:rPr>
          <w:rFonts w:hint="eastAsia" w:ascii="宋体" w:hAnsi="宋体" w:eastAsia="宋体" w:cs="宋体"/>
          <w:color w:val="auto"/>
          <w:spacing w:val="-4"/>
          <w:kern w:val="2"/>
          <w:sz w:val="21"/>
          <w:szCs w:val="21"/>
          <w:highlight w:val="none"/>
          <w:lang w:bidi="ar"/>
        </w:rPr>
        <w:t>以上</w:t>
      </w:r>
      <w:r>
        <w:rPr>
          <w:rFonts w:hint="eastAsia" w:ascii="宋体" w:hAnsi="宋体" w:eastAsia="宋体" w:cs="宋体"/>
          <w:color w:val="auto"/>
          <w:spacing w:val="-4"/>
          <w:kern w:val="2"/>
          <w:sz w:val="21"/>
          <w:szCs w:val="21"/>
          <w:highlight w:val="none"/>
          <w:lang w:eastAsia="zh-CN" w:bidi="ar"/>
        </w:rPr>
        <w:t>“</w:t>
      </w:r>
      <w:r>
        <w:rPr>
          <w:rFonts w:hint="eastAsia" w:ascii="宋体" w:hAnsi="宋体" w:cs="宋体"/>
          <w:color w:val="auto"/>
          <w:spacing w:val="-4"/>
          <w:kern w:val="2"/>
          <w:sz w:val="21"/>
          <w:szCs w:val="21"/>
          <w:highlight w:val="none"/>
          <w:lang w:val="en-US" w:eastAsia="zh-CN" w:bidi="ar"/>
        </w:rPr>
        <w:t>投标总价</w:t>
      </w:r>
      <w:r>
        <w:rPr>
          <w:rFonts w:hint="eastAsia" w:ascii="宋体" w:hAnsi="宋体" w:eastAsia="宋体" w:cs="宋体"/>
          <w:color w:val="auto"/>
          <w:spacing w:val="-4"/>
          <w:kern w:val="2"/>
          <w:sz w:val="21"/>
          <w:szCs w:val="21"/>
          <w:highlight w:val="none"/>
          <w:lang w:eastAsia="zh-CN" w:bidi="ar"/>
        </w:rPr>
        <w:t>”</w:t>
      </w:r>
      <w:r>
        <w:rPr>
          <w:rFonts w:hint="eastAsia" w:ascii="宋体" w:hAnsi="宋体" w:eastAsia="宋体" w:cs="宋体"/>
          <w:color w:val="auto"/>
          <w:spacing w:val="-4"/>
          <w:kern w:val="2"/>
          <w:sz w:val="21"/>
          <w:szCs w:val="21"/>
          <w:highlight w:val="none"/>
          <w:lang w:bidi="ar"/>
        </w:rPr>
        <w:t>应与“</w:t>
      </w:r>
      <w:r>
        <w:rPr>
          <w:rFonts w:hint="eastAsia" w:ascii="宋体" w:hAnsi="宋体" w:cs="宋体"/>
          <w:color w:val="auto"/>
          <w:spacing w:val="-4"/>
          <w:kern w:val="2"/>
          <w:sz w:val="21"/>
          <w:szCs w:val="21"/>
          <w:highlight w:val="none"/>
          <w:lang w:val="en-US" w:eastAsia="zh-CN" w:bidi="ar"/>
        </w:rPr>
        <w:t>投标报价明细表</w:t>
      </w:r>
      <w:r>
        <w:rPr>
          <w:rFonts w:hint="eastAsia" w:ascii="宋体" w:hAnsi="宋体" w:eastAsia="宋体" w:cs="宋体"/>
          <w:color w:val="auto"/>
          <w:spacing w:val="-4"/>
          <w:kern w:val="2"/>
          <w:sz w:val="21"/>
          <w:szCs w:val="21"/>
          <w:highlight w:val="none"/>
          <w:lang w:bidi="ar"/>
        </w:rPr>
        <w:t>”中的“</w:t>
      </w:r>
      <w:r>
        <w:rPr>
          <w:rFonts w:hint="eastAsia" w:ascii="宋体" w:hAnsi="宋体" w:cs="宋体"/>
          <w:color w:val="auto"/>
          <w:spacing w:val="-4"/>
          <w:kern w:val="2"/>
          <w:sz w:val="21"/>
          <w:szCs w:val="21"/>
          <w:highlight w:val="none"/>
          <w:lang w:val="en-US" w:eastAsia="zh-CN" w:bidi="ar"/>
        </w:rPr>
        <w:t>投标总价</w:t>
      </w:r>
      <w:r>
        <w:rPr>
          <w:rFonts w:hint="eastAsia" w:ascii="宋体" w:hAnsi="宋体" w:eastAsia="宋体" w:cs="宋体"/>
          <w:color w:val="auto"/>
          <w:spacing w:val="-4"/>
          <w:kern w:val="2"/>
          <w:sz w:val="21"/>
          <w:szCs w:val="21"/>
          <w:highlight w:val="none"/>
          <w:lang w:bidi="ar"/>
        </w:rPr>
        <w:t>”相一致。</w:t>
      </w:r>
    </w:p>
    <w:p>
      <w:pPr>
        <w:pStyle w:val="21"/>
        <w:widowControl w:val="0"/>
        <w:snapToGrid w:val="0"/>
        <w:spacing w:before="0" w:beforeAutospacing="0" w:after="0" w:afterAutospacing="0" w:line="360" w:lineRule="auto"/>
        <w:ind w:left="-178" w:leftChars="-85" w:firstLine="301"/>
        <w:jc w:val="both"/>
        <w:rPr>
          <w:rFonts w:hint="eastAsia" w:ascii="宋体" w:hAnsi="宋体" w:eastAsia="宋体" w:cs="宋体"/>
          <w:color w:val="auto"/>
          <w:spacing w:val="-4"/>
          <w:kern w:val="2"/>
          <w:sz w:val="21"/>
          <w:szCs w:val="21"/>
          <w:highlight w:val="none"/>
          <w:lang w:bidi="ar"/>
        </w:rPr>
      </w:pPr>
    </w:p>
    <w:p>
      <w:pPr>
        <w:pStyle w:val="21"/>
        <w:widowControl w:val="0"/>
        <w:snapToGrid w:val="0"/>
        <w:spacing w:before="0" w:beforeAutospacing="0" w:after="0" w:afterAutospacing="0" w:line="360" w:lineRule="auto"/>
        <w:ind w:left="-178" w:leftChars="-85" w:firstLine="301"/>
        <w:jc w:val="both"/>
        <w:rPr>
          <w:rFonts w:hint="eastAsia" w:ascii="宋体" w:hAnsi="宋体" w:eastAsia="宋体" w:cs="宋体"/>
          <w:color w:val="auto"/>
          <w:sz w:val="21"/>
          <w:szCs w:val="21"/>
          <w:highlight w:val="none"/>
        </w:rPr>
      </w:pPr>
      <w:r>
        <w:rPr>
          <w:rFonts w:hint="eastAsia" w:ascii="宋体" w:hAnsi="宋体" w:eastAsia="宋体" w:cs="宋体"/>
          <w:color w:val="auto"/>
          <w:spacing w:val="-4"/>
          <w:kern w:val="2"/>
          <w:sz w:val="21"/>
          <w:szCs w:val="21"/>
          <w:highlight w:val="none"/>
          <w:lang w:bidi="ar"/>
        </w:rPr>
        <w:t>供 应 商 （盖章）：</w:t>
      </w:r>
    </w:p>
    <w:p>
      <w:pPr>
        <w:pStyle w:val="21"/>
        <w:widowControl w:val="0"/>
        <w:snapToGrid w:val="0"/>
        <w:spacing w:before="0" w:beforeAutospacing="0" w:after="0" w:afterAutospacing="0" w:line="360" w:lineRule="auto"/>
        <w:ind w:left="-178" w:leftChars="-85" w:firstLine="301"/>
        <w:jc w:val="both"/>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法定代表人或授权代表（签名或印章）：</w:t>
      </w:r>
    </w:p>
    <w:p>
      <w:pPr>
        <w:pStyle w:val="21"/>
        <w:widowControl w:val="0"/>
        <w:snapToGrid w:val="0"/>
        <w:spacing w:before="0" w:beforeAutospacing="0" w:after="0" w:afterAutospacing="0" w:line="360" w:lineRule="auto"/>
        <w:ind w:left="-178" w:leftChars="-85" w:firstLine="301"/>
        <w:jc w:val="both"/>
        <w:rPr>
          <w:rFonts w:hint="eastAsia" w:ascii="宋体" w:hAnsi="宋体" w:eastAsia="宋体" w:cs="宋体"/>
          <w:color w:val="auto"/>
          <w:spacing w:val="-4"/>
          <w:kern w:val="2"/>
          <w:sz w:val="21"/>
          <w:szCs w:val="21"/>
          <w:highlight w:val="none"/>
          <w:lang w:bidi="ar"/>
        </w:rPr>
      </w:pPr>
      <w:r>
        <w:rPr>
          <w:rFonts w:hint="eastAsia" w:ascii="宋体" w:hAnsi="宋体" w:eastAsia="宋体" w:cs="宋体"/>
          <w:color w:val="auto"/>
          <w:spacing w:val="-4"/>
          <w:kern w:val="2"/>
          <w:sz w:val="21"/>
          <w:szCs w:val="21"/>
          <w:highlight w:val="none"/>
          <w:lang w:bidi="ar"/>
        </w:rPr>
        <w:t>日     期：</w:t>
      </w:r>
    </w:p>
    <w:p>
      <w:pPr>
        <w:snapToGrid w:val="0"/>
        <w:rPr>
          <w:rFonts w:hint="eastAsia" w:ascii="宋体" w:hAnsi="宋体" w:eastAsia="宋体" w:cs="宋体"/>
          <w:b/>
          <w:bCs/>
          <w:color w:val="auto"/>
          <w:szCs w:val="21"/>
          <w:highlight w:val="none"/>
        </w:rPr>
      </w:pPr>
    </w:p>
    <w:p>
      <w:pPr>
        <w:keepNext w:val="0"/>
        <w:keepLines w:val="0"/>
        <w:pageBreakBefore w:val="0"/>
        <w:widowControl w:val="0"/>
        <w:kinsoku/>
        <w:wordWrap/>
        <w:overflowPunct/>
        <w:topLinePunct w:val="0"/>
        <w:autoSpaceDE/>
        <w:autoSpaceDN/>
        <w:bidi w:val="0"/>
        <w:adjustRightInd/>
        <w:snapToGrid w:val="0"/>
        <w:ind w:right="0"/>
        <w:textAlignment w:val="auto"/>
        <w:rPr>
          <w:rFonts w:hint="eastAsia" w:ascii="宋体" w:hAnsi="宋体" w:eastAsia="宋体" w:cs="宋体"/>
          <w:b/>
          <w:bCs/>
          <w:color w:val="auto"/>
          <w:highlight w:val="none"/>
          <w:lang w:bidi="ar"/>
        </w:rPr>
      </w:pPr>
      <w:r>
        <w:rPr>
          <w:rFonts w:hint="eastAsia" w:ascii="宋体" w:hAnsi="宋体" w:eastAsia="宋体" w:cs="宋体"/>
          <w:b/>
          <w:bCs/>
          <w:color w:val="auto"/>
          <w:szCs w:val="21"/>
          <w:highlight w:val="none"/>
        </w:rPr>
        <w:br w:type="page"/>
      </w:r>
      <w:r>
        <w:rPr>
          <w:rFonts w:hint="eastAsia" w:ascii="宋体" w:hAnsi="宋体" w:eastAsia="宋体" w:cs="宋体"/>
          <w:b/>
          <w:bCs/>
          <w:color w:val="auto"/>
          <w:highlight w:val="none"/>
          <w:lang w:bidi="ar"/>
        </w:rPr>
        <w:t>（</w:t>
      </w:r>
      <w:r>
        <w:rPr>
          <w:rFonts w:hint="eastAsia" w:ascii="宋体" w:hAnsi="宋体" w:eastAsia="宋体" w:cs="宋体"/>
          <w:b/>
          <w:bCs/>
          <w:color w:val="auto"/>
          <w:highlight w:val="none"/>
          <w:lang w:val="en-US" w:eastAsia="zh-CN" w:bidi="ar"/>
        </w:rPr>
        <w:t>2</w:t>
      </w:r>
      <w:r>
        <w:rPr>
          <w:rFonts w:hint="eastAsia" w:ascii="宋体" w:hAnsi="宋体" w:eastAsia="宋体" w:cs="宋体"/>
          <w:b/>
          <w:bCs/>
          <w:color w:val="auto"/>
          <w:highlight w:val="none"/>
          <w:lang w:bidi="ar"/>
        </w:rPr>
        <w:t xml:space="preserve">）投标报价明细表    </w:t>
      </w:r>
    </w:p>
    <w:tbl>
      <w:tblPr>
        <w:tblStyle w:val="23"/>
        <w:tblW w:w="8947" w:type="dxa"/>
        <w:jc w:val="center"/>
        <w:tblLayout w:type="fixed"/>
        <w:tblCellMar>
          <w:top w:w="0" w:type="dxa"/>
          <w:left w:w="108" w:type="dxa"/>
          <w:bottom w:w="0" w:type="dxa"/>
          <w:right w:w="108" w:type="dxa"/>
        </w:tblCellMar>
      </w:tblPr>
      <w:tblGrid>
        <w:gridCol w:w="817"/>
        <w:gridCol w:w="3835"/>
        <w:gridCol w:w="1610"/>
        <w:gridCol w:w="1253"/>
        <w:gridCol w:w="1432"/>
      </w:tblGrid>
      <w:tr>
        <w:tblPrEx>
          <w:tblCellMar>
            <w:top w:w="0" w:type="dxa"/>
            <w:left w:w="108" w:type="dxa"/>
            <w:bottom w:w="0" w:type="dxa"/>
            <w:right w:w="108" w:type="dxa"/>
          </w:tblCellMar>
        </w:tblPrEx>
        <w:trPr>
          <w:trHeight w:val="673"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lang w:bidi="ar"/>
              </w:rPr>
              <w:t>序号</w:t>
            </w:r>
          </w:p>
        </w:tc>
        <w:tc>
          <w:tcPr>
            <w:tcW w:w="3835"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lang w:bidi="ar"/>
              </w:rPr>
              <w:t>项目内容</w:t>
            </w:r>
          </w:p>
        </w:tc>
        <w:tc>
          <w:tcPr>
            <w:tcW w:w="1610"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lang w:bidi="ar"/>
              </w:rPr>
              <w:t>单位及数量</w:t>
            </w:r>
          </w:p>
        </w:tc>
        <w:tc>
          <w:tcPr>
            <w:tcW w:w="1253"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cs="宋体"/>
                <w:color w:val="auto"/>
                <w:spacing w:val="20"/>
                <w:szCs w:val="21"/>
                <w:highlight w:val="none"/>
              </w:rPr>
            </w:pPr>
            <w:r>
              <w:rPr>
                <w:rFonts w:hint="eastAsia" w:ascii="宋体" w:hAnsi="宋体" w:eastAsia="宋体" w:cs="宋体"/>
                <w:color w:val="auto"/>
                <w:szCs w:val="21"/>
                <w:highlight w:val="none"/>
                <w:lang w:bidi="ar"/>
              </w:rPr>
              <w:t>单价</w:t>
            </w:r>
          </w:p>
        </w:tc>
        <w:tc>
          <w:tcPr>
            <w:tcW w:w="1432" w:type="dxa"/>
            <w:tcBorders>
              <w:top w:val="single" w:color="auto" w:sz="4" w:space="0"/>
              <w:left w:val="nil"/>
              <w:bottom w:val="single" w:color="auto" w:sz="4" w:space="0"/>
              <w:right w:val="single" w:color="auto" w:sz="4" w:space="0"/>
            </w:tcBorders>
            <w:noWrap w:val="0"/>
            <w:vAlign w:val="center"/>
          </w:tcPr>
          <w:p>
            <w:pPr>
              <w:snapToGrid w:val="0"/>
              <w:spacing w:before="50" w:after="50" w:line="360" w:lineRule="auto"/>
              <w:jc w:val="center"/>
              <w:rPr>
                <w:rFonts w:hint="eastAsia" w:ascii="宋体" w:hAnsi="宋体" w:eastAsia="宋体" w:cs="宋体"/>
                <w:color w:val="auto"/>
                <w:spacing w:val="20"/>
                <w:szCs w:val="21"/>
                <w:highlight w:val="none"/>
              </w:rPr>
            </w:pPr>
            <w:r>
              <w:rPr>
                <w:rFonts w:hint="eastAsia" w:ascii="宋体" w:hAnsi="宋体" w:cs="宋体"/>
                <w:color w:val="auto"/>
                <w:szCs w:val="21"/>
                <w:highlight w:val="none"/>
                <w:lang w:val="en-US" w:eastAsia="zh-CN" w:bidi="ar"/>
              </w:rPr>
              <w:t>合计</w:t>
            </w:r>
            <w:r>
              <w:rPr>
                <w:rFonts w:hint="eastAsia" w:ascii="宋体" w:hAnsi="宋体" w:eastAsia="宋体" w:cs="宋体"/>
                <w:color w:val="auto"/>
                <w:szCs w:val="21"/>
                <w:highlight w:val="none"/>
                <w:lang w:bidi="ar"/>
              </w:rPr>
              <w:t>（元）</w:t>
            </w: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lang w:val="en-US" w:eastAsia="zh-CN"/>
              </w:rPr>
            </w:pPr>
            <w:r>
              <w:rPr>
                <w:rFonts w:hint="eastAsia" w:ascii="宋体" w:hAnsi="宋体" w:cs="宋体"/>
                <w:color w:val="auto"/>
                <w:spacing w:val="20"/>
                <w:szCs w:val="21"/>
                <w:highlight w:val="none"/>
                <w:lang w:val="en-US" w:eastAsia="zh-CN"/>
              </w:rPr>
              <w:t>1</w:t>
            </w: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lang w:val="en-US" w:eastAsia="zh-CN"/>
              </w:rPr>
              <w:t>设备建设费</w:t>
            </w: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lang w:val="en-US" w:eastAsia="zh-CN"/>
              </w:rPr>
            </w:pPr>
            <w:r>
              <w:rPr>
                <w:rFonts w:hint="eastAsia" w:ascii="宋体" w:hAnsi="宋体" w:cs="宋体"/>
                <w:color w:val="auto"/>
                <w:spacing w:val="20"/>
                <w:szCs w:val="21"/>
                <w:highlight w:val="none"/>
                <w:lang w:val="en-US" w:eastAsia="zh-CN"/>
              </w:rPr>
              <w:t>2</w:t>
            </w: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r>
              <w:rPr>
                <w:rFonts w:hint="eastAsia" w:ascii="宋体" w:hAnsi="宋体" w:eastAsia="宋体" w:cs="宋体"/>
                <w:color w:val="auto"/>
                <w:spacing w:val="20"/>
                <w:szCs w:val="21"/>
                <w:highlight w:val="none"/>
                <w:lang w:val="en-US" w:eastAsia="zh-CN"/>
              </w:rPr>
              <w:t>无人机巡查服务费</w:t>
            </w: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lang w:eastAsia="zh-CN"/>
              </w:rPr>
            </w:pPr>
            <w:r>
              <w:rPr>
                <w:rFonts w:hint="eastAsia" w:ascii="宋体" w:hAnsi="宋体" w:cs="宋体"/>
                <w:color w:val="auto"/>
                <w:spacing w:val="20"/>
                <w:szCs w:val="21"/>
                <w:highlight w:val="none"/>
                <w:lang w:eastAsia="zh-CN"/>
              </w:rPr>
              <w:t>……</w:t>
            </w: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369"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351"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452"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520" w:hRule="atLeast"/>
          <w:jc w:val="center"/>
        </w:trPr>
        <w:tc>
          <w:tcPr>
            <w:tcW w:w="817"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3835"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rPr>
                <w:rFonts w:hint="eastAsia" w:ascii="宋体" w:hAnsi="宋体" w:eastAsia="宋体" w:cs="宋体"/>
                <w:color w:val="auto"/>
                <w:spacing w:val="20"/>
                <w:szCs w:val="21"/>
                <w:highlight w:val="none"/>
              </w:rPr>
            </w:pPr>
          </w:p>
        </w:tc>
        <w:tc>
          <w:tcPr>
            <w:tcW w:w="1610"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253"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r>
        <w:tblPrEx>
          <w:tblCellMar>
            <w:top w:w="0" w:type="dxa"/>
            <w:left w:w="108" w:type="dxa"/>
            <w:bottom w:w="0" w:type="dxa"/>
            <w:right w:w="108" w:type="dxa"/>
          </w:tblCellMar>
        </w:tblPrEx>
        <w:trPr>
          <w:trHeight w:val="643" w:hRule="atLeast"/>
          <w:jc w:val="center"/>
        </w:trPr>
        <w:tc>
          <w:tcPr>
            <w:tcW w:w="7515"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lang w:bidi="ar"/>
              </w:rPr>
            </w:pPr>
            <w:r>
              <w:rPr>
                <w:rFonts w:hint="eastAsia" w:ascii="宋体" w:hAnsi="宋体" w:eastAsia="宋体" w:cs="宋体"/>
                <w:color w:val="auto"/>
                <w:spacing w:val="20"/>
                <w:szCs w:val="21"/>
                <w:highlight w:val="none"/>
                <w:lang w:bidi="ar"/>
              </w:rPr>
              <w:t>投标</w:t>
            </w:r>
            <w:r>
              <w:rPr>
                <w:rFonts w:hint="eastAsia" w:ascii="宋体" w:hAnsi="宋体" w:eastAsia="宋体" w:cs="宋体"/>
                <w:color w:val="auto"/>
                <w:spacing w:val="20"/>
                <w:szCs w:val="21"/>
                <w:highlight w:val="none"/>
                <w:lang w:eastAsia="zh-CN" w:bidi="ar"/>
              </w:rPr>
              <w:t>总价（元）</w:t>
            </w:r>
          </w:p>
        </w:tc>
        <w:tc>
          <w:tcPr>
            <w:tcW w:w="1432" w:type="dxa"/>
            <w:tcBorders>
              <w:top w:val="single" w:color="auto" w:sz="4" w:space="0"/>
              <w:left w:val="nil"/>
              <w:bottom w:val="single" w:color="auto" w:sz="4" w:space="0"/>
              <w:right w:val="single" w:color="auto" w:sz="4" w:space="0"/>
            </w:tcBorders>
            <w:noWrap w:val="0"/>
            <w:vAlign w:val="top"/>
          </w:tcPr>
          <w:p>
            <w:pPr>
              <w:snapToGrid w:val="0"/>
              <w:spacing w:before="50" w:after="50" w:line="360" w:lineRule="auto"/>
              <w:jc w:val="center"/>
              <w:rPr>
                <w:rFonts w:hint="eastAsia" w:ascii="宋体" w:hAnsi="宋体" w:eastAsia="宋体" w:cs="宋体"/>
                <w:color w:val="auto"/>
                <w:spacing w:val="20"/>
                <w:szCs w:val="21"/>
                <w:highlight w:val="none"/>
              </w:rPr>
            </w:pPr>
          </w:p>
        </w:tc>
      </w:tr>
    </w:tbl>
    <w:p>
      <w:pPr>
        <w:rPr>
          <w:rFonts w:hint="eastAsia" w:ascii="宋体" w:hAnsi="宋体" w:eastAsia="宋体" w:cs="宋体"/>
          <w:color w:val="auto"/>
          <w:highlight w:val="none"/>
          <w:lang w:val="en-US" w:eastAsia="zh-CN"/>
        </w:rPr>
      </w:pPr>
      <w:r>
        <w:rPr>
          <w:rFonts w:hint="eastAsia" w:ascii="宋体" w:hAnsi="宋体" w:eastAsia="宋体" w:cs="宋体"/>
          <w:b w:val="0"/>
          <w:bCs/>
          <w:color w:val="auto"/>
          <w:szCs w:val="21"/>
          <w:highlight w:val="none"/>
        </w:rPr>
        <w:t>注：</w:t>
      </w:r>
      <w:r>
        <w:rPr>
          <w:rFonts w:hint="eastAsia" w:ascii="宋体" w:hAnsi="宋体" w:eastAsia="宋体" w:cs="宋体"/>
          <w:b w:val="0"/>
          <w:bCs/>
          <w:color w:val="auto"/>
          <w:szCs w:val="21"/>
          <w:highlight w:val="none"/>
          <w:lang w:val="en-US" w:eastAsia="zh-CN"/>
        </w:rPr>
        <w:t>1、</w:t>
      </w:r>
      <w:r>
        <w:rPr>
          <w:rFonts w:hint="eastAsia" w:ascii="宋体" w:hAnsi="宋体" w:eastAsia="宋体" w:cs="宋体"/>
          <w:b w:val="0"/>
          <w:bCs/>
          <w:color w:val="auto"/>
          <w:szCs w:val="21"/>
          <w:highlight w:val="none"/>
        </w:rPr>
        <w:t>投标单位可根据实际情况自行调整表格</w:t>
      </w:r>
      <w:r>
        <w:rPr>
          <w:rFonts w:hint="eastAsia" w:ascii="宋体" w:hAnsi="宋体" w:eastAsia="宋体" w:cs="宋体"/>
          <w:b w:val="0"/>
          <w:bCs/>
          <w:color w:val="auto"/>
          <w:szCs w:val="21"/>
          <w:highlight w:val="none"/>
          <w:lang w:val="en-US" w:eastAsia="zh-CN"/>
        </w:rPr>
        <w:t>。</w:t>
      </w:r>
    </w:p>
    <w:p>
      <w:pPr>
        <w:spacing w:line="360" w:lineRule="auto"/>
        <w:ind w:firstLine="4095" w:firstLineChars="1950"/>
        <w:rPr>
          <w:rFonts w:hint="eastAsia" w:ascii="宋体" w:hAnsi="宋体" w:eastAsia="宋体" w:cs="宋体"/>
          <w:color w:val="auto"/>
          <w:highlight w:val="none"/>
        </w:rPr>
      </w:pPr>
      <w:r>
        <w:rPr>
          <w:rFonts w:hint="eastAsia" w:ascii="宋体" w:hAnsi="宋体" w:eastAsia="宋体" w:cs="宋体"/>
          <w:color w:val="auto"/>
          <w:highlight w:val="none"/>
        </w:rPr>
        <w:t xml:space="preserve">法定代表人或授权代表（签名或印章）：        </w:t>
      </w:r>
    </w:p>
    <w:p>
      <w:pPr>
        <w:spacing w:line="360" w:lineRule="auto"/>
        <w:ind w:firstLine="5460" w:firstLineChars="2600"/>
        <w:rPr>
          <w:rFonts w:hint="eastAsia" w:ascii="宋体" w:hAnsi="宋体" w:eastAsia="宋体" w:cs="宋体"/>
          <w:color w:val="auto"/>
          <w:highlight w:val="none"/>
        </w:rPr>
      </w:pPr>
      <w:r>
        <w:rPr>
          <w:rFonts w:hint="eastAsia" w:ascii="宋体" w:hAnsi="宋体" w:eastAsia="宋体" w:cs="宋体"/>
          <w:color w:val="auto"/>
          <w:highlight w:val="none"/>
          <w:lang w:eastAsia="zh-CN"/>
        </w:rPr>
        <w:t>供应商</w:t>
      </w:r>
      <w:r>
        <w:rPr>
          <w:rFonts w:hint="eastAsia" w:ascii="宋体" w:hAnsi="宋体" w:eastAsia="宋体" w:cs="宋体"/>
          <w:color w:val="auto"/>
          <w:highlight w:val="none"/>
        </w:rPr>
        <w:t xml:space="preserve">盖章：         </w:t>
      </w:r>
    </w:p>
    <w:p>
      <w:pPr>
        <w:spacing w:line="360" w:lineRule="auto"/>
        <w:ind w:firstLine="5460" w:firstLineChars="2600"/>
        <w:rPr>
          <w:rFonts w:hint="eastAsia" w:ascii="宋体" w:hAnsi="宋体" w:eastAsia="宋体" w:cs="宋体"/>
          <w:b/>
          <w:bCs/>
          <w:color w:val="auto"/>
          <w:highlight w:val="none"/>
          <w:lang w:eastAsia="zh-CN" w:bidi="ar"/>
        </w:rPr>
      </w:pPr>
      <w:r>
        <w:rPr>
          <w:rFonts w:hint="eastAsia" w:ascii="宋体" w:hAnsi="宋体" w:eastAsia="宋体" w:cs="宋体"/>
          <w:color w:val="auto"/>
          <w:highlight w:val="none"/>
        </w:rPr>
        <w:t xml:space="preserve">日  期：  </w:t>
      </w:r>
    </w:p>
    <w:p>
      <w:pPr>
        <w:snapToGrid w:val="0"/>
        <w:ind w:right="840"/>
        <w:rPr>
          <w:rFonts w:hint="eastAsia" w:ascii="宋体" w:hAnsi="宋体" w:eastAsia="宋体" w:cs="宋体"/>
          <w:b/>
          <w:bCs/>
          <w:color w:val="auto"/>
          <w:highlight w:val="none"/>
          <w:lang w:eastAsia="zh-CN" w:bidi="ar"/>
        </w:rPr>
      </w:pPr>
    </w:p>
    <w:p>
      <w:pPr>
        <w:snapToGrid w:val="0"/>
        <w:ind w:right="840"/>
        <w:rPr>
          <w:rFonts w:hint="eastAsia" w:ascii="宋体" w:hAnsi="宋体" w:eastAsia="宋体" w:cs="宋体"/>
          <w:b/>
          <w:bCs/>
          <w:color w:val="auto"/>
          <w:highlight w:val="none"/>
          <w:lang w:eastAsia="zh-CN" w:bidi="ar"/>
        </w:rPr>
      </w:pPr>
    </w:p>
    <w:p>
      <w:pPr>
        <w:snapToGrid w:val="0"/>
        <w:ind w:right="840"/>
        <w:rPr>
          <w:rFonts w:hint="eastAsia" w:ascii="宋体" w:hAnsi="宋体" w:eastAsia="宋体" w:cs="宋体"/>
          <w:b/>
          <w:bCs/>
          <w:color w:val="auto"/>
          <w:highlight w:val="none"/>
          <w:lang w:eastAsia="zh-CN" w:bidi="ar"/>
        </w:rPr>
        <w:sectPr>
          <w:pgSz w:w="11906" w:h="16838"/>
          <w:pgMar w:top="1474" w:right="1797" w:bottom="1247" w:left="1797" w:header="851" w:footer="851" w:gutter="0"/>
          <w:pgBorders>
            <w:top w:val="none" w:sz="0" w:space="0"/>
            <w:left w:val="none" w:sz="0" w:space="0"/>
            <w:bottom w:val="none" w:sz="0" w:space="0"/>
            <w:right w:val="none" w:sz="0" w:space="0"/>
          </w:pgBorders>
          <w:pgNumType w:fmt="decimal"/>
          <w:cols w:space="720" w:num="1"/>
          <w:docGrid w:linePitch="312" w:charSpace="0"/>
        </w:sectPr>
      </w:pPr>
    </w:p>
    <w:p>
      <w:pPr>
        <w:snapToGrid w:val="0"/>
        <w:ind w:right="840"/>
        <w:rPr>
          <w:rFonts w:hint="eastAsia" w:ascii="宋体" w:hAnsi="宋体" w:eastAsia="宋体" w:cs="宋体"/>
          <w:b/>
          <w:bCs/>
          <w:i w:val="0"/>
          <w:iCs w:val="0"/>
          <w:color w:val="auto"/>
          <w:szCs w:val="21"/>
          <w:highlight w:val="none"/>
          <w:lang w:bidi="ar"/>
        </w:rPr>
      </w:pPr>
      <w:r>
        <w:rPr>
          <w:rFonts w:hint="eastAsia" w:ascii="宋体" w:hAnsi="宋体" w:eastAsia="宋体" w:cs="宋体"/>
          <w:b/>
          <w:bCs/>
          <w:i w:val="0"/>
          <w:iCs w:val="0"/>
          <w:color w:val="auto"/>
          <w:highlight w:val="none"/>
          <w:lang w:eastAsia="zh-CN" w:bidi="ar"/>
        </w:rPr>
        <w:t>（</w:t>
      </w:r>
      <w:r>
        <w:rPr>
          <w:rFonts w:hint="eastAsia" w:ascii="宋体" w:hAnsi="宋体" w:eastAsia="宋体" w:cs="宋体"/>
          <w:b/>
          <w:bCs/>
          <w:i w:val="0"/>
          <w:iCs w:val="0"/>
          <w:color w:val="auto"/>
          <w:highlight w:val="none"/>
          <w:lang w:val="en-US" w:eastAsia="zh-CN" w:bidi="ar"/>
        </w:rPr>
        <w:t>3</w:t>
      </w:r>
      <w:r>
        <w:rPr>
          <w:rFonts w:hint="eastAsia" w:ascii="宋体" w:hAnsi="宋体" w:eastAsia="宋体" w:cs="宋体"/>
          <w:b/>
          <w:bCs/>
          <w:i w:val="0"/>
          <w:iCs w:val="0"/>
          <w:color w:val="auto"/>
          <w:highlight w:val="none"/>
          <w:lang w:eastAsia="zh-CN" w:bidi="ar"/>
        </w:rPr>
        <w:t>）</w:t>
      </w:r>
      <w:r>
        <w:rPr>
          <w:rFonts w:hint="eastAsia" w:ascii="宋体" w:hAnsi="宋体" w:eastAsia="宋体" w:cs="宋体"/>
          <w:b/>
          <w:bCs/>
          <w:i w:val="0"/>
          <w:iCs w:val="0"/>
          <w:color w:val="auto"/>
          <w:highlight w:val="none"/>
          <w:lang w:bidi="ar"/>
        </w:rPr>
        <w:t>中小企业声明函格式</w:t>
      </w:r>
    </w:p>
    <w:p>
      <w:pPr>
        <w:pageBreakBefore w:val="0"/>
        <w:widowControl w:val="0"/>
        <w:kinsoku/>
        <w:wordWrap/>
        <w:overflowPunct/>
        <w:topLinePunct w:val="0"/>
        <w:autoSpaceDE/>
        <w:autoSpaceDN/>
        <w:bidi w:val="0"/>
        <w:adjustRightInd w:val="0"/>
        <w:spacing w:line="360" w:lineRule="auto"/>
        <w:jc w:val="center"/>
        <w:textAlignment w:val="baseline"/>
        <w:outlineLvl w:val="9"/>
        <w:rPr>
          <w:rFonts w:hint="eastAsia" w:ascii="宋体" w:hAnsi="宋体" w:eastAsia="宋体" w:cs="宋体"/>
          <w:b/>
          <w:i w:val="0"/>
          <w:iCs w:val="0"/>
          <w:color w:val="auto"/>
          <w:kern w:val="0"/>
          <w:sz w:val="21"/>
          <w:szCs w:val="21"/>
          <w:highlight w:val="none"/>
        </w:rPr>
      </w:pPr>
      <w:bookmarkStart w:id="106" w:name="_Toc25084"/>
      <w:r>
        <w:rPr>
          <w:rFonts w:hint="eastAsia" w:ascii="宋体" w:hAnsi="宋体" w:eastAsia="宋体" w:cs="宋体"/>
          <w:b/>
          <w:i w:val="0"/>
          <w:iCs w:val="0"/>
          <w:color w:val="auto"/>
          <w:kern w:val="0"/>
          <w:sz w:val="21"/>
          <w:szCs w:val="21"/>
          <w:highlight w:val="none"/>
          <w:lang w:bidi="ar"/>
        </w:rPr>
        <w:t>中小企业声明函</w:t>
      </w:r>
      <w:bookmarkEnd w:id="106"/>
    </w:p>
    <w:p>
      <w:pPr>
        <w:adjustRightInd w:val="0"/>
        <w:spacing w:line="500" w:lineRule="exact"/>
        <w:ind w:firstLine="42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本公司（联合体）郑重声明，根据《政府采购促进中小企业发展管理办法》（财库﹝2020﹞46 号）的规定，本公司（联合体）参加</w:t>
      </w:r>
      <w:r>
        <w:rPr>
          <w:rFonts w:hint="eastAsia" w:ascii="宋体" w:hAnsi="宋体" w:eastAsia="宋体" w:cs="宋体"/>
          <w:color w:val="auto"/>
          <w:kern w:val="0"/>
          <w:sz w:val="21"/>
          <w:szCs w:val="21"/>
          <w:highlight w:val="none"/>
          <w:u w:val="single"/>
        </w:rPr>
        <w:t>（单位名称）</w:t>
      </w:r>
      <w:r>
        <w:rPr>
          <w:rFonts w:hint="eastAsia" w:ascii="宋体" w:hAnsi="宋体" w:eastAsia="宋体" w:cs="宋体"/>
          <w:color w:val="auto"/>
          <w:kern w:val="0"/>
          <w:sz w:val="21"/>
          <w:szCs w:val="21"/>
          <w:highlight w:val="none"/>
        </w:rPr>
        <w:t>的</w:t>
      </w:r>
      <w:r>
        <w:rPr>
          <w:rFonts w:hint="eastAsia" w:ascii="宋体" w:hAnsi="宋体" w:eastAsia="宋体" w:cs="宋体"/>
          <w:color w:val="auto"/>
          <w:kern w:val="0"/>
          <w:sz w:val="21"/>
          <w:szCs w:val="21"/>
          <w:highlight w:val="none"/>
          <w:u w:val="single"/>
        </w:rPr>
        <w:t>（项目名称）</w:t>
      </w:r>
      <w:r>
        <w:rPr>
          <w:rFonts w:hint="eastAsia" w:ascii="宋体" w:hAnsi="宋体" w:eastAsia="宋体" w:cs="宋体"/>
          <w:color w:val="auto"/>
          <w:kern w:val="0"/>
          <w:sz w:val="21"/>
          <w:szCs w:val="21"/>
          <w:highlight w:val="none"/>
        </w:rPr>
        <w:t>采购活动，</w:t>
      </w:r>
      <w:r>
        <w:rPr>
          <w:rFonts w:hint="eastAsia" w:ascii="宋体" w:hAnsi="宋体" w:eastAsia="宋体" w:cs="宋体"/>
          <w:color w:val="auto"/>
          <w:kern w:val="0"/>
          <w:sz w:val="21"/>
          <w:szCs w:val="21"/>
          <w:highlight w:val="none"/>
          <w:lang w:val="en-US" w:eastAsia="zh-CN"/>
        </w:rPr>
        <w:t>服务</w:t>
      </w:r>
      <w:r>
        <w:rPr>
          <w:rFonts w:hint="eastAsia" w:ascii="宋体" w:hAnsi="宋体" w:eastAsia="宋体" w:cs="宋体"/>
          <w:color w:val="auto"/>
          <w:kern w:val="0"/>
          <w:sz w:val="21"/>
          <w:szCs w:val="21"/>
          <w:highlight w:val="none"/>
        </w:rPr>
        <w:t>全部由符合政策要求的中小企业</w:t>
      </w:r>
      <w:r>
        <w:rPr>
          <w:rFonts w:hint="eastAsia" w:ascii="宋体" w:hAnsi="宋体" w:eastAsia="宋体" w:cs="宋体"/>
          <w:color w:val="auto"/>
          <w:kern w:val="0"/>
          <w:sz w:val="21"/>
          <w:szCs w:val="21"/>
          <w:highlight w:val="none"/>
          <w:lang w:val="en-US" w:eastAsia="zh-CN"/>
        </w:rPr>
        <w:t>承接</w:t>
      </w:r>
      <w:r>
        <w:rPr>
          <w:rFonts w:hint="eastAsia" w:ascii="宋体" w:hAnsi="宋体" w:eastAsia="宋体" w:cs="宋体"/>
          <w:color w:val="auto"/>
          <w:kern w:val="0"/>
          <w:sz w:val="21"/>
          <w:szCs w:val="21"/>
          <w:highlight w:val="none"/>
        </w:rPr>
        <w:t>。相关企业（含联合体中的中小企业、签订分包意向协议的中小企业）的具体情况如下：</w:t>
      </w:r>
    </w:p>
    <w:p>
      <w:pPr>
        <w:adjustRightInd w:val="0"/>
        <w:spacing w:line="500" w:lineRule="exact"/>
        <w:ind w:firstLine="42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r>
        <w:rPr>
          <w:rFonts w:hint="eastAsia" w:ascii="宋体" w:hAnsi="宋体" w:eastAsia="宋体" w:cs="宋体"/>
          <w:i/>
          <w:color w:val="auto"/>
          <w:kern w:val="0"/>
          <w:sz w:val="21"/>
          <w:szCs w:val="21"/>
          <w:highlight w:val="none"/>
          <w:u w:val="single"/>
        </w:rPr>
        <w:t xml:space="preserve"> （标的名称） </w:t>
      </w:r>
      <w:r>
        <w:rPr>
          <w:rFonts w:hint="eastAsia" w:ascii="宋体" w:hAnsi="宋体" w:eastAsia="宋体" w:cs="宋体"/>
          <w:color w:val="auto"/>
          <w:kern w:val="0"/>
          <w:sz w:val="21"/>
          <w:szCs w:val="21"/>
          <w:highlight w:val="none"/>
        </w:rPr>
        <w:t>，属于</w:t>
      </w:r>
      <w:r>
        <w:rPr>
          <w:rFonts w:hint="eastAsia" w:ascii="宋体" w:hAnsi="宋体" w:eastAsia="宋体" w:cs="宋体"/>
          <w:i/>
          <w:color w:val="auto"/>
          <w:kern w:val="0"/>
          <w:sz w:val="21"/>
          <w:szCs w:val="21"/>
          <w:highlight w:val="none"/>
          <w:u w:val="single"/>
        </w:rPr>
        <w:t>（软件和信息技术服务业）</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承接企业</w:t>
      </w:r>
      <w:r>
        <w:rPr>
          <w:rFonts w:hint="eastAsia" w:ascii="宋体" w:hAnsi="宋体" w:eastAsia="宋体" w:cs="宋体"/>
          <w:color w:val="auto"/>
          <w:kern w:val="0"/>
          <w:sz w:val="21"/>
          <w:szCs w:val="21"/>
          <w:highlight w:val="none"/>
        </w:rPr>
        <w:t>为</w:t>
      </w:r>
      <w:r>
        <w:rPr>
          <w:rFonts w:hint="eastAsia" w:ascii="宋体" w:hAnsi="宋体" w:eastAsia="宋体" w:cs="宋体"/>
          <w:i/>
          <w:color w:val="auto"/>
          <w:kern w:val="0"/>
          <w:sz w:val="21"/>
          <w:szCs w:val="21"/>
          <w:highlight w:val="none"/>
          <w:u w:val="single"/>
        </w:rPr>
        <w:t>（企业名称）</w:t>
      </w:r>
      <w:r>
        <w:rPr>
          <w:rFonts w:hint="eastAsia" w:ascii="宋体" w:hAnsi="宋体" w:eastAsia="宋体" w:cs="宋体"/>
          <w:color w:val="auto"/>
          <w:kern w:val="0"/>
          <w:sz w:val="21"/>
          <w:szCs w:val="21"/>
          <w:highlight w:val="none"/>
        </w:rPr>
        <w:t>，从业人员</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人，营业收入为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万元，资产总额为</w:t>
      </w:r>
      <w:r>
        <w:rPr>
          <w:rFonts w:hint="eastAsia" w:ascii="宋体" w:hAnsi="宋体" w:eastAsia="宋体" w:cs="宋体"/>
          <w:color w:val="auto"/>
          <w:kern w:val="0"/>
          <w:sz w:val="21"/>
          <w:szCs w:val="21"/>
          <w:highlight w:val="none"/>
          <w:u w:val="single"/>
          <w:lang w:val="en-US" w:eastAsia="zh-CN"/>
        </w:rPr>
        <w:t xml:space="preserve">    </w:t>
      </w:r>
      <w:r>
        <w:rPr>
          <w:rFonts w:hint="eastAsia" w:ascii="宋体" w:hAnsi="宋体" w:eastAsia="宋体" w:cs="宋体"/>
          <w:color w:val="auto"/>
          <w:kern w:val="0"/>
          <w:sz w:val="21"/>
          <w:szCs w:val="21"/>
          <w:highlight w:val="none"/>
        </w:rPr>
        <w:t>万元，属于</w:t>
      </w:r>
      <w:r>
        <w:rPr>
          <w:rFonts w:hint="eastAsia" w:ascii="宋体" w:hAnsi="宋体" w:eastAsia="宋体" w:cs="宋体"/>
          <w:i/>
          <w:color w:val="auto"/>
          <w:kern w:val="0"/>
          <w:sz w:val="21"/>
          <w:szCs w:val="21"/>
          <w:highlight w:val="none"/>
          <w:u w:val="single"/>
        </w:rPr>
        <w:t>（中型企业、小型企业、微型企业）</w:t>
      </w:r>
      <w:r>
        <w:rPr>
          <w:rFonts w:hint="eastAsia" w:ascii="宋体" w:hAnsi="宋体" w:eastAsia="宋体" w:cs="宋体"/>
          <w:color w:val="auto"/>
          <w:kern w:val="0"/>
          <w:sz w:val="21"/>
          <w:szCs w:val="21"/>
          <w:highlight w:val="none"/>
        </w:rPr>
        <w:t>；</w:t>
      </w:r>
    </w:p>
    <w:p>
      <w:pPr>
        <w:adjustRightInd w:val="0"/>
        <w:spacing w:line="500" w:lineRule="exact"/>
        <w:ind w:firstLine="42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w:t>
      </w:r>
      <w:r>
        <w:rPr>
          <w:rFonts w:hint="eastAsia" w:ascii="宋体" w:hAnsi="宋体" w:eastAsia="宋体" w:cs="宋体"/>
          <w:i/>
          <w:color w:val="auto"/>
          <w:kern w:val="0"/>
          <w:sz w:val="21"/>
          <w:szCs w:val="21"/>
          <w:highlight w:val="none"/>
          <w:u w:val="single"/>
        </w:rPr>
        <w:t xml:space="preserve"> （标的名称） </w:t>
      </w:r>
      <w:r>
        <w:rPr>
          <w:rFonts w:hint="eastAsia" w:ascii="宋体" w:hAnsi="宋体" w:eastAsia="宋体" w:cs="宋体"/>
          <w:color w:val="auto"/>
          <w:kern w:val="0"/>
          <w:sz w:val="21"/>
          <w:szCs w:val="21"/>
          <w:highlight w:val="none"/>
        </w:rPr>
        <w:t>，属于</w:t>
      </w:r>
      <w:r>
        <w:rPr>
          <w:rFonts w:hint="eastAsia" w:ascii="宋体" w:hAnsi="宋体" w:eastAsia="宋体" w:cs="宋体"/>
          <w:i/>
          <w:color w:val="auto"/>
          <w:kern w:val="0"/>
          <w:sz w:val="21"/>
          <w:szCs w:val="21"/>
          <w:highlight w:val="none"/>
          <w:u w:val="single"/>
        </w:rPr>
        <w:t>（软件和信息技术服务业）</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承接企业</w:t>
      </w:r>
      <w:r>
        <w:rPr>
          <w:rFonts w:hint="eastAsia" w:ascii="宋体" w:hAnsi="宋体" w:eastAsia="宋体" w:cs="宋体"/>
          <w:color w:val="auto"/>
          <w:kern w:val="0"/>
          <w:sz w:val="21"/>
          <w:szCs w:val="21"/>
          <w:highlight w:val="none"/>
        </w:rPr>
        <w:t>为</w:t>
      </w:r>
      <w:r>
        <w:rPr>
          <w:rFonts w:hint="eastAsia" w:ascii="宋体" w:hAnsi="宋体" w:eastAsia="宋体" w:cs="宋体"/>
          <w:i/>
          <w:color w:val="auto"/>
          <w:kern w:val="0"/>
          <w:sz w:val="21"/>
          <w:szCs w:val="21"/>
          <w:highlight w:val="none"/>
          <w:u w:val="single"/>
        </w:rPr>
        <w:t>（企业名称）</w:t>
      </w:r>
      <w:r>
        <w:rPr>
          <w:rFonts w:hint="eastAsia" w:ascii="宋体" w:hAnsi="宋体" w:eastAsia="宋体" w:cs="宋体"/>
          <w:color w:val="auto"/>
          <w:kern w:val="0"/>
          <w:sz w:val="21"/>
          <w:szCs w:val="21"/>
          <w:highlight w:val="none"/>
        </w:rPr>
        <w:t>，从业人员</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人，营业收入为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万元，资产总额为</w:t>
      </w:r>
      <w:r>
        <w:rPr>
          <w:rFonts w:hint="eastAsia" w:ascii="宋体" w:hAnsi="宋体" w:eastAsia="宋体" w:cs="宋体"/>
          <w:color w:val="auto"/>
          <w:kern w:val="0"/>
          <w:sz w:val="21"/>
          <w:szCs w:val="21"/>
          <w:highlight w:val="none"/>
          <w:u w:val="single"/>
        </w:rPr>
        <w:t xml:space="preserve">    </w:t>
      </w:r>
      <w:r>
        <w:rPr>
          <w:rFonts w:hint="eastAsia" w:ascii="宋体" w:hAnsi="宋体" w:eastAsia="宋体" w:cs="宋体"/>
          <w:color w:val="auto"/>
          <w:kern w:val="0"/>
          <w:sz w:val="21"/>
          <w:szCs w:val="21"/>
          <w:highlight w:val="none"/>
        </w:rPr>
        <w:t>万元，属于</w:t>
      </w:r>
      <w:r>
        <w:rPr>
          <w:rFonts w:hint="eastAsia" w:ascii="宋体" w:hAnsi="宋体" w:eastAsia="宋体" w:cs="宋体"/>
          <w:i/>
          <w:color w:val="auto"/>
          <w:kern w:val="0"/>
          <w:sz w:val="21"/>
          <w:szCs w:val="21"/>
          <w:highlight w:val="none"/>
          <w:u w:val="single"/>
        </w:rPr>
        <w:t>（中型企业、小型企业、微型企业）</w:t>
      </w:r>
      <w:r>
        <w:rPr>
          <w:rFonts w:hint="eastAsia" w:ascii="宋体" w:hAnsi="宋体" w:eastAsia="宋体" w:cs="宋体"/>
          <w:color w:val="auto"/>
          <w:kern w:val="0"/>
          <w:sz w:val="21"/>
          <w:szCs w:val="21"/>
          <w:highlight w:val="none"/>
        </w:rPr>
        <w:t>；</w:t>
      </w:r>
    </w:p>
    <w:p>
      <w:pPr>
        <w:adjustRightInd w:val="0"/>
        <w:spacing w:line="500" w:lineRule="exact"/>
        <w:ind w:firstLine="42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w:t>
      </w:r>
    </w:p>
    <w:p>
      <w:pPr>
        <w:adjustRightInd w:val="0"/>
        <w:spacing w:line="500" w:lineRule="exact"/>
        <w:ind w:firstLine="42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以上企业，不属于大企业的分支机构，不存在控股股东为大企业的情形，也不存在与大企业的负责人为同一人的情形。</w:t>
      </w:r>
    </w:p>
    <w:p>
      <w:pPr>
        <w:adjustRightInd w:val="0"/>
        <w:spacing w:line="500" w:lineRule="exact"/>
        <w:ind w:firstLine="420" w:firstLineChars="200"/>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本企业对上述声明内容的真实性负责。如有虚假，将依法承担相应责任。</w:t>
      </w:r>
    </w:p>
    <w:p>
      <w:pPr>
        <w:adjustRightInd w:val="0"/>
        <w:spacing w:line="500" w:lineRule="exact"/>
        <w:textAlignment w:val="baseline"/>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 xml:space="preserve">                        企业名称（盖章）：</w:t>
      </w:r>
    </w:p>
    <w:p>
      <w:pPr>
        <w:widowControl/>
        <w:adjustRightInd w:val="0"/>
        <w:spacing w:line="360" w:lineRule="auto"/>
        <w:jc w:val="left"/>
        <w:textAlignment w:val="auto"/>
        <w:rPr>
          <w:rFonts w:hint="eastAsia" w:ascii="Times New Roman" w:hAnsi="宋体" w:eastAsia="宋体" w:cs="宋体"/>
          <w:color w:val="auto"/>
          <w:kern w:val="0"/>
          <w:sz w:val="21"/>
          <w:szCs w:val="20"/>
          <w:highlight w:val="none"/>
          <w:lang w:bidi="ar"/>
        </w:rPr>
      </w:pPr>
      <w:r>
        <w:rPr>
          <w:rFonts w:hint="eastAsia" w:ascii="宋体" w:hAnsi="宋体" w:eastAsia="宋体" w:cs="宋体"/>
          <w:color w:val="auto"/>
          <w:kern w:val="0"/>
          <w:sz w:val="21"/>
          <w:szCs w:val="21"/>
          <w:highlight w:val="none"/>
        </w:rPr>
        <w:t xml:space="preserve">                        日期：</w:t>
      </w:r>
    </w:p>
    <w:p>
      <w:pPr>
        <w:widowControl/>
        <w:adjustRightInd w:val="0"/>
        <w:spacing w:before="240" w:line="360" w:lineRule="auto"/>
        <w:ind w:firstLine="420" w:firstLineChars="200"/>
        <w:jc w:val="left"/>
        <w:textAlignment w:val="auto"/>
        <w:rPr>
          <w:rFonts w:hint="eastAsia" w:ascii="宋体" w:hAnsi="宋体" w:eastAsia="宋体" w:cs="宋体"/>
          <w:color w:val="auto"/>
          <w:kern w:val="0"/>
          <w:sz w:val="21"/>
          <w:szCs w:val="22"/>
          <w:highlight w:val="none"/>
        </w:rPr>
      </w:pPr>
      <w:r>
        <w:rPr>
          <w:rFonts w:hint="eastAsia" w:ascii="宋体" w:hAnsi="宋体" w:eastAsia="宋体" w:cs="宋体"/>
          <w:color w:val="auto"/>
          <w:kern w:val="0"/>
          <w:sz w:val="21"/>
          <w:szCs w:val="22"/>
          <w:highlight w:val="none"/>
        </w:rPr>
        <w:t>注：1.从业人员、营业收入、资产总额填报上一年度数据，无上一年度数据的新成立企业可不填报。</w:t>
      </w:r>
    </w:p>
    <w:p>
      <w:pPr>
        <w:pStyle w:val="13"/>
        <w:spacing w:line="520" w:lineRule="exact"/>
        <w:ind w:left="0" w:leftChars="0" w:firstLine="0" w:firstLineChars="0"/>
        <w:rPr>
          <w:rFonts w:hint="eastAsia" w:ascii="宋体" w:hAnsi="宋体" w:eastAsia="宋体" w:cs="宋体"/>
          <w:i w:val="0"/>
          <w:iCs w:val="0"/>
          <w:color w:val="auto"/>
          <w:sz w:val="21"/>
          <w:szCs w:val="24"/>
          <w:highlight w:val="none"/>
          <w:lang w:val="en-US" w:eastAsia="zh-CN"/>
        </w:rPr>
      </w:pPr>
      <w:r>
        <w:rPr>
          <w:rFonts w:hint="eastAsia" w:ascii="宋体" w:hAnsi="宋体" w:eastAsia="仿宋" w:cs="宋体"/>
          <w:color w:val="auto"/>
          <w:kern w:val="0"/>
          <w:sz w:val="21"/>
          <w:szCs w:val="22"/>
          <w:highlight w:val="none"/>
        </w:rPr>
        <w:t>2.</w:t>
      </w:r>
      <w:r>
        <w:rPr>
          <w:rFonts w:hint="eastAsia" w:ascii="宋体" w:hAnsi="宋体" w:eastAsia="宋体" w:cs="宋体"/>
          <w:color w:val="auto"/>
          <w:kern w:val="0"/>
          <w:sz w:val="21"/>
          <w:szCs w:val="21"/>
          <w:highlight w:val="none"/>
        </w:rPr>
        <w:t>根据工信部联企业[2011]300号规定。</w:t>
      </w:r>
      <w:r>
        <w:rPr>
          <w:rFonts w:hint="eastAsia" w:ascii="宋体" w:hAnsi="宋体" w:eastAsia="宋体" w:cs="宋体"/>
          <w:color w:val="auto"/>
          <w:kern w:val="0"/>
          <w:sz w:val="21"/>
          <w:szCs w:val="22"/>
          <w:highlight w:val="none"/>
        </w:rPr>
        <w:t>软件和信息技术服务业</w:t>
      </w:r>
      <w:r>
        <w:rPr>
          <w:rFonts w:hint="eastAsia" w:hAnsi="宋体" w:cs="宋体"/>
          <w:color w:val="auto"/>
          <w:kern w:val="0"/>
          <w:sz w:val="21"/>
          <w:szCs w:val="22"/>
          <w:highlight w:val="none"/>
          <w:lang w:eastAsia="zh-CN"/>
        </w:rPr>
        <w:t>：</w:t>
      </w:r>
      <w:r>
        <w:rPr>
          <w:rFonts w:hint="eastAsia" w:ascii="宋体" w:hAnsi="宋体" w:eastAsia="宋体" w:cs="宋体"/>
          <w:color w:val="auto"/>
          <w:kern w:val="0"/>
          <w:sz w:val="21"/>
          <w:szCs w:val="22"/>
          <w:highlight w:val="none"/>
        </w:rPr>
        <w:t>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spacing w:line="360" w:lineRule="auto"/>
        <w:jc w:val="left"/>
        <w:rPr>
          <w:rFonts w:hint="eastAsia" w:ascii="宋体" w:hAnsi="宋体" w:eastAsia="宋体" w:cs="宋体"/>
          <w:b/>
          <w:bCs/>
          <w:color w:val="auto"/>
          <w:highlight w:val="none"/>
          <w:lang w:bidi="ar"/>
        </w:rPr>
      </w:pPr>
      <w:r>
        <w:rPr>
          <w:rFonts w:hint="eastAsia" w:ascii="宋体" w:hAnsi="宋体" w:eastAsia="宋体" w:cs="宋体"/>
          <w:b/>
          <w:bCs/>
          <w:color w:val="auto"/>
          <w:szCs w:val="21"/>
          <w:highlight w:val="none"/>
          <w:lang w:bidi="ar"/>
        </w:rPr>
        <w:br w:type="page"/>
      </w:r>
      <w:r>
        <w:rPr>
          <w:rFonts w:hint="eastAsia" w:ascii="宋体" w:hAnsi="宋体" w:eastAsia="宋体" w:cs="宋体"/>
          <w:b/>
          <w:bCs/>
          <w:color w:val="auto"/>
          <w:szCs w:val="21"/>
          <w:highlight w:val="none"/>
          <w:lang w:bidi="ar"/>
        </w:rPr>
        <w:t>（</w:t>
      </w:r>
      <w:r>
        <w:rPr>
          <w:rFonts w:hint="eastAsia" w:ascii="宋体" w:hAnsi="宋体" w:eastAsia="宋体" w:cs="宋体"/>
          <w:b/>
          <w:bCs/>
          <w:color w:val="auto"/>
          <w:szCs w:val="21"/>
          <w:highlight w:val="none"/>
          <w:lang w:val="en-US" w:eastAsia="zh-CN" w:bidi="ar"/>
        </w:rPr>
        <w:t>4</w:t>
      </w:r>
      <w:r>
        <w:rPr>
          <w:rFonts w:hint="eastAsia" w:ascii="宋体" w:hAnsi="宋体" w:eastAsia="宋体" w:cs="宋体"/>
          <w:b/>
          <w:bCs/>
          <w:color w:val="auto"/>
          <w:szCs w:val="21"/>
          <w:highlight w:val="none"/>
          <w:lang w:bidi="ar"/>
        </w:rPr>
        <w:t>）</w:t>
      </w:r>
      <w:r>
        <w:rPr>
          <w:rFonts w:hint="eastAsia" w:ascii="宋体" w:hAnsi="宋体" w:eastAsia="宋体" w:cs="宋体"/>
          <w:b/>
          <w:bCs/>
          <w:color w:val="auto"/>
          <w:szCs w:val="21"/>
          <w:highlight w:val="none"/>
        </w:rPr>
        <w:t>残疾人福利性单位声明函格式（非残疾人福利性单位无需提供本函)</w:t>
      </w:r>
    </w:p>
    <w:p>
      <w:pPr>
        <w:spacing w:line="360" w:lineRule="auto"/>
        <w:jc w:val="center"/>
        <w:rPr>
          <w:rFonts w:hint="eastAsia" w:ascii="宋体" w:hAnsi="宋体" w:eastAsia="宋体" w:cs="宋体"/>
          <w:b/>
          <w:color w:val="auto"/>
          <w:spacing w:val="6"/>
          <w:szCs w:val="21"/>
          <w:highlight w:val="none"/>
        </w:rPr>
      </w:pPr>
    </w:p>
    <w:p>
      <w:pPr>
        <w:spacing w:line="360" w:lineRule="auto"/>
        <w:jc w:val="center"/>
        <w:rPr>
          <w:rFonts w:hint="eastAsia" w:ascii="宋体" w:hAnsi="宋体" w:eastAsia="宋体" w:cs="宋体"/>
          <w:b/>
          <w:color w:val="auto"/>
          <w:spacing w:val="6"/>
          <w:szCs w:val="21"/>
          <w:highlight w:val="none"/>
        </w:rPr>
      </w:pPr>
      <w:r>
        <w:rPr>
          <w:rFonts w:hint="eastAsia" w:ascii="宋体" w:hAnsi="宋体" w:eastAsia="宋体" w:cs="宋体"/>
          <w:b/>
          <w:color w:val="auto"/>
          <w:spacing w:val="6"/>
          <w:szCs w:val="21"/>
          <w:highlight w:val="none"/>
        </w:rPr>
        <w:t>残疾人福利性单位声明函</w:t>
      </w:r>
    </w:p>
    <w:p>
      <w:pPr>
        <w:spacing w:line="360" w:lineRule="auto"/>
        <w:rPr>
          <w:rFonts w:hint="eastAsia" w:ascii="宋体" w:hAnsi="宋体" w:eastAsia="宋体" w:cs="宋体"/>
          <w:b/>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eastAsia="宋体" w:cs="宋体"/>
          <w:color w:val="auto"/>
          <w:szCs w:val="21"/>
          <w:highlight w:val="none"/>
        </w:rPr>
        <w:t>〔2017〕 141</w:t>
      </w:r>
      <w:r>
        <w:rPr>
          <w:rFonts w:hint="eastAsia" w:ascii="宋体" w:hAnsi="宋体" w:eastAsia="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本单位对上述声明的真实性负责。如有虚假，将依法承担相应责任。</w:t>
      </w:r>
    </w:p>
    <w:p>
      <w:pPr>
        <w:spacing w:line="360" w:lineRule="auto"/>
        <w:ind w:firstLine="444" w:firstLineChars="200"/>
        <w:rPr>
          <w:rFonts w:hint="eastAsia" w:ascii="宋体" w:hAnsi="宋体" w:eastAsia="宋体" w:cs="宋体"/>
          <w:color w:val="auto"/>
          <w:spacing w:val="6"/>
          <w:szCs w:val="21"/>
          <w:highlight w:val="none"/>
        </w:rPr>
      </w:pPr>
    </w:p>
    <w:p>
      <w:pPr>
        <w:spacing w:line="360" w:lineRule="auto"/>
        <w:ind w:firstLine="444" w:firstLineChars="200"/>
        <w:rPr>
          <w:rFonts w:hint="eastAsia" w:ascii="宋体" w:hAnsi="宋体" w:eastAsia="宋体" w:cs="宋体"/>
          <w:color w:val="auto"/>
          <w:spacing w:val="6"/>
          <w:szCs w:val="21"/>
          <w:highlight w:val="none"/>
        </w:rPr>
      </w:pPr>
    </w:p>
    <w:p>
      <w:pPr>
        <w:tabs>
          <w:tab w:val="left" w:pos="4860"/>
        </w:tabs>
        <w:spacing w:line="360" w:lineRule="auto"/>
        <w:ind w:firstLine="444" w:firstLineChars="200"/>
        <w:jc w:val="center"/>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 xml:space="preserve">               单位名称（盖章）：</w:t>
      </w:r>
    </w:p>
    <w:p>
      <w:pPr>
        <w:tabs>
          <w:tab w:val="left" w:pos="4860"/>
        </w:tabs>
        <w:spacing w:line="360" w:lineRule="auto"/>
        <w:ind w:firstLine="444" w:firstLineChars="200"/>
        <w:jc w:val="center"/>
        <w:rPr>
          <w:rFonts w:hint="eastAsia" w:ascii="宋体" w:hAnsi="宋体" w:eastAsia="宋体" w:cs="宋体"/>
          <w:color w:val="auto"/>
          <w:highlight w:val="none"/>
        </w:rPr>
      </w:pPr>
      <w:r>
        <w:rPr>
          <w:rFonts w:hint="eastAsia" w:ascii="宋体" w:hAnsi="宋体" w:eastAsia="宋体" w:cs="宋体"/>
          <w:color w:val="auto"/>
          <w:spacing w:val="6"/>
          <w:szCs w:val="21"/>
          <w:highlight w:val="none"/>
        </w:rPr>
        <w:t xml:space="preserve">       日  期：</w:t>
      </w:r>
    </w:p>
    <w:p>
      <w:pPr>
        <w:tabs>
          <w:tab w:val="left" w:pos="4860"/>
        </w:tabs>
        <w:spacing w:line="360" w:lineRule="auto"/>
        <w:ind w:firstLine="420" w:firstLineChars="200"/>
        <w:jc w:val="center"/>
        <w:rPr>
          <w:rFonts w:hint="eastAsia" w:ascii="宋体" w:hAnsi="宋体" w:eastAsia="宋体" w:cs="宋体"/>
          <w:color w:val="auto"/>
          <w:highlight w:val="none"/>
        </w:rPr>
      </w:pPr>
    </w:p>
    <w:p>
      <w:pPr>
        <w:tabs>
          <w:tab w:val="left" w:pos="4860"/>
        </w:tabs>
        <w:spacing w:line="360" w:lineRule="auto"/>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注：1、如</w:t>
      </w:r>
      <w:r>
        <w:rPr>
          <w:rFonts w:hint="eastAsia" w:ascii="宋体" w:hAnsi="宋体" w:eastAsia="宋体" w:cs="宋体"/>
          <w:color w:val="auto"/>
          <w:spacing w:val="6"/>
          <w:szCs w:val="21"/>
          <w:highlight w:val="none"/>
          <w:lang w:eastAsia="zh-CN"/>
        </w:rPr>
        <w:t>供应商</w:t>
      </w:r>
      <w:r>
        <w:rPr>
          <w:rFonts w:hint="eastAsia" w:ascii="宋体" w:hAnsi="宋体" w:eastAsia="宋体" w:cs="宋体"/>
          <w:color w:val="auto"/>
          <w:spacing w:val="6"/>
          <w:szCs w:val="21"/>
          <w:highlight w:val="none"/>
        </w:rPr>
        <w:t>为非残疾人福利性单位的可不提供本声明函。</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2、享受政府采购支持政策的残疾人福利性单位应当同时满足以下条件：</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（1）安置的残疾人占本单位在职职工人数的比例不低于25%（含25%），并且安置的残疾人人数不少于10人（含10人）；</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（2）依法与安置的每位残疾人签订了一年以上（含一年）的劳动合同或服务协议；</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（3）为安置的每位残疾人按月足额缴纳了基本养老保险、基本医疗保险、失业保险、工伤保险和生育保险等社会保险费；</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（4）通过银行等金融机构向安置的每位残疾人，按月支付了不低于单位所在区县适用的经省级人民政府批准的月最低工资标准的工资；</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（5）提供本单位制造的货物、承担的工程或者服务（以下简称产品），或者提供其他残疾人福利性单位制造的货物（不包括使用非残疾人福利性单位注册商标的货物）。</w:t>
      </w:r>
    </w:p>
    <w:p>
      <w:pPr>
        <w:tabs>
          <w:tab w:val="left" w:pos="4860"/>
        </w:tabs>
        <w:spacing w:line="360" w:lineRule="auto"/>
        <w:ind w:firstLine="444" w:firstLineChars="200"/>
        <w:rPr>
          <w:rFonts w:hint="eastAsia"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rPr>
          <w:rFonts w:hint="eastAsia" w:ascii="宋体" w:hAnsi="宋体" w:eastAsia="宋体" w:cs="宋体"/>
          <w:b/>
          <w:bCs/>
          <w:color w:val="auto"/>
          <w:szCs w:val="21"/>
          <w:highlight w:val="none"/>
          <w:lang w:bidi="ar"/>
        </w:rPr>
      </w:pPr>
    </w:p>
    <w:p>
      <w:pPr>
        <w:spacing w:line="360" w:lineRule="auto"/>
        <w:rPr>
          <w:rFonts w:hint="eastAsia" w:ascii="宋体" w:hAnsi="宋体" w:eastAsia="宋体" w:cs="宋体"/>
          <w:b/>
          <w:bCs/>
          <w:color w:val="auto"/>
          <w:szCs w:val="21"/>
          <w:highlight w:val="none"/>
          <w:lang w:bidi="ar"/>
        </w:rPr>
      </w:pPr>
    </w:p>
    <w:p>
      <w:pPr>
        <w:pStyle w:val="26"/>
        <w:rPr>
          <w:rFonts w:hint="eastAsia" w:ascii="宋体" w:hAnsi="宋体" w:eastAsia="宋体" w:cs="宋体"/>
          <w:color w:val="auto"/>
          <w:highlight w:val="none"/>
        </w:rPr>
      </w:pPr>
    </w:p>
    <w:p>
      <w:pPr>
        <w:spacing w:line="360" w:lineRule="auto"/>
        <w:rPr>
          <w:rFonts w:hint="eastAsia" w:ascii="宋体" w:hAnsi="宋体" w:eastAsia="宋体" w:cs="宋体"/>
          <w:b/>
          <w:bCs/>
          <w:color w:val="auto"/>
          <w:szCs w:val="21"/>
          <w:highlight w:val="none"/>
          <w:lang w:bidi="ar"/>
        </w:rPr>
      </w:pPr>
      <w:r>
        <w:rPr>
          <w:rFonts w:hint="eastAsia" w:ascii="宋体" w:hAnsi="宋体" w:eastAsia="宋体" w:cs="宋体"/>
          <w:b/>
          <w:bCs/>
          <w:color w:val="auto"/>
          <w:szCs w:val="21"/>
          <w:highlight w:val="none"/>
          <w:lang w:bidi="ar"/>
        </w:rPr>
        <w:t>（</w:t>
      </w:r>
      <w:r>
        <w:rPr>
          <w:rFonts w:hint="eastAsia" w:ascii="宋体" w:hAnsi="宋体" w:eastAsia="宋体" w:cs="宋体"/>
          <w:b/>
          <w:bCs/>
          <w:color w:val="auto"/>
          <w:szCs w:val="21"/>
          <w:highlight w:val="none"/>
          <w:lang w:val="en-US" w:eastAsia="zh-CN" w:bidi="ar"/>
        </w:rPr>
        <w:t>5</w:t>
      </w:r>
      <w:r>
        <w:rPr>
          <w:rFonts w:hint="eastAsia" w:ascii="宋体" w:hAnsi="宋体" w:eastAsia="宋体" w:cs="宋体"/>
          <w:b/>
          <w:bCs/>
          <w:color w:val="auto"/>
          <w:szCs w:val="21"/>
          <w:highlight w:val="none"/>
          <w:lang w:bidi="ar"/>
        </w:rPr>
        <w:t>）</w:t>
      </w:r>
      <w:r>
        <w:rPr>
          <w:rFonts w:hint="eastAsia" w:ascii="宋体" w:hAnsi="宋体" w:eastAsia="宋体" w:cs="宋体"/>
          <w:b/>
          <w:bCs/>
          <w:color w:val="auto"/>
          <w:szCs w:val="21"/>
          <w:highlight w:val="none"/>
          <w:lang w:eastAsia="zh-CN" w:bidi="ar"/>
        </w:rPr>
        <w:t>供应商</w:t>
      </w:r>
      <w:r>
        <w:rPr>
          <w:rFonts w:hint="eastAsia" w:ascii="宋体" w:hAnsi="宋体" w:eastAsia="宋体" w:cs="宋体"/>
          <w:b/>
          <w:bCs/>
          <w:color w:val="auto"/>
          <w:szCs w:val="21"/>
          <w:highlight w:val="none"/>
          <w:lang w:bidi="ar"/>
        </w:rPr>
        <w:t>针对报价需要说明的其他文件和说明（格式自拟）。</w:t>
      </w:r>
    </w:p>
    <w:p>
      <w:pPr>
        <w:snapToGrid w:val="0"/>
        <w:spacing w:line="360" w:lineRule="auto"/>
        <w:jc w:val="cente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lang w:val="en-US" w:eastAsia="zh-CN"/>
        </w:rPr>
        <w:t>三</w:t>
      </w:r>
      <w:r>
        <w:rPr>
          <w:rFonts w:hint="eastAsia" w:ascii="宋体" w:hAnsi="宋体" w:eastAsia="宋体" w:cs="宋体"/>
          <w:b/>
          <w:bCs/>
          <w:color w:val="auto"/>
          <w:sz w:val="28"/>
          <w:szCs w:val="28"/>
          <w:highlight w:val="none"/>
        </w:rPr>
        <w:t>、电子备份投标文件</w:t>
      </w:r>
    </w:p>
    <w:p>
      <w:pPr>
        <w:snapToGrid w:val="0"/>
        <w:spacing w:line="360" w:lineRule="auto"/>
        <w:rPr>
          <w:rFonts w:hint="eastAsia" w:ascii="宋体" w:hAnsi="宋体" w:eastAsia="宋体" w:cs="宋体"/>
          <w:b/>
          <w:color w:val="auto"/>
          <w:sz w:val="28"/>
          <w:szCs w:val="28"/>
          <w:highlight w:val="none"/>
          <w:lang w:bidi="ar"/>
        </w:rPr>
      </w:pPr>
      <w:r>
        <w:rPr>
          <w:rFonts w:hint="eastAsia" w:ascii="宋体" w:hAnsi="宋体" w:eastAsia="宋体" w:cs="宋体"/>
          <w:color w:val="auto"/>
          <w:highlight w:val="none"/>
        </w:rPr>
        <w:t>（一）</w:t>
      </w:r>
      <w:r>
        <w:rPr>
          <w:rFonts w:hint="eastAsia" w:ascii="宋体" w:hAnsi="宋体" w:eastAsia="宋体" w:cs="宋体"/>
          <w:color w:val="auto"/>
          <w:szCs w:val="21"/>
          <w:highlight w:val="none"/>
        </w:rPr>
        <w:t>电子备份投标文件</w:t>
      </w:r>
      <w:r>
        <w:rPr>
          <w:rFonts w:hint="eastAsia" w:ascii="宋体" w:hAnsi="宋体" w:eastAsia="宋体" w:cs="宋体"/>
          <w:color w:val="auto"/>
          <w:highlight w:val="none"/>
        </w:rPr>
        <w:t>的外包装封面格式：</w:t>
      </w:r>
    </w:p>
    <w:p>
      <w:pPr>
        <w:snapToGrid w:val="0"/>
        <w:spacing w:line="360" w:lineRule="auto"/>
        <w:ind w:firstLine="275" w:firstLineChars="98"/>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lang w:bidi="ar"/>
        </w:rPr>
        <w:t>外包装格式：</w:t>
      </w:r>
    </w:p>
    <w:p>
      <w:pPr>
        <w:snapToGrid w:val="0"/>
        <w:spacing w:line="360" w:lineRule="auto"/>
        <w:jc w:val="center"/>
        <w:rPr>
          <w:rFonts w:hint="eastAsia" w:ascii="宋体" w:hAnsi="宋体" w:eastAsia="宋体" w:cs="宋体"/>
          <w:color w:val="auto"/>
          <w:sz w:val="40"/>
          <w:szCs w:val="40"/>
          <w:highlight w:val="none"/>
        </w:rPr>
      </w:pPr>
      <w:r>
        <w:rPr>
          <w:rFonts w:hint="eastAsia" w:ascii="宋体" w:hAnsi="宋体" w:eastAsia="宋体" w:cs="宋体"/>
          <w:color w:val="auto"/>
          <w:sz w:val="40"/>
          <w:szCs w:val="40"/>
          <w:highlight w:val="none"/>
        </w:rPr>
        <w:t>电子备份投标文件</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bidi="ar"/>
        </w:rPr>
        <w:t xml:space="preserve">项目名称： </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bidi="ar"/>
        </w:rPr>
        <w:t>项目编号：</w:t>
      </w:r>
    </w:p>
    <w:p>
      <w:pPr>
        <w:snapToGrid w:val="0"/>
        <w:spacing w:line="360" w:lineRule="auto"/>
        <w:ind w:firstLine="1080" w:firstLineChars="450"/>
        <w:rPr>
          <w:rFonts w:hint="eastAsia" w:ascii="宋体" w:hAnsi="宋体" w:eastAsia="宋体" w:cs="宋体"/>
          <w:bCs/>
          <w:color w:val="auto"/>
          <w:sz w:val="24"/>
          <w:highlight w:val="none"/>
          <w:lang w:bidi="ar"/>
        </w:rPr>
      </w:pPr>
      <w:r>
        <w:rPr>
          <w:rFonts w:hint="eastAsia" w:ascii="宋体" w:hAnsi="宋体" w:eastAsia="宋体" w:cs="宋体"/>
          <w:bCs/>
          <w:color w:val="auto"/>
          <w:sz w:val="24"/>
          <w:highlight w:val="none"/>
          <w:lang w:eastAsia="zh-CN" w:bidi="ar"/>
        </w:rPr>
        <w:t>标项</w:t>
      </w:r>
      <w:r>
        <w:rPr>
          <w:rFonts w:hint="eastAsia" w:ascii="宋体" w:hAnsi="宋体" w:eastAsia="宋体" w:cs="宋体"/>
          <w:bCs/>
          <w:color w:val="auto"/>
          <w:sz w:val="24"/>
          <w:highlight w:val="none"/>
          <w:lang w:bidi="ar"/>
        </w:rPr>
        <w:t>号：</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名称（加盖公章）：</w:t>
      </w:r>
    </w:p>
    <w:p>
      <w:pPr>
        <w:snapToGrid w:val="0"/>
        <w:spacing w:line="360" w:lineRule="auto"/>
        <w:ind w:firstLine="1080" w:firstLineChars="450"/>
        <w:rPr>
          <w:rFonts w:hint="eastAsia" w:ascii="宋体" w:hAnsi="宋体" w:eastAsia="宋体" w:cs="宋体"/>
          <w:bCs/>
          <w:color w:val="auto"/>
          <w:sz w:val="24"/>
          <w:highlight w:val="none"/>
        </w:rPr>
      </w:pPr>
      <w:r>
        <w:rPr>
          <w:rFonts w:hint="eastAsia" w:ascii="宋体" w:hAnsi="宋体" w:eastAsia="宋体" w:cs="宋体"/>
          <w:bCs/>
          <w:color w:val="auto"/>
          <w:sz w:val="24"/>
          <w:highlight w:val="none"/>
          <w:lang w:eastAsia="zh-CN" w:bidi="ar"/>
        </w:rPr>
        <w:t>供应商</w:t>
      </w:r>
      <w:r>
        <w:rPr>
          <w:rFonts w:hint="eastAsia" w:ascii="宋体" w:hAnsi="宋体" w:eastAsia="宋体" w:cs="宋体"/>
          <w:bCs/>
          <w:color w:val="auto"/>
          <w:sz w:val="24"/>
          <w:highlight w:val="none"/>
          <w:lang w:bidi="ar"/>
        </w:rPr>
        <w:t>地址：</w:t>
      </w:r>
    </w:p>
    <w:p>
      <w:pPr>
        <w:spacing w:line="360" w:lineRule="auto"/>
        <w:rPr>
          <w:rFonts w:hint="eastAsia" w:ascii="宋体" w:hAnsi="宋体" w:eastAsia="宋体" w:cs="宋体"/>
          <w:color w:val="auto"/>
          <w:highlight w:val="none"/>
        </w:rPr>
      </w:pPr>
      <w:r>
        <w:rPr>
          <w:rFonts w:hint="eastAsia" w:ascii="宋体" w:hAnsi="宋体" w:eastAsia="宋体" w:cs="宋体"/>
          <w:bCs/>
          <w:color w:val="auto"/>
          <w:sz w:val="24"/>
          <w:highlight w:val="none"/>
          <w:lang w:bidi="ar"/>
        </w:rPr>
        <w:t xml:space="preserve">                        年  月  日</w:t>
      </w:r>
    </w:p>
    <w:p>
      <w:pPr>
        <w:pStyle w:val="29"/>
        <w:widowControl w:val="0"/>
        <w:snapToGrid w:val="0"/>
        <w:spacing w:line="500" w:lineRule="exact"/>
        <w:jc w:val="both"/>
        <w:rPr>
          <w:rFonts w:hint="eastAsia" w:ascii="宋体" w:hAnsi="宋体" w:eastAsia="宋体" w:cs="宋体"/>
          <w:b/>
          <w:bCs/>
          <w:color w:val="auto"/>
          <w:highlight w:val="none"/>
          <w:lang w:val="en-US" w:eastAsia="zh-CN"/>
        </w:rPr>
        <w:sectPr>
          <w:pgSz w:w="11906" w:h="16838"/>
          <w:pgMar w:top="1474" w:right="1797" w:bottom="1247" w:left="1797" w:header="851" w:footer="851" w:gutter="0"/>
          <w:pgBorders>
            <w:top w:val="none" w:sz="0" w:space="0"/>
            <w:left w:val="none" w:sz="0" w:space="0"/>
            <w:bottom w:val="none" w:sz="0" w:space="0"/>
            <w:right w:val="none" w:sz="0" w:space="0"/>
          </w:pgBorders>
          <w:pgNumType w:fmt="decimal"/>
          <w:cols w:space="720" w:num="1"/>
          <w:docGrid w:linePitch="312" w:charSpace="0"/>
        </w:sectPr>
      </w:pPr>
    </w:p>
    <w:p>
      <w:pPr>
        <w:pStyle w:val="29"/>
        <w:widowControl w:val="0"/>
        <w:snapToGrid w:val="0"/>
        <w:spacing w:line="500" w:lineRule="exact"/>
        <w:jc w:val="both"/>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附件：</w:t>
      </w:r>
      <w:r>
        <w:rPr>
          <w:rFonts w:hint="eastAsia" w:ascii="宋体" w:hAnsi="宋体" w:eastAsia="宋体" w:cs="宋体"/>
          <w:b/>
          <w:bCs/>
          <w:color w:val="auto"/>
          <w:szCs w:val="21"/>
          <w:highlight w:val="none"/>
        </w:rPr>
        <w:t>请各位</w:t>
      </w:r>
      <w:r>
        <w:rPr>
          <w:rFonts w:hint="eastAsia" w:ascii="宋体" w:hAnsi="宋体" w:eastAsia="宋体" w:cs="宋体"/>
          <w:b/>
          <w:bCs/>
          <w:color w:val="auto"/>
          <w:szCs w:val="21"/>
          <w:highlight w:val="none"/>
          <w:lang w:val="en-US" w:eastAsia="zh-CN"/>
        </w:rPr>
        <w:t>供应商</w:t>
      </w:r>
      <w:r>
        <w:rPr>
          <w:rFonts w:hint="eastAsia" w:ascii="宋体" w:hAnsi="宋体" w:eastAsia="宋体" w:cs="宋体"/>
          <w:b/>
          <w:bCs/>
          <w:color w:val="auto"/>
          <w:szCs w:val="21"/>
          <w:highlight w:val="none"/>
        </w:rPr>
        <w:t>认真填写</w:t>
      </w:r>
      <w:r>
        <w:rPr>
          <w:rFonts w:hint="eastAsia" w:ascii="宋体" w:hAnsi="宋体" w:eastAsia="宋体" w:cs="宋体"/>
          <w:b/>
          <w:bCs/>
          <w:color w:val="auto"/>
          <w:szCs w:val="21"/>
          <w:highlight w:val="none"/>
          <w:lang w:val="en-US" w:eastAsia="zh-CN"/>
        </w:rPr>
        <w:t>下表，于投标截止时间后按采购代理公司规定要求单独递交</w:t>
      </w:r>
      <w:r>
        <w:rPr>
          <w:rFonts w:hint="eastAsia" w:ascii="宋体" w:hAnsi="宋体" w:eastAsia="宋体" w:cs="宋体"/>
          <w:b/>
          <w:bCs/>
          <w:color w:val="auto"/>
          <w:szCs w:val="21"/>
          <w:highlight w:val="none"/>
        </w:rPr>
        <w:t>。</w:t>
      </w:r>
    </w:p>
    <w:p>
      <w:pPr>
        <w:pStyle w:val="29"/>
        <w:widowControl w:val="0"/>
        <w:snapToGrid w:val="0"/>
        <w:spacing w:line="500" w:lineRule="exact"/>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政府采购活动现场确认声明书</w:t>
      </w:r>
    </w:p>
    <w:p>
      <w:pPr>
        <w:pStyle w:val="29"/>
        <w:widowControl w:val="0"/>
        <w:snapToGrid w:val="0"/>
        <w:spacing w:line="440" w:lineRule="exact"/>
        <w:jc w:val="both"/>
        <w:rPr>
          <w:rFonts w:hint="eastAsia" w:ascii="宋体" w:hAnsi="宋体" w:eastAsia="宋体" w:cs="宋体"/>
          <w:bCs/>
          <w:color w:val="auto"/>
          <w:sz w:val="24"/>
          <w:szCs w:val="24"/>
          <w:highlight w:val="none"/>
        </w:rPr>
      </w:pPr>
      <w:r>
        <w:rPr>
          <w:rFonts w:hint="eastAsia" w:ascii="宋体" w:hAnsi="宋体" w:eastAsia="宋体" w:cs="宋体"/>
          <w:color w:val="auto"/>
          <w:kern w:val="0"/>
          <w:sz w:val="24"/>
          <w:szCs w:val="24"/>
          <w:highlight w:val="none"/>
        </w:rPr>
        <w:t xml:space="preserve"> </w:t>
      </w:r>
      <w:r>
        <w:rPr>
          <w:rFonts w:hint="eastAsia" w:hAnsi="宋体" w:cs="宋体"/>
          <w:color w:val="auto"/>
          <w:kern w:val="0"/>
          <w:sz w:val="24"/>
          <w:szCs w:val="24"/>
          <w:highlight w:val="none"/>
          <w:lang w:eastAsia="zh-CN"/>
        </w:rPr>
        <w:t>浙江中基正采管理咨询有限公司</w:t>
      </w:r>
      <w:r>
        <w:rPr>
          <w:rFonts w:hint="eastAsia" w:ascii="宋体" w:hAnsi="宋体" w:eastAsia="宋体" w:cs="宋体"/>
          <w:color w:val="auto"/>
          <w:kern w:val="0"/>
          <w:sz w:val="24"/>
          <w:szCs w:val="24"/>
          <w:highlight w:val="none"/>
        </w:rPr>
        <w:t>：</w:t>
      </w:r>
    </w:p>
    <w:p>
      <w:pPr>
        <w:pStyle w:val="29"/>
        <w:widowControl w:val="0"/>
        <w:snapToGrid w:val="0"/>
        <w:spacing w:line="440" w:lineRule="exact"/>
        <w:ind w:firstLine="504" w:firstLineChars="200"/>
        <w:jc w:val="both"/>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本人</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（授权代表姓名），经由</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（单位）</w:t>
      </w:r>
      <w:r>
        <w:rPr>
          <w:rFonts w:hint="eastAsia" w:ascii="宋体" w:hAnsi="宋体" w:eastAsia="宋体" w:cs="宋体"/>
          <w:color w:val="auto"/>
          <w:spacing w:val="6"/>
          <w:sz w:val="24"/>
          <w:szCs w:val="24"/>
          <w:highlight w:val="none"/>
          <w:u w:val="single"/>
        </w:rPr>
        <w:t xml:space="preserve">         </w:t>
      </w:r>
      <w:r>
        <w:rPr>
          <w:rFonts w:hint="eastAsia" w:ascii="宋体" w:hAnsi="宋体" w:eastAsia="宋体" w:cs="宋体"/>
          <w:color w:val="auto"/>
          <w:spacing w:val="6"/>
          <w:sz w:val="24"/>
          <w:szCs w:val="24"/>
          <w:highlight w:val="none"/>
        </w:rPr>
        <w:t>（法定代表人姓名）合法授权参加</w:t>
      </w:r>
      <w:r>
        <w:rPr>
          <w:rFonts w:hint="eastAsia" w:ascii="宋体" w:hAnsi="宋体" w:eastAsia="宋体" w:cs="宋体"/>
          <w:color w:val="auto"/>
          <w:spacing w:val="6"/>
          <w:sz w:val="24"/>
          <w:szCs w:val="24"/>
          <w:highlight w:val="none"/>
          <w:u w:val="single"/>
          <w:lang w:val="en-US" w:eastAsia="zh-CN"/>
        </w:rPr>
        <w:t xml:space="preserve">                  </w:t>
      </w:r>
      <w:r>
        <w:rPr>
          <w:rFonts w:hint="eastAsia" w:ascii="宋体" w:hAnsi="宋体" w:eastAsia="宋体" w:cs="宋体"/>
          <w:color w:val="auto"/>
          <w:spacing w:val="6"/>
          <w:sz w:val="24"/>
          <w:szCs w:val="24"/>
          <w:highlight w:val="none"/>
        </w:rPr>
        <w:t>（编号：</w:t>
      </w:r>
      <w:r>
        <w:rPr>
          <w:rFonts w:hint="eastAsia" w:hAnsi="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pacing w:val="6"/>
          <w:sz w:val="24"/>
          <w:szCs w:val="24"/>
          <w:highlight w:val="none"/>
          <w:u w:val="single"/>
        </w:rPr>
        <w:t>）</w:t>
      </w:r>
      <w:r>
        <w:rPr>
          <w:rFonts w:hint="eastAsia" w:ascii="宋体" w:hAnsi="宋体" w:eastAsia="宋体" w:cs="宋体"/>
          <w:color w:val="auto"/>
          <w:spacing w:val="6"/>
          <w:sz w:val="24"/>
          <w:szCs w:val="24"/>
          <w:highlight w:val="none"/>
        </w:rPr>
        <w:t xml:space="preserve">政府采购活动，经与本单位法人代表（负责人）联系确认，现就有关公平竞争事项郑重声明如下： </w:t>
      </w:r>
    </w:p>
    <w:p>
      <w:pPr>
        <w:pStyle w:val="30"/>
        <w:widowControl/>
        <w:numPr>
          <w:ilvl w:val="0"/>
          <w:numId w:val="24"/>
        </w:numPr>
        <w:snapToGrid w:val="0"/>
        <w:spacing w:line="440" w:lineRule="exact"/>
        <w:ind w:firstLine="453" w:firstLineChars="18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本单位与采购人之间 □不存在利害关系 □存在下列利害关系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30"/>
        <w:widowControl/>
        <w:snapToGrid w:val="0"/>
        <w:spacing w:line="4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A.投资关系    B.行政隶属关系    C.业务指导关系</w:t>
      </w:r>
    </w:p>
    <w:p>
      <w:pPr>
        <w:pStyle w:val="30"/>
        <w:widowControl/>
        <w:snapToGrid w:val="0"/>
        <w:spacing w:line="440" w:lineRule="exac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D.其他可能</w:t>
      </w:r>
      <w:r>
        <w:rPr>
          <w:rFonts w:hint="eastAsia" w:ascii="宋体" w:hAnsi="宋体" w:eastAsia="宋体" w:cs="宋体"/>
          <w:color w:val="auto"/>
          <w:sz w:val="24"/>
          <w:szCs w:val="24"/>
          <w:highlight w:val="none"/>
        </w:rPr>
        <w:t>影响采购公正的</w:t>
      </w:r>
      <w:r>
        <w:rPr>
          <w:rFonts w:hint="eastAsia" w:ascii="宋体" w:hAnsi="宋体" w:eastAsia="宋体" w:cs="宋体"/>
          <w:color w:val="auto"/>
          <w:kern w:val="0"/>
          <w:sz w:val="24"/>
          <w:szCs w:val="24"/>
          <w:highlight w:val="none"/>
        </w:rPr>
        <w:t xml:space="preserve">利害关系（如有，请如实说明）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30"/>
        <w:widowControl/>
        <w:numPr>
          <w:ilvl w:val="0"/>
          <w:numId w:val="24"/>
        </w:numPr>
        <w:snapToGrid w:val="0"/>
        <w:spacing w:line="440" w:lineRule="exact"/>
        <w:ind w:firstLine="453" w:firstLineChars="18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现已清楚知道参加本项目采购活动的其他所有</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名称，本单位 □与其他所有</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 xml:space="preserve">之间均不存在利害关系 □与 </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名称）之间存在下列利害关系</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29"/>
        <w:widowControl w:val="0"/>
        <w:snapToGrid w:val="0"/>
        <w:spacing w:line="44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A.法定代表人或负责人或实际控制人是同一人</w:t>
      </w:r>
    </w:p>
    <w:p>
      <w:pPr>
        <w:pStyle w:val="29"/>
        <w:widowControl w:val="0"/>
        <w:snapToGrid w:val="0"/>
        <w:spacing w:line="440" w:lineRule="exact"/>
        <w:jc w:val="both"/>
        <w:rPr>
          <w:rFonts w:hint="eastAsia" w:ascii="宋体" w:hAnsi="宋体" w:eastAsia="宋体" w:cs="宋体"/>
          <w:color w:val="auto"/>
          <w:spacing w:val="6"/>
          <w:sz w:val="24"/>
          <w:szCs w:val="24"/>
          <w:highlight w:val="none"/>
        </w:rPr>
      </w:pPr>
      <w:r>
        <w:rPr>
          <w:rFonts w:hint="eastAsia" w:ascii="宋体" w:hAnsi="宋体" w:eastAsia="宋体" w:cs="宋体"/>
          <w:color w:val="auto"/>
          <w:kern w:val="0"/>
          <w:sz w:val="24"/>
          <w:szCs w:val="24"/>
          <w:highlight w:val="none"/>
        </w:rPr>
        <w:t xml:space="preserve">  B.法定代表人或负责人或实际控制人是夫妻关系</w:t>
      </w:r>
    </w:p>
    <w:p>
      <w:pPr>
        <w:pStyle w:val="29"/>
        <w:widowControl w:val="0"/>
        <w:snapToGrid w:val="0"/>
        <w:spacing w:line="440" w:lineRule="exact"/>
        <w:jc w:val="both"/>
        <w:rPr>
          <w:rFonts w:hint="eastAsia" w:ascii="宋体" w:hAnsi="宋体" w:eastAsia="宋体" w:cs="宋体"/>
          <w:color w:val="auto"/>
          <w:spacing w:val="6"/>
          <w:sz w:val="24"/>
          <w:szCs w:val="24"/>
          <w:highlight w:val="none"/>
        </w:rPr>
      </w:pPr>
      <w:r>
        <w:rPr>
          <w:rFonts w:hint="eastAsia" w:ascii="宋体" w:hAnsi="宋体" w:eastAsia="宋体" w:cs="宋体"/>
          <w:color w:val="auto"/>
          <w:kern w:val="0"/>
          <w:sz w:val="24"/>
          <w:szCs w:val="24"/>
          <w:highlight w:val="none"/>
        </w:rPr>
        <w:t xml:space="preserve">  C.法定代表人或负责人或实际控制人是直系血亲关系</w:t>
      </w:r>
    </w:p>
    <w:p>
      <w:pPr>
        <w:pStyle w:val="29"/>
        <w:widowControl w:val="0"/>
        <w:snapToGrid w:val="0"/>
        <w:spacing w:line="440" w:lineRule="exact"/>
        <w:jc w:val="both"/>
        <w:rPr>
          <w:rFonts w:hint="eastAsia" w:ascii="宋体" w:hAnsi="宋体" w:eastAsia="宋体" w:cs="宋体"/>
          <w:color w:val="auto"/>
          <w:spacing w:val="6"/>
          <w:sz w:val="24"/>
          <w:szCs w:val="24"/>
          <w:highlight w:val="none"/>
        </w:rPr>
      </w:pPr>
      <w:r>
        <w:rPr>
          <w:rFonts w:hint="eastAsia" w:ascii="宋体" w:hAnsi="宋体" w:eastAsia="宋体" w:cs="宋体"/>
          <w:color w:val="auto"/>
          <w:kern w:val="0"/>
          <w:sz w:val="24"/>
          <w:szCs w:val="24"/>
          <w:highlight w:val="none"/>
        </w:rPr>
        <w:t xml:space="preserve">  D.法定代表人或负责人或实际控制人存在三代以内旁系血亲关系</w:t>
      </w:r>
    </w:p>
    <w:p>
      <w:pPr>
        <w:pStyle w:val="29"/>
        <w:widowControl w:val="0"/>
        <w:snapToGrid w:val="0"/>
        <w:spacing w:line="44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E.法定代表人或负责人或实际控制人存在近姻亲关系</w:t>
      </w:r>
    </w:p>
    <w:p>
      <w:pPr>
        <w:pStyle w:val="29"/>
        <w:widowControl w:val="0"/>
        <w:snapToGrid w:val="0"/>
        <w:spacing w:line="44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F.法定代表人或负责人或实际控制人存在股份控制或实际控制关系</w:t>
      </w:r>
    </w:p>
    <w:p>
      <w:pPr>
        <w:pStyle w:val="29"/>
        <w:widowControl w:val="0"/>
        <w:snapToGrid w:val="0"/>
        <w:spacing w:line="440" w:lineRule="exact"/>
        <w:jc w:val="both"/>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G.存在共同直接或间接投资设立子公司、联营企业和合营企业情况</w:t>
      </w:r>
    </w:p>
    <w:p>
      <w:pPr>
        <w:pStyle w:val="29"/>
        <w:widowControl w:val="0"/>
        <w:snapToGrid w:val="0"/>
        <w:spacing w:line="440" w:lineRule="exact"/>
        <w:jc w:val="both"/>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 xml:space="preserve">  H.存在分级代理或代销关系、同一生产制造商关系、</w:t>
      </w:r>
      <w:r>
        <w:rPr>
          <w:rFonts w:hint="eastAsia" w:ascii="宋体" w:hAnsi="宋体" w:eastAsia="宋体" w:cs="宋体"/>
          <w:color w:val="auto"/>
          <w:sz w:val="24"/>
          <w:szCs w:val="24"/>
          <w:highlight w:val="none"/>
        </w:rPr>
        <w:t>管理关系、重要业务（占主营业务收入50%以上）或重要财务往来关系（如融资）等其他实质性控制关系</w:t>
      </w:r>
    </w:p>
    <w:p>
      <w:pPr>
        <w:pStyle w:val="29"/>
        <w:widowControl w:val="0"/>
        <w:snapToGrid w:val="0"/>
        <w:spacing w:line="440" w:lineRule="exact"/>
        <w:jc w:val="both"/>
        <w:rPr>
          <w:rFonts w:hint="eastAsia" w:ascii="宋体" w:hAnsi="宋体" w:eastAsia="宋体" w:cs="宋体"/>
          <w:color w:val="auto"/>
          <w:spacing w:val="6"/>
          <w:sz w:val="24"/>
          <w:szCs w:val="24"/>
          <w:highlight w:val="none"/>
        </w:rPr>
      </w:pPr>
      <w:r>
        <w:rPr>
          <w:rFonts w:hint="eastAsia" w:ascii="宋体" w:hAnsi="宋体" w:eastAsia="宋体" w:cs="宋体"/>
          <w:color w:val="auto"/>
          <w:sz w:val="24"/>
          <w:szCs w:val="24"/>
          <w:highlight w:val="none"/>
        </w:rPr>
        <w:t xml:space="preserve">  I</w:t>
      </w:r>
      <w:r>
        <w:rPr>
          <w:rFonts w:hint="eastAsia" w:ascii="宋体" w:hAnsi="宋体" w:eastAsia="宋体" w:cs="宋体"/>
          <w:color w:val="auto"/>
          <w:kern w:val="0"/>
          <w:sz w:val="24"/>
          <w:szCs w:val="24"/>
          <w:highlight w:val="none"/>
        </w:rPr>
        <w:t>.</w:t>
      </w:r>
      <w:r>
        <w:rPr>
          <w:rFonts w:hint="eastAsia" w:ascii="宋体" w:hAnsi="宋体" w:eastAsia="宋体" w:cs="宋体"/>
          <w:color w:val="auto"/>
          <w:sz w:val="24"/>
          <w:szCs w:val="24"/>
          <w:highlight w:val="none"/>
        </w:rPr>
        <w:t>其他利害关系情况</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30"/>
        <w:widowControl/>
        <w:numPr>
          <w:ilvl w:val="0"/>
          <w:numId w:val="25"/>
        </w:numPr>
        <w:snapToGrid w:val="0"/>
        <w:spacing w:line="440" w:lineRule="exact"/>
        <w:ind w:firstLine="453" w:firstLineChars="189"/>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现已清楚知道并</w:t>
      </w:r>
      <w:r>
        <w:rPr>
          <w:rFonts w:hint="eastAsia" w:ascii="宋体" w:hAnsi="宋体" w:eastAsia="宋体" w:cs="宋体"/>
          <w:color w:val="auto"/>
          <w:kern w:val="0"/>
          <w:sz w:val="24"/>
          <w:szCs w:val="24"/>
          <w:highlight w:val="none"/>
        </w:rPr>
        <w:t>严格遵守政府采购法律法规和现场纪律。</w:t>
      </w:r>
    </w:p>
    <w:p>
      <w:pPr>
        <w:pStyle w:val="30"/>
        <w:widowControl/>
        <w:numPr>
          <w:ilvl w:val="0"/>
          <w:numId w:val="25"/>
        </w:numPr>
        <w:snapToGrid w:val="0"/>
        <w:spacing w:line="440" w:lineRule="exact"/>
        <w:ind w:firstLine="453" w:firstLineChars="18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我发现</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lang w:eastAsia="zh-CN"/>
        </w:rPr>
        <w:t>供应商</w:t>
      </w:r>
      <w:r>
        <w:rPr>
          <w:rFonts w:hint="eastAsia" w:ascii="宋体" w:hAnsi="宋体" w:eastAsia="宋体" w:cs="宋体"/>
          <w:color w:val="auto"/>
          <w:kern w:val="0"/>
          <w:sz w:val="24"/>
          <w:szCs w:val="24"/>
          <w:highlight w:val="none"/>
        </w:rPr>
        <w:t>之间存在或可能存在上述第二条第</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项利害关系。</w:t>
      </w:r>
    </w:p>
    <w:p>
      <w:pPr>
        <w:pStyle w:val="29"/>
        <w:widowControl w:val="0"/>
        <w:snapToGrid w:val="0"/>
        <w:spacing w:line="440" w:lineRule="exact"/>
        <w:ind w:firstLine="480" w:firstLineChars="200"/>
        <w:jc w:val="both"/>
        <w:rPr>
          <w:rFonts w:hint="eastAsia" w:ascii="宋体" w:hAnsi="宋体" w:eastAsia="宋体" w:cs="宋体"/>
          <w:color w:val="auto"/>
          <w:sz w:val="24"/>
          <w:szCs w:val="24"/>
          <w:highlight w:val="none"/>
        </w:rPr>
      </w:pPr>
    </w:p>
    <w:p>
      <w:pPr>
        <w:pStyle w:val="29"/>
        <w:widowControl w:val="0"/>
        <w:snapToGrid w:val="0"/>
        <w:spacing w:line="44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lang w:eastAsia="zh-CN"/>
        </w:rPr>
        <w:t>供应商</w:t>
      </w:r>
      <w:r>
        <w:rPr>
          <w:rFonts w:hint="eastAsia" w:ascii="宋体" w:hAnsi="宋体" w:eastAsia="宋体" w:cs="宋体"/>
          <w:color w:val="auto"/>
          <w:sz w:val="24"/>
          <w:szCs w:val="24"/>
          <w:highlight w:val="none"/>
        </w:rPr>
        <w:t>代表签名）：</w:t>
      </w:r>
    </w:p>
    <w:p>
      <w:pPr>
        <w:pStyle w:val="29"/>
        <w:widowControl w:val="0"/>
        <w:snapToGrid w:val="0"/>
        <w:spacing w:line="440" w:lineRule="exact"/>
        <w:ind w:firstLine="480" w:firstLineChars="200"/>
        <w:jc w:val="both"/>
        <w:rPr>
          <w:rFonts w:hint="eastAsia" w:ascii="宋体" w:hAnsi="宋体" w:eastAsia="宋体" w:cs="宋体"/>
          <w:color w:val="auto"/>
          <w:highlight w:val="none"/>
        </w:rPr>
      </w:pPr>
      <w:r>
        <w:rPr>
          <w:rFonts w:hint="eastAsia" w:ascii="宋体" w:hAnsi="宋体" w:eastAsia="宋体" w:cs="宋体"/>
          <w:color w:val="auto"/>
          <w:sz w:val="24"/>
          <w:szCs w:val="24"/>
          <w:highlight w:val="none"/>
        </w:rPr>
        <w:t xml:space="preserve">                                      20</w:t>
      </w:r>
      <w:r>
        <w:rPr>
          <w:rFonts w:hint="eastAsia" w:ascii="宋体" w:hAnsi="宋体" w:eastAsia="宋体" w:cs="宋体"/>
          <w:color w:val="auto"/>
          <w:sz w:val="24"/>
          <w:szCs w:val="24"/>
          <w:highlight w:val="none"/>
          <w:lang w:val="en-US" w:eastAsia="zh-CN"/>
        </w:rPr>
        <w:t>21</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日</w:t>
      </w:r>
    </w:p>
    <w:p>
      <w:pPr>
        <w:rPr>
          <w:rFonts w:hint="eastAsia" w:ascii="宋体" w:hAnsi="宋体" w:eastAsia="宋体" w:cs="宋体"/>
          <w:color w:val="auto"/>
          <w:highlight w:val="none"/>
        </w:rPr>
      </w:pPr>
    </w:p>
    <w:sectPr>
      <w:footerReference r:id="rId6" w:type="default"/>
      <w:pgSz w:w="11906" w:h="16838"/>
      <w:pgMar w:top="1474" w:right="1797" w:bottom="1247" w:left="1797" w:header="851" w:footer="851"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Time New Romes">
    <w:altName w:val="Cambria"/>
    <w:panose1 w:val="00000000000000000000"/>
    <w:charset w:val="00"/>
    <w:family w:val="roman"/>
    <w:pitch w:val="default"/>
    <w:sig w:usb0="00000000" w:usb1="00000000" w:usb2="00000000" w:usb3="00000000" w:csb0="00040001"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长城仿宋">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cs="Times New Roman"/>
      </w:rPr>
    </w:pPr>
    <w:r>
      <w:rPr>
        <w:rFonts w:cs="Times New Roman"/>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rPr>
                              <w:rFonts w:hint="eastAsia" w:eastAsia="宋体" w:cs="Times New Roman"/>
                              <w:lang w:eastAsia="zh-CN"/>
                            </w:rPr>
                          </w:pPr>
                          <w:r>
                            <w:rPr>
                              <w:rFonts w:hint="eastAsia" w:cs="Times New Roman"/>
                              <w:lang w:eastAsia="zh-CN"/>
                            </w:rPr>
                            <w:fldChar w:fldCharType="begin"/>
                          </w:r>
                          <w:r>
                            <w:rPr>
                              <w:rFonts w:hint="eastAsia" w:cs="Times New Roman"/>
                              <w:lang w:eastAsia="zh-CN"/>
                            </w:rPr>
                            <w:instrText xml:space="preserve"> PAGE  \* MERGEFORMAT </w:instrText>
                          </w:r>
                          <w:r>
                            <w:rPr>
                              <w:rFonts w:hint="eastAsia" w:cs="Times New Roman"/>
                              <w:lang w:eastAsia="zh-CN"/>
                            </w:rPr>
                            <w:fldChar w:fldCharType="separate"/>
                          </w:r>
                          <w:r>
                            <w:rPr>
                              <w:rFonts w:hint="eastAsia" w:cs="Times New Roman"/>
                              <w:lang w:eastAsia="zh-CN"/>
                            </w:rPr>
                            <w:t>4</w:t>
                          </w:r>
                          <w:r>
                            <w:rPr>
                              <w:rFonts w:hint="eastAsia"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fill on="f" focussize="0,0"/>
              <v:stroke on="f" weight="1.25pt"/>
              <v:imagedata o:title=""/>
              <o:lock v:ext="edit" aspectratio="f"/>
              <v:textbox inset="0mm,0mm,0mm,0mm" style="mso-fit-shape-to-text:t;">
                <w:txbxContent>
                  <w:p>
                    <w:pPr>
                      <w:pStyle w:val="17"/>
                      <w:rPr>
                        <w:rFonts w:hint="eastAsia" w:eastAsia="宋体" w:cs="Times New Roman"/>
                        <w:lang w:eastAsia="zh-CN"/>
                      </w:rPr>
                    </w:pPr>
                    <w:r>
                      <w:rPr>
                        <w:rFonts w:hint="eastAsia" w:cs="Times New Roman"/>
                        <w:lang w:eastAsia="zh-CN"/>
                      </w:rPr>
                      <w:fldChar w:fldCharType="begin"/>
                    </w:r>
                    <w:r>
                      <w:rPr>
                        <w:rFonts w:hint="eastAsia" w:cs="Times New Roman"/>
                        <w:lang w:eastAsia="zh-CN"/>
                      </w:rPr>
                      <w:instrText xml:space="preserve"> PAGE  \* MERGEFORMAT </w:instrText>
                    </w:r>
                    <w:r>
                      <w:rPr>
                        <w:rFonts w:hint="eastAsia" w:cs="Times New Roman"/>
                        <w:lang w:eastAsia="zh-CN"/>
                      </w:rPr>
                      <w:fldChar w:fldCharType="separate"/>
                    </w:r>
                    <w:r>
                      <w:rPr>
                        <w:rFonts w:hint="eastAsia" w:cs="Times New Roman"/>
                        <w:lang w:eastAsia="zh-CN"/>
                      </w:rPr>
                      <w:t>4</w:t>
                    </w:r>
                    <w:r>
                      <w:rPr>
                        <w:rFonts w:hint="eastAsia" w:cs="Times New Roman"/>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cs="Times New Roman"/>
      </w:rPr>
    </w:pPr>
    <w:r>
      <w:rPr>
        <w:rFonts w:cs="Times New Roman"/>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7"/>
                            <w:rPr>
                              <w:rFonts w:hint="eastAsia" w:eastAsia="宋体" w:cs="Times New Roman"/>
                              <w:lang w:eastAsia="zh-CN"/>
                            </w:rPr>
                          </w:pPr>
                          <w:r>
                            <w:rPr>
                              <w:rFonts w:hint="eastAsia" w:cs="Times New Roman"/>
                              <w:lang w:eastAsia="zh-CN"/>
                            </w:rPr>
                            <w:fldChar w:fldCharType="begin"/>
                          </w:r>
                          <w:r>
                            <w:rPr>
                              <w:rFonts w:hint="eastAsia" w:cs="Times New Roman"/>
                              <w:lang w:eastAsia="zh-CN"/>
                            </w:rPr>
                            <w:instrText xml:space="preserve"> PAGE  \* MERGEFORMAT </w:instrText>
                          </w:r>
                          <w:r>
                            <w:rPr>
                              <w:rFonts w:hint="eastAsia" w:cs="Times New Roman"/>
                              <w:lang w:eastAsia="zh-CN"/>
                            </w:rPr>
                            <w:fldChar w:fldCharType="separate"/>
                          </w:r>
                          <w:r>
                            <w:rPr>
                              <w:rFonts w:hint="eastAsia" w:cs="Times New Roman"/>
                              <w:lang w:eastAsia="zh-CN"/>
                            </w:rPr>
                            <w:t>80</w:t>
                          </w:r>
                          <w:r>
                            <w:rPr>
                              <w:rFonts w:hint="eastAsia" w:cs="Times New Roman"/>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17"/>
                      <w:rPr>
                        <w:rFonts w:hint="eastAsia" w:eastAsia="宋体" w:cs="Times New Roman"/>
                        <w:lang w:eastAsia="zh-CN"/>
                      </w:rPr>
                    </w:pPr>
                    <w:r>
                      <w:rPr>
                        <w:rFonts w:hint="eastAsia" w:cs="Times New Roman"/>
                        <w:lang w:eastAsia="zh-CN"/>
                      </w:rPr>
                      <w:fldChar w:fldCharType="begin"/>
                    </w:r>
                    <w:r>
                      <w:rPr>
                        <w:rFonts w:hint="eastAsia" w:cs="Times New Roman"/>
                        <w:lang w:eastAsia="zh-CN"/>
                      </w:rPr>
                      <w:instrText xml:space="preserve"> PAGE  \* MERGEFORMAT </w:instrText>
                    </w:r>
                    <w:r>
                      <w:rPr>
                        <w:rFonts w:hint="eastAsia" w:cs="Times New Roman"/>
                        <w:lang w:eastAsia="zh-CN"/>
                      </w:rPr>
                      <w:fldChar w:fldCharType="separate"/>
                    </w:r>
                    <w:r>
                      <w:rPr>
                        <w:rFonts w:hint="eastAsia" w:cs="Times New Roman"/>
                        <w:lang w:eastAsia="zh-CN"/>
                      </w:rPr>
                      <w:t>80</w:t>
                    </w:r>
                    <w:r>
                      <w:rPr>
                        <w:rFonts w:hint="eastAsia" w:cs="Times New Roman"/>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rPr>
        <w:rFonts w:hint="eastAsia" w:eastAsia="宋体"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jc w:val="both"/>
      <w:rPr>
        <w:rFonts w:hint="eastAsia" w:eastAsia="宋体"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281E8"/>
    <w:multiLevelType w:val="singleLevel"/>
    <w:tmpl w:val="81A281E8"/>
    <w:lvl w:ilvl="0" w:tentative="0">
      <w:start w:val="1"/>
      <w:numFmt w:val="decimal"/>
      <w:suff w:val="nothing"/>
      <w:lvlText w:val="（%1）"/>
      <w:lvlJc w:val="left"/>
    </w:lvl>
  </w:abstractNum>
  <w:abstractNum w:abstractNumId="1">
    <w:nsid w:val="B093BD97"/>
    <w:multiLevelType w:val="singleLevel"/>
    <w:tmpl w:val="B093BD97"/>
    <w:lvl w:ilvl="0" w:tentative="0">
      <w:start w:val="1"/>
      <w:numFmt w:val="decimal"/>
      <w:pStyle w:val="9"/>
      <w:lvlText w:val="%1."/>
      <w:lvlJc w:val="left"/>
      <w:pPr>
        <w:tabs>
          <w:tab w:val="left" w:pos="360"/>
        </w:tabs>
        <w:ind w:left="360" w:hanging="360"/>
      </w:pPr>
    </w:lvl>
  </w:abstractNum>
  <w:abstractNum w:abstractNumId="2">
    <w:nsid w:val="BDE7B4A1"/>
    <w:multiLevelType w:val="singleLevel"/>
    <w:tmpl w:val="BDE7B4A1"/>
    <w:lvl w:ilvl="0" w:tentative="0">
      <w:start w:val="2"/>
      <w:numFmt w:val="chineseCounting"/>
      <w:suff w:val="space"/>
      <w:lvlText w:val="（%1）"/>
      <w:lvlJc w:val="left"/>
      <w:rPr>
        <w:rFonts w:hint="eastAsia"/>
      </w:rPr>
    </w:lvl>
  </w:abstractNum>
  <w:abstractNum w:abstractNumId="3">
    <w:nsid w:val="C1BB2992"/>
    <w:multiLevelType w:val="multilevel"/>
    <w:tmpl w:val="C1BB2992"/>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4">
    <w:nsid w:val="00000014"/>
    <w:multiLevelType w:val="singleLevel"/>
    <w:tmpl w:val="00000014"/>
    <w:lvl w:ilvl="0" w:tentative="0">
      <w:start w:val="5"/>
      <w:numFmt w:val="chineseCounting"/>
      <w:suff w:val="nothing"/>
      <w:lvlText w:val="%1、"/>
      <w:lvlJc w:val="left"/>
    </w:lvl>
  </w:abstractNum>
  <w:abstractNum w:abstractNumId="5">
    <w:nsid w:val="00000020"/>
    <w:multiLevelType w:val="singleLevel"/>
    <w:tmpl w:val="00000020"/>
    <w:lvl w:ilvl="0" w:tentative="0">
      <w:start w:val="1"/>
      <w:numFmt w:val="chineseCounting"/>
      <w:suff w:val="nothing"/>
      <w:lvlText w:val="（%1）"/>
      <w:lvlJc w:val="left"/>
    </w:lvl>
  </w:abstractNum>
  <w:abstractNum w:abstractNumId="6">
    <w:nsid w:val="00000023"/>
    <w:multiLevelType w:val="singleLevel"/>
    <w:tmpl w:val="00000023"/>
    <w:lvl w:ilvl="0" w:tentative="0">
      <w:start w:val="1"/>
      <w:numFmt w:val="decimal"/>
      <w:lvlText w:val="%1."/>
      <w:lvlJc w:val="left"/>
      <w:pPr>
        <w:tabs>
          <w:tab w:val="left" w:pos="312"/>
        </w:tabs>
      </w:pPr>
    </w:lvl>
  </w:abstractNum>
  <w:abstractNum w:abstractNumId="7">
    <w:nsid w:val="00000025"/>
    <w:multiLevelType w:val="singleLevel"/>
    <w:tmpl w:val="00000025"/>
    <w:lvl w:ilvl="0" w:tentative="0">
      <w:start w:val="1"/>
      <w:numFmt w:val="decimal"/>
      <w:suff w:val="nothing"/>
      <w:lvlText w:val="（%1）"/>
      <w:lvlJc w:val="left"/>
    </w:lvl>
  </w:abstractNum>
  <w:abstractNum w:abstractNumId="8">
    <w:nsid w:val="11A75968"/>
    <w:multiLevelType w:val="multilevel"/>
    <w:tmpl w:val="11A75968"/>
    <w:lvl w:ilvl="0" w:tentative="0">
      <w:start w:val="1"/>
      <w:numFmt w:val="chineseCountingThousand"/>
      <w:lvlText w:val="%1. "/>
      <w:lvlJc w:val="left"/>
      <w:pPr>
        <w:tabs>
          <w:tab w:val="left" w:pos="1560"/>
        </w:tabs>
        <w:ind w:left="1560" w:hanging="425"/>
      </w:pPr>
      <w:rPr>
        <w:rFonts w:hint="eastAsia"/>
      </w:rPr>
    </w:lvl>
    <w:lvl w:ilvl="1" w:tentative="0">
      <w:start w:val="1"/>
      <w:numFmt w:val="decimal"/>
      <w:isLgl/>
      <w:lvlText w:val="%1.%2."/>
      <w:lvlJc w:val="left"/>
      <w:pPr>
        <w:tabs>
          <w:tab w:val="left" w:pos="709"/>
        </w:tabs>
        <w:ind w:left="709" w:hanging="567"/>
      </w:pPr>
      <w:rPr>
        <w:rFonts w:hint="default" w:ascii="Times New Roman" w:hAnsi="Times New Roman" w:cs="Times New Roman"/>
      </w:rPr>
    </w:lvl>
    <w:lvl w:ilvl="2" w:tentative="0">
      <w:start w:val="1"/>
      <w:numFmt w:val="decimal"/>
      <w:pStyle w:val="6"/>
      <w:isLgl/>
      <w:lvlText w:val="%1.%2.%3."/>
      <w:lvlJc w:val="left"/>
      <w:pPr>
        <w:tabs>
          <w:tab w:val="left" w:pos="851"/>
        </w:tabs>
        <w:ind w:left="851" w:hanging="709"/>
      </w:pPr>
      <w:rPr>
        <w:rFonts w:hint="default" w:ascii="Times New Roman" w:hAnsi="Times New Roman" w:cs="Times New Roman"/>
      </w:rPr>
    </w:lvl>
    <w:lvl w:ilvl="3" w:tentative="0">
      <w:start w:val="1"/>
      <w:numFmt w:val="decimal"/>
      <w:pStyle w:val="7"/>
      <w:isLgl/>
      <w:lvlText w:val="%1.%2.%3.%4."/>
      <w:lvlJc w:val="left"/>
      <w:pPr>
        <w:tabs>
          <w:tab w:val="left" w:pos="1844"/>
        </w:tabs>
        <w:ind w:left="1844" w:hanging="851"/>
      </w:pPr>
      <w:rPr>
        <w:rFonts w:hint="default" w:ascii="Times New Roman" w:hAnsi="Times New Roman" w:cs="Times New Roman"/>
      </w:rPr>
    </w:lvl>
    <w:lvl w:ilvl="4" w:tentative="0">
      <w:start w:val="1"/>
      <w:numFmt w:val="decimal"/>
      <w:pStyle w:val="8"/>
      <w:isLgl/>
      <w:lvlText w:val="%1.%2.%3.%4.%5."/>
      <w:lvlJc w:val="left"/>
      <w:pPr>
        <w:tabs>
          <w:tab w:val="left" w:pos="2127"/>
        </w:tabs>
        <w:ind w:left="2127" w:hanging="992"/>
      </w:pPr>
      <w:rPr>
        <w:rFonts w:hint="eastAsia"/>
      </w:rPr>
    </w:lvl>
    <w:lvl w:ilvl="5" w:tentative="0">
      <w:start w:val="1"/>
      <w:numFmt w:val="decimal"/>
      <w:lvlText w:val="%6）"/>
      <w:lvlJc w:val="left"/>
      <w:pPr>
        <w:ind w:left="1402" w:hanging="1260"/>
      </w:pPr>
      <w:rPr>
        <w:rFonts w:hint="default"/>
      </w:rPr>
    </w:lvl>
    <w:lvl w:ilvl="6" w:tentative="0">
      <w:start w:val="1"/>
      <w:numFmt w:val="decimal"/>
      <w:lvlText w:val="%7、"/>
      <w:lvlJc w:val="left"/>
      <w:pPr>
        <w:ind w:left="862" w:hanging="720"/>
      </w:pPr>
      <w:rPr>
        <w:rFonts w:hint="default"/>
      </w:rPr>
    </w:lvl>
    <w:lvl w:ilvl="7" w:tentative="0">
      <w:start w:val="1"/>
      <w:numFmt w:val="decimal"/>
      <w:lvlText w:val="%8."/>
      <w:lvlJc w:val="left"/>
      <w:pPr>
        <w:ind w:left="862" w:hanging="720"/>
      </w:pPr>
      <w:rPr>
        <w:rFonts w:hint="eastAsia"/>
      </w:rPr>
    </w:lvl>
    <w:lvl w:ilvl="8" w:tentative="0">
      <w:start w:val="1"/>
      <w:numFmt w:val="japaneseCounting"/>
      <w:lvlText w:val="（%9）"/>
      <w:lvlJc w:val="left"/>
      <w:pPr>
        <w:ind w:left="1027" w:hanging="885"/>
      </w:pPr>
      <w:rPr>
        <w:rFonts w:hint="default"/>
      </w:rPr>
    </w:lvl>
  </w:abstractNum>
  <w:abstractNum w:abstractNumId="9">
    <w:nsid w:val="15AE74FA"/>
    <w:multiLevelType w:val="singleLevel"/>
    <w:tmpl w:val="15AE74FA"/>
    <w:lvl w:ilvl="0" w:tentative="0">
      <w:start w:val="1"/>
      <w:numFmt w:val="decimal"/>
      <w:suff w:val="nothing"/>
      <w:lvlText w:val="（%1）"/>
      <w:lvlJc w:val="left"/>
    </w:lvl>
  </w:abstractNum>
  <w:abstractNum w:abstractNumId="10">
    <w:nsid w:val="21029AC7"/>
    <w:multiLevelType w:val="singleLevel"/>
    <w:tmpl w:val="21029AC7"/>
    <w:lvl w:ilvl="0" w:tentative="0">
      <w:start w:val="1"/>
      <w:numFmt w:val="bullet"/>
      <w:lvlText w:val=""/>
      <w:lvlJc w:val="left"/>
      <w:pPr>
        <w:ind w:left="420" w:hanging="420"/>
      </w:pPr>
      <w:rPr>
        <w:rFonts w:hint="default" w:ascii="Wingdings" w:hAnsi="Wingdings"/>
      </w:rPr>
    </w:lvl>
  </w:abstractNum>
  <w:abstractNum w:abstractNumId="11">
    <w:nsid w:val="27B78F41"/>
    <w:multiLevelType w:val="multilevel"/>
    <w:tmpl w:val="27B78F41"/>
    <w:lvl w:ilvl="0" w:tentative="0">
      <w:start w:val="5"/>
      <w:numFmt w:val="decimal"/>
      <w:suff w:val="nothing"/>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29D120CC"/>
    <w:multiLevelType w:val="singleLevel"/>
    <w:tmpl w:val="29D120CC"/>
    <w:lvl w:ilvl="0" w:tentative="0">
      <w:start w:val="1"/>
      <w:numFmt w:val="decimal"/>
      <w:suff w:val="nothing"/>
      <w:lvlText w:val="（%1）"/>
      <w:lvlJc w:val="left"/>
    </w:lvl>
  </w:abstractNum>
  <w:abstractNum w:abstractNumId="13">
    <w:nsid w:val="40781B6F"/>
    <w:multiLevelType w:val="multilevel"/>
    <w:tmpl w:val="40781B6F"/>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4">
    <w:nsid w:val="441B7733"/>
    <w:multiLevelType w:val="multilevel"/>
    <w:tmpl w:val="441B773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614" w:hanging="420"/>
      </w:pPr>
      <w:rPr>
        <w:rFonts w:hint="default" w:ascii="Wingdings" w:hAnsi="Wingdings"/>
      </w:rPr>
    </w:lvl>
    <w:lvl w:ilvl="2" w:tentative="0">
      <w:start w:val="1"/>
      <w:numFmt w:val="bullet"/>
      <w:lvlText w:val=""/>
      <w:lvlJc w:val="left"/>
      <w:pPr>
        <w:ind w:left="1034" w:hanging="420"/>
      </w:pPr>
      <w:rPr>
        <w:rFonts w:hint="default" w:ascii="Wingdings" w:hAnsi="Wingdings"/>
      </w:rPr>
    </w:lvl>
    <w:lvl w:ilvl="3" w:tentative="0">
      <w:start w:val="1"/>
      <w:numFmt w:val="bullet"/>
      <w:lvlText w:val=""/>
      <w:lvlJc w:val="left"/>
      <w:pPr>
        <w:ind w:left="1454" w:hanging="420"/>
      </w:pPr>
      <w:rPr>
        <w:rFonts w:hint="default" w:ascii="Wingdings" w:hAnsi="Wingdings"/>
      </w:rPr>
    </w:lvl>
    <w:lvl w:ilvl="4" w:tentative="0">
      <w:start w:val="1"/>
      <w:numFmt w:val="bullet"/>
      <w:lvlText w:val=""/>
      <w:lvlJc w:val="left"/>
      <w:pPr>
        <w:ind w:left="1874" w:hanging="420"/>
      </w:pPr>
      <w:rPr>
        <w:rFonts w:hint="default" w:ascii="Wingdings" w:hAnsi="Wingdings"/>
      </w:rPr>
    </w:lvl>
    <w:lvl w:ilvl="5" w:tentative="0">
      <w:start w:val="1"/>
      <w:numFmt w:val="bullet"/>
      <w:lvlText w:val=""/>
      <w:lvlJc w:val="left"/>
      <w:pPr>
        <w:ind w:left="2294" w:hanging="420"/>
      </w:pPr>
      <w:rPr>
        <w:rFonts w:hint="default" w:ascii="Wingdings" w:hAnsi="Wingdings"/>
      </w:rPr>
    </w:lvl>
    <w:lvl w:ilvl="6" w:tentative="0">
      <w:start w:val="1"/>
      <w:numFmt w:val="bullet"/>
      <w:lvlText w:val=""/>
      <w:lvlJc w:val="left"/>
      <w:pPr>
        <w:ind w:left="2714" w:hanging="420"/>
      </w:pPr>
      <w:rPr>
        <w:rFonts w:hint="default" w:ascii="Wingdings" w:hAnsi="Wingdings"/>
      </w:rPr>
    </w:lvl>
    <w:lvl w:ilvl="7" w:tentative="0">
      <w:start w:val="1"/>
      <w:numFmt w:val="bullet"/>
      <w:lvlText w:val=""/>
      <w:lvlJc w:val="left"/>
      <w:pPr>
        <w:ind w:left="3134" w:hanging="420"/>
      </w:pPr>
      <w:rPr>
        <w:rFonts w:hint="default" w:ascii="Wingdings" w:hAnsi="Wingdings"/>
      </w:rPr>
    </w:lvl>
    <w:lvl w:ilvl="8" w:tentative="0">
      <w:start w:val="1"/>
      <w:numFmt w:val="bullet"/>
      <w:lvlText w:val=""/>
      <w:lvlJc w:val="left"/>
      <w:pPr>
        <w:ind w:left="3554" w:hanging="420"/>
      </w:pPr>
      <w:rPr>
        <w:rFonts w:hint="default" w:ascii="Wingdings" w:hAnsi="Wingdings"/>
      </w:rPr>
    </w:lvl>
  </w:abstractNum>
  <w:abstractNum w:abstractNumId="15">
    <w:nsid w:val="515F7B5E"/>
    <w:multiLevelType w:val="multilevel"/>
    <w:tmpl w:val="515F7B5E"/>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6">
    <w:nsid w:val="54F403B5"/>
    <w:multiLevelType w:val="singleLevel"/>
    <w:tmpl w:val="54F403B5"/>
    <w:lvl w:ilvl="0" w:tentative="0">
      <w:start w:val="1"/>
      <w:numFmt w:val="chineseCounting"/>
      <w:suff w:val="nothing"/>
      <w:lvlText w:val="%1、"/>
      <w:lvlJc w:val="left"/>
    </w:lvl>
  </w:abstractNum>
  <w:abstractNum w:abstractNumId="17">
    <w:nsid w:val="557FD3DA"/>
    <w:multiLevelType w:val="singleLevel"/>
    <w:tmpl w:val="557FD3DA"/>
    <w:lvl w:ilvl="0" w:tentative="0">
      <w:start w:val="3"/>
      <w:numFmt w:val="chineseCounting"/>
      <w:suff w:val="nothing"/>
      <w:lvlText w:val="%1、"/>
      <w:lvlJc w:val="left"/>
    </w:lvl>
  </w:abstractNum>
  <w:abstractNum w:abstractNumId="18">
    <w:nsid w:val="589A2FD8"/>
    <w:multiLevelType w:val="singleLevel"/>
    <w:tmpl w:val="589A2FD8"/>
    <w:lvl w:ilvl="0" w:tentative="0">
      <w:start w:val="1"/>
      <w:numFmt w:val="decimal"/>
      <w:suff w:val="nothing"/>
      <w:lvlText w:val="（%1）"/>
      <w:lvlJc w:val="left"/>
    </w:lvl>
  </w:abstractNum>
  <w:abstractNum w:abstractNumId="19">
    <w:nsid w:val="5950E9B0"/>
    <w:multiLevelType w:val="singleLevel"/>
    <w:tmpl w:val="5950E9B0"/>
    <w:lvl w:ilvl="0" w:tentative="0">
      <w:start w:val="2"/>
      <w:numFmt w:val="decimal"/>
      <w:suff w:val="nothing"/>
      <w:lvlText w:val="%1、"/>
      <w:lvlJc w:val="left"/>
    </w:lvl>
  </w:abstractNum>
  <w:abstractNum w:abstractNumId="20">
    <w:nsid w:val="59F1C7B7"/>
    <w:multiLevelType w:val="singleLevel"/>
    <w:tmpl w:val="59F1C7B7"/>
    <w:lvl w:ilvl="0" w:tentative="0">
      <w:start w:val="4"/>
      <w:numFmt w:val="chineseCounting"/>
      <w:suff w:val="nothing"/>
      <w:lvlText w:val="（%1）"/>
      <w:lvlJc w:val="left"/>
    </w:lvl>
  </w:abstractNum>
  <w:abstractNum w:abstractNumId="21">
    <w:nsid w:val="59F56D91"/>
    <w:multiLevelType w:val="singleLevel"/>
    <w:tmpl w:val="59F56D91"/>
    <w:lvl w:ilvl="0" w:tentative="0">
      <w:start w:val="1"/>
      <w:numFmt w:val="decimal"/>
      <w:suff w:val="nothing"/>
      <w:lvlText w:val="（%1）"/>
      <w:lvlJc w:val="left"/>
    </w:lvl>
  </w:abstractNum>
  <w:abstractNum w:abstractNumId="22">
    <w:nsid w:val="59FED34C"/>
    <w:multiLevelType w:val="multilevel"/>
    <w:tmpl w:val="59FED34C"/>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3">
    <w:nsid w:val="59FEDFBD"/>
    <w:multiLevelType w:val="multilevel"/>
    <w:tmpl w:val="59FEDFBD"/>
    <w:lvl w:ilvl="0" w:tentative="0">
      <w:start w:val="1"/>
      <w:numFmt w:val="decimal"/>
      <w:suff w:val="nothing"/>
      <w:lvlText w:val="（%1）"/>
      <w:lvlJc w:val="left"/>
      <w:pPr>
        <w:ind w:left="0" w:firstLine="0"/>
      </w:pPr>
      <w:rPr>
        <w:rFonts w:hint="default" w:ascii="Times New Roman"/>
        <w:u w:val="none" w:color="auto"/>
      </w:rPr>
    </w:lvl>
    <w:lvl w:ilvl="1" w:tentative="0">
      <w:start w:val="1"/>
      <w:numFmt w:val="decimal"/>
      <w:lvlText w:val="%2."/>
      <w:lvlJc w:val="left"/>
      <w:pPr>
        <w:tabs>
          <w:tab w:val="left" w:pos="1440"/>
        </w:tabs>
        <w:ind w:left="1440" w:hanging="360"/>
      </w:pPr>
      <w:rPr>
        <w:rFonts w:hint="default" w:ascii="Times New Roman"/>
        <w:u w:val="none" w:color="auto"/>
      </w:rPr>
    </w:lvl>
    <w:lvl w:ilvl="2" w:tentative="0">
      <w:start w:val="1"/>
      <w:numFmt w:val="decimal"/>
      <w:lvlText w:val="%3."/>
      <w:lvlJc w:val="left"/>
      <w:pPr>
        <w:tabs>
          <w:tab w:val="left" w:pos="2160"/>
        </w:tabs>
        <w:ind w:left="2160" w:hanging="360"/>
      </w:pPr>
      <w:rPr>
        <w:rFonts w:hint="default" w:ascii="Times New Roman"/>
        <w:u w:val="none" w:color="auto"/>
      </w:rPr>
    </w:lvl>
    <w:lvl w:ilvl="3" w:tentative="0">
      <w:start w:val="1"/>
      <w:numFmt w:val="decimal"/>
      <w:lvlText w:val="%4."/>
      <w:lvlJc w:val="left"/>
      <w:pPr>
        <w:tabs>
          <w:tab w:val="left" w:pos="2880"/>
        </w:tabs>
        <w:ind w:left="2880" w:hanging="360"/>
      </w:pPr>
      <w:rPr>
        <w:rFonts w:hint="default" w:ascii="Times New Roman"/>
        <w:u w:val="none" w:color="auto"/>
      </w:rPr>
    </w:lvl>
    <w:lvl w:ilvl="4" w:tentative="0">
      <w:start w:val="1"/>
      <w:numFmt w:val="decimal"/>
      <w:lvlText w:val="%5."/>
      <w:lvlJc w:val="left"/>
      <w:pPr>
        <w:tabs>
          <w:tab w:val="left" w:pos="3600"/>
        </w:tabs>
        <w:ind w:left="3600" w:hanging="360"/>
      </w:pPr>
      <w:rPr>
        <w:rFonts w:hint="default" w:ascii="Times New Roman"/>
        <w:u w:val="none" w:color="auto"/>
      </w:rPr>
    </w:lvl>
    <w:lvl w:ilvl="5" w:tentative="0">
      <w:start w:val="1"/>
      <w:numFmt w:val="decimal"/>
      <w:lvlText w:val="%6."/>
      <w:lvlJc w:val="left"/>
      <w:pPr>
        <w:tabs>
          <w:tab w:val="left" w:pos="4320"/>
        </w:tabs>
        <w:ind w:left="4320" w:hanging="360"/>
      </w:pPr>
      <w:rPr>
        <w:rFonts w:hint="default" w:ascii="Times New Roman"/>
        <w:u w:val="none" w:color="auto"/>
      </w:rPr>
    </w:lvl>
    <w:lvl w:ilvl="6" w:tentative="0">
      <w:start w:val="1"/>
      <w:numFmt w:val="decimal"/>
      <w:lvlText w:val="%7."/>
      <w:lvlJc w:val="left"/>
      <w:pPr>
        <w:tabs>
          <w:tab w:val="left" w:pos="5040"/>
        </w:tabs>
        <w:ind w:left="5040" w:hanging="360"/>
      </w:pPr>
      <w:rPr>
        <w:rFonts w:hint="default" w:ascii="Times New Roman"/>
        <w:u w:val="none" w:color="auto"/>
      </w:rPr>
    </w:lvl>
    <w:lvl w:ilvl="7" w:tentative="0">
      <w:start w:val="1"/>
      <w:numFmt w:val="decimal"/>
      <w:lvlText w:val="%8."/>
      <w:lvlJc w:val="left"/>
      <w:pPr>
        <w:tabs>
          <w:tab w:val="left" w:pos="5760"/>
        </w:tabs>
        <w:ind w:left="5760" w:hanging="360"/>
      </w:pPr>
      <w:rPr>
        <w:rFonts w:hint="default" w:ascii="Times New Roman"/>
        <w:u w:val="none" w:color="auto"/>
      </w:rPr>
    </w:lvl>
    <w:lvl w:ilvl="8" w:tentative="0">
      <w:start w:val="1"/>
      <w:numFmt w:val="decimal"/>
      <w:lvlText w:val="%9."/>
      <w:lvlJc w:val="left"/>
      <w:pPr>
        <w:tabs>
          <w:tab w:val="left" w:pos="6480"/>
        </w:tabs>
        <w:ind w:left="6480" w:hanging="360"/>
      </w:pPr>
      <w:rPr>
        <w:rFonts w:hint="default" w:ascii="Times New Roman"/>
        <w:u w:val="none" w:color="auto"/>
      </w:rPr>
    </w:lvl>
  </w:abstractNum>
  <w:abstractNum w:abstractNumId="24">
    <w:nsid w:val="68EFD9FE"/>
    <w:multiLevelType w:val="singleLevel"/>
    <w:tmpl w:val="68EFD9FE"/>
    <w:lvl w:ilvl="0" w:tentative="0">
      <w:start w:val="1"/>
      <w:numFmt w:val="bullet"/>
      <w:lvlText w:val=""/>
      <w:lvlJc w:val="left"/>
      <w:pPr>
        <w:ind w:left="420" w:hanging="420"/>
      </w:pPr>
      <w:rPr>
        <w:rFonts w:hint="default" w:ascii="Wingdings" w:hAnsi="Wingdings"/>
      </w:rPr>
    </w:lvl>
  </w:abstractNum>
  <w:num w:numId="1">
    <w:abstractNumId w:val="8"/>
  </w:num>
  <w:num w:numId="2">
    <w:abstractNumId w:val="1"/>
  </w:num>
  <w:num w:numId="3">
    <w:abstractNumId w:val="7"/>
  </w:num>
  <w:num w:numId="4">
    <w:abstractNumId w:val="15"/>
  </w:num>
  <w:num w:numId="5">
    <w:abstractNumId w:val="10"/>
  </w:num>
  <w:num w:numId="6">
    <w:abstractNumId w:val="14"/>
  </w:num>
  <w:num w:numId="7">
    <w:abstractNumId w:val="24"/>
  </w:num>
  <w:num w:numId="8">
    <w:abstractNumId w:val="2"/>
  </w:num>
  <w:num w:numId="9">
    <w:abstractNumId w:val="18"/>
  </w:num>
  <w:num w:numId="10">
    <w:abstractNumId w:val="6"/>
  </w:num>
  <w:num w:numId="11">
    <w:abstractNumId w:val="21"/>
  </w:num>
  <w:num w:numId="12">
    <w:abstractNumId w:val="22"/>
  </w:num>
  <w:num w:numId="13">
    <w:abstractNumId w:val="13"/>
  </w:num>
  <w:num w:numId="14">
    <w:abstractNumId w:val="12"/>
  </w:num>
  <w:num w:numId="15">
    <w:abstractNumId w:val="19"/>
  </w:num>
  <w:num w:numId="16">
    <w:abstractNumId w:val="11"/>
  </w:num>
  <w:num w:numId="17">
    <w:abstractNumId w:val="4"/>
  </w:num>
  <w:num w:numId="18">
    <w:abstractNumId w:val="5"/>
  </w:num>
  <w:num w:numId="19">
    <w:abstractNumId w:val="20"/>
  </w:num>
  <w:num w:numId="20">
    <w:abstractNumId w:val="9"/>
  </w:num>
  <w:num w:numId="21">
    <w:abstractNumId w:val="3"/>
  </w:num>
  <w:num w:numId="22">
    <w:abstractNumId w:val="0"/>
  </w:num>
  <w:num w:numId="23">
    <w:abstractNumId w:val="23"/>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02258"/>
    <w:rsid w:val="02842601"/>
    <w:rsid w:val="034806EC"/>
    <w:rsid w:val="04C76A4D"/>
    <w:rsid w:val="05D708F1"/>
    <w:rsid w:val="072115A7"/>
    <w:rsid w:val="0C9A3DD1"/>
    <w:rsid w:val="0D2902AF"/>
    <w:rsid w:val="0D786529"/>
    <w:rsid w:val="0F1016C1"/>
    <w:rsid w:val="10623B9E"/>
    <w:rsid w:val="107C5268"/>
    <w:rsid w:val="114033B4"/>
    <w:rsid w:val="11C34F1B"/>
    <w:rsid w:val="125E4E45"/>
    <w:rsid w:val="12EA721D"/>
    <w:rsid w:val="14546CC4"/>
    <w:rsid w:val="14C64A3B"/>
    <w:rsid w:val="15DC2BD1"/>
    <w:rsid w:val="16EC75AE"/>
    <w:rsid w:val="172926D6"/>
    <w:rsid w:val="17967AAF"/>
    <w:rsid w:val="18497A8B"/>
    <w:rsid w:val="18CE2F63"/>
    <w:rsid w:val="190D4F1B"/>
    <w:rsid w:val="19FA44E2"/>
    <w:rsid w:val="1A00409E"/>
    <w:rsid w:val="1AB154AA"/>
    <w:rsid w:val="1EBC57F3"/>
    <w:rsid w:val="20A43BFA"/>
    <w:rsid w:val="20D221B9"/>
    <w:rsid w:val="20E72A6C"/>
    <w:rsid w:val="21A545C0"/>
    <w:rsid w:val="22F9530D"/>
    <w:rsid w:val="23B0506C"/>
    <w:rsid w:val="24D839A0"/>
    <w:rsid w:val="24E1089A"/>
    <w:rsid w:val="269C0431"/>
    <w:rsid w:val="286C75F9"/>
    <w:rsid w:val="2A43692D"/>
    <w:rsid w:val="2BBE5EC5"/>
    <w:rsid w:val="2C226A33"/>
    <w:rsid w:val="2C62036B"/>
    <w:rsid w:val="2D1B52EF"/>
    <w:rsid w:val="2DC356B2"/>
    <w:rsid w:val="2E807173"/>
    <w:rsid w:val="2EB3571B"/>
    <w:rsid w:val="2EF45EB1"/>
    <w:rsid w:val="2F1E396D"/>
    <w:rsid w:val="2F7A62BC"/>
    <w:rsid w:val="2F8E725F"/>
    <w:rsid w:val="2FE54EBB"/>
    <w:rsid w:val="301A22A4"/>
    <w:rsid w:val="3100148E"/>
    <w:rsid w:val="31005BAA"/>
    <w:rsid w:val="32CF039B"/>
    <w:rsid w:val="33F72D73"/>
    <w:rsid w:val="34AA7E48"/>
    <w:rsid w:val="34E55795"/>
    <w:rsid w:val="36093DB6"/>
    <w:rsid w:val="36415192"/>
    <w:rsid w:val="39A54A8F"/>
    <w:rsid w:val="39DF79E4"/>
    <w:rsid w:val="3BF31028"/>
    <w:rsid w:val="3BF32A66"/>
    <w:rsid w:val="3DA90471"/>
    <w:rsid w:val="435901CC"/>
    <w:rsid w:val="4374095B"/>
    <w:rsid w:val="43BF660B"/>
    <w:rsid w:val="44042895"/>
    <w:rsid w:val="442D3C97"/>
    <w:rsid w:val="455E279D"/>
    <w:rsid w:val="45C313B6"/>
    <w:rsid w:val="469635D9"/>
    <w:rsid w:val="47300786"/>
    <w:rsid w:val="47D21400"/>
    <w:rsid w:val="47D40435"/>
    <w:rsid w:val="483E535A"/>
    <w:rsid w:val="49D86A15"/>
    <w:rsid w:val="4BF15A5D"/>
    <w:rsid w:val="4D8765FC"/>
    <w:rsid w:val="4D8C5D14"/>
    <w:rsid w:val="4E490CB8"/>
    <w:rsid w:val="4EA72A1B"/>
    <w:rsid w:val="4F146A76"/>
    <w:rsid w:val="51637D24"/>
    <w:rsid w:val="516863AE"/>
    <w:rsid w:val="51BF79DD"/>
    <w:rsid w:val="51DB4E23"/>
    <w:rsid w:val="521D764D"/>
    <w:rsid w:val="522B71FC"/>
    <w:rsid w:val="528E19E7"/>
    <w:rsid w:val="532E0ECF"/>
    <w:rsid w:val="532F2633"/>
    <w:rsid w:val="537E5789"/>
    <w:rsid w:val="53846D7B"/>
    <w:rsid w:val="540D7A4A"/>
    <w:rsid w:val="546959FB"/>
    <w:rsid w:val="54DD514F"/>
    <w:rsid w:val="558A6CE4"/>
    <w:rsid w:val="569D0B38"/>
    <w:rsid w:val="57CE2883"/>
    <w:rsid w:val="58201E41"/>
    <w:rsid w:val="5A0F1FBE"/>
    <w:rsid w:val="5A1043AD"/>
    <w:rsid w:val="5A5F79DA"/>
    <w:rsid w:val="5A621989"/>
    <w:rsid w:val="5B2013B6"/>
    <w:rsid w:val="5B467D15"/>
    <w:rsid w:val="5D567017"/>
    <w:rsid w:val="5E0D1B3F"/>
    <w:rsid w:val="5E287CF0"/>
    <w:rsid w:val="5F5C0894"/>
    <w:rsid w:val="601962E3"/>
    <w:rsid w:val="64917402"/>
    <w:rsid w:val="65D41CAD"/>
    <w:rsid w:val="668B0E29"/>
    <w:rsid w:val="66DD1B01"/>
    <w:rsid w:val="674419FD"/>
    <w:rsid w:val="6837613C"/>
    <w:rsid w:val="688C3AEF"/>
    <w:rsid w:val="6909563D"/>
    <w:rsid w:val="69BE3BD0"/>
    <w:rsid w:val="6A6251DF"/>
    <w:rsid w:val="6A6E07BA"/>
    <w:rsid w:val="6C330E9C"/>
    <w:rsid w:val="6C9E56FD"/>
    <w:rsid w:val="6CE61E87"/>
    <w:rsid w:val="6D88111A"/>
    <w:rsid w:val="6E5639A3"/>
    <w:rsid w:val="71946633"/>
    <w:rsid w:val="71993771"/>
    <w:rsid w:val="735A47CD"/>
    <w:rsid w:val="73756AD1"/>
    <w:rsid w:val="747C25F2"/>
    <w:rsid w:val="76127FC3"/>
    <w:rsid w:val="77176AF3"/>
    <w:rsid w:val="779514B0"/>
    <w:rsid w:val="77E249E2"/>
    <w:rsid w:val="7849509E"/>
    <w:rsid w:val="78CE2A3E"/>
    <w:rsid w:val="78D10247"/>
    <w:rsid w:val="792A485C"/>
    <w:rsid w:val="796F20E1"/>
    <w:rsid w:val="7A3550DF"/>
    <w:rsid w:val="7E11676A"/>
    <w:rsid w:val="7EDD4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99"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5">
    <w:name w:val="heading 2"/>
    <w:basedOn w:val="1"/>
    <w:next w:val="1"/>
    <w:qFormat/>
    <w:uiPriority w:val="0"/>
    <w:pPr>
      <w:keepNext/>
      <w:keepLines/>
      <w:widowControl w:val="0"/>
      <w:spacing w:before="260" w:beforeLines="0" w:after="260" w:afterLines="0" w:line="413" w:lineRule="auto"/>
      <w:jc w:val="both"/>
      <w:outlineLvl w:val="1"/>
    </w:pPr>
    <w:rPr>
      <w:rFonts w:ascii="Arial" w:hAnsi="Arial" w:eastAsia="黑体" w:cs="Times New Roman"/>
      <w:b/>
      <w:kern w:val="2"/>
      <w:sz w:val="32"/>
      <w:szCs w:val="32"/>
      <w:lang w:val="en-US" w:eastAsia="zh-CN" w:bidi="ar-SA"/>
    </w:rPr>
  </w:style>
  <w:style w:type="paragraph" w:styleId="6">
    <w:name w:val="heading 3"/>
    <w:basedOn w:val="1"/>
    <w:next w:val="3"/>
    <w:qFormat/>
    <w:uiPriority w:val="0"/>
    <w:pPr>
      <w:keepNext/>
      <w:keepLines/>
      <w:numPr>
        <w:ilvl w:val="2"/>
        <w:numId w:val="1"/>
      </w:numPr>
      <w:spacing w:before="120" w:after="120"/>
      <w:ind w:firstLine="0" w:firstLineChars="0"/>
      <w:outlineLvl w:val="2"/>
    </w:pPr>
    <w:rPr>
      <w:rFonts w:ascii="Calibri" w:hAnsi="Calibri"/>
      <w:b/>
      <w:bCs/>
      <w:szCs w:val="32"/>
    </w:rPr>
  </w:style>
  <w:style w:type="paragraph" w:styleId="7">
    <w:name w:val="heading 4"/>
    <w:basedOn w:val="1"/>
    <w:next w:val="1"/>
    <w:qFormat/>
    <w:uiPriority w:val="9"/>
    <w:pPr>
      <w:keepNext/>
      <w:keepLines/>
      <w:numPr>
        <w:ilvl w:val="3"/>
        <w:numId w:val="1"/>
      </w:numPr>
      <w:ind w:firstLine="0" w:firstLineChars="0"/>
      <w:outlineLvl w:val="3"/>
    </w:pPr>
    <w:rPr>
      <w:rFonts w:ascii="Calibri Light" w:hAnsi="Calibri Light"/>
      <w:b/>
      <w:bCs/>
      <w:szCs w:val="28"/>
    </w:rPr>
  </w:style>
  <w:style w:type="paragraph" w:styleId="8">
    <w:name w:val="heading 5"/>
    <w:basedOn w:val="1"/>
    <w:next w:val="1"/>
    <w:qFormat/>
    <w:uiPriority w:val="9"/>
    <w:pPr>
      <w:keepNext/>
      <w:keepLines/>
      <w:numPr>
        <w:ilvl w:val="4"/>
        <w:numId w:val="1"/>
      </w:numPr>
      <w:tabs>
        <w:tab w:val="left" w:pos="1560"/>
      </w:tabs>
      <w:ind w:left="0" w:firstLine="0" w:firstLineChars="0"/>
      <w:outlineLvl w:val="4"/>
    </w:pPr>
    <w:rPr>
      <w:rFonts w:ascii="Calibri" w:hAnsi="Calibri"/>
      <w:bCs/>
      <w:szCs w:val="28"/>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pPr>
    <w:rPr>
      <w:rFonts w:ascii="Tahoma" w:hAnsi="Tahoma"/>
      <w:sz w:val="28"/>
    </w:rPr>
  </w:style>
  <w:style w:type="paragraph" w:styleId="3">
    <w:name w:val="Body Text First Indent"/>
    <w:basedOn w:val="2"/>
    <w:next w:val="1"/>
    <w:qFormat/>
    <w:uiPriority w:val="0"/>
    <w:pPr>
      <w:ind w:firstLine="420" w:firstLineChars="100"/>
    </w:pPr>
  </w:style>
  <w:style w:type="paragraph" w:styleId="9">
    <w:name w:val="List Number"/>
    <w:basedOn w:val="1"/>
    <w:qFormat/>
    <w:uiPriority w:val="0"/>
    <w:pPr>
      <w:numPr>
        <w:ilvl w:val="0"/>
        <w:numId w:val="2"/>
      </w:numPr>
    </w:pPr>
  </w:style>
  <w:style w:type="paragraph" w:styleId="10">
    <w:name w:val="Normal Indent"/>
    <w:qFormat/>
    <w:uiPriority w:val="0"/>
    <w:pPr>
      <w:widowControl w:val="0"/>
      <w:ind w:firstLine="420"/>
      <w:jc w:val="both"/>
    </w:pPr>
    <w:rPr>
      <w:rFonts w:ascii="Tahoma" w:hAnsi="Tahoma" w:eastAsia="Tahoma" w:cs="Times New Roman"/>
      <w:b/>
      <w:kern w:val="2"/>
      <w:sz w:val="21"/>
      <w:szCs w:val="24"/>
      <w:lang w:val="en-US" w:eastAsia="zh-CN" w:bidi="ar-SA"/>
    </w:rPr>
  </w:style>
  <w:style w:type="paragraph" w:styleId="11">
    <w:name w:val="toa heading"/>
    <w:basedOn w:val="1"/>
    <w:next w:val="1"/>
    <w:unhideWhenUsed/>
    <w:qFormat/>
    <w:uiPriority w:val="99"/>
    <w:pPr>
      <w:spacing w:before="120"/>
    </w:pPr>
    <w:rPr>
      <w:rFonts w:ascii="Arial" w:hAnsi="Arial" w:cs="Arial"/>
      <w:sz w:val="24"/>
      <w:szCs w:val="24"/>
    </w:rPr>
  </w:style>
  <w:style w:type="paragraph" w:styleId="12">
    <w:name w:val="annotation text"/>
    <w:qFormat/>
    <w:uiPriority w:val="0"/>
    <w:pPr>
      <w:keepNext w:val="0"/>
      <w:keepLines w:val="0"/>
      <w:widowControl w:val="0"/>
      <w:suppressLineNumbers w:val="0"/>
      <w:spacing w:before="0" w:beforeLines="0" w:beforeAutospacing="0" w:after="0" w:afterLines="0" w:afterAutospacing="0"/>
      <w:ind w:left="0" w:right="0"/>
      <w:jc w:val="left"/>
    </w:pPr>
    <w:rPr>
      <w:rFonts w:ascii="Tahoma" w:hAnsi="Tahoma" w:eastAsia="宋体" w:cs="Times New Roman"/>
      <w:kern w:val="2"/>
      <w:sz w:val="21"/>
      <w:szCs w:val="24"/>
      <w:lang w:val="en-US" w:eastAsia="zh-CN" w:bidi="ar-SA"/>
    </w:rPr>
  </w:style>
  <w:style w:type="paragraph" w:styleId="13">
    <w:name w:val="Body Text Indent"/>
    <w:basedOn w:val="1"/>
    <w:next w:val="1"/>
    <w:qFormat/>
    <w:uiPriority w:val="0"/>
    <w:pPr>
      <w:widowControl w:val="0"/>
      <w:spacing w:line="200" w:lineRule="exact"/>
      <w:ind w:firstLine="301"/>
      <w:jc w:val="both"/>
    </w:pPr>
    <w:rPr>
      <w:rFonts w:hint="eastAsia" w:ascii="宋体" w:hAnsi="Courier New" w:eastAsia="宋体" w:cs="Times New Roman"/>
      <w:spacing w:val="-4"/>
      <w:kern w:val="2"/>
      <w:sz w:val="18"/>
      <w:szCs w:val="20"/>
      <w:lang w:val="en-US" w:eastAsia="zh-CN" w:bidi="ar-SA"/>
    </w:rPr>
  </w:style>
  <w:style w:type="paragraph" w:styleId="14">
    <w:name w:val="Plain Text"/>
    <w:basedOn w:val="1"/>
    <w:qFormat/>
    <w:uiPriority w:val="0"/>
    <w:pPr>
      <w:widowControl w:val="0"/>
      <w:spacing w:before="156" w:beforeLines="50" w:after="156" w:afterLines="50" w:line="400" w:lineRule="exact"/>
      <w:jc w:val="both"/>
    </w:pPr>
    <w:rPr>
      <w:rFonts w:hint="eastAsia" w:ascii="宋体" w:hAnsi="Courier New" w:eastAsia="宋体" w:cs="Times New Roman"/>
      <w:kern w:val="2"/>
      <w:sz w:val="21"/>
      <w:szCs w:val="21"/>
      <w:lang w:val="en-US" w:eastAsia="zh-CN" w:bidi="ar-SA"/>
    </w:rPr>
  </w:style>
  <w:style w:type="paragraph" w:styleId="15">
    <w:name w:val="Date"/>
    <w:basedOn w:val="1"/>
    <w:next w:val="1"/>
    <w:qFormat/>
    <w:uiPriority w:val="0"/>
    <w:pPr>
      <w:ind w:leftChars="2500"/>
    </w:pPr>
    <w:rPr>
      <w:rFonts w:hint="eastAsia" w:ascii="黑体" w:hAnsi="宋体" w:eastAsia="黑体"/>
      <w:kern w:val="44"/>
      <w:position w:val="6"/>
      <w:szCs w:val="20"/>
    </w:rPr>
  </w:style>
  <w:style w:type="paragraph" w:styleId="16">
    <w:name w:val="Body Text Indent 2"/>
    <w:qFormat/>
    <w:uiPriority w:val="0"/>
    <w:pPr>
      <w:widowControl w:val="0"/>
      <w:snapToGrid w:val="0"/>
      <w:ind w:firstLine="542" w:firstLineChars="225"/>
      <w:jc w:val="both"/>
    </w:pPr>
    <w:rPr>
      <w:rFonts w:ascii="Tahoma" w:hAnsi="Tahoma" w:eastAsia="宋体" w:cs="Times New Roman"/>
      <w:kern w:val="2"/>
      <w:sz w:val="21"/>
      <w:szCs w:val="24"/>
      <w:lang w:val="en-US" w:eastAsia="zh-CN" w:bidi="ar-SA"/>
    </w:rPr>
  </w:style>
  <w:style w:type="paragraph" w:styleId="17">
    <w:name w:val="footer"/>
    <w:basedOn w:val="1"/>
    <w:qFormat/>
    <w:uiPriority w:val="0"/>
    <w:pPr>
      <w:widowControl w:val="0"/>
      <w:tabs>
        <w:tab w:val="center" w:pos="4153"/>
        <w:tab w:val="right" w:pos="8306"/>
      </w:tabs>
      <w:snapToGrid w:val="0"/>
      <w:jc w:val="left"/>
    </w:pPr>
    <w:rPr>
      <w:rFonts w:hint="eastAsia" w:ascii="黑体" w:hAnsi="宋体" w:eastAsia="黑体" w:cs="Times New Roman"/>
      <w:kern w:val="0"/>
      <w:sz w:val="18"/>
      <w:szCs w:val="18"/>
      <w:lang w:val="en-US" w:eastAsia="zh-CN" w:bidi="ar-SA"/>
    </w:rPr>
  </w:style>
  <w:style w:type="paragraph" w:styleId="18">
    <w:name w:val="header"/>
    <w:basedOn w:val="1"/>
    <w:qFormat/>
    <w:uiPriority w:val="0"/>
    <w:pPr>
      <w:widowControl w:val="0"/>
      <w:pBdr>
        <w:bottom w:val="single" w:color="auto" w:sz="6" w:space="1"/>
      </w:pBdr>
      <w:tabs>
        <w:tab w:val="center" w:pos="4153"/>
        <w:tab w:val="right" w:pos="8306"/>
      </w:tabs>
      <w:snapToGrid w:val="0"/>
      <w:jc w:val="center"/>
    </w:pPr>
    <w:rPr>
      <w:rFonts w:ascii="Tahoma" w:hAnsi="Tahoma" w:eastAsia="宋体" w:cs="Times New Roman"/>
      <w:kern w:val="2"/>
      <w:sz w:val="18"/>
      <w:szCs w:val="18"/>
      <w:lang w:val="en-US" w:eastAsia="zh-CN" w:bidi="ar-SA"/>
    </w:rPr>
  </w:style>
  <w:style w:type="paragraph" w:styleId="19">
    <w:name w:val="toc 1"/>
    <w:next w:val="1"/>
    <w:qFormat/>
    <w:uiPriority w:val="39"/>
    <w:pPr>
      <w:widowControl w:val="0"/>
      <w:jc w:val="both"/>
    </w:pPr>
    <w:rPr>
      <w:rFonts w:ascii="Times New Roman" w:hAnsi="Times New Roman" w:eastAsia="宋体" w:cs="Times New Roman"/>
      <w:kern w:val="2"/>
      <w:sz w:val="21"/>
      <w:szCs w:val="24"/>
      <w:lang w:val="en-US" w:eastAsia="zh-CN" w:bidi="ar-SA"/>
    </w:rPr>
  </w:style>
  <w:style w:type="paragraph" w:styleId="20">
    <w:name w:val="Body Text Indent 3"/>
    <w:qFormat/>
    <w:uiPriority w:val="0"/>
    <w:pPr>
      <w:widowControl w:val="0"/>
      <w:snapToGrid w:val="0"/>
      <w:ind w:firstLine="480" w:firstLineChars="200"/>
      <w:jc w:val="left"/>
    </w:pPr>
    <w:rPr>
      <w:rFonts w:ascii="Tahoma" w:hAnsi="Tahoma" w:eastAsia="宋体" w:cs="Times New Roman"/>
      <w:kern w:val="2"/>
      <w:sz w:val="16"/>
      <w:szCs w:val="16"/>
      <w:lang w:val="en-US" w:eastAsia="zh-CN" w:bidi="ar-SA"/>
    </w:rPr>
  </w:style>
  <w:style w:type="paragraph" w:styleId="21">
    <w:name w:val="Normal (Web)"/>
    <w:basedOn w:val="1"/>
    <w:qFormat/>
    <w:uiPriority w:val="0"/>
    <w:pPr>
      <w:widowControl/>
      <w:spacing w:before="100" w:beforeLines="0" w:beforeAutospacing="1" w:after="100" w:afterLines="0" w:afterAutospacing="1"/>
      <w:jc w:val="left"/>
    </w:pPr>
    <w:rPr>
      <w:rFonts w:ascii="Times New Roman" w:hAnsi="Times New Roman" w:eastAsia="宋体" w:cs="Times New Roman"/>
      <w:kern w:val="0"/>
      <w:sz w:val="24"/>
      <w:szCs w:val="24"/>
      <w:lang w:val="en-US" w:eastAsia="zh-CN" w:bidi="ar-SA"/>
    </w:rPr>
  </w:style>
  <w:style w:type="paragraph" w:styleId="22">
    <w:name w:val="Body Text First Indent 2"/>
    <w:basedOn w:val="13"/>
    <w:next w:val="1"/>
    <w:qFormat/>
    <w:uiPriority w:val="0"/>
    <w:pPr>
      <w:widowControl w:val="0"/>
      <w:spacing w:line="200" w:lineRule="exact"/>
      <w:ind w:firstLine="420" w:firstLineChars="200"/>
      <w:jc w:val="both"/>
    </w:pPr>
    <w:rPr>
      <w:rFonts w:hint="eastAsia" w:ascii="Times New Roman" w:hAnsi="Times New Roman" w:eastAsia="宋体" w:cs="Times New Roman"/>
      <w:spacing w:val="-4"/>
      <w:kern w:val="2"/>
      <w:sz w:val="18"/>
      <w:szCs w:val="20"/>
      <w:lang w:val="zh-CN" w:eastAsia="zh-CN" w:bidi="ar-SA"/>
    </w:rPr>
  </w:style>
  <w:style w:type="table" w:styleId="24">
    <w:name w:val="Table Grid"/>
    <w:qFormat/>
    <w:uiPriority w:val="0"/>
    <w:pPr>
      <w:widowControl w:val="0"/>
      <w:adjustRightInd w:val="0"/>
      <w:spacing w:line="312" w:lineRule="atLeast"/>
      <w:jc w:val="both"/>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6">
    <w:name w:val="正文 "/>
    <w:qFormat/>
    <w:uiPriority w:val="0"/>
    <w:pPr>
      <w:widowControl w:val="0"/>
      <w:adjustRightInd w:val="0"/>
      <w:spacing w:line="318" w:lineRule="atLeast"/>
      <w:ind w:left="369" w:firstLine="369"/>
      <w:jc w:val="both"/>
      <w:textAlignment w:val="baseline"/>
    </w:pPr>
    <w:rPr>
      <w:rFonts w:ascii="宋体" w:hAnsi="Times New Roman" w:eastAsia="宋体" w:cs="Times New Roman"/>
      <w:kern w:val="2"/>
      <w:sz w:val="21"/>
      <w:szCs w:val="20"/>
      <w:lang w:val="en-US" w:eastAsia="zh-CN" w:bidi="ar-SA"/>
    </w:rPr>
  </w:style>
  <w:style w:type="paragraph" w:customStyle="1" w:styleId="27">
    <w:name w:val="_Style 1"/>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28">
    <w:name w:val="xl29"/>
    <w:qFormat/>
    <w:uiPriority w:val="0"/>
    <w:pPr>
      <w:widowControl/>
      <w:spacing w:before="100" w:beforeLines="0" w:beforeAutospacing="1" w:after="100" w:afterLines="0" w:afterAutospacing="1"/>
      <w:jc w:val="center"/>
    </w:pPr>
    <w:rPr>
      <w:rFonts w:ascii="宋体" w:hAnsi="宋体" w:eastAsia="宋体" w:cs="Times New Roman"/>
      <w:kern w:val="0"/>
      <w:sz w:val="28"/>
      <w:szCs w:val="28"/>
      <w:lang w:val="en-US" w:eastAsia="zh-CN" w:bidi="ar-SA"/>
    </w:rPr>
  </w:style>
  <w:style w:type="paragraph" w:customStyle="1" w:styleId="29">
    <w:name w:val="纯文本1"/>
    <w:qFormat/>
    <w:uiPriority w:val="99"/>
    <w:pPr>
      <w:widowControl/>
      <w:jc w:val="left"/>
    </w:pPr>
    <w:rPr>
      <w:rFonts w:ascii="宋体" w:hAnsi="Courier New" w:eastAsia="宋体" w:cs="宋体"/>
      <w:kern w:val="2"/>
      <w:sz w:val="21"/>
      <w:szCs w:val="21"/>
      <w:lang w:val="en-US" w:eastAsia="zh-CN" w:bidi="ar-SA"/>
    </w:rPr>
  </w:style>
  <w:style w:type="paragraph" w:customStyle="1" w:styleId="30">
    <w:name w:val="正文1"/>
    <w:qFormat/>
    <w:uiPriority w:val="99"/>
    <w:pPr>
      <w:widowControl w:val="0"/>
      <w:jc w:val="both"/>
    </w:pPr>
    <w:rPr>
      <w:rFonts w:ascii="Calibri" w:hAnsi="Calibri" w:eastAsia="宋体" w:cs="Calibri"/>
      <w:kern w:val="2"/>
      <w:sz w:val="21"/>
      <w:szCs w:val="21"/>
      <w:lang w:val="en-US" w:eastAsia="zh-CN" w:bidi="ar-SA"/>
    </w:rPr>
  </w:style>
  <w:style w:type="paragraph" w:customStyle="1" w:styleId="31">
    <w:name w:val="List Paragraph"/>
    <w:basedOn w:val="1"/>
    <w:qFormat/>
    <w:uiPriority w:val="0"/>
    <w:pPr>
      <w:ind w:firstLine="420" w:firstLineChars="200"/>
    </w:pPr>
  </w:style>
  <w:style w:type="paragraph" w:customStyle="1" w:styleId="32">
    <w:name w:val="正文空2格  1."/>
    <w:basedOn w:val="1"/>
    <w:qFormat/>
    <w:uiPriority w:val="0"/>
    <w:pPr>
      <w:ind w:firstLine="480" w:firstLineChars="200"/>
    </w:pPr>
    <w:rPr>
      <w:rFonts w:cs="宋体"/>
      <w:sz w:val="28"/>
      <w:szCs w:val="20"/>
    </w:rPr>
  </w:style>
  <w:style w:type="paragraph" w:customStyle="1" w:styleId="33">
    <w:name w:val="Z文"/>
    <w:basedOn w:val="1"/>
    <w:qFormat/>
    <w:uiPriority w:val="0"/>
    <w:pPr>
      <w:ind w:firstLine="560"/>
    </w:pPr>
    <w:rPr>
      <w:rFonts w:ascii="Time New Romes" w:hAnsi="Time New Romes" w:eastAsia="仿宋"/>
      <w:sz w:val="28"/>
    </w:rPr>
  </w:style>
  <w:style w:type="paragraph" w:customStyle="1" w:styleId="34">
    <w:name w:val="文档正文"/>
    <w:basedOn w:val="1"/>
    <w:qFormat/>
    <w:uiPriority w:val="0"/>
    <w:pPr>
      <w:adjustRightInd w:val="0"/>
      <w:snapToGrid w:val="0"/>
      <w:spacing w:line="480" w:lineRule="atLeast"/>
      <w:ind w:firstLine="567"/>
    </w:pPr>
    <w:rPr>
      <w:rFonts w:ascii="长城仿宋" w:eastAsia="长城仿宋"/>
      <w:kern w:val="0"/>
      <w:szCs w:val="20"/>
    </w:rPr>
  </w:style>
  <w:style w:type="paragraph" w:customStyle="1" w:styleId="35">
    <w:name w:val="表格"/>
    <w:basedOn w:val="1"/>
    <w:qFormat/>
    <w:uiPriority w:val="0"/>
    <w:pPr>
      <w:widowControl/>
      <w:spacing w:line="240" w:lineRule="auto"/>
      <w:ind w:firstLine="0" w:firstLineChars="0"/>
      <w:jc w:val="center"/>
    </w:pPr>
    <w:rPr>
      <w:rFonts w:ascii="宋体" w:hAnsi="宋体"/>
      <w:bCs/>
      <w:color w:val="000000"/>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2021-01-23T04:50:00Z</dcterms:created>
  <dc:creator>Administrator</dc:creator>
  <cp:lastModifiedBy>宁波中基国际招标有限公司</cp:lastModifiedBy>
  <dcterms:modified xsi:type="dcterms:W3CDTF">2021-09-16T06:08:52Z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D245747E811E46F6B3A452F037C5EF68</vt:lpwstr>
  </property>
</Properties>
</file>