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color w:val="auto"/>
          <w:sz w:val="28"/>
          <w:szCs w:val="28"/>
          <w:highlight w:val="none"/>
        </w:rPr>
      </w:pPr>
    </w:p>
    <w:p>
      <w:pPr>
        <w:spacing w:line="360" w:lineRule="auto"/>
        <w:jc w:val="center"/>
        <w:rPr>
          <w:rFonts w:hint="eastAsia"/>
          <w:b/>
          <w:color w:val="auto"/>
          <w:sz w:val="48"/>
          <w:szCs w:val="48"/>
          <w:highlight w:val="none"/>
        </w:rPr>
      </w:pPr>
    </w:p>
    <w:p>
      <w:pPr>
        <w:spacing w:line="360" w:lineRule="auto"/>
        <w:jc w:val="center"/>
        <w:rPr>
          <w:rFonts w:hint="eastAsia"/>
          <w:b/>
          <w:color w:val="auto"/>
          <w:sz w:val="48"/>
          <w:szCs w:val="48"/>
          <w:highlight w:val="none"/>
        </w:rPr>
      </w:pPr>
      <w:r>
        <w:rPr>
          <w:rFonts w:hint="eastAsia"/>
          <w:b/>
          <w:color w:val="auto"/>
          <w:sz w:val="48"/>
          <w:szCs w:val="48"/>
          <w:highlight w:val="none"/>
        </w:rPr>
        <w:t>公开招标文件</w:t>
      </w:r>
    </w:p>
    <w:p>
      <w:pPr>
        <w:spacing w:line="360" w:lineRule="auto"/>
        <w:rPr>
          <w:rFonts w:hint="eastAsia"/>
          <w:color w:val="auto"/>
          <w:sz w:val="28"/>
          <w:szCs w:val="28"/>
          <w:highlight w:val="none"/>
        </w:rPr>
      </w:pPr>
    </w:p>
    <w:p>
      <w:pPr>
        <w:spacing w:line="360" w:lineRule="auto"/>
        <w:rPr>
          <w:rFonts w:hint="eastAsia"/>
          <w:color w:val="auto"/>
          <w:sz w:val="28"/>
          <w:szCs w:val="28"/>
          <w:highlight w:val="none"/>
        </w:rPr>
      </w:pPr>
    </w:p>
    <w:p>
      <w:pPr>
        <w:pStyle w:val="2"/>
        <w:rPr>
          <w:rFonts w:hint="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225" w:type="dxa"/>
            <w:noWrap w:val="0"/>
            <w:vAlign w:val="center"/>
          </w:tcPr>
          <w:p>
            <w:pPr>
              <w:spacing w:line="360" w:lineRule="auto"/>
              <w:ind w:right="-216"/>
              <w:jc w:val="center"/>
              <w:rPr>
                <w:rFonts w:hint="eastAsia"/>
                <w:b/>
                <w:color w:val="auto"/>
                <w:sz w:val="28"/>
                <w:szCs w:val="28"/>
                <w:highlight w:val="none"/>
              </w:rPr>
            </w:pPr>
            <w:r>
              <w:rPr>
                <w:rFonts w:hint="eastAsia"/>
                <w:b/>
                <w:color w:val="auto"/>
                <w:sz w:val="28"/>
                <w:szCs w:val="28"/>
                <w:highlight w:val="none"/>
              </w:rPr>
              <w:t>招标编号：</w:t>
            </w:r>
          </w:p>
        </w:tc>
        <w:tc>
          <w:tcPr>
            <w:tcW w:w="7261" w:type="dxa"/>
            <w:noWrap w:val="0"/>
            <w:vAlign w:val="center"/>
          </w:tcPr>
          <w:p>
            <w:pPr>
              <w:spacing w:line="360" w:lineRule="auto"/>
              <w:jc w:val="center"/>
              <w:rPr>
                <w:rFonts w:hint="eastAsia"/>
                <w:b/>
                <w:color w:val="auto"/>
                <w:sz w:val="28"/>
                <w:szCs w:val="28"/>
                <w:highlight w:val="none"/>
              </w:rPr>
            </w:pPr>
            <w:r>
              <w:rPr>
                <w:rFonts w:hint="eastAsia"/>
                <w:b/>
                <w:color w:val="auto"/>
                <w:sz w:val="28"/>
                <w:szCs w:val="28"/>
                <w:highlight w:val="none"/>
                <w:lang w:bidi="ar"/>
              </w:rPr>
              <w:t>CBZJ-202</w:t>
            </w:r>
            <w:r>
              <w:rPr>
                <w:rFonts w:hint="eastAsia"/>
                <w:b/>
                <w:color w:val="auto"/>
                <w:sz w:val="28"/>
                <w:szCs w:val="28"/>
                <w:highlight w:val="none"/>
                <w:lang w:val="en-US" w:eastAsia="zh-CN" w:bidi="ar"/>
              </w:rPr>
              <w:t>1</w:t>
            </w:r>
            <w:r>
              <w:rPr>
                <w:rFonts w:hint="eastAsia"/>
                <w:b/>
                <w:color w:val="auto"/>
                <w:sz w:val="28"/>
                <w:szCs w:val="28"/>
                <w:highlight w:val="none"/>
                <w:lang w:bidi="ar"/>
              </w:rPr>
              <w:t>20</w:t>
            </w:r>
            <w:r>
              <w:rPr>
                <w:rFonts w:hint="eastAsia"/>
                <w:b/>
                <w:color w:val="auto"/>
                <w:sz w:val="28"/>
                <w:szCs w:val="28"/>
                <w:highlight w:val="none"/>
                <w:lang w:val="en-US" w:eastAsia="zh-CN" w:bidi="ar"/>
              </w:rPr>
              <w:t>12</w:t>
            </w:r>
            <w:r>
              <w:rPr>
                <w:rFonts w:hint="eastAsia"/>
                <w:b/>
                <w:color w:val="auto"/>
                <w:sz w:val="28"/>
                <w:szCs w:val="28"/>
                <w:highlight w:val="none"/>
              </w:rPr>
              <w:t>G</w:t>
            </w:r>
          </w:p>
          <w:p>
            <w:pPr>
              <w:spacing w:line="360" w:lineRule="auto"/>
              <w:jc w:val="center"/>
              <w:rPr>
                <w:rFonts w:hint="eastAsia"/>
                <w:b/>
                <w:color w:val="auto"/>
                <w:sz w:val="28"/>
                <w:szCs w:val="28"/>
                <w:highlight w:val="none"/>
              </w:rPr>
            </w:pPr>
            <w:r>
              <w:rPr>
                <w:rFonts w:hint="eastAsia"/>
                <w:b/>
                <w:color w:val="auto"/>
                <w:sz w:val="28"/>
                <w:szCs w:val="28"/>
                <w:highlight w:val="none"/>
                <w:lang w:bidi="ar"/>
              </w:rPr>
              <w:t>（</w:t>
            </w:r>
            <w:r>
              <w:rPr>
                <w:rFonts w:hint="eastAsia"/>
                <w:b/>
                <w:color w:val="auto"/>
                <w:sz w:val="28"/>
                <w:szCs w:val="28"/>
                <w:highlight w:val="none"/>
                <w:lang w:bidi="ar"/>
              </w:rPr>
              <w:fldChar w:fldCharType="begin"/>
            </w:r>
            <w:r>
              <w:rPr>
                <w:rFonts w:hint="eastAsia"/>
                <w:b/>
                <w:color w:val="auto"/>
                <w:sz w:val="28"/>
                <w:szCs w:val="28"/>
                <w:highlight w:val="none"/>
                <w:lang w:bidi="ar"/>
              </w:rPr>
              <w:instrText xml:space="preserve"> HYPERLINK "https://pay.zcygov.cn/purchaseplan_front/" \l "/plan/list/detail?id=1000000000003069341&amp;encrypt=a1ba6c97a26306bc16bb39e1171d07dd" \t "https://www.zcygov.cn/bidding-entrust/" \l "/purchasePlans/_blank" </w:instrText>
            </w:r>
            <w:r>
              <w:rPr>
                <w:rFonts w:hint="eastAsia"/>
                <w:b/>
                <w:color w:val="auto"/>
                <w:sz w:val="28"/>
                <w:szCs w:val="28"/>
                <w:highlight w:val="none"/>
                <w:lang w:bidi="ar"/>
              </w:rPr>
              <w:fldChar w:fldCharType="separate"/>
            </w:r>
            <w:r>
              <w:rPr>
                <w:rFonts w:hint="eastAsia"/>
                <w:b/>
                <w:color w:val="auto"/>
                <w:sz w:val="28"/>
                <w:szCs w:val="28"/>
                <w:highlight w:val="none"/>
                <w:lang w:bidi="ar"/>
              </w:rPr>
              <w:t>CXZFCG[2020]330282117253号</w:t>
            </w:r>
            <w:r>
              <w:rPr>
                <w:rFonts w:hint="eastAsia"/>
                <w:b/>
                <w:color w:val="auto"/>
                <w:sz w:val="28"/>
                <w:szCs w:val="28"/>
                <w:highlight w:val="none"/>
                <w:lang w:bidi="ar"/>
              </w:rPr>
              <w:fldChar w:fldCharType="end"/>
            </w:r>
            <w:r>
              <w:rPr>
                <w:rFonts w:hint="eastAsia"/>
                <w:b/>
                <w:color w:val="auto"/>
                <w:sz w:val="28"/>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225" w:type="dxa"/>
            <w:noWrap w:val="0"/>
            <w:vAlign w:val="center"/>
          </w:tcPr>
          <w:p>
            <w:pPr>
              <w:spacing w:line="360" w:lineRule="auto"/>
              <w:ind w:right="-216"/>
              <w:jc w:val="center"/>
              <w:rPr>
                <w:rFonts w:hint="eastAsia"/>
                <w:b/>
                <w:color w:val="auto"/>
                <w:sz w:val="28"/>
                <w:szCs w:val="28"/>
                <w:highlight w:val="none"/>
              </w:rPr>
            </w:pPr>
            <w:r>
              <w:rPr>
                <w:rFonts w:hint="eastAsia"/>
                <w:b/>
                <w:color w:val="auto"/>
                <w:sz w:val="28"/>
                <w:szCs w:val="28"/>
                <w:highlight w:val="none"/>
              </w:rPr>
              <w:t>项目名称：</w:t>
            </w:r>
          </w:p>
        </w:tc>
        <w:tc>
          <w:tcPr>
            <w:tcW w:w="7261" w:type="dxa"/>
            <w:noWrap w:val="0"/>
            <w:vAlign w:val="center"/>
          </w:tcPr>
          <w:p>
            <w:pPr>
              <w:spacing w:line="360" w:lineRule="auto"/>
              <w:jc w:val="center"/>
              <w:rPr>
                <w:rFonts w:hint="eastAsia" w:ascii="宋体" w:hAnsi="宋体" w:eastAsia="宋体" w:cs="宋体"/>
                <w:b/>
                <w:color w:val="auto"/>
                <w:sz w:val="28"/>
                <w:szCs w:val="28"/>
                <w:highlight w:val="none"/>
                <w:lang w:val="en-US" w:eastAsia="zh-CN"/>
              </w:rPr>
            </w:pPr>
            <w:r>
              <w:rPr>
                <w:rFonts w:hint="eastAsia"/>
                <w:b/>
                <w:color w:val="auto"/>
                <w:sz w:val="28"/>
                <w:szCs w:val="28"/>
                <w:highlight w:val="none"/>
              </w:rPr>
              <w:t>慈溪市城市智慧化管理系统一期建设软件</w:t>
            </w:r>
            <w:r>
              <w:rPr>
                <w:rFonts w:hint="eastAsia" w:ascii="宋体" w:hAnsi="宋体" w:eastAsia="宋体" w:cs="宋体"/>
                <w:b/>
                <w:color w:val="auto"/>
                <w:sz w:val="28"/>
                <w:szCs w:val="28"/>
                <w:highlight w:val="none"/>
                <w:lang w:val="en-US" w:eastAsia="zh-CN"/>
              </w:rPr>
              <w:t>及运维</w:t>
            </w:r>
          </w:p>
          <w:p>
            <w:pPr>
              <w:spacing w:line="360" w:lineRule="auto"/>
              <w:jc w:val="center"/>
              <w:rPr>
                <w:rFonts w:hint="eastAsia"/>
                <w:b/>
                <w:color w:val="auto"/>
                <w:sz w:val="28"/>
                <w:szCs w:val="28"/>
                <w:highlight w:val="none"/>
              </w:rPr>
            </w:pPr>
            <w:r>
              <w:rPr>
                <w:rFonts w:hint="eastAsia" w:ascii="宋体" w:hAnsi="宋体" w:eastAsia="宋体" w:cs="宋体"/>
                <w:b/>
                <w:color w:val="auto"/>
                <w:sz w:val="28"/>
                <w:szCs w:val="28"/>
                <w:highlight w:val="none"/>
                <w:lang w:val="en-US" w:eastAsia="zh-CN"/>
              </w:rPr>
              <w:t>服务</w:t>
            </w:r>
            <w:r>
              <w:rPr>
                <w:rFonts w:hint="eastAsia"/>
                <w:b/>
                <w:color w:val="auto"/>
                <w:sz w:val="28"/>
                <w:szCs w:val="28"/>
                <w:highlight w:val="none"/>
              </w:rPr>
              <w:t>采购项目</w:t>
            </w:r>
          </w:p>
        </w:tc>
      </w:tr>
    </w:tbl>
    <w:p>
      <w:pPr>
        <w:spacing w:line="360" w:lineRule="auto"/>
        <w:rPr>
          <w:rFonts w:hint="eastAsia"/>
          <w:color w:val="auto"/>
          <w:sz w:val="28"/>
          <w:szCs w:val="28"/>
          <w:highlight w:val="none"/>
        </w:rPr>
      </w:pPr>
    </w:p>
    <w:p>
      <w:pPr>
        <w:spacing w:line="360" w:lineRule="auto"/>
        <w:rPr>
          <w:rFonts w:hint="eastAsia"/>
          <w:color w:val="auto"/>
          <w:sz w:val="28"/>
          <w:szCs w:val="28"/>
          <w:highlight w:val="none"/>
        </w:rPr>
      </w:pPr>
    </w:p>
    <w:p>
      <w:pPr>
        <w:spacing w:line="360" w:lineRule="auto"/>
        <w:rPr>
          <w:rFonts w:hint="eastAsia"/>
          <w:color w:val="auto"/>
          <w:sz w:val="28"/>
          <w:szCs w:val="28"/>
          <w:highlight w:val="none"/>
        </w:rPr>
      </w:pPr>
    </w:p>
    <w:p>
      <w:pPr>
        <w:spacing w:line="360" w:lineRule="auto"/>
        <w:rPr>
          <w:rFonts w:hint="eastAsia"/>
          <w:color w:val="auto"/>
          <w:sz w:val="28"/>
          <w:szCs w:val="28"/>
          <w:highlight w:val="none"/>
        </w:rPr>
      </w:pPr>
    </w:p>
    <w:p>
      <w:pPr>
        <w:pStyle w:val="2"/>
        <w:rPr>
          <w:rFonts w:hint="eastAsia"/>
          <w:color w:val="auto"/>
          <w:sz w:val="28"/>
          <w:szCs w:val="28"/>
          <w:highlight w:val="none"/>
        </w:rPr>
      </w:pPr>
    </w:p>
    <w:p>
      <w:pPr>
        <w:pStyle w:val="3"/>
        <w:ind w:firstLine="560"/>
        <w:rPr>
          <w:rFonts w:hint="eastAsia"/>
          <w:color w:val="auto"/>
          <w:sz w:val="28"/>
          <w:szCs w:val="28"/>
          <w:highlight w:val="none"/>
        </w:rPr>
      </w:pPr>
    </w:p>
    <w:p>
      <w:pPr>
        <w:pStyle w:val="3"/>
        <w:ind w:firstLine="560"/>
        <w:rPr>
          <w:rFonts w:hint="eastAsia"/>
          <w:color w:val="auto"/>
          <w:sz w:val="28"/>
          <w:szCs w:val="28"/>
          <w:highlight w:val="none"/>
        </w:rPr>
      </w:pPr>
    </w:p>
    <w:p>
      <w:pPr>
        <w:spacing w:line="360" w:lineRule="auto"/>
        <w:rPr>
          <w:rFonts w:hint="eastAsia"/>
          <w:b/>
          <w:color w:val="auto"/>
          <w:sz w:val="28"/>
          <w:szCs w:val="28"/>
          <w:highlight w:val="none"/>
        </w:rPr>
      </w:pPr>
      <w:r>
        <w:rPr>
          <w:rFonts w:hint="eastAsia"/>
          <w:b/>
          <w:color w:val="auto"/>
          <w:sz w:val="28"/>
          <w:szCs w:val="28"/>
          <w:highlight w:val="none"/>
        </w:rPr>
        <w:t xml:space="preserve">      </w:t>
      </w:r>
    </w:p>
    <w:p>
      <w:pPr>
        <w:spacing w:line="360" w:lineRule="auto"/>
        <w:ind w:firstLine="843" w:firstLineChars="300"/>
        <w:rPr>
          <w:rFonts w:hint="eastAsia"/>
          <w:b/>
          <w:color w:val="auto"/>
          <w:sz w:val="28"/>
          <w:szCs w:val="28"/>
          <w:highlight w:val="none"/>
        </w:rPr>
      </w:pPr>
      <w:r>
        <w:rPr>
          <w:rFonts w:hint="eastAsia"/>
          <w:b/>
          <w:color w:val="auto"/>
          <w:sz w:val="28"/>
          <w:szCs w:val="28"/>
          <w:highlight w:val="none"/>
        </w:rPr>
        <w:t xml:space="preserve"> 招   标   人：慈溪</w:t>
      </w:r>
      <w:r>
        <w:rPr>
          <w:rFonts w:hint="eastAsia"/>
          <w:b/>
          <w:color w:val="auto"/>
          <w:sz w:val="28"/>
          <w:szCs w:val="28"/>
          <w:highlight w:val="none"/>
          <w:lang w:val="en-US" w:eastAsia="zh-CN"/>
        </w:rPr>
        <w:t>市</w:t>
      </w:r>
      <w:r>
        <w:rPr>
          <w:rFonts w:hint="eastAsia"/>
          <w:b/>
          <w:color w:val="auto"/>
          <w:sz w:val="28"/>
          <w:szCs w:val="28"/>
          <w:highlight w:val="none"/>
          <w:lang w:eastAsia="zh-CN"/>
        </w:rPr>
        <w:t>综合</w:t>
      </w:r>
      <w:r>
        <w:rPr>
          <w:rFonts w:hint="eastAsia"/>
          <w:b/>
          <w:color w:val="auto"/>
          <w:sz w:val="28"/>
          <w:szCs w:val="28"/>
          <w:highlight w:val="none"/>
        </w:rPr>
        <w:t>行政执法局</w:t>
      </w:r>
    </w:p>
    <w:p>
      <w:pPr>
        <w:spacing w:line="360" w:lineRule="auto"/>
        <w:rPr>
          <w:rFonts w:hint="eastAsia"/>
          <w:b/>
          <w:color w:val="auto"/>
          <w:sz w:val="28"/>
          <w:szCs w:val="28"/>
          <w:highlight w:val="none"/>
        </w:rPr>
      </w:pPr>
      <w:r>
        <w:rPr>
          <w:rFonts w:hint="eastAsia"/>
          <w:b/>
          <w:color w:val="auto"/>
          <w:sz w:val="28"/>
          <w:szCs w:val="28"/>
          <w:highlight w:val="none"/>
        </w:rPr>
        <w:t xml:space="preserve">       招标代理单位：浙江中基正采管理咨询有限公司</w:t>
      </w:r>
    </w:p>
    <w:p>
      <w:pPr>
        <w:jc w:val="center"/>
        <w:rPr>
          <w:rFonts w:hint="eastAsia"/>
          <w:b/>
          <w:color w:val="auto"/>
          <w:sz w:val="28"/>
          <w:szCs w:val="28"/>
          <w:highlight w:val="none"/>
        </w:rPr>
      </w:pPr>
    </w:p>
    <w:p>
      <w:pPr>
        <w:jc w:val="center"/>
        <w:rPr>
          <w:rFonts w:hint="eastAsia"/>
          <w:b/>
          <w:color w:val="auto"/>
          <w:sz w:val="44"/>
          <w:szCs w:val="44"/>
          <w:highlight w:val="none"/>
        </w:rPr>
      </w:pPr>
      <w:r>
        <w:rPr>
          <w:rFonts w:hint="eastAsia"/>
          <w:b/>
          <w:color w:val="auto"/>
          <w:sz w:val="28"/>
          <w:szCs w:val="28"/>
          <w:highlight w:val="none"/>
        </w:rPr>
        <w:t>2021年1月</w:t>
      </w:r>
      <w:r>
        <w:rPr>
          <w:rFonts w:hint="eastAsia"/>
          <w:b/>
          <w:color w:val="auto"/>
          <w:sz w:val="28"/>
          <w:szCs w:val="28"/>
          <w:highlight w:val="none"/>
        </w:rPr>
        <w:br w:type="page"/>
      </w:r>
      <w:r>
        <w:rPr>
          <w:rFonts w:hint="eastAsia"/>
          <w:b/>
          <w:color w:val="auto"/>
          <w:sz w:val="44"/>
          <w:szCs w:val="44"/>
          <w:highlight w:val="none"/>
        </w:rPr>
        <w:t>目   录</w:t>
      </w:r>
    </w:p>
    <w:p>
      <w:pPr>
        <w:jc w:val="center"/>
        <w:rPr>
          <w:rFonts w:hint="eastAsia"/>
          <w:b/>
          <w:color w:val="auto"/>
          <w:sz w:val="28"/>
          <w:szCs w:val="28"/>
          <w:highlight w:val="none"/>
        </w:rPr>
      </w:pP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_Toc16218 </w:instrText>
      </w:r>
      <w:r>
        <w:rPr>
          <w:rFonts w:hint="eastAsia"/>
          <w:color w:val="auto"/>
          <w:sz w:val="28"/>
          <w:szCs w:val="28"/>
          <w:highlight w:val="none"/>
        </w:rPr>
        <w:fldChar w:fldCharType="separate"/>
      </w:r>
      <w:r>
        <w:rPr>
          <w:rFonts w:hint="eastAsia"/>
          <w:color w:val="auto"/>
          <w:sz w:val="28"/>
          <w:szCs w:val="28"/>
          <w:highlight w:val="none"/>
        </w:rPr>
        <w:t>第一章  招标公告</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_Toc16218 </w:instrText>
      </w:r>
      <w:r>
        <w:rPr>
          <w:rFonts w:hint="eastAsia"/>
          <w:color w:val="auto"/>
          <w:sz w:val="28"/>
          <w:szCs w:val="28"/>
          <w:highlight w:val="none"/>
        </w:rPr>
        <w:fldChar w:fldCharType="separate"/>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_Toc16391 </w:instrText>
      </w:r>
      <w:r>
        <w:rPr>
          <w:rFonts w:hint="eastAsia"/>
          <w:color w:val="auto"/>
          <w:sz w:val="28"/>
          <w:szCs w:val="28"/>
          <w:highlight w:val="none"/>
        </w:rPr>
        <w:fldChar w:fldCharType="separate"/>
      </w:r>
      <w:r>
        <w:rPr>
          <w:rFonts w:hint="eastAsia"/>
          <w:color w:val="auto"/>
          <w:sz w:val="28"/>
          <w:szCs w:val="28"/>
          <w:highlight w:val="none"/>
        </w:rPr>
        <w:t>第二章  投标须知</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_Toc16391 </w:instrText>
      </w:r>
      <w:r>
        <w:rPr>
          <w:rFonts w:hint="eastAsia"/>
          <w:color w:val="auto"/>
          <w:sz w:val="28"/>
          <w:szCs w:val="28"/>
          <w:highlight w:val="none"/>
        </w:rPr>
        <w:fldChar w:fldCharType="separate"/>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_Toc20087 </w:instrText>
      </w:r>
      <w:r>
        <w:rPr>
          <w:rFonts w:hint="eastAsia"/>
          <w:color w:val="auto"/>
          <w:sz w:val="28"/>
          <w:szCs w:val="28"/>
          <w:highlight w:val="none"/>
        </w:rPr>
        <w:fldChar w:fldCharType="separate"/>
      </w:r>
      <w:r>
        <w:rPr>
          <w:rFonts w:hint="eastAsia"/>
          <w:color w:val="auto"/>
          <w:sz w:val="28"/>
          <w:szCs w:val="28"/>
          <w:highlight w:val="none"/>
        </w:rPr>
        <w:t>第三章  开标和评标须知</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_Toc20087 </w:instrText>
      </w:r>
      <w:r>
        <w:rPr>
          <w:rFonts w:hint="eastAsia"/>
          <w:color w:val="auto"/>
          <w:sz w:val="28"/>
          <w:szCs w:val="28"/>
          <w:highlight w:val="none"/>
        </w:rPr>
        <w:fldChar w:fldCharType="separate"/>
      </w:r>
      <w:r>
        <w:rPr>
          <w:rFonts w:hint="eastAsia"/>
          <w:color w:val="auto"/>
          <w:sz w:val="28"/>
          <w:szCs w:val="28"/>
          <w:highlight w:val="none"/>
        </w:rPr>
        <w:t>15</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_Toc13552 </w:instrText>
      </w:r>
      <w:r>
        <w:rPr>
          <w:rFonts w:hint="eastAsia"/>
          <w:color w:val="auto"/>
          <w:sz w:val="28"/>
          <w:szCs w:val="28"/>
          <w:highlight w:val="none"/>
        </w:rPr>
        <w:fldChar w:fldCharType="separate"/>
      </w:r>
      <w:r>
        <w:rPr>
          <w:rFonts w:hint="eastAsia"/>
          <w:color w:val="auto"/>
          <w:sz w:val="28"/>
          <w:szCs w:val="28"/>
          <w:highlight w:val="none"/>
        </w:rPr>
        <w:t>第四章  评分办法及标准</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_Toc13552 </w:instrText>
      </w:r>
      <w:r>
        <w:rPr>
          <w:rFonts w:hint="eastAsia"/>
          <w:color w:val="auto"/>
          <w:sz w:val="28"/>
          <w:szCs w:val="28"/>
          <w:highlight w:val="none"/>
        </w:rPr>
        <w:fldChar w:fldCharType="separate"/>
      </w:r>
      <w:r>
        <w:rPr>
          <w:rFonts w:hint="eastAsia"/>
          <w:color w:val="auto"/>
          <w:sz w:val="28"/>
          <w:szCs w:val="28"/>
          <w:highlight w:val="none"/>
        </w:rPr>
        <w:t>17</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_Toc17046 </w:instrText>
      </w:r>
      <w:r>
        <w:rPr>
          <w:rFonts w:hint="eastAsia"/>
          <w:color w:val="auto"/>
          <w:sz w:val="28"/>
          <w:szCs w:val="28"/>
          <w:highlight w:val="none"/>
        </w:rPr>
        <w:fldChar w:fldCharType="separate"/>
      </w:r>
      <w:r>
        <w:rPr>
          <w:rFonts w:hint="eastAsia"/>
          <w:color w:val="auto"/>
          <w:sz w:val="28"/>
          <w:szCs w:val="28"/>
          <w:highlight w:val="none"/>
        </w:rPr>
        <w:t>第五章  采购合同样本</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_Toc17046 </w:instrText>
      </w:r>
      <w:r>
        <w:rPr>
          <w:rFonts w:hint="eastAsia"/>
          <w:color w:val="auto"/>
          <w:sz w:val="28"/>
          <w:szCs w:val="28"/>
          <w:highlight w:val="none"/>
        </w:rPr>
        <w:fldChar w:fldCharType="separate"/>
      </w:r>
      <w:r>
        <w:rPr>
          <w:rFonts w:hint="eastAsia"/>
          <w:color w:val="auto"/>
          <w:sz w:val="28"/>
          <w:szCs w:val="28"/>
          <w:highlight w:val="none"/>
        </w:rPr>
        <w:t>20</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_Toc13092 </w:instrText>
      </w:r>
      <w:r>
        <w:rPr>
          <w:rFonts w:hint="eastAsia"/>
          <w:color w:val="auto"/>
          <w:sz w:val="28"/>
          <w:szCs w:val="28"/>
          <w:highlight w:val="none"/>
        </w:rPr>
        <w:fldChar w:fldCharType="separate"/>
      </w:r>
      <w:r>
        <w:rPr>
          <w:rFonts w:hint="eastAsia"/>
          <w:color w:val="auto"/>
          <w:sz w:val="28"/>
          <w:szCs w:val="28"/>
          <w:highlight w:val="none"/>
        </w:rPr>
        <w:t>第六章  招标内容与技术需求</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_Toc13092 </w:instrText>
      </w:r>
      <w:r>
        <w:rPr>
          <w:rFonts w:hint="eastAsia"/>
          <w:color w:val="auto"/>
          <w:sz w:val="28"/>
          <w:szCs w:val="28"/>
          <w:highlight w:val="none"/>
        </w:rPr>
        <w:fldChar w:fldCharType="separate"/>
      </w:r>
      <w:r>
        <w:rPr>
          <w:rFonts w:hint="eastAsia"/>
          <w:color w:val="auto"/>
          <w:sz w:val="28"/>
          <w:szCs w:val="28"/>
          <w:highlight w:val="none"/>
        </w:rPr>
        <w:t>22</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_Toc17810 </w:instrText>
      </w:r>
      <w:r>
        <w:rPr>
          <w:rFonts w:hint="eastAsia"/>
          <w:color w:val="auto"/>
          <w:sz w:val="28"/>
          <w:szCs w:val="28"/>
          <w:highlight w:val="none"/>
        </w:rPr>
        <w:fldChar w:fldCharType="separate"/>
      </w:r>
      <w:r>
        <w:rPr>
          <w:rFonts w:hint="eastAsia"/>
          <w:color w:val="auto"/>
          <w:sz w:val="28"/>
          <w:szCs w:val="28"/>
          <w:highlight w:val="none"/>
        </w:rPr>
        <w:t>第七章  商务条款</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_Toc17810 </w:instrText>
      </w:r>
      <w:r>
        <w:rPr>
          <w:rFonts w:hint="eastAsia"/>
          <w:color w:val="auto"/>
          <w:sz w:val="28"/>
          <w:szCs w:val="28"/>
          <w:highlight w:val="none"/>
        </w:rPr>
        <w:fldChar w:fldCharType="separate"/>
      </w:r>
      <w:r>
        <w:rPr>
          <w:rFonts w:hint="eastAsia"/>
          <w:color w:val="auto"/>
          <w:sz w:val="28"/>
          <w:szCs w:val="28"/>
          <w:highlight w:val="none"/>
        </w:rPr>
        <w:t>33</w:t>
      </w:r>
      <w:r>
        <w:rPr>
          <w:rFonts w:hint="eastAsia"/>
          <w:color w:val="auto"/>
          <w:sz w:val="28"/>
          <w:szCs w:val="28"/>
          <w:highlight w:val="none"/>
        </w:rPr>
        <w:fldChar w:fldCharType="end"/>
      </w:r>
      <w:r>
        <w:rPr>
          <w:rFonts w:hint="eastAsia"/>
          <w:color w:val="auto"/>
          <w:sz w:val="28"/>
          <w:szCs w:val="28"/>
          <w:highlight w:val="none"/>
        </w:rPr>
        <w:fldChar w:fldCharType="end"/>
      </w:r>
    </w:p>
    <w:p>
      <w:pPr>
        <w:pStyle w:val="16"/>
        <w:tabs>
          <w:tab w:val="right" w:leader="dot" w:pos="9070"/>
          <w:tab w:val="clear" w:pos="8846"/>
        </w:tabs>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_Toc11566 </w:instrText>
      </w:r>
      <w:r>
        <w:rPr>
          <w:rFonts w:hint="eastAsia"/>
          <w:color w:val="auto"/>
          <w:sz w:val="28"/>
          <w:szCs w:val="28"/>
          <w:highlight w:val="none"/>
        </w:rPr>
        <w:fldChar w:fldCharType="separate"/>
      </w:r>
      <w:r>
        <w:rPr>
          <w:rFonts w:hint="eastAsia"/>
          <w:color w:val="auto"/>
          <w:sz w:val="28"/>
          <w:szCs w:val="28"/>
          <w:highlight w:val="none"/>
        </w:rPr>
        <w:t>第八章  投标文件格式</w:t>
      </w:r>
      <w:r>
        <w:rPr>
          <w:rFonts w:hint="eastAsia"/>
          <w:color w:val="auto"/>
          <w:sz w:val="28"/>
          <w:szCs w:val="28"/>
          <w:highlight w:val="none"/>
        </w:rPr>
        <w:tab/>
      </w:r>
      <w:r>
        <w:rPr>
          <w:rFonts w:hint="eastAsia"/>
          <w:color w:val="auto"/>
          <w:sz w:val="28"/>
          <w:szCs w:val="28"/>
          <w:highlight w:val="none"/>
        </w:rPr>
        <w:fldChar w:fldCharType="begin"/>
      </w:r>
      <w:r>
        <w:rPr>
          <w:rFonts w:hint="eastAsia"/>
          <w:color w:val="auto"/>
          <w:sz w:val="28"/>
          <w:szCs w:val="28"/>
          <w:highlight w:val="none"/>
        </w:rPr>
        <w:instrText xml:space="preserve"> PAGEREF _Toc11566 </w:instrText>
      </w:r>
      <w:r>
        <w:rPr>
          <w:rFonts w:hint="eastAsia"/>
          <w:color w:val="auto"/>
          <w:sz w:val="28"/>
          <w:szCs w:val="28"/>
          <w:highlight w:val="none"/>
        </w:rPr>
        <w:fldChar w:fldCharType="separate"/>
      </w:r>
      <w:r>
        <w:rPr>
          <w:rFonts w:hint="eastAsia"/>
          <w:color w:val="auto"/>
          <w:sz w:val="28"/>
          <w:szCs w:val="28"/>
          <w:highlight w:val="none"/>
        </w:rPr>
        <w:t>34</w:t>
      </w:r>
      <w:r>
        <w:rPr>
          <w:rFonts w:hint="eastAsia"/>
          <w:color w:val="auto"/>
          <w:sz w:val="28"/>
          <w:szCs w:val="28"/>
          <w:highlight w:val="none"/>
        </w:rPr>
        <w:fldChar w:fldCharType="end"/>
      </w:r>
      <w:r>
        <w:rPr>
          <w:rFonts w:hint="eastAsia"/>
          <w:color w:val="auto"/>
          <w:sz w:val="28"/>
          <w:szCs w:val="28"/>
          <w:highlight w:val="none"/>
        </w:rPr>
        <w:fldChar w:fldCharType="end"/>
      </w:r>
    </w:p>
    <w:p>
      <w:pPr>
        <w:pStyle w:val="13"/>
        <w:spacing w:line="360" w:lineRule="auto"/>
        <w:ind w:left="0" w:firstLine="2520" w:firstLineChars="900"/>
        <w:rPr>
          <w:rFonts w:hint="eastAsia"/>
          <w:color w:val="auto"/>
          <w:sz w:val="21"/>
          <w:szCs w:val="21"/>
          <w:highlight w:val="none"/>
        </w:rPr>
      </w:pPr>
      <w:r>
        <w:rPr>
          <w:rFonts w:hint="eastAsia"/>
          <w:color w:val="auto"/>
          <w:szCs w:val="28"/>
          <w:highlight w:val="none"/>
        </w:rPr>
        <w:fldChar w:fldCharType="end"/>
      </w:r>
    </w:p>
    <w:p>
      <w:pPr>
        <w:rPr>
          <w:rFonts w:hint="eastAsia"/>
          <w:color w:val="auto"/>
          <w:szCs w:val="21"/>
          <w:highlight w:val="none"/>
        </w:rPr>
      </w:pPr>
    </w:p>
    <w:p>
      <w:pPr>
        <w:spacing w:line="480" w:lineRule="auto"/>
        <w:ind w:left="600"/>
        <w:jc w:val="center"/>
        <w:rPr>
          <w:rFonts w:hint="eastAsia"/>
          <w:color w:val="auto"/>
          <w:szCs w:val="21"/>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418" w:header="851" w:footer="992" w:gutter="0"/>
          <w:cols w:space="720" w:num="1"/>
          <w:docGrid w:linePitch="312" w:charSpace="0"/>
        </w:sectPr>
      </w:pPr>
    </w:p>
    <w:p>
      <w:pPr>
        <w:pStyle w:val="4"/>
        <w:keepNext w:val="0"/>
        <w:keepLines w:val="0"/>
        <w:numPr>
          <w:ilvl w:val="0"/>
          <w:numId w:val="0"/>
        </w:numPr>
        <w:tabs>
          <w:tab w:val="left" w:pos="1935"/>
          <w:tab w:val="center" w:pos="4252"/>
        </w:tabs>
        <w:spacing w:before="0" w:line="336" w:lineRule="auto"/>
        <w:ind w:left="1088" w:hanging="1246" w:hangingChars="526"/>
        <w:rPr>
          <w:rFonts w:hint="eastAsia"/>
          <w:color w:val="auto"/>
          <w:sz w:val="24"/>
          <w:szCs w:val="24"/>
          <w:highlight w:val="none"/>
        </w:rPr>
      </w:pPr>
      <w:bookmarkStart w:id="0" w:name="_Toc16218"/>
      <w:r>
        <w:rPr>
          <w:rFonts w:hint="eastAsia"/>
          <w:color w:val="auto"/>
          <w:sz w:val="24"/>
          <w:szCs w:val="24"/>
          <w:highlight w:val="none"/>
        </w:rPr>
        <w:t>第一章  招标公告</w:t>
      </w:r>
      <w:bookmarkEnd w:id="0"/>
      <w:bookmarkStart w:id="1" w:name="_Toc16391"/>
    </w:p>
    <w:tbl>
      <w:tblPr>
        <w:tblStyle w:val="1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4" w:hRule="atLeast"/>
        </w:trPr>
        <w:tc>
          <w:tcPr>
            <w:tcW w:w="8900" w:type="dxa"/>
            <w:noWrap w:val="0"/>
            <w:vAlign w:val="top"/>
          </w:tcPr>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项目概况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慈溪市城市智慧化管理系统一期建设软件及运维服务采购项目招标项目的潜在投标人应在浙江政府采购云平台，网址http://www.zcygov.cn/获取（下载）招标文件，并于 2021年02月22日 14:30（北京时间）前递交（上传）投标文件。   </w:t>
            </w:r>
          </w:p>
        </w:tc>
      </w:tr>
    </w:tbl>
    <w:p>
      <w:pPr>
        <w:numPr>
          <w:ilvl w:val="0"/>
          <w:numId w:val="5"/>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项目基本情况</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项目编号：CBZJ-20212012G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项目名称：慈溪市城市智慧化管理系统一期建设软件及运维服务采购项目</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预算金额（元）：5068500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最高限价（元）：5068500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w:t>
      </w:r>
    </w:p>
    <w:p>
      <w:pPr>
        <w:spacing w:line="360" w:lineRule="auto"/>
        <w:ind w:left="48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标项名称: 慈溪市城市智慧化管理系统一期建设软件及运维服务采购项目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数量: 1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预算金额（元）: 5068500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简要规格描述或项目基本概况介绍、用途：具体建设内容包含1、智能解析系统，</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2、城管数据中心，3、创新场景应用，4、勤务调度室，5、管理系统应用整合，6、数据对接，具体要求见第六章招标内容与技术需求。 </w:t>
      </w:r>
    </w:p>
    <w:p>
      <w:pPr>
        <w:spacing w:line="360" w:lineRule="auto"/>
        <w:ind w:left="48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备注：本项目接受联合体投标，联合体参加投标的必须提供联合投标协议；在</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联合体投标协议中必须明确各联合投标单位的责任和义务，联合体成员数量不得超过两家。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合同履约期限：标项 1，自合同签订生效后开始至双方合同义务完全履行后截止</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本项目（是）接受联合体投标。</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二、申请人的资格要求：</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2.落实政府采购政策需满足的资格要求：无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标项1:单位负责人为同一人或者存在直接控股、管理关系的不同供应商，不得参加同一合同项下的政府采购活动。除单一来源采购项目外，为采购项目提供整体设计、规范编制或者项目管理、监理、检测等服务的供应商，不得再参加本项目投标 </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三、获取招标文件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时间：2021年01月27日至2021年02月03日 ，每天上午00:00至12:00 ，下午12:00至23:59（北京时间，线上获取法定节假日均可，线下获取文件法定节假日除外）</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地点（网址）：浙江政府采购云平台，网址http://www.zcygov.cn/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w:t>
      </w:r>
    </w:p>
    <w:p>
      <w:pPr>
        <w:numPr>
          <w:ilvl w:val="0"/>
          <w:numId w:val="6"/>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本项目不提供纸制版招标文件，供应商可通过“浙江政府采购网”在线获取（采购公告下方选取“潜在供应商”处“获取招标文件”）；供应商只有在“浙江政府采购网”完成获取招标文件申请并下载了招标文件后才视作依法获取招标文件（法律法规所指的供应商获取招标文件时间以供应商完成获取招标文件申请后下载招标文件的时间为准）；供应商网上报名操作指南： http://zfcg.czt.zj.gov.cn/bs_other/2018-03-30/12002.html?_=2018-03-30 11:40:47。 </w:t>
      </w:r>
    </w:p>
    <w:p>
      <w:pPr>
        <w:numPr>
          <w:ilvl w:val="0"/>
          <w:numId w:val="6"/>
        </w:num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通过本公告下方“游客，浏览招标文件”下载的招标文件仅供浏览，不视作依法获取招标文件，不得就招标文件提出质疑投诉,未按规定获取招标文件者的投标将被拒绝。 </w:t>
      </w:r>
    </w:p>
    <w:p>
      <w:pPr>
        <w:numPr>
          <w:ilvl w:val="0"/>
          <w:numId w:val="6"/>
        </w:num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招标文件及更正补充公告请自行登录浙江政府采购网，在招标公告及更正</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公告页面中下载。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售价（元）：0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四、提交投标文件截止时间、开标时间和地点</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提交投标文件截止时间：2021年02月22日 14:30（北京时间）</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投标地点（网址）：（1）“电子加密投标文件”：https://www.zcygov.cn在线提交； （2）“电子备份投标文件”：慈溪市公共资源交易中心二楼第五开标室（慈溪市白沙路街道南二环东路1355号）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开标时间：2021年02月22日 14:30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开标地点（网址）：（1）政府采购云平台（www.zcygov.cn）（线上）；（2）慈溪市公共资源交易中心二楼第五开标室（慈溪市白沙路街道南二环东路1355号）（线下）  </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五、公告期限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highlight w:val="none"/>
          <w:lang w:val="en-US" w:eastAsia="zh-CN" w:bidi="ar-SA"/>
        </w:rPr>
        <w:t>自本公告发布之日起5个工作日。</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六、其他补充事宜</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2.其他事项：</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（1）供应商应于提交投标文件截止时间前将电子加密投标文件上传到政府采购云平台www.zcygov.cn，未上传电子投标文件，视为供应商放弃投标。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2）供应商在“政府采购云平台”完成“电子加密投标文件”的上传递交之外，还可以（邮寄形式或派人现场提交，以招标代理机构联系人签收时间为准）在投标截止时间前提交以介质（U盘）存储的数据电文形式的“备份投标文件”，备份电子投标文件递交可采用现场递交或邮寄的方式。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方式一：现场递交方式，供应商可安排一名“甬行码”为绿色的授权代表在投标截止时间前将电子备份投标文件送至慈溪市公共资源交易中心开标室五（慈溪市白沙路街道南二环东路1355号），投标文件递交时须同时递交供应商的法定代表人（或其授权代表）联系方式，并保证开标期间联系方式畅通。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方式二：EMS邮寄送达。供应商可以通过EMS邮寄送达电子备份投标文件，送达地址：浙江中基正采管理咨询有限公司 （宁波市鄞州区天童南路666号中基大厦19楼），联系方式：0574-87425467。供应商邮寄后可将邮件单号发送至代理机构电子邮箱（电子邮箱：1115194121@qq.com），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投标文件邮寄送达截止时间2021年2月20日17:00。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疫情防控期间，不要求供应商员必须到场参加现场开标，若供应商员需参加现场开标，应全程佩戴口罩等防护用具，自觉接受体温检测、接受疫情询问，并如实报告相关情况。请各供应商员遵守慈溪市公共资源交易中心各项防疫措施规定。由于疫情防控的影响，请提早安排送标时间。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3.开标时间后30分钟内供应商可以登录政采云平台，用“项目采购-开标评标”功能进行解密投标文件。若供应商在规定时间内无法解密或解密失败，可以以备份电子投标文件作为依据，若备份电子投标文件与政采云平台上传的投标文件被识别为不一致的则投标无效；供应商按时在线解密投标文件的，以在线解密的投标文件作为评审依据，采购代理机构于开评标结束后将备份电子投标文件退回给供应商。若供应商在规定时间内无法解密或解密失败且未提供备份电子投标文件的，视为供应商放弃投标。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4．对小微企业的产品给予价格优惠（监狱企业、残疾人福利性单位视同小微企业；残疾人福利性单位属于小型、微型企业的，不重复享受政策）；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5.投标与开标注意事项：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（1）投标形式：本项目实行网上投标，采用电子投标文件。若供应商参与投标，自行承担投标一切费用。 </w:t>
      </w:r>
    </w:p>
    <w:p>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标前准备：各供应商应在开标前应确保成为浙江省政府采购网正式注册入库供应商，并完成CA数字证书办理（供应商CA申领操作指南：https://help.zcygov.cn/web/site_2/2018/11-29/2452.html，完成CA数字证书办理预计一周左右，请供应商自行把握时间）。因未注册入库、未办理CA数字证书等原因造成无法获取招标文件、无法投标或投标失败等后果由供应商自行承担。 （3）投标文件制作：应按照本项目招标文件和政采云平台的要求编制、加密并递交投标文件。供应商在使用系统进行投标的过程中遇到涉及平台使用的任何问题，可致电政采云平台技术支持热线400-881-7190或政采云服务专员电话0574-63917219。 供应商通过政采云平台电子投标工具制作投标文件，电子投标工具请供应商自行前往浙江省政府采购网下载并安装，下载网址：http://zfcg.czt.zj.gov.cn/bidClientTemplate/2019-05-27/12946.html， 供应商投标文件制作及电子交易操作指南： https://help.zcygov.cn/web/site_2/2019/08-20/3406.html（手机观看）、 https://service.zcygov.cn/#/knowledges/CW1EtGwBFdiHxlNd6I3m/7GyLXW0BXgMSmLUuYuPM（电脑登录账号后观看）、https://help.zcygov.cn/web/site_2/2018/12-28/2575.html （PDF操作指南）  </w:t>
      </w: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p>
    <w:p>
      <w:pPr>
        <w:numPr>
          <w:ilvl w:val="0"/>
          <w:numId w:val="0"/>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七、对本次采购提出询问、质疑、投诉，请按以下方式联系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称：慈溪市综合行政执法局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址：白沙路街道南二环东路1141号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项目联系人（询问）：罗建炜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项目联系方式（询问）：(0574) 630-07530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质疑联系人：陈先生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质疑联系方式：0574-58971846  </w:t>
      </w:r>
    </w:p>
    <w:p>
      <w:pPr>
        <w:pStyle w:val="11"/>
        <w:rPr>
          <w:rFonts w:hint="eastAsia"/>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称：浙江中基正采管理咨询有限公司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址：鄞州区天童南路666号中基大厦19楼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真：0574-87425391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项目联系人（询问）：吕勇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项目联系方式（询问）：0574-88090063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质疑联系人：李艳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质疑联系方式：0574-87423685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3.同级政府采购监督管理部门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称：慈溪市公共资源交易管理办公室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址：慈溪市南二环东路1355号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真：0574-63032032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：赵先生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监督投诉电话：0574-63032252           </w:t>
      </w:r>
      <w:r>
        <w:rPr>
          <w:rFonts w:hint="eastAsia" w:asciiTheme="minorEastAsia" w:hAnsiTheme="minorEastAsia" w:eastAsiaTheme="minorEastAsia" w:cstheme="minorEastAsia"/>
          <w:color w:val="auto"/>
          <w:sz w:val="24"/>
          <w:szCs w:val="24"/>
          <w:highlight w:val="none"/>
        </w:rPr>
        <w:br w:type="textWrapping"/>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CA问题联系电话（人工）：汇信CA 400-888-4636；天谷CA 400-087-8198。</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jc w:val="center"/>
        <w:outlineLvl w:val="0"/>
        <w:rPr>
          <w:rStyle w:val="24"/>
          <w:rFonts w:hint="eastAsia"/>
          <w:color w:val="auto"/>
          <w:sz w:val="28"/>
          <w:szCs w:val="28"/>
          <w:highlight w:val="none"/>
        </w:rPr>
      </w:pPr>
      <w:r>
        <w:rPr>
          <w:rStyle w:val="24"/>
          <w:rFonts w:hint="eastAsia" w:asciiTheme="minorEastAsia" w:hAnsiTheme="minorEastAsia" w:eastAsiaTheme="minorEastAsia" w:cstheme="minorEastAsia"/>
          <w:color w:val="auto"/>
          <w:sz w:val="24"/>
          <w:szCs w:val="24"/>
          <w:highlight w:val="none"/>
        </w:rPr>
        <w:br w:type="page"/>
      </w:r>
      <w:r>
        <w:rPr>
          <w:rStyle w:val="24"/>
          <w:rFonts w:hint="eastAsia"/>
          <w:color w:val="auto"/>
          <w:sz w:val="28"/>
          <w:szCs w:val="28"/>
          <w:highlight w:val="none"/>
        </w:rPr>
        <w:t>第二章  投标须知</w:t>
      </w:r>
      <w:bookmarkEnd w:id="1"/>
    </w:p>
    <w:p>
      <w:pPr>
        <w:spacing w:line="360" w:lineRule="auto"/>
        <w:ind w:firstLine="482" w:firstLineChars="200"/>
        <w:rPr>
          <w:rFonts w:hint="eastAsia"/>
          <w:b/>
          <w:color w:val="auto"/>
          <w:szCs w:val="21"/>
          <w:highlight w:val="none"/>
        </w:rPr>
      </w:pPr>
      <w:r>
        <w:rPr>
          <w:rFonts w:hint="eastAsia"/>
          <w:b/>
          <w:color w:val="auto"/>
          <w:szCs w:val="21"/>
          <w:highlight w:val="none"/>
        </w:rPr>
        <w:t>一、适用范围</w:t>
      </w:r>
    </w:p>
    <w:p>
      <w:pPr>
        <w:spacing w:line="360" w:lineRule="auto"/>
        <w:ind w:firstLine="480" w:firstLineChars="200"/>
        <w:rPr>
          <w:rFonts w:hint="eastAsia"/>
          <w:color w:val="auto"/>
          <w:szCs w:val="21"/>
          <w:highlight w:val="none"/>
        </w:rPr>
      </w:pPr>
      <w:r>
        <w:rPr>
          <w:rFonts w:hint="eastAsia"/>
          <w:color w:val="auto"/>
          <w:szCs w:val="21"/>
          <w:highlight w:val="none"/>
        </w:rPr>
        <w:t>本招标文件仅适用于本采购项目所叙述的服务的招标、评标、定标、验收、合同履约、付款等（法律、法规另有规定的，从其规定）。</w:t>
      </w:r>
    </w:p>
    <w:p>
      <w:pPr>
        <w:spacing w:line="360" w:lineRule="auto"/>
        <w:ind w:firstLine="482" w:firstLineChars="200"/>
        <w:rPr>
          <w:rFonts w:hint="eastAsia"/>
          <w:b/>
          <w:color w:val="auto"/>
          <w:szCs w:val="21"/>
          <w:highlight w:val="none"/>
        </w:rPr>
      </w:pPr>
      <w:r>
        <w:rPr>
          <w:rFonts w:hint="eastAsia"/>
          <w:b/>
          <w:color w:val="auto"/>
          <w:szCs w:val="21"/>
          <w:highlight w:val="none"/>
        </w:rPr>
        <w:t>二、定义</w:t>
      </w:r>
    </w:p>
    <w:p>
      <w:pPr>
        <w:spacing w:line="360" w:lineRule="auto"/>
        <w:ind w:firstLine="480" w:firstLineChars="200"/>
        <w:rPr>
          <w:rFonts w:hint="eastAsia"/>
          <w:color w:val="auto"/>
          <w:szCs w:val="21"/>
          <w:highlight w:val="none"/>
        </w:rPr>
      </w:pPr>
      <w:r>
        <w:rPr>
          <w:rFonts w:hint="eastAsia"/>
          <w:color w:val="auto"/>
          <w:szCs w:val="21"/>
          <w:highlight w:val="none"/>
        </w:rPr>
        <w:t>1、“招标方”系指组织本次招标的代理机构和采购人。</w:t>
      </w:r>
    </w:p>
    <w:p>
      <w:pPr>
        <w:spacing w:line="360" w:lineRule="auto"/>
        <w:ind w:firstLine="480" w:firstLineChars="200"/>
        <w:rPr>
          <w:rFonts w:hint="eastAsia"/>
          <w:color w:val="auto"/>
          <w:szCs w:val="21"/>
          <w:highlight w:val="none"/>
        </w:rPr>
      </w:pPr>
      <w:r>
        <w:rPr>
          <w:rFonts w:hint="eastAsia"/>
          <w:color w:val="auto"/>
          <w:szCs w:val="21"/>
          <w:highlight w:val="none"/>
        </w:rPr>
        <w:t>2、“投标供应商”系指向招标方提交投标文件的供应商。</w:t>
      </w:r>
    </w:p>
    <w:p>
      <w:pPr>
        <w:spacing w:line="360" w:lineRule="auto"/>
        <w:ind w:firstLine="480" w:firstLineChars="200"/>
        <w:rPr>
          <w:rFonts w:hint="eastAsia"/>
          <w:color w:val="auto"/>
          <w:szCs w:val="21"/>
          <w:highlight w:val="none"/>
        </w:rPr>
      </w:pPr>
      <w:r>
        <w:rPr>
          <w:rFonts w:hint="eastAsia"/>
          <w:color w:val="auto"/>
          <w:szCs w:val="21"/>
          <w:highlight w:val="none"/>
        </w:rPr>
        <w:t>3、“货物”系指供方按招标文件规定，须向采购人提供的一切产品、保险、税金、备品备件、工具、手册及其它有关技术资料和材料。</w:t>
      </w:r>
    </w:p>
    <w:p>
      <w:pPr>
        <w:spacing w:line="360" w:lineRule="auto"/>
        <w:ind w:firstLine="480" w:firstLineChars="200"/>
        <w:rPr>
          <w:rFonts w:hint="eastAsia"/>
          <w:color w:val="auto"/>
          <w:szCs w:val="21"/>
          <w:highlight w:val="none"/>
        </w:rPr>
      </w:pPr>
      <w:r>
        <w:rPr>
          <w:rFonts w:hint="eastAsia"/>
          <w:color w:val="auto"/>
          <w:szCs w:val="21"/>
          <w:highlight w:val="none"/>
        </w:rPr>
        <w:t>4、“服务”系指招标文件规定投标供应商针对本项目所需提供的服务。</w:t>
      </w:r>
    </w:p>
    <w:p>
      <w:pPr>
        <w:spacing w:line="360" w:lineRule="auto"/>
        <w:ind w:firstLine="480" w:firstLineChars="200"/>
        <w:rPr>
          <w:rFonts w:hint="eastAsia"/>
          <w:color w:val="auto"/>
          <w:szCs w:val="21"/>
          <w:highlight w:val="none"/>
        </w:rPr>
      </w:pPr>
      <w:r>
        <w:rPr>
          <w:rFonts w:hint="eastAsia"/>
          <w:color w:val="auto"/>
          <w:szCs w:val="21"/>
          <w:highlight w:val="none"/>
        </w:rPr>
        <w:t>5、“同级政府采购监管部门”系指慈溪市公共资源交易管理办公室。</w:t>
      </w:r>
    </w:p>
    <w:p>
      <w:pPr>
        <w:spacing w:line="360" w:lineRule="auto"/>
        <w:ind w:firstLine="480" w:firstLineChars="200"/>
        <w:rPr>
          <w:rFonts w:hint="eastAsia"/>
          <w:color w:val="auto"/>
          <w:szCs w:val="21"/>
          <w:highlight w:val="none"/>
        </w:rPr>
      </w:pPr>
      <w:r>
        <w:rPr>
          <w:rFonts w:hint="eastAsia"/>
          <w:color w:val="auto"/>
          <w:szCs w:val="21"/>
          <w:highlight w:val="none"/>
        </w:rPr>
        <w:t>6</w:t>
      </w:r>
      <w:r>
        <w:rPr>
          <w:rFonts w:hint="eastAsia"/>
          <w:b/>
          <w:color w:val="auto"/>
          <w:szCs w:val="21"/>
          <w:highlight w:val="none"/>
        </w:rPr>
        <w:t>、</w:t>
      </w:r>
      <w:r>
        <w:rPr>
          <w:rFonts w:hint="eastAsia"/>
          <w:color w:val="auto"/>
          <w:szCs w:val="21"/>
          <w:highlight w:val="none"/>
        </w:rPr>
        <w:t>“*”系指实质性响应条款。</w:t>
      </w:r>
    </w:p>
    <w:p>
      <w:pPr>
        <w:spacing w:line="360" w:lineRule="auto"/>
        <w:ind w:firstLine="482" w:firstLineChars="200"/>
        <w:rPr>
          <w:rFonts w:hint="eastAsia"/>
          <w:b/>
          <w:color w:val="auto"/>
          <w:szCs w:val="21"/>
          <w:highlight w:val="none"/>
        </w:rPr>
      </w:pPr>
      <w:r>
        <w:rPr>
          <w:rFonts w:hint="eastAsia"/>
          <w:b/>
          <w:color w:val="auto"/>
          <w:szCs w:val="21"/>
          <w:highlight w:val="none"/>
        </w:rPr>
        <w:t>三、投标供应商的资格要求</w:t>
      </w:r>
    </w:p>
    <w:p>
      <w:pPr>
        <w:spacing w:line="360" w:lineRule="auto"/>
        <w:ind w:firstLine="480" w:firstLineChars="200"/>
        <w:rPr>
          <w:rFonts w:hint="eastAsia"/>
          <w:color w:val="auto"/>
          <w:szCs w:val="21"/>
          <w:highlight w:val="none"/>
        </w:rPr>
      </w:pPr>
      <w:r>
        <w:rPr>
          <w:rFonts w:hint="eastAsia"/>
          <w:color w:val="auto"/>
          <w:szCs w:val="21"/>
          <w:highlight w:val="none"/>
        </w:rPr>
        <w:t>1、具体见招标公告。</w:t>
      </w:r>
    </w:p>
    <w:p>
      <w:pPr>
        <w:spacing w:line="360" w:lineRule="auto"/>
        <w:ind w:firstLine="482" w:firstLineChars="200"/>
        <w:rPr>
          <w:rFonts w:hint="eastAsia"/>
          <w:b/>
          <w:color w:val="auto"/>
          <w:szCs w:val="21"/>
          <w:highlight w:val="none"/>
        </w:rPr>
      </w:pPr>
      <w:r>
        <w:rPr>
          <w:rFonts w:hint="eastAsia"/>
          <w:b/>
          <w:color w:val="auto"/>
          <w:szCs w:val="21"/>
          <w:highlight w:val="none"/>
        </w:rPr>
        <w:t>四、投标费用</w:t>
      </w:r>
    </w:p>
    <w:p>
      <w:pPr>
        <w:spacing w:line="360" w:lineRule="auto"/>
        <w:ind w:firstLine="480" w:firstLineChars="200"/>
        <w:rPr>
          <w:rFonts w:hint="eastAsia"/>
          <w:color w:val="auto"/>
          <w:szCs w:val="21"/>
          <w:highlight w:val="none"/>
        </w:rPr>
      </w:pPr>
      <w:r>
        <w:rPr>
          <w:rFonts w:hint="eastAsia"/>
          <w:color w:val="auto"/>
          <w:szCs w:val="21"/>
          <w:highlight w:val="none"/>
          <w:lang w:bidi="ar"/>
        </w:rPr>
        <w:t>无论投标过程和结果如何，投标供应商自行承担与投标有关的全部费用。</w:t>
      </w:r>
    </w:p>
    <w:p>
      <w:pPr>
        <w:spacing w:line="360" w:lineRule="auto"/>
        <w:ind w:firstLine="482" w:firstLineChars="200"/>
        <w:rPr>
          <w:rFonts w:hint="eastAsia"/>
          <w:b/>
          <w:color w:val="auto"/>
          <w:szCs w:val="21"/>
          <w:highlight w:val="none"/>
        </w:rPr>
      </w:pPr>
      <w:r>
        <w:rPr>
          <w:rFonts w:hint="eastAsia"/>
          <w:b/>
          <w:color w:val="auto"/>
          <w:szCs w:val="21"/>
          <w:highlight w:val="none"/>
          <w:lang w:bidi="ar"/>
        </w:rPr>
        <w:t>五、投标报价</w:t>
      </w:r>
    </w:p>
    <w:p>
      <w:pPr>
        <w:spacing w:line="360" w:lineRule="auto"/>
        <w:ind w:firstLine="480" w:firstLineChars="200"/>
        <w:rPr>
          <w:rFonts w:hint="eastAsia"/>
          <w:color w:val="auto"/>
          <w:szCs w:val="21"/>
          <w:highlight w:val="none"/>
        </w:rPr>
      </w:pPr>
      <w:r>
        <w:rPr>
          <w:rFonts w:hint="eastAsia"/>
          <w:color w:val="auto"/>
          <w:szCs w:val="21"/>
          <w:highlight w:val="none"/>
          <w:lang w:bidi="ar"/>
        </w:rPr>
        <w:t>1、投标报价以人民币为结算货币。</w:t>
      </w:r>
    </w:p>
    <w:p>
      <w:pPr>
        <w:spacing w:line="360" w:lineRule="auto"/>
        <w:ind w:firstLine="480" w:firstLineChars="200"/>
        <w:rPr>
          <w:rFonts w:hint="eastAsia"/>
          <w:color w:val="auto"/>
          <w:szCs w:val="21"/>
          <w:highlight w:val="none"/>
        </w:rPr>
      </w:pPr>
      <w:r>
        <w:rPr>
          <w:rFonts w:hint="eastAsia"/>
          <w:color w:val="auto"/>
          <w:szCs w:val="21"/>
          <w:highlight w:val="none"/>
          <w:lang w:bidi="ar"/>
        </w:rPr>
        <w:t>2、投标供应商应按招标文件要求认真填写《开标一览表》和《投标报价明细表》。</w:t>
      </w:r>
    </w:p>
    <w:p>
      <w:pPr>
        <w:spacing w:line="360" w:lineRule="auto"/>
        <w:ind w:firstLine="480" w:firstLineChars="200"/>
        <w:rPr>
          <w:rFonts w:hint="eastAsia"/>
          <w:color w:val="auto"/>
          <w:szCs w:val="21"/>
          <w:highlight w:val="none"/>
        </w:rPr>
      </w:pPr>
      <w:r>
        <w:rPr>
          <w:rFonts w:hint="eastAsia"/>
          <w:color w:val="auto"/>
          <w:szCs w:val="21"/>
          <w:highlight w:val="none"/>
        </w:rPr>
        <w:t>2.1、投标文件报价出现前后不一致的，除招标文件另有规定外，按照下列规定修正：</w:t>
      </w:r>
      <w:r>
        <w:rPr>
          <w:rFonts w:hint="eastAsia"/>
          <w:color w:val="auto"/>
          <w:szCs w:val="21"/>
          <w:highlight w:val="none"/>
        </w:rPr>
        <w:br w:type="textWrapping"/>
      </w:r>
      <w:r>
        <w:rPr>
          <w:rFonts w:hint="eastAsia"/>
          <w:color w:val="auto"/>
          <w:szCs w:val="21"/>
          <w:highlight w:val="none"/>
        </w:rPr>
        <w:t>投标文件中开标一览表（报价表）内容与投标文件中相应内容不一致的，以开标一览表（报价表）为准；</w:t>
      </w:r>
    </w:p>
    <w:p>
      <w:pPr>
        <w:spacing w:line="360" w:lineRule="auto"/>
        <w:ind w:firstLine="480" w:firstLineChars="200"/>
        <w:rPr>
          <w:rFonts w:hint="eastAsia"/>
          <w:color w:val="auto"/>
          <w:szCs w:val="21"/>
          <w:highlight w:val="none"/>
        </w:rPr>
      </w:pPr>
      <w:r>
        <w:rPr>
          <w:rFonts w:hint="eastAsia"/>
          <w:color w:val="auto"/>
          <w:szCs w:val="21"/>
          <w:highlight w:val="none"/>
        </w:rPr>
        <w:t>2.2、大写金额和小写金额不一致的，以大写金额为准；</w:t>
      </w:r>
    </w:p>
    <w:p>
      <w:pPr>
        <w:spacing w:line="360" w:lineRule="auto"/>
        <w:ind w:firstLine="480" w:firstLineChars="200"/>
        <w:rPr>
          <w:rFonts w:hint="eastAsia"/>
          <w:color w:val="auto"/>
          <w:szCs w:val="21"/>
          <w:highlight w:val="none"/>
        </w:rPr>
      </w:pPr>
      <w:r>
        <w:rPr>
          <w:rFonts w:hint="eastAsia"/>
          <w:color w:val="auto"/>
          <w:szCs w:val="21"/>
          <w:highlight w:val="none"/>
        </w:rPr>
        <w:t>2.3、单价金额小数点或者百分比有明显错位的，以开标一览表的总价为准，并修改单价；</w:t>
      </w:r>
    </w:p>
    <w:p>
      <w:pPr>
        <w:spacing w:line="360" w:lineRule="auto"/>
        <w:ind w:firstLine="480" w:firstLineChars="200"/>
        <w:rPr>
          <w:rFonts w:hint="eastAsia"/>
          <w:color w:val="auto"/>
          <w:szCs w:val="21"/>
          <w:highlight w:val="none"/>
        </w:rPr>
      </w:pPr>
      <w:r>
        <w:rPr>
          <w:rFonts w:hint="eastAsia"/>
          <w:color w:val="auto"/>
          <w:szCs w:val="21"/>
          <w:highlight w:val="none"/>
        </w:rPr>
        <w:t>2.4、总价金额与按单价汇总金额不一致的，以单价金额计算结果为准；</w:t>
      </w:r>
    </w:p>
    <w:p>
      <w:pPr>
        <w:spacing w:line="360" w:lineRule="auto"/>
        <w:ind w:firstLine="480" w:firstLineChars="200"/>
        <w:rPr>
          <w:rFonts w:hint="eastAsia"/>
          <w:color w:val="auto"/>
          <w:szCs w:val="21"/>
          <w:highlight w:val="none"/>
        </w:rPr>
      </w:pPr>
      <w:r>
        <w:rPr>
          <w:rFonts w:hint="eastAsia"/>
          <w:color w:val="auto"/>
          <w:szCs w:val="21"/>
          <w:highlight w:val="none"/>
        </w:rPr>
        <w:t>2.5、政采云平台填报的开标一览表中的价格与上传的报价文件中开标一览表的报价不一致的，以上传的报价文件为准。</w:t>
      </w:r>
    </w:p>
    <w:p>
      <w:pPr>
        <w:spacing w:line="360" w:lineRule="auto"/>
        <w:ind w:firstLine="480" w:firstLineChars="200"/>
        <w:rPr>
          <w:rFonts w:hint="eastAsia"/>
          <w:color w:val="auto"/>
          <w:szCs w:val="21"/>
          <w:highlight w:val="none"/>
        </w:rPr>
      </w:pPr>
      <w:r>
        <w:rPr>
          <w:rFonts w:hint="eastAsia"/>
          <w:color w:val="auto"/>
          <w:szCs w:val="21"/>
          <w:highlight w:val="none"/>
        </w:rPr>
        <w:t>同时出现两种以上不一致的，按照前款规定的顺序修正。修正后的报价经</w:t>
      </w:r>
      <w:r>
        <w:rPr>
          <w:rFonts w:hint="eastAsia"/>
          <w:color w:val="auto"/>
          <w:szCs w:val="21"/>
          <w:highlight w:val="none"/>
          <w:lang w:eastAsia="zh-CN"/>
        </w:rPr>
        <w:t>投标供应商</w:t>
      </w:r>
      <w:r>
        <w:rPr>
          <w:rFonts w:hint="eastAsia"/>
          <w:color w:val="auto"/>
          <w:szCs w:val="21"/>
          <w:highlight w:val="none"/>
        </w:rPr>
        <w:t>确认后具有约束力，若</w:t>
      </w:r>
      <w:r>
        <w:rPr>
          <w:rFonts w:hint="eastAsia"/>
          <w:color w:val="auto"/>
          <w:szCs w:val="21"/>
          <w:highlight w:val="none"/>
          <w:lang w:eastAsia="zh-CN"/>
        </w:rPr>
        <w:t>投标供应商</w:t>
      </w:r>
      <w:r>
        <w:rPr>
          <w:rFonts w:hint="eastAsia"/>
          <w:color w:val="auto"/>
          <w:szCs w:val="21"/>
          <w:highlight w:val="none"/>
        </w:rPr>
        <w:t xml:space="preserve">不确认的，则其投标无效。 </w:t>
      </w:r>
    </w:p>
    <w:p>
      <w:pPr>
        <w:spacing w:line="360" w:lineRule="auto"/>
        <w:ind w:firstLine="480" w:firstLineChars="200"/>
        <w:rPr>
          <w:rFonts w:hint="eastAsia"/>
          <w:color w:val="auto"/>
          <w:szCs w:val="21"/>
          <w:highlight w:val="none"/>
        </w:rPr>
      </w:pPr>
      <w:r>
        <w:rPr>
          <w:rFonts w:hint="eastAsia"/>
          <w:color w:val="auto"/>
          <w:szCs w:val="21"/>
          <w:highlight w:val="none"/>
          <w:lang w:bidi="ar"/>
        </w:rPr>
        <w:t>3、投标报价是履行合同的最终价格，包含需交纳的所有税费及其他一切相关费用。</w:t>
      </w:r>
      <w:r>
        <w:rPr>
          <w:rFonts w:hint="eastAsia"/>
          <w:color w:val="auto"/>
          <w:szCs w:val="21"/>
          <w:highlight w:val="none"/>
          <w:lang w:eastAsia="zh-CN" w:bidi="ar"/>
        </w:rPr>
        <w:t>投标供应商</w:t>
      </w:r>
      <w:r>
        <w:rPr>
          <w:rFonts w:hint="eastAsia"/>
          <w:color w:val="auto"/>
          <w:szCs w:val="21"/>
          <w:highlight w:val="none"/>
          <w:lang w:bidi="ar"/>
        </w:rPr>
        <w:t>少报或漏报的工作量，采购单位将视为已包含在投标总价中，并不予调整。</w:t>
      </w:r>
    </w:p>
    <w:p>
      <w:pPr>
        <w:spacing w:line="360" w:lineRule="auto"/>
        <w:ind w:firstLine="480" w:firstLineChars="200"/>
        <w:rPr>
          <w:rFonts w:hint="eastAsia"/>
          <w:color w:val="auto"/>
          <w:szCs w:val="21"/>
          <w:highlight w:val="none"/>
        </w:rPr>
      </w:pPr>
      <w:r>
        <w:rPr>
          <w:rFonts w:hint="eastAsia"/>
          <w:color w:val="auto"/>
          <w:szCs w:val="21"/>
          <w:highlight w:val="none"/>
          <w:lang w:bidi="ar"/>
        </w:rPr>
        <w:t>4、投标文件只允许有一个报价，有选择的或有条件的报价将不予接受。</w:t>
      </w:r>
    </w:p>
    <w:p>
      <w:pPr>
        <w:spacing w:line="360" w:lineRule="auto"/>
        <w:ind w:firstLine="482" w:firstLineChars="200"/>
        <w:rPr>
          <w:rFonts w:hint="eastAsia"/>
          <w:b/>
          <w:color w:val="auto"/>
          <w:szCs w:val="21"/>
          <w:highlight w:val="none"/>
        </w:rPr>
      </w:pPr>
      <w:r>
        <w:rPr>
          <w:rFonts w:hint="eastAsia"/>
          <w:b/>
          <w:color w:val="auto"/>
          <w:szCs w:val="21"/>
          <w:highlight w:val="none"/>
        </w:rPr>
        <w:t>六、投标有效期</w:t>
      </w:r>
    </w:p>
    <w:p>
      <w:pPr>
        <w:spacing w:line="360" w:lineRule="auto"/>
        <w:rPr>
          <w:rFonts w:hint="eastAsia"/>
          <w:b/>
          <w:color w:val="auto"/>
          <w:szCs w:val="21"/>
          <w:highlight w:val="none"/>
        </w:rPr>
      </w:pPr>
      <w:r>
        <w:rPr>
          <w:rFonts w:hint="eastAsia"/>
          <w:color w:val="auto"/>
          <w:szCs w:val="21"/>
          <w:highlight w:val="none"/>
        </w:rPr>
        <w:t xml:space="preserve">  *</w:t>
      </w:r>
      <w:r>
        <w:rPr>
          <w:rFonts w:hint="eastAsia"/>
          <w:b/>
          <w:color w:val="auto"/>
          <w:szCs w:val="21"/>
          <w:highlight w:val="none"/>
        </w:rPr>
        <w:t>1、投标文件从开标之日起，投标有效期为</w:t>
      </w:r>
      <w:r>
        <w:rPr>
          <w:rFonts w:hint="eastAsia"/>
          <w:b/>
          <w:color w:val="auto"/>
          <w:szCs w:val="21"/>
          <w:highlight w:val="none"/>
          <w:u w:val="single"/>
        </w:rPr>
        <w:t>90个工作日</w:t>
      </w:r>
      <w:r>
        <w:rPr>
          <w:rFonts w:hint="eastAsia"/>
          <w:b/>
          <w:color w:val="auto"/>
          <w:szCs w:val="21"/>
          <w:highlight w:val="none"/>
        </w:rPr>
        <w:t>。</w:t>
      </w:r>
    </w:p>
    <w:p>
      <w:pPr>
        <w:spacing w:line="360" w:lineRule="auto"/>
        <w:ind w:firstLine="480" w:firstLineChars="200"/>
        <w:rPr>
          <w:rFonts w:hint="eastAsia"/>
          <w:bCs/>
          <w:color w:val="auto"/>
          <w:szCs w:val="21"/>
          <w:highlight w:val="none"/>
        </w:rPr>
      </w:pPr>
      <w:r>
        <w:rPr>
          <w:rFonts w:hint="eastAsia"/>
          <w:bCs/>
          <w:color w:val="auto"/>
          <w:szCs w:val="21"/>
          <w:highlight w:val="none"/>
        </w:rPr>
        <w:t>2、特殊情况下，招标方可与投标供应商协商延缓投标书的有效期，这种要求和答复均以书面形式进行。</w:t>
      </w:r>
    </w:p>
    <w:p>
      <w:pPr>
        <w:spacing w:line="360" w:lineRule="auto"/>
        <w:ind w:firstLine="480" w:firstLineChars="200"/>
        <w:rPr>
          <w:rFonts w:hint="eastAsia"/>
          <w:bCs/>
          <w:color w:val="auto"/>
          <w:szCs w:val="21"/>
          <w:highlight w:val="none"/>
        </w:rPr>
      </w:pPr>
      <w:r>
        <w:rPr>
          <w:rFonts w:hint="eastAsia"/>
          <w:bCs/>
          <w:color w:val="auto"/>
          <w:szCs w:val="21"/>
          <w:highlight w:val="none"/>
        </w:rPr>
        <w:t>3、投标供应商可拒绝接受延期要求。同意延长有效期的投标供应商不能修改投标文件。</w:t>
      </w:r>
    </w:p>
    <w:p>
      <w:pPr>
        <w:spacing w:line="360" w:lineRule="auto"/>
        <w:ind w:firstLine="482" w:firstLineChars="200"/>
        <w:rPr>
          <w:rFonts w:hint="eastAsia"/>
          <w:b/>
          <w:color w:val="auto"/>
          <w:szCs w:val="21"/>
          <w:highlight w:val="none"/>
        </w:rPr>
      </w:pPr>
      <w:r>
        <w:rPr>
          <w:rFonts w:hint="eastAsia"/>
          <w:b/>
          <w:color w:val="auto"/>
          <w:szCs w:val="21"/>
          <w:highlight w:val="none"/>
        </w:rPr>
        <w:t>七、投标文件的组成</w:t>
      </w:r>
    </w:p>
    <w:p>
      <w:pPr>
        <w:spacing w:line="360" w:lineRule="auto"/>
        <w:ind w:firstLine="480" w:firstLineChars="200"/>
        <w:rPr>
          <w:rFonts w:hint="eastAsia"/>
          <w:color w:val="auto"/>
          <w:szCs w:val="21"/>
          <w:highlight w:val="none"/>
        </w:rPr>
      </w:pPr>
      <w:r>
        <w:rPr>
          <w:rFonts w:hint="eastAsia"/>
          <w:color w:val="auto"/>
          <w:szCs w:val="21"/>
          <w:highlight w:val="none"/>
        </w:rPr>
        <w:t>投标文件由资格审查文件、商务技术文件和报价文件三部分组成。</w:t>
      </w:r>
    </w:p>
    <w:p>
      <w:pPr>
        <w:snapToGrid w:val="0"/>
        <w:spacing w:line="360" w:lineRule="auto"/>
        <w:ind w:firstLine="472" w:firstLineChars="196"/>
        <w:rPr>
          <w:rFonts w:hint="eastAsia"/>
          <w:b/>
          <w:color w:val="auto"/>
          <w:szCs w:val="21"/>
          <w:highlight w:val="none"/>
        </w:rPr>
      </w:pPr>
      <w:r>
        <w:rPr>
          <w:rFonts w:hint="eastAsia"/>
          <w:b/>
          <w:color w:val="auto"/>
          <w:szCs w:val="21"/>
          <w:highlight w:val="none"/>
        </w:rPr>
        <w:t>（一）资格审查文件</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1、资格证明文件：</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1.1、关于资格的声明函（格式见第八章投标文件格式）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1.2、资格条件自查表（格式见第八章投标文件格式）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1.3、有效的企业法人营业执照（或事业法人登记证）、其他组织（个体工商户）的营业执照或者民办非企业单位登记证书复印件并加盖公章，</w:t>
      </w:r>
      <w:r>
        <w:rPr>
          <w:rFonts w:hint="eastAsia"/>
          <w:color w:val="auto"/>
          <w:szCs w:val="21"/>
          <w:highlight w:val="none"/>
          <w:lang w:eastAsia="zh-CN" w:bidi="ar"/>
        </w:rPr>
        <w:t>投标供应商</w:t>
      </w:r>
      <w:r>
        <w:rPr>
          <w:rFonts w:hint="eastAsia"/>
          <w:color w:val="auto"/>
          <w:szCs w:val="21"/>
          <w:highlight w:val="none"/>
          <w:lang w:bidi="ar"/>
        </w:rPr>
        <w:t>如果有名称变更的，应提供由行政主管部门出具的变更证明文件（加盖公章）；</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1.4、提供具有履行合同所必需的设备和专业技术能力的书面声明（格式见第八章投标文件格式）；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1.5、提供参加政府采购活动前3年内在经营活动中没有重大违法记录的书面声明（格式见第八章投标文件格式）；</w:t>
      </w:r>
    </w:p>
    <w:p>
      <w:pPr>
        <w:pStyle w:val="11"/>
        <w:rPr>
          <w:rFonts w:hint="eastAsia" w:eastAsia="宋体"/>
          <w:color w:val="auto"/>
          <w:highlight w:val="none"/>
          <w:lang w:val="en-US" w:eastAsia="zh-CN"/>
        </w:rPr>
      </w:pPr>
      <w:r>
        <w:rPr>
          <w:rFonts w:hint="eastAsia"/>
          <w:color w:val="auto"/>
          <w:szCs w:val="21"/>
          <w:highlight w:val="none"/>
          <w:lang w:val="en-US" w:eastAsia="zh-CN" w:bidi="ar"/>
        </w:rPr>
        <w:t>1.6联合体协议</w:t>
      </w:r>
      <w:r>
        <w:rPr>
          <w:rFonts w:hint="eastAsia"/>
          <w:color w:val="auto"/>
          <w:szCs w:val="21"/>
          <w:highlight w:val="none"/>
          <w:lang w:bidi="ar"/>
        </w:rPr>
        <w:t>（格式见第八章投标文件格式）</w:t>
      </w:r>
      <w:r>
        <w:rPr>
          <w:rFonts w:hint="eastAsia"/>
          <w:color w:val="auto"/>
          <w:szCs w:val="21"/>
          <w:highlight w:val="none"/>
          <w:lang w:eastAsia="zh-CN" w:bidi="ar"/>
        </w:rPr>
        <w:t>。</w:t>
      </w:r>
    </w:p>
    <w:p>
      <w:pPr>
        <w:snapToGrid w:val="0"/>
        <w:spacing w:line="360" w:lineRule="auto"/>
        <w:rPr>
          <w:rFonts w:hint="eastAsia"/>
          <w:b/>
          <w:color w:val="auto"/>
          <w:szCs w:val="21"/>
          <w:highlight w:val="none"/>
        </w:rPr>
      </w:pPr>
    </w:p>
    <w:p>
      <w:pPr>
        <w:snapToGrid w:val="0"/>
        <w:spacing w:line="360" w:lineRule="auto"/>
        <w:ind w:firstLine="472" w:firstLineChars="196"/>
        <w:rPr>
          <w:rFonts w:hint="eastAsia"/>
          <w:b/>
          <w:color w:val="auto"/>
          <w:szCs w:val="21"/>
          <w:highlight w:val="none"/>
        </w:rPr>
      </w:pPr>
      <w:r>
        <w:rPr>
          <w:rFonts w:hint="eastAsia"/>
          <w:b/>
          <w:color w:val="auto"/>
          <w:szCs w:val="21"/>
          <w:highlight w:val="none"/>
        </w:rPr>
        <w:t>（二）商务技术文件：</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1、项目</w:t>
      </w:r>
      <w:r>
        <w:rPr>
          <w:rFonts w:hint="eastAsia"/>
          <w:color w:val="auto"/>
          <w:szCs w:val="21"/>
          <w:highlight w:val="none"/>
          <w:lang w:eastAsia="zh-CN" w:bidi="ar"/>
        </w:rPr>
        <w:t>投标供应商</w:t>
      </w:r>
      <w:r>
        <w:rPr>
          <w:rFonts w:hint="eastAsia"/>
          <w:color w:val="auto"/>
          <w:szCs w:val="21"/>
          <w:highlight w:val="none"/>
          <w:lang w:bidi="ar"/>
        </w:rPr>
        <w:t>响应表（格式见第八章投标文件格式）；</w:t>
      </w:r>
    </w:p>
    <w:p>
      <w:pPr>
        <w:spacing w:line="360" w:lineRule="auto"/>
        <w:ind w:firstLine="480" w:firstLineChars="200"/>
        <w:rPr>
          <w:rFonts w:hint="eastAsia"/>
          <w:color w:val="auto"/>
          <w:szCs w:val="21"/>
          <w:highlight w:val="none"/>
          <w:lang w:bidi="ar"/>
        </w:rPr>
      </w:pPr>
      <w:r>
        <w:rPr>
          <w:rFonts w:hint="eastAsia"/>
          <w:bCs/>
          <w:color w:val="auto"/>
          <w:szCs w:val="21"/>
          <w:highlight w:val="none"/>
          <w:lang w:bidi="ar"/>
        </w:rPr>
        <w:t>2、</w:t>
      </w:r>
      <w:r>
        <w:rPr>
          <w:rFonts w:hint="eastAsia"/>
          <w:color w:val="auto"/>
          <w:szCs w:val="21"/>
          <w:highlight w:val="none"/>
          <w:lang w:bidi="ar"/>
        </w:rPr>
        <w:t>符合性自查表（格式见第八章投标文件格式）；</w:t>
      </w:r>
    </w:p>
    <w:p>
      <w:pPr>
        <w:spacing w:line="360" w:lineRule="auto"/>
        <w:ind w:firstLine="480" w:firstLineChars="200"/>
        <w:rPr>
          <w:rFonts w:hint="eastAsia"/>
          <w:color w:val="auto"/>
          <w:szCs w:val="21"/>
          <w:highlight w:val="none"/>
        </w:rPr>
      </w:pPr>
      <w:r>
        <w:rPr>
          <w:rFonts w:hint="eastAsia"/>
          <w:color w:val="auto"/>
          <w:szCs w:val="21"/>
          <w:highlight w:val="none"/>
          <w:lang w:bidi="ar"/>
        </w:rPr>
        <w:t>3、投标供应商一般情况（格式见第八章投标文件格式）；</w:t>
      </w:r>
    </w:p>
    <w:p>
      <w:pPr>
        <w:spacing w:line="360" w:lineRule="auto"/>
        <w:ind w:firstLine="480" w:firstLineChars="200"/>
        <w:rPr>
          <w:rFonts w:hint="eastAsia"/>
          <w:color w:val="auto"/>
          <w:szCs w:val="21"/>
          <w:highlight w:val="none"/>
        </w:rPr>
      </w:pPr>
      <w:r>
        <w:rPr>
          <w:rFonts w:hint="eastAsia"/>
          <w:color w:val="auto"/>
          <w:szCs w:val="21"/>
          <w:highlight w:val="none"/>
          <w:lang w:bidi="ar"/>
        </w:rPr>
        <w:t>4、法定代表人身份证明或法定代表人授权书和被授权代表身份证复印件（</w:t>
      </w:r>
      <w:r>
        <w:rPr>
          <w:rFonts w:hint="eastAsia"/>
          <w:color w:val="auto"/>
          <w:szCs w:val="21"/>
          <w:highlight w:val="none"/>
          <w:lang w:eastAsia="zh-CN" w:bidi="ar"/>
        </w:rPr>
        <w:t>投标供应商</w:t>
      </w:r>
      <w:r>
        <w:rPr>
          <w:rFonts w:hint="eastAsia"/>
          <w:color w:val="auto"/>
          <w:szCs w:val="21"/>
          <w:highlight w:val="none"/>
          <w:lang w:bidi="ar"/>
        </w:rPr>
        <w:t>代表为法定代表人的提供法定代表人身份证明；</w:t>
      </w:r>
      <w:r>
        <w:rPr>
          <w:rFonts w:hint="eastAsia"/>
          <w:color w:val="auto"/>
          <w:szCs w:val="21"/>
          <w:highlight w:val="none"/>
          <w:lang w:eastAsia="zh-CN" w:bidi="ar"/>
        </w:rPr>
        <w:t>投标供应商</w:t>
      </w:r>
      <w:r>
        <w:rPr>
          <w:rFonts w:hint="eastAsia"/>
          <w:color w:val="auto"/>
          <w:szCs w:val="21"/>
          <w:highlight w:val="none"/>
          <w:lang w:bidi="ar"/>
        </w:rPr>
        <w:t>的代表若为非法定代表人的，须提交法定代表人授权书及被授权代表在开标前三个月任一个月的养老保险缴纳证明资料）；</w:t>
      </w:r>
    </w:p>
    <w:p>
      <w:pPr>
        <w:spacing w:line="360" w:lineRule="auto"/>
        <w:ind w:firstLine="480" w:firstLineChars="200"/>
        <w:rPr>
          <w:rFonts w:hint="eastAsia"/>
          <w:color w:val="auto"/>
          <w:szCs w:val="21"/>
          <w:highlight w:val="none"/>
        </w:rPr>
      </w:pPr>
      <w:r>
        <w:rPr>
          <w:rFonts w:hint="eastAsia"/>
          <w:color w:val="auto"/>
          <w:szCs w:val="21"/>
          <w:highlight w:val="none"/>
          <w:lang w:bidi="ar"/>
        </w:rPr>
        <w:t>5、商务条款响应表（格式见第八章投标文件格式）；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6、技术条款响应表（格式见第八章投标文件格式）；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7、投标产品清单（格式见第八章投标文件格式）；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8、同类项目业绩表（格式见第八章投标文件格式）；</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9、实施方案；</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10、技术服务、售后服务承诺；</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11、投标产品可靠性、先进性、稳定性；</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12、付款承诺；</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13、</w:t>
      </w:r>
      <w:r>
        <w:rPr>
          <w:rFonts w:hint="eastAsia"/>
          <w:color w:val="auto"/>
          <w:szCs w:val="21"/>
          <w:highlight w:val="none"/>
          <w:lang w:val="zh-CN" w:bidi="ar"/>
        </w:rPr>
        <w:t>其它本招标文件</w:t>
      </w:r>
      <w:r>
        <w:rPr>
          <w:rFonts w:hint="eastAsia"/>
          <w:color w:val="auto"/>
          <w:szCs w:val="21"/>
          <w:highlight w:val="none"/>
          <w:lang w:bidi="ar"/>
        </w:rPr>
        <w:t>及评分标准中</w:t>
      </w:r>
      <w:r>
        <w:rPr>
          <w:rFonts w:hint="eastAsia"/>
          <w:color w:val="auto"/>
          <w:szCs w:val="21"/>
          <w:highlight w:val="none"/>
          <w:lang w:val="zh-CN" w:bidi="ar"/>
        </w:rPr>
        <w:t>要求提供的</w:t>
      </w:r>
      <w:r>
        <w:rPr>
          <w:rFonts w:hint="eastAsia"/>
          <w:color w:val="auto"/>
          <w:szCs w:val="21"/>
          <w:highlight w:val="none"/>
          <w:lang w:bidi="ar"/>
        </w:rPr>
        <w:t>证明</w:t>
      </w:r>
      <w:r>
        <w:rPr>
          <w:rFonts w:hint="eastAsia"/>
          <w:color w:val="auto"/>
          <w:szCs w:val="21"/>
          <w:highlight w:val="none"/>
          <w:lang w:val="zh-CN" w:bidi="ar"/>
        </w:rPr>
        <w:t>材料。</w:t>
      </w:r>
    </w:p>
    <w:p>
      <w:pPr>
        <w:spacing w:line="360" w:lineRule="auto"/>
        <w:ind w:firstLine="480" w:firstLineChars="200"/>
        <w:rPr>
          <w:rFonts w:hint="eastAsia"/>
          <w:color w:val="auto"/>
          <w:szCs w:val="21"/>
          <w:highlight w:val="none"/>
        </w:rPr>
      </w:pPr>
      <w:r>
        <w:rPr>
          <w:rFonts w:hint="eastAsia"/>
          <w:color w:val="auto"/>
          <w:szCs w:val="21"/>
          <w:highlight w:val="none"/>
        </w:rPr>
        <w:t xml:space="preserve"> </w:t>
      </w:r>
    </w:p>
    <w:p>
      <w:pPr>
        <w:spacing w:line="360" w:lineRule="auto"/>
        <w:ind w:firstLine="482" w:firstLineChars="200"/>
        <w:rPr>
          <w:rFonts w:hint="eastAsia"/>
          <w:b/>
          <w:bCs/>
          <w:color w:val="auto"/>
          <w:szCs w:val="21"/>
          <w:highlight w:val="none"/>
        </w:rPr>
      </w:pPr>
      <w:r>
        <w:rPr>
          <w:rFonts w:hint="eastAsia"/>
          <w:b/>
          <w:bCs/>
          <w:color w:val="auto"/>
          <w:szCs w:val="21"/>
          <w:highlight w:val="none"/>
        </w:rPr>
        <w:t>（三）报价文件</w:t>
      </w:r>
    </w:p>
    <w:p>
      <w:pPr>
        <w:spacing w:line="360" w:lineRule="auto"/>
        <w:ind w:firstLine="480" w:firstLineChars="200"/>
        <w:rPr>
          <w:rFonts w:hint="eastAsia"/>
          <w:color w:val="auto"/>
          <w:szCs w:val="21"/>
          <w:highlight w:val="none"/>
        </w:rPr>
      </w:pPr>
      <w:r>
        <w:rPr>
          <w:rFonts w:hint="eastAsia"/>
          <w:color w:val="auto"/>
          <w:szCs w:val="21"/>
          <w:highlight w:val="none"/>
        </w:rPr>
        <w:t>1、投标书（</w:t>
      </w:r>
      <w:r>
        <w:rPr>
          <w:rFonts w:hint="eastAsia"/>
          <w:color w:val="auto"/>
          <w:szCs w:val="21"/>
          <w:highlight w:val="none"/>
          <w:lang w:bidi="ar"/>
        </w:rPr>
        <w:t>格式见第八章投标文件格式</w:t>
      </w:r>
      <w:r>
        <w:rPr>
          <w:rFonts w:hint="eastAsia"/>
          <w:color w:val="auto"/>
          <w:szCs w:val="21"/>
          <w:highlight w:val="none"/>
        </w:rPr>
        <w:t>）；</w:t>
      </w:r>
    </w:p>
    <w:p>
      <w:pPr>
        <w:spacing w:line="360" w:lineRule="auto"/>
        <w:ind w:firstLine="480" w:firstLineChars="200"/>
        <w:rPr>
          <w:rFonts w:hint="eastAsia"/>
          <w:color w:val="auto"/>
          <w:szCs w:val="21"/>
          <w:highlight w:val="none"/>
        </w:rPr>
      </w:pPr>
      <w:r>
        <w:rPr>
          <w:rFonts w:hint="eastAsia"/>
          <w:color w:val="auto"/>
          <w:szCs w:val="21"/>
          <w:highlight w:val="none"/>
        </w:rPr>
        <w:t>2、开标一览表（</w:t>
      </w:r>
      <w:r>
        <w:rPr>
          <w:rFonts w:hint="eastAsia"/>
          <w:color w:val="auto"/>
          <w:szCs w:val="21"/>
          <w:highlight w:val="none"/>
          <w:lang w:bidi="ar"/>
        </w:rPr>
        <w:t>格式见第八章投标文件格式</w:t>
      </w:r>
      <w:r>
        <w:rPr>
          <w:rFonts w:hint="eastAsia"/>
          <w:color w:val="auto"/>
          <w:szCs w:val="21"/>
          <w:highlight w:val="none"/>
        </w:rPr>
        <w:t>）；</w:t>
      </w:r>
    </w:p>
    <w:p>
      <w:pPr>
        <w:spacing w:line="360" w:lineRule="auto"/>
        <w:ind w:firstLine="480" w:firstLineChars="200"/>
        <w:rPr>
          <w:rFonts w:hint="eastAsia"/>
          <w:color w:val="auto"/>
          <w:szCs w:val="21"/>
          <w:highlight w:val="none"/>
        </w:rPr>
      </w:pPr>
      <w:r>
        <w:rPr>
          <w:rFonts w:hint="eastAsia"/>
          <w:color w:val="auto"/>
          <w:szCs w:val="21"/>
          <w:highlight w:val="none"/>
        </w:rPr>
        <w:t>3、投标报价明细表（</w:t>
      </w:r>
      <w:r>
        <w:rPr>
          <w:rFonts w:hint="eastAsia"/>
          <w:color w:val="auto"/>
          <w:szCs w:val="21"/>
          <w:highlight w:val="none"/>
          <w:lang w:bidi="ar"/>
        </w:rPr>
        <w:t>格式见第八章投标文件格式</w:t>
      </w:r>
      <w:r>
        <w:rPr>
          <w:rFonts w:hint="eastAsia"/>
          <w:color w:val="auto"/>
          <w:szCs w:val="21"/>
          <w:highlight w:val="none"/>
        </w:rPr>
        <w:t>）；</w:t>
      </w:r>
    </w:p>
    <w:p>
      <w:pPr>
        <w:spacing w:line="360" w:lineRule="auto"/>
        <w:ind w:firstLine="480" w:firstLineChars="200"/>
        <w:rPr>
          <w:rFonts w:hint="eastAsia"/>
          <w:color w:val="auto"/>
          <w:szCs w:val="21"/>
          <w:highlight w:val="none"/>
        </w:rPr>
      </w:pPr>
      <w:r>
        <w:rPr>
          <w:rFonts w:hint="eastAsia"/>
          <w:color w:val="auto"/>
          <w:szCs w:val="21"/>
          <w:highlight w:val="none"/>
        </w:rPr>
        <w:t>4、中小企业声明函（</w:t>
      </w:r>
      <w:r>
        <w:rPr>
          <w:rFonts w:hint="eastAsia"/>
          <w:color w:val="auto"/>
          <w:szCs w:val="21"/>
          <w:highlight w:val="none"/>
          <w:lang w:bidi="ar"/>
        </w:rPr>
        <w:t>格式见第八章投标文件格式</w:t>
      </w:r>
      <w:r>
        <w:rPr>
          <w:rFonts w:hint="eastAsia"/>
          <w:color w:val="auto"/>
          <w:szCs w:val="21"/>
          <w:highlight w:val="none"/>
        </w:rPr>
        <w:t>）</w:t>
      </w:r>
    </w:p>
    <w:p>
      <w:pPr>
        <w:spacing w:line="360" w:lineRule="auto"/>
        <w:ind w:firstLine="480" w:firstLineChars="200"/>
        <w:rPr>
          <w:rFonts w:hint="eastAsia"/>
          <w:color w:val="auto"/>
          <w:szCs w:val="21"/>
          <w:highlight w:val="none"/>
        </w:rPr>
      </w:pPr>
      <w:r>
        <w:rPr>
          <w:rFonts w:hint="eastAsia"/>
          <w:color w:val="auto"/>
          <w:szCs w:val="21"/>
          <w:highlight w:val="none"/>
        </w:rPr>
        <w:t>5、残疾人福利性单位声明函（</w:t>
      </w:r>
      <w:r>
        <w:rPr>
          <w:rFonts w:hint="eastAsia"/>
          <w:color w:val="auto"/>
          <w:szCs w:val="21"/>
          <w:highlight w:val="none"/>
          <w:lang w:bidi="ar"/>
        </w:rPr>
        <w:t>格式见第八章投标文件格式</w:t>
      </w:r>
      <w:r>
        <w:rPr>
          <w:rFonts w:hint="eastAsia"/>
          <w:color w:val="auto"/>
          <w:szCs w:val="21"/>
          <w:highlight w:val="none"/>
        </w:rPr>
        <w:t>，如是请提供）</w:t>
      </w:r>
    </w:p>
    <w:p>
      <w:pPr>
        <w:spacing w:line="360" w:lineRule="auto"/>
        <w:ind w:firstLine="480" w:firstLineChars="200"/>
        <w:rPr>
          <w:rFonts w:hint="eastAsia"/>
          <w:color w:val="auto"/>
          <w:szCs w:val="21"/>
          <w:highlight w:val="none"/>
        </w:rPr>
      </w:pPr>
      <w:r>
        <w:rPr>
          <w:rFonts w:hint="eastAsia"/>
          <w:color w:val="auto"/>
          <w:szCs w:val="21"/>
          <w:highlight w:val="none"/>
        </w:rPr>
        <w:t>6、其它本招标文件要求提供的报价部分材料。</w:t>
      </w:r>
    </w:p>
    <w:p>
      <w:pPr>
        <w:spacing w:line="360" w:lineRule="auto"/>
        <w:ind w:firstLine="480" w:firstLineChars="200"/>
        <w:rPr>
          <w:rFonts w:hint="eastAsia"/>
          <w:color w:val="auto"/>
          <w:szCs w:val="21"/>
          <w:highlight w:val="none"/>
        </w:rPr>
      </w:pPr>
    </w:p>
    <w:p>
      <w:pPr>
        <w:spacing w:line="360" w:lineRule="auto"/>
        <w:ind w:firstLine="482" w:firstLineChars="200"/>
        <w:rPr>
          <w:rFonts w:hint="eastAsia"/>
          <w:b/>
          <w:color w:val="auto"/>
          <w:szCs w:val="21"/>
          <w:highlight w:val="none"/>
        </w:rPr>
      </w:pPr>
      <w:r>
        <w:rPr>
          <w:rFonts w:hint="eastAsia"/>
          <w:b/>
          <w:color w:val="auto"/>
          <w:szCs w:val="21"/>
          <w:highlight w:val="none"/>
          <w:lang w:bidi="ar"/>
        </w:rPr>
        <w:t>八、投标文件的签署和份数</w:t>
      </w:r>
    </w:p>
    <w:p>
      <w:pPr>
        <w:spacing w:line="360" w:lineRule="auto"/>
        <w:ind w:firstLine="480" w:firstLineChars="200"/>
        <w:rPr>
          <w:rFonts w:hint="eastAsia"/>
          <w:color w:val="auto"/>
          <w:szCs w:val="21"/>
          <w:highlight w:val="none"/>
        </w:rPr>
      </w:pPr>
      <w:r>
        <w:rPr>
          <w:rFonts w:hint="eastAsia"/>
          <w:color w:val="auto"/>
          <w:szCs w:val="21"/>
          <w:highlight w:val="none"/>
        </w:rPr>
        <w:t>1、</w:t>
      </w:r>
      <w:r>
        <w:rPr>
          <w:rFonts w:hint="eastAsia"/>
          <w:color w:val="auto"/>
          <w:szCs w:val="21"/>
          <w:highlight w:val="none"/>
          <w:lang w:eastAsia="zh-CN"/>
        </w:rPr>
        <w:t>投标供应商</w:t>
      </w:r>
      <w:r>
        <w:rPr>
          <w:rFonts w:hint="eastAsia"/>
          <w:color w:val="auto"/>
          <w:szCs w:val="21"/>
          <w:highlight w:val="none"/>
        </w:rPr>
        <w:t>应按本采购文件规定的格式和顺序编制、装订投标文件并标注页码，投标文件内容不完整、编排混乱导致投标文件被误读、漏读或者查找不到相关内容的，是</w:t>
      </w:r>
      <w:r>
        <w:rPr>
          <w:rFonts w:hint="eastAsia"/>
          <w:color w:val="auto"/>
          <w:szCs w:val="21"/>
          <w:highlight w:val="none"/>
          <w:lang w:eastAsia="zh-CN"/>
        </w:rPr>
        <w:t>投标供应商</w:t>
      </w:r>
      <w:r>
        <w:rPr>
          <w:rFonts w:hint="eastAsia"/>
          <w:color w:val="auto"/>
          <w:szCs w:val="21"/>
          <w:highlight w:val="none"/>
        </w:rPr>
        <w:t>的责任。</w:t>
      </w:r>
    </w:p>
    <w:p>
      <w:pPr>
        <w:spacing w:line="360" w:lineRule="auto"/>
        <w:ind w:firstLine="482" w:firstLineChars="200"/>
        <w:rPr>
          <w:rFonts w:hint="eastAsia"/>
          <w:b/>
          <w:color w:val="auto"/>
          <w:szCs w:val="21"/>
          <w:highlight w:val="none"/>
        </w:rPr>
      </w:pPr>
      <w:r>
        <w:rPr>
          <w:rFonts w:hint="eastAsia"/>
          <w:b/>
          <w:color w:val="auto"/>
          <w:szCs w:val="21"/>
          <w:highlight w:val="none"/>
        </w:rPr>
        <w:t>2、以U盘形式提供的备份电子投标文件1份</w:t>
      </w:r>
      <w:r>
        <w:rPr>
          <w:rFonts w:hint="eastAsia"/>
          <w:b/>
          <w:bCs/>
          <w:color w:val="auto"/>
          <w:szCs w:val="21"/>
          <w:highlight w:val="none"/>
        </w:rPr>
        <w:t>（包含资格审查文件、商务技术文件和报价文件）</w:t>
      </w:r>
      <w:r>
        <w:rPr>
          <w:rFonts w:hint="eastAsia"/>
          <w:b/>
          <w:color w:val="auto"/>
          <w:szCs w:val="21"/>
          <w:highlight w:val="none"/>
        </w:rPr>
        <w:t>。</w:t>
      </w:r>
    </w:p>
    <w:p>
      <w:pPr>
        <w:spacing w:line="360" w:lineRule="auto"/>
        <w:ind w:firstLine="480" w:firstLineChars="200"/>
        <w:rPr>
          <w:rFonts w:hint="eastAsia"/>
          <w:bCs/>
          <w:color w:val="auto"/>
          <w:szCs w:val="21"/>
          <w:highlight w:val="none"/>
        </w:rPr>
      </w:pPr>
      <w:r>
        <w:rPr>
          <w:rFonts w:hint="eastAsia"/>
          <w:bCs/>
          <w:color w:val="auto"/>
          <w:szCs w:val="21"/>
          <w:highlight w:val="none"/>
        </w:rPr>
        <w:t>3、投标文件须由</w:t>
      </w:r>
      <w:r>
        <w:rPr>
          <w:rFonts w:hint="eastAsia"/>
          <w:bCs/>
          <w:color w:val="auto"/>
          <w:szCs w:val="21"/>
          <w:highlight w:val="none"/>
          <w:lang w:eastAsia="zh-CN"/>
        </w:rPr>
        <w:t>投标供应商</w:t>
      </w:r>
      <w:r>
        <w:rPr>
          <w:rFonts w:hint="eastAsia"/>
          <w:bCs/>
          <w:color w:val="auto"/>
          <w:szCs w:val="21"/>
          <w:highlight w:val="none"/>
        </w:rPr>
        <w:t>在规定位置盖章并由法定代表人或法定代表人的授权委托人签署，</w:t>
      </w:r>
      <w:r>
        <w:rPr>
          <w:rFonts w:hint="eastAsia"/>
          <w:bCs/>
          <w:color w:val="auto"/>
          <w:szCs w:val="21"/>
          <w:highlight w:val="none"/>
          <w:lang w:eastAsia="zh-CN"/>
        </w:rPr>
        <w:t>投标供应商</w:t>
      </w:r>
      <w:r>
        <w:rPr>
          <w:rFonts w:hint="eastAsia"/>
          <w:bCs/>
          <w:color w:val="auto"/>
          <w:szCs w:val="21"/>
          <w:highlight w:val="none"/>
        </w:rPr>
        <w:t>应写全称。法定代表人授权委托书、投标声明书必须由法定代表人签名并加盖单位公章。</w:t>
      </w:r>
    </w:p>
    <w:p>
      <w:pPr>
        <w:spacing w:line="360" w:lineRule="auto"/>
        <w:ind w:firstLine="480" w:firstLineChars="200"/>
        <w:rPr>
          <w:rFonts w:hint="eastAsia"/>
          <w:color w:val="auto"/>
          <w:szCs w:val="21"/>
          <w:highlight w:val="none"/>
        </w:rPr>
      </w:pPr>
      <w:r>
        <w:rPr>
          <w:rFonts w:hint="eastAsia"/>
          <w:bCs/>
          <w:color w:val="auto"/>
          <w:szCs w:val="21"/>
          <w:highlight w:val="none"/>
        </w:rPr>
        <w:t>4、</w:t>
      </w:r>
      <w:r>
        <w:rPr>
          <w:rFonts w:hint="eastAsia"/>
          <w:bCs/>
          <w:color w:val="auto"/>
          <w:szCs w:val="21"/>
          <w:highlight w:val="none"/>
          <w:lang w:eastAsia="zh-CN"/>
        </w:rPr>
        <w:t>投标供应商</w:t>
      </w:r>
      <w:r>
        <w:rPr>
          <w:rFonts w:hint="eastAsia"/>
          <w:bCs/>
          <w:color w:val="auto"/>
          <w:szCs w:val="21"/>
          <w:highlight w:val="none"/>
        </w:rPr>
        <w:t>应根据“政采云供应商项目采购-电子招投标操作指南”及本招标文件规定的格式和顺序编制电子投标文件并进行关联定位。</w:t>
      </w:r>
    </w:p>
    <w:p>
      <w:pPr>
        <w:spacing w:line="360" w:lineRule="auto"/>
        <w:ind w:firstLine="482" w:firstLineChars="200"/>
        <w:rPr>
          <w:rFonts w:hint="eastAsia"/>
          <w:b/>
          <w:color w:val="auto"/>
          <w:szCs w:val="21"/>
          <w:highlight w:val="none"/>
          <w:lang w:bidi="ar"/>
        </w:rPr>
      </w:pPr>
    </w:p>
    <w:p>
      <w:pPr>
        <w:spacing w:line="360" w:lineRule="auto"/>
        <w:ind w:firstLine="482" w:firstLineChars="200"/>
        <w:rPr>
          <w:rFonts w:hint="eastAsia"/>
          <w:b/>
          <w:color w:val="auto"/>
          <w:szCs w:val="21"/>
          <w:highlight w:val="none"/>
        </w:rPr>
      </w:pPr>
      <w:r>
        <w:rPr>
          <w:rFonts w:hint="eastAsia"/>
          <w:b/>
          <w:color w:val="auto"/>
          <w:szCs w:val="21"/>
          <w:highlight w:val="none"/>
          <w:lang w:bidi="ar"/>
        </w:rPr>
        <w:t>九、投标文件的递交</w:t>
      </w:r>
    </w:p>
    <w:p>
      <w:pPr>
        <w:snapToGrid w:val="0"/>
        <w:spacing w:line="360" w:lineRule="auto"/>
        <w:ind w:firstLine="420"/>
        <w:rPr>
          <w:rFonts w:hint="eastAsia"/>
          <w:bCs/>
          <w:color w:val="auto"/>
          <w:szCs w:val="21"/>
          <w:highlight w:val="none"/>
        </w:rPr>
      </w:pPr>
      <w:r>
        <w:rPr>
          <w:rFonts w:hint="eastAsia"/>
          <w:bCs/>
          <w:color w:val="auto"/>
          <w:szCs w:val="21"/>
          <w:highlight w:val="none"/>
        </w:rPr>
        <w:t>1、电子投标文件的备份文件单独包封，外包装封面上应注明</w:t>
      </w:r>
      <w:r>
        <w:rPr>
          <w:rFonts w:hint="eastAsia"/>
          <w:bCs/>
          <w:color w:val="auto"/>
          <w:szCs w:val="21"/>
          <w:highlight w:val="none"/>
          <w:lang w:eastAsia="zh-CN"/>
        </w:rPr>
        <w:t>投标供应商</w:t>
      </w:r>
      <w:r>
        <w:rPr>
          <w:rFonts w:hint="eastAsia"/>
          <w:bCs/>
          <w:color w:val="auto"/>
          <w:szCs w:val="21"/>
          <w:highlight w:val="none"/>
        </w:rPr>
        <w:t>名称、</w:t>
      </w:r>
      <w:r>
        <w:rPr>
          <w:rFonts w:hint="eastAsia"/>
          <w:bCs/>
          <w:color w:val="auto"/>
          <w:szCs w:val="21"/>
          <w:highlight w:val="none"/>
          <w:lang w:eastAsia="zh-CN"/>
        </w:rPr>
        <w:t>投标供应商</w:t>
      </w:r>
      <w:r>
        <w:rPr>
          <w:rFonts w:hint="eastAsia"/>
          <w:bCs/>
          <w:color w:val="auto"/>
          <w:szCs w:val="21"/>
          <w:highlight w:val="none"/>
        </w:rPr>
        <w:t>地址、投标文件名称（电子投标文件的备份文件）、投标项目名称、项目编号及“在  年  月  日  时  分之前不得启封”字样，并加盖</w:t>
      </w:r>
      <w:r>
        <w:rPr>
          <w:rFonts w:hint="eastAsia"/>
          <w:bCs/>
          <w:color w:val="auto"/>
          <w:szCs w:val="21"/>
          <w:highlight w:val="none"/>
          <w:lang w:eastAsia="zh-CN"/>
        </w:rPr>
        <w:t>投标供应商</w:t>
      </w:r>
      <w:r>
        <w:rPr>
          <w:rFonts w:hint="eastAsia"/>
          <w:bCs/>
          <w:color w:val="auto"/>
          <w:szCs w:val="21"/>
          <w:highlight w:val="none"/>
        </w:rPr>
        <w:t>公章。</w:t>
      </w:r>
    </w:p>
    <w:p>
      <w:pPr>
        <w:snapToGrid w:val="0"/>
        <w:spacing w:line="360" w:lineRule="auto"/>
        <w:ind w:firstLine="420"/>
        <w:rPr>
          <w:rFonts w:hint="eastAsia"/>
          <w:bCs/>
          <w:color w:val="auto"/>
          <w:szCs w:val="21"/>
          <w:highlight w:val="none"/>
        </w:rPr>
      </w:pPr>
      <w:r>
        <w:rPr>
          <w:rFonts w:hint="eastAsia"/>
          <w:bCs/>
          <w:color w:val="auto"/>
          <w:szCs w:val="21"/>
          <w:highlight w:val="none"/>
          <w:lang w:bidi="ar"/>
        </w:rPr>
        <w:t>2、投标文件的补充和修改</w:t>
      </w:r>
    </w:p>
    <w:p>
      <w:pPr>
        <w:pStyle w:val="17"/>
        <w:widowControl w:val="0"/>
        <w:spacing w:before="0" w:beforeAutospacing="0" w:after="0" w:afterAutospacing="0" w:line="360" w:lineRule="auto"/>
        <w:ind w:firstLine="420" w:firstLineChars="200"/>
        <w:rPr>
          <w:rFonts w:hint="eastAsia"/>
          <w:bCs/>
          <w:color w:val="auto"/>
          <w:kern w:val="2"/>
          <w:sz w:val="21"/>
          <w:szCs w:val="21"/>
          <w:highlight w:val="none"/>
          <w:lang w:bidi="ar"/>
        </w:rPr>
      </w:pPr>
      <w:r>
        <w:rPr>
          <w:rFonts w:hint="eastAsia"/>
          <w:bCs/>
          <w:color w:val="auto"/>
          <w:kern w:val="2"/>
          <w:sz w:val="21"/>
          <w:szCs w:val="21"/>
          <w:highlight w:val="none"/>
          <w:lang w:eastAsia="zh-CN" w:bidi="ar"/>
        </w:rPr>
        <w:t>投标供应商</w:t>
      </w:r>
      <w:r>
        <w:rPr>
          <w:rFonts w:hint="eastAsia"/>
          <w:bCs/>
          <w:color w:val="auto"/>
          <w:kern w:val="2"/>
          <w:sz w:val="21"/>
          <w:szCs w:val="21"/>
          <w:highlight w:val="none"/>
          <w:lang w:bidi="ar"/>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ind w:firstLine="480" w:firstLineChars="200"/>
        <w:rPr>
          <w:rFonts w:hint="eastAsia"/>
          <w:bCs/>
          <w:color w:val="auto"/>
          <w:szCs w:val="21"/>
          <w:highlight w:val="none"/>
        </w:rPr>
      </w:pPr>
      <w:r>
        <w:rPr>
          <w:rFonts w:hint="eastAsia"/>
          <w:bCs/>
          <w:color w:val="auto"/>
          <w:szCs w:val="21"/>
          <w:highlight w:val="none"/>
          <w:lang w:bidi="ar"/>
        </w:rPr>
        <w:t>3、接受标书时间</w:t>
      </w:r>
    </w:p>
    <w:p>
      <w:pPr>
        <w:spacing w:line="360" w:lineRule="auto"/>
        <w:ind w:firstLine="480" w:firstLineChars="200"/>
        <w:rPr>
          <w:rFonts w:hint="eastAsia"/>
          <w:color w:val="auto"/>
          <w:szCs w:val="21"/>
          <w:highlight w:val="none"/>
        </w:rPr>
      </w:pPr>
      <w:r>
        <w:rPr>
          <w:rFonts w:hint="eastAsia"/>
          <w:bCs/>
          <w:color w:val="auto"/>
          <w:szCs w:val="21"/>
          <w:highlight w:val="none"/>
          <w:lang w:bidi="ar"/>
        </w:rPr>
        <w:t>招标代理机构于开标地点在投标截止时间前半小时内接受备份电子投标文件。</w:t>
      </w:r>
    </w:p>
    <w:p>
      <w:pPr>
        <w:spacing w:line="360" w:lineRule="auto"/>
        <w:ind w:firstLine="480" w:firstLineChars="200"/>
        <w:rPr>
          <w:rFonts w:hint="eastAsia"/>
          <w:b/>
          <w:color w:val="auto"/>
          <w:szCs w:val="21"/>
          <w:highlight w:val="none"/>
        </w:rPr>
      </w:pPr>
      <w:r>
        <w:rPr>
          <w:rFonts w:hint="eastAsia"/>
          <w:color w:val="auto"/>
          <w:szCs w:val="21"/>
          <w:highlight w:val="none"/>
        </w:rPr>
        <w:t>*</w:t>
      </w:r>
      <w:r>
        <w:rPr>
          <w:rFonts w:hint="eastAsia"/>
          <w:b/>
          <w:color w:val="auto"/>
          <w:szCs w:val="21"/>
          <w:highlight w:val="none"/>
        </w:rPr>
        <w:t>十、无效投标</w:t>
      </w:r>
    </w:p>
    <w:p>
      <w:pPr>
        <w:spacing w:line="360" w:lineRule="auto"/>
        <w:ind w:firstLine="482" w:firstLineChars="200"/>
        <w:rPr>
          <w:rFonts w:hint="eastAsia"/>
          <w:b/>
          <w:color w:val="auto"/>
          <w:szCs w:val="21"/>
          <w:highlight w:val="none"/>
        </w:rPr>
      </w:pPr>
      <w:r>
        <w:rPr>
          <w:rFonts w:hint="eastAsia"/>
          <w:b/>
          <w:color w:val="auto"/>
          <w:szCs w:val="21"/>
          <w:highlight w:val="none"/>
        </w:rPr>
        <w:t>发生下列情况之一的投标文件被视为无效：</w:t>
      </w:r>
    </w:p>
    <w:p>
      <w:pPr>
        <w:spacing w:line="360" w:lineRule="auto"/>
        <w:ind w:firstLine="482" w:firstLineChars="200"/>
        <w:rPr>
          <w:rFonts w:hint="eastAsia"/>
          <w:b/>
          <w:color w:val="auto"/>
          <w:szCs w:val="21"/>
          <w:highlight w:val="none"/>
        </w:rPr>
      </w:pPr>
      <w:r>
        <w:rPr>
          <w:rFonts w:hint="eastAsia"/>
          <w:b/>
          <w:color w:val="auto"/>
          <w:szCs w:val="21"/>
          <w:highlight w:val="none"/>
        </w:rPr>
        <w:t>1、投标文件未按招标文件要求签署、盖章的；</w:t>
      </w:r>
    </w:p>
    <w:p>
      <w:pPr>
        <w:spacing w:line="360" w:lineRule="auto"/>
        <w:ind w:firstLine="482" w:firstLineChars="200"/>
        <w:rPr>
          <w:rFonts w:hint="eastAsia"/>
          <w:b/>
          <w:color w:val="auto"/>
          <w:szCs w:val="21"/>
          <w:highlight w:val="none"/>
        </w:rPr>
      </w:pPr>
      <w:r>
        <w:rPr>
          <w:rFonts w:hint="eastAsia"/>
          <w:b/>
          <w:color w:val="auto"/>
          <w:szCs w:val="21"/>
          <w:highlight w:val="none"/>
        </w:rPr>
        <w:t>2、不具备招标文件中规定的资格要求的；</w:t>
      </w:r>
    </w:p>
    <w:p>
      <w:pPr>
        <w:spacing w:line="360" w:lineRule="auto"/>
        <w:ind w:firstLine="482" w:firstLineChars="200"/>
        <w:rPr>
          <w:rFonts w:hint="eastAsia"/>
          <w:b/>
          <w:color w:val="auto"/>
          <w:szCs w:val="21"/>
          <w:highlight w:val="none"/>
        </w:rPr>
      </w:pPr>
      <w:r>
        <w:rPr>
          <w:rFonts w:hint="eastAsia"/>
          <w:b/>
          <w:color w:val="auto"/>
          <w:szCs w:val="21"/>
          <w:highlight w:val="none"/>
        </w:rPr>
        <w:t>3、报价超过招标文件中规定的预算金额或者最高限价的；</w:t>
      </w:r>
    </w:p>
    <w:p>
      <w:pPr>
        <w:spacing w:line="360" w:lineRule="auto"/>
        <w:ind w:firstLine="482" w:firstLineChars="200"/>
        <w:rPr>
          <w:rFonts w:hint="eastAsia"/>
          <w:b/>
          <w:color w:val="auto"/>
          <w:szCs w:val="21"/>
          <w:highlight w:val="none"/>
        </w:rPr>
      </w:pPr>
      <w:r>
        <w:rPr>
          <w:rFonts w:hint="eastAsia"/>
          <w:b/>
          <w:color w:val="auto"/>
          <w:szCs w:val="21"/>
          <w:highlight w:val="none"/>
        </w:rPr>
        <w:t>4、投标文件含有采购人不能接受的附加条件的；</w:t>
      </w:r>
    </w:p>
    <w:p>
      <w:pPr>
        <w:spacing w:line="360" w:lineRule="auto"/>
        <w:ind w:firstLine="482" w:firstLineChars="200"/>
        <w:rPr>
          <w:rFonts w:hint="eastAsia"/>
          <w:b/>
          <w:color w:val="auto"/>
          <w:szCs w:val="21"/>
          <w:highlight w:val="none"/>
        </w:rPr>
      </w:pPr>
      <w:r>
        <w:rPr>
          <w:rFonts w:hint="eastAsia"/>
          <w:b/>
          <w:color w:val="auto"/>
          <w:szCs w:val="21"/>
          <w:highlight w:val="none"/>
        </w:rPr>
        <w:t>5、标项以赠送方式投标的，对一个标项提供两个投标方案的；</w:t>
      </w:r>
    </w:p>
    <w:p>
      <w:pPr>
        <w:spacing w:line="360" w:lineRule="auto"/>
        <w:ind w:firstLine="482" w:firstLineChars="200"/>
        <w:rPr>
          <w:rFonts w:hint="eastAsia"/>
          <w:b/>
          <w:color w:val="auto"/>
          <w:szCs w:val="21"/>
          <w:highlight w:val="none"/>
        </w:rPr>
      </w:pPr>
      <w:r>
        <w:rPr>
          <w:rFonts w:hint="eastAsia"/>
          <w:b/>
          <w:color w:val="auto"/>
          <w:szCs w:val="21"/>
          <w:highlight w:val="none"/>
        </w:rPr>
        <w:t>6、带“*”的条款不能满足采购文件要求；</w:t>
      </w:r>
    </w:p>
    <w:p>
      <w:pPr>
        <w:spacing w:line="360" w:lineRule="auto"/>
        <w:ind w:firstLine="482" w:firstLineChars="200"/>
        <w:rPr>
          <w:rFonts w:hint="eastAsia"/>
          <w:b/>
          <w:color w:val="auto"/>
          <w:szCs w:val="21"/>
          <w:highlight w:val="none"/>
        </w:rPr>
      </w:pPr>
      <w:r>
        <w:rPr>
          <w:rFonts w:hint="eastAsia"/>
          <w:b/>
          <w:color w:val="auto"/>
          <w:szCs w:val="21"/>
          <w:highlight w:val="none"/>
        </w:rPr>
        <w:t>7、投标供应商在投标活动中提供任何虚假材料或从事其他违法活动的；</w:t>
      </w:r>
    </w:p>
    <w:p>
      <w:pPr>
        <w:spacing w:line="360" w:lineRule="auto"/>
        <w:ind w:firstLine="482" w:firstLineChars="200"/>
        <w:rPr>
          <w:rFonts w:hint="eastAsia"/>
          <w:b/>
          <w:color w:val="auto"/>
          <w:szCs w:val="21"/>
          <w:highlight w:val="none"/>
        </w:rPr>
      </w:pPr>
      <w:r>
        <w:rPr>
          <w:rFonts w:hint="eastAsia"/>
          <w:b/>
          <w:color w:val="auto"/>
          <w:szCs w:val="21"/>
          <w:highlight w:val="none"/>
        </w:rPr>
        <w:t>8、评标委员会认为</w:t>
      </w:r>
      <w:r>
        <w:rPr>
          <w:rFonts w:hint="eastAsia"/>
          <w:b/>
          <w:color w:val="auto"/>
          <w:szCs w:val="21"/>
          <w:highlight w:val="none"/>
          <w:lang w:eastAsia="zh-CN"/>
        </w:rPr>
        <w:t>投标供应商</w:t>
      </w:r>
      <w:r>
        <w:rPr>
          <w:rFonts w:hint="eastAsia"/>
          <w:b/>
          <w:color w:val="auto"/>
          <w:szCs w:val="21"/>
          <w:highlight w:val="none"/>
        </w:rPr>
        <w:t>的报价明显低于其他通过符合性审查</w:t>
      </w:r>
      <w:r>
        <w:rPr>
          <w:rFonts w:hint="eastAsia"/>
          <w:b/>
          <w:color w:val="auto"/>
          <w:szCs w:val="21"/>
          <w:highlight w:val="none"/>
          <w:lang w:eastAsia="zh-CN"/>
        </w:rPr>
        <w:t>投标供应商</w:t>
      </w:r>
      <w:r>
        <w:rPr>
          <w:rFonts w:hint="eastAsia"/>
          <w:b/>
          <w:color w:val="auto"/>
          <w:szCs w:val="21"/>
          <w:highlight w:val="none"/>
        </w:rPr>
        <w:t>的报价，有可能影响产品质量或者不能诚信履约的，要求其在评标现场合理的时间内提供书面说明，必要时提供相关证明材料；</w:t>
      </w:r>
      <w:r>
        <w:rPr>
          <w:rFonts w:hint="eastAsia"/>
          <w:b/>
          <w:color w:val="auto"/>
          <w:szCs w:val="21"/>
          <w:highlight w:val="none"/>
          <w:lang w:eastAsia="zh-CN"/>
        </w:rPr>
        <w:t>投标供应商</w:t>
      </w:r>
      <w:r>
        <w:rPr>
          <w:rFonts w:hint="eastAsia"/>
          <w:b/>
          <w:color w:val="auto"/>
          <w:szCs w:val="21"/>
          <w:highlight w:val="none"/>
        </w:rPr>
        <w:t>不能证明其报价合理性的；</w:t>
      </w:r>
    </w:p>
    <w:p>
      <w:pPr>
        <w:spacing w:line="360" w:lineRule="auto"/>
        <w:ind w:firstLine="482" w:firstLineChars="200"/>
        <w:rPr>
          <w:rFonts w:hint="eastAsia"/>
          <w:b/>
          <w:color w:val="auto"/>
          <w:szCs w:val="21"/>
          <w:highlight w:val="none"/>
        </w:rPr>
      </w:pPr>
      <w:r>
        <w:rPr>
          <w:rFonts w:hint="eastAsia"/>
          <w:b/>
          <w:color w:val="auto"/>
          <w:szCs w:val="21"/>
          <w:highlight w:val="none"/>
        </w:rPr>
        <w:t>9、违返公平竞争的原则或恶意串通或妨碍其他</w:t>
      </w:r>
      <w:r>
        <w:rPr>
          <w:rFonts w:hint="eastAsia"/>
          <w:b/>
          <w:color w:val="auto"/>
          <w:szCs w:val="21"/>
          <w:highlight w:val="none"/>
          <w:lang w:eastAsia="zh-CN"/>
        </w:rPr>
        <w:t>投标供应商</w:t>
      </w:r>
      <w:r>
        <w:rPr>
          <w:rFonts w:hint="eastAsia"/>
          <w:b/>
          <w:color w:val="auto"/>
          <w:szCs w:val="21"/>
          <w:highlight w:val="none"/>
        </w:rPr>
        <w:t>的竞争行为或损害采购人或者其他</w:t>
      </w:r>
      <w:r>
        <w:rPr>
          <w:rFonts w:hint="eastAsia"/>
          <w:b/>
          <w:color w:val="auto"/>
          <w:szCs w:val="21"/>
          <w:highlight w:val="none"/>
          <w:lang w:eastAsia="zh-CN"/>
        </w:rPr>
        <w:t>投标供应商</w:t>
      </w:r>
      <w:r>
        <w:rPr>
          <w:rFonts w:hint="eastAsia"/>
          <w:b/>
          <w:color w:val="auto"/>
          <w:szCs w:val="21"/>
          <w:highlight w:val="none"/>
        </w:rPr>
        <w:t>的合法权益的；</w:t>
      </w:r>
    </w:p>
    <w:p>
      <w:pPr>
        <w:pStyle w:val="10"/>
        <w:spacing w:line="360" w:lineRule="auto"/>
        <w:ind w:firstLine="482" w:firstLineChars="200"/>
        <w:rPr>
          <w:rFonts w:hint="eastAsia"/>
          <w:b/>
          <w:color w:val="auto"/>
          <w:szCs w:val="21"/>
          <w:highlight w:val="none"/>
        </w:rPr>
      </w:pPr>
      <w:r>
        <w:rPr>
          <w:rFonts w:hint="eastAsia"/>
          <w:b/>
          <w:color w:val="auto"/>
          <w:szCs w:val="21"/>
          <w:highlight w:val="none"/>
        </w:rPr>
        <w:t>10、投标文件报价出现前后不一致，经按招标文件规定修正后，</w:t>
      </w:r>
      <w:r>
        <w:rPr>
          <w:rFonts w:hint="eastAsia"/>
          <w:b/>
          <w:color w:val="auto"/>
          <w:szCs w:val="21"/>
          <w:highlight w:val="none"/>
          <w:lang w:eastAsia="zh-CN"/>
        </w:rPr>
        <w:t>投标供应商</w:t>
      </w:r>
      <w:r>
        <w:rPr>
          <w:rFonts w:hint="eastAsia"/>
          <w:b/>
          <w:color w:val="auto"/>
          <w:szCs w:val="21"/>
          <w:highlight w:val="none"/>
        </w:rPr>
        <w:t>对修正后的报价不确认的；</w:t>
      </w:r>
    </w:p>
    <w:p>
      <w:pPr>
        <w:pStyle w:val="10"/>
        <w:spacing w:line="360" w:lineRule="auto"/>
        <w:ind w:firstLine="482" w:firstLineChars="200"/>
        <w:rPr>
          <w:rFonts w:hint="eastAsia"/>
          <w:b/>
          <w:color w:val="auto"/>
          <w:szCs w:val="21"/>
          <w:highlight w:val="none"/>
        </w:rPr>
      </w:pPr>
      <w:r>
        <w:rPr>
          <w:rFonts w:hint="eastAsia"/>
          <w:b/>
          <w:color w:val="auto"/>
          <w:szCs w:val="21"/>
          <w:highlight w:val="none"/>
        </w:rPr>
        <w:t>11、未提供招标文件要求的资格证明文件</w:t>
      </w:r>
    </w:p>
    <w:p>
      <w:pPr>
        <w:spacing w:line="360" w:lineRule="auto"/>
        <w:ind w:firstLine="482" w:firstLineChars="200"/>
        <w:rPr>
          <w:rFonts w:hint="eastAsia"/>
          <w:b/>
          <w:color w:val="auto"/>
          <w:szCs w:val="21"/>
          <w:highlight w:val="none"/>
        </w:rPr>
      </w:pPr>
      <w:r>
        <w:rPr>
          <w:rFonts w:hint="eastAsia"/>
          <w:b/>
          <w:color w:val="auto"/>
          <w:szCs w:val="21"/>
          <w:highlight w:val="none"/>
        </w:rPr>
        <w:t>12、</w:t>
      </w:r>
      <w:r>
        <w:rPr>
          <w:rFonts w:hint="eastAsia"/>
          <w:b/>
          <w:color w:val="auto"/>
          <w:szCs w:val="21"/>
          <w:highlight w:val="none"/>
          <w:lang w:eastAsia="zh-CN"/>
        </w:rPr>
        <w:t>投标供应商</w:t>
      </w:r>
      <w:r>
        <w:rPr>
          <w:rFonts w:hint="eastAsia"/>
          <w:b/>
          <w:color w:val="auto"/>
          <w:szCs w:val="21"/>
          <w:highlight w:val="none"/>
        </w:rPr>
        <w:t>有下列情形之一的视为</w:t>
      </w:r>
      <w:r>
        <w:rPr>
          <w:rFonts w:hint="eastAsia"/>
          <w:b/>
          <w:color w:val="auto"/>
          <w:szCs w:val="21"/>
          <w:highlight w:val="none"/>
          <w:lang w:eastAsia="zh-CN"/>
        </w:rPr>
        <w:t>投标供应商</w:t>
      </w:r>
      <w:r>
        <w:rPr>
          <w:rFonts w:hint="eastAsia"/>
          <w:b/>
          <w:color w:val="auto"/>
          <w:szCs w:val="21"/>
          <w:highlight w:val="none"/>
        </w:rPr>
        <w:t>串通投标，其投标无效：</w:t>
      </w:r>
    </w:p>
    <w:p>
      <w:pPr>
        <w:spacing w:line="360" w:lineRule="auto"/>
        <w:ind w:firstLine="482" w:firstLineChars="200"/>
        <w:rPr>
          <w:rFonts w:hint="eastAsia"/>
          <w:b/>
          <w:color w:val="auto"/>
          <w:szCs w:val="21"/>
          <w:highlight w:val="none"/>
        </w:rPr>
      </w:pPr>
      <w:r>
        <w:rPr>
          <w:rFonts w:hint="eastAsia"/>
          <w:b/>
          <w:color w:val="auto"/>
          <w:szCs w:val="21"/>
          <w:highlight w:val="none"/>
        </w:rPr>
        <w:t>12.1不同</w:t>
      </w:r>
      <w:r>
        <w:rPr>
          <w:rFonts w:hint="eastAsia"/>
          <w:b/>
          <w:color w:val="auto"/>
          <w:szCs w:val="21"/>
          <w:highlight w:val="none"/>
          <w:lang w:eastAsia="zh-CN"/>
        </w:rPr>
        <w:t>投标供应商</w:t>
      </w:r>
      <w:r>
        <w:rPr>
          <w:rFonts w:hint="eastAsia"/>
          <w:b/>
          <w:color w:val="auto"/>
          <w:szCs w:val="21"/>
          <w:highlight w:val="none"/>
        </w:rPr>
        <w:t>的投标文件由同一单位或者个人编制；</w:t>
      </w:r>
    </w:p>
    <w:p>
      <w:pPr>
        <w:spacing w:line="360" w:lineRule="auto"/>
        <w:ind w:firstLine="482" w:firstLineChars="200"/>
        <w:rPr>
          <w:rFonts w:hint="eastAsia"/>
          <w:b/>
          <w:color w:val="auto"/>
          <w:szCs w:val="21"/>
          <w:highlight w:val="none"/>
        </w:rPr>
      </w:pPr>
      <w:r>
        <w:rPr>
          <w:rFonts w:hint="eastAsia"/>
          <w:b/>
          <w:color w:val="auto"/>
          <w:szCs w:val="21"/>
          <w:highlight w:val="none"/>
        </w:rPr>
        <w:t>12.2不同</w:t>
      </w:r>
      <w:r>
        <w:rPr>
          <w:rFonts w:hint="eastAsia"/>
          <w:b/>
          <w:color w:val="auto"/>
          <w:szCs w:val="21"/>
          <w:highlight w:val="none"/>
          <w:lang w:eastAsia="zh-CN"/>
        </w:rPr>
        <w:t>投标供应商</w:t>
      </w:r>
      <w:r>
        <w:rPr>
          <w:rFonts w:hint="eastAsia"/>
          <w:b/>
          <w:color w:val="auto"/>
          <w:szCs w:val="21"/>
          <w:highlight w:val="none"/>
        </w:rPr>
        <w:t>委托同一单位或者个人办理投标事宜；</w:t>
      </w:r>
    </w:p>
    <w:p>
      <w:pPr>
        <w:spacing w:line="360" w:lineRule="auto"/>
        <w:ind w:firstLine="482" w:firstLineChars="200"/>
        <w:rPr>
          <w:rFonts w:hint="eastAsia"/>
          <w:b/>
          <w:color w:val="auto"/>
          <w:szCs w:val="21"/>
          <w:highlight w:val="none"/>
        </w:rPr>
      </w:pPr>
      <w:r>
        <w:rPr>
          <w:rFonts w:hint="eastAsia"/>
          <w:b/>
          <w:color w:val="auto"/>
          <w:szCs w:val="21"/>
          <w:highlight w:val="none"/>
        </w:rPr>
        <w:t>12.3不同</w:t>
      </w:r>
      <w:r>
        <w:rPr>
          <w:rFonts w:hint="eastAsia"/>
          <w:b/>
          <w:color w:val="auto"/>
          <w:szCs w:val="21"/>
          <w:highlight w:val="none"/>
          <w:lang w:eastAsia="zh-CN"/>
        </w:rPr>
        <w:t>投标供应商</w:t>
      </w:r>
      <w:r>
        <w:rPr>
          <w:rFonts w:hint="eastAsia"/>
          <w:b/>
          <w:color w:val="auto"/>
          <w:szCs w:val="21"/>
          <w:highlight w:val="none"/>
        </w:rPr>
        <w:t>的投标文件载明的项目管理成员或者联系人员为同一人；</w:t>
      </w:r>
    </w:p>
    <w:p>
      <w:pPr>
        <w:spacing w:line="360" w:lineRule="auto"/>
        <w:ind w:firstLine="482" w:firstLineChars="200"/>
        <w:rPr>
          <w:rFonts w:hint="eastAsia"/>
          <w:b/>
          <w:color w:val="auto"/>
          <w:szCs w:val="21"/>
          <w:highlight w:val="none"/>
        </w:rPr>
      </w:pPr>
      <w:r>
        <w:rPr>
          <w:rFonts w:hint="eastAsia"/>
          <w:b/>
          <w:color w:val="auto"/>
          <w:szCs w:val="21"/>
          <w:highlight w:val="none"/>
        </w:rPr>
        <w:t>12.4不同</w:t>
      </w:r>
      <w:r>
        <w:rPr>
          <w:rFonts w:hint="eastAsia"/>
          <w:b/>
          <w:color w:val="auto"/>
          <w:szCs w:val="21"/>
          <w:highlight w:val="none"/>
          <w:lang w:eastAsia="zh-CN"/>
        </w:rPr>
        <w:t>投标供应商</w:t>
      </w:r>
      <w:r>
        <w:rPr>
          <w:rFonts w:hint="eastAsia"/>
          <w:b/>
          <w:color w:val="auto"/>
          <w:szCs w:val="21"/>
          <w:highlight w:val="none"/>
        </w:rPr>
        <w:t>的投标文件异常一致或者投标报价呈规律性差异；</w:t>
      </w:r>
    </w:p>
    <w:p>
      <w:pPr>
        <w:spacing w:line="360" w:lineRule="auto"/>
        <w:ind w:firstLine="482" w:firstLineChars="200"/>
        <w:rPr>
          <w:rFonts w:hint="eastAsia"/>
          <w:b/>
          <w:color w:val="auto"/>
          <w:szCs w:val="21"/>
          <w:highlight w:val="none"/>
        </w:rPr>
      </w:pPr>
      <w:r>
        <w:rPr>
          <w:rFonts w:hint="eastAsia"/>
          <w:b/>
          <w:color w:val="auto"/>
          <w:szCs w:val="21"/>
          <w:highlight w:val="none"/>
        </w:rPr>
        <w:t>12.5不同</w:t>
      </w:r>
      <w:r>
        <w:rPr>
          <w:rFonts w:hint="eastAsia"/>
          <w:b/>
          <w:color w:val="auto"/>
          <w:szCs w:val="21"/>
          <w:highlight w:val="none"/>
          <w:lang w:eastAsia="zh-CN"/>
        </w:rPr>
        <w:t>投标供应商</w:t>
      </w:r>
      <w:r>
        <w:rPr>
          <w:rFonts w:hint="eastAsia"/>
          <w:b/>
          <w:color w:val="auto"/>
          <w:szCs w:val="21"/>
          <w:highlight w:val="none"/>
        </w:rPr>
        <w:t>的投标文件相互混装；</w:t>
      </w:r>
    </w:p>
    <w:p>
      <w:pPr>
        <w:spacing w:line="360" w:lineRule="auto"/>
        <w:ind w:firstLine="482" w:firstLineChars="200"/>
        <w:rPr>
          <w:rFonts w:hint="eastAsia"/>
          <w:color w:val="auto"/>
          <w:szCs w:val="21"/>
          <w:highlight w:val="none"/>
        </w:rPr>
      </w:pPr>
      <w:r>
        <w:rPr>
          <w:rFonts w:hint="eastAsia"/>
          <w:b/>
          <w:bCs/>
          <w:color w:val="auto"/>
          <w:szCs w:val="21"/>
          <w:highlight w:val="none"/>
        </w:rPr>
        <w:t>13、法律</w:t>
      </w:r>
      <w:r>
        <w:rPr>
          <w:rFonts w:hint="eastAsia"/>
          <w:b/>
          <w:color w:val="auto"/>
          <w:szCs w:val="21"/>
          <w:highlight w:val="none"/>
        </w:rPr>
        <w:t>、法规和招标文件规定的其他无效情形。</w:t>
      </w:r>
    </w:p>
    <w:p>
      <w:pPr>
        <w:spacing w:line="360" w:lineRule="auto"/>
        <w:ind w:firstLine="482" w:firstLineChars="200"/>
        <w:rPr>
          <w:rFonts w:hint="eastAsia"/>
          <w:b/>
          <w:color w:val="auto"/>
          <w:szCs w:val="21"/>
          <w:highlight w:val="none"/>
        </w:rPr>
      </w:pPr>
      <w:r>
        <w:rPr>
          <w:rFonts w:hint="eastAsia"/>
          <w:b/>
          <w:color w:val="auto"/>
          <w:szCs w:val="21"/>
          <w:highlight w:val="none"/>
          <w:lang w:bidi="ar"/>
        </w:rPr>
        <w:t>十一、招标文件的澄清和修改</w:t>
      </w:r>
    </w:p>
    <w:p>
      <w:pPr>
        <w:spacing w:line="360" w:lineRule="auto"/>
        <w:ind w:firstLine="480" w:firstLineChars="200"/>
        <w:rPr>
          <w:rFonts w:hint="eastAsia"/>
          <w:color w:val="auto"/>
          <w:szCs w:val="21"/>
          <w:highlight w:val="none"/>
        </w:rPr>
      </w:pPr>
      <w:r>
        <w:rPr>
          <w:rFonts w:hint="eastAsia"/>
          <w:color w:val="auto"/>
          <w:szCs w:val="21"/>
          <w:highlight w:val="none"/>
          <w:lang w:bidi="ar"/>
        </w:rPr>
        <w:t>1、如对本次招标文件存在疑问，可以在知道或应知其权益受到损害之日起七个工作日内，以书面形式向采购人或采购代理公司提出，逾期视为各供应商对招标文件无异议。</w:t>
      </w:r>
    </w:p>
    <w:p>
      <w:pPr>
        <w:spacing w:line="360" w:lineRule="auto"/>
        <w:ind w:firstLine="480" w:firstLineChars="200"/>
        <w:rPr>
          <w:rFonts w:hint="eastAsia"/>
          <w:color w:val="auto"/>
          <w:szCs w:val="21"/>
          <w:highlight w:val="none"/>
        </w:rPr>
      </w:pPr>
      <w:r>
        <w:rPr>
          <w:rFonts w:hint="eastAsia"/>
          <w:color w:val="auto"/>
          <w:szCs w:val="21"/>
          <w:highlight w:val="none"/>
          <w:lang w:bidi="ar"/>
        </w:rPr>
        <w:t>2、采购人可以对已发出的招标文件进行必要的澄清或者修改。澄清或者修改的内容可能影响投标文件编制的，采购人应当在投标截止时间至少15日前，以书面（或传真、邮件）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360" w:lineRule="auto"/>
        <w:ind w:firstLine="480" w:firstLineChars="200"/>
        <w:rPr>
          <w:rFonts w:hint="eastAsia"/>
          <w:color w:val="auto"/>
          <w:szCs w:val="21"/>
          <w:highlight w:val="none"/>
        </w:rPr>
      </w:pPr>
      <w:r>
        <w:rPr>
          <w:rFonts w:hint="eastAsia"/>
          <w:color w:val="auto"/>
          <w:szCs w:val="21"/>
          <w:highlight w:val="none"/>
          <w:lang w:bidi="ar"/>
        </w:rPr>
        <w:t>3、潜在供应商收到代理机构发出的招标文件澄清或修改通知，或顺延提交投标文件截止时间通知后，应在通知单回执上明示收悉意见、加盖供应商公章，以书面形式回复代理机构。</w:t>
      </w:r>
    </w:p>
    <w:p>
      <w:pPr>
        <w:spacing w:line="360" w:lineRule="auto"/>
        <w:ind w:firstLine="482" w:firstLineChars="200"/>
        <w:rPr>
          <w:rFonts w:hint="eastAsia"/>
          <w:b/>
          <w:color w:val="auto"/>
          <w:szCs w:val="21"/>
          <w:highlight w:val="none"/>
        </w:rPr>
      </w:pPr>
      <w:r>
        <w:rPr>
          <w:rFonts w:hint="eastAsia"/>
          <w:b/>
          <w:color w:val="auto"/>
          <w:szCs w:val="21"/>
          <w:highlight w:val="none"/>
          <w:lang w:bidi="ar"/>
        </w:rPr>
        <w:t>十二、质疑和投诉</w:t>
      </w:r>
    </w:p>
    <w:p>
      <w:pPr>
        <w:spacing w:line="360" w:lineRule="auto"/>
        <w:ind w:firstLine="480"/>
        <w:rPr>
          <w:rFonts w:hint="eastAsia"/>
          <w:color w:val="auto"/>
          <w:szCs w:val="21"/>
          <w:highlight w:val="none"/>
          <w:lang w:bidi="ar"/>
        </w:rPr>
      </w:pPr>
      <w:r>
        <w:rPr>
          <w:rFonts w:hint="eastAsia"/>
          <w:color w:val="auto"/>
          <w:szCs w:val="21"/>
          <w:highlight w:val="none"/>
          <w:lang w:bidi="ar"/>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80"/>
        <w:rPr>
          <w:rFonts w:hint="eastAsia"/>
          <w:color w:val="auto"/>
          <w:szCs w:val="21"/>
          <w:highlight w:val="none"/>
          <w:lang w:bidi="ar"/>
        </w:rPr>
      </w:pPr>
      <w:r>
        <w:rPr>
          <w:rFonts w:hint="eastAsia"/>
          <w:color w:val="auto"/>
          <w:szCs w:val="21"/>
          <w:highlight w:val="none"/>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80"/>
        <w:rPr>
          <w:rFonts w:hint="eastAsia"/>
          <w:color w:val="auto"/>
          <w:szCs w:val="21"/>
          <w:highlight w:val="none"/>
          <w:lang w:bidi="ar"/>
        </w:rPr>
      </w:pPr>
      <w:r>
        <w:rPr>
          <w:rFonts w:hint="eastAsia"/>
          <w:color w:val="auto"/>
          <w:szCs w:val="21"/>
          <w:highlight w:val="none"/>
          <w:lang w:bidi="ar"/>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80"/>
        <w:rPr>
          <w:rFonts w:hint="eastAsia"/>
          <w:color w:val="auto"/>
          <w:szCs w:val="21"/>
          <w:highlight w:val="none"/>
          <w:lang w:bidi="ar"/>
        </w:rPr>
      </w:pPr>
      <w:r>
        <w:rPr>
          <w:rFonts w:hint="eastAsia"/>
          <w:color w:val="auto"/>
          <w:szCs w:val="21"/>
          <w:highlight w:val="none"/>
          <w:lang w:bidi="ar"/>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80"/>
        <w:rPr>
          <w:rFonts w:hint="eastAsia"/>
          <w:color w:val="auto"/>
          <w:szCs w:val="21"/>
          <w:highlight w:val="none"/>
        </w:rPr>
      </w:pPr>
      <w:r>
        <w:rPr>
          <w:rFonts w:hint="eastAsia"/>
          <w:color w:val="auto"/>
          <w:szCs w:val="21"/>
          <w:highlight w:val="none"/>
          <w:lang w:bidi="ar"/>
        </w:rPr>
        <w:t>5、供应商对采购人或采购代理机构的质疑答复不满意或者采购人或采购代理机构未在规定时间内作出答复的，可以在答复期满后十五个工作日内向同级采购监管部门投诉。</w:t>
      </w:r>
    </w:p>
    <w:p>
      <w:pPr>
        <w:snapToGrid w:val="0"/>
        <w:spacing w:before="120" w:beforeLines="50" w:after="120" w:afterLines="50"/>
        <w:ind w:left="238"/>
        <w:outlineLvl w:val="1"/>
        <w:rPr>
          <w:rFonts w:hint="eastAsia"/>
          <w:b/>
          <w:color w:val="auto"/>
          <w:highlight w:val="none"/>
        </w:rPr>
      </w:pPr>
      <w:r>
        <w:rPr>
          <w:rFonts w:hint="eastAsia"/>
          <w:b/>
          <w:color w:val="auto"/>
          <w:szCs w:val="21"/>
          <w:highlight w:val="none"/>
          <w:lang w:bidi="ar"/>
        </w:rPr>
        <w:t>十三、</w:t>
      </w:r>
      <w:r>
        <w:rPr>
          <w:rFonts w:hint="eastAsia"/>
          <w:b/>
          <w:color w:val="auto"/>
          <w:highlight w:val="none"/>
        </w:rPr>
        <w:t>关于分公司投标</w:t>
      </w:r>
    </w:p>
    <w:p>
      <w:pPr>
        <w:spacing w:line="360" w:lineRule="auto"/>
        <w:ind w:firstLine="480" w:firstLineChars="200"/>
        <w:rPr>
          <w:rFonts w:hint="eastAsia"/>
          <w:color w:val="auto"/>
          <w:highlight w:val="none"/>
        </w:rPr>
      </w:pPr>
      <w:r>
        <w:rPr>
          <w:rFonts w:hint="eastAsia"/>
          <w:color w:val="auto"/>
          <w:highlight w:val="none"/>
        </w:rPr>
        <w:t>除银行、保险、石油石化、电力、电信、移动、联通等行业允许分公司投标外，其余</w:t>
      </w:r>
      <w:r>
        <w:rPr>
          <w:rFonts w:hint="eastAsia" w:ascii="宋体" w:hAnsi="宋体"/>
          <w:color w:val="auto"/>
          <w:szCs w:val="21"/>
          <w:highlight w:val="none"/>
        </w:rPr>
        <w:t>法人的分支机构不允许参加投标</w:t>
      </w:r>
      <w:r>
        <w:rPr>
          <w:rFonts w:hint="eastAsia"/>
          <w:color w:val="auto"/>
          <w:szCs w:val="21"/>
          <w:highlight w:val="none"/>
          <w:lang w:eastAsia="zh-CN"/>
        </w:rPr>
        <w:t>；</w:t>
      </w:r>
      <w:r>
        <w:rPr>
          <w:rFonts w:hint="eastAsia"/>
          <w:color w:val="auto"/>
          <w:szCs w:val="21"/>
          <w:highlight w:val="none"/>
          <w:lang w:val="en-US" w:eastAsia="zh-CN"/>
        </w:rPr>
        <w:t>分公司参加投标的，分公司</w:t>
      </w:r>
      <w:r>
        <w:rPr>
          <w:rFonts w:hint="eastAsia"/>
          <w:color w:val="auto"/>
          <w:szCs w:val="21"/>
          <w:highlight w:val="none"/>
          <w:lang w:eastAsia="zh-CN"/>
        </w:rPr>
        <w:t xml:space="preserve">负责人签署的相关投标资料与本采购文件规定由法定代表人签署的文件材料具有同等效力。 </w:t>
      </w:r>
    </w:p>
    <w:p>
      <w:pPr>
        <w:tabs>
          <w:tab w:val="left" w:pos="0"/>
        </w:tabs>
        <w:spacing w:line="360" w:lineRule="auto"/>
        <w:ind w:firstLine="241" w:firstLineChars="100"/>
        <w:rPr>
          <w:rFonts w:hint="eastAsia"/>
          <w:b/>
          <w:color w:val="auto"/>
          <w:szCs w:val="21"/>
          <w:highlight w:val="none"/>
        </w:rPr>
      </w:pPr>
      <w:r>
        <w:rPr>
          <w:rFonts w:hint="eastAsia"/>
          <w:b/>
          <w:color w:val="auto"/>
          <w:szCs w:val="21"/>
          <w:highlight w:val="none"/>
          <w:lang w:val="en-US" w:eastAsia="zh-CN" w:bidi="ar"/>
        </w:rPr>
        <w:t>十四、</w:t>
      </w:r>
      <w:r>
        <w:rPr>
          <w:rFonts w:hint="eastAsia"/>
          <w:b/>
          <w:color w:val="auto"/>
          <w:szCs w:val="21"/>
          <w:highlight w:val="none"/>
          <w:lang w:bidi="ar"/>
        </w:rPr>
        <w:t>采购方式变更</w:t>
      </w:r>
    </w:p>
    <w:p>
      <w:pPr>
        <w:spacing w:line="360" w:lineRule="auto"/>
        <w:rPr>
          <w:rFonts w:hint="eastAsia"/>
          <w:color w:val="auto"/>
          <w:szCs w:val="21"/>
          <w:highlight w:val="none"/>
          <w:lang w:bidi="ar"/>
        </w:rPr>
      </w:pPr>
      <w:r>
        <w:rPr>
          <w:rFonts w:hint="eastAsia"/>
          <w:color w:val="auto"/>
          <w:szCs w:val="21"/>
          <w:highlight w:val="none"/>
          <w:lang w:bidi="ar"/>
        </w:rPr>
        <w:t xml:space="preserve">    政府采购的国内公开招标，采购响应截至时间至或评审期间，出现参与采购响应或者对采购文件作出实质性响应的供应商不足3家的情况，招标人将重新组织招标</w:t>
      </w:r>
    </w:p>
    <w:p>
      <w:pPr>
        <w:spacing w:line="360" w:lineRule="auto"/>
        <w:ind w:firstLine="482" w:firstLineChars="200"/>
        <w:rPr>
          <w:rFonts w:hint="eastAsia"/>
          <w:color w:val="auto"/>
          <w:szCs w:val="21"/>
          <w:highlight w:val="none"/>
        </w:rPr>
      </w:pPr>
      <w:r>
        <w:rPr>
          <w:rFonts w:hint="eastAsia"/>
          <w:b/>
          <w:color w:val="auto"/>
          <w:szCs w:val="21"/>
          <w:highlight w:val="none"/>
          <w:lang w:bidi="ar"/>
        </w:rPr>
        <w:t>十</w:t>
      </w:r>
      <w:r>
        <w:rPr>
          <w:rFonts w:hint="eastAsia"/>
          <w:b/>
          <w:color w:val="auto"/>
          <w:szCs w:val="21"/>
          <w:highlight w:val="none"/>
          <w:lang w:val="en-US" w:eastAsia="zh-CN" w:bidi="ar"/>
        </w:rPr>
        <w:t>五</w:t>
      </w:r>
      <w:r>
        <w:rPr>
          <w:rFonts w:hint="eastAsia"/>
          <w:b/>
          <w:color w:val="auto"/>
          <w:szCs w:val="21"/>
          <w:highlight w:val="none"/>
          <w:lang w:bidi="ar"/>
        </w:rPr>
        <w:t>、特别声明</w:t>
      </w:r>
    </w:p>
    <w:p>
      <w:pPr>
        <w:spacing w:line="360" w:lineRule="auto"/>
        <w:ind w:firstLine="480" w:firstLineChars="200"/>
        <w:rPr>
          <w:rFonts w:hint="eastAsia"/>
          <w:color w:val="auto"/>
          <w:szCs w:val="21"/>
          <w:highlight w:val="none"/>
        </w:rPr>
      </w:pPr>
      <w:r>
        <w:rPr>
          <w:rFonts w:hint="eastAsia"/>
          <w:color w:val="auto"/>
          <w:szCs w:val="21"/>
          <w:highlight w:val="none"/>
          <w:lang w:bidi="ar"/>
        </w:rPr>
        <w:t>价格是评标的重要因素之一，但最低报价不是中标的唯一依据。</w:t>
      </w:r>
    </w:p>
    <w:p>
      <w:pPr>
        <w:spacing w:line="360" w:lineRule="auto"/>
        <w:ind w:firstLine="482" w:firstLineChars="200"/>
        <w:rPr>
          <w:rFonts w:hint="eastAsia"/>
          <w:color w:val="auto"/>
          <w:szCs w:val="21"/>
          <w:highlight w:val="none"/>
        </w:rPr>
      </w:pPr>
      <w:r>
        <w:rPr>
          <w:rFonts w:hint="eastAsia"/>
          <w:b/>
          <w:color w:val="auto"/>
          <w:szCs w:val="21"/>
          <w:highlight w:val="none"/>
          <w:lang w:bidi="ar"/>
        </w:rPr>
        <w:t>*十</w:t>
      </w:r>
      <w:r>
        <w:rPr>
          <w:rFonts w:hint="eastAsia"/>
          <w:b/>
          <w:color w:val="auto"/>
          <w:szCs w:val="21"/>
          <w:highlight w:val="none"/>
          <w:lang w:val="en-US" w:eastAsia="zh-CN" w:bidi="ar"/>
        </w:rPr>
        <w:t>六</w:t>
      </w:r>
      <w:r>
        <w:rPr>
          <w:rFonts w:hint="eastAsia"/>
          <w:b/>
          <w:color w:val="auto"/>
          <w:szCs w:val="21"/>
          <w:highlight w:val="none"/>
          <w:lang w:bidi="ar"/>
        </w:rPr>
        <w:t>、预算价/最高限价</w:t>
      </w:r>
    </w:p>
    <w:p>
      <w:pPr>
        <w:spacing w:line="360" w:lineRule="auto"/>
        <w:ind w:firstLine="480" w:firstLineChars="200"/>
        <w:rPr>
          <w:rFonts w:hint="eastAsia"/>
          <w:color w:val="auto"/>
          <w:szCs w:val="21"/>
          <w:highlight w:val="none"/>
        </w:rPr>
      </w:pPr>
      <w:r>
        <w:rPr>
          <w:rFonts w:hint="eastAsia"/>
          <w:color w:val="auto"/>
          <w:szCs w:val="21"/>
          <w:highlight w:val="none"/>
          <w:lang w:bidi="ar"/>
        </w:rPr>
        <w:t>本项目设预算金额/</w:t>
      </w:r>
      <w:r>
        <w:rPr>
          <w:rFonts w:hint="eastAsia"/>
          <w:color w:val="auto"/>
          <w:szCs w:val="21"/>
          <w:highlight w:val="none"/>
        </w:rPr>
        <w:t>最高限价</w:t>
      </w:r>
      <w:r>
        <w:rPr>
          <w:rFonts w:hint="eastAsia"/>
          <w:color w:val="auto"/>
          <w:szCs w:val="21"/>
          <w:highlight w:val="none"/>
          <w:lang w:bidi="ar"/>
        </w:rPr>
        <w:t>：</w:t>
      </w:r>
      <w:r>
        <w:rPr>
          <w:rFonts w:hint="eastAsia"/>
          <w:color w:val="auto"/>
          <w:szCs w:val="21"/>
          <w:highlight w:val="none"/>
        </w:rPr>
        <w:t>5068500元</w:t>
      </w:r>
      <w:r>
        <w:rPr>
          <w:rFonts w:hint="eastAsia"/>
          <w:color w:val="auto"/>
          <w:szCs w:val="21"/>
          <w:highlight w:val="none"/>
          <w:lang w:bidi="ar"/>
        </w:rPr>
        <w:t>，投标价超过预算价/最高限价的作无效标处理。</w:t>
      </w:r>
    </w:p>
    <w:p>
      <w:pPr>
        <w:spacing w:line="360" w:lineRule="auto"/>
        <w:ind w:firstLine="482" w:firstLineChars="200"/>
        <w:rPr>
          <w:rFonts w:hint="eastAsia"/>
          <w:b/>
          <w:color w:val="auto"/>
          <w:szCs w:val="21"/>
          <w:highlight w:val="none"/>
        </w:rPr>
      </w:pPr>
      <w:r>
        <w:rPr>
          <w:rFonts w:hint="eastAsia"/>
          <w:b/>
          <w:color w:val="auto"/>
          <w:szCs w:val="21"/>
          <w:highlight w:val="none"/>
          <w:lang w:bidi="ar"/>
        </w:rPr>
        <w:t>十</w:t>
      </w:r>
      <w:r>
        <w:rPr>
          <w:rFonts w:hint="eastAsia"/>
          <w:b/>
          <w:color w:val="auto"/>
          <w:szCs w:val="21"/>
          <w:highlight w:val="none"/>
          <w:lang w:val="en-US" w:eastAsia="zh-CN" w:bidi="ar"/>
        </w:rPr>
        <w:t>七</w:t>
      </w:r>
      <w:r>
        <w:rPr>
          <w:rFonts w:hint="eastAsia"/>
          <w:b/>
          <w:color w:val="auto"/>
          <w:szCs w:val="21"/>
          <w:highlight w:val="none"/>
          <w:lang w:bidi="ar"/>
        </w:rPr>
        <w:t>、中标服务费</w:t>
      </w:r>
    </w:p>
    <w:p>
      <w:pPr>
        <w:spacing w:line="360" w:lineRule="auto"/>
        <w:ind w:firstLine="480" w:firstLineChars="200"/>
        <w:rPr>
          <w:rFonts w:hint="eastAsia"/>
          <w:color w:val="auto"/>
          <w:szCs w:val="21"/>
          <w:highlight w:val="none"/>
          <w:lang w:bidi="ar"/>
        </w:rPr>
      </w:pPr>
      <w:r>
        <w:rPr>
          <w:rFonts w:hint="eastAsia"/>
          <w:color w:val="auto"/>
          <w:szCs w:val="21"/>
          <w:highlight w:val="none"/>
          <w:lang w:bidi="ar"/>
        </w:rPr>
        <w:t>代理机构参照原国家发改委发改办价格[2003]857号通知和原国家计委计价格[2002]1980号文件中服务费率，按照预算金额向中标人收取中标服务费。由中标单位支付给浙江中基正采管理咨询有限公司。</w:t>
      </w:r>
    </w:p>
    <w:p>
      <w:pPr>
        <w:spacing w:line="360" w:lineRule="auto"/>
        <w:rPr>
          <w:rFonts w:hint="eastAsia"/>
          <w:color w:val="auto"/>
          <w:szCs w:val="21"/>
          <w:highlight w:val="none"/>
        </w:rPr>
      </w:pPr>
      <w:r>
        <w:rPr>
          <w:rFonts w:hint="eastAsia"/>
          <w:color w:val="auto"/>
          <w:szCs w:val="21"/>
          <w:highlight w:val="none"/>
        </w:rPr>
        <w:t>账户名称：浙江中基正采管理咨询有限公司</w:t>
      </w:r>
    </w:p>
    <w:p>
      <w:pPr>
        <w:spacing w:line="360" w:lineRule="auto"/>
        <w:rPr>
          <w:rFonts w:hint="eastAsia"/>
          <w:color w:val="auto"/>
          <w:szCs w:val="21"/>
          <w:highlight w:val="none"/>
        </w:rPr>
      </w:pPr>
      <w:r>
        <w:rPr>
          <w:rFonts w:hint="eastAsia"/>
          <w:color w:val="auto"/>
          <w:szCs w:val="21"/>
          <w:highlight w:val="none"/>
        </w:rPr>
        <w:t>账   号：30010122001229488</w:t>
      </w:r>
    </w:p>
    <w:p>
      <w:pPr>
        <w:spacing w:line="360" w:lineRule="auto"/>
        <w:rPr>
          <w:rFonts w:hint="eastAsia"/>
          <w:color w:val="auto"/>
          <w:szCs w:val="21"/>
          <w:highlight w:val="none"/>
        </w:rPr>
      </w:pPr>
      <w:r>
        <w:rPr>
          <w:rFonts w:hint="eastAsia"/>
          <w:color w:val="auto"/>
          <w:szCs w:val="21"/>
          <w:highlight w:val="none"/>
        </w:rPr>
        <w:t>开户银行：宁波银行股份有限公司鄞州中心区支行</w:t>
      </w:r>
    </w:p>
    <w:p>
      <w:pPr>
        <w:spacing w:line="360" w:lineRule="auto"/>
        <w:rPr>
          <w:rFonts w:hint="eastAsia"/>
          <w:color w:val="auto"/>
          <w:szCs w:val="21"/>
          <w:highlight w:val="none"/>
        </w:rPr>
      </w:pPr>
      <w:r>
        <w:rPr>
          <w:rFonts w:hint="eastAsia"/>
          <w:color w:val="auto"/>
          <w:szCs w:val="21"/>
          <w:highlight w:val="none"/>
        </w:rPr>
        <w:t>银行行号：313332082060</w:t>
      </w:r>
    </w:p>
    <w:p>
      <w:pPr>
        <w:spacing w:line="360" w:lineRule="auto"/>
        <w:ind w:firstLine="482" w:firstLineChars="200"/>
        <w:rPr>
          <w:rFonts w:hint="eastAsia"/>
          <w:b/>
          <w:color w:val="auto"/>
          <w:szCs w:val="21"/>
          <w:highlight w:val="none"/>
        </w:rPr>
      </w:pPr>
      <w:r>
        <w:rPr>
          <w:rFonts w:hint="eastAsia"/>
          <w:b/>
          <w:color w:val="auto"/>
          <w:szCs w:val="21"/>
          <w:highlight w:val="none"/>
          <w:lang w:bidi="ar"/>
        </w:rPr>
        <w:t>十</w:t>
      </w:r>
      <w:r>
        <w:rPr>
          <w:rFonts w:hint="eastAsia"/>
          <w:b/>
          <w:color w:val="auto"/>
          <w:szCs w:val="21"/>
          <w:highlight w:val="none"/>
          <w:lang w:val="en-US" w:eastAsia="zh-CN" w:bidi="ar"/>
        </w:rPr>
        <w:t>八</w:t>
      </w:r>
      <w:r>
        <w:rPr>
          <w:rFonts w:hint="eastAsia"/>
          <w:b/>
          <w:color w:val="auto"/>
          <w:szCs w:val="21"/>
          <w:highlight w:val="none"/>
          <w:lang w:bidi="ar"/>
        </w:rPr>
        <w:t>、特别说明</w:t>
      </w:r>
    </w:p>
    <w:p>
      <w:pPr>
        <w:autoSpaceDE w:val="0"/>
        <w:autoSpaceDN w:val="0"/>
        <w:adjustRightInd w:val="0"/>
        <w:spacing w:line="360" w:lineRule="auto"/>
        <w:ind w:firstLine="480" w:firstLineChars="200"/>
        <w:rPr>
          <w:rFonts w:hint="eastAsia"/>
          <w:color w:val="auto"/>
          <w:szCs w:val="21"/>
          <w:highlight w:val="none"/>
        </w:rPr>
      </w:pPr>
      <w:r>
        <w:rPr>
          <w:rFonts w:hint="eastAsia"/>
          <w:color w:val="auto"/>
          <w:szCs w:val="21"/>
          <w:highlight w:val="none"/>
          <w:lang w:bidi="ar"/>
        </w:rPr>
        <w:t>1、本文件未及事项，在签订合同时供需及使用方友好商定。</w:t>
      </w:r>
    </w:p>
    <w:p>
      <w:pPr>
        <w:autoSpaceDE w:val="0"/>
        <w:autoSpaceDN w:val="0"/>
        <w:adjustRightInd w:val="0"/>
        <w:spacing w:line="360" w:lineRule="auto"/>
        <w:ind w:firstLine="480" w:firstLineChars="200"/>
        <w:rPr>
          <w:rFonts w:hint="eastAsia"/>
          <w:color w:val="auto"/>
          <w:szCs w:val="21"/>
          <w:highlight w:val="none"/>
        </w:rPr>
      </w:pPr>
      <w:r>
        <w:rPr>
          <w:rFonts w:hint="eastAsia"/>
          <w:color w:val="auto"/>
          <w:szCs w:val="21"/>
          <w:highlight w:val="none"/>
          <w:lang w:bidi="ar"/>
        </w:rPr>
        <w:t>2、本招标文件解释权归招标方。</w:t>
      </w:r>
    </w:p>
    <w:p>
      <w:pPr>
        <w:pStyle w:val="5"/>
        <w:spacing w:line="360" w:lineRule="auto"/>
        <w:ind w:firstLine="420" w:firstLineChars="200"/>
        <w:rPr>
          <w:rFonts w:hint="eastAsia" w:ascii="宋体"/>
          <w:b w:val="0"/>
          <w:color w:val="auto"/>
          <w:sz w:val="21"/>
          <w:szCs w:val="21"/>
          <w:highlight w:val="none"/>
          <w:lang w:bidi="ar"/>
        </w:rPr>
      </w:pPr>
      <w:r>
        <w:rPr>
          <w:rFonts w:hint="eastAsia" w:ascii="宋体"/>
          <w:b w:val="0"/>
          <w:color w:val="auto"/>
          <w:sz w:val="21"/>
          <w:szCs w:val="21"/>
          <w:highlight w:val="none"/>
          <w:lang w:bidi="ar"/>
        </w:rPr>
        <w:t>*3、核心产品提供相同品牌产品且通过资格审查、符合性审查的不同</w:t>
      </w:r>
      <w:r>
        <w:rPr>
          <w:rFonts w:hint="eastAsia" w:ascii="宋体"/>
          <w:b w:val="0"/>
          <w:color w:val="auto"/>
          <w:sz w:val="21"/>
          <w:szCs w:val="21"/>
          <w:highlight w:val="none"/>
          <w:lang w:eastAsia="zh-CN" w:bidi="ar"/>
        </w:rPr>
        <w:t>投标供应商</w:t>
      </w:r>
      <w:r>
        <w:rPr>
          <w:rFonts w:hint="eastAsia" w:ascii="宋体"/>
          <w:b w:val="0"/>
          <w:color w:val="auto"/>
          <w:sz w:val="21"/>
          <w:szCs w:val="21"/>
          <w:highlight w:val="none"/>
          <w:lang w:bidi="ar"/>
        </w:rPr>
        <w:t>参加同一合同项下投标的，按一家</w:t>
      </w:r>
      <w:r>
        <w:rPr>
          <w:rFonts w:hint="eastAsia" w:ascii="宋体"/>
          <w:b w:val="0"/>
          <w:color w:val="auto"/>
          <w:sz w:val="21"/>
          <w:szCs w:val="21"/>
          <w:highlight w:val="none"/>
          <w:lang w:eastAsia="zh-CN" w:bidi="ar"/>
        </w:rPr>
        <w:t>投标供应商</w:t>
      </w:r>
      <w:r>
        <w:rPr>
          <w:rFonts w:hint="eastAsia" w:ascii="宋体"/>
          <w:b w:val="0"/>
          <w:color w:val="auto"/>
          <w:sz w:val="21"/>
          <w:szCs w:val="21"/>
          <w:highlight w:val="none"/>
          <w:lang w:bidi="ar"/>
        </w:rPr>
        <w:t>计算。</w:t>
      </w:r>
    </w:p>
    <w:p>
      <w:pPr>
        <w:tabs>
          <w:tab w:val="left" w:pos="518"/>
        </w:tabs>
        <w:adjustRightInd w:val="0"/>
        <w:snapToGrid w:val="0"/>
        <w:spacing w:line="360" w:lineRule="auto"/>
        <w:ind w:firstLine="480" w:firstLineChars="200"/>
        <w:rPr>
          <w:rFonts w:hint="eastAsia"/>
          <w:color w:val="auto"/>
          <w:szCs w:val="21"/>
          <w:highlight w:val="none"/>
          <w:lang w:bidi="ar"/>
        </w:rPr>
      </w:pPr>
      <w:r>
        <w:rPr>
          <w:rFonts w:hint="eastAsia"/>
          <w:color w:val="auto"/>
          <w:szCs w:val="21"/>
          <w:highlight w:val="none"/>
          <w:lang w:bidi="ar"/>
        </w:rPr>
        <w:t>3.1若采用综合评分法进行评审的，评审后得分最高的同品牌</w:t>
      </w:r>
      <w:r>
        <w:rPr>
          <w:rFonts w:hint="eastAsia"/>
          <w:color w:val="auto"/>
          <w:szCs w:val="21"/>
          <w:highlight w:val="none"/>
          <w:lang w:eastAsia="zh-CN" w:bidi="ar"/>
        </w:rPr>
        <w:t>投标供应商</w:t>
      </w:r>
      <w:r>
        <w:rPr>
          <w:rFonts w:hint="eastAsia"/>
          <w:color w:val="auto"/>
          <w:szCs w:val="21"/>
          <w:highlight w:val="none"/>
          <w:lang w:bidi="ar"/>
        </w:rPr>
        <w:t>获得中标人推荐资格；评审得分相同的，由评标委员会按照采购文件规定的方式确定一个</w:t>
      </w:r>
      <w:r>
        <w:rPr>
          <w:rFonts w:hint="eastAsia"/>
          <w:color w:val="auto"/>
          <w:szCs w:val="21"/>
          <w:highlight w:val="none"/>
          <w:lang w:eastAsia="zh-CN" w:bidi="ar"/>
        </w:rPr>
        <w:t>投标供应商</w:t>
      </w:r>
      <w:r>
        <w:rPr>
          <w:rFonts w:hint="eastAsia"/>
          <w:color w:val="auto"/>
          <w:szCs w:val="21"/>
          <w:highlight w:val="none"/>
          <w:lang w:bidi="ar"/>
        </w:rPr>
        <w:t>获得中标人的推荐资格，采购文件未规定的采取随机抽取的方式确定，其他同品牌</w:t>
      </w:r>
      <w:r>
        <w:rPr>
          <w:rFonts w:hint="eastAsia"/>
          <w:color w:val="auto"/>
          <w:szCs w:val="21"/>
          <w:highlight w:val="none"/>
          <w:lang w:eastAsia="zh-CN" w:bidi="ar"/>
        </w:rPr>
        <w:t>投标供应商</w:t>
      </w:r>
      <w:r>
        <w:rPr>
          <w:rFonts w:hint="eastAsia"/>
          <w:color w:val="auto"/>
          <w:szCs w:val="21"/>
          <w:highlight w:val="none"/>
          <w:lang w:bidi="ar"/>
        </w:rPr>
        <w:t>不作为中标候选人。</w:t>
      </w:r>
    </w:p>
    <w:p>
      <w:pPr>
        <w:tabs>
          <w:tab w:val="left" w:pos="518"/>
        </w:tabs>
        <w:adjustRightInd w:val="0"/>
        <w:snapToGrid w:val="0"/>
        <w:spacing w:line="360" w:lineRule="auto"/>
        <w:ind w:firstLine="480" w:firstLineChars="200"/>
        <w:rPr>
          <w:rFonts w:hint="eastAsia"/>
          <w:color w:val="auto"/>
          <w:szCs w:val="21"/>
          <w:highlight w:val="none"/>
          <w:lang w:bidi="ar"/>
        </w:rPr>
      </w:pPr>
      <w:r>
        <w:rPr>
          <w:rFonts w:hint="eastAsia"/>
          <w:color w:val="auto"/>
          <w:szCs w:val="21"/>
          <w:highlight w:val="none"/>
          <w:lang w:bidi="ar"/>
        </w:rPr>
        <w:t>3.2若采用最低评标价法进行评审的，以报价最低的</w:t>
      </w:r>
      <w:r>
        <w:rPr>
          <w:rFonts w:hint="eastAsia"/>
          <w:color w:val="auto"/>
          <w:szCs w:val="21"/>
          <w:highlight w:val="none"/>
          <w:lang w:eastAsia="zh-CN" w:bidi="ar"/>
        </w:rPr>
        <w:t>投标供应商</w:t>
      </w:r>
      <w:r>
        <w:rPr>
          <w:rFonts w:hint="eastAsia"/>
          <w:color w:val="auto"/>
          <w:szCs w:val="21"/>
          <w:highlight w:val="none"/>
          <w:lang w:bidi="ar"/>
        </w:rPr>
        <w:t>参加评审，报价相同的，由评标委员会按照采购文件规定的方式确定一个</w:t>
      </w:r>
      <w:r>
        <w:rPr>
          <w:rFonts w:hint="eastAsia"/>
          <w:color w:val="auto"/>
          <w:szCs w:val="21"/>
          <w:highlight w:val="none"/>
          <w:lang w:eastAsia="zh-CN" w:bidi="ar"/>
        </w:rPr>
        <w:t>投标供应商</w:t>
      </w:r>
      <w:r>
        <w:rPr>
          <w:rFonts w:hint="eastAsia"/>
          <w:color w:val="auto"/>
          <w:szCs w:val="21"/>
          <w:highlight w:val="none"/>
          <w:lang w:bidi="ar"/>
        </w:rPr>
        <w:t>获得中标人的推荐资格，采购文件未规定的采取随机抽取的方式确定，其他投标无效。</w:t>
      </w:r>
    </w:p>
    <w:p>
      <w:pPr>
        <w:tabs>
          <w:tab w:val="left" w:pos="518"/>
        </w:tabs>
        <w:adjustRightInd w:val="0"/>
        <w:snapToGrid w:val="0"/>
        <w:spacing w:line="360" w:lineRule="auto"/>
        <w:ind w:firstLine="480" w:firstLineChars="200"/>
        <w:rPr>
          <w:rFonts w:hint="eastAsia"/>
          <w:color w:val="auto"/>
          <w:szCs w:val="21"/>
          <w:highlight w:val="none"/>
          <w:lang w:bidi="ar"/>
        </w:rPr>
      </w:pPr>
      <w:r>
        <w:rPr>
          <w:rFonts w:hint="eastAsia"/>
          <w:color w:val="auto"/>
          <w:szCs w:val="21"/>
          <w:highlight w:val="none"/>
          <w:lang w:bidi="ar"/>
        </w:rPr>
        <w:t xml:space="preserve"> 3.3非单一产品采购项目，</w:t>
      </w:r>
      <w:r>
        <w:rPr>
          <w:rFonts w:hint="eastAsia"/>
          <w:color w:val="auto"/>
          <w:szCs w:val="21"/>
          <w:highlight w:val="none"/>
          <w:lang w:eastAsia="zh-CN" w:bidi="ar"/>
        </w:rPr>
        <w:t>投标供应商</w:t>
      </w:r>
      <w:r>
        <w:rPr>
          <w:rFonts w:hint="eastAsia"/>
          <w:color w:val="auto"/>
          <w:szCs w:val="21"/>
          <w:highlight w:val="none"/>
          <w:lang w:bidi="ar"/>
        </w:rPr>
        <w:t>使用相同制造产品（相同制造产品是指采购文件中指定的“核心产品”）作为其项目的一部分，按一家</w:t>
      </w:r>
      <w:r>
        <w:rPr>
          <w:rFonts w:hint="eastAsia"/>
          <w:color w:val="auto"/>
          <w:szCs w:val="21"/>
          <w:highlight w:val="none"/>
          <w:lang w:eastAsia="zh-CN" w:bidi="ar"/>
        </w:rPr>
        <w:t>投标供应商</w:t>
      </w:r>
      <w:r>
        <w:rPr>
          <w:rFonts w:hint="eastAsia"/>
          <w:color w:val="auto"/>
          <w:szCs w:val="21"/>
          <w:highlight w:val="none"/>
          <w:lang w:bidi="ar"/>
        </w:rPr>
        <w:t>认定。</w:t>
      </w:r>
    </w:p>
    <w:p>
      <w:pPr>
        <w:tabs>
          <w:tab w:val="left" w:pos="518"/>
        </w:tabs>
        <w:adjustRightInd w:val="0"/>
        <w:snapToGrid w:val="0"/>
        <w:spacing w:line="360" w:lineRule="auto"/>
        <w:ind w:firstLine="480" w:firstLineChars="200"/>
        <w:rPr>
          <w:rFonts w:hint="eastAsia"/>
          <w:color w:val="auto"/>
          <w:szCs w:val="21"/>
          <w:highlight w:val="none"/>
          <w:lang w:bidi="ar"/>
        </w:rPr>
      </w:pPr>
      <w:r>
        <w:rPr>
          <w:rFonts w:hint="eastAsia"/>
          <w:color w:val="auto"/>
          <w:szCs w:val="21"/>
          <w:highlight w:val="none"/>
          <w:lang w:bidi="ar"/>
        </w:rPr>
        <w:t>4、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审委员会集体决定，并以书面记录评审委员会的决定理由。</w:t>
      </w:r>
    </w:p>
    <w:p>
      <w:pPr>
        <w:tabs>
          <w:tab w:val="left" w:pos="518"/>
        </w:tabs>
        <w:adjustRightInd w:val="0"/>
        <w:snapToGrid w:val="0"/>
        <w:spacing w:line="360" w:lineRule="auto"/>
        <w:ind w:firstLine="480" w:firstLineChars="200"/>
        <w:rPr>
          <w:rFonts w:hint="eastAsia"/>
          <w:color w:val="auto"/>
          <w:szCs w:val="21"/>
          <w:highlight w:val="none"/>
          <w:lang w:bidi="ar"/>
        </w:rPr>
      </w:pPr>
      <w:r>
        <w:rPr>
          <w:rFonts w:hint="eastAsia"/>
          <w:color w:val="auto"/>
          <w:szCs w:val="21"/>
          <w:highlight w:val="none"/>
          <w:lang w:bidi="ar"/>
        </w:rPr>
        <w:t>5、本文件未及事项，在签订合同时供需及使用方友好商定。</w:t>
      </w:r>
    </w:p>
    <w:p>
      <w:pPr>
        <w:tabs>
          <w:tab w:val="left" w:pos="518"/>
        </w:tabs>
        <w:adjustRightInd w:val="0"/>
        <w:snapToGrid w:val="0"/>
        <w:spacing w:line="360" w:lineRule="auto"/>
        <w:ind w:firstLine="480" w:firstLineChars="200"/>
        <w:rPr>
          <w:rFonts w:hint="eastAsia"/>
          <w:color w:val="auto"/>
          <w:szCs w:val="21"/>
          <w:highlight w:val="none"/>
          <w:lang w:bidi="ar"/>
        </w:rPr>
      </w:pPr>
      <w:r>
        <w:rPr>
          <w:rFonts w:hint="eastAsia"/>
          <w:color w:val="auto"/>
          <w:szCs w:val="21"/>
          <w:highlight w:val="none"/>
          <w:lang w:bidi="ar"/>
        </w:rPr>
        <w:t>6、本招标文件解释权归招标方。</w:t>
      </w:r>
    </w:p>
    <w:p>
      <w:pPr>
        <w:tabs>
          <w:tab w:val="left" w:pos="518"/>
        </w:tabs>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7、政府采购活动中有关中小企业的相关规定（采购进口产品的项目不适用）</w:t>
      </w:r>
    </w:p>
    <w:p>
      <w:pPr>
        <w:pStyle w:val="2"/>
        <w:numPr>
          <w:numId w:val="0"/>
        </w:numPr>
        <w:spacing w:line="360" w:lineRule="auto"/>
        <w:ind w:leftChars="0" w:firstLine="480" w:firstLineChars="200"/>
        <w:rPr>
          <w:rFonts w:hint="eastAsia" w:ascii="宋体" w:hAnsi="宋体" w:eastAsia="宋体" w:cs="宋体"/>
          <w:kern w:val="2"/>
          <w:sz w:val="24"/>
          <w:szCs w:val="24"/>
          <w:vertAlign w:val="baseline"/>
          <w:lang w:val="en-US" w:eastAsia="zh-CN" w:bidi="ar-SA"/>
        </w:rPr>
      </w:pPr>
      <w:bookmarkStart w:id="2" w:name="_Toc20087"/>
      <w:r>
        <w:rPr>
          <w:rFonts w:hint="eastAsia" w:ascii="宋体" w:hAnsi="宋体" w:eastAsia="宋体" w:cs="宋体"/>
          <w:color w:val="auto"/>
          <w:sz w:val="24"/>
          <w:szCs w:val="24"/>
          <w:highlight w:val="none"/>
        </w:rPr>
        <w:t>7.1</w:t>
      </w:r>
      <w:r>
        <w:rPr>
          <w:rFonts w:hint="eastAsia" w:ascii="宋体" w:hAnsi="宋体" w:eastAsia="宋体" w:cs="宋体"/>
          <w:kern w:val="2"/>
          <w:sz w:val="24"/>
          <w:szCs w:val="24"/>
          <w:vertAlign w:val="baseline"/>
          <w:lang w:val="en-US" w:eastAsia="zh-CN" w:bidi="ar-SA"/>
        </w:rPr>
        <w:t xml:space="preserve">本项目 </w:t>
      </w:r>
      <w:r>
        <w:rPr>
          <w:rFonts w:hint="eastAsia" w:ascii="宋体" w:hAnsi="宋体" w:eastAsia="宋体" w:cs="宋体"/>
          <w:b/>
          <w:bCs/>
          <w:i w:val="0"/>
          <w:iCs w:val="0"/>
          <w:color w:val="auto"/>
          <w:kern w:val="2"/>
          <w:sz w:val="24"/>
          <w:szCs w:val="24"/>
          <w:u w:val="single"/>
          <w:vertAlign w:val="baseline"/>
          <w:lang w:val="en-US" w:eastAsia="zh-CN" w:bidi="ar-SA"/>
        </w:rPr>
        <w:t xml:space="preserve"> 非 </w:t>
      </w:r>
      <w:r>
        <w:rPr>
          <w:rFonts w:hint="eastAsia" w:ascii="宋体" w:hAnsi="宋体" w:eastAsia="宋体" w:cs="宋体"/>
          <w:kern w:val="2"/>
          <w:sz w:val="24"/>
          <w:szCs w:val="24"/>
          <w:vertAlign w:val="baseline"/>
          <w:lang w:val="en-US" w:eastAsia="zh-CN" w:bidi="ar-SA"/>
        </w:rPr>
        <w:t>专门面向中小企业采购。</w:t>
      </w:r>
    </w:p>
    <w:p>
      <w:pPr>
        <w:pStyle w:val="2"/>
        <w:numPr>
          <w:ilvl w:val="0"/>
          <w:numId w:val="0"/>
        </w:numPr>
        <w:spacing w:line="360" w:lineRule="auto"/>
        <w:ind w:firstLine="480" w:firstLineChars="200"/>
        <w:rPr>
          <w:rFonts w:hint="eastAsia" w:ascii="宋体" w:hAnsi="宋体" w:eastAsia="宋体" w:cs="宋体"/>
          <w:kern w:val="2"/>
          <w:sz w:val="24"/>
          <w:szCs w:val="24"/>
          <w:u w:val="none"/>
          <w:vertAlign w:val="baseline"/>
          <w:lang w:val="en-US" w:eastAsia="zh-CN" w:bidi="ar-SA"/>
        </w:rPr>
      </w:pPr>
      <w:r>
        <w:rPr>
          <w:rFonts w:hint="eastAsia" w:ascii="宋体" w:hAnsi="宋体" w:eastAsia="宋体" w:cs="宋体"/>
          <w:kern w:val="2"/>
          <w:sz w:val="24"/>
          <w:szCs w:val="24"/>
          <w:u w:val="none"/>
          <w:vertAlign w:val="baseline"/>
          <w:lang w:val="en-US" w:eastAsia="zh-CN" w:bidi="ar-SA"/>
        </w:rPr>
        <w:t xml:space="preserve">7.2、本项目对应的中小企业划分标准所属行业： </w:t>
      </w:r>
      <w:r>
        <w:rPr>
          <w:rFonts w:hint="eastAsia" w:ascii="宋体" w:hAnsi="宋体" w:eastAsia="宋体" w:cs="宋体"/>
          <w:color w:val="auto"/>
          <w:sz w:val="24"/>
          <w:szCs w:val="24"/>
          <w:highlight w:val="none"/>
          <w:u w:val="single"/>
          <w:lang w:val="en-US" w:eastAsia="zh-CN"/>
        </w:rPr>
        <w:t>软件和信息技术服务业</w:t>
      </w:r>
      <w:r>
        <w:rPr>
          <w:rFonts w:hint="eastAsia" w:ascii="宋体" w:hAnsi="宋体" w:eastAsia="宋体" w:cs="宋体"/>
          <w:kern w:val="2"/>
          <w:sz w:val="24"/>
          <w:szCs w:val="24"/>
          <w:u w:val="single"/>
          <w:vertAlign w:val="baseline"/>
          <w:lang w:val="en-US" w:eastAsia="zh-CN" w:bidi="ar-SA"/>
        </w:rPr>
        <w:t xml:space="preserve"> </w:t>
      </w:r>
      <w:r>
        <w:rPr>
          <w:rFonts w:hint="eastAsia" w:ascii="宋体" w:hAnsi="宋体" w:eastAsia="宋体" w:cs="宋体"/>
          <w:kern w:val="2"/>
          <w:sz w:val="24"/>
          <w:szCs w:val="24"/>
          <w:u w:val="none"/>
          <w:vertAlign w:val="baseline"/>
          <w:lang w:val="en-US" w:eastAsia="zh-CN" w:bidi="ar-SA"/>
        </w:rPr>
        <w:t xml:space="preserve"> 。 </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lang w:val="en-US" w:eastAsia="zh-CN"/>
        </w:rPr>
        <w:t>7.3、小微企业是指</w:t>
      </w:r>
      <w:r>
        <w:rPr>
          <w:rFonts w:hint="eastAsia" w:ascii="宋体" w:hAnsi="宋体" w:eastAsia="宋体" w:cs="宋体"/>
          <w:sz w:val="24"/>
          <w:szCs w:val="24"/>
          <w:highlight w:val="none"/>
        </w:rPr>
        <w:t>中华人民共和国境内依法设立，依据国务院批准的中小企业划分标准确定的小型企业和微型企业，但与大企业的负责人为同一人，或者与大企业存在直接控股、管理关系的除外。</w:t>
      </w:r>
      <w:bookmarkStart w:id="50" w:name="_GoBack"/>
      <w:bookmarkEnd w:id="50"/>
    </w:p>
    <w:p>
      <w:pPr>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pPr>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国务院批准的中小企业划分标准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vertAlign w:val="baseline"/>
          <w:lang w:val="en-US" w:eastAsia="zh-CN"/>
        </w:rPr>
        <w:t>具体见工信部联企业[2011]300号。</w:t>
      </w:r>
    </w:p>
    <w:p>
      <w:p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在政府采购活动中，供应商提供的货物、工程或者服务符合下列情形</w:t>
      </w:r>
      <w:r>
        <w:rPr>
          <w:rFonts w:hint="eastAsia" w:ascii="宋体" w:hAnsi="宋体" w:eastAsia="宋体" w:cs="宋体"/>
          <w:sz w:val="24"/>
          <w:szCs w:val="24"/>
          <w:highlight w:val="none"/>
          <w:lang w:val="en-US" w:eastAsia="zh-CN"/>
        </w:rPr>
        <w:t>的，可</w:t>
      </w:r>
      <w:r>
        <w:rPr>
          <w:rFonts w:hint="eastAsia" w:ascii="宋体" w:hAnsi="宋体" w:eastAsia="宋体" w:cs="宋体"/>
          <w:sz w:val="24"/>
          <w:szCs w:val="24"/>
          <w:highlight w:val="none"/>
          <w:vertAlign w:val="baseline"/>
          <w:lang w:val="en-US" w:eastAsia="zh-CN"/>
        </w:rPr>
        <w:t>享受小型、微型企业（以下简称小微企业）的价格扣除</w:t>
      </w:r>
      <w:r>
        <w:rPr>
          <w:rFonts w:hint="eastAsia" w:ascii="宋体" w:hAnsi="宋体" w:eastAsia="宋体" w:cs="宋体"/>
          <w:sz w:val="24"/>
          <w:szCs w:val="24"/>
          <w:highlight w:val="none"/>
        </w:rPr>
        <w:t>：</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在货物采购项目中，货物由小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企业制造，即货物由小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企业生产且使用该小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企业商号或者注册商标；</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在工程采购项目中，工程由小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企业承建，即工程施工单位为小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w:t>
      </w:r>
    </w:p>
    <w:p>
      <w:p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在服务采购项目中，服务由小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企业承接，即提供服务的人员为小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rPr>
        <w:t>企业依照《中华人民共和国劳动合同法》订立劳动合同的从业人员。</w:t>
      </w:r>
    </w:p>
    <w:p>
      <w:p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以联合体形式参加政府采购活动，联合体各方均为小微企业的，联合体视同小微企业。</w:t>
      </w:r>
    </w:p>
    <w:p>
      <w:pPr>
        <w:spacing w:line="36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在货物采购项目中，供应商提供的货物既有中小企业制造货物，也有大型企业制造货物的，不享受的</w:t>
      </w:r>
      <w:r>
        <w:rPr>
          <w:rFonts w:hint="eastAsia" w:ascii="宋体" w:hAnsi="宋体" w:eastAsia="宋体" w:cs="宋体"/>
          <w:sz w:val="24"/>
          <w:szCs w:val="24"/>
          <w:highlight w:val="none"/>
          <w:lang w:val="en-US" w:eastAsia="zh-CN"/>
        </w:rPr>
        <w:t>小微企业价格扣除</w:t>
      </w:r>
      <w:r>
        <w:rPr>
          <w:rFonts w:hint="eastAsia" w:ascii="宋体" w:hAnsi="宋体" w:eastAsia="宋体" w:cs="宋体"/>
          <w:sz w:val="24"/>
          <w:szCs w:val="24"/>
          <w:highlight w:val="none"/>
          <w:vertAlign w:val="baseline"/>
          <w:lang w:val="en-US" w:eastAsia="zh-CN"/>
        </w:rPr>
        <w:t>。</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lang w:val="en-US" w:eastAsia="zh-CN"/>
        </w:rPr>
        <w:t>7.6、本项目对符合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政府采购促进中小企业发展管理办法</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（财库﹝2020﹞46号）</w:t>
      </w:r>
      <w:r>
        <w:rPr>
          <w:rFonts w:hint="eastAsia" w:ascii="宋体" w:hAnsi="宋体" w:eastAsia="宋体" w:cs="宋体"/>
          <w:sz w:val="24"/>
          <w:szCs w:val="24"/>
          <w:highlight w:val="none"/>
          <w:vertAlign w:val="baseline"/>
          <w:lang w:val="en-US" w:eastAsia="zh-CN"/>
        </w:rPr>
        <w:t>规定的</w:t>
      </w:r>
      <w:r>
        <w:rPr>
          <w:rFonts w:hint="eastAsia" w:ascii="宋体" w:hAnsi="宋体" w:eastAsia="宋体" w:cs="宋体"/>
          <w:sz w:val="24"/>
          <w:szCs w:val="24"/>
          <w:highlight w:val="none"/>
        </w:rPr>
        <w:t>小微企业报价给予 6%（工程项目为 3%）的扣除，用扣除后的价格参加评审。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numPr>
          <w:ilvl w:val="0"/>
          <w:numId w:val="0"/>
        </w:numPr>
        <w:spacing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7.7、小微企业应按照招标文件格式要求提供《中小企业声明函》。</w:t>
      </w:r>
    </w:p>
    <w:p>
      <w:pPr>
        <w:numPr>
          <w:ilvl w:val="0"/>
          <w:numId w:val="0"/>
        </w:numPr>
        <w:spacing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numPr>
          <w:ilvl w:val="0"/>
          <w:numId w:val="0"/>
        </w:numPr>
        <w:spacing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7.9、根据《关于促进残疾人就业政府采购政策的通知》（财库[2017]141号）规定，在政府采购活动中，残疾人福利性单位视同小型、微型企业。残疾人福利性单位参加政府采购活动时，提供《残疾人福利性单位声明函》。</w:t>
      </w:r>
    </w:p>
    <w:p>
      <w:pPr>
        <w:numPr>
          <w:ilvl w:val="0"/>
          <w:numId w:val="0"/>
        </w:numPr>
        <w:spacing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7.10、按</w:t>
      </w:r>
      <w:r>
        <w:rPr>
          <w:rFonts w:hint="eastAsia" w:ascii="宋体" w:hAnsi="宋体" w:eastAsia="宋体" w:cs="宋体"/>
          <w:sz w:val="24"/>
          <w:szCs w:val="24"/>
          <w:highlight w:val="none"/>
        </w:rPr>
        <w:t>规定享受扶持政策获得政府采购合同的，小微企业不得将合同分包给大中型企业，中型企业不得将合同分包给大型企业</w:t>
      </w:r>
      <w:r>
        <w:rPr>
          <w:rFonts w:hint="eastAsia" w:ascii="宋体" w:hAnsi="宋体" w:eastAsia="宋体" w:cs="宋体"/>
          <w:sz w:val="24"/>
          <w:szCs w:val="24"/>
          <w:highlight w:val="none"/>
          <w:lang w:eastAsia="zh-CN"/>
        </w:rPr>
        <w:t>。</w:t>
      </w:r>
    </w:p>
    <w:p>
      <w:pPr>
        <w:pStyle w:val="12"/>
        <w:numPr>
          <w:ilvl w:val="0"/>
          <w:numId w:val="0"/>
        </w:numPr>
        <w:spacing w:line="360" w:lineRule="auto"/>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7.11、</w:t>
      </w:r>
      <w:r>
        <w:rPr>
          <w:rFonts w:hint="eastAsia" w:ascii="宋体" w:hAnsi="宋体" w:eastAsia="宋体" w:cs="宋体"/>
          <w:sz w:val="24"/>
          <w:szCs w:val="24"/>
          <w:highlight w:val="none"/>
        </w:rPr>
        <w:t>供应商按照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政府采购促进中小企业发展管理办法</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rPr>
        <w:t>（财库﹝2020﹞46号）</w:t>
      </w:r>
      <w:r>
        <w:rPr>
          <w:rFonts w:hint="eastAsia" w:ascii="宋体" w:hAnsi="宋体" w:eastAsia="宋体" w:cs="宋体"/>
          <w:sz w:val="24"/>
          <w:szCs w:val="24"/>
          <w:highlight w:val="none"/>
        </w:rPr>
        <w:t>规定提供声明函内容不实的，属于提供虚假材料谋取中标、成交，依照《中华人民共和国政府采购法》等国家有关规定追究相应责任。</w:t>
      </w:r>
    </w:p>
    <w:p>
      <w:pPr>
        <w:pStyle w:val="12"/>
        <w:spacing w:line="360" w:lineRule="auto"/>
        <w:ind w:firstLine="480" w:firstLineChars="200"/>
        <w:rPr>
          <w:rFonts w:hint="eastAsia" w:ascii="宋体" w:hAnsi="宋体" w:eastAsia="宋体" w:cs="宋体"/>
          <w:color w:val="auto"/>
          <w:kern w:val="0"/>
          <w:sz w:val="24"/>
          <w:szCs w:val="24"/>
          <w:highlight w:val="none"/>
          <w:lang w:val="en-US" w:eastAsia="zh-CN" w:bidi="ar-SA"/>
        </w:rPr>
      </w:pPr>
    </w:p>
    <w:p>
      <w:pPr>
        <w:spacing w:line="360" w:lineRule="auto"/>
        <w:jc w:val="center"/>
        <w:outlineLvl w:val="0"/>
        <w:rPr>
          <w:rStyle w:val="24"/>
          <w:rFonts w:hint="eastAsia"/>
          <w:color w:val="auto"/>
          <w:sz w:val="28"/>
          <w:szCs w:val="28"/>
          <w:highlight w:val="none"/>
        </w:rPr>
      </w:pPr>
      <w:r>
        <w:rPr>
          <w:rStyle w:val="24"/>
          <w:rFonts w:hint="eastAsia" w:ascii="宋体" w:hAnsi="宋体" w:eastAsia="宋体" w:cs="宋体"/>
          <w:color w:val="auto"/>
          <w:sz w:val="24"/>
          <w:szCs w:val="24"/>
          <w:highlight w:val="none"/>
        </w:rPr>
        <w:br w:type="page"/>
      </w:r>
      <w:r>
        <w:rPr>
          <w:rStyle w:val="24"/>
          <w:rFonts w:hint="eastAsia"/>
          <w:color w:val="auto"/>
          <w:sz w:val="28"/>
          <w:szCs w:val="28"/>
          <w:highlight w:val="none"/>
        </w:rPr>
        <w:t>第三章  开标和评标须知</w:t>
      </w:r>
      <w:bookmarkEnd w:id="2"/>
    </w:p>
    <w:p>
      <w:pPr>
        <w:spacing w:line="360" w:lineRule="auto"/>
        <w:ind w:right="-202" w:rightChars="-84" w:firstLine="470" w:firstLineChars="196"/>
        <w:rPr>
          <w:rFonts w:hint="eastAsia"/>
          <w:bCs/>
          <w:color w:val="auto"/>
          <w:sz w:val="24"/>
          <w:szCs w:val="24"/>
          <w:highlight w:val="none"/>
        </w:rPr>
      </w:pPr>
      <w:r>
        <w:rPr>
          <w:rFonts w:hint="eastAsia"/>
          <w:bCs/>
          <w:color w:val="auto"/>
          <w:sz w:val="24"/>
          <w:szCs w:val="24"/>
          <w:highlight w:val="none"/>
          <w:lang w:bidi="ar"/>
        </w:rPr>
        <w:t>一、开标</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（一）招标方在招标文件规定的时间和地点公开开标，投标供应商的法定代表人或其授权代表应参加开标会议并签到。</w:t>
      </w:r>
      <w:r>
        <w:rPr>
          <w:rFonts w:hint="eastAsia"/>
          <w:bCs/>
          <w:color w:val="auto"/>
          <w:sz w:val="24"/>
          <w:szCs w:val="24"/>
          <w:highlight w:val="none"/>
          <w:lang w:eastAsia="zh-CN" w:bidi="ar"/>
        </w:rPr>
        <w:t>投标供应商</w:t>
      </w:r>
      <w:r>
        <w:rPr>
          <w:rFonts w:hint="eastAsia"/>
          <w:bCs/>
          <w:color w:val="auto"/>
          <w:sz w:val="24"/>
          <w:szCs w:val="24"/>
          <w:highlight w:val="none"/>
          <w:lang w:bidi="ar"/>
        </w:rPr>
        <w:t>的法定代表人或其授权代表未按时签到的，视同放弃开标监督权利、认可开标结果。</w:t>
      </w:r>
    </w:p>
    <w:p>
      <w:pPr>
        <w:snapToGrid w:val="0"/>
        <w:spacing w:before="120" w:beforeLines="50" w:after="120" w:afterLines="50"/>
        <w:ind w:left="238"/>
        <w:outlineLvl w:val="1"/>
        <w:rPr>
          <w:rFonts w:hint="eastAsia"/>
          <w:bCs/>
          <w:color w:val="auto"/>
          <w:sz w:val="24"/>
          <w:szCs w:val="24"/>
          <w:highlight w:val="none"/>
          <w:lang w:bidi="ar"/>
        </w:rPr>
      </w:pPr>
      <w:r>
        <w:rPr>
          <w:rFonts w:hint="eastAsia"/>
          <w:bCs/>
          <w:color w:val="auto"/>
          <w:sz w:val="24"/>
          <w:szCs w:val="24"/>
          <w:highlight w:val="none"/>
          <w:lang w:bidi="ar"/>
        </w:rPr>
        <w:t>（二）电子招投标开标及评审程序</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1、投标截止时间后，</w:t>
      </w:r>
      <w:r>
        <w:rPr>
          <w:rFonts w:hint="eastAsia" w:hAnsi="宋体"/>
          <w:bCs/>
          <w:color w:val="auto"/>
          <w:sz w:val="24"/>
          <w:szCs w:val="24"/>
          <w:highlight w:val="none"/>
          <w:lang w:eastAsia="zh-CN" w:bidi="ar"/>
        </w:rPr>
        <w:t>投标供应商</w:t>
      </w:r>
      <w:r>
        <w:rPr>
          <w:rFonts w:hAnsi="宋体"/>
          <w:bCs/>
          <w:color w:val="auto"/>
          <w:sz w:val="24"/>
          <w:szCs w:val="24"/>
          <w:highlight w:val="none"/>
          <w:lang w:bidi="ar"/>
        </w:rPr>
        <w:t>登录政采云平台，用“项目采购-开标评标”功能对电子投标文件进行在线解密。在线解密电子投标文件时间为开标时间起半小时内。</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2、采购人或代理机构对</w:t>
      </w:r>
      <w:r>
        <w:rPr>
          <w:rFonts w:hint="eastAsia" w:hAnsi="宋体"/>
          <w:bCs/>
          <w:color w:val="auto"/>
          <w:sz w:val="24"/>
          <w:szCs w:val="24"/>
          <w:highlight w:val="none"/>
          <w:lang w:eastAsia="zh-CN" w:bidi="ar"/>
        </w:rPr>
        <w:t>投标供应商</w:t>
      </w:r>
      <w:r>
        <w:rPr>
          <w:rFonts w:hAnsi="宋体"/>
          <w:bCs/>
          <w:color w:val="auto"/>
          <w:sz w:val="24"/>
          <w:szCs w:val="24"/>
          <w:highlight w:val="none"/>
          <w:lang w:bidi="ar"/>
        </w:rPr>
        <w:t>的资格进行审查；</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3、评标委员会对商务技术响应文件进行评审；</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4、在系统上公开资格和商务技术评审结果；</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5、在系统上公开报价开标情况；</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6、评标委员会对报价情况进行评审；</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7、在系统上公布评审结果。</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特别说明：政采云平台如对电子化开标及评审程序有调整的，按调整后的程序操作。</w:t>
      </w:r>
    </w:p>
    <w:p>
      <w:pPr>
        <w:spacing w:line="360" w:lineRule="auto"/>
        <w:ind w:right="-202" w:rightChars="-84" w:firstLine="470" w:firstLineChars="196"/>
        <w:rPr>
          <w:rFonts w:hint="eastAsia"/>
          <w:bCs/>
          <w:color w:val="auto"/>
          <w:sz w:val="24"/>
          <w:szCs w:val="24"/>
          <w:highlight w:val="none"/>
          <w:lang w:bidi="ar"/>
        </w:rPr>
      </w:pPr>
      <w:r>
        <w:rPr>
          <w:rFonts w:hint="eastAsia"/>
          <w:bCs/>
          <w:color w:val="auto"/>
          <w:sz w:val="24"/>
          <w:szCs w:val="24"/>
          <w:highlight w:val="none"/>
          <w:lang w:bidi="ar"/>
        </w:rPr>
        <w:t>二、政府采购云平台在线询问及答复流程</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1、政采云平台通过待办事项和短信提醒供应商在截止时间前完成澄清。</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2、供应商在“询标澄清-待办理”标签页下选择状态为“待澄清”的项目，点击操作栏【澄清】。</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3、查看询标函内容，在澄清截止时间前上传澄清文件并对澄清文件进行签章。（注：澄清文件必须以 PDF 格式上传，文件大小：50M。）</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4、签章完成，文件名称处显示“已签章”，供应商可“撤回签章”修改澄清函和“查看文件”。</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pStyle w:val="12"/>
        <w:snapToGrid w:val="0"/>
        <w:spacing w:line="360" w:lineRule="auto"/>
        <w:ind w:firstLine="480" w:firstLineChars="200"/>
        <w:rPr>
          <w:rFonts w:hAnsi="宋体"/>
          <w:bCs/>
          <w:color w:val="auto"/>
          <w:sz w:val="24"/>
          <w:szCs w:val="24"/>
          <w:highlight w:val="none"/>
          <w:lang w:bidi="ar"/>
        </w:rPr>
      </w:pPr>
      <w:r>
        <w:rPr>
          <w:rFonts w:hAnsi="宋体"/>
          <w:bCs/>
          <w:color w:val="auto"/>
          <w:sz w:val="24"/>
          <w:szCs w:val="24"/>
          <w:highlight w:val="none"/>
          <w:lang w:bidi="ar"/>
        </w:rPr>
        <w:t>6、完成状态：供应商澄清文件提交成功后，在“询标澄清-全部”标签页下显示状态为“已澄清”。</w:t>
      </w:r>
    </w:p>
    <w:p>
      <w:pPr>
        <w:spacing w:line="360" w:lineRule="auto"/>
        <w:ind w:right="-202" w:rightChars="-84" w:firstLine="470" w:firstLineChars="196"/>
        <w:rPr>
          <w:rFonts w:hint="eastAsia"/>
          <w:bCs/>
          <w:color w:val="auto"/>
          <w:sz w:val="24"/>
          <w:szCs w:val="24"/>
          <w:highlight w:val="none"/>
        </w:rPr>
      </w:pPr>
      <w:r>
        <w:rPr>
          <w:rFonts w:hint="eastAsia"/>
          <w:bCs/>
          <w:color w:val="auto"/>
          <w:sz w:val="24"/>
          <w:szCs w:val="24"/>
          <w:highlight w:val="none"/>
          <w:lang w:bidi="ar"/>
        </w:rPr>
        <w:t>三、评标委员会</w:t>
      </w:r>
    </w:p>
    <w:p>
      <w:pPr>
        <w:spacing w:line="360" w:lineRule="auto"/>
        <w:ind w:left="-202" w:leftChars="-84" w:right="-202" w:rightChars="-84" w:firstLine="480" w:firstLineChars="200"/>
        <w:rPr>
          <w:rFonts w:hint="eastAsia"/>
          <w:bCs/>
          <w:color w:val="auto"/>
          <w:sz w:val="24"/>
          <w:szCs w:val="24"/>
          <w:highlight w:val="none"/>
        </w:rPr>
      </w:pPr>
      <w:r>
        <w:rPr>
          <w:rFonts w:hint="eastAsia"/>
          <w:bCs/>
          <w:color w:val="auto"/>
          <w:sz w:val="24"/>
          <w:szCs w:val="24"/>
          <w:highlight w:val="none"/>
          <w:lang w:bidi="ar"/>
        </w:rPr>
        <w:t>（一）评标委员会依法由5人及以上奇数的人员组成，评标委员会对投标文件进行审查、质疑、评估和比较。</w:t>
      </w:r>
    </w:p>
    <w:p>
      <w:pPr>
        <w:spacing w:line="360" w:lineRule="auto"/>
        <w:ind w:left="-202" w:leftChars="-84" w:right="-202" w:rightChars="-84" w:firstLine="480" w:firstLineChars="200"/>
        <w:rPr>
          <w:rFonts w:hint="eastAsia"/>
          <w:bCs/>
          <w:color w:val="auto"/>
          <w:sz w:val="24"/>
          <w:szCs w:val="24"/>
          <w:highlight w:val="none"/>
        </w:rPr>
      </w:pPr>
      <w:r>
        <w:rPr>
          <w:rFonts w:hint="eastAsia"/>
          <w:bCs/>
          <w:color w:val="auto"/>
          <w:sz w:val="24"/>
          <w:szCs w:val="24"/>
          <w:highlight w:val="none"/>
          <w:lang w:bidi="ar"/>
        </w:rPr>
        <w:t>（二）询标期间，投标供应商法定代表人或授权代表必须在场，负责解答有关事宜。</w:t>
      </w:r>
    </w:p>
    <w:p>
      <w:pPr>
        <w:spacing w:line="360" w:lineRule="auto"/>
        <w:ind w:right="-202" w:rightChars="-84" w:firstLine="470" w:firstLineChars="196"/>
        <w:rPr>
          <w:rFonts w:hint="eastAsia"/>
          <w:bCs/>
          <w:color w:val="auto"/>
          <w:sz w:val="24"/>
          <w:szCs w:val="24"/>
          <w:highlight w:val="none"/>
        </w:rPr>
      </w:pPr>
      <w:r>
        <w:rPr>
          <w:rFonts w:hint="eastAsia"/>
          <w:bCs/>
          <w:color w:val="auto"/>
          <w:sz w:val="24"/>
          <w:szCs w:val="24"/>
          <w:highlight w:val="none"/>
          <w:lang w:bidi="ar"/>
        </w:rPr>
        <w:t>三、评标原则与方法</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一）评标委员会将遵循公开、公平、公正的原则，对投标供应商提供服务的价格、服务方案、公司业绩等进行综合分析考评，由评委按照招标文件规定的评分标准记名并独立打分，推荐综合得分排名第一的投标供应商为第一预中标人。</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（二）客观、公正的对待所有投标供应商，对所有投标评价，均采用相同的程序和标准。</w:t>
      </w:r>
    </w:p>
    <w:p>
      <w:pPr>
        <w:spacing w:line="360" w:lineRule="auto"/>
        <w:ind w:right="-202" w:rightChars="-84"/>
        <w:rPr>
          <w:rFonts w:hint="eastAsia"/>
          <w:bCs/>
          <w:color w:val="auto"/>
          <w:sz w:val="24"/>
          <w:szCs w:val="24"/>
          <w:highlight w:val="none"/>
          <w:lang w:bidi="ar"/>
        </w:rPr>
      </w:pPr>
      <w:r>
        <w:rPr>
          <w:rFonts w:hint="eastAsia"/>
          <w:bCs/>
          <w:color w:val="auto"/>
          <w:sz w:val="24"/>
          <w:szCs w:val="24"/>
          <w:highlight w:val="none"/>
          <w:lang w:bidi="ar"/>
        </w:rPr>
        <w:t>*（三）在开标、投标期间，投标供应商不得向评标委员会成员询问评标情况，不得进行旨在影响评标结果的活动，否则将废除其投标资格。</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（四）在评标过程中，评标成员不得与投标供应商私下交换意见，在招标工作结束后，凡与评标情况有接触的人不得将评标情况扩散出评标成员之外。</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（五）招标方不向落标方解释落标原因，不退还投标文件。</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1、资格审查（采购人或者采购代理机构对</w:t>
      </w:r>
      <w:r>
        <w:rPr>
          <w:rFonts w:hint="eastAsia"/>
          <w:bCs/>
          <w:color w:val="auto"/>
          <w:sz w:val="24"/>
          <w:szCs w:val="24"/>
          <w:highlight w:val="none"/>
          <w:lang w:eastAsia="zh-CN" w:bidi="ar"/>
        </w:rPr>
        <w:t>投标供应商</w:t>
      </w:r>
      <w:r>
        <w:rPr>
          <w:rFonts w:hint="eastAsia"/>
          <w:bCs/>
          <w:color w:val="auto"/>
          <w:sz w:val="24"/>
          <w:szCs w:val="24"/>
          <w:highlight w:val="none"/>
          <w:lang w:bidi="ar"/>
        </w:rPr>
        <w:t>的资格进行审查）：对投标供应商的资格条件进行审查，不满足的，投标无效。</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2、 符合性审查：对投标文件的完整性、投标有效性等方面进行审查。</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 xml:space="preserve">3、商务评议：按照第七章商务条款的各项要求，对照投标文件的响应进行比较，判定其偏差性质和程度。 </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4、技术评议：按照第六章招标内容与技术要求的各项要求，对照投标文件的响应进行比较，判定其偏差性质和程度。</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5、综合评估：通过资格审查、符合性审查、商务评议和技术评议的投标，评标委员会成员分别对其商务、技术和价格按第四章评分办法及标准的规定进行打分。</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评标委员会经过评审，认为所有投标都不符合招标文件要求的，可以否决所有投标。</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6、推荐预中标供应商</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按评分结果由高到低排序，得分相同，按投标报价由低到高顺序排列。得分且投标报价相同的并列。投标文件满足招标文件全部实质性要求，且按照评审因素的量化指标评审得分第一名的</w:t>
      </w:r>
      <w:r>
        <w:rPr>
          <w:rFonts w:hint="eastAsia"/>
          <w:bCs/>
          <w:color w:val="auto"/>
          <w:sz w:val="24"/>
          <w:szCs w:val="24"/>
          <w:highlight w:val="none"/>
          <w:lang w:eastAsia="zh-CN" w:bidi="ar"/>
        </w:rPr>
        <w:t>投标供应商</w:t>
      </w:r>
      <w:r>
        <w:rPr>
          <w:rFonts w:hint="eastAsia"/>
          <w:bCs/>
          <w:color w:val="auto"/>
          <w:sz w:val="24"/>
          <w:szCs w:val="24"/>
          <w:highlight w:val="none"/>
          <w:lang w:bidi="ar"/>
        </w:rPr>
        <w:t>为本项目第一中标候选人，按照评审因素的量化指标评审得分第二名的</w:t>
      </w:r>
      <w:r>
        <w:rPr>
          <w:rFonts w:hint="eastAsia"/>
          <w:bCs/>
          <w:color w:val="auto"/>
          <w:sz w:val="24"/>
          <w:szCs w:val="24"/>
          <w:highlight w:val="none"/>
          <w:lang w:eastAsia="zh-CN" w:bidi="ar"/>
        </w:rPr>
        <w:t>投标供应商</w:t>
      </w:r>
      <w:r>
        <w:rPr>
          <w:rFonts w:hint="eastAsia"/>
          <w:bCs/>
          <w:color w:val="auto"/>
          <w:sz w:val="24"/>
          <w:szCs w:val="24"/>
          <w:highlight w:val="none"/>
          <w:lang w:bidi="ar"/>
        </w:rPr>
        <w:t>为第二中标候选人。</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7、定标</w:t>
      </w:r>
      <w:r>
        <w:rPr>
          <w:rFonts w:hint="eastAsia"/>
          <w:bCs/>
          <w:color w:val="auto"/>
          <w:sz w:val="24"/>
          <w:szCs w:val="24"/>
          <w:highlight w:val="none"/>
          <w:lang w:bidi="ar"/>
        </w:rPr>
        <w:tab/>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本项目由采购人确定中标人。</w:t>
      </w:r>
    </w:p>
    <w:p>
      <w:pPr>
        <w:spacing w:line="360" w:lineRule="auto"/>
        <w:ind w:left="-202" w:leftChars="-84" w:right="-202" w:rightChars="-84" w:firstLine="480" w:firstLineChars="200"/>
        <w:rPr>
          <w:rFonts w:hint="eastAsia"/>
          <w:bCs/>
          <w:color w:val="auto"/>
          <w:sz w:val="24"/>
          <w:szCs w:val="24"/>
          <w:highlight w:val="none"/>
          <w:lang w:bidi="ar"/>
        </w:rPr>
      </w:pPr>
      <w:r>
        <w:rPr>
          <w:rFonts w:hint="eastAsia"/>
          <w:bCs/>
          <w:color w:val="auto"/>
          <w:sz w:val="24"/>
          <w:szCs w:val="24"/>
          <w:highlight w:val="none"/>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pPr>
        <w:spacing w:line="360" w:lineRule="auto"/>
        <w:ind w:left="-202" w:leftChars="-84" w:right="-202" w:rightChars="-84" w:firstLine="480" w:firstLineChars="200"/>
        <w:rPr>
          <w:rFonts w:hint="eastAsia"/>
          <w:color w:val="auto"/>
          <w:sz w:val="24"/>
          <w:szCs w:val="24"/>
          <w:highlight w:val="none"/>
          <w:lang w:bidi="ar"/>
        </w:rPr>
      </w:pPr>
      <w:r>
        <w:rPr>
          <w:rFonts w:hint="eastAsia"/>
          <w:bCs/>
          <w:color w:val="auto"/>
          <w:sz w:val="24"/>
          <w:szCs w:val="24"/>
          <w:highlight w:val="none"/>
          <w:lang w:bidi="ar"/>
        </w:rPr>
        <w:t>若中标人放弃中标、或事后查询为失信被执行人的、或因不可抗力提出不能履行合同被依法撤销中标资格，则招标人可确定排名其次的中标候选人为中标人，或重新组织招标。</w:t>
      </w:r>
    </w:p>
    <w:p>
      <w:pPr>
        <w:spacing w:line="360" w:lineRule="auto"/>
        <w:rPr>
          <w:rFonts w:hint="eastAsia"/>
          <w:color w:val="auto"/>
          <w:szCs w:val="21"/>
          <w:highlight w:val="none"/>
        </w:rPr>
      </w:pPr>
    </w:p>
    <w:p>
      <w:pPr>
        <w:spacing w:line="360" w:lineRule="auto"/>
        <w:jc w:val="center"/>
        <w:rPr>
          <w:rStyle w:val="24"/>
          <w:rFonts w:hint="eastAsia"/>
          <w:color w:val="auto"/>
          <w:sz w:val="21"/>
          <w:szCs w:val="21"/>
          <w:highlight w:val="none"/>
        </w:rPr>
      </w:pPr>
      <w:r>
        <w:rPr>
          <w:rStyle w:val="24"/>
          <w:rFonts w:hint="eastAsia"/>
          <w:color w:val="auto"/>
          <w:sz w:val="21"/>
          <w:szCs w:val="21"/>
          <w:highlight w:val="none"/>
        </w:rPr>
        <w:br w:type="page"/>
      </w:r>
    </w:p>
    <w:p>
      <w:pPr>
        <w:spacing w:line="360" w:lineRule="auto"/>
        <w:jc w:val="center"/>
        <w:outlineLvl w:val="0"/>
        <w:rPr>
          <w:rFonts w:hint="eastAsia"/>
          <w:color w:val="auto"/>
          <w:sz w:val="28"/>
          <w:szCs w:val="28"/>
          <w:highlight w:val="none"/>
        </w:rPr>
      </w:pPr>
      <w:bookmarkStart w:id="3" w:name="_Toc13552"/>
      <w:r>
        <w:rPr>
          <w:rStyle w:val="24"/>
          <w:rFonts w:hint="eastAsia"/>
          <w:color w:val="auto"/>
          <w:sz w:val="28"/>
          <w:szCs w:val="28"/>
          <w:highlight w:val="none"/>
        </w:rPr>
        <w:t>第四章  评分办法及标准</w:t>
      </w:r>
      <w:bookmarkEnd w:id="3"/>
    </w:p>
    <w:p>
      <w:pPr>
        <w:tabs>
          <w:tab w:val="left" w:pos="780"/>
        </w:tabs>
        <w:spacing w:line="360" w:lineRule="auto"/>
        <w:rPr>
          <w:rFonts w:hint="eastAsia"/>
          <w:color w:val="auto"/>
          <w:sz w:val="24"/>
          <w:szCs w:val="24"/>
          <w:highlight w:val="none"/>
        </w:rPr>
      </w:pPr>
      <w:r>
        <w:rPr>
          <w:rFonts w:hint="eastAsia"/>
          <w:b/>
          <w:color w:val="auto"/>
          <w:sz w:val="24"/>
          <w:szCs w:val="24"/>
          <w:highlight w:val="none"/>
          <w:lang w:bidi="ar"/>
        </w:rPr>
        <w:t>一、评标办法</w:t>
      </w:r>
    </w:p>
    <w:p>
      <w:pPr>
        <w:pStyle w:val="17"/>
        <w:spacing w:before="0" w:beforeAutospacing="0" w:after="0" w:afterAutospacing="0" w:line="360" w:lineRule="auto"/>
        <w:rPr>
          <w:rFonts w:hint="eastAsia"/>
          <w:bCs/>
          <w:color w:val="auto"/>
          <w:kern w:val="2"/>
          <w:sz w:val="24"/>
          <w:szCs w:val="24"/>
          <w:highlight w:val="none"/>
          <w:lang w:bidi="ar"/>
        </w:rPr>
      </w:pPr>
      <w:r>
        <w:rPr>
          <w:rFonts w:hint="eastAsia"/>
          <w:bCs/>
          <w:color w:val="auto"/>
          <w:kern w:val="2"/>
          <w:sz w:val="24"/>
          <w:szCs w:val="24"/>
          <w:highlight w:val="none"/>
          <w:lang w:bidi="ar"/>
        </w:rPr>
        <w:t>1.本项目实行“综合评分法”进行评标。</w:t>
      </w:r>
    </w:p>
    <w:p>
      <w:pPr>
        <w:pStyle w:val="17"/>
        <w:spacing w:before="0" w:beforeAutospacing="0" w:after="0" w:afterAutospacing="0" w:line="360" w:lineRule="auto"/>
        <w:rPr>
          <w:rFonts w:hint="eastAsia"/>
          <w:bCs/>
          <w:color w:val="auto"/>
          <w:kern w:val="2"/>
          <w:sz w:val="24"/>
          <w:szCs w:val="24"/>
          <w:highlight w:val="none"/>
          <w:lang w:bidi="ar"/>
        </w:rPr>
      </w:pPr>
      <w:r>
        <w:rPr>
          <w:rFonts w:hint="eastAsia"/>
          <w:bCs/>
          <w:color w:val="auto"/>
          <w:kern w:val="2"/>
          <w:sz w:val="24"/>
          <w:szCs w:val="24"/>
          <w:highlight w:val="none"/>
          <w:lang w:bidi="ar"/>
        </w:rPr>
        <w:t>2.本次采购为非专门面向中小企业，本次评标将对满足招标文件要求的小微企业的价格给予6%的扣除，用扣除后的价格参与评审。价格扣除只用于评审过程，如中标，中标价格仍按照其投标价格进行公示。</w:t>
      </w:r>
    </w:p>
    <w:p>
      <w:pPr>
        <w:pStyle w:val="17"/>
        <w:spacing w:before="0" w:beforeAutospacing="0" w:after="0" w:afterAutospacing="0" w:line="360" w:lineRule="auto"/>
        <w:rPr>
          <w:rFonts w:hint="eastAsia"/>
          <w:bCs/>
          <w:color w:val="auto"/>
          <w:kern w:val="2"/>
          <w:sz w:val="24"/>
          <w:szCs w:val="24"/>
          <w:highlight w:val="none"/>
          <w:lang w:bidi="ar"/>
        </w:rPr>
      </w:pPr>
      <w:r>
        <w:rPr>
          <w:rFonts w:hint="eastAsia"/>
          <w:bCs/>
          <w:color w:val="auto"/>
          <w:kern w:val="2"/>
          <w:sz w:val="24"/>
          <w:szCs w:val="24"/>
          <w:highlight w:val="none"/>
          <w:lang w:bidi="ar"/>
        </w:rPr>
        <w:t>3.综合评分法：在投标文件满足招标文件全部实质性要求的前提下，按照招标文件中规定的各项因素进行综合评审后，以评标总得分最高的投标供应商作为第一中标候选人。</w:t>
      </w:r>
    </w:p>
    <w:p>
      <w:pPr>
        <w:pStyle w:val="17"/>
        <w:spacing w:before="0" w:beforeAutospacing="0" w:after="0" w:afterAutospacing="0" w:line="360" w:lineRule="auto"/>
        <w:rPr>
          <w:rFonts w:hint="eastAsia"/>
          <w:bCs/>
          <w:color w:val="auto"/>
          <w:kern w:val="2"/>
          <w:sz w:val="24"/>
          <w:szCs w:val="24"/>
          <w:highlight w:val="none"/>
          <w:lang w:bidi="ar"/>
        </w:rPr>
      </w:pPr>
      <w:r>
        <w:rPr>
          <w:rFonts w:hint="eastAsia"/>
          <w:bCs/>
          <w:color w:val="auto"/>
          <w:kern w:val="2"/>
          <w:sz w:val="24"/>
          <w:szCs w:val="24"/>
          <w:highlight w:val="none"/>
          <w:lang w:bidi="ar"/>
        </w:rPr>
        <w:t>4、评标时，评标委员会各成员应当独立对每个有效投标供应商的投标文件进行评价、打分，然后汇总每个投标供应商每项评分因素的得分，对明显畸高、畸低的商务技术评分（其商务技术总评分偏离平均分30%以上的），评审小组组长应提醒相关评审人员进行复核或书面说明理由。评审后综合得分由高到低顺序排列。得分相同的，按投标报价由低到高顺序排列。得分且投标报价相同的并列。投标文件满足招标文件全部实质性要求，且按照评审因素的量化指标评审得分最高的</w:t>
      </w:r>
      <w:r>
        <w:rPr>
          <w:rFonts w:hint="eastAsia"/>
          <w:bCs/>
          <w:color w:val="auto"/>
          <w:kern w:val="2"/>
          <w:sz w:val="24"/>
          <w:szCs w:val="24"/>
          <w:highlight w:val="none"/>
          <w:lang w:eastAsia="zh-CN" w:bidi="ar"/>
        </w:rPr>
        <w:t>投标供应商</w:t>
      </w:r>
      <w:r>
        <w:rPr>
          <w:rFonts w:hint="eastAsia"/>
          <w:bCs/>
          <w:color w:val="auto"/>
          <w:kern w:val="2"/>
          <w:sz w:val="24"/>
          <w:szCs w:val="24"/>
          <w:highlight w:val="none"/>
          <w:lang w:bidi="ar"/>
        </w:rPr>
        <w:t>为本项目中标供应商。评分过程中采用四舍五入，并保留小数2位。</w:t>
      </w:r>
    </w:p>
    <w:p>
      <w:pPr>
        <w:tabs>
          <w:tab w:val="left" w:pos="0"/>
        </w:tabs>
        <w:spacing w:line="360" w:lineRule="auto"/>
        <w:rPr>
          <w:rFonts w:hint="eastAsia"/>
          <w:bCs/>
          <w:color w:val="auto"/>
          <w:szCs w:val="21"/>
          <w:highlight w:val="none"/>
          <w:lang w:bidi="ar"/>
        </w:rPr>
      </w:pPr>
      <w:r>
        <w:rPr>
          <w:rFonts w:hint="eastAsia"/>
          <w:bCs/>
          <w:color w:val="auto"/>
          <w:szCs w:val="21"/>
          <w:highlight w:val="none"/>
          <w:lang w:bidi="ar"/>
        </w:rPr>
        <w:t>5、综合评分法评分表</w:t>
      </w:r>
    </w:p>
    <w:tbl>
      <w:tblPr>
        <w:tblStyle w:val="19"/>
        <w:tblW w:w="91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3"/>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评标内容</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价格分（</w:t>
            </w:r>
            <w:r>
              <w:rPr>
                <w:rFonts w:hint="eastAsia" w:cs="宋体"/>
                <w:color w:val="auto"/>
                <w:szCs w:val="21"/>
                <w:highlight w:val="none"/>
                <w:lang w:val="en-US" w:eastAsia="zh-CN"/>
              </w:rPr>
              <w:t>15</w:t>
            </w:r>
            <w:r>
              <w:rPr>
                <w:rFonts w:hint="eastAsia" w:ascii="宋体" w:hAnsi="宋体" w:cs="宋体"/>
                <w:color w:val="auto"/>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参与评审的价格=投标报价－小微企业价格扣除优惠值6%（如有）</w:t>
            </w:r>
          </w:p>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满足招标文件要求且最低的参与评审的价格为评标基准价，其价格分为满分</w:t>
            </w:r>
            <w:r>
              <w:rPr>
                <w:rFonts w:hint="eastAsia" w:cs="宋体"/>
                <w:color w:val="auto"/>
                <w:szCs w:val="21"/>
                <w:highlight w:val="none"/>
                <w:lang w:val="en-US" w:eastAsia="zh-CN"/>
              </w:rPr>
              <w:t>15</w:t>
            </w:r>
            <w:r>
              <w:rPr>
                <w:rFonts w:hint="eastAsia" w:ascii="宋体" w:hAnsi="宋体" w:cs="宋体"/>
                <w:color w:val="auto"/>
                <w:szCs w:val="21"/>
                <w:highlight w:val="none"/>
              </w:rPr>
              <w:t>分。其他供应商的价格分统一按照下列公式计算：</w:t>
            </w:r>
          </w:p>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投标报价得分=(评标基准价／参与评审的价格)×</w:t>
            </w:r>
            <w:r>
              <w:rPr>
                <w:rFonts w:hint="eastAsia" w:cs="宋体"/>
                <w:color w:val="auto"/>
                <w:szCs w:val="21"/>
                <w:highlight w:val="none"/>
                <w:lang w:val="en-US" w:eastAsia="zh-CN"/>
              </w:rPr>
              <w:t>15</w:t>
            </w:r>
            <w:r>
              <w:rPr>
                <w:rFonts w:hint="eastAsia" w:ascii="宋体" w:hAnsi="宋体" w:cs="宋体"/>
                <w:color w:val="auto"/>
                <w:szCs w:val="21"/>
                <w:highlight w:val="none"/>
              </w:rPr>
              <w:t>%×100。</w:t>
            </w:r>
          </w:p>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注：本项目最高限价为人民币506.85</w:t>
            </w:r>
            <w:r>
              <w:rPr>
                <w:rFonts w:hint="eastAsia" w:cs="宋体"/>
                <w:color w:val="auto"/>
                <w:szCs w:val="21"/>
                <w:highlight w:val="none"/>
                <w:lang w:eastAsia="zh-CN"/>
              </w:rPr>
              <w:t>万</w:t>
            </w:r>
            <w:r>
              <w:rPr>
                <w:rFonts w:hint="eastAsia" w:ascii="宋体" w:hAnsi="宋体" w:cs="宋体"/>
                <w:color w:val="auto"/>
                <w:szCs w:val="21"/>
                <w:highlight w:val="none"/>
              </w:rPr>
              <w:t>元，投标报价超过最高限价的作无效标处理。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技术、资信及商务分（</w:t>
            </w:r>
            <w:r>
              <w:rPr>
                <w:rFonts w:hint="eastAsia" w:cs="宋体"/>
                <w:color w:val="auto"/>
                <w:szCs w:val="21"/>
                <w:highlight w:val="none"/>
                <w:lang w:val="en-US" w:eastAsia="zh-CN"/>
              </w:rPr>
              <w:t>85</w:t>
            </w:r>
            <w:r>
              <w:rPr>
                <w:rFonts w:hint="eastAsia" w:ascii="宋体" w:hAnsi="宋体" w:cs="宋体"/>
                <w:color w:val="auto"/>
                <w:szCs w:val="21"/>
                <w:highlight w:val="none"/>
              </w:rPr>
              <w:t>分）</w:t>
            </w: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项目需求理解程度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仿宋"/>
                <w:color w:val="auto"/>
                <w:szCs w:val="22"/>
                <w:highlight w:val="none"/>
              </w:rPr>
            </w:pPr>
            <w:r>
              <w:rPr>
                <w:rFonts w:hint="eastAsia" w:ascii="宋体" w:hAnsi="宋体" w:cs="宋体"/>
                <w:color w:val="auto"/>
                <w:kern w:val="0"/>
                <w:szCs w:val="21"/>
                <w:highlight w:val="none"/>
                <w:lang w:bidi="ar"/>
              </w:rPr>
              <w:t>从业务和技术的角度出发，对本项目有明确清晰的总体思路、目标定位的得</w:t>
            </w:r>
            <w:r>
              <w:rPr>
                <w:rFonts w:hint="eastAsia" w:ascii="宋体" w:hAnsi="宋体" w:cs="宋体"/>
                <w:color w:val="auto"/>
                <w:kern w:val="0"/>
                <w:szCs w:val="21"/>
                <w:highlight w:val="none"/>
                <w:lang w:val="en-US" w:eastAsia="zh-CN" w:bidi="ar"/>
              </w:rPr>
              <w:t>7-10</w:t>
            </w:r>
            <w:r>
              <w:rPr>
                <w:rFonts w:hint="eastAsia" w:ascii="宋体" w:hAnsi="宋体" w:cs="宋体"/>
                <w:color w:val="auto"/>
                <w:kern w:val="0"/>
                <w:szCs w:val="21"/>
                <w:highlight w:val="none"/>
                <w:lang w:bidi="ar"/>
              </w:rPr>
              <w:t>分，对本项目有较明确清晰的总体思路、目标定位的得</w:t>
            </w:r>
            <w:r>
              <w:rPr>
                <w:rFonts w:hint="eastAsia" w:ascii="宋体" w:hAnsi="宋体" w:cs="宋体"/>
                <w:color w:val="auto"/>
                <w:kern w:val="0"/>
                <w:szCs w:val="21"/>
                <w:highlight w:val="none"/>
                <w:lang w:val="en-US" w:eastAsia="zh-CN" w:bidi="ar"/>
              </w:rPr>
              <w:t>4-6.9</w:t>
            </w:r>
            <w:r>
              <w:rPr>
                <w:rFonts w:hint="eastAsia" w:ascii="宋体" w:hAnsi="宋体" w:cs="宋体"/>
                <w:color w:val="auto"/>
                <w:kern w:val="0"/>
                <w:szCs w:val="21"/>
                <w:highlight w:val="none"/>
                <w:lang w:bidi="ar"/>
              </w:rPr>
              <w:t>分，对本项目总体思路、目标定位不明确的得</w:t>
            </w:r>
            <w:r>
              <w:rPr>
                <w:rFonts w:ascii="宋体" w:hAnsi="宋体" w:cs="宋体"/>
                <w:color w:val="auto"/>
                <w:kern w:val="0"/>
                <w:szCs w:val="21"/>
                <w:highlight w:val="none"/>
                <w:lang w:bidi="ar"/>
              </w:rPr>
              <w:t>0</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设计方案（</w:t>
            </w:r>
            <w:r>
              <w:rPr>
                <w:rFonts w:hint="eastAsia" w:cs="宋体"/>
                <w:color w:val="auto"/>
                <w:kern w:val="0"/>
                <w:szCs w:val="21"/>
                <w:highlight w:val="none"/>
                <w:lang w:val="en-US" w:eastAsia="zh-CN"/>
              </w:rPr>
              <w:t>15</w:t>
            </w:r>
            <w:r>
              <w:rPr>
                <w:rFonts w:hint="eastAsia" w:ascii="宋体" w:hAnsi="宋体" w:cs="宋体"/>
                <w:color w:val="auto"/>
                <w:kern w:val="0"/>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1、根据对投标项目的理解程度、总体设计、组织实施、独到优势等情况综合评定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理解程度、总体设计、组织实施</w:t>
            </w:r>
            <w:r>
              <w:rPr>
                <w:rFonts w:hint="eastAsia" w:ascii="宋体" w:hAnsi="宋体" w:cs="宋体"/>
                <w:color w:val="auto"/>
                <w:kern w:val="0"/>
                <w:szCs w:val="21"/>
                <w:highlight w:val="none"/>
                <w:lang w:val="en-US" w:eastAsia="zh-CN"/>
              </w:rPr>
              <w:t>完整，方案思路清晰的得4-5</w:t>
            </w:r>
            <w:r>
              <w:rPr>
                <w:rFonts w:hint="eastAsia" w:ascii="宋体" w:hAnsi="宋体" w:cs="宋体"/>
                <w:color w:val="auto"/>
                <w:kern w:val="0"/>
                <w:szCs w:val="21"/>
                <w:highlight w:val="none"/>
              </w:rPr>
              <w:t>分；理解程度、总体设计、组织实施</w:t>
            </w:r>
            <w:r>
              <w:rPr>
                <w:rFonts w:hint="eastAsia" w:ascii="宋体" w:hAnsi="宋体" w:cs="宋体"/>
                <w:color w:val="auto"/>
                <w:kern w:val="0"/>
                <w:szCs w:val="21"/>
                <w:highlight w:val="none"/>
                <w:lang w:val="en-US" w:eastAsia="zh-CN"/>
              </w:rPr>
              <w:t>较完整，方案思路较清晰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2-3.9</w:t>
            </w:r>
            <w:r>
              <w:rPr>
                <w:rFonts w:hint="eastAsia" w:ascii="宋体" w:hAnsi="宋体" w:cs="宋体"/>
                <w:color w:val="auto"/>
                <w:kern w:val="0"/>
                <w:szCs w:val="21"/>
                <w:highlight w:val="none"/>
              </w:rPr>
              <w:t>分；理解程度、总体设计、组织实施</w:t>
            </w:r>
            <w:r>
              <w:rPr>
                <w:rFonts w:hint="eastAsia" w:ascii="宋体" w:hAnsi="宋体" w:cs="宋体"/>
                <w:color w:val="auto"/>
                <w:kern w:val="0"/>
                <w:szCs w:val="21"/>
                <w:highlight w:val="none"/>
                <w:lang w:val="en-US" w:eastAsia="zh-CN"/>
              </w:rPr>
              <w:t>不完整，方案思路不清晰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0-1.9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2、根据</w:t>
            </w:r>
            <w:r>
              <w:rPr>
                <w:rFonts w:hint="eastAsia" w:cs="宋体"/>
                <w:color w:val="auto"/>
                <w:kern w:val="0"/>
                <w:szCs w:val="21"/>
                <w:highlight w:val="none"/>
                <w:lang w:eastAsia="zh-CN"/>
              </w:rPr>
              <w:t>投标供应商</w:t>
            </w:r>
            <w:r>
              <w:rPr>
                <w:rFonts w:hint="eastAsia" w:ascii="宋体" w:hAnsi="宋体" w:cs="宋体"/>
                <w:color w:val="auto"/>
                <w:kern w:val="0"/>
                <w:szCs w:val="21"/>
                <w:highlight w:val="none"/>
              </w:rPr>
              <w:t>对项目中应用平台建设的总体功能，具体包括智能违停监管系统、跨门经营智能监管应用、沿街晾晒智能监管应用、无证摊贩智能监管应用、渣土车治理管理系统、环卫作业监管系统、垃圾分类监管系统、可视化指挥调度系统和勤务管理应用等的阐述情况</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阐述科学、完整、合理的</w:t>
            </w:r>
            <w:r>
              <w:rPr>
                <w:rFonts w:hint="eastAsia" w:cs="宋体"/>
                <w:color w:val="auto"/>
                <w:kern w:val="0"/>
                <w:szCs w:val="21"/>
                <w:highlight w:val="none"/>
                <w:lang w:val="en-US" w:eastAsia="zh-CN"/>
              </w:rPr>
              <w:t>7-10</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阐述较科学、完整、合理的</w:t>
            </w:r>
            <w:r>
              <w:rPr>
                <w:rFonts w:hint="eastAsia" w:cs="宋体"/>
                <w:color w:val="auto"/>
                <w:kern w:val="0"/>
                <w:szCs w:val="21"/>
                <w:highlight w:val="none"/>
                <w:lang w:val="en-US" w:eastAsia="zh-CN"/>
              </w:rPr>
              <w:t>4</w:t>
            </w:r>
            <w:r>
              <w:rPr>
                <w:rFonts w:hint="eastAsia" w:ascii="宋体" w:hAnsi="宋体" w:cs="宋体"/>
                <w:color w:val="auto"/>
                <w:kern w:val="0"/>
                <w:szCs w:val="21"/>
                <w:highlight w:val="none"/>
                <w:lang w:val="en-US" w:eastAsia="zh-CN"/>
              </w:rPr>
              <w:t>-</w:t>
            </w:r>
            <w:r>
              <w:rPr>
                <w:rFonts w:hint="eastAsia" w:cs="宋体"/>
                <w:color w:val="auto"/>
                <w:kern w:val="0"/>
                <w:szCs w:val="21"/>
                <w:highlight w:val="none"/>
                <w:lang w:val="en-US" w:eastAsia="zh-CN"/>
              </w:rPr>
              <w:t>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阐述不科学、完整、合理的</w:t>
            </w:r>
            <w:r>
              <w:rPr>
                <w:rFonts w:hint="eastAsia" w:cs="宋体"/>
                <w:color w:val="auto"/>
                <w:kern w:val="0"/>
                <w:szCs w:val="21"/>
                <w:highlight w:val="none"/>
                <w:lang w:val="en-US" w:eastAsia="zh-CN"/>
              </w:rPr>
              <w:t>1</w:t>
            </w:r>
            <w:r>
              <w:rPr>
                <w:rFonts w:hint="eastAsia" w:ascii="宋体" w:hAnsi="宋体" w:cs="宋体"/>
                <w:color w:val="auto"/>
                <w:kern w:val="0"/>
                <w:szCs w:val="21"/>
                <w:highlight w:val="none"/>
                <w:lang w:val="en-US" w:eastAsia="zh-CN"/>
              </w:rPr>
              <w:t>-</w:t>
            </w:r>
            <w:r>
              <w:rPr>
                <w:rFonts w:hint="eastAsia" w:cs="宋体"/>
                <w:color w:val="auto"/>
                <w:kern w:val="0"/>
                <w:szCs w:val="21"/>
                <w:highlight w:val="none"/>
                <w:lang w:val="en-US" w:eastAsia="zh-CN"/>
              </w:rPr>
              <w:t>3</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系统对接设计</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7"/>
              </w:numPr>
              <w:kinsoku/>
              <w:wordWrap/>
              <w:overflowPunct/>
              <w:topLinePunct w:val="0"/>
              <w:bidi w:val="0"/>
              <w:spacing w:line="360" w:lineRule="exact"/>
              <w:textAlignment w:val="auto"/>
              <w:rPr>
                <w:rFonts w:hint="eastAsia"/>
                <w:color w:val="auto"/>
                <w:highlight w:val="none"/>
              </w:rPr>
            </w:pPr>
            <w:r>
              <w:rPr>
                <w:rFonts w:hint="eastAsia" w:ascii="宋体" w:hAnsi="宋体" w:cs="宋体"/>
                <w:color w:val="auto"/>
                <w:kern w:val="0"/>
                <w:szCs w:val="21"/>
                <w:highlight w:val="none"/>
              </w:rPr>
              <w:t>提供与公安视频专网智能视频分析应用对接详细方案，具备公安</w:t>
            </w:r>
          </w:p>
          <w:p>
            <w:pPr>
              <w:keepNext w:val="0"/>
              <w:keepLines w:val="0"/>
              <w:pageBreakBefore w:val="0"/>
              <w:widowControl/>
              <w:numPr>
                <w:ilvl w:val="0"/>
                <w:numId w:val="0"/>
              </w:numPr>
              <w:kinsoku/>
              <w:wordWrap/>
              <w:overflowPunct/>
              <w:topLinePunct w:val="0"/>
              <w:bidi w:val="0"/>
              <w:spacing w:line="360" w:lineRule="exact"/>
              <w:ind w:leftChars="0"/>
              <w:textAlignment w:val="auto"/>
              <w:rPr>
                <w:rFonts w:hint="eastAsia"/>
                <w:color w:val="auto"/>
                <w:highlight w:val="none"/>
              </w:rPr>
            </w:pPr>
            <w:r>
              <w:rPr>
                <w:rFonts w:hint="eastAsia" w:ascii="宋体" w:hAnsi="宋体" w:cs="宋体"/>
                <w:color w:val="auto"/>
                <w:kern w:val="0"/>
                <w:szCs w:val="21"/>
                <w:highlight w:val="none"/>
              </w:rPr>
              <w:t>视频专网智能视频分析应用实施经验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方案科学合理，实施经验丰富的3-4</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方案较科学合理，实施经验较丰富的2-2.9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方案不科学合理，实施经验较少的</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pacing w:line="360" w:lineRule="exac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2、提供宁波</w:t>
            </w:r>
            <w:r>
              <w:rPr>
                <w:rFonts w:ascii="宋体" w:hAnsi="宋体" w:cs="宋体"/>
                <w:color w:val="auto"/>
                <w:kern w:val="0"/>
                <w:szCs w:val="21"/>
                <w:highlight w:val="none"/>
              </w:rPr>
              <w:t>市智慧城管平台对接</w:t>
            </w:r>
            <w:r>
              <w:rPr>
                <w:rFonts w:hint="eastAsia" w:ascii="宋体" w:hAnsi="宋体" w:cs="宋体"/>
                <w:color w:val="auto"/>
                <w:kern w:val="0"/>
                <w:szCs w:val="21"/>
                <w:highlight w:val="none"/>
              </w:rPr>
              <w:t>设计，</w:t>
            </w:r>
            <w:r>
              <w:rPr>
                <w:rFonts w:ascii="宋体" w:hAnsi="宋体" w:cs="宋体"/>
                <w:color w:val="auto"/>
                <w:kern w:val="0"/>
                <w:szCs w:val="21"/>
                <w:highlight w:val="none"/>
              </w:rPr>
              <w:t>实现慈溪创新场景应用中智能违停</w:t>
            </w:r>
            <w:r>
              <w:rPr>
                <w:rFonts w:hint="eastAsia" w:ascii="宋体" w:hAnsi="宋体" w:cs="宋体"/>
                <w:color w:val="auto"/>
                <w:kern w:val="0"/>
                <w:szCs w:val="21"/>
                <w:highlight w:val="none"/>
              </w:rPr>
              <w:t>，</w:t>
            </w:r>
            <w:r>
              <w:rPr>
                <w:rFonts w:ascii="宋体" w:hAnsi="宋体" w:cs="宋体"/>
                <w:color w:val="auto"/>
                <w:kern w:val="0"/>
                <w:szCs w:val="21"/>
                <w:highlight w:val="none"/>
              </w:rPr>
              <w:t>智能路面问题进入市局受理平台的上报</w:t>
            </w:r>
            <w:r>
              <w:rPr>
                <w:rFonts w:hint="eastAsia" w:ascii="宋体" w:hAnsi="宋体" w:cs="宋体"/>
                <w:color w:val="auto"/>
                <w:kern w:val="0"/>
                <w:szCs w:val="21"/>
                <w:highlight w:val="none"/>
              </w:rPr>
              <w:t>，</w:t>
            </w:r>
            <w:r>
              <w:rPr>
                <w:rFonts w:ascii="宋体" w:hAnsi="宋体" w:cs="宋体"/>
                <w:color w:val="auto"/>
                <w:kern w:val="0"/>
                <w:szCs w:val="21"/>
                <w:highlight w:val="none"/>
              </w:rPr>
              <w:t>提供详细对接方案</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对接方案完整科学合理的</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3-4</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对接方案较完整科学合理的2-2.9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对接方案不完整科学合理的0-1.9</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实施方案（5分）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cs="宋体"/>
                <w:color w:val="auto"/>
                <w:kern w:val="0"/>
                <w:szCs w:val="21"/>
                <w:highlight w:val="none"/>
                <w:lang w:eastAsia="zh-CN"/>
              </w:rPr>
              <w:t>投标供应商</w:t>
            </w:r>
            <w:r>
              <w:rPr>
                <w:rFonts w:hint="eastAsia" w:ascii="宋体" w:hAnsi="宋体" w:cs="宋体"/>
                <w:color w:val="auto"/>
                <w:kern w:val="0"/>
                <w:szCs w:val="21"/>
                <w:highlight w:val="none"/>
              </w:rPr>
              <w:t>提供的针对本项目实施方案的科学性、合理性、规范性和可操作性，包括安装调试、软件开发、试运行、调优、系统管理等内容，以及组织机构、工作时间进度表、工作程序和步骤、管理和协调方法、关键步骤的思路和要点等内容，进行综合评议。方案思路清晰、科学合理、规范性强、结构完整、功能完善的得</w:t>
            </w: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rPr>
              <w:t>分，方案思路基本清晰、基本科学合理、规范性一般、结构基本完整、功能基本完善的得</w:t>
            </w:r>
            <w:r>
              <w:rPr>
                <w:rFonts w:hint="eastAsia" w:ascii="宋体" w:hAnsi="宋体" w:cs="宋体"/>
                <w:color w:val="auto"/>
                <w:kern w:val="0"/>
                <w:szCs w:val="21"/>
                <w:highlight w:val="none"/>
                <w:lang w:val="en-US" w:eastAsia="zh-CN"/>
              </w:rPr>
              <w:t>2-3.9</w:t>
            </w:r>
            <w:r>
              <w:rPr>
                <w:rFonts w:hint="eastAsia" w:ascii="宋体" w:hAnsi="宋体" w:cs="宋体"/>
                <w:color w:val="auto"/>
                <w:kern w:val="0"/>
                <w:szCs w:val="21"/>
                <w:highlight w:val="none"/>
              </w:rPr>
              <w:t>分，方案思路不清晰、不科学不合理、规范性较弱、结构不完整、功能不完善的得</w:t>
            </w:r>
            <w:r>
              <w:rPr>
                <w:rFonts w:hint="eastAsia" w:ascii="宋体" w:hAnsi="宋体" w:cs="宋体"/>
                <w:color w:val="auto"/>
                <w:kern w:val="0"/>
                <w:szCs w:val="21"/>
                <w:highlight w:val="none"/>
                <w:lang w:val="en-US" w:eastAsia="zh-CN"/>
              </w:rPr>
              <w:t>0-1.9</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网络覆盖情况</w:t>
            </w:r>
          </w:p>
          <w:p>
            <w:pPr>
              <w:keepNext w:val="0"/>
              <w:keepLines w:val="0"/>
              <w:pageBreakBefore w:val="0"/>
              <w:widowControl/>
              <w:kinsoku/>
              <w:wordWrap/>
              <w:overflowPunct/>
              <w:topLinePunct w:val="0"/>
              <w:bidi w:val="0"/>
              <w:spacing w:line="36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对所投手持终端所使用运营商的4G、5G网络覆盖情况、基站数进行评分：全市网络覆盖范围大、基站数量多、网点数量多的得</w:t>
            </w:r>
            <w:r>
              <w:rPr>
                <w:rFonts w:hint="eastAsia" w:ascii="宋体" w:hAnsi="宋体" w:cs="宋体"/>
                <w:color w:val="auto"/>
                <w:kern w:val="0"/>
                <w:szCs w:val="21"/>
                <w:highlight w:val="none"/>
                <w:lang w:val="en-US" w:eastAsia="zh-CN" w:bidi="ar"/>
              </w:rPr>
              <w:t>4-5</w:t>
            </w:r>
            <w:r>
              <w:rPr>
                <w:rFonts w:hint="eastAsia" w:ascii="宋体" w:hAnsi="宋体" w:cs="宋体"/>
                <w:color w:val="auto"/>
                <w:kern w:val="0"/>
                <w:szCs w:val="21"/>
                <w:highlight w:val="none"/>
                <w:lang w:bidi="ar"/>
              </w:rPr>
              <w:t>分；全市网络覆盖范围一般、基站数量一般、网点数量一般的</w:t>
            </w:r>
            <w:r>
              <w:rPr>
                <w:rFonts w:hint="eastAsia" w:ascii="宋体" w:hAnsi="宋体" w:cs="宋体"/>
                <w:color w:val="auto"/>
                <w:kern w:val="0"/>
                <w:szCs w:val="21"/>
                <w:highlight w:val="none"/>
                <w:lang w:val="en-US" w:eastAsia="zh-CN" w:bidi="ar"/>
              </w:rPr>
              <w:t>2-3.9</w:t>
            </w:r>
            <w:r>
              <w:rPr>
                <w:rFonts w:hint="eastAsia" w:ascii="宋体" w:hAnsi="宋体" w:cs="宋体"/>
                <w:color w:val="auto"/>
                <w:kern w:val="0"/>
                <w:szCs w:val="21"/>
                <w:highlight w:val="none"/>
                <w:lang w:bidi="ar"/>
              </w:rPr>
              <w:t>分；全市网络覆盖范围小的</w:t>
            </w:r>
            <w:r>
              <w:rPr>
                <w:rFonts w:hint="eastAsia" w:ascii="宋体" w:hAnsi="宋体" w:cs="宋体"/>
                <w:color w:val="auto"/>
                <w:kern w:val="0"/>
                <w:szCs w:val="21"/>
                <w:highlight w:val="none"/>
                <w:lang w:val="en-US" w:eastAsia="zh-CN"/>
              </w:rPr>
              <w:t>0-1.9</w:t>
            </w:r>
            <w:r>
              <w:rPr>
                <w:rFonts w:hint="eastAsia" w:ascii="宋体" w:hAnsi="宋体" w:cs="宋体"/>
                <w:color w:val="auto"/>
                <w:kern w:val="0"/>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系统演示（10分）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1、城管违法事件事件识别演示（5分）</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提供</w:t>
            </w:r>
            <w:r>
              <w:rPr>
                <w:rFonts w:hint="eastAsia"/>
                <w:color w:val="auto"/>
                <w:szCs w:val="21"/>
                <w:highlight w:val="none"/>
                <w:lang w:eastAsia="zh-CN" w:bidi="ar"/>
              </w:rPr>
              <w:t>对流动摊贩等进行人脸识别功能，</w:t>
            </w:r>
            <w:r>
              <w:rPr>
                <w:rFonts w:hint="eastAsia" w:ascii="宋体" w:hAnsi="宋体" w:cs="宋体"/>
                <w:color w:val="auto"/>
                <w:kern w:val="0"/>
                <w:szCs w:val="21"/>
                <w:highlight w:val="none"/>
                <w:lang w:bidi="ar"/>
              </w:rPr>
              <w:t>对违章停车、跨门经营、暴露垃圾进行识别报警，比对关联违法对象信息，自动生成违法事件进行流程化处置，并提供置信度信息作为违法行为的告警依据</w:t>
            </w:r>
            <w:r>
              <w:rPr>
                <w:rFonts w:hint="eastAsia" w:ascii="宋体" w:hAnsi="宋体" w:cs="宋体"/>
                <w:color w:val="auto"/>
                <w:kern w:val="0"/>
                <w:szCs w:val="21"/>
                <w:highlight w:val="none"/>
                <w:lang w:eastAsia="zh-CN" w:bidi="ar"/>
              </w:rPr>
              <w:t>；</w:t>
            </w:r>
          </w:p>
          <w:p>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系统演示完全展示如上功能，且演示流畅的得4-5分，系统演示如上功能略有缺项，演示较流畅的得2-3.9分，系统演示未完全展示如上功能，演示不流畅的得0-1.9分。</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2、渣土车跟踪识别演示(5分)</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系统支持对摄像机下出现的车辆进行识别，判别是否为渣土车，并对渣土车的车牌号、是否苫盖等信息进行提取。在进行案件处置时，可以对通过图片对相似车辆进行搜索，判断相似车辆历史出现的位置。针对未苫盖、号牌黑名单等行为，系统可以进行提示告警</w:t>
            </w:r>
            <w:r>
              <w:rPr>
                <w:rFonts w:hint="eastAsia" w:ascii="宋体" w:hAnsi="宋体" w:cs="宋体"/>
                <w:color w:val="auto"/>
                <w:kern w:val="0"/>
                <w:szCs w:val="21"/>
                <w:highlight w:val="none"/>
                <w:lang w:eastAsia="zh-CN" w:bidi="ar"/>
              </w:rPr>
              <w:t>；</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系统演示完全展示如上功能，且演示流畅的得4-5分，系统演示如上功能略有缺项，演示较流畅的得2-3.9分，系统演示未完全展示如上功能，演示不流畅的得0-1.9分。</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r>
              <w:rPr>
                <w:rFonts w:hint="eastAsia" w:cs="宋体"/>
                <w:color w:val="auto"/>
                <w:kern w:val="0"/>
                <w:szCs w:val="21"/>
                <w:highlight w:val="none"/>
                <w:lang w:eastAsia="zh-CN" w:bidi="ar"/>
              </w:rPr>
              <w:t>投标供应商</w:t>
            </w:r>
            <w:r>
              <w:rPr>
                <w:rFonts w:hint="eastAsia" w:ascii="宋体" w:hAnsi="宋体" w:cs="宋体"/>
                <w:color w:val="auto"/>
                <w:kern w:val="0"/>
                <w:szCs w:val="21"/>
                <w:highlight w:val="none"/>
                <w:lang w:bidi="ar"/>
              </w:rPr>
              <w:t>在开标前自行录制方案陈述视频（同时需有声音讲解），评审现场不安排现场陈述。视频格式为AVI或MPEG形式，以光盘或者U盘形式单独封装</w:t>
            </w:r>
            <w:r>
              <w:rPr>
                <w:rFonts w:hint="eastAsia" w:ascii="宋体" w:hAnsi="宋体" w:cs="宋体"/>
                <w:color w:val="auto"/>
                <w:kern w:val="0"/>
                <w:szCs w:val="21"/>
                <w:highlight w:val="none"/>
                <w:lang w:val="en-US" w:eastAsia="zh-CN" w:bidi="ar"/>
              </w:rPr>
              <w:t>并</w:t>
            </w:r>
            <w:r>
              <w:rPr>
                <w:rFonts w:hint="eastAsia" w:ascii="宋体" w:hAnsi="宋体" w:cs="宋体"/>
                <w:color w:val="auto"/>
                <w:kern w:val="0"/>
                <w:szCs w:val="21"/>
                <w:highlight w:val="none"/>
                <w:lang w:bidi="ar"/>
              </w:rPr>
              <w:t>在投标截止时间前交到慈溪市公共资源交易中心二楼第五开标室（慈溪市南二环东路1355号）。未提供者此项评审不得分。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合理化建议（</w:t>
            </w:r>
            <w:r>
              <w:rPr>
                <w:rFonts w:ascii="宋体" w:hAnsi="宋体" w:cs="宋体"/>
                <w:color w:val="auto"/>
                <w:szCs w:val="21"/>
                <w:highlight w:val="none"/>
              </w:rPr>
              <w:t>2</w:t>
            </w:r>
            <w:r>
              <w:rPr>
                <w:rFonts w:hint="eastAsia" w:ascii="宋体" w:hAnsi="宋体" w:cs="宋体"/>
                <w:color w:val="auto"/>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cs="宋体"/>
                <w:color w:val="auto"/>
                <w:szCs w:val="21"/>
                <w:highlight w:val="none"/>
                <w:lang w:val="en-US" w:eastAsia="zh-CN"/>
              </w:rPr>
              <w:t>投标供应商</w:t>
            </w:r>
            <w:r>
              <w:rPr>
                <w:rFonts w:hint="eastAsia" w:ascii="宋体" w:hAnsi="宋体" w:cs="宋体"/>
                <w:color w:val="auto"/>
                <w:szCs w:val="21"/>
                <w:highlight w:val="none"/>
              </w:rPr>
              <w:t>针对本项目提供的合理化建议进行评议。方案思路清晰、结构完整的得2分，方案思路基本清晰、结构基本完整的得1分，方案思路不够清晰、结构不够完整的得0分。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售后服务（5分）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cs="宋体"/>
                <w:color w:val="auto"/>
                <w:szCs w:val="21"/>
                <w:highlight w:val="none"/>
                <w:lang w:val="en-US" w:eastAsia="zh-CN"/>
              </w:rPr>
              <w:t>投标供应商</w:t>
            </w:r>
            <w:r>
              <w:rPr>
                <w:rFonts w:hint="eastAsia" w:ascii="宋体" w:hAnsi="宋体" w:cs="宋体"/>
                <w:color w:val="auto"/>
                <w:szCs w:val="21"/>
                <w:highlight w:val="none"/>
              </w:rPr>
              <w:t>提供售后服务方案(例如本地化服务网点、培训、响应、维护等等方面)的进行打分。本地化服务网点多的、方案思路清晰、设计合理、技术先进、结构完整、功能完善的得</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分，本地化服务网点少的、方案思路基本清晰、设计基本合理、结构基本完整、功能基本完善的得</w:t>
            </w:r>
            <w:r>
              <w:rPr>
                <w:rFonts w:hint="eastAsia" w:ascii="宋体" w:hAnsi="宋体" w:cs="宋体"/>
                <w:color w:val="auto"/>
                <w:szCs w:val="21"/>
                <w:highlight w:val="none"/>
                <w:lang w:val="en-US" w:eastAsia="zh-CN"/>
              </w:rPr>
              <w:t>2-3.9</w:t>
            </w:r>
            <w:r>
              <w:rPr>
                <w:rFonts w:hint="eastAsia" w:ascii="宋体" w:hAnsi="宋体" w:cs="宋体"/>
                <w:color w:val="auto"/>
                <w:szCs w:val="21"/>
                <w:highlight w:val="none"/>
              </w:rPr>
              <w:t>分；没有本地化服务网点的，方案思路不够清晰、设计不够合理、结构不够完整、功能不够完善的得</w:t>
            </w:r>
            <w:r>
              <w:rPr>
                <w:rFonts w:hint="eastAsia" w:ascii="宋体" w:hAnsi="宋体" w:cs="宋体"/>
                <w:color w:val="auto"/>
                <w:szCs w:val="21"/>
                <w:highlight w:val="none"/>
                <w:lang w:val="en-US" w:eastAsia="zh-CN"/>
              </w:rPr>
              <w:t>0-1.9</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软件著作权、专利证书及获奖（</w:t>
            </w:r>
            <w:r>
              <w:rPr>
                <w:rFonts w:ascii="宋体" w:hAnsi="宋体" w:cs="宋体"/>
                <w:bCs/>
                <w:color w:val="auto"/>
                <w:szCs w:val="21"/>
                <w:highlight w:val="none"/>
                <w:lang w:bidi="ar"/>
              </w:rPr>
              <w:t>7</w:t>
            </w:r>
            <w:r>
              <w:rPr>
                <w:rFonts w:hint="eastAsia" w:ascii="宋体" w:hAnsi="宋体" w:cs="宋体"/>
                <w:bCs/>
                <w:color w:val="auto"/>
                <w:szCs w:val="21"/>
                <w:highlight w:val="none"/>
                <w:lang w:bidi="ar"/>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bidi w:val="0"/>
              <w:snapToGrid w:val="0"/>
              <w:spacing w:line="360" w:lineRule="exact"/>
              <w:ind w:leftChars="0"/>
              <w:textAlignment w:val="auto"/>
              <w:rPr>
                <w:rFonts w:ascii="宋体" w:hAnsi="宋体" w:cs="宋体"/>
                <w:bCs/>
                <w:color w:val="auto"/>
                <w:szCs w:val="21"/>
                <w:highlight w:val="none"/>
                <w:lang w:bidi="ar"/>
              </w:rPr>
            </w:pPr>
            <w:r>
              <w:rPr>
                <w:rFonts w:hint="eastAsia" w:ascii="宋体" w:hAnsi="宋体" w:cs="宋体"/>
                <w:bCs/>
                <w:color w:val="auto"/>
                <w:szCs w:val="21"/>
                <w:highlight w:val="none"/>
                <w:lang w:val="en-US" w:eastAsia="zh-CN" w:bidi="ar"/>
              </w:rPr>
              <w:t>1、</w:t>
            </w:r>
            <w:r>
              <w:rPr>
                <w:rFonts w:hint="eastAsia"/>
                <w:color w:val="auto"/>
                <w:highlight w:val="none"/>
                <w:lang w:val="en-US" w:eastAsia="zh-CN" w:bidi="ar"/>
              </w:rPr>
              <w:t>投标供应商</w:t>
            </w:r>
            <w:r>
              <w:rPr>
                <w:rFonts w:hint="eastAsia" w:ascii="宋体" w:hAnsi="宋体" w:cs="宋体"/>
                <w:bCs/>
                <w:color w:val="auto"/>
                <w:szCs w:val="21"/>
                <w:highlight w:val="none"/>
                <w:lang w:bidi="ar"/>
              </w:rPr>
              <w:t>具有城市管理大数据AI分析软件著作权证书得2分，不提供得 0 分； </w:t>
            </w:r>
          </w:p>
          <w:p>
            <w:pPr>
              <w:pStyle w:val="11"/>
              <w:keepNext w:val="0"/>
              <w:keepLines w:val="0"/>
              <w:pageBreakBefore w:val="0"/>
              <w:numPr>
                <w:ilvl w:val="0"/>
                <w:numId w:val="0"/>
              </w:numPr>
              <w:kinsoku/>
              <w:wordWrap/>
              <w:overflowPunct/>
              <w:topLinePunct w:val="0"/>
              <w:bidi w:val="0"/>
              <w:spacing w:after="120" w:line="360" w:lineRule="exact"/>
              <w:ind w:leftChars="0"/>
              <w:textAlignment w:val="auto"/>
              <w:rPr>
                <w:color w:val="auto"/>
                <w:highlight w:val="none"/>
                <w:lang w:bidi="ar"/>
              </w:rPr>
            </w:pPr>
            <w:r>
              <w:rPr>
                <w:rFonts w:hint="eastAsia"/>
                <w:color w:val="auto"/>
                <w:highlight w:val="none"/>
                <w:lang w:val="en-US" w:eastAsia="zh-CN" w:bidi="ar"/>
              </w:rPr>
              <w:t>2、投标供应商</w:t>
            </w:r>
            <w:r>
              <w:rPr>
                <w:rFonts w:hint="eastAsia"/>
                <w:color w:val="auto"/>
                <w:highlight w:val="none"/>
                <w:lang w:bidi="ar"/>
              </w:rPr>
              <w:t>具有人工智能深度学习相关著作权证书或知识产权证明资料，每提供1个得1</w:t>
            </w:r>
            <w:r>
              <w:rPr>
                <w:color w:val="auto"/>
                <w:highlight w:val="none"/>
                <w:lang w:bidi="ar"/>
              </w:rPr>
              <w:t>.5</w:t>
            </w:r>
            <w:r>
              <w:rPr>
                <w:rFonts w:hint="eastAsia"/>
                <w:color w:val="auto"/>
                <w:highlight w:val="none"/>
                <w:lang w:bidi="ar"/>
              </w:rPr>
              <w:t>分，最高得3分；</w:t>
            </w:r>
          </w:p>
          <w:p>
            <w:pPr>
              <w:pStyle w:val="11"/>
              <w:keepNext w:val="0"/>
              <w:keepLines w:val="0"/>
              <w:pageBreakBefore w:val="0"/>
              <w:numPr>
                <w:ilvl w:val="0"/>
                <w:numId w:val="0"/>
              </w:numPr>
              <w:kinsoku/>
              <w:wordWrap/>
              <w:overflowPunct/>
              <w:topLinePunct w:val="0"/>
              <w:bidi w:val="0"/>
              <w:spacing w:after="120" w:line="360" w:lineRule="exact"/>
              <w:ind w:leftChars="0"/>
              <w:textAlignment w:val="auto"/>
              <w:rPr>
                <w:rFonts w:hint="eastAsia"/>
                <w:color w:val="auto"/>
                <w:highlight w:val="none"/>
                <w:lang w:bidi="ar"/>
              </w:rPr>
            </w:pPr>
            <w:r>
              <w:rPr>
                <w:rFonts w:hint="eastAsia"/>
                <w:color w:val="auto"/>
                <w:highlight w:val="none"/>
                <w:lang w:val="en-US" w:eastAsia="zh-CN" w:bidi="ar"/>
              </w:rPr>
              <w:t>3、投标供应商</w:t>
            </w:r>
            <w:r>
              <w:rPr>
                <w:rFonts w:hint="eastAsia"/>
                <w:color w:val="auto"/>
                <w:highlight w:val="none"/>
                <w:lang w:bidi="ar"/>
              </w:rPr>
              <w:t>具有人工智能应用领域技术实力相关证明资料，例如获奖、证书等</w:t>
            </w:r>
            <w:r>
              <w:rPr>
                <w:rFonts w:hint="eastAsia"/>
                <w:color w:val="auto"/>
                <w:highlight w:val="none"/>
                <w:lang w:val="en-US" w:eastAsia="zh-CN" w:bidi="ar"/>
              </w:rPr>
              <w:t>评议</w:t>
            </w:r>
            <w:r>
              <w:rPr>
                <w:rFonts w:hint="eastAsia"/>
                <w:color w:val="auto"/>
                <w:highlight w:val="none"/>
                <w:lang w:bidi="ar"/>
              </w:rPr>
              <w:t>，每提供1个得1分，最高得2分；</w:t>
            </w:r>
          </w:p>
          <w:p>
            <w:pPr>
              <w:keepNext w:val="0"/>
              <w:keepLines w:val="0"/>
              <w:pageBreakBefore w:val="0"/>
              <w:kinsoku/>
              <w:wordWrap/>
              <w:overflowPunct/>
              <w:topLinePunct w:val="0"/>
              <w:bidi w:val="0"/>
              <w:snapToGrid w:val="0"/>
              <w:spacing w:line="360" w:lineRule="exact"/>
              <w:textAlignment w:val="auto"/>
              <w:rPr>
                <w:rFonts w:hint="eastAsia" w:ascii="宋体" w:hAnsi="宋体" w:cs="宋体"/>
                <w:bCs/>
                <w:color w:val="auto"/>
                <w:szCs w:val="21"/>
                <w:highlight w:val="none"/>
                <w:lang w:bidi="ar"/>
              </w:rPr>
            </w:pPr>
            <w:r>
              <w:rPr>
                <w:rFonts w:hint="eastAsia" w:ascii="宋体" w:hAnsi="宋体" w:cs="宋体"/>
                <w:bCs/>
                <w:color w:val="auto"/>
                <w:szCs w:val="21"/>
                <w:highlight w:val="none"/>
                <w:lang w:val="en-US" w:eastAsia="zh-CN" w:bidi="ar"/>
              </w:rPr>
              <w:t>投标文件中</w:t>
            </w:r>
            <w:r>
              <w:rPr>
                <w:rFonts w:hint="eastAsia" w:ascii="宋体" w:hAnsi="宋体" w:cs="宋体"/>
                <w:bCs/>
                <w:color w:val="auto"/>
                <w:szCs w:val="21"/>
                <w:highlight w:val="none"/>
                <w:lang w:bidi="ar"/>
              </w:rPr>
              <w:t>提供相关证书复印件并加盖</w:t>
            </w:r>
            <w:r>
              <w:rPr>
                <w:rFonts w:hint="eastAsia" w:cs="宋体"/>
                <w:bCs/>
                <w:color w:val="auto"/>
                <w:szCs w:val="21"/>
                <w:highlight w:val="none"/>
                <w:lang w:eastAsia="zh-CN" w:bidi="ar"/>
              </w:rPr>
              <w:t>投标供应商</w:t>
            </w:r>
            <w:r>
              <w:rPr>
                <w:rFonts w:hint="eastAsia" w:ascii="宋体" w:hAnsi="宋体" w:cs="宋体"/>
                <w:bCs/>
                <w:color w:val="auto"/>
                <w:szCs w:val="21"/>
                <w:highlight w:val="none"/>
                <w:lang w:bidi="ar"/>
              </w:rPr>
              <w:t>公章，且相关证书应在本项目招标公告发布日之前取得，否则不得分。若为联合体投标，</w:t>
            </w:r>
            <w:r>
              <w:rPr>
                <w:rFonts w:hint="eastAsia" w:ascii="宋体" w:hAnsi="宋体" w:cs="宋体"/>
                <w:color w:val="auto"/>
                <w:szCs w:val="21"/>
                <w:highlight w:val="none"/>
              </w:rPr>
              <w:t>联合体</w:t>
            </w:r>
            <w:r>
              <w:rPr>
                <w:rFonts w:hint="eastAsia" w:ascii="宋体" w:hAnsi="宋体" w:cs="宋体"/>
                <w:color w:val="auto"/>
                <w:szCs w:val="21"/>
                <w:highlight w:val="none"/>
                <w:lang w:val="en-US" w:eastAsia="zh-CN"/>
              </w:rPr>
              <w:t>任一方</w:t>
            </w:r>
            <w:r>
              <w:rPr>
                <w:rFonts w:hint="eastAsia" w:ascii="宋体" w:hAnsi="宋体" w:cs="宋体"/>
                <w:color w:val="auto"/>
                <w:szCs w:val="21"/>
                <w:highlight w:val="none"/>
              </w:rPr>
              <w:t>提供均可</w:t>
            </w:r>
            <w:r>
              <w:rPr>
                <w:rFonts w:hint="eastAsia" w:ascii="宋体" w:hAnsi="宋体" w:cs="宋体"/>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业绩分</w:t>
            </w:r>
          </w:p>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bidi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2018年1月1日至今（以合同签订之日算起）</w:t>
            </w:r>
            <w:r>
              <w:rPr>
                <w:rFonts w:hint="eastAsia" w:ascii="宋体" w:hAnsi="宋体" w:cs="宋体"/>
                <w:color w:val="auto"/>
                <w:szCs w:val="21"/>
                <w:highlight w:val="none"/>
              </w:rPr>
              <w:t>具有城市管理</w:t>
            </w:r>
            <w:r>
              <w:rPr>
                <w:rFonts w:hint="eastAsia"/>
                <w:color w:val="auto"/>
                <w:highlight w:val="none"/>
                <w:lang w:val="en-US" w:eastAsia="zh-CN"/>
              </w:rPr>
              <w:t>类似项目</w:t>
            </w:r>
            <w:r>
              <w:rPr>
                <w:rFonts w:hint="eastAsia" w:ascii="宋体" w:hAnsi="宋体" w:cs="宋体"/>
                <w:color w:val="auto"/>
                <w:szCs w:val="21"/>
                <w:highlight w:val="none"/>
              </w:rPr>
              <w:t>或人工智能应用相关项目案例，每提供1个得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pStyle w:val="2"/>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（投标文件中提供项目业绩合同复印件并加盖</w:t>
            </w:r>
            <w:r>
              <w:rPr>
                <w:rFonts w:hint="eastAsia" w:cs="宋体"/>
                <w:color w:val="auto"/>
                <w:szCs w:val="21"/>
                <w:highlight w:val="none"/>
                <w:lang w:eastAsia="zh-CN"/>
              </w:rPr>
              <w:t>投标供应商</w:t>
            </w:r>
            <w:r>
              <w:rPr>
                <w:rFonts w:hint="eastAsia" w:ascii="宋体" w:hAnsi="宋体" w:cs="宋体"/>
                <w:color w:val="auto"/>
                <w:szCs w:val="21"/>
                <w:highlight w:val="none"/>
              </w:rPr>
              <w:t>公章，同一合同业绩不重复计分。若为联合体投标，联合体</w:t>
            </w:r>
            <w:r>
              <w:rPr>
                <w:rFonts w:hint="eastAsia" w:ascii="宋体" w:hAnsi="宋体" w:cs="宋体"/>
                <w:color w:val="auto"/>
                <w:szCs w:val="21"/>
                <w:highlight w:val="none"/>
                <w:lang w:val="en-US" w:eastAsia="zh-CN"/>
              </w:rPr>
              <w:t>任一方</w:t>
            </w:r>
            <w:r>
              <w:rPr>
                <w:rFonts w:hint="eastAsia" w:ascii="宋体" w:hAnsi="宋体" w:cs="宋体"/>
                <w:color w:val="auto"/>
                <w:szCs w:val="21"/>
                <w:highlight w:val="none"/>
              </w:rPr>
              <w:t>提供均可）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ascii="宋体" w:hAnsi="宋体" w:cs="宋体"/>
                <w:color w:val="auto"/>
                <w:szCs w:val="21"/>
                <w:highlight w:val="none"/>
              </w:rPr>
            </w:pPr>
            <w:r>
              <w:rPr>
                <w:rFonts w:hint="eastAsia" w:cs="宋体"/>
                <w:color w:val="auto"/>
                <w:szCs w:val="21"/>
                <w:highlight w:val="none"/>
                <w:lang w:eastAsia="zh-CN"/>
              </w:rPr>
              <w:t>投标供应商</w:t>
            </w:r>
            <w:r>
              <w:rPr>
                <w:rFonts w:hint="eastAsia" w:ascii="宋体" w:hAnsi="宋体" w:cs="宋体"/>
                <w:color w:val="auto"/>
                <w:szCs w:val="21"/>
                <w:highlight w:val="none"/>
              </w:rPr>
              <w:t>实力（</w:t>
            </w:r>
            <w:r>
              <w:rPr>
                <w:rFonts w:hint="eastAsia" w:cs="宋体"/>
                <w:color w:val="auto"/>
                <w:szCs w:val="21"/>
                <w:highlight w:val="none"/>
                <w:lang w:val="en-US" w:eastAsia="zh-CN"/>
              </w:rPr>
              <w:t>10</w:t>
            </w:r>
            <w:r>
              <w:rPr>
                <w:rFonts w:hint="eastAsia" w:ascii="宋体" w:hAnsi="宋体" w:cs="宋体"/>
                <w:color w:val="auto"/>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bidi w:val="0"/>
              <w:spacing w:line="360" w:lineRule="exact"/>
              <w:textAlignment w:val="auto"/>
              <w:rPr>
                <w:color w:val="auto"/>
                <w:highlight w:val="none"/>
                <w:lang w:bidi="ar"/>
              </w:rPr>
            </w:pPr>
            <w:r>
              <w:rPr>
                <w:rFonts w:hint="eastAsia"/>
                <w:color w:val="auto"/>
                <w:highlight w:val="none"/>
                <w:lang w:val="en-US" w:eastAsia="zh-CN" w:bidi="ar"/>
              </w:rPr>
              <w:t>投标供应商</w:t>
            </w:r>
            <w:r>
              <w:rPr>
                <w:rFonts w:hint="eastAsia" w:ascii="Calibri" w:hAnsi="Calibri"/>
                <w:color w:val="auto"/>
                <w:highlight w:val="none"/>
                <w:lang w:bidi="ar"/>
              </w:rPr>
              <w:t>具有有效的运营商资质（基础电信业务经营许可证）得</w:t>
            </w:r>
            <w:r>
              <w:rPr>
                <w:rFonts w:hint="eastAsia" w:ascii="Calibri" w:hAnsi="Calibri"/>
                <w:color w:val="auto"/>
                <w:highlight w:val="none"/>
                <w:lang w:val="en-US" w:eastAsia="zh-CN" w:bidi="ar"/>
              </w:rPr>
              <w:t>2</w:t>
            </w:r>
            <w:r>
              <w:rPr>
                <w:rFonts w:hint="eastAsia" w:ascii="Calibri" w:hAnsi="Calibri"/>
                <w:color w:val="auto"/>
                <w:highlight w:val="none"/>
                <w:lang w:bidi="ar"/>
              </w:rPr>
              <w:t>分，不提供不得分；</w:t>
            </w:r>
          </w:p>
          <w:p>
            <w:pPr>
              <w:pStyle w:val="2"/>
              <w:keepNext w:val="0"/>
              <w:keepLines w:val="0"/>
              <w:pageBreakBefore w:val="0"/>
              <w:kinsoku/>
              <w:wordWrap/>
              <w:overflowPunct/>
              <w:topLinePunct w:val="0"/>
              <w:bidi w:val="0"/>
              <w:spacing w:line="360" w:lineRule="exact"/>
              <w:textAlignment w:val="auto"/>
              <w:rPr>
                <w:rFonts w:ascii="宋体" w:hAnsi="宋体" w:cs="宋体"/>
                <w:color w:val="auto"/>
                <w:szCs w:val="21"/>
                <w:highlight w:val="none"/>
              </w:rPr>
            </w:pPr>
            <w:r>
              <w:rPr>
                <w:rFonts w:hint="eastAsia"/>
                <w:color w:val="auto"/>
                <w:highlight w:val="none"/>
                <w:lang w:val="en-US" w:eastAsia="zh-CN" w:bidi="ar"/>
              </w:rPr>
              <w:t>投标供应商</w:t>
            </w:r>
            <w:r>
              <w:rPr>
                <w:rFonts w:hint="eastAsia" w:ascii="宋体" w:hAnsi="宋体" w:cs="宋体"/>
                <w:color w:val="auto"/>
                <w:szCs w:val="21"/>
                <w:highlight w:val="none"/>
              </w:rPr>
              <w:t>具有国家信息安全测评服务资质得</w:t>
            </w:r>
            <w:r>
              <w:rPr>
                <w:rFonts w:hint="eastAsia" w:cs="宋体"/>
                <w:color w:val="auto"/>
                <w:szCs w:val="21"/>
                <w:highlight w:val="none"/>
                <w:lang w:val="en-US" w:eastAsia="zh-CN"/>
              </w:rPr>
              <w:t>2</w:t>
            </w:r>
            <w:r>
              <w:rPr>
                <w:rFonts w:hint="eastAsia" w:ascii="宋体" w:hAnsi="宋体" w:cs="宋体"/>
                <w:color w:val="auto"/>
                <w:szCs w:val="21"/>
                <w:highlight w:val="none"/>
              </w:rPr>
              <w:t>分，不提供不得分；</w:t>
            </w:r>
          </w:p>
          <w:p>
            <w:pPr>
              <w:pStyle w:val="2"/>
              <w:spacing w:line="360" w:lineRule="exact"/>
              <w:rPr>
                <w:szCs w:val="24"/>
                <w:lang w:bidi="ar"/>
              </w:rPr>
            </w:pPr>
            <w:r>
              <w:rPr>
                <w:rFonts w:hint="eastAsia"/>
                <w:highlight w:val="none"/>
                <w:lang w:bidi="ar"/>
              </w:rPr>
              <w:t>投标供应商</w:t>
            </w:r>
            <w:r>
              <w:rPr>
                <w:rFonts w:hint="eastAsia"/>
                <w:highlight w:val="none"/>
                <w:lang w:val="en-US" w:eastAsia="zh-CN" w:bidi="ar"/>
              </w:rPr>
              <w:t>具有</w:t>
            </w:r>
            <w:r>
              <w:rPr>
                <w:rFonts w:hint="eastAsia"/>
                <w:highlight w:val="none"/>
                <w:lang w:bidi="ar"/>
              </w:rPr>
              <w:t>承担人工智能领域国家工程实验室（须国家部委审批证明材料）的得</w:t>
            </w:r>
            <w:r>
              <w:rPr>
                <w:rFonts w:hint="eastAsia"/>
                <w:highlight w:val="none"/>
                <w:lang w:val="en-US" w:eastAsia="zh-CN" w:bidi="ar"/>
              </w:rPr>
              <w:t>3</w:t>
            </w:r>
            <w:r>
              <w:rPr>
                <w:rFonts w:hint="eastAsia"/>
                <w:highlight w:val="none"/>
                <w:lang w:bidi="ar"/>
              </w:rPr>
              <w:t>分，不提供不得分；</w:t>
            </w:r>
          </w:p>
          <w:p>
            <w:pPr>
              <w:pStyle w:val="2"/>
              <w:keepNext w:val="0"/>
              <w:keepLines w:val="0"/>
              <w:pageBreakBefore w:val="0"/>
              <w:kinsoku/>
              <w:wordWrap/>
              <w:overflowPunct/>
              <w:topLinePunct w:val="0"/>
              <w:bidi w:val="0"/>
              <w:spacing w:line="360" w:lineRule="exact"/>
              <w:textAlignment w:val="auto"/>
              <w:rPr>
                <w:rFonts w:ascii="宋体" w:hAnsi="宋体" w:cs="宋体"/>
                <w:color w:val="auto"/>
                <w:szCs w:val="21"/>
                <w:highlight w:val="none"/>
              </w:rPr>
            </w:pPr>
            <w:r>
              <w:rPr>
                <w:rFonts w:hint="eastAsia"/>
                <w:color w:val="auto"/>
                <w:highlight w:val="none"/>
                <w:lang w:val="en-US" w:eastAsia="zh-CN" w:bidi="ar"/>
              </w:rPr>
              <w:t>投标供应商</w:t>
            </w:r>
            <w:r>
              <w:rPr>
                <w:rFonts w:hint="eastAsia" w:ascii="宋体" w:hAnsi="宋体" w:cs="宋体"/>
                <w:color w:val="auto"/>
                <w:szCs w:val="21"/>
                <w:highlight w:val="none"/>
              </w:rPr>
              <w:t>具有ISO9001质量管理体系认证得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分，不提供不得分；</w:t>
            </w:r>
          </w:p>
          <w:p>
            <w:pPr>
              <w:pStyle w:val="2"/>
              <w:keepNext w:val="0"/>
              <w:keepLines w:val="0"/>
              <w:pageBreakBefore w:val="0"/>
              <w:kinsoku/>
              <w:wordWrap/>
              <w:overflowPunct/>
              <w:topLinePunct w:val="0"/>
              <w:bidi w:val="0"/>
              <w:spacing w:line="360" w:lineRule="exact"/>
              <w:textAlignment w:val="auto"/>
              <w:rPr>
                <w:color w:val="auto"/>
                <w:highlight w:val="none"/>
                <w:lang w:bidi="ar"/>
              </w:rPr>
            </w:pPr>
            <w:bookmarkStart w:id="4" w:name="_Toc23879742"/>
            <w:r>
              <w:rPr>
                <w:rFonts w:hint="eastAsia"/>
                <w:color w:val="auto"/>
                <w:highlight w:val="none"/>
                <w:lang w:val="en-US" w:eastAsia="zh-CN" w:bidi="ar"/>
              </w:rPr>
              <w:t>投标供应商</w:t>
            </w:r>
            <w:r>
              <w:rPr>
                <w:rFonts w:hint="eastAsia" w:ascii="宋体" w:hAnsi="宋体" w:cs="宋体"/>
                <w:color w:val="auto"/>
                <w:szCs w:val="21"/>
                <w:highlight w:val="none"/>
              </w:rPr>
              <w:t>具有</w:t>
            </w:r>
            <w:r>
              <w:rPr>
                <w:color w:val="auto"/>
                <w:highlight w:val="none"/>
                <w:lang w:bidi="ar"/>
              </w:rPr>
              <w:t>ISO 27017 云安全管理体系</w:t>
            </w:r>
            <w:bookmarkEnd w:id="4"/>
            <w:r>
              <w:rPr>
                <w:rFonts w:hint="eastAsia"/>
                <w:color w:val="auto"/>
                <w:highlight w:val="none"/>
                <w:lang w:bidi="ar"/>
              </w:rPr>
              <w:t>认证得</w:t>
            </w:r>
            <w:r>
              <w:rPr>
                <w:color w:val="auto"/>
                <w:highlight w:val="none"/>
                <w:lang w:bidi="ar"/>
              </w:rPr>
              <w:t>2</w:t>
            </w:r>
            <w:r>
              <w:rPr>
                <w:rFonts w:hint="eastAsia"/>
                <w:color w:val="auto"/>
                <w:highlight w:val="none"/>
                <w:lang w:bidi="ar"/>
              </w:rPr>
              <w:t>分，不提供不得分；</w:t>
            </w:r>
          </w:p>
          <w:p>
            <w:pPr>
              <w:pStyle w:val="2"/>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（投标文件中提供证书复印件</w:t>
            </w:r>
            <w:r>
              <w:rPr>
                <w:rFonts w:hint="eastAsia" w:cs="宋体"/>
                <w:color w:val="auto"/>
                <w:szCs w:val="21"/>
                <w:highlight w:val="none"/>
                <w:lang w:eastAsia="zh-CN"/>
              </w:rPr>
              <w:t>、</w:t>
            </w:r>
            <w:r>
              <w:rPr>
                <w:rFonts w:hint="eastAsia" w:cs="宋体"/>
                <w:color w:val="auto"/>
                <w:szCs w:val="21"/>
                <w:highlight w:val="none"/>
                <w:lang w:val="en-US" w:eastAsia="zh-CN"/>
              </w:rPr>
              <w:t>工程实验室证明材料</w:t>
            </w:r>
            <w:r>
              <w:rPr>
                <w:rFonts w:hint="eastAsia" w:ascii="宋体" w:hAnsi="宋体" w:cs="宋体"/>
                <w:color w:val="auto"/>
                <w:szCs w:val="21"/>
                <w:highlight w:val="none"/>
              </w:rPr>
              <w:t>加盖</w:t>
            </w:r>
            <w:r>
              <w:rPr>
                <w:rFonts w:hint="eastAsia" w:cs="宋体"/>
                <w:color w:val="auto"/>
                <w:szCs w:val="21"/>
                <w:highlight w:val="none"/>
                <w:lang w:eastAsia="zh-CN"/>
              </w:rPr>
              <w:t>投标供应商</w:t>
            </w:r>
            <w:r>
              <w:rPr>
                <w:rFonts w:hint="eastAsia" w:ascii="宋体" w:hAnsi="宋体" w:cs="宋体"/>
                <w:color w:val="auto"/>
                <w:szCs w:val="21"/>
                <w:highlight w:val="none"/>
              </w:rPr>
              <w:t>公章，若联合体参加投标的任一方提供</w:t>
            </w:r>
            <w:r>
              <w:rPr>
                <w:rFonts w:hint="eastAsia" w:ascii="宋体" w:hAnsi="宋体" w:cs="宋体"/>
                <w:color w:val="auto"/>
                <w:szCs w:val="21"/>
                <w:highlight w:val="none"/>
                <w:lang w:val="en-US" w:eastAsia="zh-CN"/>
              </w:rPr>
              <w:t>均</w:t>
            </w:r>
            <w:r>
              <w:rPr>
                <w:rFonts w:hint="eastAsia" w:cs="宋体"/>
                <w:color w:val="auto"/>
                <w:szCs w:val="21"/>
                <w:highlight w:val="none"/>
                <w:lang w:val="en-US" w:eastAsia="zh-CN"/>
              </w:rPr>
              <w:t>可</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p>
        </w:tc>
        <w:tc>
          <w:tcPr>
            <w:tcW w:w="1123" w:type="dxa"/>
            <w:tcBorders>
              <w:left w:val="single" w:color="auto" w:sz="4" w:space="0"/>
              <w:right w:val="single" w:color="auto" w:sz="4" w:space="0"/>
            </w:tcBorders>
            <w:noWrap w:val="0"/>
            <w:vAlign w:val="center"/>
          </w:tcPr>
          <w:p>
            <w:pPr>
              <w:pStyle w:val="2"/>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项目团队资质（</w:t>
            </w:r>
            <w:r>
              <w:rPr>
                <w:rFonts w:ascii="宋体" w:hAnsi="宋体" w:cs="宋体"/>
                <w:color w:val="auto"/>
                <w:szCs w:val="21"/>
                <w:highlight w:val="none"/>
              </w:rPr>
              <w:t>5</w:t>
            </w:r>
            <w:r>
              <w:rPr>
                <w:rFonts w:hint="eastAsia" w:ascii="宋体" w:hAnsi="宋体" w:cs="宋体"/>
                <w:color w:val="auto"/>
                <w:szCs w:val="21"/>
                <w:highlight w:val="none"/>
              </w:rPr>
              <w:t>分）</w:t>
            </w:r>
          </w:p>
        </w:tc>
        <w:tc>
          <w:tcPr>
            <w:tcW w:w="7232" w:type="dxa"/>
            <w:tcBorders>
              <w:top w:val="single" w:color="auto" w:sz="4" w:space="0"/>
              <w:left w:val="single" w:color="auto" w:sz="4" w:space="0"/>
              <w:bottom w:val="single" w:color="auto" w:sz="4" w:space="0"/>
              <w:right w:val="single" w:color="auto" w:sz="4" w:space="0"/>
            </w:tcBorders>
            <w:noWrap w:val="0"/>
            <w:vAlign w:val="bottom"/>
          </w:tcPr>
          <w:p>
            <w:pPr>
              <w:pStyle w:val="2"/>
              <w:keepNext w:val="0"/>
              <w:keepLines w:val="0"/>
              <w:pageBreakBefore w:val="0"/>
              <w:numPr>
                <w:ilvl w:val="0"/>
                <w:numId w:val="8"/>
              </w:numPr>
              <w:kinsoku/>
              <w:wordWrap/>
              <w:overflowPunct/>
              <w:topLinePunct w:val="0"/>
              <w:bidi w:val="0"/>
              <w:spacing w:line="360" w:lineRule="exact"/>
              <w:textAlignment w:val="auto"/>
              <w:rPr>
                <w:rFonts w:hint="eastAsia" w:cs="宋体"/>
                <w:color w:val="auto"/>
                <w:szCs w:val="21"/>
                <w:highlight w:val="none"/>
                <w:lang w:val="en-US" w:eastAsia="zh-CN"/>
              </w:rPr>
            </w:pPr>
            <w:r>
              <w:rPr>
                <w:rFonts w:hint="eastAsia" w:ascii="宋体" w:hAnsi="宋体" w:cs="宋体"/>
                <w:color w:val="auto"/>
                <w:szCs w:val="21"/>
                <w:highlight w:val="none"/>
              </w:rPr>
              <w:t>拟派项目负责人具有CISP（国家注册信息安全专家）</w:t>
            </w:r>
            <w:r>
              <w:rPr>
                <w:rFonts w:hint="eastAsia" w:cs="宋体"/>
                <w:color w:val="auto"/>
                <w:szCs w:val="21"/>
                <w:highlight w:val="none"/>
                <w:lang w:val="en-US" w:eastAsia="zh-CN"/>
              </w:rPr>
              <w:t>的得1分，</w:t>
            </w:r>
          </w:p>
          <w:p>
            <w:pPr>
              <w:pStyle w:val="2"/>
              <w:keepNext w:val="0"/>
              <w:keepLines w:val="0"/>
              <w:pageBreakBefore w:val="0"/>
              <w:numPr>
                <w:ilvl w:val="0"/>
                <w:numId w:val="0"/>
              </w:numPr>
              <w:kinsoku/>
              <w:wordWrap/>
              <w:overflowPunct/>
              <w:topLinePunct w:val="0"/>
              <w:bidi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具有信息系统项目管理师</w:t>
            </w:r>
            <w:r>
              <w:rPr>
                <w:rFonts w:hint="eastAsia" w:cs="宋体"/>
                <w:color w:val="auto"/>
                <w:szCs w:val="21"/>
                <w:highlight w:val="none"/>
                <w:lang w:val="en-US" w:eastAsia="zh-CN"/>
              </w:rPr>
              <w:t>的得1分，具有</w:t>
            </w:r>
            <w:r>
              <w:rPr>
                <w:rFonts w:hint="eastAsia" w:ascii="宋体" w:hAnsi="宋体" w:cs="宋体"/>
                <w:color w:val="auto"/>
                <w:szCs w:val="21"/>
                <w:highlight w:val="none"/>
              </w:rPr>
              <w:t>PMP证书（项目管理）</w:t>
            </w:r>
            <w:r>
              <w:rPr>
                <w:rFonts w:hint="eastAsia" w:cs="宋体"/>
                <w:color w:val="auto"/>
                <w:szCs w:val="21"/>
                <w:highlight w:val="none"/>
                <w:lang w:val="en-US" w:eastAsia="zh-CN"/>
              </w:rPr>
              <w:t>的得1分</w:t>
            </w:r>
            <w:r>
              <w:rPr>
                <w:rFonts w:hint="eastAsia" w:ascii="宋体" w:hAnsi="宋体" w:cs="宋体"/>
                <w:color w:val="auto"/>
                <w:szCs w:val="21"/>
                <w:highlight w:val="none"/>
              </w:rPr>
              <w:t>；</w:t>
            </w:r>
          </w:p>
          <w:p>
            <w:pPr>
              <w:pStyle w:val="2"/>
              <w:keepNext w:val="0"/>
              <w:keepLines w:val="0"/>
              <w:pageBreakBefore w:val="0"/>
              <w:kinsoku/>
              <w:wordWrap/>
              <w:overflowPunct/>
              <w:topLinePunct w:val="0"/>
              <w:bidi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2、项目团队成员具有有效期内的高级工程师、HCIE（或C</w:t>
            </w:r>
            <w:r>
              <w:rPr>
                <w:rFonts w:ascii="宋体" w:hAnsi="宋体" w:cs="宋体"/>
                <w:color w:val="auto"/>
                <w:szCs w:val="21"/>
                <w:highlight w:val="none"/>
              </w:rPr>
              <w:t>CIE</w:t>
            </w:r>
            <w:r>
              <w:rPr>
                <w:rFonts w:hint="eastAsia" w:ascii="宋体" w:hAnsi="宋体" w:cs="宋体"/>
                <w:color w:val="auto"/>
                <w:szCs w:val="21"/>
                <w:highlight w:val="none"/>
              </w:rPr>
              <w:t>）证书，1本证书得1分，最高得2分；</w:t>
            </w:r>
          </w:p>
          <w:p>
            <w:pPr>
              <w:pStyle w:val="2"/>
              <w:keepNext w:val="0"/>
              <w:keepLines w:val="0"/>
              <w:pageBreakBefore w:val="0"/>
              <w:kinsoku/>
              <w:wordWrap/>
              <w:overflowPunct/>
              <w:topLinePunct w:val="0"/>
              <w:bidi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cs="宋体"/>
                <w:color w:val="auto"/>
                <w:szCs w:val="21"/>
                <w:highlight w:val="none"/>
                <w:lang w:val="en-US" w:eastAsia="zh-CN"/>
              </w:rPr>
              <w:t>投标文件中提供</w:t>
            </w:r>
            <w:r>
              <w:rPr>
                <w:rFonts w:hint="eastAsia" w:ascii="宋体" w:hAnsi="宋体" w:cs="宋体"/>
                <w:color w:val="auto"/>
                <w:szCs w:val="21"/>
                <w:highlight w:val="none"/>
              </w:rPr>
              <w:t>以上人员证书复印件、近三个月公司社保证明材料，并加盖</w:t>
            </w:r>
            <w:r>
              <w:rPr>
                <w:rFonts w:hint="eastAsia" w:cs="宋体"/>
                <w:color w:val="auto"/>
                <w:szCs w:val="21"/>
                <w:highlight w:val="none"/>
                <w:lang w:eastAsia="zh-CN"/>
              </w:rPr>
              <w:t>投标供应商</w:t>
            </w:r>
            <w:r>
              <w:rPr>
                <w:rFonts w:hint="eastAsia" w:ascii="宋体" w:hAnsi="宋体" w:cs="宋体"/>
                <w:color w:val="auto"/>
                <w:szCs w:val="21"/>
                <w:highlight w:val="none"/>
              </w:rPr>
              <w:t>公章。若为联合体投标，任一方提供</w:t>
            </w:r>
            <w:r>
              <w:rPr>
                <w:rFonts w:hint="eastAsia" w:ascii="宋体" w:hAnsi="宋体" w:cs="宋体"/>
                <w:color w:val="auto"/>
                <w:szCs w:val="21"/>
                <w:highlight w:val="none"/>
                <w:lang w:val="en-US" w:eastAsia="zh-CN"/>
              </w:rPr>
              <w:t>均可</w:t>
            </w:r>
            <w:r>
              <w:rPr>
                <w:rFonts w:hint="eastAsia" w:ascii="宋体" w:hAnsi="宋体" w:cs="宋体"/>
                <w:color w:val="auto"/>
                <w:szCs w:val="21"/>
                <w:highlight w:val="none"/>
              </w:rPr>
              <w:t>）</w:t>
            </w:r>
          </w:p>
        </w:tc>
      </w:tr>
    </w:tbl>
    <w:p>
      <w:pPr>
        <w:pStyle w:val="5"/>
        <w:rPr>
          <w:rFonts w:hint="eastAsia" w:ascii="宋体"/>
          <w:bCs/>
          <w:color w:val="auto"/>
          <w:sz w:val="21"/>
          <w:szCs w:val="21"/>
          <w:highlight w:val="none"/>
          <w:lang w:bidi="ar"/>
        </w:rPr>
      </w:pPr>
    </w:p>
    <w:p>
      <w:pPr>
        <w:rPr>
          <w:rFonts w:hint="eastAsia"/>
          <w:color w:val="auto"/>
          <w:szCs w:val="21"/>
          <w:highlight w:val="none"/>
        </w:rPr>
      </w:pPr>
    </w:p>
    <w:p>
      <w:pPr>
        <w:tabs>
          <w:tab w:val="left" w:pos="0"/>
        </w:tabs>
        <w:spacing w:line="360" w:lineRule="auto"/>
        <w:jc w:val="center"/>
        <w:rPr>
          <w:rFonts w:hint="eastAsia"/>
          <w:color w:val="auto"/>
          <w:sz w:val="28"/>
          <w:szCs w:val="28"/>
          <w:highlight w:val="none"/>
        </w:rPr>
      </w:pPr>
      <w:r>
        <w:rPr>
          <w:rFonts w:hint="eastAsia"/>
          <w:bCs/>
          <w:color w:val="auto"/>
          <w:szCs w:val="21"/>
          <w:highlight w:val="none"/>
          <w:lang w:bidi="ar"/>
        </w:rPr>
        <w:br w:type="page"/>
      </w:r>
      <w:bookmarkStart w:id="5" w:name="_Toc17046"/>
      <w:r>
        <w:rPr>
          <w:rStyle w:val="24"/>
          <w:rFonts w:hint="eastAsia"/>
          <w:color w:val="auto"/>
          <w:sz w:val="28"/>
          <w:szCs w:val="28"/>
          <w:highlight w:val="none"/>
        </w:rPr>
        <w:t>第五章  采购合同样本</w:t>
      </w:r>
      <w:bookmarkEnd w:id="5"/>
    </w:p>
    <w:p>
      <w:pPr>
        <w:pStyle w:val="12"/>
        <w:snapToGrid w:val="0"/>
        <w:spacing w:line="360" w:lineRule="auto"/>
        <w:jc w:val="center"/>
        <w:rPr>
          <w:rFonts w:hAnsi="宋体"/>
          <w:b/>
          <w:color w:val="auto"/>
          <w:sz w:val="21"/>
          <w:highlight w:val="none"/>
        </w:rPr>
      </w:pPr>
      <w:r>
        <w:rPr>
          <w:rFonts w:hAnsi="宋体"/>
          <w:b/>
          <w:color w:val="auto"/>
          <w:sz w:val="21"/>
          <w:highlight w:val="none"/>
        </w:rPr>
        <w:t>（本合同为合同样稿，最终稿由甲乙双方协商后确定）</w:t>
      </w:r>
    </w:p>
    <w:p>
      <w:pPr>
        <w:pStyle w:val="17"/>
        <w:overflowPunct w:val="0"/>
        <w:autoSpaceDE w:val="0"/>
        <w:autoSpaceDN w:val="0"/>
        <w:adjustRightInd w:val="0"/>
        <w:snapToGrid w:val="0"/>
        <w:spacing w:before="0" w:beforeAutospacing="0" w:after="0" w:afterAutospacing="0" w:line="360" w:lineRule="auto"/>
        <w:rPr>
          <w:color w:val="auto"/>
          <w:sz w:val="21"/>
          <w:szCs w:val="21"/>
          <w:highlight w:val="none"/>
        </w:rPr>
      </w:pPr>
      <w:r>
        <w:rPr>
          <w:rFonts w:hint="eastAsia"/>
          <w:color w:val="auto"/>
          <w:kern w:val="2"/>
          <w:sz w:val="21"/>
          <w:szCs w:val="21"/>
          <w:highlight w:val="none"/>
        </w:rPr>
        <w:t xml:space="preserve">项目名称：                   项目编号：               </w:t>
      </w:r>
    </w:p>
    <w:p>
      <w:pPr>
        <w:spacing w:line="360" w:lineRule="auto"/>
        <w:rPr>
          <w:color w:val="auto"/>
          <w:szCs w:val="21"/>
          <w:highlight w:val="none"/>
        </w:rPr>
      </w:pPr>
      <w:r>
        <w:rPr>
          <w:rFonts w:hint="eastAsia"/>
          <w:color w:val="auto"/>
          <w:szCs w:val="21"/>
          <w:highlight w:val="none"/>
        </w:rPr>
        <w:t xml:space="preserve">甲方（招标人）： </w:t>
      </w:r>
    </w:p>
    <w:p>
      <w:pPr>
        <w:spacing w:line="360" w:lineRule="auto"/>
        <w:rPr>
          <w:color w:val="auto"/>
          <w:szCs w:val="21"/>
          <w:highlight w:val="none"/>
        </w:rPr>
      </w:pPr>
      <w:r>
        <w:rPr>
          <w:rFonts w:hint="eastAsia"/>
          <w:color w:val="auto"/>
          <w:szCs w:val="21"/>
          <w:highlight w:val="none"/>
        </w:rPr>
        <w:t>乙方（</w:t>
      </w:r>
      <w:r>
        <w:rPr>
          <w:rFonts w:hint="eastAsia" w:cs="宋体"/>
          <w:color w:val="auto"/>
          <w:szCs w:val="21"/>
          <w:highlight w:val="none"/>
          <w:lang w:val="en-US" w:eastAsia="zh-CN"/>
        </w:rPr>
        <w:t>投标供应商</w:t>
      </w:r>
      <w:r>
        <w:rPr>
          <w:rFonts w:hint="eastAsia"/>
          <w:color w:val="auto"/>
          <w:szCs w:val="21"/>
          <w:highlight w:val="none"/>
        </w:rPr>
        <w:t>）：</w:t>
      </w:r>
    </w:p>
    <w:p>
      <w:pPr>
        <w:spacing w:line="360" w:lineRule="auto"/>
        <w:rPr>
          <w:color w:val="auto"/>
          <w:szCs w:val="21"/>
          <w:highlight w:val="none"/>
          <w:u w:val="single"/>
        </w:rPr>
      </w:pPr>
      <w:r>
        <w:rPr>
          <w:rFonts w:hint="eastAsia"/>
          <w:color w:val="auto"/>
          <w:szCs w:val="21"/>
          <w:highlight w:val="none"/>
        </w:rPr>
        <w:t>合同签订地点：</w:t>
      </w:r>
    </w:p>
    <w:p>
      <w:pPr>
        <w:spacing w:line="360" w:lineRule="auto"/>
        <w:jc w:val="center"/>
        <w:rPr>
          <w:color w:val="auto"/>
          <w:szCs w:val="21"/>
          <w:highlight w:val="none"/>
        </w:rPr>
      </w:pPr>
      <w:r>
        <w:rPr>
          <w:rFonts w:hint="eastAsia"/>
          <w:color w:val="auto"/>
          <w:szCs w:val="21"/>
          <w:highlight w:val="none"/>
        </w:rPr>
        <w:t>根据《中华人民共和国合同法》及有关法律法规以及浙江中基正采管理咨询有限公司</w:t>
      </w:r>
    </w:p>
    <w:p>
      <w:pPr>
        <w:spacing w:line="360" w:lineRule="auto"/>
        <w:rPr>
          <w:color w:val="auto"/>
          <w:szCs w:val="21"/>
          <w:highlight w:val="none"/>
        </w:rPr>
      </w:pPr>
      <w:r>
        <w:rPr>
          <w:rFonts w:hint="eastAsia"/>
          <w:color w:val="auto"/>
          <w:szCs w:val="21"/>
          <w:highlight w:val="none"/>
        </w:rPr>
        <w:t>组织的项目《中标通知书》的规定，甲、乙双方在平等的基础上，签订本合同。</w:t>
      </w:r>
    </w:p>
    <w:p>
      <w:pPr>
        <w:pStyle w:val="17"/>
        <w:overflowPunct w:val="0"/>
        <w:autoSpaceDE w:val="0"/>
        <w:autoSpaceDN w:val="0"/>
        <w:adjustRightInd w:val="0"/>
        <w:snapToGrid w:val="0"/>
        <w:spacing w:before="0" w:beforeAutospacing="0" w:after="0" w:afterAutospacing="0" w:line="360" w:lineRule="auto"/>
        <w:rPr>
          <w:b/>
          <w:color w:val="auto"/>
          <w:sz w:val="21"/>
          <w:szCs w:val="21"/>
          <w:highlight w:val="none"/>
        </w:rPr>
      </w:pPr>
    </w:p>
    <w:p>
      <w:pPr>
        <w:pStyle w:val="17"/>
        <w:overflowPunct w:val="0"/>
        <w:autoSpaceDE w:val="0"/>
        <w:autoSpaceDN w:val="0"/>
        <w:adjustRightInd w:val="0"/>
        <w:snapToGrid w:val="0"/>
        <w:spacing w:before="0" w:beforeAutospacing="0" w:after="0" w:afterAutospacing="0" w:line="360" w:lineRule="auto"/>
        <w:rPr>
          <w:b/>
          <w:color w:val="auto"/>
          <w:sz w:val="21"/>
          <w:szCs w:val="21"/>
          <w:highlight w:val="none"/>
        </w:rPr>
      </w:pPr>
      <w:r>
        <w:rPr>
          <w:rFonts w:hint="eastAsia"/>
          <w:b/>
          <w:color w:val="auto"/>
          <w:kern w:val="2"/>
          <w:sz w:val="21"/>
          <w:szCs w:val="21"/>
          <w:highlight w:val="none"/>
        </w:rPr>
        <w:t>一、项目内容：</w:t>
      </w:r>
    </w:p>
    <w:p>
      <w:pPr>
        <w:spacing w:line="360" w:lineRule="auto"/>
        <w:ind w:firstLine="480" w:firstLineChars="200"/>
        <w:rPr>
          <w:color w:val="auto"/>
          <w:szCs w:val="21"/>
          <w:highlight w:val="none"/>
        </w:rPr>
      </w:pPr>
    </w:p>
    <w:p>
      <w:pPr>
        <w:pStyle w:val="17"/>
        <w:numPr>
          <w:ilvl w:val="0"/>
          <w:numId w:val="9"/>
        </w:numPr>
        <w:overflowPunct w:val="0"/>
        <w:autoSpaceDE w:val="0"/>
        <w:autoSpaceDN w:val="0"/>
        <w:adjustRightInd w:val="0"/>
        <w:snapToGrid w:val="0"/>
        <w:spacing w:before="0" w:beforeAutospacing="0" w:after="0" w:afterAutospacing="0" w:line="360" w:lineRule="auto"/>
        <w:rPr>
          <w:b/>
          <w:color w:val="auto"/>
          <w:sz w:val="21"/>
          <w:szCs w:val="21"/>
          <w:highlight w:val="none"/>
        </w:rPr>
      </w:pPr>
      <w:r>
        <w:rPr>
          <w:rFonts w:hint="eastAsia"/>
          <w:b/>
          <w:color w:val="auto"/>
          <w:kern w:val="2"/>
          <w:sz w:val="21"/>
          <w:szCs w:val="21"/>
          <w:highlight w:val="none"/>
        </w:rPr>
        <w:t>合同金额：</w:t>
      </w:r>
      <w:r>
        <w:rPr>
          <w:rFonts w:hint="eastAsia"/>
          <w:color w:val="auto"/>
          <w:kern w:val="2"/>
          <w:sz w:val="21"/>
          <w:szCs w:val="21"/>
          <w:highlight w:val="none"/>
        </w:rPr>
        <w:t>本合同金额为（大写）：____________________________________元（￥_______________元）人民币。</w:t>
      </w:r>
    </w:p>
    <w:p>
      <w:pPr>
        <w:pStyle w:val="17"/>
        <w:overflowPunct w:val="0"/>
        <w:autoSpaceDE w:val="0"/>
        <w:autoSpaceDN w:val="0"/>
        <w:adjustRightInd w:val="0"/>
        <w:snapToGrid w:val="0"/>
        <w:spacing w:before="0" w:beforeAutospacing="0" w:after="0" w:afterAutospacing="0" w:line="360" w:lineRule="auto"/>
        <w:rPr>
          <w:color w:val="auto"/>
          <w:sz w:val="21"/>
          <w:szCs w:val="21"/>
          <w:highlight w:val="none"/>
        </w:rPr>
      </w:pPr>
    </w:p>
    <w:p>
      <w:pPr>
        <w:pStyle w:val="17"/>
        <w:overflowPunct w:val="0"/>
        <w:autoSpaceDE w:val="0"/>
        <w:autoSpaceDN w:val="0"/>
        <w:adjustRightInd w:val="0"/>
        <w:snapToGrid w:val="0"/>
        <w:spacing w:before="0" w:beforeAutospacing="0" w:after="0" w:afterAutospacing="0" w:line="360" w:lineRule="auto"/>
        <w:rPr>
          <w:b/>
          <w:color w:val="auto"/>
          <w:sz w:val="21"/>
          <w:szCs w:val="21"/>
          <w:highlight w:val="none"/>
        </w:rPr>
      </w:pPr>
      <w:r>
        <w:rPr>
          <w:rFonts w:hint="eastAsia"/>
          <w:b/>
          <w:color w:val="auto"/>
          <w:kern w:val="2"/>
          <w:sz w:val="21"/>
          <w:szCs w:val="21"/>
          <w:highlight w:val="none"/>
        </w:rPr>
        <w:t>三、技术资料</w:t>
      </w:r>
    </w:p>
    <w:p>
      <w:pPr>
        <w:spacing w:line="360" w:lineRule="auto"/>
        <w:ind w:firstLine="480" w:firstLineChars="200"/>
        <w:rPr>
          <w:color w:val="auto"/>
          <w:szCs w:val="21"/>
          <w:highlight w:val="none"/>
        </w:rPr>
      </w:pPr>
      <w:r>
        <w:rPr>
          <w:color w:val="auto"/>
          <w:szCs w:val="21"/>
          <w:highlight w:val="none"/>
        </w:rPr>
        <w:t>3.1乙方应按招标文件规定的时间向甲方提供</w:t>
      </w:r>
      <w:r>
        <w:rPr>
          <w:rFonts w:hint="eastAsia"/>
          <w:color w:val="auto"/>
          <w:szCs w:val="21"/>
          <w:highlight w:val="none"/>
        </w:rPr>
        <w:t>本项目</w:t>
      </w:r>
      <w:r>
        <w:rPr>
          <w:color w:val="auto"/>
          <w:szCs w:val="21"/>
          <w:highlight w:val="none"/>
        </w:rPr>
        <w:t>的有关技术资料。</w:t>
      </w:r>
    </w:p>
    <w:p>
      <w:pPr>
        <w:spacing w:line="360" w:lineRule="auto"/>
        <w:ind w:firstLine="480" w:firstLineChars="200"/>
        <w:rPr>
          <w:color w:val="auto"/>
          <w:szCs w:val="21"/>
          <w:highlight w:val="none"/>
        </w:rPr>
      </w:pPr>
      <w:r>
        <w:rPr>
          <w:color w:val="auto"/>
          <w:szCs w:val="21"/>
          <w:highlight w:val="none"/>
        </w:rPr>
        <w:t>3.2没有甲方事先书面同意，乙方不得将由甲方提供的</w:t>
      </w:r>
      <w:r>
        <w:rPr>
          <w:rFonts w:hint="eastAsia"/>
          <w:color w:val="auto"/>
          <w:szCs w:val="21"/>
          <w:highlight w:val="none"/>
        </w:rPr>
        <w:t>与本项目</w:t>
      </w:r>
      <w:r>
        <w:rPr>
          <w:color w:val="auto"/>
          <w:szCs w:val="21"/>
          <w:highlight w:val="none"/>
        </w:rPr>
        <w:t>有关</w:t>
      </w:r>
      <w:r>
        <w:rPr>
          <w:rFonts w:hint="eastAsia"/>
          <w:color w:val="auto"/>
          <w:szCs w:val="21"/>
          <w:highlight w:val="none"/>
        </w:rPr>
        <w:t>的</w:t>
      </w:r>
      <w:r>
        <w:rPr>
          <w:color w:val="auto"/>
          <w:szCs w:val="21"/>
          <w:highlight w:val="none"/>
        </w:rPr>
        <w:t>条文、规格、计划、图纸、样品或资料</w:t>
      </w:r>
      <w:r>
        <w:rPr>
          <w:rFonts w:hint="eastAsia"/>
          <w:color w:val="auto"/>
          <w:szCs w:val="21"/>
          <w:highlight w:val="none"/>
        </w:rPr>
        <w:t>等</w:t>
      </w:r>
      <w:r>
        <w:rPr>
          <w:color w:val="auto"/>
          <w:szCs w:val="21"/>
          <w:highlight w:val="none"/>
        </w:rPr>
        <w:t>提供给与履行本合同无关的任何其他人。即使向履行本合同有关的人员提供，也应注意保密并限于履行合同的</w:t>
      </w:r>
      <w:r>
        <w:rPr>
          <w:rFonts w:hint="eastAsia"/>
          <w:color w:val="auto"/>
          <w:szCs w:val="21"/>
          <w:highlight w:val="none"/>
        </w:rPr>
        <w:t>必须</w:t>
      </w:r>
      <w:r>
        <w:rPr>
          <w:color w:val="auto"/>
          <w:szCs w:val="21"/>
          <w:highlight w:val="none"/>
        </w:rPr>
        <w:t>范围。</w:t>
      </w:r>
    </w:p>
    <w:p>
      <w:pPr>
        <w:spacing w:before="120" w:beforeLines="50" w:after="120" w:afterLines="50" w:line="360" w:lineRule="auto"/>
        <w:rPr>
          <w:b/>
          <w:color w:val="auto"/>
          <w:szCs w:val="21"/>
          <w:highlight w:val="none"/>
        </w:rPr>
      </w:pPr>
      <w:r>
        <w:rPr>
          <w:b/>
          <w:color w:val="auto"/>
          <w:szCs w:val="21"/>
          <w:highlight w:val="none"/>
        </w:rPr>
        <w:t>四、知识产权</w:t>
      </w:r>
    </w:p>
    <w:p>
      <w:pPr>
        <w:spacing w:line="360" w:lineRule="auto"/>
        <w:ind w:firstLine="480" w:firstLineChars="200"/>
        <w:rPr>
          <w:color w:val="auto"/>
          <w:szCs w:val="21"/>
          <w:highlight w:val="none"/>
        </w:rPr>
      </w:pPr>
      <w:r>
        <w:rPr>
          <w:color w:val="auto"/>
          <w:szCs w:val="21"/>
          <w:highlight w:val="none"/>
        </w:rPr>
        <w:t>4.1乙方应保证所提供的货物或其任何一部分及全部技术资料均不会侵犯任何第三方的知识产权。</w:t>
      </w:r>
    </w:p>
    <w:p>
      <w:pPr>
        <w:spacing w:line="360" w:lineRule="auto"/>
        <w:ind w:firstLine="480" w:firstLineChars="200"/>
        <w:rPr>
          <w:color w:val="auto"/>
          <w:szCs w:val="21"/>
          <w:highlight w:val="none"/>
        </w:rPr>
      </w:pPr>
      <w:r>
        <w:rPr>
          <w:color w:val="auto"/>
          <w:szCs w:val="21"/>
          <w:highlight w:val="none"/>
        </w:rPr>
        <w:t>4.2</w:t>
      </w:r>
      <w:r>
        <w:rPr>
          <w:rFonts w:hint="eastAsia"/>
          <w:color w:val="auto"/>
          <w:szCs w:val="21"/>
          <w:highlight w:val="none"/>
        </w:rPr>
        <w:t>系统收集和产生数据所有权归甲方，乙方只限于在本项目中使用数据。</w:t>
      </w:r>
    </w:p>
    <w:p>
      <w:pPr>
        <w:spacing w:line="360" w:lineRule="auto"/>
        <w:ind w:firstLine="480" w:firstLineChars="200"/>
        <w:rPr>
          <w:rFonts w:hint="eastAsia"/>
          <w:color w:val="auto"/>
          <w:szCs w:val="21"/>
          <w:highlight w:val="none"/>
        </w:rPr>
      </w:pPr>
      <w:r>
        <w:rPr>
          <w:color w:val="auto"/>
          <w:szCs w:val="21"/>
          <w:highlight w:val="none"/>
        </w:rPr>
        <w:t>4.3</w:t>
      </w:r>
      <w:r>
        <w:rPr>
          <w:rFonts w:hint="eastAsia"/>
          <w:color w:val="auto"/>
          <w:szCs w:val="21"/>
          <w:highlight w:val="none"/>
        </w:rPr>
        <w:t>系统应用软件源代码知识产权归甲方所有，项目具备验收条件后，乙方需将应用软件源代码全部交付给甲方，甲方经第三方权威机构验证并确认代码完整后，项目方可进行验收。</w:t>
      </w:r>
    </w:p>
    <w:p>
      <w:pPr>
        <w:pStyle w:val="17"/>
        <w:overflowPunct w:val="0"/>
        <w:autoSpaceDE w:val="0"/>
        <w:autoSpaceDN w:val="0"/>
        <w:adjustRightInd w:val="0"/>
        <w:snapToGrid w:val="0"/>
        <w:spacing w:before="0" w:beforeAutospacing="0" w:after="0" w:afterAutospacing="0" w:line="360" w:lineRule="auto"/>
        <w:ind w:left="360" w:hanging="361" w:hangingChars="171"/>
        <w:rPr>
          <w:rFonts w:hint="eastAsia"/>
          <w:b/>
          <w:color w:val="auto"/>
          <w:kern w:val="2"/>
          <w:sz w:val="21"/>
          <w:szCs w:val="21"/>
          <w:highlight w:val="none"/>
        </w:rPr>
      </w:pPr>
    </w:p>
    <w:p>
      <w:pPr>
        <w:pStyle w:val="17"/>
        <w:overflowPunct w:val="0"/>
        <w:autoSpaceDE w:val="0"/>
        <w:autoSpaceDN w:val="0"/>
        <w:adjustRightInd w:val="0"/>
        <w:snapToGrid w:val="0"/>
        <w:spacing w:before="0" w:beforeAutospacing="0" w:after="0" w:afterAutospacing="0" w:line="360" w:lineRule="auto"/>
        <w:ind w:left="360" w:hanging="361" w:hangingChars="171"/>
        <w:rPr>
          <w:b/>
          <w:color w:val="auto"/>
          <w:sz w:val="21"/>
          <w:szCs w:val="21"/>
          <w:highlight w:val="none"/>
        </w:rPr>
      </w:pPr>
      <w:r>
        <w:rPr>
          <w:rFonts w:hint="eastAsia"/>
          <w:b/>
          <w:color w:val="auto"/>
          <w:kern w:val="2"/>
          <w:sz w:val="21"/>
          <w:szCs w:val="21"/>
          <w:highlight w:val="none"/>
        </w:rPr>
        <w:t>四、知识产权</w:t>
      </w:r>
    </w:p>
    <w:p>
      <w:pPr>
        <w:pStyle w:val="17"/>
        <w:overflowPunct w:val="0"/>
        <w:autoSpaceDE w:val="0"/>
        <w:autoSpaceDN w:val="0"/>
        <w:adjustRightInd w:val="0"/>
        <w:snapToGrid w:val="0"/>
        <w:spacing w:before="0" w:beforeAutospacing="0" w:after="0" w:afterAutospacing="0" w:line="360" w:lineRule="auto"/>
        <w:ind w:left="359" w:hanging="359" w:hangingChars="171"/>
        <w:rPr>
          <w:b/>
          <w:bCs/>
          <w:color w:val="auto"/>
          <w:sz w:val="21"/>
          <w:szCs w:val="21"/>
          <w:highlight w:val="none"/>
        </w:rPr>
      </w:pPr>
      <w:r>
        <w:rPr>
          <w:rFonts w:hint="eastAsia"/>
          <w:color w:val="auto"/>
          <w:kern w:val="2"/>
          <w:sz w:val="21"/>
          <w:szCs w:val="21"/>
          <w:highlight w:val="none"/>
        </w:rPr>
        <w:t xml:space="preserve">    乙方应保证提供服务过程中不会侵犯任何第三方的</w:t>
      </w:r>
      <w:r>
        <w:rPr>
          <w:rFonts w:hint="eastAsia"/>
          <w:b/>
          <w:color w:val="auto"/>
          <w:kern w:val="2"/>
          <w:sz w:val="21"/>
          <w:szCs w:val="21"/>
          <w:highlight w:val="none"/>
        </w:rPr>
        <w:t>知识产权</w:t>
      </w:r>
      <w:r>
        <w:rPr>
          <w:rFonts w:hint="eastAsia"/>
          <w:b/>
          <w:bCs/>
          <w:color w:val="auto"/>
          <w:kern w:val="2"/>
          <w:sz w:val="21"/>
          <w:szCs w:val="21"/>
          <w:highlight w:val="none"/>
        </w:rPr>
        <w:t>。</w:t>
      </w:r>
    </w:p>
    <w:p>
      <w:pPr>
        <w:snapToGrid w:val="0"/>
        <w:spacing w:line="360" w:lineRule="auto"/>
        <w:rPr>
          <w:b/>
          <w:color w:val="auto"/>
          <w:szCs w:val="21"/>
          <w:highlight w:val="none"/>
        </w:rPr>
      </w:pPr>
      <w:r>
        <w:rPr>
          <w:rFonts w:hint="eastAsia"/>
          <w:b/>
          <w:color w:val="auto"/>
          <w:szCs w:val="21"/>
          <w:highlight w:val="none"/>
        </w:rPr>
        <w:t>五、转包或分包</w:t>
      </w:r>
    </w:p>
    <w:p>
      <w:pPr>
        <w:snapToGrid w:val="0"/>
        <w:spacing w:line="360" w:lineRule="auto"/>
        <w:rPr>
          <w:color w:val="auto"/>
          <w:szCs w:val="21"/>
          <w:highlight w:val="none"/>
        </w:rPr>
      </w:pPr>
      <w:r>
        <w:rPr>
          <w:rFonts w:hint="eastAsia"/>
          <w:color w:val="auto"/>
          <w:szCs w:val="21"/>
          <w:highlight w:val="none"/>
        </w:rPr>
        <w:t>1.本合同范围的服务，应由乙方直接供应，不得转让他人供应；</w:t>
      </w:r>
    </w:p>
    <w:p>
      <w:pPr>
        <w:snapToGrid w:val="0"/>
        <w:spacing w:line="360" w:lineRule="auto"/>
        <w:rPr>
          <w:color w:val="auto"/>
          <w:szCs w:val="21"/>
          <w:highlight w:val="none"/>
        </w:rPr>
      </w:pPr>
      <w:r>
        <w:rPr>
          <w:rFonts w:hint="eastAsia"/>
          <w:color w:val="auto"/>
          <w:szCs w:val="21"/>
          <w:highlight w:val="none"/>
        </w:rPr>
        <w:t>2. 除非得到甲方的书面同意，乙方不得将本合同范围的服务全部或部分分包给他人供应；</w:t>
      </w:r>
    </w:p>
    <w:p>
      <w:pPr>
        <w:snapToGrid w:val="0"/>
        <w:spacing w:line="360" w:lineRule="auto"/>
        <w:rPr>
          <w:color w:val="auto"/>
          <w:szCs w:val="21"/>
          <w:highlight w:val="none"/>
        </w:rPr>
      </w:pPr>
      <w:r>
        <w:rPr>
          <w:rFonts w:hint="eastAsia"/>
          <w:color w:val="auto"/>
          <w:szCs w:val="21"/>
          <w:highlight w:val="none"/>
        </w:rPr>
        <w:t>3.如有转让和未经甲方同意的分包行为，甲方有权解除合同并追究乙方的违约责任。</w:t>
      </w:r>
    </w:p>
    <w:p>
      <w:pPr>
        <w:pStyle w:val="17"/>
        <w:overflowPunct w:val="0"/>
        <w:autoSpaceDE w:val="0"/>
        <w:autoSpaceDN w:val="0"/>
        <w:adjustRightInd w:val="0"/>
        <w:snapToGrid w:val="0"/>
        <w:spacing w:before="0" w:beforeAutospacing="0" w:after="0" w:afterAutospacing="0" w:line="360" w:lineRule="auto"/>
        <w:rPr>
          <w:b/>
          <w:color w:val="auto"/>
          <w:sz w:val="24"/>
          <w:szCs w:val="24"/>
          <w:highlight w:val="none"/>
        </w:rPr>
      </w:pPr>
      <w:r>
        <w:rPr>
          <w:rFonts w:hint="eastAsia"/>
          <w:b/>
          <w:color w:val="auto"/>
          <w:kern w:val="2"/>
          <w:sz w:val="24"/>
          <w:szCs w:val="24"/>
          <w:highlight w:val="none"/>
        </w:rPr>
        <w:t>六、工期</w:t>
      </w:r>
    </w:p>
    <w:p>
      <w:pPr>
        <w:pStyle w:val="17"/>
        <w:overflowPunct w:val="0"/>
        <w:autoSpaceDE w:val="0"/>
        <w:autoSpaceDN w:val="0"/>
        <w:adjustRightInd w:val="0"/>
        <w:snapToGrid w:val="0"/>
        <w:spacing w:before="0" w:beforeAutospacing="0" w:after="0" w:afterAutospacing="0" w:line="360" w:lineRule="auto"/>
        <w:rPr>
          <w:color w:val="auto"/>
          <w:sz w:val="24"/>
          <w:szCs w:val="24"/>
          <w:highlight w:val="none"/>
        </w:rPr>
      </w:pPr>
    </w:p>
    <w:p>
      <w:pPr>
        <w:spacing w:line="360" w:lineRule="auto"/>
        <w:rPr>
          <w:b/>
          <w:color w:val="auto"/>
          <w:sz w:val="24"/>
          <w:szCs w:val="24"/>
          <w:highlight w:val="none"/>
        </w:rPr>
      </w:pPr>
      <w:r>
        <w:rPr>
          <w:rFonts w:hint="eastAsia"/>
          <w:b/>
          <w:color w:val="auto"/>
          <w:sz w:val="24"/>
          <w:szCs w:val="24"/>
          <w:highlight w:val="none"/>
        </w:rPr>
        <w:t>七、付款方式：</w:t>
      </w:r>
    </w:p>
    <w:p>
      <w:pPr>
        <w:pStyle w:val="17"/>
        <w:overflowPunct w:val="0"/>
        <w:autoSpaceDE w:val="0"/>
        <w:autoSpaceDN w:val="0"/>
        <w:adjustRightInd w:val="0"/>
        <w:snapToGrid w:val="0"/>
        <w:spacing w:before="0" w:beforeAutospacing="0" w:after="0" w:afterAutospacing="0" w:line="360" w:lineRule="auto"/>
        <w:rPr>
          <w:rFonts w:hint="eastAsia" w:ascii="Calibri" w:hAnsi="Calibri"/>
          <w:b/>
          <w:color w:val="auto"/>
          <w:kern w:val="2"/>
          <w:sz w:val="24"/>
          <w:szCs w:val="24"/>
          <w:highlight w:val="none"/>
        </w:rPr>
      </w:pPr>
    </w:p>
    <w:p>
      <w:pPr>
        <w:pStyle w:val="17"/>
        <w:overflowPunct w:val="0"/>
        <w:autoSpaceDE w:val="0"/>
        <w:autoSpaceDN w:val="0"/>
        <w:adjustRightInd w:val="0"/>
        <w:snapToGrid w:val="0"/>
        <w:spacing w:before="0" w:beforeAutospacing="0" w:after="0" w:afterAutospacing="0" w:line="360" w:lineRule="auto"/>
        <w:rPr>
          <w:color w:val="auto"/>
          <w:sz w:val="24"/>
          <w:szCs w:val="24"/>
          <w:highlight w:val="none"/>
        </w:rPr>
      </w:pPr>
      <w:r>
        <w:rPr>
          <w:rFonts w:hint="eastAsia" w:ascii="Calibri" w:hAnsi="Calibri"/>
          <w:b/>
          <w:color w:val="auto"/>
          <w:kern w:val="2"/>
          <w:sz w:val="24"/>
          <w:szCs w:val="24"/>
          <w:highlight w:val="none"/>
        </w:rPr>
        <w:t>八、质保期：</w:t>
      </w:r>
    </w:p>
    <w:p>
      <w:pPr>
        <w:snapToGrid w:val="0"/>
        <w:spacing w:line="360" w:lineRule="auto"/>
        <w:rPr>
          <w:b/>
          <w:color w:val="auto"/>
          <w:sz w:val="24"/>
          <w:szCs w:val="24"/>
          <w:highlight w:val="none"/>
        </w:rPr>
      </w:pPr>
    </w:p>
    <w:p>
      <w:pPr>
        <w:snapToGrid w:val="0"/>
        <w:spacing w:line="360" w:lineRule="auto"/>
        <w:rPr>
          <w:b/>
          <w:color w:val="auto"/>
          <w:sz w:val="24"/>
          <w:szCs w:val="24"/>
          <w:highlight w:val="none"/>
        </w:rPr>
      </w:pPr>
      <w:r>
        <w:rPr>
          <w:rFonts w:hint="eastAsia"/>
          <w:b/>
          <w:color w:val="auto"/>
          <w:sz w:val="24"/>
          <w:szCs w:val="24"/>
          <w:highlight w:val="none"/>
        </w:rPr>
        <w:t>九、税费</w:t>
      </w:r>
    </w:p>
    <w:p>
      <w:pPr>
        <w:snapToGrid w:val="0"/>
        <w:spacing w:line="360" w:lineRule="auto"/>
        <w:rPr>
          <w:color w:val="auto"/>
          <w:szCs w:val="21"/>
          <w:highlight w:val="none"/>
        </w:rPr>
      </w:pPr>
      <w:r>
        <w:rPr>
          <w:rFonts w:hint="eastAsia"/>
          <w:color w:val="auto"/>
          <w:szCs w:val="21"/>
          <w:highlight w:val="none"/>
        </w:rPr>
        <w:t>本合同执行中相关的一切税费均由乙方负担。</w:t>
      </w:r>
    </w:p>
    <w:p>
      <w:pPr>
        <w:pStyle w:val="17"/>
        <w:overflowPunct w:val="0"/>
        <w:autoSpaceDE w:val="0"/>
        <w:autoSpaceDN w:val="0"/>
        <w:adjustRightInd w:val="0"/>
        <w:snapToGrid w:val="0"/>
        <w:spacing w:before="0" w:beforeAutospacing="0" w:after="0" w:afterAutospacing="0" w:line="360" w:lineRule="auto"/>
        <w:rPr>
          <w:rFonts w:hint="eastAsia"/>
          <w:b/>
          <w:color w:val="auto"/>
          <w:kern w:val="2"/>
          <w:sz w:val="21"/>
          <w:szCs w:val="21"/>
          <w:highlight w:val="none"/>
        </w:rPr>
      </w:pPr>
    </w:p>
    <w:p>
      <w:pPr>
        <w:spacing w:before="120" w:beforeLines="50" w:after="120" w:afterLines="50" w:line="360" w:lineRule="auto"/>
        <w:rPr>
          <w:b/>
          <w:color w:val="auto"/>
          <w:szCs w:val="21"/>
          <w:highlight w:val="none"/>
        </w:rPr>
      </w:pPr>
      <w:r>
        <w:rPr>
          <w:rFonts w:hint="eastAsia"/>
          <w:b/>
          <w:color w:val="auto"/>
          <w:szCs w:val="21"/>
          <w:highlight w:val="none"/>
        </w:rPr>
        <w:t>十</w:t>
      </w:r>
      <w:r>
        <w:rPr>
          <w:b/>
          <w:color w:val="auto"/>
          <w:szCs w:val="21"/>
          <w:highlight w:val="none"/>
        </w:rPr>
        <w:t>、</w:t>
      </w:r>
      <w:r>
        <w:rPr>
          <w:rFonts w:hint="eastAsia"/>
          <w:b/>
          <w:color w:val="auto"/>
          <w:szCs w:val="21"/>
          <w:highlight w:val="none"/>
        </w:rPr>
        <w:t>设备安装调试及验收</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.1</w:t>
      </w:r>
      <w:r>
        <w:rPr>
          <w:rFonts w:hint="eastAsia"/>
          <w:color w:val="auto"/>
          <w:szCs w:val="21"/>
          <w:highlight w:val="none"/>
        </w:rPr>
        <w:t>乙方应负责深化设计前端点位施工图。</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.2</w:t>
      </w:r>
      <w:r>
        <w:rPr>
          <w:rFonts w:hint="eastAsia"/>
          <w:color w:val="auto"/>
          <w:szCs w:val="21"/>
          <w:highlight w:val="none"/>
        </w:rPr>
        <w:t>甲方应配合乙方进行本项目建设安装工作中的相关协调事宜和各项准备工作。主要包括：协助乙方做好电力、规划、城管等部门的协调工作，配合乙方完成前期准备工作。</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.3</w:t>
      </w:r>
      <w:r>
        <w:rPr>
          <w:rFonts w:hint="eastAsia"/>
          <w:color w:val="auto"/>
          <w:szCs w:val="21"/>
          <w:highlight w:val="none"/>
        </w:rPr>
        <w:t>乙方投标文件中提供的技术方案和设备配置如低于甲方设计方案的要求，乙方有义务按照甲方设计方案执行。项目执行过程中，当投标设备停产或升级时，乙方可提供更改后的设备供甲方使用，设备标准不得低于招标文件中规定的技术要求，且服务价格不变。</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.4</w:t>
      </w:r>
      <w:r>
        <w:rPr>
          <w:rFonts w:hint="eastAsia"/>
          <w:color w:val="auto"/>
          <w:szCs w:val="21"/>
          <w:highlight w:val="none"/>
        </w:rPr>
        <w:t>乙方必须接受甲方、监理对于项目的管理和监督，及时向甲方和监理同时提交各种设计深化方案、实施方案、计划、报告等项目文档。对于监理对项目实施过程中指出的问题，应该积极给予答复并解决。对于监理提出的整改要求应服从并实施整改措施。乙方可就甲方的设计方案提出优化建议，经设计、监理单位和甲方确认后执行，服务费价格不变。</w:t>
      </w:r>
    </w:p>
    <w:p>
      <w:pPr>
        <w:spacing w:line="360" w:lineRule="auto"/>
        <w:ind w:firstLine="480" w:firstLineChars="200"/>
        <w:rPr>
          <w:rFonts w:hint="eastAsia"/>
          <w:color w:val="auto"/>
          <w:szCs w:val="21"/>
          <w:highlight w:val="none"/>
        </w:rPr>
      </w:pPr>
      <w:r>
        <w:rPr>
          <w:rFonts w:hint="eastAsia"/>
          <w:color w:val="auto"/>
          <w:szCs w:val="21"/>
          <w:highlight w:val="none"/>
        </w:rPr>
        <w:t>10</w:t>
      </w:r>
      <w:r>
        <w:rPr>
          <w:color w:val="auto"/>
          <w:szCs w:val="21"/>
          <w:highlight w:val="none"/>
        </w:rPr>
        <w:t>.5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.6乙方交货前应对产品作出全面检查和对验收文件进行整理，并列出清单，作为甲方收货验收和使用的技术条件依据，检验的结果应随货物交甲方。</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.7乙方提供的货物在使用前进行调试时，乙方需负责安装并培训甲方的使用操作人员，调试符合技术要求后，甲方才做最终验收。</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.8对技术复杂的货物，甲方应请国家认可的专业检测机构参与初步验收及最终验收，并由其出具质量检测报告。</w:t>
      </w:r>
    </w:p>
    <w:p>
      <w:pPr>
        <w:spacing w:line="360" w:lineRule="auto"/>
        <w:ind w:firstLine="480" w:firstLineChars="200"/>
        <w:rPr>
          <w:color w:val="auto"/>
          <w:szCs w:val="21"/>
          <w:highlight w:val="none"/>
        </w:rPr>
      </w:pPr>
      <w:r>
        <w:rPr>
          <w:rFonts w:hint="eastAsia"/>
          <w:color w:val="auto"/>
          <w:szCs w:val="21"/>
          <w:highlight w:val="none"/>
        </w:rPr>
        <w:t>10</w:t>
      </w:r>
      <w:r>
        <w:rPr>
          <w:color w:val="auto"/>
          <w:szCs w:val="21"/>
          <w:highlight w:val="none"/>
        </w:rPr>
        <w:t>.9验收时乙方必须在现场；验收完毕后作出验收结果报告，甲方负责人签字并加盖公章；验收费用由乙方负责。</w:t>
      </w:r>
    </w:p>
    <w:p>
      <w:pPr>
        <w:spacing w:line="360" w:lineRule="auto"/>
        <w:ind w:firstLine="480" w:firstLineChars="200"/>
        <w:rPr>
          <w:rFonts w:hint="eastAsia"/>
          <w:b/>
          <w:color w:val="auto"/>
          <w:szCs w:val="21"/>
          <w:highlight w:val="none"/>
        </w:rPr>
      </w:pPr>
      <w:r>
        <w:rPr>
          <w:rFonts w:hint="eastAsia"/>
          <w:color w:val="auto"/>
          <w:szCs w:val="21"/>
          <w:highlight w:val="none"/>
        </w:rPr>
        <w:t>10.10项目验收前，乙方须保证整个业务系统对系统具备的所有城市管理违法事件识别的识别率不低于90%，误报率不高于10%。</w:t>
      </w:r>
    </w:p>
    <w:p>
      <w:pPr>
        <w:spacing w:before="120" w:beforeLines="50" w:after="120" w:afterLines="50" w:line="360" w:lineRule="auto"/>
        <w:rPr>
          <w:b/>
          <w:color w:val="auto"/>
          <w:szCs w:val="21"/>
          <w:highlight w:val="none"/>
        </w:rPr>
      </w:pPr>
      <w:r>
        <w:rPr>
          <w:rFonts w:hint="eastAsia"/>
          <w:b/>
          <w:color w:val="auto"/>
          <w:szCs w:val="21"/>
          <w:highlight w:val="none"/>
        </w:rPr>
        <w:t>十一</w:t>
      </w:r>
      <w:r>
        <w:rPr>
          <w:b/>
          <w:color w:val="auto"/>
          <w:szCs w:val="21"/>
          <w:highlight w:val="none"/>
        </w:rPr>
        <w:t>、质量保证及售后服务</w:t>
      </w:r>
    </w:p>
    <w:p>
      <w:pPr>
        <w:spacing w:line="360" w:lineRule="auto"/>
        <w:ind w:firstLine="480" w:firstLineChars="200"/>
        <w:rPr>
          <w:color w:val="auto"/>
          <w:szCs w:val="21"/>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乙方需在签订合同前，提供主要设备厂家的质量保证书和售后服务承诺书盖章原件。</w:t>
      </w:r>
    </w:p>
    <w:p>
      <w:pPr>
        <w:spacing w:line="360" w:lineRule="auto"/>
        <w:ind w:firstLine="480" w:firstLineChars="200"/>
        <w:rPr>
          <w:rFonts w:hint="eastAsia"/>
          <w:color w:val="auto"/>
          <w:szCs w:val="21"/>
          <w:highlight w:val="none"/>
        </w:rPr>
      </w:pPr>
      <w:r>
        <w:rPr>
          <w:rFonts w:hint="eastAsia"/>
          <w:color w:val="auto"/>
          <w:szCs w:val="21"/>
          <w:highlight w:val="none"/>
        </w:rPr>
        <w:t>11</w:t>
      </w:r>
      <w:r>
        <w:rPr>
          <w:color w:val="auto"/>
          <w:szCs w:val="21"/>
          <w:highlight w:val="none"/>
        </w:rPr>
        <w:t>.2乙方应按招标文件规定的货物性能、技术要求、质量标准向甲方提供未经使用的全新产品。乙方应保证货物正常使用条件下，在使用寿命期内具有满意的性能。在货物最终交付验收后的质量保证期内，乙方应对由于施工工艺或材料等缺陷而产生的故障负责。</w:t>
      </w:r>
    </w:p>
    <w:p>
      <w:pPr>
        <w:spacing w:line="360" w:lineRule="auto"/>
        <w:ind w:firstLine="480" w:firstLineChars="200"/>
        <w:rPr>
          <w:rFonts w:hint="eastAsia"/>
          <w:color w:val="auto"/>
          <w:szCs w:val="21"/>
          <w:highlight w:val="none"/>
        </w:rPr>
      </w:pPr>
      <w:r>
        <w:rPr>
          <w:rFonts w:hint="eastAsia"/>
          <w:color w:val="auto"/>
          <w:szCs w:val="21"/>
          <w:highlight w:val="none"/>
        </w:rPr>
        <w:t>11.3</w:t>
      </w:r>
      <w:r>
        <w:rPr>
          <w:color w:val="auto"/>
          <w:szCs w:val="21"/>
          <w:highlight w:val="none"/>
        </w:rPr>
        <w:t>货物质量应符合生产厂家的出厂标准和现行国家、行业各项标准、出厂标准与国家/行业标准要求不一致时，以要求较高者为准。</w:t>
      </w:r>
    </w:p>
    <w:p>
      <w:pPr>
        <w:spacing w:line="360" w:lineRule="auto"/>
        <w:ind w:firstLine="480" w:firstLineChars="200"/>
        <w:rPr>
          <w:color w:val="auto"/>
          <w:szCs w:val="21"/>
          <w:highlight w:val="none"/>
        </w:rPr>
      </w:pPr>
      <w:r>
        <w:rPr>
          <w:rFonts w:hint="eastAsia"/>
          <w:color w:val="auto"/>
          <w:szCs w:val="21"/>
          <w:highlight w:val="none"/>
        </w:rPr>
        <w:t>11.4</w:t>
      </w:r>
      <w:r>
        <w:rPr>
          <w:color w:val="auto"/>
          <w:szCs w:val="21"/>
          <w:highlight w:val="none"/>
        </w:rPr>
        <w:t>质量保证期</w:t>
      </w:r>
      <w:r>
        <w:rPr>
          <w:rFonts w:hint="eastAsia"/>
          <w:color w:val="auto"/>
          <w:szCs w:val="21"/>
          <w:highlight w:val="none"/>
          <w:u w:val="single"/>
        </w:rPr>
        <w:t xml:space="preserve">  </w:t>
      </w:r>
      <w:r>
        <w:rPr>
          <w:color w:val="auto"/>
          <w:szCs w:val="21"/>
          <w:highlight w:val="none"/>
          <w:u w:val="single"/>
        </w:rPr>
        <w:t>3</w:t>
      </w:r>
      <w:r>
        <w:rPr>
          <w:rFonts w:hint="eastAsia"/>
          <w:color w:val="auto"/>
          <w:szCs w:val="21"/>
          <w:highlight w:val="none"/>
          <w:u w:val="single"/>
        </w:rPr>
        <w:t xml:space="preserve">  </w:t>
      </w:r>
      <w:r>
        <w:rPr>
          <w:color w:val="auto"/>
          <w:szCs w:val="21"/>
          <w:highlight w:val="none"/>
        </w:rPr>
        <w:t>年。（自</w:t>
      </w:r>
      <w:r>
        <w:rPr>
          <w:rFonts w:hint="eastAsia"/>
          <w:color w:val="auto"/>
          <w:szCs w:val="21"/>
          <w:highlight w:val="none"/>
        </w:rPr>
        <w:t>通过验收后第二天开始</w:t>
      </w:r>
      <w:r>
        <w:rPr>
          <w:color w:val="auto"/>
          <w:szCs w:val="21"/>
          <w:highlight w:val="none"/>
        </w:rPr>
        <w:t>计）</w:t>
      </w:r>
    </w:p>
    <w:p>
      <w:pPr>
        <w:spacing w:line="360" w:lineRule="auto"/>
        <w:ind w:firstLine="480" w:firstLineChars="200"/>
        <w:rPr>
          <w:color w:val="auto"/>
          <w:szCs w:val="21"/>
          <w:highlight w:val="none"/>
        </w:rPr>
      </w:pPr>
      <w:r>
        <w:rPr>
          <w:rFonts w:hint="eastAsia"/>
          <w:color w:val="auto"/>
          <w:szCs w:val="21"/>
          <w:highlight w:val="none"/>
        </w:rPr>
        <w:t>11</w:t>
      </w:r>
      <w:r>
        <w:rPr>
          <w:color w:val="auto"/>
          <w:szCs w:val="21"/>
          <w:highlight w:val="none"/>
        </w:rPr>
        <w:t>.</w:t>
      </w:r>
      <w:r>
        <w:rPr>
          <w:rFonts w:hint="eastAsia"/>
          <w:color w:val="auto"/>
          <w:szCs w:val="21"/>
          <w:highlight w:val="none"/>
        </w:rPr>
        <w:t>5</w:t>
      </w:r>
      <w:r>
        <w:rPr>
          <w:color w:val="auto"/>
          <w:szCs w:val="21"/>
          <w:highlight w:val="none"/>
        </w:rPr>
        <w:t>乙方提供的货物在质量保证期内因货物本身的质量问题发生故障，乙方应负责免费更换。对达不到技术要求者，根据实际情况，经双方协商，甲方有权在以下办法中选择一种方式处理：</w:t>
      </w:r>
    </w:p>
    <w:p>
      <w:pPr>
        <w:spacing w:line="360" w:lineRule="auto"/>
        <w:ind w:firstLine="480" w:firstLineChars="200"/>
        <w:rPr>
          <w:rFonts w:hint="eastAsia"/>
          <w:color w:val="auto"/>
          <w:szCs w:val="21"/>
          <w:highlight w:val="none"/>
        </w:rPr>
      </w:pPr>
      <w:r>
        <w:rPr>
          <w:rFonts w:hint="eastAsia"/>
          <w:color w:val="auto"/>
          <w:szCs w:val="21"/>
          <w:highlight w:val="none"/>
        </w:rPr>
        <w:t>（1）</w:t>
      </w:r>
      <w:r>
        <w:rPr>
          <w:color w:val="auto"/>
          <w:szCs w:val="21"/>
          <w:highlight w:val="none"/>
        </w:rPr>
        <w:t>更换：由乙方承担所发生的全部费用。</w:t>
      </w:r>
    </w:p>
    <w:p>
      <w:pPr>
        <w:spacing w:line="360" w:lineRule="auto"/>
        <w:ind w:firstLine="480" w:firstLineChars="200"/>
        <w:rPr>
          <w:color w:val="auto"/>
          <w:szCs w:val="21"/>
          <w:highlight w:val="none"/>
        </w:rPr>
      </w:pPr>
      <w:r>
        <w:rPr>
          <w:rFonts w:hint="eastAsia"/>
          <w:color w:val="auto"/>
          <w:szCs w:val="21"/>
          <w:highlight w:val="none"/>
        </w:rPr>
        <w:t>（2）</w:t>
      </w:r>
      <w:r>
        <w:rPr>
          <w:color w:val="auto"/>
          <w:szCs w:val="21"/>
          <w:highlight w:val="none"/>
        </w:rPr>
        <w:t>贬值处理：由甲乙双方合议定价。</w:t>
      </w:r>
    </w:p>
    <w:p>
      <w:pPr>
        <w:spacing w:line="360" w:lineRule="auto"/>
        <w:ind w:firstLine="480" w:firstLineChars="200"/>
        <w:rPr>
          <w:color w:val="auto"/>
          <w:szCs w:val="21"/>
          <w:highlight w:val="none"/>
        </w:rPr>
      </w:pPr>
      <w:r>
        <w:rPr>
          <w:rFonts w:hint="eastAsia"/>
          <w:color w:val="auto"/>
          <w:szCs w:val="21"/>
          <w:highlight w:val="none"/>
        </w:rPr>
        <w:t>（3）</w:t>
      </w:r>
      <w:r>
        <w:rPr>
          <w:color w:val="auto"/>
          <w:szCs w:val="21"/>
          <w:highlight w:val="none"/>
        </w:rPr>
        <w:t>退货处理：乙方应退还甲方支付的合同款，同时应承担该货物的直接费用（运输、保险、检验、货款利息及银行手续费等）。</w:t>
      </w:r>
    </w:p>
    <w:p>
      <w:pPr>
        <w:spacing w:line="360" w:lineRule="auto"/>
        <w:ind w:firstLine="480" w:firstLineChars="200"/>
        <w:rPr>
          <w:rFonts w:hint="eastAsia"/>
          <w:color w:val="auto"/>
          <w:szCs w:val="21"/>
          <w:highlight w:val="none"/>
        </w:rPr>
      </w:pPr>
      <w:r>
        <w:rPr>
          <w:rFonts w:hint="eastAsia"/>
          <w:color w:val="auto"/>
          <w:szCs w:val="21"/>
          <w:highlight w:val="none"/>
        </w:rPr>
        <w:t>11</w:t>
      </w:r>
      <w:r>
        <w:rPr>
          <w:color w:val="auto"/>
          <w:szCs w:val="21"/>
          <w:highlight w:val="none"/>
        </w:rPr>
        <w:t>.</w:t>
      </w:r>
      <w:r>
        <w:rPr>
          <w:rFonts w:hint="eastAsia"/>
          <w:color w:val="auto"/>
          <w:szCs w:val="21"/>
          <w:highlight w:val="none"/>
        </w:rPr>
        <w:t>6</w:t>
      </w:r>
      <w:r>
        <w:rPr>
          <w:color w:val="auto"/>
          <w:szCs w:val="21"/>
          <w:highlight w:val="none"/>
        </w:rPr>
        <w:t>在质量保证期内，乙方应对货物出现的质量及安全问题负责处理解决并承担一切费用。</w:t>
      </w:r>
    </w:p>
    <w:p>
      <w:pPr>
        <w:spacing w:line="360" w:lineRule="auto"/>
        <w:ind w:firstLine="480" w:firstLineChars="200"/>
        <w:rPr>
          <w:rFonts w:hint="eastAsia"/>
          <w:color w:val="auto"/>
          <w:highlight w:val="none"/>
        </w:rPr>
      </w:pPr>
      <w:r>
        <w:rPr>
          <w:rFonts w:hint="eastAsia"/>
          <w:color w:val="auto"/>
          <w:highlight w:val="none"/>
        </w:rPr>
        <w:t>11.7运行维护期内（必须满足业务7*24小时不间断工作），在接到系统故障通知后，乙方必须在15分钟内响应。对于影响系统正常运行的严重故障，相关技术人员必须在接到故障通知后1小时内赶到现场，查找原因，提出解决方案，并工作直至故障消除完全恢复正常服务为止，一般要求保证系统在4小时之内修复，并需要提供确保承诺实现的措施。</w:t>
      </w:r>
    </w:p>
    <w:p>
      <w:pPr>
        <w:spacing w:line="360" w:lineRule="auto"/>
        <w:ind w:firstLine="480" w:firstLineChars="200"/>
        <w:rPr>
          <w:rFonts w:hint="eastAsia"/>
          <w:color w:val="auto"/>
          <w:szCs w:val="21"/>
          <w:highlight w:val="none"/>
        </w:rPr>
      </w:pPr>
      <w:r>
        <w:rPr>
          <w:rFonts w:hint="eastAsia"/>
          <w:color w:val="auto"/>
          <w:highlight w:val="none"/>
        </w:rPr>
        <w:t>11.8</w:t>
      </w:r>
      <w:r>
        <w:rPr>
          <w:rFonts w:hint="eastAsia"/>
          <w:color w:val="auto"/>
          <w:szCs w:val="21"/>
          <w:highlight w:val="none"/>
        </w:rPr>
        <w:t>乙方必须建立完善的本地化服务队伍，确保系统出现的任何故障都能及时修复。乙方需派1名技术工程师常驻甲方单位，技术工程师应具有计算机类专业大专或以上学历，工作年限不少于1年。在合同签订后至运行维护期满内，常驻人员不得随意更换，如需更换，需向甲方进行具体说明，并征得甲方同意后允许更换，更换的人员要求不得低于原常驻人员的要求。乙方自行更换上述人员的，按违约处理。甲方有权提出更换不合格的常驻人员。项目常驻人员需定期向甲方上交项目运行周报、月报和年终总结，周报上交时间为每周二，月报上交时间为每月5号前，年终总结上交时间为年租期截止日后5工作日内。</w:t>
      </w:r>
    </w:p>
    <w:p>
      <w:pPr>
        <w:spacing w:line="360" w:lineRule="auto"/>
        <w:ind w:firstLine="480" w:firstLineChars="200"/>
        <w:rPr>
          <w:rFonts w:hint="eastAsia"/>
          <w:color w:val="auto"/>
          <w:szCs w:val="21"/>
          <w:highlight w:val="none"/>
        </w:rPr>
      </w:pPr>
      <w:r>
        <w:rPr>
          <w:rFonts w:hint="eastAsia"/>
          <w:color w:val="auto"/>
          <w:highlight w:val="none"/>
        </w:rPr>
        <w:t>11.9</w:t>
      </w:r>
      <w:r>
        <w:rPr>
          <w:rFonts w:hint="eastAsia"/>
          <w:color w:val="auto"/>
          <w:szCs w:val="21"/>
          <w:highlight w:val="none"/>
        </w:rPr>
        <w:t>乙方须配备足够的交通车辆、维护工具及备品备件，以保证故障维修需要。</w:t>
      </w:r>
    </w:p>
    <w:p>
      <w:pPr>
        <w:spacing w:line="360" w:lineRule="auto"/>
        <w:ind w:firstLine="480" w:firstLineChars="200"/>
        <w:rPr>
          <w:color w:val="auto"/>
          <w:szCs w:val="21"/>
          <w:highlight w:val="none"/>
        </w:rPr>
      </w:pPr>
      <w:r>
        <w:rPr>
          <w:rFonts w:hint="eastAsia"/>
          <w:color w:val="auto"/>
          <w:highlight w:val="none"/>
        </w:rPr>
        <w:t>11.10</w:t>
      </w:r>
      <w:r>
        <w:rPr>
          <w:rFonts w:hint="eastAsia"/>
          <w:color w:val="auto"/>
          <w:szCs w:val="21"/>
          <w:highlight w:val="none"/>
        </w:rPr>
        <w:t>后续增加设备按本次招标的价格和技术要求分批建设和验收。</w:t>
      </w:r>
    </w:p>
    <w:p>
      <w:pPr>
        <w:spacing w:line="360" w:lineRule="auto"/>
        <w:ind w:firstLine="480" w:firstLineChars="200"/>
        <w:rPr>
          <w:color w:val="auto"/>
          <w:szCs w:val="21"/>
          <w:highlight w:val="none"/>
        </w:rPr>
      </w:pPr>
      <w:r>
        <w:rPr>
          <w:rFonts w:hint="eastAsia"/>
          <w:color w:val="auto"/>
          <w:highlight w:val="none"/>
        </w:rPr>
        <w:t>11.11</w:t>
      </w:r>
      <w:r>
        <w:rPr>
          <w:rFonts w:hint="eastAsia"/>
          <w:color w:val="auto"/>
          <w:szCs w:val="21"/>
          <w:highlight w:val="none"/>
        </w:rPr>
        <w:t>根据甲方工作需要，乙方应提供一次免费迁移机房所有设备（含软件）服务，保证迁移后系统正常运行。</w:t>
      </w:r>
    </w:p>
    <w:p>
      <w:pPr>
        <w:spacing w:line="360" w:lineRule="auto"/>
        <w:ind w:firstLine="480" w:firstLineChars="200"/>
        <w:rPr>
          <w:rFonts w:hint="eastAsia"/>
          <w:color w:val="auto"/>
          <w:szCs w:val="21"/>
          <w:highlight w:val="none"/>
        </w:rPr>
      </w:pPr>
      <w:r>
        <w:rPr>
          <w:rFonts w:hint="eastAsia"/>
          <w:color w:val="auto"/>
          <w:szCs w:val="21"/>
          <w:highlight w:val="none"/>
        </w:rPr>
        <w:t>11</w:t>
      </w:r>
      <w:r>
        <w:rPr>
          <w:color w:val="auto"/>
          <w:szCs w:val="21"/>
          <w:highlight w:val="none"/>
        </w:rPr>
        <w:t>.12</w:t>
      </w:r>
      <w:r>
        <w:rPr>
          <w:rFonts w:hint="eastAsia"/>
          <w:color w:val="auto"/>
          <w:szCs w:val="21"/>
          <w:highlight w:val="none"/>
        </w:rPr>
        <w:t>项目三年质保期满后，前三年每年维护费不得高于合同额的2%，后三年每年维护费不得高于合同额的3%。</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11.1</w:t>
      </w:r>
      <w:r>
        <w:rPr>
          <w:color w:val="auto"/>
          <w:sz w:val="24"/>
          <w:szCs w:val="24"/>
          <w:highlight w:val="none"/>
        </w:rPr>
        <w:t>3</w:t>
      </w:r>
      <w:r>
        <w:rPr>
          <w:rFonts w:hint="eastAsia"/>
          <w:color w:val="auto"/>
          <w:sz w:val="24"/>
          <w:szCs w:val="24"/>
          <w:highlight w:val="none"/>
        </w:rPr>
        <w:t>其他：详见投标文件中的售后服务方案及其他优惠措施。</w:t>
      </w:r>
    </w:p>
    <w:p>
      <w:pPr>
        <w:spacing w:before="120" w:beforeLines="50" w:after="120" w:afterLines="50" w:line="360" w:lineRule="auto"/>
        <w:rPr>
          <w:b/>
          <w:color w:val="auto"/>
          <w:sz w:val="24"/>
          <w:szCs w:val="24"/>
          <w:highlight w:val="none"/>
        </w:rPr>
      </w:pPr>
      <w:r>
        <w:rPr>
          <w:b/>
          <w:color w:val="auto"/>
          <w:sz w:val="24"/>
          <w:szCs w:val="24"/>
          <w:highlight w:val="none"/>
        </w:rPr>
        <w:t>十</w:t>
      </w:r>
      <w:r>
        <w:rPr>
          <w:rFonts w:hint="eastAsia"/>
          <w:b/>
          <w:color w:val="auto"/>
          <w:sz w:val="24"/>
          <w:szCs w:val="24"/>
          <w:highlight w:val="none"/>
        </w:rPr>
        <w:t>二</w:t>
      </w:r>
      <w:r>
        <w:rPr>
          <w:b/>
          <w:color w:val="auto"/>
          <w:sz w:val="24"/>
          <w:szCs w:val="24"/>
          <w:highlight w:val="none"/>
        </w:rPr>
        <w:t>、货物包装、发运及运输</w:t>
      </w:r>
    </w:p>
    <w:p>
      <w:pPr>
        <w:spacing w:line="360" w:lineRule="auto"/>
        <w:ind w:firstLine="480" w:firstLineChars="200"/>
        <w:rPr>
          <w:color w:val="auto"/>
          <w:sz w:val="24"/>
          <w:szCs w:val="24"/>
          <w:highlight w:val="none"/>
        </w:rPr>
      </w:pPr>
    </w:p>
    <w:p>
      <w:pPr>
        <w:spacing w:before="120" w:beforeLines="50" w:after="120" w:afterLines="50" w:line="360" w:lineRule="auto"/>
        <w:rPr>
          <w:b/>
          <w:color w:val="auto"/>
          <w:sz w:val="24"/>
          <w:szCs w:val="24"/>
          <w:highlight w:val="none"/>
        </w:rPr>
      </w:pPr>
      <w:r>
        <w:rPr>
          <w:b/>
          <w:color w:val="auto"/>
          <w:sz w:val="24"/>
          <w:szCs w:val="24"/>
          <w:highlight w:val="none"/>
        </w:rPr>
        <w:t>十</w:t>
      </w:r>
      <w:r>
        <w:rPr>
          <w:rFonts w:hint="eastAsia"/>
          <w:b/>
          <w:color w:val="auto"/>
          <w:sz w:val="24"/>
          <w:szCs w:val="24"/>
          <w:highlight w:val="none"/>
        </w:rPr>
        <w:t>三</w:t>
      </w:r>
      <w:r>
        <w:rPr>
          <w:b/>
          <w:color w:val="auto"/>
          <w:sz w:val="24"/>
          <w:szCs w:val="24"/>
          <w:highlight w:val="none"/>
        </w:rPr>
        <w:t>、违约责任</w:t>
      </w:r>
    </w:p>
    <w:p>
      <w:pPr>
        <w:spacing w:line="360" w:lineRule="auto"/>
        <w:ind w:firstLine="480" w:firstLineChars="200"/>
        <w:rPr>
          <w:color w:val="auto"/>
          <w:sz w:val="24"/>
          <w:szCs w:val="24"/>
          <w:highlight w:val="none"/>
        </w:rPr>
      </w:pPr>
      <w:r>
        <w:rPr>
          <w:rFonts w:hint="eastAsia"/>
          <w:color w:val="auto"/>
          <w:sz w:val="24"/>
          <w:szCs w:val="24"/>
          <w:highlight w:val="none"/>
        </w:rPr>
        <w:t>13</w:t>
      </w:r>
      <w:r>
        <w:rPr>
          <w:color w:val="auto"/>
          <w:sz w:val="24"/>
          <w:szCs w:val="24"/>
          <w:highlight w:val="none"/>
        </w:rPr>
        <w:t>.1</w:t>
      </w:r>
      <w:r>
        <w:rPr>
          <w:rFonts w:hint="eastAsia"/>
          <w:color w:val="auto"/>
          <w:sz w:val="24"/>
          <w:szCs w:val="24"/>
          <w:highlight w:val="none"/>
        </w:rPr>
        <w:t>甲方逾期支付合同款项的，以甲方支付当日计，每逾期支付一天，按银行同期活期存款利率（不计复利）支付利息</w:t>
      </w:r>
      <w:r>
        <w:rPr>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13</w:t>
      </w:r>
      <w:r>
        <w:rPr>
          <w:color w:val="auto"/>
          <w:sz w:val="24"/>
          <w:szCs w:val="24"/>
          <w:highlight w:val="none"/>
        </w:rPr>
        <w:t>.</w:t>
      </w:r>
      <w:r>
        <w:rPr>
          <w:rFonts w:hint="eastAsia"/>
          <w:color w:val="auto"/>
          <w:sz w:val="24"/>
          <w:szCs w:val="24"/>
          <w:highlight w:val="none"/>
        </w:rPr>
        <w:t>2</w:t>
      </w:r>
      <w:r>
        <w:rPr>
          <w:color w:val="auto"/>
          <w:sz w:val="24"/>
          <w:szCs w:val="24"/>
          <w:highlight w:val="none"/>
        </w:rPr>
        <w:t xml:space="preserve">乙方逾期交付货物的，乙方应按逾期交货总额每日千分之六向甲方支付违约金，由甲方从待付货款中扣除。逾期超过约定日期10个工作日不能交货的，甲方可解除本合同。因乙方的逾期交货或其他违约行为导致甲方解除合同的，乙方应向甲方支付合同总值5%的违约金，如造成甲方损失超过违约金的，超出部分由乙方继续承担赔偿责任。 </w:t>
      </w:r>
    </w:p>
    <w:p>
      <w:pPr>
        <w:spacing w:line="360" w:lineRule="auto"/>
        <w:ind w:firstLine="480" w:firstLineChars="200"/>
        <w:rPr>
          <w:rFonts w:hint="eastAsia"/>
          <w:color w:val="auto"/>
          <w:sz w:val="24"/>
          <w:szCs w:val="24"/>
          <w:highlight w:val="none"/>
        </w:rPr>
      </w:pPr>
      <w:r>
        <w:rPr>
          <w:color w:val="auto"/>
          <w:sz w:val="24"/>
          <w:szCs w:val="24"/>
          <w:highlight w:val="none"/>
        </w:rPr>
        <w:t>1</w:t>
      </w:r>
      <w:r>
        <w:rPr>
          <w:rFonts w:hint="eastAsia"/>
          <w:color w:val="auto"/>
          <w:sz w:val="24"/>
          <w:szCs w:val="24"/>
          <w:highlight w:val="none"/>
        </w:rPr>
        <w:t>3</w:t>
      </w:r>
      <w:r>
        <w:rPr>
          <w:color w:val="auto"/>
          <w:sz w:val="24"/>
          <w:szCs w:val="24"/>
          <w:highlight w:val="none"/>
        </w:rPr>
        <w:t>.</w:t>
      </w:r>
      <w:r>
        <w:rPr>
          <w:rFonts w:hint="eastAsia"/>
          <w:color w:val="auto"/>
          <w:sz w:val="24"/>
          <w:szCs w:val="24"/>
          <w:highlight w:val="none"/>
        </w:rPr>
        <w:t>3</w:t>
      </w:r>
      <w:r>
        <w:rPr>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color w:val="auto"/>
          <w:sz w:val="24"/>
          <w:szCs w:val="24"/>
          <w:highlight w:val="none"/>
        </w:rPr>
        <w:t>，并不予退还履约保证金</w:t>
      </w:r>
      <w:r>
        <w:rPr>
          <w:color w:val="auto"/>
          <w:sz w:val="24"/>
          <w:szCs w:val="24"/>
          <w:highlight w:val="none"/>
        </w:rPr>
        <w:t>。</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13.4运行维护期内，在接到系统故障通知后，乙方未能在15分钟内响应或接到故障通知后2小时内未赶到现场的，按每次2000元向甲方支付违约金。超过4小时未修复的，按每次5000元向甲方支付违约金。超过24小时未修复的，按每次10000元向甲方支付违约金。一个月内出现三次（含）以上上述任意一种情况的，除上述违约金外，另向甲方支付违约金50000元。</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13.5项目验收完成前，未经甲方允许，自行更换项目负责人或技术工程师的，按每人次50000元向甲方支付违约金。</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13.6项目验收完成前，项目负责人或技术工程师须接受考勤，未到现场的，按每人每天1000元向甲方支付违约金。</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13.7如甲方在签署合同后，不能按时履行付款义务，乙方按照合同约定，无权停止欠费方的本合同项下有关的服务和业务，并有权对所欠费用进行追缴。</w:t>
      </w:r>
    </w:p>
    <w:p>
      <w:pPr>
        <w:pStyle w:val="17"/>
        <w:overflowPunct w:val="0"/>
        <w:autoSpaceDE w:val="0"/>
        <w:autoSpaceDN w:val="0"/>
        <w:adjustRightInd w:val="0"/>
        <w:snapToGrid w:val="0"/>
        <w:spacing w:before="0" w:beforeAutospacing="0" w:after="0" w:afterAutospacing="0" w:line="360" w:lineRule="auto"/>
        <w:rPr>
          <w:rFonts w:hint="eastAsia"/>
          <w:b/>
          <w:color w:val="auto"/>
          <w:kern w:val="2"/>
          <w:sz w:val="24"/>
          <w:szCs w:val="24"/>
          <w:highlight w:val="none"/>
        </w:rPr>
      </w:pPr>
    </w:p>
    <w:p>
      <w:pPr>
        <w:pStyle w:val="17"/>
        <w:overflowPunct w:val="0"/>
        <w:autoSpaceDE w:val="0"/>
        <w:autoSpaceDN w:val="0"/>
        <w:adjustRightInd w:val="0"/>
        <w:snapToGrid w:val="0"/>
        <w:spacing w:before="0" w:beforeAutospacing="0" w:after="0" w:afterAutospacing="0" w:line="360" w:lineRule="auto"/>
        <w:rPr>
          <w:b/>
          <w:color w:val="auto"/>
          <w:sz w:val="24"/>
          <w:szCs w:val="24"/>
          <w:highlight w:val="none"/>
        </w:rPr>
      </w:pPr>
      <w:r>
        <w:rPr>
          <w:rFonts w:hint="eastAsia"/>
          <w:b/>
          <w:color w:val="auto"/>
          <w:kern w:val="2"/>
          <w:sz w:val="24"/>
          <w:szCs w:val="24"/>
          <w:highlight w:val="none"/>
        </w:rPr>
        <w:t>十四、不可抗力事件处理</w:t>
      </w:r>
    </w:p>
    <w:p>
      <w:pPr>
        <w:pStyle w:val="17"/>
        <w:overflowPunct w:val="0"/>
        <w:autoSpaceDE w:val="0"/>
        <w:autoSpaceDN w:val="0"/>
        <w:adjustRightInd w:val="0"/>
        <w:snapToGrid w:val="0"/>
        <w:spacing w:before="0" w:beforeAutospacing="0" w:after="0" w:afterAutospacing="0" w:line="360" w:lineRule="auto"/>
        <w:ind w:left="420" w:hanging="480" w:hangingChars="200"/>
        <w:rPr>
          <w:color w:val="auto"/>
          <w:sz w:val="24"/>
          <w:szCs w:val="24"/>
          <w:highlight w:val="none"/>
        </w:rPr>
      </w:pPr>
      <w:r>
        <w:rPr>
          <w:rFonts w:hint="eastAsia"/>
          <w:color w:val="auto"/>
          <w:kern w:val="2"/>
          <w:sz w:val="24"/>
          <w:szCs w:val="24"/>
          <w:highlight w:val="none"/>
        </w:rPr>
        <w:t>1．在合同有效期内，任何一方因不可抗力事件导致不能履行合同，则合同履行期可延长，其延长期与不可抗力影响期相同。</w:t>
      </w:r>
    </w:p>
    <w:p>
      <w:pPr>
        <w:pStyle w:val="17"/>
        <w:overflowPunct w:val="0"/>
        <w:autoSpaceDE w:val="0"/>
        <w:autoSpaceDN w:val="0"/>
        <w:adjustRightInd w:val="0"/>
        <w:snapToGrid w:val="0"/>
        <w:spacing w:before="0" w:beforeAutospacing="0" w:after="0" w:afterAutospacing="0" w:line="360" w:lineRule="auto"/>
        <w:rPr>
          <w:color w:val="auto"/>
          <w:sz w:val="24"/>
          <w:szCs w:val="24"/>
          <w:highlight w:val="none"/>
        </w:rPr>
      </w:pPr>
      <w:r>
        <w:rPr>
          <w:rFonts w:hint="eastAsia"/>
          <w:color w:val="auto"/>
          <w:kern w:val="2"/>
          <w:sz w:val="24"/>
          <w:szCs w:val="24"/>
          <w:highlight w:val="none"/>
        </w:rPr>
        <w:t>2．不可抗力事件发生后，应立即通知对方，并寄送有关权威机构出具的证明。</w:t>
      </w:r>
    </w:p>
    <w:p>
      <w:pPr>
        <w:pStyle w:val="17"/>
        <w:overflowPunct w:val="0"/>
        <w:autoSpaceDE w:val="0"/>
        <w:autoSpaceDN w:val="0"/>
        <w:adjustRightInd w:val="0"/>
        <w:snapToGrid w:val="0"/>
        <w:spacing w:before="0" w:beforeAutospacing="0" w:after="0" w:afterAutospacing="0" w:line="360" w:lineRule="auto"/>
        <w:rPr>
          <w:color w:val="auto"/>
          <w:sz w:val="24"/>
          <w:szCs w:val="24"/>
          <w:highlight w:val="none"/>
        </w:rPr>
      </w:pPr>
      <w:r>
        <w:rPr>
          <w:rFonts w:hint="eastAsia"/>
          <w:color w:val="auto"/>
          <w:kern w:val="2"/>
          <w:sz w:val="24"/>
          <w:szCs w:val="24"/>
          <w:highlight w:val="none"/>
        </w:rPr>
        <w:t>3．不可抗力事件延续120天以上，双方应通过友好协商，确定是否继续履行合同。</w:t>
      </w:r>
    </w:p>
    <w:p>
      <w:pPr>
        <w:spacing w:line="360" w:lineRule="auto"/>
        <w:rPr>
          <w:b/>
          <w:bCs/>
          <w:color w:val="auto"/>
          <w:sz w:val="24"/>
          <w:szCs w:val="24"/>
          <w:highlight w:val="none"/>
        </w:rPr>
      </w:pPr>
      <w:r>
        <w:rPr>
          <w:rFonts w:hint="eastAsia"/>
          <w:b/>
          <w:color w:val="auto"/>
          <w:sz w:val="24"/>
          <w:szCs w:val="24"/>
          <w:highlight w:val="none"/>
        </w:rPr>
        <w:t>十五</w:t>
      </w:r>
      <w:r>
        <w:rPr>
          <w:rFonts w:hint="eastAsia"/>
          <w:color w:val="auto"/>
          <w:sz w:val="24"/>
          <w:szCs w:val="24"/>
          <w:highlight w:val="none"/>
        </w:rPr>
        <w:t>、</w:t>
      </w:r>
      <w:r>
        <w:rPr>
          <w:rFonts w:hint="eastAsia"/>
          <w:b/>
          <w:bCs/>
          <w:color w:val="auto"/>
          <w:sz w:val="24"/>
          <w:szCs w:val="24"/>
          <w:highlight w:val="none"/>
        </w:rPr>
        <w:t>争议的解决</w:t>
      </w:r>
    </w:p>
    <w:p>
      <w:pPr>
        <w:spacing w:line="360" w:lineRule="auto"/>
        <w:rPr>
          <w:color w:val="auto"/>
          <w:sz w:val="24"/>
          <w:szCs w:val="24"/>
          <w:highlight w:val="none"/>
        </w:rPr>
      </w:pPr>
      <w:r>
        <w:rPr>
          <w:rFonts w:hint="eastAsia"/>
          <w:color w:val="auto"/>
          <w:sz w:val="24"/>
          <w:szCs w:val="24"/>
          <w:highlight w:val="none"/>
        </w:rPr>
        <w:t>在发生所供商品的质量、售后服务等问题时，甲方有权直接向乙方索赔，签订必要的书面处理协议。如协商不成，在甲方所在地选择诉讼的途径解决。</w:t>
      </w:r>
    </w:p>
    <w:p>
      <w:pPr>
        <w:spacing w:line="360" w:lineRule="auto"/>
        <w:rPr>
          <w:color w:val="auto"/>
          <w:sz w:val="24"/>
          <w:szCs w:val="24"/>
          <w:highlight w:val="none"/>
        </w:rPr>
      </w:pPr>
      <w:r>
        <w:rPr>
          <w:rFonts w:hint="eastAsia"/>
          <w:color w:val="auto"/>
          <w:sz w:val="24"/>
          <w:szCs w:val="24"/>
          <w:highlight w:val="none"/>
        </w:rPr>
        <w:t>十六、合同生效及其它</w:t>
      </w:r>
    </w:p>
    <w:p>
      <w:pPr>
        <w:spacing w:line="360" w:lineRule="auto"/>
        <w:rPr>
          <w:color w:val="auto"/>
          <w:sz w:val="24"/>
          <w:szCs w:val="24"/>
          <w:highlight w:val="none"/>
        </w:rPr>
      </w:pPr>
      <w:r>
        <w:rPr>
          <w:rFonts w:hint="eastAsia"/>
          <w:color w:val="auto"/>
          <w:sz w:val="24"/>
          <w:szCs w:val="24"/>
          <w:highlight w:val="none"/>
        </w:rPr>
        <w:t>1. 合同经双方法定代表人或授权委托代理人签字并加盖单位公章后生效。</w:t>
      </w:r>
    </w:p>
    <w:p>
      <w:pPr>
        <w:spacing w:line="360" w:lineRule="auto"/>
        <w:rPr>
          <w:color w:val="auto"/>
          <w:sz w:val="24"/>
          <w:szCs w:val="24"/>
          <w:highlight w:val="none"/>
        </w:rPr>
      </w:pPr>
      <w:r>
        <w:rPr>
          <w:rFonts w:hint="eastAsia"/>
          <w:color w:val="auto"/>
          <w:sz w:val="24"/>
          <w:szCs w:val="24"/>
          <w:highlight w:val="none"/>
        </w:rPr>
        <w:t>2.本合同未尽事宜，遵照《合同法》有关条文执行。</w:t>
      </w:r>
    </w:p>
    <w:p>
      <w:pPr>
        <w:spacing w:line="360" w:lineRule="auto"/>
        <w:rPr>
          <w:color w:val="auto"/>
          <w:sz w:val="24"/>
          <w:szCs w:val="24"/>
          <w:highlight w:val="none"/>
        </w:rPr>
      </w:pPr>
      <w:r>
        <w:rPr>
          <w:rFonts w:hint="eastAsia"/>
          <w:color w:val="auto"/>
          <w:sz w:val="24"/>
          <w:szCs w:val="24"/>
          <w:highlight w:val="none"/>
        </w:rPr>
        <w:t>3.本合同正本一式   份，具有同等法律效力，甲乙双方各执   份；一份提供给浙江中基正采管理咨询有限公司备案用。</w:t>
      </w:r>
    </w:p>
    <w:p>
      <w:pPr>
        <w:pStyle w:val="12"/>
        <w:snapToGrid w:val="0"/>
        <w:spacing w:before="120" w:after="120" w:line="360" w:lineRule="auto"/>
        <w:ind w:left="420" w:hanging="420" w:hangingChars="200"/>
        <w:rPr>
          <w:rFonts w:hint="default" w:hAnsi="宋体"/>
          <w:color w:val="auto"/>
          <w:sz w:val="21"/>
          <w:highlight w:val="none"/>
        </w:rPr>
      </w:pPr>
    </w:p>
    <w:p>
      <w:pPr>
        <w:pStyle w:val="12"/>
        <w:snapToGrid w:val="0"/>
        <w:spacing w:before="120" w:after="120" w:line="360" w:lineRule="auto"/>
        <w:ind w:left="420" w:hanging="480" w:hangingChars="200"/>
        <w:rPr>
          <w:rFonts w:hint="default" w:hAnsi="宋体"/>
          <w:color w:val="auto"/>
          <w:sz w:val="24"/>
          <w:szCs w:val="24"/>
          <w:highlight w:val="none"/>
        </w:rPr>
      </w:pPr>
      <w:r>
        <w:rPr>
          <w:rFonts w:hAnsi="宋体"/>
          <w:color w:val="auto"/>
          <w:sz w:val="24"/>
          <w:szCs w:val="24"/>
          <w:highlight w:val="none"/>
        </w:rPr>
        <w:t xml:space="preserve">甲方：                                   乙方： </w:t>
      </w:r>
    </w:p>
    <w:p>
      <w:pPr>
        <w:pStyle w:val="12"/>
        <w:snapToGrid w:val="0"/>
        <w:spacing w:before="120" w:after="120" w:line="360" w:lineRule="auto"/>
        <w:rPr>
          <w:rFonts w:hint="default" w:hAnsi="宋体"/>
          <w:color w:val="auto"/>
          <w:sz w:val="24"/>
          <w:szCs w:val="24"/>
          <w:highlight w:val="none"/>
        </w:rPr>
      </w:pPr>
      <w:r>
        <w:rPr>
          <w:rFonts w:hAnsi="宋体"/>
          <w:color w:val="auto"/>
          <w:sz w:val="24"/>
          <w:szCs w:val="24"/>
          <w:highlight w:val="none"/>
        </w:rPr>
        <w:t xml:space="preserve">地址：                                   地址： </w:t>
      </w:r>
    </w:p>
    <w:p>
      <w:pPr>
        <w:pStyle w:val="12"/>
        <w:snapToGrid w:val="0"/>
        <w:spacing w:before="120" w:after="120" w:line="360" w:lineRule="auto"/>
        <w:rPr>
          <w:rFonts w:hint="default" w:hAnsi="宋体"/>
          <w:color w:val="auto"/>
          <w:sz w:val="24"/>
          <w:szCs w:val="24"/>
          <w:highlight w:val="none"/>
        </w:rPr>
      </w:pPr>
      <w:r>
        <w:rPr>
          <w:rFonts w:hAnsi="宋体"/>
          <w:color w:val="auto"/>
          <w:sz w:val="24"/>
          <w:szCs w:val="24"/>
          <w:highlight w:val="none"/>
        </w:rPr>
        <w:t>法定代表人：                             法定代表人：</w:t>
      </w:r>
    </w:p>
    <w:p>
      <w:pPr>
        <w:pStyle w:val="12"/>
        <w:tabs>
          <w:tab w:val="left" w:pos="3528"/>
        </w:tabs>
        <w:snapToGrid w:val="0"/>
        <w:spacing w:line="360" w:lineRule="auto"/>
        <w:rPr>
          <w:rFonts w:hint="default" w:hAnsi="宋体"/>
          <w:color w:val="auto"/>
          <w:sz w:val="24"/>
          <w:szCs w:val="24"/>
          <w:highlight w:val="none"/>
        </w:rPr>
      </w:pPr>
      <w:r>
        <w:rPr>
          <w:rFonts w:hAnsi="宋体"/>
          <w:color w:val="auto"/>
          <w:sz w:val="24"/>
          <w:szCs w:val="24"/>
          <w:highlight w:val="none"/>
        </w:rPr>
        <w:t>签订地点：                               签订日期：      年   月   日</w:t>
      </w:r>
    </w:p>
    <w:p>
      <w:pPr>
        <w:rPr>
          <w:b/>
          <w:color w:val="auto"/>
          <w:sz w:val="24"/>
          <w:szCs w:val="24"/>
          <w:highlight w:val="none"/>
        </w:rPr>
        <w:sectPr>
          <w:headerReference r:id="rId9" w:type="default"/>
          <w:footerReference r:id="rId10" w:type="default"/>
          <w:pgSz w:w="11907" w:h="16840"/>
          <w:pgMar w:top="1009" w:right="1587" w:bottom="567" w:left="1587" w:header="283" w:footer="697" w:gutter="0"/>
          <w:cols w:space="720" w:num="1"/>
          <w:docGrid w:linePitch="285" w:charSpace="0"/>
        </w:sectPr>
      </w:pPr>
    </w:p>
    <w:p>
      <w:pPr>
        <w:numPr>
          <w:ilvl w:val="0"/>
          <w:numId w:val="10"/>
        </w:numPr>
        <w:spacing w:line="480" w:lineRule="auto"/>
        <w:ind w:firstLine="552" w:firstLineChars="200"/>
        <w:jc w:val="center"/>
        <w:rPr>
          <w:rStyle w:val="24"/>
          <w:rFonts w:hint="eastAsia"/>
          <w:color w:val="auto"/>
          <w:sz w:val="28"/>
          <w:szCs w:val="28"/>
          <w:highlight w:val="none"/>
        </w:rPr>
      </w:pPr>
      <w:bookmarkStart w:id="6" w:name="_Toc13092"/>
      <w:r>
        <w:rPr>
          <w:rStyle w:val="24"/>
          <w:rFonts w:hint="eastAsia"/>
          <w:color w:val="auto"/>
          <w:sz w:val="28"/>
          <w:szCs w:val="28"/>
          <w:highlight w:val="none"/>
        </w:rPr>
        <w:t>招标内容与技术需求</w:t>
      </w:r>
      <w:bookmarkEnd w:id="6"/>
    </w:p>
    <w:p>
      <w:pPr>
        <w:pStyle w:val="5"/>
        <w:rPr>
          <w:rFonts w:hint="eastAsia" w:ascii="宋体" w:hAnsi="宋体" w:eastAsia="宋体" w:cs="宋体"/>
          <w:color w:val="auto"/>
          <w:sz w:val="24"/>
          <w:szCs w:val="24"/>
          <w:highlight w:val="none"/>
        </w:rPr>
      </w:pPr>
      <w:bookmarkStart w:id="7" w:name="_Toc56774995"/>
      <w:bookmarkStart w:id="8" w:name="_Toc470450671"/>
      <w:bookmarkStart w:id="9" w:name="_Toc17810"/>
      <w:r>
        <w:rPr>
          <w:rFonts w:hint="eastAsia" w:ascii="宋体" w:hAnsi="宋体" w:eastAsia="宋体" w:cs="宋体"/>
          <w:color w:val="auto"/>
          <w:sz w:val="24"/>
          <w:szCs w:val="24"/>
          <w:highlight w:val="none"/>
        </w:rPr>
        <w:t>1.1项目概况</w:t>
      </w:r>
      <w:bookmarkEnd w:id="7"/>
      <w:bookmarkEnd w:id="8"/>
    </w:p>
    <w:p>
      <w:pPr>
        <w:pStyle w:val="6"/>
        <w:rPr>
          <w:rFonts w:hint="eastAsia" w:ascii="宋体" w:hAnsi="宋体" w:eastAsia="宋体" w:cs="宋体"/>
          <w:color w:val="auto"/>
          <w:sz w:val="24"/>
          <w:szCs w:val="24"/>
          <w:highlight w:val="none"/>
        </w:rPr>
      </w:pPr>
      <w:bookmarkStart w:id="10" w:name="_Toc56775004"/>
      <w:bookmarkStart w:id="11" w:name="_Toc51351200"/>
      <w:bookmarkStart w:id="12" w:name="_Toc510131701"/>
      <w:bookmarkStart w:id="13" w:name="_Toc519611520"/>
      <w:r>
        <w:rPr>
          <w:rFonts w:hint="eastAsia" w:ascii="宋体" w:hAnsi="宋体" w:eastAsia="宋体" w:cs="宋体"/>
          <w:color w:val="auto"/>
          <w:sz w:val="24"/>
          <w:szCs w:val="24"/>
          <w:highlight w:val="none"/>
        </w:rPr>
        <w:t>建设目标</w:t>
      </w:r>
      <w:bookmarkEnd w:id="10"/>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人工智能、物联感知、云计算技术，做到问题智能发现、主动预警、实时处置、全程监管，利用『感知、分析、服务、指挥、监察』五位一体的城市管理机制，打造集信息服务、信息协同、勤务调度、考评监督于一体的新型城市精细化管理系统。促使慈溪市城市管理智能化和精细化水平达到全国领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慈溪市城市智慧化管理系统是为了城市管理部门的日常运行管理提供信息化技术保障，通过规范化、流程化方式，对整个城市管理行政执法工作的案件、事件进行多来源的统一受理与运行处置监管。基于GIS平台对城市管理基础信息和实况信息集成，实现城市管理运行状况的实时、动态、可视化管控，为城市管理者提供实时监管的城市体征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线执法队员与管理者通过智能终端对综合执法案件的实时处置监管，提高日常综合执法工作效率。面向局内勤管理提供人员勤务管理，案件归档，执法队员的考核评价等应用服务。建立科学化的执法督察运行监管体系，改变传统督察工作监管难，考核难的问题。应用“大数据”分析技术，实现对各个应用系统数据的采集、清洗以及聚合并将经过整理的“大数据”资源向内外部应用系统提供数据服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AI智能视频分析等技术对城市管理中的各类违法行为进行自动识别与报警，并通过执法事件处置进行自动化的派遣处置，有效提高城市管理问题采集效能，基于网络数据信息的决策、应急处理、灾害预警及处理等业务将取代单纯的信息采集、发布等而成为平台的核心。</w:t>
      </w:r>
    </w:p>
    <w:p>
      <w:pPr>
        <w:pStyle w:val="6"/>
        <w:rPr>
          <w:rFonts w:hint="eastAsia" w:ascii="宋体" w:hAnsi="宋体" w:eastAsia="宋体" w:cs="宋体"/>
          <w:color w:val="auto"/>
          <w:sz w:val="24"/>
          <w:szCs w:val="24"/>
          <w:highlight w:val="none"/>
        </w:rPr>
      </w:pPr>
      <w:bookmarkStart w:id="14" w:name="_Toc56775005"/>
      <w:r>
        <w:rPr>
          <w:rFonts w:hint="eastAsia" w:ascii="宋体" w:hAnsi="宋体" w:eastAsia="宋体" w:cs="宋体"/>
          <w:color w:val="auto"/>
          <w:sz w:val="24"/>
          <w:szCs w:val="24"/>
          <w:highlight w:val="none"/>
        </w:rPr>
        <w:t>建设内容</w:t>
      </w:r>
      <w:bookmarkEnd w:id="14"/>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具体建设内容如下：</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1、智能解析系统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2、城管数据中心</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3、创新场景应用</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4、勤务调度室</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5、管理系统应用整合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6、数据对接</w:t>
      </w:r>
    </w:p>
    <w:bookmarkEnd w:id="11"/>
    <w:bookmarkEnd w:id="12"/>
    <w:bookmarkEnd w:id="13"/>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执行标准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慈溪市城市智慧化管理系统一期项目建设依据国家相关法律规章、国家和行业相关标准、相关研究成果等资料进行规划设计。包括但不限于以下规范和标准：</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《国家卫生城市标准》；</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《城市容貌标准》(GB 50449)；</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《计算机软件文档编制规范》(GB/T 8567)；</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《电子政务业务流程设计方法通用规范》(GB/T 19487)；</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《安全防范监控数字视音频编解码技术要求》（GB/T 25724）；</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《安全防范视频监控联网系统信息传输、交换、控制技术要求》（GB/T 28181）；</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1 部分：单元网格》(GB/T 30428.1)；</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2 部分：管理部件和事件》 (GB/T 30428.2)；</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3 部分：地理编码》(GB/T 30428.3)；</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4 部分：绩效评价》(GB/T 30428.4)；</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5 部分：监管信息采集设备》 (GB/T 30428.5)；</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6 部分：验收》(GB/T 30428.6)；</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7 部分：监管信息采集》(GB/T 30428.7)；</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《数字化城市管理信息系统 第 8 部分：立案、处置和结案》 (GB/T 30428.8)；</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《城市市政综合监管信息系统技术规范》(CJJ/T 106)；</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《城市市政综合监管信息系统技术规范》（CJJ/T106-2010）；</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《生活垃圾转运站技术规范》（CJJ／T47-2016）；</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《生活垃圾填埋场污染控制标准》（GB16889-2008）；</w:t>
      </w:r>
    </w:p>
    <w:p>
      <w:pPr>
        <w:pStyle w:val="34"/>
        <w:numPr>
          <w:ilvl w:val="0"/>
          <w:numId w:val="1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《生活垃圾焚烧污染控制标准》（GB18485-2014）；</w:t>
      </w: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bookmarkStart w:id="15" w:name="_Toc56775045"/>
      <w:r>
        <w:rPr>
          <w:rFonts w:hint="eastAsia" w:ascii="宋体" w:hAnsi="宋体" w:eastAsia="宋体" w:cs="宋体"/>
          <w:color w:val="auto"/>
          <w:sz w:val="24"/>
          <w:szCs w:val="24"/>
          <w:highlight w:val="none"/>
        </w:rPr>
        <w:t>2.1性能要求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1、要求数据传输网络畅通、快捷、安全、可扩展，主干网络千兆以上，各类系统接入可以依托现有的政务外网网络及业务专线。</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2、系统平台性能：要求采用通用性好的计算机系统、安全可靠的操作系统以及大型数据库系统，保证系统良好的性能。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时间特性要求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在软件方面，响应时间、更新处理时间、数据传送和转换时间、处理和解决问题时间，都比较迅速，能满足用户要求，整体响应时间需要保持在：</w:t>
      </w:r>
    </w:p>
    <w:p>
      <w:pPr>
        <w:pStyle w:val="34"/>
        <w:numPr>
          <w:ilvl w:val="0"/>
          <w:numId w:val="12"/>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B/S系统页面响应1s以内。</w:t>
      </w:r>
    </w:p>
    <w:p>
      <w:pPr>
        <w:pStyle w:val="34"/>
        <w:numPr>
          <w:ilvl w:val="0"/>
          <w:numId w:val="12"/>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视频监控调阅响应5s以内。</w:t>
      </w:r>
    </w:p>
    <w:p>
      <w:pPr>
        <w:pStyle w:val="34"/>
        <w:numPr>
          <w:ilvl w:val="0"/>
          <w:numId w:val="12"/>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GPS及北斗定位响应10s以内。</w:t>
      </w:r>
    </w:p>
    <w:p>
      <w:pPr>
        <w:pStyle w:val="34"/>
        <w:numPr>
          <w:ilvl w:val="0"/>
          <w:numId w:val="12"/>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复杂数据统计查询10s以内。</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系统中整合相关业务系统的数据应当提供及时更新，各类案件数据同步延迟应不低于1分钟。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用户并发数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各应用系统应当支持并发用户数不小于50个。</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移动办公系统当支持并发用户数不小于200个。</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安全稳定性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系统应提供7天×24小时的连续运行，平均故障间隔时间：&gt;7天，平均故障修复时间：&lt;30分钟。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系统应采用完善的安全管理，并能提供安全备份。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3、应用支撑平台性能：要求应用支撑平台为业务应用系统的开发和运行提供技术支撑，并具有灵活的可扩充性和高度的可配置管理性。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4、应用系统性能：应用系统性能应满足用户的要求，稳定、可靠、实用。人机界面友好，输出、输入方便，图表生成美观，检索、查询简单快捷。</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5、数据质量：系统数据应及时、准确、完整，能够满足汇总统计、制表制图、分析计算、模型测算等要求。</w:t>
      </w:r>
    </w:p>
    <w:p>
      <w:pPr>
        <w:pStyle w:val="5"/>
        <w:rPr>
          <w:rFonts w:hint="eastAsia" w:ascii="宋体" w:hAnsi="宋体" w:eastAsia="宋体" w:cs="宋体"/>
          <w:color w:val="auto"/>
          <w:sz w:val="24"/>
          <w:szCs w:val="24"/>
          <w:highlight w:val="none"/>
        </w:rPr>
      </w:pPr>
      <w:bookmarkStart w:id="16" w:name="_Hlk58878040"/>
      <w:r>
        <w:rPr>
          <w:rFonts w:hint="eastAsia" w:ascii="宋体" w:hAnsi="宋体" w:eastAsia="宋体" w:cs="宋体"/>
          <w:color w:val="auto"/>
          <w:sz w:val="24"/>
          <w:szCs w:val="24"/>
          <w:highlight w:val="none"/>
        </w:rPr>
        <w:t>2.2智能解析系统建设</w:t>
      </w:r>
      <w:bookmarkEnd w:id="15"/>
      <w:r>
        <w:rPr>
          <w:rFonts w:hint="eastAsia" w:ascii="宋体" w:hAnsi="宋体" w:eastAsia="宋体" w:cs="宋体"/>
          <w:color w:val="auto"/>
          <w:sz w:val="24"/>
          <w:szCs w:val="24"/>
          <w:highlight w:val="none"/>
        </w:rPr>
        <w:t>需求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解析系统是城市智慧化管理系统的基础算法分析平台，通过对前端感知系统接入的视频、图片等数据进行智能分析处理，为上层应用提供智能分析服务和分析结果；同时为城市数字精细化管理系统各类应用提供预测、预警类机器学习算法分析服务，发现城市潜在的运行规律，提供全局协同的决策支持服务。本项目中智能解析系统需具备支持250路视频接入进行城管违法事件识别能力和100路图片流视频进行渣土车识别分析能力。</w:t>
      </w:r>
    </w:p>
    <w:p>
      <w:pPr>
        <w:pStyle w:val="6"/>
        <w:numPr>
          <w:ilvl w:val="0"/>
          <w:numId w:val="0"/>
        </w:numPr>
        <w:rPr>
          <w:rFonts w:hint="eastAsia" w:ascii="宋体" w:hAnsi="宋体" w:eastAsia="宋体" w:cs="宋体"/>
          <w:color w:val="auto"/>
          <w:sz w:val="24"/>
          <w:szCs w:val="24"/>
          <w:highlight w:val="none"/>
        </w:rPr>
      </w:pPr>
      <w:bookmarkStart w:id="17" w:name="_Toc56775046"/>
      <w:r>
        <w:rPr>
          <w:rFonts w:hint="eastAsia" w:ascii="宋体" w:hAnsi="宋体" w:eastAsia="宋体" w:cs="宋体"/>
          <w:color w:val="auto"/>
          <w:sz w:val="24"/>
          <w:szCs w:val="24"/>
          <w:highlight w:val="none"/>
        </w:rPr>
        <w:t>2.2.1系统架构</w:t>
      </w:r>
      <w:bookmarkEnd w:id="17"/>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智能解析系统主要由3部分组成，包括视频接入模块、推理模块和业务模块。视频接入模块是处理中心的门户，负责与用户视频平台或者摄像机对接，采集视频/图片流；推理模块负责将图像数据进行推理运算，判断图像中是否存在违法事件及属于违法事件的可能性；业务模块对接第三方业务系统，对外提供数据处理、检测的基础接口供上层进行调用；视频接入模块负责对接外部的视频图像数据，可以采用视频直连或者图像输入两种方式对接。</w:t>
      </w:r>
    </w:p>
    <w:p>
      <w:pPr>
        <w:pStyle w:val="6"/>
        <w:numPr>
          <w:ilvl w:val="0"/>
          <w:numId w:val="0"/>
        </w:numPr>
        <w:rPr>
          <w:rFonts w:hint="eastAsia" w:ascii="宋体" w:hAnsi="宋体" w:eastAsia="宋体" w:cs="宋体"/>
          <w:color w:val="auto"/>
          <w:sz w:val="24"/>
          <w:szCs w:val="24"/>
          <w:highlight w:val="none"/>
        </w:rPr>
      </w:pPr>
      <w:bookmarkStart w:id="18" w:name="_Toc56775047"/>
      <w:bookmarkStart w:id="19" w:name="_Toc22590704"/>
      <w:r>
        <w:rPr>
          <w:rFonts w:hint="eastAsia" w:ascii="宋体" w:hAnsi="宋体" w:eastAsia="宋体" w:cs="宋体"/>
          <w:color w:val="auto"/>
          <w:sz w:val="24"/>
          <w:szCs w:val="24"/>
          <w:highlight w:val="none"/>
        </w:rPr>
        <w:t>2.2.2推理服务</w:t>
      </w:r>
      <w:bookmarkEnd w:id="18"/>
      <w:bookmarkEnd w:id="19"/>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理服务实现了使用核心算法进行图片分析的方案，并提供算法管理和配置功能。在本产品中主要包括了多种类型城市事件识别的算法模型，包括：跨门经营、沿街晾晒、暴露垃圾、无照游商、堆物堆料、积存垃圾渣土、垃圾满溢、机动车违停、非机动车违停、渣土车智能算法，并内置算法阈值等参数设置项。对外提供对接图片流的接口服务。算法服务输出信息可以通过接口直接对外推送结果，也可以以服务的形式进行包装和存储，以平台的形式统一提供检测结果。</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推理服务核心可以提供对目标照片的解析结果，包括：</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案件类型，即案件属于哪种类型的违法事件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案件位置，案件在图片中的相对位置，用来圈定目标案件的范围。</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案件确认概率，即案件符合某一案件类型的判断概率。高于预置阈值的案件才会被推送到接口，使用者可以基于概率进一步判断是否符合报警要求。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算法服务存储在自带算法仓中，通过系统调用实现部署和业务应用，根据业务需求提供对应的服务。</w:t>
      </w:r>
    </w:p>
    <w:p>
      <w:pPr>
        <w:pStyle w:val="6"/>
        <w:numPr>
          <w:ilvl w:val="0"/>
          <w:numId w:val="0"/>
        </w:numPr>
        <w:rPr>
          <w:rFonts w:hint="eastAsia" w:ascii="宋体" w:hAnsi="宋体" w:eastAsia="宋体" w:cs="宋体"/>
          <w:color w:val="auto"/>
          <w:sz w:val="24"/>
          <w:szCs w:val="24"/>
          <w:highlight w:val="none"/>
        </w:rPr>
      </w:pPr>
      <w:bookmarkStart w:id="20" w:name="_Toc56775049"/>
      <w:bookmarkStart w:id="21" w:name="_Toc22590707"/>
      <w:r>
        <w:rPr>
          <w:rFonts w:hint="eastAsia" w:ascii="宋体" w:hAnsi="宋体" w:eastAsia="宋体" w:cs="宋体"/>
          <w:color w:val="auto"/>
          <w:sz w:val="24"/>
          <w:szCs w:val="24"/>
          <w:highlight w:val="none"/>
        </w:rPr>
        <w:t>2.2.3业务服务</w:t>
      </w:r>
      <w:bookmarkEnd w:id="20"/>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业务服务为第三方提供业务接口，供第三方进行业务对接和功能开发使用。业务接口包括摄像头配置、抓拍库查询、告警推送、任务配置等多个方面。具体业务功能和接口情况将在后续章节进行介绍。</w:t>
      </w:r>
    </w:p>
    <w:p>
      <w:pPr>
        <w:pStyle w:val="6"/>
        <w:numPr>
          <w:ilvl w:val="0"/>
          <w:numId w:val="0"/>
        </w:numPr>
        <w:rPr>
          <w:rFonts w:hint="eastAsia" w:ascii="宋体" w:hAnsi="宋体" w:eastAsia="宋体" w:cs="宋体"/>
          <w:color w:val="auto"/>
          <w:sz w:val="24"/>
          <w:szCs w:val="24"/>
          <w:highlight w:val="none"/>
        </w:rPr>
      </w:pPr>
      <w:bookmarkStart w:id="22" w:name="_Toc56775050"/>
      <w:r>
        <w:rPr>
          <w:rFonts w:hint="eastAsia" w:ascii="宋体" w:hAnsi="宋体" w:eastAsia="宋体" w:cs="宋体"/>
          <w:color w:val="auto"/>
          <w:sz w:val="24"/>
          <w:szCs w:val="24"/>
          <w:highlight w:val="none"/>
        </w:rPr>
        <w:t>2.2.4视频接入服务</w:t>
      </w:r>
      <w:bookmarkEnd w:id="21"/>
      <w:bookmarkEnd w:id="22"/>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城市事件视频分析服务提供3种视频接入服务：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用户可以在系统中配置RTSP摄像头，采取摄像头直连的方式对接系统，系统将进行摄像头巡检定时提取图片进行分析检测；</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用户可使用GB28181平台进行对接，选取符合要求的摄像头配置到国标平台中，推送到城管本地搭建的国标服务中；</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在其他极端条件下，用户可以根据业务需求，自行建立截帧系统，将图片直接推送到业务系统中，系统可以针对输入的图片逐帧进行识别分析，达到同样的效果。</w:t>
      </w:r>
    </w:p>
    <w:p>
      <w:pPr>
        <w:pStyle w:val="6"/>
        <w:numPr>
          <w:ilvl w:val="0"/>
          <w:numId w:val="0"/>
        </w:numPr>
        <w:rPr>
          <w:rFonts w:hint="eastAsia" w:ascii="宋体" w:hAnsi="宋体" w:eastAsia="宋体" w:cs="宋体"/>
          <w:color w:val="auto"/>
          <w:sz w:val="24"/>
          <w:szCs w:val="24"/>
          <w:highlight w:val="none"/>
        </w:rPr>
      </w:pPr>
      <w:bookmarkStart w:id="23" w:name="_Toc56775051"/>
      <w:r>
        <w:rPr>
          <w:rFonts w:hint="eastAsia" w:ascii="宋体" w:hAnsi="宋体" w:eastAsia="宋体" w:cs="宋体"/>
          <w:color w:val="auto"/>
          <w:sz w:val="24"/>
          <w:szCs w:val="24"/>
          <w:highlight w:val="none"/>
        </w:rPr>
        <w:t>2.2.5违法行为识别</w:t>
      </w:r>
      <w:bookmarkEnd w:id="23"/>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智能解析系统引擎主要使用算法，对城市摄像头拍摄的画面进行自动分析识别，判断是否有违章事件发生，进行提示预警。功能包括：</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1、跨门经营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包括各种经营类商店，对超出规定范围的经营活动，跨门或者占道等，如花车、冰柜、水果店促销箱等进行报警。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2、无照游商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包括无证、无照的地摊，流动小商贩，三轮车早点摊等行为进行报警。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3、垃圾桶满溢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对监控视频中垃圾桶满溢垃圾量超过桶上沿的场景进行识别，产生提示报警。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4、沿街晾晒</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对监控视频中出现的沿街晾晒衣物、毛巾、被褥等违法行为进行实时识别分析，实时进行告警。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5、暴露垃圾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对监控视频中出现的暴露在道路上的日常生活垃圾，废弃物等进行实时识别，实时进行告警。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6、乱堆物料</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通过分析监控视频，对商家在店门口摆放杂乱的影响市容市貌的物品、物料进行自动识别，实时告警。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7、机动车违停</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对监控视频中机动车在路边停车违停的场景进行识别，在识别机动车违章停车行为同时识别车牌号码，为执法提供依据。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8、非机动车违停</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对监控视频中非机动车违章停车行为进行识别，产生提示报警。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9、积存垃圾渣土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对监控中出现的路侧堆积的土堆、土块、施工废弃料进行识别和预警。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10、渣土车识别算法</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针对视频图像画面或图片中车辆进行渣土车识别，并支持识别对应车牌。</w:t>
      </w:r>
    </w:p>
    <w:p>
      <w:pPr>
        <w:pStyle w:val="6"/>
        <w:numPr>
          <w:ilvl w:val="0"/>
          <w:numId w:val="0"/>
        </w:numPr>
        <w:rPr>
          <w:rFonts w:hint="eastAsia" w:ascii="宋体" w:hAnsi="宋体" w:eastAsia="宋体" w:cs="宋体"/>
          <w:color w:val="auto"/>
          <w:sz w:val="24"/>
          <w:szCs w:val="24"/>
          <w:highlight w:val="none"/>
        </w:rPr>
      </w:pPr>
      <w:bookmarkStart w:id="24" w:name="_Toc56775052"/>
      <w:r>
        <w:rPr>
          <w:rFonts w:hint="eastAsia" w:ascii="宋体" w:hAnsi="宋体" w:eastAsia="宋体" w:cs="宋体"/>
          <w:color w:val="auto"/>
          <w:sz w:val="24"/>
          <w:szCs w:val="24"/>
          <w:highlight w:val="none"/>
        </w:rPr>
        <w:t>2.2.6置信度服务</w:t>
      </w:r>
      <w:bookmarkEnd w:id="24"/>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1、技术原理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由于城管案件的种类繁多，不同城市发生城管案件的特征、类型和表现形式都不相同，摄像头角度更是千差别。因此使用深度学习的框架，借鉴Fast R-CNN的通用目标检测方案解决这一问题。对于输入的一张摄像头截图，通过密集采样获取上万个后续区域，然后利用一个RPN网络从这几万个后续区域中选取几十个含有城管事件置信度高的区域。最后利用一个分类网络CLSN，对这几十个后续区域进行分类，确定每个候选区域是不是含有城管的违法事件，并且确定违法事件的类别、位置和置信度。下图以商标监测为例，解释该方案的识别过程。</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集采样类似于传统方法中滑窗方式，将图像转化为一系列候选区域，这些候选区域虽然大部分是没有目标的区域，然而这些区域中对目标的召回很高。在实际应用中，虽然采样越密越好，但是这样会带来大量的计算。因此，本方案在保证召回的情况下，尽可能选取少量的后续区域，然后通过后续的网络精细调整检测位置。对于一幅图像，本方案一般选择万级别后续区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候选区域生成网络(RPN)，采用ROI pooling操作提取局部区域的分类特征，基于共享卷积思想加速计算。与Faster R-CNN种候选区域生成网络相比，上述方案可以更好地利用一个候选区域的局部信息，而不是从局部区域推测目标全局信息，提高召回率。对于每个区域，同时判断是否含有目标，以及回归基于真值框的偏移量，从而使后续区域检测位置更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类网络CLSN和传统的分类网络一样。在ImageNet比赛中已经验证，对于目标占图像主体的分类任务，基于卷积神经网络的方法表现优异，基本解决了分类问题。因此，我们将上述候选区域从图像中切割出来，利用分类网络进行类别判定。为了保证算法效率，本方案的base网络都是AlexNet浅层网络。如果采用更深的网络，例如GoogleNet或ResNet，检测效果会进一步提升，然而会大大影响算法效率。由于视频中图像比较多，所以对算法效率有一定要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2、置信度阈值</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部署运行初期推荐置信度阈值设置80%-85%，由于城市事件视频分析服务基于深度学习技术、通过大量样本训练的图像识别算法，配合照片质量判断算法，有效去除模糊图片，提高环境适应性和正确识别率。系统在正式环境运行一段时间后通过不停训练和算法迭代优化，将会对置信度阈值进行持续优化调整。</w:t>
      </w:r>
    </w:p>
    <w:p>
      <w:pPr>
        <w:pStyle w:val="6"/>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2.2.6算法拓展能力</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智能解析系统在满足城管事件识别算法能力基础上，具备人脸识别算法拓展能力，对城管违法事件中符合质量要求的人脸进行抓拍和解析，并将解析后人脸结构化数据传输至公安网系统进行人脸信息的身份认证。</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创新场景应用中的智能路面监管系统，在跨门经营智能监管应用中实现对店家工作人员（店主与店员）的人脸数据的采集，具体方法为：在发生跨门经营行为时，对符合质量要求的人脸识别并推送公安平台进行人员身份比对，在获取人员身份及手机信息后，进行违法行为的短信推送通知。在无证摊贩智能监管应用中，在识别到无证摊贩情况后，对符合质量要求的摊贩人脸进行采集，并推送公安系统进行摊贩身份比对，获取摊贩身份及手机信息后进行违法行为的短信通知。</w:t>
      </w:r>
    </w:p>
    <w:bookmarkEnd w:id="16"/>
    <w:p>
      <w:pPr>
        <w:pStyle w:val="5"/>
        <w:rPr>
          <w:rFonts w:hint="eastAsia" w:ascii="宋体" w:hAnsi="宋体" w:eastAsia="宋体" w:cs="宋体"/>
          <w:color w:val="auto"/>
          <w:sz w:val="24"/>
          <w:szCs w:val="24"/>
          <w:highlight w:val="none"/>
        </w:rPr>
      </w:pPr>
      <w:bookmarkStart w:id="25" w:name="_Toc56775055"/>
      <w:r>
        <w:rPr>
          <w:rFonts w:hint="eastAsia" w:ascii="宋体" w:hAnsi="宋体" w:eastAsia="宋体" w:cs="宋体"/>
          <w:color w:val="auto"/>
          <w:sz w:val="24"/>
          <w:szCs w:val="24"/>
          <w:highlight w:val="none"/>
        </w:rPr>
        <w:t>2.3城管数据中心</w:t>
      </w:r>
      <w:bookmarkEnd w:id="25"/>
      <w:r>
        <w:rPr>
          <w:rFonts w:hint="eastAsia" w:ascii="宋体" w:hAnsi="宋体" w:eastAsia="宋体" w:cs="宋体"/>
          <w:color w:val="auto"/>
          <w:sz w:val="24"/>
          <w:szCs w:val="24"/>
          <w:highlight w:val="none"/>
        </w:rPr>
        <w:t>需求</w:t>
      </w:r>
    </w:p>
    <w:p>
      <w:pPr>
        <w:pStyle w:val="6"/>
        <w:numPr>
          <w:ilvl w:val="0"/>
          <w:numId w:val="0"/>
        </w:numPr>
        <w:rPr>
          <w:rFonts w:hint="eastAsia" w:ascii="宋体" w:hAnsi="宋体" w:eastAsia="宋体" w:cs="宋体"/>
          <w:color w:val="auto"/>
          <w:sz w:val="24"/>
          <w:szCs w:val="24"/>
          <w:highlight w:val="none"/>
        </w:rPr>
      </w:pPr>
      <w:bookmarkStart w:id="26" w:name="_Toc56775056"/>
      <w:r>
        <w:rPr>
          <w:rFonts w:hint="eastAsia" w:ascii="宋体" w:hAnsi="宋体" w:eastAsia="宋体" w:cs="宋体"/>
          <w:color w:val="auto"/>
          <w:sz w:val="24"/>
          <w:szCs w:val="24"/>
          <w:highlight w:val="none"/>
        </w:rPr>
        <w:t>2.3.1数据资源中心</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2.3.1.1数据资源库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是本项目各项应用的支撑，各项数据通过数据采集、数据交换等形式产生，本项目需要建设的数据内容主要包括基础地理信息数据，管理对象数据，业务运行数据、各类多媒体数据，因此本期项目将建设数字精细化管理四大库。</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2.3.1.1.1地理信息数据库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理信息数据主要是全市范围内的地理信息数据，以及相关应用产生的地理信息的记录、同步与交换。包括二维数据。地理信息数据库包括基础的GIS地图数据，道路库数据以及根据数字精细化管理系统所需的各类兴趣点数据。地理信息数据库主要数据来源是以天地图为基础，按照平台实际业务进行扩展。</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2.3.1.1.2管理对象数据库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对象库主要包括两部分内容，一部分为内部管理资源库包括如组织数据、人员、车辆、人员线路、设备数据、本底资料等基础数据。另一部分为业务管理资源库如沿街店家、渣土车辆基本信息，审批信息。管理对象数据库主要通过业务平台中的用户管理，组织架构管理，权限管理以及各个业务模块日常运行管理中产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组织机构信息：包括各个直属单位/部门/中心、协同单位、中队等，同时建立完整的组织机构树。</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人员信息：建立各个部门、中队、人员的基础资源。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车辆信息：主要包括办公车辆、巡查车辆的基础资源。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人员线路：包括人员的巡查区域、道路、网格的基础资源。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设备信息：设备信息包括人员GPS设备、车载GPS定位设备、单兵设备等。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沿街店家信息：建立沿街店家的基础数据资源库，包括基础信息，违法行为以及信用等级等内容。</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渣土车辆信息：包括渣土车辆基础信息，审批信息以及运输线路，并关联各类车辆违法行为数据。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2.3.1.1.3业务运行数据库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业务运行数据库主要是以事件、勤务运行、报警、GPS定位为主的相关应用系统运行时产生的业务数据，该类业务数据具备需要在不同应用系统之间进行共享的特性。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事件信息数据：包括事件的类型，事件描述，事件当前的状态，事件的地理坐标，事件所属区域等信息。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巡查路线、范围、考勤点的动态勤务数据：基于管辖道路划分定义的指定的巡查路线、巡查范围以及考勤点的设定定位，以及人员车辆运行情况与线路、范围、考勤点的关联，形成人员勤务数据。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定位数据：通过智能终端设备,GPS设备产生的人员，车辆实时定位数据，用于轨迹回放，勤务监管。</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2.3.1.1.4多媒体数据库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多媒体数据库由于是非结构化数据，主要通过文件的方式在存储设备上进行存放，通过多媒体数据库进行文件信息与相关业务信息之间的数据关联与管理。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视频监控信息：与公安交警视频监控和卡口等资源进行对接，建立慈溪市范围内各个部门建设的视频监控设备，包括安装视频监控设备、各类车载、单兵视频监控设备等视频监控图像的播放。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照片附件：各类事件在上报时产生的事件处理过程的各个照片信息。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文件附件：相关应用系统流转过程产生的相关文件附件，如车辆审批附件信息、沿街店家营业执照等。</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2.3.1.2数据资源管理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实现业务数据的统一管理，统一维护，为后续数据挖掘和决策分析提供数据的基础支撑。需要形成一个统一的，独立于业务系统的数据资源管理中心。数据资源管理中心的具体功能包括数据资源整理、数据审核、数据服务接口和数据管理等功能。</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2.3.1.2.1数据资源整理</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整理主要分为数据抽取、数据转换、数据装载三个步骤，也即ETL。ETL（Extract，Transact，Load），是建设综合数据库过程中最重要的环节之一。ETL过程将所需要的用户数据从应用系统中抽取出来，经过数据筛选、数据清洗、数据转换，按照预先定义好的综合数据库模型，填充到综合数据库中。</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（1）数据抽取</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数据抽取是将综合数据库所需要的业务数据从各业务应用系统中抽取出来的过程。通常有全量抽取、增量抽取、文件抽取等几种常见形式。采集方式包括通过标准化接口（Restful/Web Service等）采集的数据；通过前置机方式采集的数据；使用消息队列方式实时归集的数据等。对不同应用系统，可以采用不同抽取方式；甚至对同一应用系统中不同的业务数据，也可以采用不同抽取方式。</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（2）数据转换</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转换是将从不同应用系统抽取出来的业务数据转换为跟综合数据库系统模型要求一致的过程。由于不同应用系统的开发厂商不同，因此同一业务数据在不同应用系统中的具体实现形式不同，而且存储格式可能完全不同；而且由于对名称相同的业务数据，在不同应用系统中，具体含义可能有差别。在进行数据转换时，通常有字段映射、字段拆分、字段合并、字段补充、行列转换等转换方法。</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（3）数据装载</w:t>
      </w:r>
    </w:p>
    <w:p>
      <w:pPr>
        <w:pStyle w:val="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装载是将经过转换后满足综合数据库要求的业务数据装载到综合数据库中的过程。在装载时，通常可以采用数据库厂商提供数据装载工具进行批量装载，以提高装载效率；也可以编写代码采用数据库服务器提供的API 函数进行数据装载。通常数据装载包括全部覆盖、记录追加、记录更新等方法。</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2.3.1.2.2数据审核</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管理员可以审核数据资源的表信息，以及使用理由、使用时间、使用人等基础信息，针对这些信息作出审核决定，反馈给用户。</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2.3.1.2.3数据服务接口</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采用REST服务的方式提供数据服务，RESTful是一种轻量级的通信机制，是目前最流行的API设计规范，用于Web数据接口的设计，主要通过get/post/delete/put等方式对请求的处理方法进行区分，可以通过一套统一的接口为Web，iOS和Android提供服务。</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2.3.1.2.4数据管理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建立起一套统一的服务、技术标准，形成面向服务的支撑，监控各类数据资源的运行状态，主要功能包括但不限于以下内容：数据资源监控、数据异常监控和数据概览。</w:t>
      </w:r>
    </w:p>
    <w:p>
      <w:pPr>
        <w:pStyle w:val="9"/>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2.3.1.2.4.1数据资源监控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数据资源监控包括但不限于以下功能：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1、通过列表直观展示各类数据库的名称、存储总量、更新时间等信息，提供条件筛选查询功能。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2、通过列表直观展示不同数据存储方式（关系型数据库、非关系数据库）的容量、百分占比、每日新增情况等信息，提供条件筛选查询功能。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3、通过列表直观展示各类数据库中数据资源的详细信息，提供条件筛选查询功能。</w:t>
      </w:r>
    </w:p>
    <w:p>
      <w:pPr>
        <w:pStyle w:val="9"/>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2.3.1.2.4.2数据异常监控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数据资源中心的数据资源属于核心资源，需要支持对存储在数据资源中心内部各类数据资源出现异常的图形化监控，包括：</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1、对数据的存储状态的监控和根据阈值条件告警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2、对数据的访问和安全类权限异常的告警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3、数据异常变动的告警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4、对数据的访问和使用情况的实时监控和告警。</w:t>
      </w:r>
    </w:p>
    <w:p>
      <w:pPr>
        <w:pStyle w:val="9"/>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2.3.1.2.4.3数据概览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数据大屏是对数据汇集情况进行一个全方位的展示。从数据来源、数据表、字段、数据量等维度进行统一展示。</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2.3.1.3数据共享</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数据共享主要实现实现平台内外部业务系统数据交换，系统基于Web Service或数据库同步方式按需向提供信息源的系统获取数据和服务。数据采集管理对面向源数据的提供系统所建立的服务接口建立统一管理，并对采集过程实现统一配置。</w:t>
      </w:r>
    </w:p>
    <w:p>
      <w:pPr>
        <w:pStyle w:val="6"/>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2.3.2基础支撑应用</w:t>
      </w:r>
      <w:bookmarkEnd w:id="26"/>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2.3.2.1统一定位服务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定位服务将通过对GPS定位信息的整合，对日常运行管理中具备卫星定位的资源要素进行统一管理。实现建立GPS通讯服务平台，接入专业GPS终端设备；通过建立统一的GPS设备管理以及设备关联使用的用户管理，提供GPS设备监控管理功能；建立GPS定位数据的分发共享服务接口，向其他应用提供定位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统一定位管理平台作为GPS定位与监控信息的集成中心与分发中心，需要适应不同的GPS和异构外部GPS平台的对接，因此，需要提供面向多终端、多平台的适用性、扩展性架构：</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多种GPS终端：通过对不同型号的GPS终端提供适配器，将不同的GPS终端提供的不同协议通讯数据转化为可识别的标准协议数据，在针对终端损坏或更新时采购其他型号终端时，可仅开发新适配器来满足接入的需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面向异构的GPS应用：由于针对人员和车辆的定位和管理需求，既有城市管理某个内部的，又有外部的需求，街道一线队员的GPS数据将提供给不同的内部或外部应用使用，因此，系统应提供一致的数据分发接口，向不同应用提供GPS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面向不同要求GPS数据要求：系统架构提供两种数据接入点，一是直接由外部应用接入通信服务器，获取实时的GPS数据，二是由共享服务将GPS分发至应用。前者可满足实时性要求较高的GPS应用，后者用来满足对数据量要求较大的应用，如轨迹回放、历史记录查询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4、与视频信息进行GPS关联的要求：将GPS的定位数据与车载、单兵的视频数据进行关联，实现定位数据与视频数据的时间同步。</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2.3.2.2统一地理信息服务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理信息服务通过对城市智慧化管理系统各相关应用系统的地图数据进行整合，基于已有GIS地图系统（天地图系统）作为GIS底图，用于实现空间地理信息数据的发布。在基于地理信息系统中提供栅格图电子地图服务，为相关业务系统提供可视化的地图服务功能，同时基于地理信息系统提供丰富的地理分析功能，实现基于GIS地图的测距、测面积等功能，通过路径分析可以为内部人员提供任务导航功能。</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2.3.2.3统一消息服务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消息服务是为应用提供基础消息服务，同时还可以在未来对其他新建应用提供强大的消息能力。统一消息服务利用多种消息渠道（邮件、短信、网站消息等）将各种通知、提醒内容及时的传达给用户，并对应用提供统一的消息发送接口。通过统一消息服务实现门户应用功能与消息发送功能的松散耦合，并且消息渠道可以在未来通过基础设施的建设进行扩展（如即时消息、电话、传真等），以实现更为全面的覆盖。</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2.3.2.4基础管理服务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用户信息的统一管理。集中统一的系统用户信息；为所有用户在平台内所有应用建立统一的认证，使用户使用统一帐号密码登录系统；集中管理所有应用授权信息；为用户访问平台提供“一站式”体验。具体包括以下主要功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用户：统一用户系统为平台内建设的各应用系统提供统一的、高可靠性和安全的用户管理服务，它集中存放以前分散在各应用系统的用户信息和组织机构信息，并按照管理流程，实现信息在各系统之间的流转和同步，并为各系统提供人员创建、调动、注销等功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统一用户权限：实现对所有相关系统的机构、人员、用户组（机构组和自定义组）、职务、角色以及权限的统一管理，并为今后系统的扩展奠定基础。</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点登录：为慈溪市城市数字精细化管理系统相关应用系统建立统一的单点登录功能，实现各应用系统单点登录和系统漫游，为今后系统扩展和开发提供标准预留接入接口和服务。预留单点功能，为后期平台建设和接入提供统一登录服务。</w:t>
      </w:r>
    </w:p>
    <w:p>
      <w:pPr>
        <w:pStyle w:val="5"/>
        <w:rPr>
          <w:rFonts w:hint="eastAsia" w:ascii="宋体" w:hAnsi="宋体" w:eastAsia="宋体" w:cs="宋体"/>
          <w:color w:val="auto"/>
          <w:sz w:val="24"/>
          <w:szCs w:val="24"/>
          <w:highlight w:val="none"/>
        </w:rPr>
      </w:pPr>
      <w:bookmarkStart w:id="27" w:name="_Toc56775060"/>
      <w:r>
        <w:rPr>
          <w:rFonts w:hint="eastAsia" w:ascii="宋体" w:hAnsi="宋体" w:eastAsia="宋体" w:cs="宋体"/>
          <w:color w:val="auto"/>
          <w:sz w:val="24"/>
          <w:szCs w:val="24"/>
          <w:highlight w:val="none"/>
        </w:rPr>
        <w:t>2.4创新场景应用建设</w:t>
      </w:r>
      <w:bookmarkEnd w:id="27"/>
      <w:r>
        <w:rPr>
          <w:rFonts w:hint="eastAsia" w:ascii="宋体" w:hAnsi="宋体" w:eastAsia="宋体" w:cs="宋体"/>
          <w:color w:val="auto"/>
          <w:sz w:val="24"/>
          <w:szCs w:val="24"/>
          <w:highlight w:val="none"/>
        </w:rPr>
        <w:t>需求</w:t>
      </w:r>
    </w:p>
    <w:p>
      <w:pPr>
        <w:pStyle w:val="6"/>
        <w:numPr>
          <w:ilvl w:val="0"/>
          <w:numId w:val="0"/>
        </w:numPr>
        <w:rPr>
          <w:rFonts w:hint="eastAsia" w:ascii="宋体" w:hAnsi="宋体" w:eastAsia="宋体" w:cs="宋体"/>
          <w:color w:val="auto"/>
          <w:sz w:val="24"/>
          <w:szCs w:val="24"/>
          <w:highlight w:val="none"/>
        </w:rPr>
      </w:pPr>
      <w:bookmarkStart w:id="28" w:name="_Toc56775061"/>
      <w:r>
        <w:rPr>
          <w:rFonts w:hint="eastAsia" w:ascii="宋体" w:hAnsi="宋体" w:eastAsia="宋体" w:cs="宋体"/>
          <w:color w:val="auto"/>
          <w:sz w:val="24"/>
          <w:szCs w:val="24"/>
          <w:highlight w:val="none"/>
        </w:rPr>
        <w:t>2.4.1智能违停监管系统</w:t>
      </w:r>
      <w:bookmarkEnd w:id="28"/>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违停监管系统提供违章停车智能监管应用功能，当监控场景中的指定区域出现车辆，当车辆含停留时间到达阈值（可灵活设置）即快照至中心，指挥中心对行为进行核实；将自动识别车辆的车型信息、车牌信息，结合与大数据中心数据资源等对接后建立的车主信息库，获取车辆的车主信息以及联系方式，并自动采用短信加智能语音的方式，警告其违章停车行为及可能面对的处罚，并要求车主立即驶离；如未获取到车主的联系方式，则直接下派该区域所属的执法队员进行处置。当通知未生效，则自动将电子版违法行为告知书下发给车主，并将信息同步至该区域所属的执法队员，便于后续跟进。对原有违停抄告系统进行改造，建立独立的人行道违停违法行为处置系统，实现全市人行道违停车辆的违法处置和自助处理。</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2.4.1.1禁停区域管理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对接入进行智能解析系统的摄像头可以进行违停区域空间的划分设定。选择要设定摄像头，直接通过在视频可视区域图像内拉框，划线的方式设定禁停区域。</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2.4.1.2违停报警管理</w:t>
      </w:r>
    </w:p>
    <w:p>
      <w:pPr>
        <w:pStyle w:val="34"/>
        <w:numPr>
          <w:ilvl w:val="0"/>
          <w:numId w:val="13"/>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违章停车预警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接收智能解析系统识别产生的禁停区域违停行为分析数据，当视频自动检测到违章停车行为后进行报警，结合抓拍违停车辆照片，并自动生成一条违停事件。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事件信息包括违停区域，违停时间，违停车辆照片证据，以及违停车主相关信息。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报情况处理，由于智能解析系统自动识别，为了防止误报情况发生，根据系统信度阈值设置80%-85%，在整个违法停车智能监管应用过程中，可以在任何环节对识别情况进行人工干预，如果是发现是误报情况则删除该违停事件。</w:t>
      </w:r>
    </w:p>
    <w:p>
      <w:pPr>
        <w:pStyle w:val="34"/>
        <w:numPr>
          <w:ilvl w:val="0"/>
          <w:numId w:val="13"/>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车牌信息比对</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针对自动识别分析的违章停车行为，对车辆进行车牌识别，根据车辆停放情况进行是否能够识别的判断（主要通过车辆停放位置是否能拍摄到车牌），对自动识别以及抓拍违停车辆进行车牌识别。</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可以进行车牌识别，则识别出牌文本格式信息，将车牌信息提交给执法业务系统进行车主信息查询，进行车主通知等后续操作。</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无法进行车牌识别，则生成违停抄告任务单直接将该区域发现的违停事件以任务方式下达该区域的执法人员进行违停事件后续处置。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对于省外车辆，由于无法进行车主登记信息的获取，在识别到车辆为非浙车牌，直接将违法停车事件向对应的执法人员进行任务下派。</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2.4.1.2车主告警通知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执法对象资源库可以建立车主信息资源库，该信息资源主要通过与交警系统对接获得。在智能解析系统分析完成对车牌的识别后，系统自动对车主信息进行关联，获得车主的联系方法等信息，并通过短信信息向车主下发违停立即驶离的通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进行车主信息查询时如果在执法对象资源库无法查找到车主信息，系统会自动对接交警系统进行车主信息查询，并根据查询结果将车主信息添加到执法对象资源库，同时短信信息向车主下发违停立即驶离的通知。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将提供短信加语音（语音需要购买运营商语音外呼服务）的方式对违停车主进行双重提醒，保证违停车主能收到违停提醒并及时进行整改。当发送短信后，系统将自动开始计时，车主通过点击短信中的链接查看提醒详情，系统可以以此判断车主是否对提醒短信进行查看，当因车主联系电话为空号或者停机等异常状态导致短信发送失败时，系统将自动告警。计时到达一定时间后（例如5分钟或者10分钟）视频自动进行复核。如仍未驶离，将借助运营商的语音呼叫平台对车主进行语音呼叫提醒，车主接通后自动播放智能语音提醒。对于未接通的车主，系统将进行告警，并在一定计时后（例如1分钟）自动再次呼叫，最多可进行三次自动呼叫，系统从第一次语音呼叫开始计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据固定：在智能解析系统识别到违法停车事件后，系统自动将短信加语音的双重提醒过程与违停事件进行关联，形成证据固定，包括短信发送的时间、发送状态、点击短信链接与否、每次语音呼叫的时间、接听与否、接听时长等，以及短信发送失败、三次语音呼叫均未接听等告警记录。针对接听语音呼叫的车主系统提供自动录音功能，并可进行录音回放。为后续执法提供证据，有效避免执法过程中产生的争议及纠纷，使得人性化执法体系更加完善。</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2.4.1.3违停自动处置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智能解析系统识别到违法停车事件后，根据交警部门电子警察系统对违章停车自动执法处理的系统接口的相关规范要求，将识别到违章停车照片、车牌照片、车辆正面照片和侧面照片合成为一张图片，将将图片和相关业务数据推送至交警部门电子警察系统，实现违停事件的自动执法处置。</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2.4.1.5违停现场处置</w:t>
      </w:r>
    </w:p>
    <w:p>
      <w:pPr>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一、车主信息关联处置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如果通过车牌在执法对象资源库与交警系统中都无法查询到车主信息则进行告警提示，并生成违停抄告任务单直接将该区域发现的违停事件以任务方式下达该区域的执法人员进行违停事件后续处置。</w:t>
      </w:r>
    </w:p>
    <w:p>
      <w:pPr>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二、车主驶离复核</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对于违停短信通知的车主车辆进行计时（例如5分钟或10分钟），在计时到点后，视频自动复核该车辆是否按时驶离。通过智能解析系统自动核查如果该车辆已经驶离，则结案。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自动核查如果该车辆仍未驶离，则进行语音通知，对于语音通知的车主车辆进行计时（例如10分钟或15分钟），在计时到点后，视频自动复核该车辆是否按时驶离。通过智能解析系统自动核查如果该车辆已经驶离，则结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如仍未驶离则生成违停抄告任务单直接下发电子版违法行为告知书至违停车主，并同步给该区域对应的执法人员。</w:t>
      </w:r>
    </w:p>
    <w:p>
      <w:pPr>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三、违停抄告任务下派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智能解析系统自动抓拍的违停情况，在无法获取车主联系方式时通过自动化判断，根据视频监控所在位置，自动关联该区域的执法队员，进行违停抄告任务下派。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违停抄告任务包括，案件基本信息，是否通知车主，视频抓拍图像等信息。执法队员在接到违停抄告任务后可以进行问题处置反馈，进行后续流转管理。</w:t>
      </w:r>
    </w:p>
    <w:p>
      <w:pPr>
        <w:spacing w:line="360" w:lineRule="auto"/>
        <w:ind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四、违停结果推送</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对进行违停抄告的任务，在执法队员进行现场抄告、处置反馈后，将案件结果推送至交警部门电子警察系统，数据包括车牌、违停时间、违停地点以及相关的证据照片。</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2.4.1.6历史报警信息查询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历史报警信息查询，可以对所有智能解析系统自动抓拍的违停信息进行查询，可以按照时间，摄像头名称，通知与否，是否误报，处置结果等不同的类型进行历史报警信息的查询。</w:t>
      </w:r>
    </w:p>
    <w:p>
      <w:pPr>
        <w:pStyle w:val="6"/>
        <w:numPr>
          <w:ilvl w:val="0"/>
          <w:numId w:val="0"/>
        </w:numPr>
        <w:rPr>
          <w:rFonts w:hint="eastAsia" w:ascii="宋体" w:hAnsi="宋体" w:eastAsia="宋体" w:cs="宋体"/>
          <w:color w:val="auto"/>
          <w:sz w:val="24"/>
          <w:szCs w:val="24"/>
          <w:highlight w:val="none"/>
        </w:rPr>
      </w:pPr>
      <w:bookmarkStart w:id="29" w:name="_Toc56775062"/>
      <w:r>
        <w:rPr>
          <w:rFonts w:hint="eastAsia" w:ascii="宋体" w:hAnsi="宋体" w:eastAsia="宋体" w:cs="宋体"/>
          <w:color w:val="auto"/>
          <w:sz w:val="24"/>
          <w:szCs w:val="24"/>
          <w:highlight w:val="none"/>
        </w:rPr>
        <w:t>2.4.2智能路面监管系统</w:t>
      </w:r>
      <w:bookmarkEnd w:id="29"/>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2.4.2.1跨门经营智能监管应用</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用通过集成智能解析系统实现当某个商店或固定营业点有物品穿越设定的界限（一般是该商店卷闸门线），并静止超过预定时间，将自动检测出这种行为，触发告警并上传录像及快照至中心；指挥中心可以对报警信息进行核实，确定有出店经营情况存在，可以通过与执法对象资源库相结合，基于空间信息，基础信息与智能解析信息，找到店主的相关信息，并自动相店主进行违法行为的提醒与警告，要求店主进行整改。如发现该店铺有多次跨门经营的违法行为，则可直接将案卷派发至该区域所属的执法队员，要求进行快速执法。</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2.4.2.1.1跨门经营区域管理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入进行智能解析系统的摄像头可以进行跨门经营监管区域空间的划分设定，主要以店家门口的空间区域的设定。选择要设定摄像头，直接通过在视频可视区域图像内拉框，划线的方式设定跨门经营监管区域。通过经营区域管理实现店主视频空间区域数据的生成，实现违法行为与店主信息的关联分析。</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2.4.2.1.2跨门经营报警管理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1、跨门经营预警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接收智能解析系统识别产生的跨门经营行为分析数据，当视频自动检测到店家的跨门经营行为后进行报警，结合抓拍跨门经营情况照片，并自动生成一条跨门经营事件。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事件信息包括跨门经营区域，跨门经营发生时间，跨门经营照片证据，以及店家相关信息。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报情况处理，由于智能解析系统自动识别，为了防止误报情况发生，根据系统信度阈值设置80%-85%，在整个跨门经营智能监管应用过程中，可以在任何环节对识别情况进行人工干预，如果是发现是误报情况则删除该跨门经营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2、报警时段设定</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针对店家所在区域、管理要求可以进行行为分析报警时间段设定，如设定餐饮店家20:00-6:00跨门经营不报警，则系统会将该时段识别的报警事件进行自动的屏蔽。</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2.4.2.1.3店主告警通知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执法对象资源库可以建立店主信息资源库。在智能解析系统分析完成对店家的识别后，可以对该区域的店主信息进行识别，将疑似的所有的店家以及店主信息提示给坐席人员，坐席人员可以人工确定，并短信加语音的方式对店家进行双重告知，确保店主能及时收到提醒，立即搬离货物。</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发送提醒短信后，系统将自动开始计时，店主通过点击短信中的链接查看提醒详情，包括具体位置、对应照片等，系统可以以此判断店主是否查看了短信，当店主联系电话为空号或者停机等异常状态短信发送失败时，系统将自动告警，并提示队员在巡查时及时更新店主信息资源库。计时到达一定时间后（例如5分钟或者10分钟）视频自动进行复核。如仍整改，将借助运营商的语音呼叫平台（语音需要购买运营商语音外呼服务）对店主进行语音呼叫提醒，店主接通后自动播放智能语音提醒。对于未接通的店主，系统将进行告警，并在一定计时后（例如1分钟）自动再次呼叫，最多可进行三次自动呼叫，系统从第一次语音呼叫开始计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据固定：在智能解析系统识别到跨门经营事件后，系统自动将短信加语音的双重提醒过程与问题事件进行关联，形成证据固定，包括短信发送的时间、发送状态、点击短信链接与否、每次语音呼叫的时间、接听与否、接听时长等，以及短信发送失败、三次语音呼叫均未接听等告警记录。针对接听语音呼叫的店主系统提供自动录音功能，并可进行录音回放。为后续执法提供证据，有效避免执法过程中产生的争议及纠纷，使得人性化执法体系更加完善。</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2.4.2.1.4跨门经营事件处置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1、店主信息关联处置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在执法对象资源库无法查询到店主信息则进行告警提示，并生成跨门经营抄告任务单直接将该区域发现的跨门经营事件以任务方式下达该区域的执法人员进行跨门经营事件后续处置，同时在抄告任务中提醒执法人员在处置该事件时进行店家信息的采集，在采集完成后提交到执法对象资源库中。</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2、店主自处置复核</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对于进行跨门经营短信通知的店家进行计时（例如5分钟或10分钟），在计时到点后，视频自动核查该店家是否按时将货物搬入店内。</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通过智能解析系统分析自动核查，如果店家在规定时间内将货物搬入店内则结案。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自动核查，如果店家在规定时间内将货物仍未搬入店内，则进行语音通知，对于语音通知的店家进行计时（例如10分钟或15分钟），在计时到点后，视频自动复核该店家是否按时整改。通过智能解析系统自动核查如果该店家已经整改，则结案。如仍未按时整改，则自动给店主下发电子版违法行为告知书，并同步给该区域的执法人员进行跨门经营事件后续跟进。</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3、跨门经营任务下派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智能解析系统自动抓拍的跨门经营情况，在无法获取店主联系方式时通过自动化判断，根据视频监控所在位置，自动关联该区域的执法队员，进行跨门经营抄告任务下派。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跨门经营抄告任务包括，案件基本信息，是否通知店主，视频抓拍图像等信息。执法队员在接到跨门经营抄告任务后可以进行问题处置反馈，进行后续流转管理。</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2.4.2.1.5处置结果自动核查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在完成任务下派之后系统根据执法队员反馈与事件处置时限进行违法行为的自动核查。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1、队员反馈核查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队员反馈了处置结果之后，系统自动通过智能解析系统进行该区域跨门经营问题的核查，当核查后该区域没有跨门经营行为则进行结案，如果核查后仍然有跨门经营行为，将向执法队员进行二次任务派遣，并对派遣任务进行标注为二次派遣。</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2、超时反馈核查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跨门经营事件处置时限设定要求（如两小时处置），如果队员在超过时限后没有进行反馈，系统将自动进行超时反馈核查，当核查后该区域没有跨门经营行为则进行结案，如果核查后仍然有跨门经营行为，将向执法队员进行二次任务派遣，并对派遣任务进行标注为超时处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2.4.2.1.6历史报警查询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历史报警信息查询可以对所有智能解析系统自动抓拍的跨门经营信息进行查询，可以按照时间，摄像头名称，通知与否，是否误报，处置结果等不同的类型进行历史报警信息的查询。</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2.4.2.2无证摊贩智能监管应用（基于人工智能智能解析应用实现）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用通过集成智能解析系统进行重点区域的无证摊贩视频智能分析监测，通过视频检测到有出现无证摊贩行为，结合空间区域分析，自动向对应的队员进行任务下派，进行无证摊贩问题的处置。执法队员到达现场后通过移动终端获取基本信息及历史违法记录，队员可参考历史处罚信息掌控处罚力度，有效提高街面秩序的整治效率。</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2.4.2.2.1无证摊贩区域管理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通过智能解析系统进行无证摊贩监管的视频监控设备以及视频监控识别区域空间进行划分设定。选择要设定摄像头，直接通过在视频可视区域图像内拉框，划线的方式设定无证摊贩监管区域。</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2.4.2.2.2无证摊贩报警管理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1、无证摊贩预警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接收智能解析系统识别产生的无证摊贩行为分析数据，当视频自动检测到无证摊贩行为后进行报警，结合抓拍无证摊贩情况照片，自动生成一条无证摊贩事件。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事件信息包括无证摊贩区域，发生时间，无证摊贩照片证据等。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报情况处理，由于智能解析系统自动识别，为了防止误报情况发生，根据系统信度阈值设置80%-85%，在整个无证摊贩智能监管应用过程中，可以在任何环节对识别情况进行人工干预，如果是发现是误报情况则删除该无证摊贩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2、无证摊贩人脸库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建立无证摊贩人脸库，队员手执移动终端对无证摊贩进行信息检索，检索成功后进行无证摊贩相关信息的查询，包括摊贩基础信息、联系方式、历史处罚信息等。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检索失败后，会提示执法人员立即采集无证摊贩人脸等信息来完善执法对象资源库。</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预留接口后续无缝扩展无证摊贩人脸识别应用。</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2.4.2.2.3无证摊贩事件处置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1、无证摊贩事件下达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系统生成无证摊贩抄告任务单，直接将该区域发现的无证摊贩事件以任务方式下达该区域的执法人员，进行无证摊贩事件后续处置。无证摊贩抄告任务包括事件的基本信息，视频抓拍图像等信息。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2、无证摊贩事件处置反馈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法人员接收到抄告任务后抵达违法现场，通过移动终端的人脸识别功能，结合执法对象资源库检索摊贩基本信息与历史违法记录等，检索成功后队员可参考历史违法信息调控执法力度，现场进行问题处置反馈。如检索失败后队员在处置该事件时进行无证摊贩的人脸与基本信息采集，在采集完成后提交到执法对象资源库中。</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3、摊贩自离复核</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证摊贩与跨门经营相比具有流动性强的特性，当视频自动识别了无证摊贩行为后，会出现摊贩自行离开、执法人员劝导或处罚后离开，同时离开后也可能继续在附近区域继续进行无证兜售行为，因此在下派了抄告任务单后视频需要同时对周边区域同时进行该无证摊贩的识别，如果对范围内多路视频监控的识别结构都没有发现该摊贩则结案。</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通过智能解析系统自动核查，如果摊贩仍然存在，则通知该区域的执法人员再次进行无证摊贩事件处置。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2.4.2.2.4处置结果自动核查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在完成任务下派之后系统根据执法队员反馈与事件处置时限进行违法行为的自动核查。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1、处置反馈核查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队员反馈了处置结果之后，系统自动通过智能解析系统进行该区域无证摊贩问题的核查，当核查后该区域没有无证摊贩人员则进行结案，如果核查后仍然有无证摊贩人员，将向执法队员进行二次任务派遣，并对派遣任务进行标注为二次派遣。</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2、超时反馈核查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无证摊贩事件处置时限设定要求（如一小时处置），如果队员在超过时限后没有进行反馈，系统将自动进行超时反馈核查，当核查后该区域没有无证摊贩人员则进行结案，如果核查后仍然有无证摊贩人员，将向执法队员进行二次任务派遣，并对派遣任务进行标注为超时处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2.4.2.2.5历史报警信息查询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历史报警信息查询可以对所有智能解析系统自动抓拍的无证摊贩信息进行查询，可以按照时间，摄像头名称，通知送达与否，是否误报，处置结果等不同的类型进行历史报警信息的查询。</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2.4.2.3沿街晾晒智能监管应用（基于人工智能智能解析应用实现）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应用通过集成智能解析系统对特定区域出现晾晒情况，并静止超过预定时间，将自动检测出这种行为，触发告警并上传录像及快照至中心；指挥中心可以对报警信息进行核实，确定有沿街晾晒情况存在，结合空间区域分析，自动向对应的队员进行任务下派，进行沿街晾晒问题的处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2.4.2.3.1沿街晾晒区域管理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对接入进行智能解析系统的摄像头可以进行沿街晾晒监管区域空间的划分设定。选择要设定摄像头，直接通过在视频可视区域图像内拉框，划线的方式设定沿街晾晒监管区域。</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2.4.2.3.2沿街晾晒报警管理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接收智能解析系统识别产生的沿街晾晒行为分析数据，当视频自动检测到沿街晾晒行为后进行报警，结合抓拍沿街晾晒情况照片，并自动生成一条沿街晾晒事件。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事件信息包括沿街晾晒区域，沿街晾晒发生时间，沿街晾晒照片证据。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报情况处理，由于智能解析系统自动识别，为了防止误报情况发生，根据系统信度阈值设置80%-85%，在整个沿街晾晒智能监管应用过程中，可以在任何环节对识别情况进行人工干预，如果是发现是误报情况则删除该沿街晾晒事件。</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2.4.2.3.3沿街晾晒事件处置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智能解析系统自动抓拍的沿街晾晒情况，通过自动化判断，根据视频监控所在位置，自动关联该区域的执法队员，进行沿街晾晒抄告任务下派。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沿街晾晒抄告任务包括，案件基本信息，视频抓拍图像等信息。执法队员在接到沿街晾晒抄告任务后可以进行问题处置反馈，进行后续流转管理。</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2.4.2.3.4处置结果自动核查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在完成任务下派之后系统根据执法队员反馈与事件处置时限进行违法行为的自动核查。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1、队员反馈核查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队员反馈了处置结果之后，系统自动通过智能解析系统进行该区域沿街晾晒问题的核查，当核查后该区域没有沿街晾晒行为则进行结案，如果核查后仍然有沿街晾晒行为，将向执法队员进行二次任务派遣，并对派遣任务进行标注为二次派遣。</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2、超时反馈核查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沿街晾晒事件处置时限设定要求（如两小时处置），如果队员在超过时限后没有进行反馈，系统将自动进行超时反馈核查，当核查后该区域没有沿街晾晒行为则进行结案，如果核查后仍然有沿街晾晒行为，将向执法队员进行二次任务派遣，并对派遣任务进行标注为超时处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2.4.2.3.5历史报警查询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历史报警信息查询可以对所有智能解析系统自动抓拍的沿街晾晒信息进行查询，可以按照时间，摄像头名称，通知与否，是否误报，处置结果等不同的类型进行历史报警信息的查询。</w:t>
      </w:r>
    </w:p>
    <w:p>
      <w:pPr>
        <w:pStyle w:val="6"/>
        <w:numPr>
          <w:ilvl w:val="0"/>
          <w:numId w:val="0"/>
        </w:numPr>
        <w:rPr>
          <w:rFonts w:hint="eastAsia" w:ascii="宋体" w:hAnsi="宋体" w:eastAsia="宋体" w:cs="宋体"/>
          <w:color w:val="auto"/>
          <w:sz w:val="24"/>
          <w:szCs w:val="24"/>
          <w:highlight w:val="none"/>
        </w:rPr>
      </w:pPr>
      <w:bookmarkStart w:id="30" w:name="_Toc56775063"/>
      <w:r>
        <w:rPr>
          <w:rFonts w:hint="eastAsia" w:ascii="宋体" w:hAnsi="宋体" w:eastAsia="宋体" w:cs="宋体"/>
          <w:color w:val="auto"/>
          <w:sz w:val="24"/>
          <w:szCs w:val="24"/>
          <w:highlight w:val="none"/>
        </w:rPr>
        <w:t>2.4.3渣土车治理管理系统</w:t>
      </w:r>
      <w:bookmarkEnd w:id="30"/>
      <w:r>
        <w:rPr>
          <w:rFonts w:hint="eastAsia" w:ascii="宋体" w:hAnsi="宋体" w:eastAsia="宋体" w:cs="宋体"/>
          <w:color w:val="auto"/>
          <w:sz w:val="24"/>
          <w:szCs w:val="24"/>
          <w:highlight w:val="none"/>
        </w:rPr>
        <w:t>（基于人工智能智能解析应用实现）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慈溪原有的渣土管理系统上进行升级改造，依托物联感知、移动互联网、人工智能等先进技术建设渣土车治理管理系统实现渣土车治理全天候、全流程监管，提升各环节的监管精细化程度。系统利用车牌识别技术，在每个建设工地（出土点）和消纳点门口建设高清摄像头，实现对所有进出渣土车辆的智能识别，同时整合公安和自建摄像头卡口数据，以及车载的GPS、称重、车斗举升等物联感知设备，构建智能化的渣土车综合治理平台，实现对渣土运输车辆，建筑工地，消纳场地的管理，并通过可视化方式对渣土运输车辆定位，审批数据查询，工地视频调阅，实现对渣土车运输“两点一线”的全路段管控。</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2.4.3.1运输管理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主要是针对渣土运输公司、渣土车辆备案、在建工地、临时消纳点备案、渣土车运输线路等情况进行电子化管理。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渣土运输公司管理：对渣土运输公司进行电子化管理，系统提供基本信息录入界面，实现对运输公司的信息录入，需要录入的信息项包括运输公司名称、负责人、联系电话等信息；对运输企业、五小工程企业的公司名称、统一社会信用代码、企业法人、联系方式、车辆数等信息进行统一管理。对渣土车辆、五小工程车的所属公司、车牌号、内径尺寸、承载方量、车检时间等信息进行统一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渣土车辆备案管理：对渣土车辆审批进行电子化管理，系统提供基本信息录入界面，实现对新工程渣土车的信息录入，需要录入的信息项包括车辆所属单位/个人信息、相关执照、审批信息等，支持照片附件的上传；</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地管理：可对在建工程进行信息录入管理，系统提供基本信息录入界面，实现对在建工地的信息录入，需要录入的信息项包括工程名称、所在区域、施工单位、建设单位、负责人电话等信息；同时，系统提供地图标注功能。标注的工地信息会基于GIS地图进行显示，点击图标可查看当前工地信息，包括地点、联系电话、建设方、预计方量、所属区域、工地图片或视频信息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临时消纳点备案管理：对临时消纳点审批进行电子化管理，系统提供基本信息录入界面，实现对临时消纳点的信息录入，需要录入的信息项包括申请人、位置、申请人联系方式、其他部门的批准材料等，支持照片附件的上传。同时，系统提供对消纳点的地图标注功能，标注了的临时消纳点可以基于地图进行展示，方便管理者对全市范围内的消纳点进行掌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运输线路管理：用于包括建筑工地、运输公司、运输车辆、消纳场等进行系统电子围栏的绘制和管理，可以针对每辆渣土运输车辆的每条运输线路设定车辆行驶时速上限。并设定渣土车辆的运输线路与线路运行时速等电子围栏信息设定，在渣土运输车辆日程行径过程中进行实际运行状况与电子围栏设定信息进行对比，进行报警记录；</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（6）电子围栏设定：可通过划定一定范围作为禁行区域或者行驶区域，当车辆驶入该区域或不在该区域范围形式，系统自动报警，并生成超区行驶记录；</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（7）分路段限速设置：由于部分工地在市区，而消纳点在郊区，可以针对每辆渣土运输车辆的每条运输线路设定车辆行驶限速阀值；</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（8）运输审批管理：针对运输公司，运输车辆，可以进行运输审批信息的绑定，包括审批编号，土方量，运输时间等信息。</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2.4.3.2智能监管应用</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接公安和工地、渣土消纳场地自建摄像头卡口数据，对渣土运行车辆实现车牌识别，与渣土审批数据库比对，利用智能解析系统识别违法运输车辆。调用渣土公司及建筑工地相关数据库，启动渣土车辆违法运输处置流程。</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2.4.3.2.1事前识别报警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基于智能解析系统获取工地以及路面卡口视频图像对车辆进行识别，包括渣土车车型，车牌进行抓拍以及自动识别，基于识别的车牌进行车辆基础信息的查询以及车型登记信息与车型视频识别的比对。</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2.4.3.2.2未备案车辆报警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车型识别与车牌识别，对渣土车辆进行识别报警后，根据车牌进行车辆备案信息比对，如果报警车辆为备案车辆进行备案车辆报警记录，如果车牌未在车辆备案库中查询出来，系统自动判断为未备案车辆，进行未备案车辆报警以及未备案车辆追踪识别。</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2.4.3.2.3未备案车辆追踪识别</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识别渣土车结构化的数据，进行渣土车辆实时视频点位跟踪，将识别到该车牌的视频监控进行定位，并将含车牌号、抓拍时间、地点坐标等信息，推送到运输动态监管系统，在GIS地图上展示渣土车的运行轨迹。</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2.4.3.2.4备案车辆定位信息关闭告警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车型识别与车牌识别，对渣土车辆进行识别报警后，根据车牌进行车辆备案信息比对，如果该车辆为备案车辆，将该识别信息包括车牌号、抓拍时间、地点坐标等信息，推送到运输动态监管系统，自动比对该车辆当前定位设备状态，若该车辆没有开启定位设备，进行异常车辆告警。</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2.4.3.2.5车辆识别记录</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车型识别与车牌识别，对接工地以及消纳场的视频监控，对区域范围内渣土车辆进出情况进行识别与记录，按天进行渣土车辆进出记录，包括车牌，抓拍时间，对应的监控设备信息，推送到运输动态监管系统，进行工地、消纳场的渣土车辆进出统计记录为后续的土方运输分析提供支撑数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2.4.3.2.6违法事件处置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法运输抄告任务包括，事件基本信息，渣土车辆基本信息，视频抓拍图像，是否具备审批信息等内容。执法队员在接到违法运输抄告任务后可以进行问题处置反馈，违法运输事件处置则进入执法事件协同处置子系统进行后续流转。</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2.4.3.2.7事后信息查询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报警信息查询可以对所有智能解析系统自动抓拍的违法运输信息进行查询，可以按照时间，工地名称，是否误报，报警原因，处置结果等不同的类型进行历史报警信息的查询。</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2.4.3.3运输动态监管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渣土车运输动态监管功能工作人员可在电子地图上找到工地、视频监控点、临时消纳点的具体地理位置，确认运输车辆的实时定位信息。同时，可通过车辆的运行轨迹追溯到运输车辆所载的建筑垃圾的来源。监管中心中可直观地显示车辆运输过程中可能出现的超时报警、智能监管报警、越界报警、超速报警、违规作业报警等异常报警。</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2.4.3.3.1渣土对象可视化</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1、建筑工地可视化：对全市范围内在建的建筑工地进行分布定位，建筑工地基础信息查询，建筑工地视频调阅。</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2、消纳场地可视化：对全市范围内的消纳场地，临时消纳场地进行分布定位，消纳场地基础信息查询。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辆进出分析可视化：针对每个工地，消纳场，结合智能解析对出入的渣土车辆进行识别记录，可以直接通过建筑工地、消纳场空间区域查看每日渣土车辆进出数量统计，以及每次进出的详情（包括时间以及进出抓拍照片）。</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2.4.3.3.2渣土车辆可视化监控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1、车辆实时定位：对装有定位设备的渣土车辆运行情况进行实时跟踪，点击车辆可实时掌握车辆的行驶路线信息。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轨迹回放：能够回溯车辆在指定时间段内的实际运行情况，且在回放过程中能够实现暂停、拖放、停止等控制功能。可以显示在回放过程中每个数据点上的状态、速度、时间、方向等相关信息，并在轨迹回放时可以选择是否在地图上显示停车超时或超速的地理标注。</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3、线路查询：对于运输泥浆的运输车辆设置固定运输线路，通过GIS地图进行该渣土运输车辆的运输线路区域。</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4、运输许可证查询：对于渣土运输车辆在进行可视化查询时，可以关联查询该车辆的运输审批信息。</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2.4.3.3.3智能监管报警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基于车牌识别，通过渣土监管系统进行车辆基本信息，车辆运输区域以及车辆运输审批信息的查询，并通过审批的信息进行以下事项的判断。</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未审批车辆告警，如果渣土车辆为未审批车辆，进行报警识别，进行车辆轨迹追踪，在GIS地图上展示渣土车的运行轨迹。</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该车辆是否具备运输许可审批合法运输车辆，如果没有查询到审批信息，则进行报警，并自动向执法人员下达渣土违法运输任务单。</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夜间施工装运分析，在夜间，通过智能解析，识别到工地有渣土车辆进出情况，系统进行夜间施工识别报警，同时比对该工地是否有夜间施工许可，如果有报警消除，如果没有进行取证，并自动向执法人员下达夜间施工任务单。</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正常装运车辆工地停留报警，通过车牌识别，识别该车辆是否为该工地运输车辆，并开始计时，当在一定时间内（例如30分钟以上）未离开，则进行报警，系统预判其为非正常装运车辆，并自动向执法人员下达渣土违法运输任务单。</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2.4.3.3.4定位数据报警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随着新型环保智能渣土车的推广使用，系统支持对接新型智能渣土车已安装的监控和物联检测数据，获取超速报警、设备异常关闭、越线报警、智能限举等数据，当发现违规时，可以在系统上显示预警信息。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1、车辆超速报警：在车辆发生超速时，监控软件会弹出超速报警提醒。车辆显示符号也会变色以提醒监控人员，超速发生时的报警方式可以设置。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异常关闭定位设备报警：通过智能解析系统识别到备案车辆，并进行该车辆的定位设备状态情况，如果该车辆定位设备处于关闭状态，则进行异常关闭定位设备报警，并记录相关信息包括报警时间、报警原因。</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3、车辆超线路区域报警：当车辆超出限制线路或区域后报警提醒。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异常举升告警：通过实时获取车辆的举升感知设备数据，在车辆进行举升操作时，进行车辆定位数据的比对分析，如果该车辆不在规定的举升区域（如消纳场场地）进行异常举升报警，并记录相关信息包括报警时间、报警原因。</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2.4.3.3.5车辆属性检索、布控与统计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属性检索的目的主要是对视频中出现的车辆对象的类别、颜色、有无车牌等特征进行结构化描述，供客户对符合指定外观特征的车辆对象通过属性字段进行跨摄像头的快速搜索和追踪；适用于没有确定的目标图像，但同时具备对象的某些关键信息的场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用户对摄像头车辆属性抓拍任务的新增、删除、修改、查询、开启、关闭；当用户新增车辆属性抓拍任务并开启，系统会自动抓拍指定摄像头视频中出现的车辆目标，并自动对车辆目标的属性以及车辆特征进行提取和保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车辆属性进行单一条件或符合条件（多个属性同时查询）的检索，即用户输入检索条件，系统返回符合对应属性、检索范围的车辆图片、车辆抓拍时间、车辆抓拍地点等信息；车辆属性检索基础条件包括摄像头检索范围、查询时间范围信息等，查询结果默认按照时间倒序排列。</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2.4.3.3.6视频管控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1、视频调阅：按照监管对象，类型进行渣土监管视频监控列表，视频分布，视频图像调阅。</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2、视频分析：基于智能解析系统的视频图像分析，实现对工地出入口、路面卡口、消纳场对渣土运输车辆进行车型，车牌识别，并通过车牌识别关联该车辆是否有运输许可，异常报警以及图像抓拍。</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2.4.3.3.7业务统计分析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（1）进出工地、消纳场统计：统计车辆进出工地的时间和次数、重量；</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土方量分析：通过智能解析对全市所有工地进出渣土车辆的车型进行分析，进出车次分析，结合车型进行全市每日产生土方量预估统计。并结合消纳场进出车辆车次分析，结合车型进行全市每日倾倒土方量预估统计。通过系统进行产出土方量与倾倒土方量比对进行违法偷到行为的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（3）超速报警报表：根据需要查询相应车辆的历史超速信息，并可按预先设置的时间段进行汇总，报表包括车辆超速情日、月报表，超速车辆排名日、月报表等；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（4）超线路报警报表：统计运送泥浆车不按线路行驶的车辆信息；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（5）超区域报警报表：统计查询超区域行驶的车辆信息；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（6）渣土流量分析：审批部门可根据各线路渣土运输的密集度，调整渣土车辆的运输路线规划；</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（7）案件高发情况分析：执法队员可对案件高发的区域、高发的时间段进行重点监察。</w:t>
      </w:r>
    </w:p>
    <w:p>
      <w:pPr>
        <w:pStyle w:val="6"/>
        <w:numPr>
          <w:ilvl w:val="0"/>
          <w:numId w:val="0"/>
        </w:numPr>
        <w:ind w:left="720"/>
        <w:rPr>
          <w:rFonts w:hint="eastAsia" w:ascii="宋体" w:hAnsi="宋体" w:eastAsia="宋体" w:cs="宋体"/>
          <w:color w:val="auto"/>
          <w:sz w:val="24"/>
          <w:szCs w:val="24"/>
          <w:highlight w:val="none"/>
        </w:rPr>
      </w:pPr>
      <w:bookmarkStart w:id="31" w:name="_Toc56775064"/>
      <w:r>
        <w:rPr>
          <w:rFonts w:hint="eastAsia" w:ascii="宋体" w:hAnsi="宋体" w:eastAsia="宋体" w:cs="宋体"/>
          <w:color w:val="auto"/>
          <w:sz w:val="24"/>
          <w:szCs w:val="24"/>
          <w:highlight w:val="none"/>
        </w:rPr>
        <w:t>2.4.4智能环卫管理系统</w:t>
      </w:r>
      <w:bookmarkEnd w:id="31"/>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环卫监管系统将环卫工作中的各要素，如车辆、人员、清运点、垃圾箱等纳入实时监管平台，改变以往单纯依靠人工进行工作监管的模式，实现了对环卫工作各环节执行质量的远程实时掌控。从而能够及时发现问题和事件，有效消除管理盲区，保障环卫工作高效运行。</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2.4.4.1环卫作业监管</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2.4.4.1.1作业位置跟踪</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获取车辆GPS定位数据，将车辆的定位轨迹信息、行车状态记录、业务作业信息、视频信息传送到勤务调度室，并显示在电子地图上。一是实现对区域内环卫作业车辆等环卫装备资源的管理、指挥、调度、监管和通信。二是实现洒水车、多功能机扫车、垃圾清运车、餐厨垃圾车等机械化作业车辆实时作业位置的在线查看和追踪，具体包括实时 GIS 位置、地址、速度、方向、行驶路线等信息。</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2.4.4.1.2作业轨迹跟踪</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实现对任意车辆、任意时间的车辆行驶轨迹查询，在电子地图上对车辆的行驶情况进行历史回放。实现环卫车辆历史作业轨迹查询和回放, 系统通过图形化方式的地图上回放车辆作业全过程。</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2.4.4.1.3作业状态监控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实现对洒水车、多功能机扫车、垃圾清运车、餐厨垃圾车等进行实时监管，可设定路线、时间、频次，进行分段限速，环卫车辆在规定时间内作业，不报警，反之则报警。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针对餐厨垃圾的收运情况，汇总餐厨垃圾车实时行驶轨迹和餐厨产生点的信息，实现餐厨垃圾收运监管。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针对洒水车、机扫车的作业情况，可实时查看清扫任务进度，以不同颜色体现。对于洒水车、机扫车进行实时作业情况分析，包括各个车辆行驶里程，作业覆盖区域分析。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针对垃圾清运车，结合车辆GPS定位，汇总清运车行驶轨迹和清运点空间位置数据实现垃圾清运车收运监管。</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2.4.4.1.4违规作业预警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实现作业车辆作业过程中的各类违规现象的监管：越线作业、越界作业、超时停车、超速作业、扫水车用水异常等,出现违规情况是进行及时处理,并支持违规反查。</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2.4.4.2垃圾分类监管</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2.4.4.2.1全资源地图分布</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实现垃圾分类的垃圾分类采集点、垃圾桶、中转场所、处置场所、运输车辆、管理人员等垃圾分类全资源要素地图分布、叠加展示和图属一体化查询交互。</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1、垃圾分类数据分析, 实现全市餐厨垃圾、厨余垃圾处理情况分析，包括清运点总数，产生量，处理量，总量比对异常分析。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2、垃圾分类可视化，对各个小区的垃圾分类投放点，清运点，中转站进行地图分布管理，关联显示该场所的安装的视频监控，并进行现场视频监控调阅，该清运点关联的垃圾分类考核数据。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3、垃圾分类考核可视化，各个小区的垃圾分类考核结果分析，结合红黄绿码方式对小区垃圾分类考核结果进行可视化展示。</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4、垃圾分类智能解析可视化，通过全资源地图对垃圾分类清运点的视频监控智能解析结果进行报警记录，查看解析报警详细，如垃圾满溢报警。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转站运行可视化，对全市范围内的中转站进行地图分布管理，并对接中转站的称重设备，与视频监控设备，实现中转站的运行管理，结合清运车辆GPS与称重设备，进行中转站实时垃圾处理吞吐量的统计分析。以及中转站实时监控调阅，车辆进出统计等内容。</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余垃圾清运可视化，对全市范围内的餐饮店家进行地图分布管理，标注各个餐饮店家的厨余垃圾清运点，并结合清运车辆GPS信息，进行关联分析，实现清运点作业分析，通过系统可以清晰的了解到清运分布情况，以及清运点是否被车辆清运情况。并通过平台进出厨余垃圾清运车辆的实时定位、轨迹查询、轨迹回放。</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2.4.4.2.2视频监管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通过对垃圾分类点视频录像进行策略设置，只对场景内出现活动物体的录像进行保存，提升事件追溯效率。</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2.4.4.2.3垃圾分类基础信息管理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基础数据管理旨在实现平台所有业务对象的基础数据管理，保障业务流程通畅。如城市行政区划基础数据、小区基础数据、居民信息数据、督导员基础数据。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1、小区基础信息管理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建立小区、社区、街道、区、物业、各单位、住户量等各级对应关系、为后续的垃圾分类两级考核机制提供基础管理数据。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2、垃圾分类投放点管理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实现对小区内投放点、清运点位、回收站点、处置点等统一管理。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3、督导员管理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对每个小区的督导员进行管理，实现督导员与小区的信息关联。</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4、物业公司管理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对每个小区的物业公司，物业人员进行管理，实现物业公司，物业人员与小区的信息关联。</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5、餐饮店家管理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对所有需要进行餐厨垃圾清运的餐饮店家进行基础数据管理，包括店家基础信息，店家规模。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6、清运车辆管理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实现清运车辆与小区、餐饮店家的信息关联。</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7、中转站管理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对管辖内所有的垃圾中转站进行基础数据管理，包括中转站基础信息，日转运量。</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8、清运车辆定位管理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对接开诚有机固废处理有限公司的厨余清运车辆GPS（北斗）数据，实现设备与车辆的关联管理，并进行车辆运行轨迹的查询与回放。</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2.4.4.2.4垃圾分类收运分析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对接中转站、处理场所的垃圾车辆称重监管系统，对相关运输车辆实现自动称重及记录车辆信息的实时获取，从而实时掌握垃圾处置销纳量，全市餐厨垃圾、厨余垃圾的分析，确保生活垃圾的每日无害化处置。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中转站转运与处置场所收集处理的餐厨垃圾、厨余垃圾数据分析比对全面掌握全市餐厨垃圾、厨余垃圾处理情况，并通过数据阈值、异常告警等方式对处置总量和收运总量相比有明显异常的情况数据不一致情况告警，对处理能力超过阈值过载进行报警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店家厨余垃圾收运分析，系统通过将餐饮店家以及厨余垃圾清运点的空间定位数据与清运车辆的定位数据进行大数据匹配分析（结合GIS空间，车辆定位，车辆停留时长等元素进行分析），实现对餐饮店家的厨余垃圾的清运状况的自动分析，并将分析结果及时推送给全资源地图分布应用，实现餐饮店家的厨余垃圾收运状况的实时分析，并将未收运的餐饮店家的清运点进行报警显示。</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2.4.4.2.5运输过程监管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实现清运车辆实时作业位置的在线查看和追踪，能为管理员提供清运车辆作业状态、实时位置、清运路线、车辆行驶度等列表信息，管理员通过查看当前车辆详情，快速了解车辆清运工作情况。</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2.4.4.2.6垃圾分类考核监管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建立垃圾分类两级考核监管体系，对各个小区的垃圾分类工作进行考核监管，督导员进行本小区日常垃圾分类工作情况上报，局监管人员进行不定期抽查，形成垃圾分类的两级考核监督体系。</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1、督导员日常上报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员在进行日常垃圾分类情况效果检查过程中可以对检查发现的问题进行上报，上报可以通过电脑终端或手机终端上报，选择问题类型，确定被检查对象，填报详情，并上传问题图片。结合督导员关联小区进行该小区垃圾分类工作的考核扣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2、垃圾处理量上报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督导员进行小区每日垃圾分类处理量数据上报。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3、监管员检查上报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局监管人员对全市小区的垃圾分类工作进行抽查检查，对监测结果通过手机终端上报小区的垃圾分类工作情况，按照垃圾分类考核细则项进行检查情况填报。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4、垃圾分类考核分析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系统结合督导员与监管员上报的各个小区的垃圾分类工作开展情况进行考核扣分分析，通过红黄绿码的方式对小区进行排名。</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5、督导员考核分析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系统结合监管员上报的各个小区的垃圾分类工作开展情况进行考核扣分分析，对督导员垃圾分类工作开展情况进行分析。</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6、物业公司垃圾分类管理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物业公司基于制定的垃圾分类管理办法，定时进行垃圾投放点巡查，并上报巡查记录，系统自动形成巡查报表从而实现对物业公司进行垃圾分类工作的监管。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7、监督员检查计划</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系统按照智能算法进行督察员检查计划的建议的自动生成，系统根据考核排名（是否为红码小区），巡查频次（每个小区每个月至少需要进行一次巡查），已巡查结果（有问题小区、未巡查小区）等。自动生成待巡查小区计划，监督员根据计划列表进行垃圾分类工作检查。</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2.4.4.3垃圾分类智能监管应用</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满溢智能监管应用对路面主要区域的垃圾桶进行智能识别，实现在垃圾桶出现满溢，周边有垃圾堆放等问题进行自动的识别，并形成垃圾清运报警任务，通过业务系统进行任务派发，或通过短信向相关人员进行信息通知。</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2.4.3.1垃圾分类智能解析区域管理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智能解析系统进行垃圾满溢监管区域空间的划分设定，主要以垃圾桶周边的空间区域的设定。选择要设定摄像头，直接通过在视频可视区域图像内拉框，划线的方式设定垃圾满溢监管区域。通过区域管理可以查看进行垃圾满溢识别的摄像头以及设备的自动识别区域。</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2.4.3.2垃圾满溢报警管理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对所有设定了垃圾满溢识别区域的摄像头进行垃圾满溢状态分析，实时监测重点管理区域状况，当视频自动检测到垃圾满溢状态后进行报警，抓拍垃圾满溢情况照片，并自动生成一条垃圾满溢事件。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事件信息包括垃圾满溢区域，发生时间，垃圾满溢照片证据，以及对应的责任监督人员信息，联系方式等。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报情况处理，由于智能解析系统自动识别，为了防止误报情况发生，根据系统信度阈值设置80%-85%，在整个垃圾分类智能监管应用过程中，可以在任何环节对识别情况进行人工干预，如果是发现是误报情况则删除该垃圾满溢报警。</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2.4.3.3历史报警查询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报警信息查询可以对所有智能解析系统自动抓拍的垃圾满溢、督察员离岗、物业巡查记录等信息进行查询，可以按照时间，摄像头名称，通知与否，是否误报，处置结果等不同的类型进行历史报警信息的查询。</w:t>
      </w:r>
    </w:p>
    <w:p>
      <w:pPr>
        <w:pStyle w:val="5"/>
        <w:rPr>
          <w:rFonts w:hint="eastAsia" w:ascii="宋体" w:hAnsi="宋体" w:eastAsia="宋体" w:cs="宋体"/>
          <w:color w:val="auto"/>
          <w:sz w:val="24"/>
          <w:szCs w:val="24"/>
          <w:highlight w:val="none"/>
        </w:rPr>
      </w:pPr>
      <w:bookmarkStart w:id="32" w:name="_Toc56775068"/>
      <w:r>
        <w:rPr>
          <w:rFonts w:hint="eastAsia" w:ascii="宋体" w:hAnsi="宋体" w:eastAsia="宋体" w:cs="宋体"/>
          <w:color w:val="auto"/>
          <w:sz w:val="24"/>
          <w:szCs w:val="24"/>
          <w:highlight w:val="none"/>
        </w:rPr>
        <w:t>2.5勤务调度室建设</w:t>
      </w:r>
      <w:bookmarkEnd w:id="32"/>
      <w:r>
        <w:rPr>
          <w:rFonts w:hint="eastAsia" w:ascii="宋体" w:hAnsi="宋体" w:eastAsia="宋体" w:cs="宋体"/>
          <w:color w:val="auto"/>
          <w:sz w:val="24"/>
          <w:szCs w:val="24"/>
          <w:highlight w:val="none"/>
        </w:rPr>
        <w:t>需求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系统勤务调度室设置在慈溪市综合行政执法局内，通过对综合行政执法局主楼五楼原智慧城管指挥中心进行改造，建设满足城市智能化管理系统日常管理需要的勤务调度室。</w:t>
      </w:r>
    </w:p>
    <w:p>
      <w:pPr>
        <w:pStyle w:val="6"/>
        <w:numPr>
          <w:ilvl w:val="0"/>
          <w:numId w:val="0"/>
        </w:numPr>
        <w:rPr>
          <w:rFonts w:hint="eastAsia" w:ascii="宋体" w:hAnsi="宋体" w:eastAsia="宋体" w:cs="宋体"/>
          <w:color w:val="auto"/>
          <w:sz w:val="24"/>
          <w:szCs w:val="24"/>
          <w:highlight w:val="none"/>
        </w:rPr>
      </w:pPr>
      <w:bookmarkStart w:id="33" w:name="_Toc56775069"/>
      <w:r>
        <w:rPr>
          <w:rFonts w:hint="eastAsia" w:ascii="宋体" w:hAnsi="宋体" w:eastAsia="宋体" w:cs="宋体"/>
          <w:color w:val="auto"/>
          <w:sz w:val="24"/>
          <w:szCs w:val="24"/>
          <w:highlight w:val="none"/>
        </w:rPr>
        <w:t>2.5.1可视化指挥调度系统</w:t>
      </w:r>
      <w:bookmarkEnd w:id="33"/>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可视化、信息实时化、资源动态化已经成为当今信息系统发展的趋势，通过GIS平台、GPS、4G，视频监控，流程化运行平台等技术的应用与整合，实现对区范围各类资源的可视化运行监管，通过监控调度中心与可视化运行监管统筹管理区范围内的城市管理街面秩序状况，进行日常动态运行状况的指挥与协调。一线队伍工作情况、各业务的运行情况进行实时可视化的监管，将重点、难点、需要多方协调的问题能够快速有效的处理。在出现重大突发事件发生的情况下，对各种资源进行实时的掌控，基于空间资源随时了解现场状况，提升应急指挥能力。</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2.5.1.1指挥调度专题</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2.5.1.1.1应急预案管理</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作为指挥调度的核心模型，根据事件类型、级别，设置不同处理预案。构建统一的预案管理框架，实现对人员、车辆、视频调用、信息发布、预案策略、预案运行等相关信息的配置。并按照统一的预案管理框架实现对火灾、交通事故、台风等应急预案的设置以及针对这些应急预案的演练验证与功能优化，针对不同类型的事件分类处理。</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2.5.1.1.2可视化查询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支持针对人员、车辆、监控在地图进行空间信息检索，通过拉框查找的方式进行地图定位，信息查询，并通过不同的状态进行人员、设备与信息的查看与管控。</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2.5.1.1.3指挥调度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应急预案，对各类突发事件，重大问题进行，并针对该预案进行设备、人员、车辆借助语音、视频等方式进行指令下达，指令跟踪，结果反馈，形成指挥中心与一些人员的多方应急联动，通过预案规范应急管理工作，实时掌握现场状况，做到决策指挥的精准化，智慧化。</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1、自动指令：根据预案管理时可以设定多种类型的自动指令，在指挥调度时只要选择对应自动指令，系统会自动将指令内容下发给对应的人员；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2、指令下达：针对特定人员进行指挥调度指令的下达，下打时可以进行文字描述，语音以及地图位置，事件链接的方式，对应通过终端接收中心下达的指令后进行执行；</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3、指令群发：按照部门，地图拉框查找后进行群发指令的下达，下打时可以进行文字描述，语音以及地图位置，事件链接的方式，对应通过终端接收中心下达的指令后进行执行；</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4、指令跟踪：通过可视化平台可以对下达的指令进行跟踪，查看人员对接收指令的执行情况，以及指令反馈结果；</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5、反馈提醒：当人员接收指令，并进行反馈后，系统对反馈指令进行体系。</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2.5.1.1.4地图标绘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进行应急指挥过程中，将原有的二维GIS地图升级为应急指挥沙盘，通过地图标绘功能，基于应急事件发生的位置，在地图上进行临时标签的设定，如在防汛时对设定严重积水点。也可以在地图上的任意位置上设定临时区域标注，如临时重点管控区域，并自动将重点管控区域的监控，任意进行关联。通过这样联动的地图协同标绘功能，辅助突发事件发生后的协调联动与协同指挥，为高效开展突发事件应对提供支撑。</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2.5.1.2事件管控专题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管控专题实现对上报的各类城市管理事件基于GIS地图的实时可视化标注与事件信息展现，当城管队员使用智能终端上报或通过视频监控抓拍上报城市管理事件之后，可以通过管控指挥平台进行事件的可视化定位管理，获取事件详细信息，查看事件当前流程位置及事件详情、相关执法队员信息、多媒体信息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（1）当日事件发生位置情况查看；可以对已经发生的乡镇事件的地理位置进行查看，包括所有事件的发生位置分布、单个事件的位置；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（2）事件详细信息查看；包括事件发生的时间、事件来源、事件所属状态、所属网格、上报人、上报时间、事件描述、相关环节附件等；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（3）事件状态查看；通过事件图标的颜色不同来区分当前事件所处的状态，是否正常、快超期、已经超期等；</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（4）事件周边资源查看；运用空间检索功能，查询事件周边一定范围内的相关元素，包括人员、车辆、监控等，提高发生重要事件时指挥中心的非现场指挥能力。</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2.5.1.3队员管控专题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通过队员使用的智能终端进行定位数据上报，结合上报的定位数据，提供给管理人员关于城管队员的实时定位信息和历史轨迹查询服务。结合勤务管理系统，可以将巡查路线和历史轨迹的对比作为考核的依据。</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2.5.1.4视频监控专题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管控对视频监控资源实现可视化管理，通过整合相关视频监控资源，提供视频监控点位信息、设备信息及连接视频图像相关配置信息的管理功能。同时对视频监控提供管理分类，包括属地分类（按辖区划分）、用途分类（道路监控/河道监控/工地监控等），通过平台实时获取相关视频信息并提供云台控制功能可对监控点进行角度和距离的调控。</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可视区域管控，对分布的视频监控进行可视区域的覆盖区域图层显示，让管理者可以对全市的视频覆盖情况，可监控区域进行全面直观的了解，在进行基础数据，实时事件，人员定位时，可以快速找到可以进行实时监控图像调阅的视频监控，提高非现场管控能力。</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相关工作人员可以直接使用视频监控平台或可视化管控指挥平台进行街面视频图像调阅，并对通过视频监控发现的城市问题（事件）进行人工抓拍，并通过协同处置系统进行城市事件上报。</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2.5.1.4.1视频图层查询</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基于电子点图，能够查看视频在地图上的分布情况，能够查看视频探头的基本信息。</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2.5.1.4.2视频播放</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可通过列表或者GIS地图选取视频探头，通过WEB或者控件播放当前视频，支持单画面或者多画面组合功能。</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2.5.1.4.3云台控制</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实现对视频监控探头或者云台的转向、变焦等控制。</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2.5.1.4.4案卷上报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将视频发现作为发现问题来源之一，可对视频进行截图、查看历史数据、录像，并能够将问题记录下来，填报问题相关信息，形成事件上传并进行问题的处置。</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2.5.1.4.5视频核查</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问题处置完毕后，可调用现场视频对处置结果进行核查，并通过视频抓拍将核查结果反馈到系统中。</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2.5.1.4.6视频分组</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同时对视频监控提供管理分类，包括属地分类（按辖区划分）、用途分类（道路监控/河道监控/工地监控等）。</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2.5.1.5智能解析专题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智能解析系统的创新场景应用为本期项目的亮点应用之一，在该专题针对智能解析监管的对象，区域以及识别的各类报警信息进行专项应用。自动汇集以及分类智能解析发现的异常问题数量，进行处置干预的事件，以及处理完成的事件。定位问题发布情况，查看详情。可视化体现智能解析应用覆盖监管区域。</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2.5.1.5.1监控分布</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GIS地图对接入智能解析系统的视频监控进空间分布展示，并通过不同的图标类型将不同识别对象（违停、跨门经营、渣土识别等）摄像头进行分类标注，通过图标可以进行视频实时图像调阅，累计报警事件统计，识别报警事件查询，事件详情查询。</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2.5.1.5.2事件分布</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结合GIS地图对所有智能解析系统产生并审核的事件进行空间分布展示，按照事件状态进行分类标注展示，通过图标可以进行视频实时图像调阅，事件详情查询，关联执法对象信息查看（如店家信息、车主信息）。</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2.5.1.5.3管控排名</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GIS地图对所有智能解析系统管控的对象按照发生的违法行为数据量进行空间分析展示，按照执法对象类型进行分类标注展示，通过图标可以执法对象信息查看（如店家信息、车主信息），该对象历史违法行为查询，违法行为详情查询，视频实时图像调阅。</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2.5.1.6执法对象专题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全市范围内重点路段的沿街店家信息的详细管理，形成范围内的沿街店家信息资源库，并通过可视化实时管控平台进行可视化的查询街面沿街店家分布状况，沿街店家基本信息，例如店面，经营范围，店主信息，联系电话等。与协同处置子系统深度整合实现店家违法信息的关联。城管队员可以通过智能终端对沿街店家信息进行更新，通过数据同步，实现管控指挥平台中沿街店家信息的实时更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1、沿街店家查询：基于电子点图，能够查看沿街店家在地图上的分布情况，能够查看沿街店家的详细信息；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2、查找店家：通过执法数据资源管理中心，已经实现店家与路段、监控与路段的关联，通过沿街店家的信息可以直接查询到该店家所关联的视频监控资源，调阅视频实时查看店家的情况；</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3、区域查店家：可通过划定区域，实现分区域的查询店家数；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4、店家历史违法事件查看：可以查看该店家历史的违法次数以及违法的详细记录。</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2.5.1.7异常告警专题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告警管控主要有两类信息，一类是队员异常告警信息，当城管队员、车辆出现异常状况时，系统进行记录，并在管控指挥平台对状况进行报警提示。另一类是城市事件处置状况出现异常情况时进行，报警提示。城市事件异常告警信息包括以下内容（超时预警：通过对各类城市事件设定处置时限，事件处置时限即将超时，系统自动进行事件异常报警）。</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2.5.1.7.1队员异常告警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1、脱线预警：队员在线监测，如果队员掉线超过5分钟，系统进行队员脱线预警；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2、脱岗预警：队员工作区域监测，如果队员在工作时间，脱离自己负责的信息采集区域，系统进行队员脱岗预警；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3、停留预警：在巡查时间，如果队员没有进行事件上报，出现在一个位置出现长时间停留状况，超过30分数（时间可以设置），系统进行队员停留预警。</w:t>
      </w:r>
    </w:p>
    <w:p>
      <w:pPr>
        <w:pStyle w:val="8"/>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2.5.1.7.2事件异常告警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通过对各类城市事件设定处置时限，事件处置时限即将超时，系统自动进行事件异常报警。</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2.5.1.8无人机专题</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将无人机接入本次项目建设的视频平台内，并通过可视化指挥调度系统进行无人机管控应用，在此基础上实现以下功能：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1、历史回放：查看无人机回传的历史视频数据；</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2、视频直播：无人机机动调度，可将现场画面实时传输至链接能力平台；</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3、飞行轨迹：结合地图，直观在地图上查看无人机在某个时间段的飞行轨迹；</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人机河道巡查：通过无人机对全市范围内的河道进行无人机高空巡查，提高河道巡查效率，使用无人机对河道实时状况进行视频回传，并对发现的问题如河道漂浮物，河道垃圾等问题进行快速上报进行证据固定。</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无人机工地巡查：通过无人机对全市范围内的工地进行无人机高空巡查，提高工地监管效率，使用无人机对工地实时状况进行视频回传，并对发现的工地扬尘污染，夜间施工等问题进行快速上报进行证据固定。</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无人机违建巡查：通过无人机对全市范围内的违建情况进行无人机高空巡查，丰富违建查处手段，提高违建查处效率，使用无人机对住宅、空地实时状况进行视频回传，并对发现的违建情况进行快速上报进行证据固定。</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7、应急指挥：在发生突发状况时，通过无人机快速抵达突发问题发生区域，对现场状况进行快速回传，提高应急指挥响应速度与对现在状况掌握力度。</w:t>
      </w:r>
    </w:p>
    <w:p>
      <w:pPr>
        <w:pStyle w:val="6"/>
        <w:numPr>
          <w:ilvl w:val="0"/>
          <w:numId w:val="0"/>
        </w:numPr>
        <w:rPr>
          <w:rFonts w:hint="eastAsia" w:ascii="宋体" w:hAnsi="宋体" w:eastAsia="宋体" w:cs="宋体"/>
          <w:color w:val="auto"/>
          <w:sz w:val="24"/>
          <w:szCs w:val="24"/>
          <w:highlight w:val="none"/>
        </w:rPr>
      </w:pPr>
      <w:bookmarkStart w:id="34" w:name="_Toc56775070"/>
      <w:r>
        <w:rPr>
          <w:rFonts w:hint="eastAsia" w:ascii="宋体" w:hAnsi="宋体" w:eastAsia="宋体" w:cs="宋体"/>
          <w:color w:val="auto"/>
          <w:sz w:val="24"/>
          <w:szCs w:val="24"/>
          <w:highlight w:val="none"/>
        </w:rPr>
        <w:t>2.5.2勤务管理系统</w:t>
      </w:r>
      <w:bookmarkEnd w:id="34"/>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勤务管理系统实现对城市管理一线执法队员的日常巡查线路，巡查区域，巡查区域巡更点，巡查时间的设定，管理人员可以对全市各个一线队员的勤务计划以及巡查运行结果进行监管。</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2.5.2.1勤务规则设定</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1、人员勤务计划设定：针对工作计划、岗位设置、人员安排提供勤务信息管理。可以设定基础巡查线路、基础巡查区域，巡更点、休息点，并按照时间、线路、区域等不同的维度进行执法队员勤务计划的设定；</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2、车辆线路、区域预设：系统可在电子地图上，设定某班组或单个城管车辆的巡查区域、巡查路线、巡查期限以及该区域和线路的设定车辆巡查时速的监管本底信息；</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3、排班计划设定：针对一线队员和内部工作人员进行日常排班工作的设定，需要指定具体的人员安排和时间日程，同时可以通过日历视图来查看整体的排班情况。</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2.5.2.2勤务运行监管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设定的勤务计划的运行状况进行跟踪监管，按照历史勤务计划、未进行勤务计划、巡查队员、线路等不同的条件进行勤务计划以及排班计划的跟踪监管。同时可以进行队员、车辆历史勤务计划与历史实际运行勤务的对比分析结果监管。形成对城管队伍实际运行效能的监督与监管该数据将同时提供给考核评价系统与可视化指挥调度系统。</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2.5.2.3勤务异常报警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对人员、车辆在进行巡查中出现的停留、越界、超时等现象进行实时报警，并自动记录报警发生时的时间、地点、路线情况。</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1、打卡异常：对未打卡，迟到打卡的队员进行报警分析，系统将每天考勤打卡异常的队员进行报警；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2、脱线监管：队员或车辆在线监测，如果队员或车辆掉线超过5分钟，系统进行队员或车辆脱线监管报警；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3、脱岗监管：队员或车辆工作区域监测，如果队员或车辆在工作时间，脱离自己负责的信息采集区域或规定的勤务巡查线路不一致时，系统进行队员或车辆脱岗监管报警；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4、巡更监管：对于队员或车辆需要定时考情的巡更点，如果队员或车辆在规定时间没有上报巡更点考勤信息则进行监管报警；</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5、停留报警：如果出现队员长时间停留在某一地点，同时又没有案件上报，则产生停留超时报警。</w:t>
      </w:r>
    </w:p>
    <w:p>
      <w:pPr>
        <w:pStyle w:val="7"/>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2.5.2.4勤务信息统计</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统计所有城管队员的考勤信息进行实时统计，可以按月，按片区进行分项统计，分队以及个人的考勤明细，包括考勤采集信息以及未按时考勤信息，具体内容包括考勤时间，迟到次数，每天休息次数， GPS统计的运行公里数，脱岗，越界，停留等情况的报警次数。</w:t>
      </w:r>
    </w:p>
    <w:p>
      <w:pPr>
        <w:pStyle w:val="5"/>
        <w:rPr>
          <w:rFonts w:hint="eastAsia" w:ascii="宋体" w:hAnsi="宋体" w:eastAsia="宋体" w:cs="宋体"/>
          <w:color w:val="auto"/>
          <w:sz w:val="24"/>
          <w:szCs w:val="24"/>
          <w:highlight w:val="none"/>
        </w:rPr>
      </w:pPr>
      <w:bookmarkStart w:id="35" w:name="_Toc53866389"/>
      <w:bookmarkStart w:id="36" w:name="_Toc21973"/>
      <w:bookmarkStart w:id="37" w:name="_Toc56775075"/>
      <w:r>
        <w:rPr>
          <w:rFonts w:hint="eastAsia" w:ascii="宋体" w:hAnsi="宋体" w:eastAsia="宋体" w:cs="宋体"/>
          <w:color w:val="auto"/>
          <w:sz w:val="24"/>
          <w:szCs w:val="24"/>
          <w:highlight w:val="none"/>
        </w:rPr>
        <w:t>2.6管理系统</w:t>
      </w:r>
      <w:bookmarkEnd w:id="35"/>
      <w:bookmarkEnd w:id="36"/>
      <w:r>
        <w:rPr>
          <w:rFonts w:hint="eastAsia" w:ascii="宋体" w:hAnsi="宋体" w:eastAsia="宋体" w:cs="宋体"/>
          <w:color w:val="auto"/>
          <w:sz w:val="24"/>
          <w:szCs w:val="24"/>
          <w:highlight w:val="none"/>
        </w:rPr>
        <w:t>应用整合需求</w:t>
      </w:r>
    </w:p>
    <w:p>
      <w:pPr>
        <w:pStyle w:val="6"/>
        <w:numPr>
          <w:ilvl w:val="0"/>
          <w:numId w:val="0"/>
        </w:numPr>
        <w:rPr>
          <w:rFonts w:hint="eastAsia" w:ascii="宋体" w:hAnsi="宋体" w:eastAsia="宋体" w:cs="宋体"/>
          <w:color w:val="auto"/>
          <w:sz w:val="24"/>
          <w:szCs w:val="24"/>
          <w:highlight w:val="none"/>
        </w:rPr>
      </w:pPr>
      <w:bookmarkStart w:id="38" w:name="_Toc56775065"/>
      <w:r>
        <w:rPr>
          <w:rFonts w:hint="eastAsia" w:ascii="宋体" w:hAnsi="宋体" w:eastAsia="宋体" w:cs="宋体"/>
          <w:color w:val="auto"/>
          <w:sz w:val="24"/>
          <w:szCs w:val="24"/>
          <w:highlight w:val="none"/>
        </w:rPr>
        <w:t>2.6.1移动信息管理系统</w:t>
      </w:r>
      <w:bookmarkEnd w:id="38"/>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整合在建的移动信息系统，通过智能终端设备的定位功能，进行对执法队员上报事件的定位以及执法队员实际工作线路的定位，形成工作轨迹，提高对执法队员的监管力度。结合定位分析为一线队员提供“一点通查、一点通办”的移动信息服务，提高执法队员现场巡查效能及处置效能。</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具备使用移动信息管理终端对现场执法实时状况进行视频回传。</w:t>
      </w:r>
    </w:p>
    <w:p>
      <w:pPr>
        <w:pStyle w:val="6"/>
        <w:numPr>
          <w:ilvl w:val="0"/>
          <w:numId w:val="0"/>
        </w:numPr>
        <w:rPr>
          <w:rFonts w:hint="eastAsia" w:ascii="宋体" w:hAnsi="宋体" w:eastAsia="宋体" w:cs="宋体"/>
          <w:color w:val="auto"/>
          <w:sz w:val="24"/>
          <w:szCs w:val="24"/>
          <w:highlight w:val="none"/>
        </w:rPr>
      </w:pPr>
      <w:bookmarkStart w:id="39" w:name="_Toc56775067"/>
      <w:r>
        <w:rPr>
          <w:rFonts w:hint="eastAsia" w:ascii="宋体" w:hAnsi="宋体" w:eastAsia="宋体" w:cs="宋体"/>
          <w:color w:val="auto"/>
          <w:sz w:val="24"/>
          <w:szCs w:val="24"/>
          <w:highlight w:val="none"/>
        </w:rPr>
        <w:t>2.6.2考核评价系统</w:t>
      </w:r>
      <w:bookmarkEnd w:id="39"/>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整合在建的考核评价系统，根据实际业务和法定规程建立队员量化考核机制，设置考评内容和评分事项，提交相关领导审批后形成既定考评条目。通过考评任务安排、考评任务执行和考评执行监管，最终形成有效的考评结果。可以进行考评事项管理、考评评分、考评审批、考评排名等。</w:t>
      </w: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2.7数据对接</w:t>
      </w:r>
      <w:bookmarkEnd w:id="37"/>
      <w:r>
        <w:rPr>
          <w:rFonts w:hint="eastAsia" w:ascii="宋体" w:hAnsi="宋体" w:eastAsia="宋体" w:cs="宋体"/>
          <w:color w:val="auto"/>
          <w:sz w:val="24"/>
          <w:szCs w:val="24"/>
          <w:highlight w:val="none"/>
        </w:rPr>
        <w:t>需求</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本次项目建设的数据共享子平台实现对大数据中心公共数据资源、公安交警视频监控和卡口资源、浙江省综合行政执法办案系统和宁波市城市管理行政执法网上办案系统等信息系统的数据共享对接。通过系统对相关平台业务功能数据的推送和采集，实现数据的融合展示和应用，如建立本地商家信息库、审批信息库、户外广告库、执法案件数据库等等。</w:t>
      </w:r>
    </w:p>
    <w:p>
      <w:pPr>
        <w:pStyle w:val="6"/>
        <w:numPr>
          <w:ilvl w:val="0"/>
          <w:numId w:val="0"/>
        </w:numPr>
        <w:rPr>
          <w:rFonts w:hint="eastAsia" w:ascii="宋体" w:hAnsi="宋体" w:eastAsia="宋体" w:cs="宋体"/>
          <w:color w:val="auto"/>
          <w:sz w:val="24"/>
          <w:szCs w:val="24"/>
          <w:highlight w:val="none"/>
        </w:rPr>
      </w:pPr>
      <w:bookmarkStart w:id="40" w:name="_Toc56775076"/>
      <w:r>
        <w:rPr>
          <w:rFonts w:hint="eastAsia" w:ascii="宋体" w:hAnsi="宋体" w:eastAsia="宋体" w:cs="宋体"/>
          <w:color w:val="auto"/>
          <w:sz w:val="24"/>
          <w:szCs w:val="24"/>
          <w:highlight w:val="none"/>
        </w:rPr>
        <w:t>2.7.1大数据中心公共数据资源中心对接</w:t>
      </w:r>
      <w:bookmarkEnd w:id="40"/>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基于大数据中心提供的接口与大数据中心数据资源等系统对接，建立本地商家信息库、审批信息库、户外广告库等，实现移动端现场店铺、工地、渣土车辆执法检查，对审批项目的批后监管。</w:t>
      </w:r>
    </w:p>
    <w:p>
      <w:pPr>
        <w:pStyle w:val="6"/>
        <w:numPr>
          <w:ilvl w:val="0"/>
          <w:numId w:val="0"/>
        </w:numPr>
        <w:rPr>
          <w:rFonts w:hint="eastAsia" w:ascii="宋体" w:hAnsi="宋体" w:eastAsia="宋体" w:cs="宋体"/>
          <w:color w:val="auto"/>
          <w:sz w:val="24"/>
          <w:szCs w:val="24"/>
          <w:highlight w:val="none"/>
        </w:rPr>
      </w:pPr>
      <w:bookmarkStart w:id="41" w:name="_Toc56775077"/>
      <w:r>
        <w:rPr>
          <w:rFonts w:hint="eastAsia" w:ascii="宋体" w:hAnsi="宋体" w:eastAsia="宋体" w:cs="宋体"/>
          <w:color w:val="auto"/>
          <w:sz w:val="24"/>
          <w:szCs w:val="24"/>
          <w:highlight w:val="none"/>
        </w:rPr>
        <w:t>2.7.2慈溪市公安局视频专网对接</w:t>
      </w:r>
      <w:bookmarkEnd w:id="41"/>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与慈溪市公安局视频专网对接，将相关视频资源向本平台进行推送，结合视频分析技术，实现对日常环卫作业、渣土车运输等城市管理相关业务进行全过程的可视化监管。</w:t>
      </w:r>
    </w:p>
    <w:p>
      <w:pPr>
        <w:pStyle w:val="6"/>
        <w:numPr>
          <w:ilvl w:val="0"/>
          <w:numId w:val="0"/>
        </w:numPr>
        <w:rPr>
          <w:rFonts w:hint="eastAsia" w:ascii="宋体" w:hAnsi="宋体" w:eastAsia="宋体" w:cs="宋体"/>
          <w:color w:val="auto"/>
          <w:sz w:val="24"/>
          <w:szCs w:val="24"/>
          <w:highlight w:val="none"/>
        </w:rPr>
      </w:pPr>
      <w:bookmarkStart w:id="42" w:name="_Toc56775078"/>
      <w:r>
        <w:rPr>
          <w:rFonts w:hint="eastAsia" w:ascii="宋体" w:hAnsi="宋体" w:eastAsia="宋体" w:cs="宋体"/>
          <w:color w:val="auto"/>
          <w:sz w:val="24"/>
          <w:szCs w:val="24"/>
          <w:highlight w:val="none"/>
        </w:rPr>
        <w:t>2.7.3慈溪市智慧停车系统对接</w:t>
      </w:r>
      <w:bookmarkEnd w:id="42"/>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与慈溪市智慧停车系统对接，按需时时共享视频资源至本系统，为本系统业务应用提供数据支撑。</w:t>
      </w:r>
    </w:p>
    <w:p>
      <w:pPr>
        <w:pStyle w:val="6"/>
        <w:numPr>
          <w:ilvl w:val="0"/>
          <w:numId w:val="0"/>
        </w:numPr>
        <w:rPr>
          <w:rFonts w:hint="eastAsia" w:ascii="宋体" w:hAnsi="宋体" w:eastAsia="宋体" w:cs="宋体"/>
          <w:color w:val="auto"/>
          <w:sz w:val="24"/>
          <w:szCs w:val="24"/>
          <w:highlight w:val="none"/>
        </w:rPr>
      </w:pPr>
      <w:bookmarkStart w:id="43" w:name="_Toc56775079"/>
      <w:r>
        <w:rPr>
          <w:rFonts w:hint="eastAsia" w:ascii="宋体" w:hAnsi="宋体" w:eastAsia="宋体" w:cs="宋体"/>
          <w:color w:val="auto"/>
          <w:sz w:val="24"/>
          <w:szCs w:val="24"/>
          <w:highlight w:val="none"/>
        </w:rPr>
        <w:t>2.7.3浙江省综合行政执法办案系统对接</w:t>
      </w:r>
      <w:bookmarkEnd w:id="43"/>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浙江省综合行政执法办案系统提供接口实现同步浙江省综合行政执法办案系统，使执法案件信息互融互通，将浙江省综合行政执法办案系统推送的执法案件在本平台进行处置，并进行结果反馈，实现一体化信息的采集与流转、统计。同时形成执法案件数据库，可根据案件编号、案件类型、执法人员、当事人姓名、当事人身份证号（统一社会信用代码）、案由关键字等条件进行查询所有历史案件信息。</w:t>
      </w:r>
    </w:p>
    <w:p>
      <w:pPr>
        <w:pStyle w:val="6"/>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2.7.4市智慧城管系统事件对接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市智慧城管平台进行对接，实现慈溪市城市智慧化管理系统中创新场景应用中基于人工智能智能解析应用实现的智能违停，智能路面识别问题的向市智慧城管受理平台的上报，包括事件描述，所属区域，附件信息的提交，实现后续问题在市智慧城管的处理。</w:t>
      </w:r>
    </w:p>
    <w:p>
      <w:pPr>
        <w:pStyle w:val="6"/>
        <w:numPr>
          <w:ilvl w:val="0"/>
          <w:numId w:val="0"/>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2.7.5 </w:t>
      </w:r>
      <w:r>
        <w:rPr>
          <w:rFonts w:hint="eastAsia" w:ascii="宋体" w:hAnsi="宋体" w:eastAsia="宋体" w:cs="宋体"/>
          <w:color w:val="auto"/>
          <w:sz w:val="24"/>
          <w:szCs w:val="24"/>
          <w:highlight w:val="none"/>
        </w:rPr>
        <w:t>智慧环卫外部系统对接</w:t>
      </w:r>
    </w:p>
    <w:p>
      <w:pPr>
        <w:pStyle w:val="11"/>
        <w:rPr>
          <w:rFonts w:hint="eastAsia"/>
          <w:color w:val="auto"/>
          <w:highlight w:val="none"/>
        </w:rPr>
      </w:pPr>
      <w:r>
        <w:rPr>
          <w:rFonts w:hint="eastAsia"/>
          <w:color w:val="auto"/>
          <w:highlight w:val="none"/>
        </w:rPr>
        <w:t>与环卫管理相关企业、场所（包含：西三垃圾填埋场，垃圾焚烧发电站，餐厨垃圾处置中心，粪便处理中心，可回收垃圾分拣中心，建筑垃圾中转站等）等外部系统对接，整合这些场所的业务处理信息，并通过城市智慧化管理平台进行统一的管理。</w:t>
      </w:r>
    </w:p>
    <w:p>
      <w:pPr>
        <w:pStyle w:val="4"/>
        <w:numPr>
          <w:ilvl w:val="0"/>
          <w:numId w:val="0"/>
        </w:num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二、采购清单</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1、移动信息管理终端</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198"/>
        <w:gridCol w:w="2613"/>
        <w:gridCol w:w="2198"/>
        <w:gridCol w:w="691"/>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93"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418"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c>
          <w:tcPr>
            <w:tcW w:w="1193"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参考品牌</w:t>
            </w:r>
          </w:p>
        </w:tc>
        <w:tc>
          <w:tcPr>
            <w:tcW w:w="375"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446"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3"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移动信息管理终端</w:t>
            </w:r>
          </w:p>
        </w:tc>
        <w:tc>
          <w:tcPr>
            <w:tcW w:w="1418"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119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华为、oppo、小米</w:t>
            </w:r>
          </w:p>
        </w:tc>
        <w:tc>
          <w:tcPr>
            <w:tcW w:w="37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4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w:t>
            </w:r>
          </w:p>
        </w:tc>
      </w:tr>
    </w:tbl>
    <w:p>
      <w:pPr>
        <w:spacing w:line="360" w:lineRule="auto"/>
        <w:ind w:firstLine="480" w:firstLineChars="200"/>
        <w:rPr>
          <w:rFonts w:hint="eastAsia" w:ascii="宋体" w:hAnsi="宋体" w:eastAsia="宋体" w:cs="宋体"/>
          <w:b/>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2、软件清单</w:t>
      </w:r>
    </w:p>
    <w:tbl>
      <w:tblPr>
        <w:tblStyle w:val="19"/>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390"/>
        <w:gridCol w:w="2405"/>
        <w:gridCol w:w="2612"/>
        <w:gridCol w:w="644"/>
        <w:gridCol w:w="6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2"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34"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应用中心</w:t>
            </w:r>
          </w:p>
        </w:tc>
        <w:tc>
          <w:tcPr>
            <w:tcW w:w="1270"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379"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功能需求</w:t>
            </w:r>
          </w:p>
        </w:tc>
        <w:tc>
          <w:tcPr>
            <w:tcW w:w="340"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340"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582" w:type="pct"/>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4" w:type="pct"/>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城管数据中心</w:t>
            </w: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基础支撑应用</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数据资源中心</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4" w:type="pct"/>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创新应用</w:t>
            </w: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智能违停监管系统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智能路面监管系统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渣土车治理管理系统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智慧环卫管理系统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34" w:type="pct"/>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勤务调度室应用</w:t>
            </w: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可视化指挥调度系统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勤务管理系统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34" w:type="pct"/>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管理系统应用整合</w:t>
            </w: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考核评价系统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移动信息管理系统</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34" w:type="pct"/>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数据对接需求</w:t>
            </w: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公共数据资源中心对接</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慈溪市公安局视频专网对接</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智慧停车系统对接</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734" w:type="pct"/>
            <w:vMerge w:val="continue"/>
            <w:vAlign w:val="center"/>
          </w:tcPr>
          <w:p>
            <w:pPr>
              <w:spacing w:line="360" w:lineRule="auto"/>
              <w:jc w:val="center"/>
              <w:rPr>
                <w:rFonts w:hint="eastAsia" w:ascii="宋体" w:hAnsi="宋体" w:eastAsia="宋体" w:cs="宋体"/>
                <w:color w:val="auto"/>
                <w:sz w:val="24"/>
                <w:szCs w:val="24"/>
                <w:highlight w:val="none"/>
              </w:rPr>
            </w:pPr>
          </w:p>
        </w:tc>
        <w:tc>
          <w:tcPr>
            <w:tcW w:w="127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省执法办案系统对接</w:t>
            </w:r>
          </w:p>
        </w:tc>
        <w:tc>
          <w:tcPr>
            <w:tcW w:w="137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582"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定制</w:t>
            </w:r>
          </w:p>
        </w:tc>
      </w:tr>
    </w:tbl>
    <w:p>
      <w:pPr>
        <w:spacing w:line="360" w:lineRule="auto"/>
        <w:ind w:firstLine="480" w:firstLineChars="200"/>
        <w:rPr>
          <w:rFonts w:hint="eastAsia" w:ascii="宋体" w:hAnsi="宋体" w:eastAsia="宋体" w:cs="宋体"/>
          <w:b/>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3、智能解析系统清单</w:t>
      </w:r>
    </w:p>
    <w:tbl>
      <w:tblPr>
        <w:tblStyle w:val="19"/>
        <w:tblW w:w="50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79"/>
        <w:gridCol w:w="1941"/>
        <w:gridCol w:w="2501"/>
        <w:gridCol w:w="1859"/>
        <w:gridCol w:w="64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45"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20" w:type="pct"/>
            <w:gridSpan w:val="2"/>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设备/系统名称</w:t>
            </w:r>
          </w:p>
        </w:tc>
        <w:tc>
          <w:tcPr>
            <w:tcW w:w="1341"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997"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参考品牌</w:t>
            </w:r>
          </w:p>
        </w:tc>
        <w:tc>
          <w:tcPr>
            <w:tcW w:w="343"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453"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5" w:type="pct"/>
            <w:shd w:val="clear" w:color="auto" w:fill="auto"/>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9"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硬件支撑</w:t>
            </w: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GPU服务器</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曙光、浪潮、华三</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45" w:type="pct"/>
            <w:vMerge w:val="restart"/>
            <w:shd w:val="clear" w:color="auto" w:fill="auto"/>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9" w:type="pct"/>
            <w:vMerge w:val="restart"/>
            <w:shd w:val="clear" w:color="000000" w:fill="FFFFFF"/>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算法服务</w:t>
            </w: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跨门经营</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无照游商</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垃圾桶满溢</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沿街晾晒</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暴露垃圾</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乱堆物料</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机动车违停</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非机动车违停</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渣土车车牌识别</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积存垃圾渣土</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渣土车识别算法</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人脸识别算法</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5" w:type="pct"/>
            <w:vMerge w:val="continue"/>
            <w:shd w:val="clear" w:color="auto" w:fill="auto"/>
            <w:vAlign w:val="center"/>
          </w:tcPr>
          <w:p>
            <w:pPr>
              <w:rPr>
                <w:rFonts w:hint="eastAsia" w:ascii="宋体" w:hAnsi="宋体" w:eastAsia="宋体" w:cs="宋体"/>
                <w:color w:val="auto"/>
                <w:sz w:val="24"/>
                <w:szCs w:val="24"/>
                <w:highlight w:val="none"/>
              </w:rPr>
            </w:pPr>
          </w:p>
        </w:tc>
        <w:tc>
          <w:tcPr>
            <w:tcW w:w="579" w:type="pct"/>
            <w:vMerge w:val="continue"/>
            <w:shd w:val="clear" w:color="auto" w:fill="auto"/>
            <w:vAlign w:val="center"/>
          </w:tcPr>
          <w:p>
            <w:pPr>
              <w:rPr>
                <w:rFonts w:hint="eastAsia" w:ascii="宋体" w:hAnsi="宋体" w:eastAsia="宋体" w:cs="宋体"/>
                <w:color w:val="auto"/>
                <w:sz w:val="24"/>
                <w:szCs w:val="24"/>
                <w:highlight w:val="none"/>
              </w:rPr>
            </w:pPr>
          </w:p>
        </w:tc>
        <w:tc>
          <w:tcPr>
            <w:tcW w:w="1041"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算法调度能力</w:t>
            </w:r>
          </w:p>
        </w:tc>
        <w:tc>
          <w:tcPr>
            <w:tcW w:w="1341" w:type="pct"/>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997"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453"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pPr>
        <w:spacing w:line="360" w:lineRule="auto"/>
        <w:ind w:firstLine="480" w:firstLineChars="200"/>
        <w:rPr>
          <w:rFonts w:hint="eastAsia" w:ascii="宋体" w:hAnsi="宋体" w:eastAsia="宋体" w:cs="宋体"/>
          <w:b/>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4、统运维清单</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790"/>
        <w:gridCol w:w="3920"/>
        <w:gridCol w:w="123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5"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71"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127"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功能需求</w:t>
            </w:r>
          </w:p>
        </w:tc>
        <w:tc>
          <w:tcPr>
            <w:tcW w:w="669"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97" w:type="pc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5"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71"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系统运维费</w:t>
            </w:r>
          </w:p>
        </w:tc>
        <w:tc>
          <w:tcPr>
            <w:tcW w:w="2127"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669"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797" w:type="pct"/>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p>
        </w:tc>
      </w:tr>
    </w:tbl>
    <w:p>
      <w:pPr>
        <w:spacing w:line="360" w:lineRule="auto"/>
        <w:ind w:firstLine="480" w:firstLineChars="200"/>
        <w:rPr>
          <w:rFonts w:hint="eastAsia" w:ascii="宋体" w:hAnsi="宋体" w:eastAsia="宋体" w:cs="宋体"/>
          <w:b/>
          <w:color w:val="auto"/>
          <w:sz w:val="24"/>
          <w:szCs w:val="24"/>
          <w:highlight w:val="none"/>
        </w:rPr>
      </w:pP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5、通讯链路及流量清单</w:t>
      </w:r>
    </w:p>
    <w:tbl>
      <w:tblPr>
        <w:tblStyle w:val="19"/>
        <w:tblW w:w="5000" w:type="pct"/>
        <w:tblInd w:w="0" w:type="dxa"/>
        <w:tblLayout w:type="autofit"/>
        <w:tblCellMar>
          <w:top w:w="0" w:type="dxa"/>
          <w:left w:w="108" w:type="dxa"/>
          <w:bottom w:w="0" w:type="dxa"/>
          <w:right w:w="108" w:type="dxa"/>
        </w:tblCellMar>
      </w:tblPr>
      <w:tblGrid>
        <w:gridCol w:w="683"/>
        <w:gridCol w:w="2436"/>
        <w:gridCol w:w="2357"/>
        <w:gridCol w:w="857"/>
        <w:gridCol w:w="704"/>
        <w:gridCol w:w="2176"/>
      </w:tblGrid>
      <w:tr>
        <w:tblPrEx>
          <w:tblCellMar>
            <w:top w:w="0" w:type="dxa"/>
            <w:left w:w="108" w:type="dxa"/>
            <w:bottom w:w="0" w:type="dxa"/>
            <w:right w:w="108" w:type="dxa"/>
          </w:tblCellMar>
        </w:tblPrEx>
        <w:trPr>
          <w:trHeight w:val="300" w:hRule="atLeast"/>
        </w:trPr>
        <w:tc>
          <w:tcPr>
            <w:tcW w:w="3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322"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1279"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功能需求</w:t>
            </w:r>
          </w:p>
        </w:tc>
        <w:tc>
          <w:tcPr>
            <w:tcW w:w="465"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382"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179"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参考品牌</w:t>
            </w:r>
          </w:p>
        </w:tc>
      </w:tr>
      <w:tr>
        <w:tblPrEx>
          <w:tblCellMar>
            <w:top w:w="0" w:type="dxa"/>
            <w:left w:w="108" w:type="dxa"/>
            <w:bottom w:w="0" w:type="dxa"/>
            <w:right w:w="108" w:type="dxa"/>
          </w:tblCellMar>
        </w:tblPrEx>
        <w:trPr>
          <w:trHeight w:val="300" w:hRule="atLeast"/>
        </w:trPr>
        <w:tc>
          <w:tcPr>
            <w:tcW w:w="5000" w:type="pct"/>
            <w:gridSpan w:val="6"/>
            <w:tcBorders>
              <w:top w:val="single" w:color="auto" w:sz="4" w:space="0"/>
              <w:left w:val="single" w:color="auto" w:sz="4" w:space="0"/>
              <w:bottom w:val="single" w:color="auto" w:sz="4" w:space="0"/>
              <w:right w:val="single" w:color="000000"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一、光纤租赁费</w:t>
            </w:r>
          </w:p>
        </w:tc>
      </w:tr>
      <w:tr>
        <w:tblPrEx>
          <w:tblCellMar>
            <w:top w:w="0" w:type="dxa"/>
            <w:left w:w="108" w:type="dxa"/>
            <w:bottom w:w="0" w:type="dxa"/>
            <w:right w:w="108" w:type="dxa"/>
          </w:tblCellMar>
        </w:tblPrEx>
        <w:trPr>
          <w:trHeight w:val="297"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前端光纤租赁费</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57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30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骨干光纤链路租赁费</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30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骨干光纤链路租赁费</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30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骨干光纤链路租赁费</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30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骨干光纤链路租赁费</w:t>
            </w:r>
          </w:p>
        </w:tc>
        <w:tc>
          <w:tcPr>
            <w:tcW w:w="1279" w:type="pct"/>
            <w:tcBorders>
              <w:top w:val="nil"/>
              <w:left w:val="nil"/>
              <w:bottom w:val="single" w:color="auto" w:sz="4" w:space="0"/>
              <w:right w:val="single" w:color="auto" w:sz="4" w:space="0"/>
            </w:tcBorders>
            <w:vAlign w:val="top"/>
          </w:tcPr>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条</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rPr>
              <w:t>8</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30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w:t>
            </w:r>
          </w:p>
        </w:tc>
        <w:tc>
          <w:tcPr>
            <w:tcW w:w="1279" w:type="pct"/>
            <w:tcBorders>
              <w:top w:val="nil"/>
              <w:left w:val="nil"/>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r>
      <w:tr>
        <w:tblPrEx>
          <w:tblCellMar>
            <w:top w:w="0" w:type="dxa"/>
            <w:left w:w="108" w:type="dxa"/>
            <w:bottom w:w="0" w:type="dxa"/>
            <w:right w:w="108" w:type="dxa"/>
          </w:tblCellMar>
        </w:tblPrEx>
        <w:trPr>
          <w:trHeight w:val="300" w:hRule="atLeast"/>
        </w:trPr>
        <w:tc>
          <w:tcPr>
            <w:tcW w:w="5000" w:type="pct"/>
            <w:gridSpan w:val="6"/>
            <w:tcBorders>
              <w:top w:val="single" w:color="auto" w:sz="4" w:space="0"/>
              <w:left w:val="single" w:color="auto" w:sz="4" w:space="0"/>
              <w:bottom w:val="single" w:color="auto" w:sz="4" w:space="0"/>
              <w:right w:val="single" w:color="000000"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二、专线及流量租赁费</w:t>
            </w:r>
          </w:p>
        </w:tc>
      </w:tr>
      <w:tr>
        <w:tblPrEx>
          <w:tblCellMar>
            <w:top w:w="0" w:type="dxa"/>
            <w:left w:w="108" w:type="dxa"/>
            <w:bottom w:w="0" w:type="dxa"/>
            <w:right w:w="108" w:type="dxa"/>
          </w:tblCellMar>
        </w:tblPrEx>
        <w:trPr>
          <w:trHeight w:val="48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VPN专线</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135"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短信服务</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9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语音呼叫服务</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48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移动信息管理终端流量</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220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48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机动布控球流量</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r>
        <w:tblPrEx>
          <w:tblCellMar>
            <w:top w:w="0" w:type="dxa"/>
            <w:left w:w="108" w:type="dxa"/>
            <w:bottom w:w="0" w:type="dxa"/>
            <w:right w:w="108" w:type="dxa"/>
          </w:tblCellMar>
        </w:tblPrEx>
        <w:trPr>
          <w:trHeight w:val="300" w:hRule="atLeast"/>
        </w:trPr>
        <w:tc>
          <w:tcPr>
            <w:tcW w:w="3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22"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无人机流量</w:t>
            </w:r>
          </w:p>
        </w:tc>
        <w:tc>
          <w:tcPr>
            <w:tcW w:w="1279" w:type="pct"/>
            <w:tcBorders>
              <w:top w:val="nil"/>
              <w:left w:val="nil"/>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详见“技术参数需求</w:t>
            </w:r>
          </w:p>
        </w:tc>
        <w:tc>
          <w:tcPr>
            <w:tcW w:w="465"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382"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p>
        </w:tc>
        <w:tc>
          <w:tcPr>
            <w:tcW w:w="1179"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移动、联通、电信</w:t>
            </w:r>
          </w:p>
        </w:tc>
      </w:tr>
    </w:tbl>
    <w:p>
      <w:pPr>
        <w:pStyle w:val="4"/>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三、技术参数需求</w:t>
      </w:r>
    </w:p>
    <w:p>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1、移动信息管理终端</w:t>
      </w:r>
    </w:p>
    <w:tbl>
      <w:tblPr>
        <w:tblStyle w:val="19"/>
        <w:tblW w:w="8700" w:type="dxa"/>
        <w:tblInd w:w="0" w:type="dxa"/>
        <w:tblLayout w:type="autofit"/>
        <w:tblCellMar>
          <w:top w:w="0" w:type="dxa"/>
          <w:left w:w="108" w:type="dxa"/>
          <w:bottom w:w="0" w:type="dxa"/>
          <w:right w:w="108" w:type="dxa"/>
        </w:tblCellMar>
      </w:tblPr>
      <w:tblGrid>
        <w:gridCol w:w="1040"/>
        <w:gridCol w:w="1820"/>
        <w:gridCol w:w="5840"/>
      </w:tblGrid>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2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58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CellMar>
            <w:top w:w="0" w:type="dxa"/>
            <w:left w:w="108" w:type="dxa"/>
            <w:bottom w:w="0" w:type="dxa"/>
            <w:right w:w="108" w:type="dxa"/>
          </w:tblCellMar>
        </w:tblPrEx>
        <w:trPr>
          <w:trHeight w:val="1140" w:hRule="atLeast"/>
        </w:trPr>
        <w:tc>
          <w:tcPr>
            <w:tcW w:w="1040"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0"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移动信息管理终端</w:t>
            </w:r>
          </w:p>
        </w:tc>
        <w:tc>
          <w:tcPr>
            <w:tcW w:w="5840" w:type="dxa"/>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1、操作系统：Android 10；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2、CPU：八核，最高主频≥2.84GHz；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3、内存：8GB RAM+256GB ROM；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4、显示屏：6.67高清触控屏，分辨率：全高清FHD+；</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5、摄像头：后置1亿像素摄像头+前置2000万像素摄像头;</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6、电池：≥4750mAh；</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7、卡槽：2个，2*Nano SIM卡槽；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8、定位：支持GPS,A-GPS/格洛纳斯/伽利略/北斗(宽窄带共用）；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9、支持NFC；</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10、外部接口：Type-C；</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11、支持4G、5G。</w:t>
            </w:r>
          </w:p>
        </w:tc>
      </w:tr>
    </w:tbl>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2、智能解析系统</w:t>
      </w:r>
    </w:p>
    <w:tbl>
      <w:tblPr>
        <w:tblStyle w:val="19"/>
        <w:tblW w:w="5085" w:type="pc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12"/>
        <w:gridCol w:w="1438"/>
        <w:gridCol w:w="4256"/>
        <w:gridCol w:w="1074"/>
        <w:gridCol w:w="64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9"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47" w:type="pct"/>
            <w:gridSpan w:val="2"/>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设备/系统名称</w:t>
            </w:r>
          </w:p>
        </w:tc>
        <w:tc>
          <w:tcPr>
            <w:tcW w:w="2270"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573"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参考品牌</w:t>
            </w:r>
          </w:p>
        </w:tc>
        <w:tc>
          <w:tcPr>
            <w:tcW w:w="342"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337" w:type="pct"/>
            <w:shd w:val="clear" w:color="000000" w:fill="D9D9D9"/>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29" w:type="pct"/>
            <w:shd w:val="clear" w:color="auto" w:fill="auto"/>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80"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硬件支撑</w:t>
            </w: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GPU服务器</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1、处理器：Intel Xeon Gold 6271C processor 24C 2.6GHz 165W*2；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2、内存：DDR4-2666 32G RDIMM*8</w:t>
            </w:r>
          </w:p>
          <w:p>
            <w:pPr>
              <w:pStyle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3、硬盘：NVMe-SSD 4T*1；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4、GPU卡：4*T4显示加速卡；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5、网络：10G 光口双口*1 + 1G电口 双口*1；</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曙光、浪潮、华三</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29" w:type="pct"/>
            <w:vMerge w:val="restart"/>
            <w:shd w:val="clear" w:color="auto" w:fill="auto"/>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80" w:type="pct"/>
            <w:vMerge w:val="restart"/>
            <w:shd w:val="clear" w:color="000000" w:fill="FFFFFF"/>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算法服务</w:t>
            </w: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跨门经营</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包括各种经营类商店，对超出规定范围的经营活动，跨门或者占道等，如花车、冰柜、水果店促销箱等进行报警。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流动摊贩</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包括无证、无照的地摊，流动小商贩，三轮车早点摊等行为进行报警。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垃圾桶满溢</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对监控视频中垃圾桶满溢垃圾量超过桶上沿的场景进行识别，产生提示报警。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沿街晾晒</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对监控视频中出现的沿街晾晒衣物、毛巾、被褥等违法行为进行实时识别分析，实时进行告警。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暴露垃圾</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对监控视频中出现的暴露在道路上的日常生活垃圾，废弃物等进行实时识别，实时进行告警。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乱堆物料</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通过分析监控视频，对商家在店门口摆放杂乱的影响市容市貌的物品、物料进行自动识别，实时告警。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机动车违停</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对监控视频中机动车在路边停车违停的场景进行识别，在识别机动车违章停车行为同时识别车牌号码，为执法提供依据。</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非机动车违停</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对监控视频中非机动车违章停车行为进行识别，产生提示报警。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积存垃圾渣土</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对监控中出现的路侧堆积的土堆、土块、施工废弃料进行识别和预警。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人脸识别算法</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对符合要求的照片进行人脸解析，可以将特征值送到公安局做身份比对并做短信预警</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9" w:type="pct"/>
            <w:vMerge w:val="continue"/>
            <w:shd w:val="clear" w:color="auto" w:fill="auto"/>
            <w:vAlign w:val="center"/>
          </w:tcPr>
          <w:p>
            <w:pPr>
              <w:rPr>
                <w:rFonts w:hint="eastAsia" w:ascii="宋体" w:hAnsi="宋体" w:eastAsia="宋体" w:cs="宋体"/>
                <w:color w:val="auto"/>
                <w:sz w:val="24"/>
                <w:szCs w:val="24"/>
                <w:highlight w:val="none"/>
              </w:rPr>
            </w:pPr>
          </w:p>
        </w:tc>
        <w:tc>
          <w:tcPr>
            <w:tcW w:w="380" w:type="pct"/>
            <w:vMerge w:val="continue"/>
            <w:shd w:val="clear" w:color="auto" w:fill="auto"/>
            <w:vAlign w:val="center"/>
          </w:tcPr>
          <w:p>
            <w:pPr>
              <w:rPr>
                <w:rFonts w:hint="eastAsia" w:ascii="宋体" w:hAnsi="宋体" w:eastAsia="宋体" w:cs="宋体"/>
                <w:color w:val="auto"/>
                <w:sz w:val="24"/>
                <w:szCs w:val="24"/>
                <w:highlight w:val="none"/>
              </w:rPr>
            </w:pPr>
          </w:p>
        </w:tc>
        <w:tc>
          <w:tcPr>
            <w:tcW w:w="766" w:type="pct"/>
            <w:shd w:val="clear" w:color="000000" w:fill="FFFFFF"/>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渣土车识别算法</w:t>
            </w:r>
          </w:p>
        </w:tc>
        <w:tc>
          <w:tcPr>
            <w:tcW w:w="2270" w:type="pct"/>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针对视频图像画面或图片中车辆进行渣土车识别，渣土车违规属性识别，并支持识别对应车牌。</w:t>
            </w:r>
          </w:p>
        </w:tc>
        <w:tc>
          <w:tcPr>
            <w:tcW w:w="5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42"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337" w:type="pct"/>
            <w:noWrap/>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3、应用软件</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933"/>
        <w:gridCol w:w="935"/>
        <w:gridCol w:w="1543"/>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序号</w:t>
            </w:r>
          </w:p>
        </w:tc>
        <w:tc>
          <w:tcPr>
            <w:tcW w:w="517" w:type="pct"/>
            <w:tcMar>
              <w:top w:w="15" w:type="dxa"/>
              <w:left w:w="15" w:type="dxa"/>
              <w:right w:w="15" w:type="dxa"/>
            </w:tcMar>
            <w:vAlign w:val="center"/>
          </w:tcPr>
          <w:p>
            <w:pPr>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应用系统</w:t>
            </w:r>
          </w:p>
        </w:tc>
        <w:tc>
          <w:tcPr>
            <w:tcW w:w="518" w:type="pct"/>
            <w:tcMar>
              <w:top w:w="15" w:type="dxa"/>
              <w:left w:w="15" w:type="dxa"/>
              <w:right w:w="15" w:type="dxa"/>
            </w:tcMar>
            <w:vAlign w:val="center"/>
          </w:tcPr>
          <w:p>
            <w:pPr>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子系统</w:t>
            </w:r>
          </w:p>
        </w:tc>
        <w:tc>
          <w:tcPr>
            <w:tcW w:w="855" w:type="pct"/>
            <w:tcMar>
              <w:top w:w="15" w:type="dxa"/>
              <w:left w:w="15" w:type="dxa"/>
              <w:right w:w="15" w:type="dxa"/>
            </w:tcMar>
            <w:vAlign w:val="center"/>
          </w:tcPr>
          <w:p>
            <w:pPr>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功能</w:t>
            </w:r>
          </w:p>
        </w:tc>
        <w:tc>
          <w:tcPr>
            <w:tcW w:w="2754" w:type="pct"/>
            <w:tcMar>
              <w:top w:w="15" w:type="dxa"/>
              <w:left w:w="15" w:type="dxa"/>
              <w:right w:w="15" w:type="dxa"/>
            </w:tcMar>
            <w:vAlign w:val="center"/>
          </w:tcPr>
          <w:p>
            <w:pPr>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7"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城管数据中心建设</w:t>
            </w:r>
          </w:p>
        </w:tc>
        <w:tc>
          <w:tcPr>
            <w:tcW w:w="518"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数据中心</w:t>
            </w: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数据资源库</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数据是本项目各项应用的支撑，各项数据通过数据采集、数据交换等形式产生，需要建设的数据内容主要包括地理信息数据、基础数据、运行数据、多媒体数据等。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数据资源管理</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数据资源管理中心的具体数据资源整理、数据审核、数据服务接口和数据管理等功能。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数据共享</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数据共享实现执法案件数据库和外部业务系统的信息交换，系统基于Web Service或数据库同步方式按需向提供信息源的系统获取数据和服务。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基础支撑应用</w:t>
            </w: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统一定位服务</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定位服务将通过对GPS定位信息的整合，对日常运行管理中具备GPS定位的资源要素进行统一管理。实现建立GPS通讯服务平台，接入专业GPS终端设备；通过建立统一的GPS设备管理以及设备关联使用的用户管理，提供GPS设备监控管理功能；建立GPS定位数据的分发共享服务接口，向其他应用提供定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统一地理信息服务</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地理信息服务通过对慈溪市城市数字精细化管理系统各相关应用系统的地图数据进行整合，用于实现空间地理信息数据的发布，为相关业务系统提供可视化的地图服务功能。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统一消息服务</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统一消息服务利用多种消息渠道（邮件、短信、网站消息等）将各种通知、提醒内容及时的传达给用户，并对应用提供统一的消息发送接口。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基础管理服务</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管理服务实现对用户信息的统一管理。集中统一的系统用户信息；为所有用户在平台内所有应用建立统一的认证，使用户使用统一帐号密码登录系统；集中管理所有应用授权信息；为用户访问平台提供“一站式”体验。投标人需提供类似统一用户软件著作权证（相应证书在本公告发布日之前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数据对接</w:t>
            </w: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大数据中心公共数据资源中心对接</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基于大数据中心提供的接口与大数据中心数据资源等系统对接，建立本地商家信息库、审批信息库、户外广告库等，实现移动端现场店铺、工地、渣土车辆执法检查，对审批项目的批后监管。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慈溪市公安局视频专网对接</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与慈溪市公安局视频专网对接，将相关视频资源向本平台进行推送，结合视频分析技术，实现对日常环卫作业、渣土车运输等城市管理相关业务进行全过程的可视化监管。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慈溪市智慧停车系统对接</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与慈溪市智慧停车系统对接，按需时时共享视频资源至本系统，为本系统业务应用提供数据支撑。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浙江省综合行政执法办案系统对接</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浙江省综合行政执法办案系统提供接口实现同步浙江省综合行政执法办案系统，使执法案件信息互融互通，将浙江省综合行政执法办案系统推送的执法案件在本平台进行处置，并进行结果反馈，实现一体化信息的采集与流转、统计。同时形成执法案件数据库，可根据案件编号、案件类型、执法人员、当事人姓名、当事人身份证号（统一社会信用代码）、案由关键字等条件进行查询所有历史案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智慧环卫外部系统对接</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与环卫管理相关企业、场所（包含：西三垃圾填埋场，垃圾焚烧发电站，餐厨垃圾处置中心，粪便处理中心，可回收垃圾分拣中心，中心城区3个建筑垃圾中转站等）等外部系统对接，整合这些场所的业务处理信息，并通过城市智慧化管理平台进行统一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市智慧城管系统事件对接</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市智慧城管平台进行对接，实现慈溪市城市智慧化管理系统中创新场景应用中基于人工智能智能解析应用实现的智能违停，智能路面识别问题的向市智慧城管受理平台的上报，包括事件描述，所属区域，附件信息的提交，实现后续问题在市智慧城管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4</w:t>
            </w:r>
          </w:p>
        </w:tc>
        <w:tc>
          <w:tcPr>
            <w:tcW w:w="517"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创新场景应用建设</w:t>
            </w:r>
          </w:p>
        </w:tc>
        <w:tc>
          <w:tcPr>
            <w:tcW w:w="518"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智能违停监管系统</w:t>
            </w: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违章停车智能监管应用</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对原有违停抄告系统进行改造，借助车牌识别、告警通知、证据固定等手段，建立独立的违章停车智能监管处置流程，实现全市人行道违停车辆的违法处置和自助处理。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5</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智能路面监管系统</w:t>
            </w: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跨门经营智能监管应用</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通过系统智能检测跨门经营的违法行为后触发告警，结合执法对象资源库检索、短信与语音反复提醒、系统多次自动核查、违法抄告单自助下发等，实现跨门经营智能化、流程化监管。如发现该店铺有多次跨门经营的违法行为或者检索不到店主信息，则可直接将案卷派发至该区域所属的执法队员，要求进行快速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6</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沿街晾晒智能监管应用</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通过对沿街晾晒区域的管理，智能检测出沿街晾晒的违法行为，触发告警并结合空间区域分析，自动向对应的队员进行任务下派，进入沿街晾晒问题的处置流转。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7</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无证摊贩智能监管应用</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点区域的无证摊贩进行视频智能分析监测，触发告警后自动向对应的队员进行任务下派，进行无证摊贩问题的处置。执法队员可通过移动终端识别摊主人脸后获取基本信息及历史违法记录，队员可参考历史处罚信息掌控处罚力度，有效提高街面秩序的整治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8</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渣土车治理管理系统</w:t>
            </w: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渣土车治理管理系统</w:t>
            </w:r>
          </w:p>
          <w:p>
            <w:pPr>
              <w:textAlignment w:val="center"/>
              <w:rPr>
                <w:rFonts w:hint="eastAsia" w:ascii="宋体" w:hAnsi="宋体" w:eastAsia="宋体" w:cs="宋体"/>
                <w:color w:val="auto"/>
                <w:sz w:val="24"/>
                <w:szCs w:val="24"/>
                <w:highlight w:val="none"/>
              </w:rPr>
            </w:pP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慈溪原有的渣土管理系统上进行升级改造，利用车牌识别技术，车载的GPS、称重、车斗举升等物联感知设备，整合公安和自建摄像头卡口数据，构建智能化的渣土车综合治理平台，实现对渣土运输车辆，建筑工地，消纳场地的管理，并通过可视化方式对渣土运输车辆定位，审批数据查询，工地视频调阅，实现对渣土车运输“两点一线”的全路段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9</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智慧环卫监管系统</w:t>
            </w: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环卫作业监管系统</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将环卫工作中的各要素，如车辆、人员、作业状况等纳入实时监管平台，改变以往单纯依靠人工进行工作监管的模式，实现了对环卫工作各环节执行质量的远程实时掌控。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20</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vMerge w:val="continue"/>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p>
        </w:tc>
        <w:tc>
          <w:tcPr>
            <w:tcW w:w="855"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垃圾分类监管系统</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全市的垃圾分类进行精细化的监管，全面掌握全市垃圾分类工作开展情况，在垃圾分类监管应用中主要进行两大功能模块的实现，一部分是全资源地图分布应用，另一部分是结合考核机制对日常垃圾分类工作进行考核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w:t>
            </w:r>
          </w:p>
        </w:tc>
        <w:tc>
          <w:tcPr>
            <w:tcW w:w="517"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勤务调度室应用</w:t>
            </w:r>
          </w:p>
        </w:tc>
        <w:tc>
          <w:tcPr>
            <w:tcW w:w="518"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可视化指挥调度系统</w:t>
            </w: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专题化应用</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GIS平台、GPS、4G，视频监控，流程化运行平台等技术的应用与整合，实现对区范围各类资源的可视化运行监管，系统分为指挥调度、事件管控、队员管控、视频监控、智能解析、执法对象、异常告警等几大专题，确保不论是在日常运行或是突发情况下，都通过监控调度中心与可视化运行监管统筹管理区范围内的城市管理街面秩序状况，进行动态运行状况的指挥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22</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勤务管理系统</w:t>
            </w: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勤务管理应用</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勤务管理系统实现对城市管理一线执法队员的日常巡查线路，巡查区域，巡查区域巡更点，巡查时间的设定，管理人员可以对全市各个一线队员的勤务计划以及巡查运行结果进行监管。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3</w:t>
            </w:r>
          </w:p>
        </w:tc>
        <w:tc>
          <w:tcPr>
            <w:tcW w:w="517" w:type="pct"/>
            <w:vMerge w:val="restar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管理系统应用整合</w:t>
            </w:r>
          </w:p>
        </w:tc>
        <w:tc>
          <w:tcPr>
            <w:tcW w:w="518"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考核评价系统</w:t>
            </w: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对接考核评价系统</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对接整合在建的考核评价系统，根据实际业务和法定规程建立队员量化考核机制，设置考评内容和评分事项，提交相关领导审批后形成既定考评条目。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56"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4</w:t>
            </w:r>
          </w:p>
        </w:tc>
        <w:tc>
          <w:tcPr>
            <w:tcW w:w="517" w:type="pct"/>
            <w:vMerge w:val="continue"/>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518" w:type="pct"/>
            <w:tcMar>
              <w:top w:w="15" w:type="dxa"/>
              <w:left w:w="15" w:type="dxa"/>
              <w:right w:w="15" w:type="dxa"/>
            </w:tcMar>
            <w:vAlign w:val="center"/>
          </w:tcPr>
          <w:p>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移动信息管理系统</w:t>
            </w:r>
          </w:p>
        </w:tc>
        <w:tc>
          <w:tcPr>
            <w:tcW w:w="855" w:type="pct"/>
            <w:noWrap/>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对接移动信息管理系统</w:t>
            </w:r>
          </w:p>
        </w:tc>
        <w:tc>
          <w:tcPr>
            <w:tcW w:w="2754" w:type="pct"/>
            <w:tcMar>
              <w:top w:w="15" w:type="dxa"/>
              <w:left w:w="15" w:type="dxa"/>
              <w:right w:w="15" w:type="dxa"/>
            </w:tcMar>
            <w:vAlign w:val="center"/>
          </w:tcPr>
          <w:p>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接整合在建的移动信息系统，通过智能终端设备的定位功能，进行对执法队员上报事件的定位以及执法队员实际工作线路的定位，形成工作轨迹，提高对执法队员的监管力度。具备使用移动信息管理终端对现场执法实时状况进行视频回传。</w:t>
            </w:r>
          </w:p>
        </w:tc>
      </w:tr>
    </w:tbl>
    <w:p>
      <w:pPr>
        <w:rPr>
          <w:rFonts w:hint="eastAsia" w:ascii="宋体" w:hAnsi="宋体" w:eastAsia="宋体" w:cs="宋体"/>
          <w:color w:val="auto"/>
          <w:sz w:val="24"/>
          <w:szCs w:val="24"/>
          <w:highlight w:val="none"/>
        </w:rPr>
      </w:pPr>
    </w:p>
    <w:p>
      <w:pPr>
        <w:pStyle w:val="5"/>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4、系统运维</w:t>
      </w:r>
    </w:p>
    <w:tbl>
      <w:tblPr>
        <w:tblStyle w:val="19"/>
        <w:tblW w:w="923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00"/>
        <w:gridCol w:w="5055"/>
        <w:gridCol w:w="9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0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05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功能需求</w:t>
            </w:r>
          </w:p>
        </w:tc>
        <w:tc>
          <w:tcPr>
            <w:tcW w:w="9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7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0"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系统运维费</w:t>
            </w:r>
          </w:p>
        </w:tc>
        <w:tc>
          <w:tcPr>
            <w:tcW w:w="505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技术工程师，1人常驻服务，业主调配，服务期3年</w:t>
            </w:r>
          </w:p>
        </w:tc>
        <w:tc>
          <w:tcPr>
            <w:tcW w:w="960"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870"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p>
        </w:tc>
      </w:tr>
    </w:tbl>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5、通讯链路及流量</w:t>
      </w:r>
    </w:p>
    <w:tbl>
      <w:tblPr>
        <w:tblStyle w:val="19"/>
        <w:tblW w:w="4988" w:type="pct"/>
        <w:tblInd w:w="-289" w:type="dxa"/>
        <w:tblLayout w:type="autofit"/>
        <w:tblCellMar>
          <w:top w:w="0" w:type="dxa"/>
          <w:left w:w="108" w:type="dxa"/>
          <w:bottom w:w="0" w:type="dxa"/>
          <w:right w:w="108" w:type="dxa"/>
        </w:tblCellMar>
      </w:tblPr>
      <w:tblGrid>
        <w:gridCol w:w="866"/>
        <w:gridCol w:w="2490"/>
        <w:gridCol w:w="4158"/>
        <w:gridCol w:w="853"/>
        <w:gridCol w:w="824"/>
      </w:tblGrid>
      <w:tr>
        <w:tblPrEx>
          <w:tblCellMar>
            <w:top w:w="0" w:type="dxa"/>
            <w:left w:w="108" w:type="dxa"/>
            <w:bottom w:w="0" w:type="dxa"/>
            <w:right w:w="108" w:type="dxa"/>
          </w:tblCellMar>
        </w:tblPrEx>
        <w:trPr>
          <w:trHeight w:val="300" w:hRule="atLeast"/>
        </w:trPr>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354"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2261"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功能需求</w:t>
            </w:r>
          </w:p>
        </w:tc>
        <w:tc>
          <w:tcPr>
            <w:tcW w:w="464"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448"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r>
      <w:tr>
        <w:tblPrEx>
          <w:tblCellMar>
            <w:top w:w="0" w:type="dxa"/>
            <w:left w:w="108" w:type="dxa"/>
            <w:bottom w:w="0" w:type="dxa"/>
            <w:right w:w="108" w:type="dxa"/>
          </w:tblCellMar>
        </w:tblPrEx>
        <w:trPr>
          <w:trHeight w:val="30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前端光纤租赁费</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租赁3年，含分光器，分线箱，光纤等</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57 </w:t>
            </w:r>
          </w:p>
        </w:tc>
      </w:tr>
      <w:tr>
        <w:tblPrEx>
          <w:tblCellMar>
            <w:top w:w="0" w:type="dxa"/>
            <w:left w:w="108" w:type="dxa"/>
            <w:bottom w:w="0" w:type="dxa"/>
            <w:right w:w="108" w:type="dxa"/>
          </w:tblCellMar>
        </w:tblPrEx>
        <w:trPr>
          <w:trHeight w:val="30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骨干光纤链路租赁费</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裸光纤租赁，双路由，租赁3年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p>
        </w:tc>
      </w:tr>
      <w:tr>
        <w:tblPrEx>
          <w:tblCellMar>
            <w:top w:w="0" w:type="dxa"/>
            <w:left w:w="108" w:type="dxa"/>
            <w:bottom w:w="0" w:type="dxa"/>
            <w:right w:w="108" w:type="dxa"/>
          </w:tblCellMar>
        </w:tblPrEx>
        <w:trPr>
          <w:trHeight w:val="30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骨干光纤链路租赁费</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裸光纤租赁，租赁3年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r>
      <w:tr>
        <w:tblPrEx>
          <w:tblCellMar>
            <w:top w:w="0" w:type="dxa"/>
            <w:left w:w="108" w:type="dxa"/>
            <w:bottom w:w="0" w:type="dxa"/>
            <w:right w:w="108" w:type="dxa"/>
          </w:tblCellMar>
        </w:tblPrEx>
        <w:trPr>
          <w:trHeight w:val="30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骨干光纤链路租赁费</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裸光纤租赁，双路由，租赁3年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r>
      <w:tr>
        <w:tblPrEx>
          <w:tblCellMar>
            <w:top w:w="0" w:type="dxa"/>
            <w:left w:w="108" w:type="dxa"/>
            <w:bottom w:w="0" w:type="dxa"/>
            <w:right w:w="108" w:type="dxa"/>
          </w:tblCellMar>
        </w:tblPrEx>
        <w:trPr>
          <w:trHeight w:val="30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骨干光纤链路租赁费</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裸光纤租赁，租赁3年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条</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p>
        </w:tc>
      </w:tr>
      <w:tr>
        <w:tblPrEx>
          <w:tblCellMar>
            <w:top w:w="0" w:type="dxa"/>
            <w:left w:w="108" w:type="dxa"/>
            <w:bottom w:w="0" w:type="dxa"/>
            <w:right w:w="108" w:type="dxa"/>
          </w:tblCellMar>
        </w:tblPrEx>
        <w:trPr>
          <w:trHeight w:val="129"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r>
      <w:tr>
        <w:tblPrEx>
          <w:tblCellMar>
            <w:top w:w="0" w:type="dxa"/>
            <w:left w:w="108" w:type="dxa"/>
            <w:bottom w:w="0" w:type="dxa"/>
            <w:right w:w="108" w:type="dxa"/>
          </w:tblCellMar>
        </w:tblPrEx>
        <w:trPr>
          <w:trHeight w:val="233"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VPN专线</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VPN专线租赁，租赁3年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r>
      <w:tr>
        <w:tblPrEx>
          <w:tblCellMar>
            <w:top w:w="0" w:type="dxa"/>
            <w:left w:w="108" w:type="dxa"/>
            <w:bottom w:w="0" w:type="dxa"/>
            <w:right w:w="108" w:type="dxa"/>
          </w:tblCellMar>
        </w:tblPrEx>
        <w:trPr>
          <w:trHeight w:val="675"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短信服务</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租赁3年，支持电信、移动、联通3网，每月短信量为6000条。</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 </w:t>
            </w:r>
          </w:p>
        </w:tc>
      </w:tr>
      <w:tr>
        <w:tblPrEx>
          <w:tblCellMar>
            <w:top w:w="0" w:type="dxa"/>
            <w:left w:w="108" w:type="dxa"/>
            <w:bottom w:w="0" w:type="dxa"/>
            <w:right w:w="108" w:type="dxa"/>
          </w:tblCellMar>
        </w:tblPrEx>
        <w:trPr>
          <w:trHeight w:val="84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语音呼叫服务</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租赁3年，支持电信、移动、联通3网，每月语音量为6000条。每条语音呼叫状态（呼叫成功、无人接听、拒绝接听等）均需返回给系统。</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月</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 </w:t>
            </w:r>
          </w:p>
        </w:tc>
      </w:tr>
      <w:tr>
        <w:tblPrEx>
          <w:tblCellMar>
            <w:top w:w="0" w:type="dxa"/>
            <w:left w:w="108" w:type="dxa"/>
            <w:bottom w:w="0" w:type="dxa"/>
            <w:right w:w="108" w:type="dxa"/>
          </w:tblCellMar>
        </w:tblPrEx>
        <w:trPr>
          <w:trHeight w:val="48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移动信息管理终端流量</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220台终端，每月6GB流量，租赁3年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220 </w:t>
            </w:r>
          </w:p>
        </w:tc>
      </w:tr>
      <w:tr>
        <w:tblPrEx>
          <w:tblCellMar>
            <w:top w:w="0" w:type="dxa"/>
            <w:left w:w="108" w:type="dxa"/>
            <w:bottom w:w="0" w:type="dxa"/>
            <w:right w:w="108" w:type="dxa"/>
          </w:tblCellMar>
        </w:tblPrEx>
        <w:trPr>
          <w:trHeight w:val="48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机动布控球流量</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10台机动布控球，每月50GB流量，租赁3年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p>
        </w:tc>
      </w:tr>
      <w:tr>
        <w:tblPrEx>
          <w:tblCellMar>
            <w:top w:w="0" w:type="dxa"/>
            <w:left w:w="108" w:type="dxa"/>
            <w:bottom w:w="0" w:type="dxa"/>
            <w:right w:w="108" w:type="dxa"/>
          </w:tblCellMar>
        </w:tblPrEx>
        <w:trPr>
          <w:trHeight w:val="300" w:hRule="atLeast"/>
        </w:trPr>
        <w:tc>
          <w:tcPr>
            <w:tcW w:w="471"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54"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无人机流量</w:t>
            </w:r>
          </w:p>
        </w:tc>
        <w:tc>
          <w:tcPr>
            <w:tcW w:w="2261" w:type="pct"/>
            <w:tcBorders>
              <w:top w:val="nil"/>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2台无人机，每月6GB流量，租赁3年</w:t>
            </w:r>
          </w:p>
        </w:tc>
        <w:tc>
          <w:tcPr>
            <w:tcW w:w="464"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48" w:type="pct"/>
            <w:tcBorders>
              <w:top w:val="nil"/>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p>
        </w:tc>
      </w:tr>
    </w:tbl>
    <w:p>
      <w:pPr>
        <w:rPr>
          <w:rFonts w:hint="eastAsia" w:ascii="宋体" w:hAnsi="宋体" w:eastAsia="宋体" w:cs="宋体"/>
          <w:color w:val="auto"/>
          <w:sz w:val="24"/>
          <w:szCs w:val="24"/>
          <w:highlight w:val="none"/>
        </w:rPr>
      </w:pPr>
    </w:p>
    <w:p>
      <w:pPr>
        <w:pStyle w:val="4"/>
        <w:numPr>
          <w:ilvl w:val="0"/>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四、运维服务需求</w:t>
      </w:r>
    </w:p>
    <w:p>
      <w:pPr>
        <w:pStyle w:val="5"/>
        <w:rPr>
          <w:rFonts w:hint="eastAsia" w:ascii="宋体" w:hAnsi="宋体" w:eastAsia="宋体" w:cs="宋体"/>
          <w:color w:val="auto"/>
          <w:sz w:val="24"/>
          <w:szCs w:val="24"/>
          <w:highlight w:val="none"/>
        </w:rPr>
      </w:pPr>
      <w:bookmarkStart w:id="44" w:name="_Toc56775090"/>
      <w:r>
        <w:rPr>
          <w:rFonts w:hint="eastAsia" w:ascii="宋体" w:hAnsi="宋体" w:eastAsia="宋体" w:cs="宋体"/>
          <w:color w:val="auto"/>
          <w:sz w:val="24"/>
          <w:szCs w:val="24"/>
          <w:highlight w:val="none"/>
        </w:rPr>
        <w:t>4.1、总体要求</w:t>
      </w:r>
      <w:bookmarkEnd w:id="44"/>
    </w:p>
    <w:p>
      <w:pPr>
        <w:pStyle w:val="6"/>
        <w:numPr>
          <w:ilvl w:val="0"/>
          <w:numId w:val="0"/>
        </w:numPr>
        <w:rPr>
          <w:rFonts w:hint="eastAsia" w:ascii="宋体" w:hAnsi="宋体" w:eastAsia="宋体" w:cs="宋体"/>
          <w:color w:val="auto"/>
          <w:sz w:val="24"/>
          <w:szCs w:val="24"/>
          <w:highlight w:val="none"/>
        </w:rPr>
      </w:pPr>
      <w:bookmarkStart w:id="45" w:name="_Toc56775091"/>
      <w:r>
        <w:rPr>
          <w:rFonts w:hint="eastAsia" w:ascii="宋体" w:hAnsi="宋体" w:eastAsia="宋体" w:cs="宋体"/>
          <w:color w:val="auto"/>
          <w:sz w:val="24"/>
          <w:szCs w:val="24"/>
          <w:highlight w:val="none"/>
        </w:rPr>
        <w:t>4.1.1对中标单位要求</w:t>
      </w:r>
      <w:bookmarkEnd w:id="4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1、系统安全稳定运行保障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项目验收后3年免费质保期间，需指派1名经验丰富的软件工程师常驻业主单位，保障系统正常工作，根据系统运行状况及业主需求，提供系统优化建议，积极协调技术力量，确保系统稳定运行。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2、机房迁移保障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根据建设单位工作需要，</w:t>
      </w:r>
      <w:r>
        <w:rPr>
          <w:rFonts w:hint="eastAsia" w:ascii="宋体" w:hAnsi="宋体" w:eastAsia="宋体" w:cs="宋体"/>
          <w:color w:val="auto"/>
          <w:sz w:val="24"/>
          <w:szCs w:val="24"/>
          <w:highlight w:val="none"/>
          <w:lang w:eastAsia="zh-CN"/>
        </w:rPr>
        <w:t>在质保期间，</w:t>
      </w:r>
      <w:r>
        <w:rPr>
          <w:rFonts w:hint="eastAsia" w:ascii="宋体" w:hAnsi="宋体" w:eastAsia="宋体" w:cs="宋体"/>
          <w:color w:val="auto"/>
          <w:sz w:val="24"/>
          <w:szCs w:val="24"/>
          <w:highlight w:val="none"/>
        </w:rPr>
        <w:t>中标单位应免费提供一次迁移机房后的系统调试服务，保证迁移后系统正常运行。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3、系统功能演示录像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系统具备验收条件后，中标单位需提供不少于8分钟的系统功能演示录像。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4、系统对接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考虑到慈溪市城市大脑建设整体规划，中标方应无条件提供所有接口的开发和开放服务，确保城市大脑能够顺利获取我局系统相关数据。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5、知识产权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方确保开发的软件不会侵犯其他单位的知识产权。合同技术成果的专利申请权归业主方所有，软件源代码应于验收前移交至业主方，并保持不断更新，双方不得以任何方式向第三方披露、泄露、传播或转让源代码。软件运维单位有权获得源代码。</w:t>
      </w:r>
    </w:p>
    <w:p>
      <w:pPr>
        <w:pStyle w:val="5"/>
        <w:rPr>
          <w:rFonts w:hint="eastAsia" w:ascii="宋体" w:hAnsi="宋体" w:eastAsia="宋体" w:cs="宋体"/>
          <w:color w:val="auto"/>
          <w:sz w:val="24"/>
          <w:szCs w:val="24"/>
          <w:highlight w:val="none"/>
        </w:rPr>
      </w:pPr>
      <w:bookmarkStart w:id="46" w:name="_Toc56775092"/>
      <w:r>
        <w:rPr>
          <w:rFonts w:hint="eastAsia" w:ascii="宋体" w:hAnsi="宋体" w:eastAsia="宋体" w:cs="宋体"/>
          <w:color w:val="auto"/>
          <w:sz w:val="24"/>
          <w:szCs w:val="24"/>
          <w:highlight w:val="none"/>
        </w:rPr>
        <w:t>4.1.2运行维护周期</w:t>
      </w:r>
      <w:bookmarkEnd w:id="46"/>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质保期：中标人为本项目整体（日常维护、问题咨询、现场异常事件处理等）提供三年质保服务，费用含入本项目投标报价。质保时间从系统竣工验收通过之日计。</w:t>
      </w:r>
    </w:p>
    <w:p>
      <w:pPr>
        <w:spacing w:line="360" w:lineRule="auto"/>
        <w:jc w:val="center"/>
        <w:outlineLvl w:val="0"/>
        <w:rPr>
          <w:rStyle w:val="29"/>
          <w:rFonts w:hint="eastAsia" w:ascii="宋体" w:hAnsi="宋体" w:eastAsia="宋体" w:cs="宋体"/>
          <w:color w:val="auto"/>
          <w:sz w:val="24"/>
          <w:szCs w:val="24"/>
          <w:highlight w:val="none"/>
        </w:rPr>
      </w:pPr>
    </w:p>
    <w:p>
      <w:pPr>
        <w:rPr>
          <w:rStyle w:val="29"/>
          <w:rFonts w:hint="eastAsia" w:ascii="宋体"/>
          <w:color w:val="auto"/>
          <w:sz w:val="28"/>
          <w:szCs w:val="28"/>
          <w:highlight w:val="none"/>
        </w:rPr>
      </w:pPr>
      <w:r>
        <w:rPr>
          <w:rStyle w:val="29"/>
          <w:rFonts w:hint="eastAsia" w:ascii="宋体"/>
          <w:color w:val="auto"/>
          <w:sz w:val="28"/>
          <w:szCs w:val="28"/>
          <w:highlight w:val="none"/>
        </w:rPr>
        <w:br w:type="page"/>
      </w:r>
    </w:p>
    <w:p>
      <w:pPr>
        <w:spacing w:line="360" w:lineRule="auto"/>
        <w:jc w:val="center"/>
        <w:outlineLvl w:val="0"/>
        <w:rPr>
          <w:rStyle w:val="29"/>
          <w:rFonts w:hint="eastAsia" w:ascii="宋体"/>
          <w:b w:val="0"/>
          <w:color w:val="auto"/>
          <w:spacing w:val="0"/>
          <w:sz w:val="28"/>
          <w:szCs w:val="28"/>
          <w:highlight w:val="none"/>
        </w:rPr>
      </w:pPr>
      <w:r>
        <w:rPr>
          <w:rStyle w:val="29"/>
          <w:rFonts w:hint="eastAsia" w:ascii="宋体"/>
          <w:color w:val="auto"/>
          <w:sz w:val="28"/>
          <w:szCs w:val="28"/>
          <w:highlight w:val="none"/>
        </w:rPr>
        <w:t>第七章  商务条款</w:t>
      </w:r>
      <w:bookmarkEnd w:id="9"/>
    </w:p>
    <w:p>
      <w:pPr>
        <w:spacing w:line="360" w:lineRule="auto"/>
        <w:ind w:firstLine="560" w:firstLineChars="200"/>
        <w:rPr>
          <w:rFonts w:hint="eastAsia"/>
          <w:color w:val="auto"/>
          <w:sz w:val="28"/>
          <w:szCs w:val="28"/>
          <w:highlight w:val="none"/>
        </w:rPr>
      </w:pPr>
    </w:p>
    <w:p>
      <w:pPr>
        <w:numPr>
          <w:ilvl w:val="0"/>
          <w:numId w:val="14"/>
        </w:numPr>
        <w:spacing w:line="360" w:lineRule="auto"/>
        <w:ind w:firstLine="480" w:firstLineChars="200"/>
        <w:rPr>
          <w:rFonts w:hint="eastAsia"/>
          <w:color w:val="auto"/>
          <w:szCs w:val="22"/>
          <w:highlight w:val="none"/>
        </w:rPr>
      </w:pPr>
      <w:r>
        <w:rPr>
          <w:rFonts w:hint="eastAsia"/>
          <w:color w:val="auto"/>
          <w:szCs w:val="21"/>
          <w:highlight w:val="none"/>
        </w:rPr>
        <w:t>付款方式： 合同签订后15日内支付合同金额的30%，项目验收合格后支付至合同金额的91%，剩余款项作为运维服务费用，</w:t>
      </w:r>
      <w:r>
        <w:rPr>
          <w:rFonts w:hint="eastAsia"/>
          <w:color w:val="auto"/>
          <w:szCs w:val="22"/>
          <w:highlight w:val="none"/>
        </w:rPr>
        <w:t>在每年运维服务期结束后经采购人确认服务质量后15日内支付。</w:t>
      </w:r>
    </w:p>
    <w:p>
      <w:pPr>
        <w:spacing w:line="360" w:lineRule="auto"/>
        <w:rPr>
          <w:rFonts w:hint="eastAsia"/>
          <w:color w:val="auto"/>
          <w:szCs w:val="22"/>
          <w:highlight w:val="none"/>
        </w:rPr>
      </w:pPr>
      <w:r>
        <w:rPr>
          <w:rFonts w:hint="eastAsia"/>
          <w:color w:val="auto"/>
          <w:szCs w:val="22"/>
          <w:highlight w:val="none"/>
        </w:rPr>
        <w:t>（每年运维服务费支付金额=合同金额的3%-服务期内因服务质量扣除金额）</w:t>
      </w:r>
    </w:p>
    <w:p>
      <w:pPr>
        <w:spacing w:line="360" w:lineRule="auto"/>
        <w:ind w:firstLine="480" w:firstLineChars="200"/>
        <w:rPr>
          <w:rFonts w:hint="eastAsia"/>
          <w:color w:val="auto"/>
          <w:szCs w:val="21"/>
          <w:highlight w:val="none"/>
        </w:rPr>
      </w:pPr>
      <w:r>
        <w:rPr>
          <w:rFonts w:hint="eastAsia"/>
          <w:color w:val="auto"/>
          <w:szCs w:val="21"/>
          <w:highlight w:val="none"/>
        </w:rPr>
        <w:t>2、履约保证金：合同金额5%，在与招标人签订合同后提供。履约保证金将在履行完合同义务后30天内无息退还。如中标人拒绝履行合同规定的义务，履约保证金将作为违约金被没收。</w:t>
      </w:r>
    </w:p>
    <w:p>
      <w:pPr>
        <w:spacing w:line="400" w:lineRule="exact"/>
        <w:ind w:firstLine="480" w:firstLineChars="200"/>
        <w:outlineLvl w:val="1"/>
        <w:rPr>
          <w:rFonts w:hint="eastAsia"/>
          <w:color w:val="auto"/>
          <w:szCs w:val="21"/>
          <w:highlight w:val="none"/>
        </w:rPr>
      </w:pPr>
      <w:r>
        <w:rPr>
          <w:rFonts w:hint="eastAsia"/>
          <w:color w:val="auto"/>
          <w:szCs w:val="21"/>
          <w:highlight w:val="none"/>
        </w:rPr>
        <w:t>3、工期（交货期）：2021年5月前完成软件采购、开发、实施及部署，通过初验，进入为期</w:t>
      </w:r>
      <w:r>
        <w:rPr>
          <w:rFonts w:hint="eastAsia"/>
          <w:color w:val="auto"/>
          <w:szCs w:val="21"/>
          <w:highlight w:val="none"/>
          <w:lang w:val="en-US" w:eastAsia="zh-CN"/>
        </w:rPr>
        <w:t>6</w:t>
      </w:r>
      <w:r>
        <w:rPr>
          <w:rFonts w:hint="eastAsia"/>
          <w:color w:val="auto"/>
          <w:szCs w:val="21"/>
          <w:highlight w:val="none"/>
        </w:rPr>
        <w:t>个月的试运行。2021年</w:t>
      </w:r>
      <w:r>
        <w:rPr>
          <w:rFonts w:hint="eastAsia"/>
          <w:color w:val="auto"/>
          <w:szCs w:val="21"/>
          <w:highlight w:val="none"/>
          <w:lang w:val="en-US" w:eastAsia="zh-CN"/>
        </w:rPr>
        <w:t>12</w:t>
      </w:r>
      <w:r>
        <w:rPr>
          <w:rFonts w:hint="eastAsia"/>
          <w:color w:val="auto"/>
          <w:szCs w:val="21"/>
          <w:highlight w:val="none"/>
        </w:rPr>
        <w:t>月前完成项目验收。</w:t>
      </w:r>
      <w:r>
        <w:rPr>
          <w:rFonts w:hint="eastAsia"/>
          <w:color w:val="auto"/>
          <w:szCs w:val="21"/>
          <w:highlight w:val="none"/>
          <w:lang w:eastAsia="zh-CN"/>
        </w:rPr>
        <w:t>投标供应商</w:t>
      </w:r>
      <w:r>
        <w:rPr>
          <w:rFonts w:hint="eastAsia"/>
          <w:color w:val="auto"/>
          <w:szCs w:val="21"/>
          <w:highlight w:val="none"/>
        </w:rPr>
        <w:t>在项目验收前，需免费提供不少于8分钟时长的系统功能演示宣传片。</w:t>
      </w:r>
    </w:p>
    <w:p>
      <w:pPr>
        <w:spacing w:line="360" w:lineRule="auto"/>
        <w:ind w:firstLine="480" w:firstLineChars="200"/>
        <w:rPr>
          <w:rFonts w:hint="eastAsia"/>
          <w:color w:val="auto"/>
          <w:szCs w:val="21"/>
          <w:highlight w:val="none"/>
        </w:rPr>
      </w:pPr>
      <w:r>
        <w:rPr>
          <w:rFonts w:hint="eastAsia"/>
          <w:color w:val="auto"/>
          <w:szCs w:val="21"/>
          <w:highlight w:val="none"/>
        </w:rPr>
        <w:t>4、交付地点：招标人指定的地点。</w:t>
      </w:r>
    </w:p>
    <w:p>
      <w:pPr>
        <w:spacing w:line="360" w:lineRule="auto"/>
        <w:ind w:firstLine="480" w:firstLineChars="200"/>
        <w:rPr>
          <w:rFonts w:hint="eastAsia"/>
          <w:color w:val="auto"/>
          <w:szCs w:val="21"/>
          <w:highlight w:val="none"/>
        </w:rPr>
      </w:pPr>
      <w:r>
        <w:rPr>
          <w:rFonts w:hint="eastAsia"/>
          <w:color w:val="auto"/>
          <w:szCs w:val="21"/>
          <w:highlight w:val="none"/>
        </w:rPr>
        <w:t>5、运维服务期：自项目竣工验收通过之日起三年，若第六章招标内容与技术需求有其他要求，按招第六章招标内容与技术需求中运维服务要求执行。</w:t>
      </w:r>
    </w:p>
    <w:p>
      <w:pPr>
        <w:spacing w:line="360" w:lineRule="auto"/>
        <w:jc w:val="center"/>
        <w:outlineLvl w:val="0"/>
        <w:rPr>
          <w:rStyle w:val="24"/>
          <w:rFonts w:hint="eastAsia" w:ascii="宋体" w:hAnsi="宋体" w:cs="宋体"/>
          <w:color w:val="auto"/>
          <w:sz w:val="28"/>
          <w:szCs w:val="28"/>
          <w:highlight w:val="none"/>
        </w:rPr>
      </w:pPr>
      <w:r>
        <w:rPr>
          <w:rStyle w:val="24"/>
          <w:rFonts w:hint="eastAsia"/>
          <w:color w:val="auto"/>
          <w:sz w:val="21"/>
          <w:szCs w:val="21"/>
          <w:highlight w:val="none"/>
        </w:rPr>
        <w:br w:type="page"/>
      </w:r>
      <w:bookmarkStart w:id="47" w:name="_Toc11566"/>
      <w:r>
        <w:rPr>
          <w:rStyle w:val="24"/>
          <w:rFonts w:hint="eastAsia" w:ascii="宋体" w:hAnsi="宋体" w:cs="宋体"/>
          <w:color w:val="auto"/>
          <w:sz w:val="28"/>
          <w:szCs w:val="28"/>
          <w:highlight w:val="none"/>
        </w:rPr>
        <w:t>第八章  投标文件格式</w:t>
      </w:r>
      <w:bookmarkEnd w:id="47"/>
    </w:p>
    <w:p>
      <w:pPr>
        <w:rPr>
          <w:rFonts w:hint="eastAsia" w:ascii="宋体" w:hAnsi="宋体" w:cs="宋体"/>
          <w:color w:val="auto"/>
          <w:szCs w:val="21"/>
          <w:highlight w:val="none"/>
        </w:rPr>
      </w:pPr>
      <w:r>
        <w:rPr>
          <w:rFonts w:hint="eastAsia" w:ascii="宋体" w:hAnsi="宋体" w:cs="宋体"/>
          <w:color w:val="auto"/>
          <w:szCs w:val="21"/>
          <w:highlight w:val="none"/>
          <w:lang w:bidi="ar"/>
        </w:rPr>
        <w:t>一、资格审查文件的外包装封面格式：</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资格审查文件</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项目名称：                        项目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项目编号：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标 项:</w:t>
      </w:r>
    </w:p>
    <w:p>
      <w:pPr>
        <w:spacing w:line="360" w:lineRule="auto"/>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名称：</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lang w:bidi="ar"/>
        </w:rPr>
      </w:pP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公章或法定代表人或授权代表的盖章（或签字）                                                      </w:t>
      </w:r>
    </w:p>
    <w:p>
      <w:pPr>
        <w:spacing w:line="360" w:lineRule="auto"/>
        <w:ind w:firstLine="6000" w:firstLineChars="2500"/>
        <w:rPr>
          <w:rFonts w:hint="eastAsia" w:ascii="宋体" w:hAnsi="宋体" w:cs="宋体"/>
          <w:color w:val="auto"/>
          <w:szCs w:val="21"/>
          <w:highlight w:val="none"/>
        </w:rPr>
      </w:pPr>
      <w:r>
        <w:rPr>
          <w:rFonts w:hint="eastAsia" w:ascii="宋体" w:hAnsi="宋体" w:cs="宋体"/>
          <w:color w:val="auto"/>
          <w:szCs w:val="21"/>
          <w:highlight w:val="none"/>
          <w:lang w:bidi="ar"/>
        </w:rPr>
        <w:t>年  月  日</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lang w:bidi="ar"/>
        </w:rPr>
      </w:pP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二、资格审查文件封面格式：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正本/或副本</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资格审查文件</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项目名称：                        项目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项目编号：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标 项:</w:t>
      </w:r>
    </w:p>
    <w:p>
      <w:pPr>
        <w:spacing w:line="360" w:lineRule="auto"/>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名称：</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widowControl/>
        <w:spacing w:line="360" w:lineRule="auto"/>
        <w:ind w:left="5760" w:leftChars="1100" w:hanging="3120" w:hangingChars="1300"/>
        <w:jc w:val="left"/>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公章或法定代表人或授权代表的盖章（或签字）                                                        年  月  日</w:t>
      </w:r>
    </w:p>
    <w:p>
      <w:pPr>
        <w:spacing w:line="360" w:lineRule="auto"/>
        <w:rPr>
          <w:rFonts w:hint="eastAsia" w:ascii="宋体" w:hAnsi="宋体" w:cs="宋体"/>
          <w:color w:val="auto"/>
          <w:szCs w:val="21"/>
          <w:highlight w:val="none"/>
        </w:rPr>
      </w:pPr>
    </w:p>
    <w:p>
      <w:pPr>
        <w:pStyle w:val="11"/>
        <w:rPr>
          <w:rFonts w:hint="eastAsia"/>
          <w:color w:val="auto"/>
          <w:highlight w:val="none"/>
        </w:rPr>
      </w:pPr>
    </w:p>
    <w:p>
      <w:pPr>
        <w:rPr>
          <w:rFonts w:hint="eastAsia"/>
          <w:color w:val="auto"/>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p>
    <w:p>
      <w:pPr>
        <w:spacing w:line="360" w:lineRule="auto"/>
        <w:rPr>
          <w:rStyle w:val="29"/>
          <w:rFonts w:hint="eastAsia" w:ascii="宋体" w:hAnsi="宋体" w:cs="宋体"/>
          <w:color w:val="auto"/>
          <w:sz w:val="21"/>
          <w:szCs w:val="21"/>
          <w:highlight w:val="none"/>
        </w:rPr>
      </w:pPr>
      <w:r>
        <w:rPr>
          <w:rStyle w:val="29"/>
          <w:rFonts w:hint="eastAsia" w:ascii="宋体" w:hAnsi="宋体" w:cs="宋体"/>
          <w:color w:val="auto"/>
          <w:sz w:val="21"/>
          <w:szCs w:val="21"/>
          <w:highlight w:val="none"/>
        </w:rPr>
        <w:br w:type="page"/>
      </w:r>
      <w:r>
        <w:rPr>
          <w:rFonts w:hint="eastAsia" w:ascii="宋体" w:hAnsi="宋体" w:cs="宋体"/>
          <w:b/>
          <w:color w:val="auto"/>
          <w:szCs w:val="21"/>
          <w:highlight w:val="none"/>
          <w:lang w:bidi="ar"/>
        </w:rPr>
        <w:t>资格审查文件包括：</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1、资格证明文件：</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1.1、关于资格的声明函（格式见第八章投标文件格式）；</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1.2、资格条件自查表（格式见第八章投标文件格式）；</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1.3、有效的企业法人营业执照（或事业法人登记证）、其他组织（个体工商户）的营业执照或者民办非企业单位登记证书复印件并加盖公章，</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如果有名称变更的，应提供由行政主管部门出具的变更证明文件（加盖公章）；</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1.4、提供具有履行合同所必需的设备和专业技术能力的书面声明（格式见第八章投标文件格式）；</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1.5、提供参加政府采购活动前3年内在经营活动中没有重大违法记录的书面声明（格式见第八章投标文件格式）；</w:t>
      </w:r>
    </w:p>
    <w:p>
      <w:pPr>
        <w:pStyle w:val="11"/>
        <w:rPr>
          <w:rFonts w:hint="default" w:eastAsia="宋体"/>
          <w:color w:val="auto"/>
          <w:highlight w:val="none"/>
          <w:lang w:val="en-US" w:eastAsia="zh-CN"/>
        </w:rPr>
      </w:pPr>
      <w:r>
        <w:rPr>
          <w:rFonts w:hint="eastAsia" w:ascii="宋体" w:hAnsi="宋体" w:cs="宋体"/>
          <w:color w:val="auto"/>
          <w:szCs w:val="21"/>
          <w:highlight w:val="none"/>
          <w:lang w:val="en-US" w:eastAsia="zh-CN" w:bidi="ar"/>
        </w:rPr>
        <w:t>1.6联合体协议</w:t>
      </w:r>
      <w:r>
        <w:rPr>
          <w:rFonts w:hint="eastAsia" w:ascii="宋体" w:hAnsi="宋体" w:cs="宋体"/>
          <w:color w:val="auto"/>
          <w:szCs w:val="21"/>
          <w:highlight w:val="none"/>
          <w:lang w:bidi="ar"/>
        </w:rPr>
        <w:t>（格式见第八章投标文件格式）</w:t>
      </w:r>
    </w:p>
    <w:p>
      <w:pPr>
        <w:pStyle w:val="18"/>
        <w:rPr>
          <w:rFonts w:hint="eastAsia" w:ascii="宋体" w:hAnsi="宋体" w:eastAsia="宋体" w:cs="宋体"/>
          <w:color w:val="auto"/>
          <w:szCs w:val="21"/>
          <w:highlight w:val="none"/>
        </w:rPr>
      </w:pPr>
    </w:p>
    <w:p>
      <w:pPr>
        <w:spacing w:line="360" w:lineRule="auto"/>
        <w:rPr>
          <w:rFonts w:hint="eastAsia" w:ascii="宋体" w:hAnsi="宋体" w:cs="宋体"/>
          <w:color w:val="auto"/>
          <w:szCs w:val="21"/>
          <w:highlight w:val="none"/>
          <w:lang w:bidi="ar"/>
        </w:rPr>
      </w:pPr>
    </w:p>
    <w:p>
      <w:pPr>
        <w:rPr>
          <w:rStyle w:val="29"/>
          <w:rFonts w:hint="eastAsia" w:ascii="宋体" w:hAnsi="宋体" w:cs="宋体"/>
          <w:color w:val="auto"/>
          <w:sz w:val="21"/>
          <w:szCs w:val="21"/>
          <w:highlight w:val="none"/>
        </w:rPr>
      </w:pPr>
    </w:p>
    <w:p>
      <w:pPr>
        <w:spacing w:line="360" w:lineRule="auto"/>
        <w:jc w:val="left"/>
        <w:rPr>
          <w:rStyle w:val="29"/>
          <w:rFonts w:hint="eastAsia" w:ascii="宋体" w:hAnsi="宋体" w:cs="宋体"/>
          <w:color w:val="auto"/>
          <w:sz w:val="21"/>
          <w:szCs w:val="21"/>
          <w:highlight w:val="none"/>
        </w:rPr>
      </w:pPr>
      <w:r>
        <w:rPr>
          <w:rStyle w:val="29"/>
          <w:rFonts w:hint="eastAsia" w:ascii="宋体" w:hAnsi="宋体" w:cs="宋体"/>
          <w:color w:val="auto"/>
          <w:sz w:val="21"/>
          <w:szCs w:val="21"/>
          <w:highlight w:val="none"/>
        </w:rPr>
        <w:br w:type="page"/>
      </w:r>
      <w:r>
        <w:rPr>
          <w:rStyle w:val="29"/>
          <w:rFonts w:hint="eastAsia" w:ascii="宋体" w:hAnsi="宋体" w:cs="宋体"/>
          <w:color w:val="auto"/>
          <w:sz w:val="21"/>
          <w:szCs w:val="21"/>
          <w:highlight w:val="none"/>
        </w:rPr>
        <w:t>1.1</w:t>
      </w:r>
      <w:r>
        <w:rPr>
          <w:rFonts w:hint="eastAsia" w:ascii="宋体" w:hAnsi="宋体" w:cs="宋体"/>
          <w:b/>
          <w:color w:val="auto"/>
          <w:szCs w:val="21"/>
          <w:highlight w:val="none"/>
          <w:lang w:bidi="ar"/>
        </w:rPr>
        <w:t>关于资格的声明函</w:t>
      </w:r>
    </w:p>
    <w:p>
      <w:pPr>
        <w:spacing w:line="360" w:lineRule="auto"/>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关于资格的声明函</w:t>
      </w:r>
    </w:p>
    <w:p>
      <w:pPr>
        <w:spacing w:line="360" w:lineRule="auto"/>
        <w:ind w:left="540" w:firstLine="30"/>
        <w:jc w:val="center"/>
        <w:rPr>
          <w:rFonts w:hint="eastAsia" w:ascii="宋体" w:hAnsi="宋体" w:cs="宋体"/>
          <w:b/>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i/>
          <w:color w:val="auto"/>
          <w:szCs w:val="21"/>
          <w:highlight w:val="none"/>
        </w:rPr>
        <w:t>（招标方）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关于贵方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日对编号为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的项目发出的投标邀请，本签字人愿意参加投标，提供招标文件要求的</w:t>
      </w:r>
      <w:r>
        <w:rPr>
          <w:rFonts w:hint="eastAsia" w:ascii="宋体" w:hAnsi="宋体" w:cs="宋体"/>
          <w:color w:val="auto"/>
          <w:szCs w:val="21"/>
          <w:highlight w:val="none"/>
          <w:u w:val="single"/>
        </w:rPr>
        <w:t>（服务名称）</w:t>
      </w:r>
      <w:r>
        <w:rPr>
          <w:rFonts w:hint="eastAsia" w:ascii="宋体" w:hAnsi="宋体" w:cs="宋体"/>
          <w:color w:val="auto"/>
          <w:szCs w:val="21"/>
          <w:highlight w:val="none"/>
        </w:rPr>
        <w:t>，并证明提交的下列文件和说明是准确和真实的。</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1、资格条件自查表；</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2、有效的企业法人营业执照（或事业法人登记证）、其他组织（个体工商户）的营业执照或者民办非企业单位登记证书复印件并加盖公章，</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如果有名称变更的，应提供由行政主管部门出具的变更证明文件（加盖公章）；</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3、本公司（企业）具有良好的商业信誉和健全的财务会计制度；</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4、本公司（企业）具有履行合同所必需的设备和专业技术能力；</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5、本公司（企业）有依法缴纳税收和社会保障资金的良好记录；</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6、提供具有履行合同所必需的设备和专业技术能力的书面声明；</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7、提供参加政府采购活动前3年内在经营活动中没有重大违法记录的书面声明；</w:t>
      </w:r>
    </w:p>
    <w:p>
      <w:pPr>
        <w:spacing w:line="360" w:lineRule="auto"/>
        <w:ind w:firstLine="480" w:firstLineChars="200"/>
        <w:jc w:val="left"/>
        <w:rPr>
          <w:rFonts w:hint="eastAsia" w:ascii="宋体" w:hAnsi="宋体" w:cs="宋体"/>
          <w:color w:val="auto"/>
          <w:szCs w:val="21"/>
          <w:highlight w:val="none"/>
          <w:lang w:bidi="ar"/>
        </w:rPr>
      </w:pPr>
    </w:p>
    <w:p>
      <w:pPr>
        <w:spacing w:line="360" w:lineRule="auto"/>
        <w:rPr>
          <w:rFonts w:hint="eastAsia" w:ascii="宋体" w:hAnsi="宋体" w:cs="宋体"/>
          <w:color w:val="auto"/>
          <w:szCs w:val="21"/>
          <w:highlight w:val="none"/>
        </w:rPr>
      </w:pPr>
    </w:p>
    <w:p>
      <w:pPr>
        <w:spacing w:line="360" w:lineRule="auto"/>
        <w:ind w:firstLine="600"/>
        <w:rPr>
          <w:rFonts w:hint="eastAsia" w:ascii="宋体" w:hAnsi="宋体" w:cs="宋体"/>
          <w:color w:val="auto"/>
          <w:szCs w:val="21"/>
          <w:highlight w:val="none"/>
        </w:rPr>
      </w:pPr>
      <w:r>
        <w:rPr>
          <w:rFonts w:hint="eastAsia" w:ascii="宋体" w:hAnsi="宋体" w:cs="宋体"/>
          <w:color w:val="auto"/>
          <w:szCs w:val="21"/>
          <w:highlight w:val="none"/>
        </w:rPr>
        <w:t>本签字人确认资格文件中的说明是真实的、准确的。</w:t>
      </w:r>
    </w:p>
    <w:p>
      <w:pPr>
        <w:spacing w:line="360" w:lineRule="auto"/>
        <w:jc w:val="center"/>
        <w:rPr>
          <w:rFonts w:hint="eastAsia" w:ascii="宋体" w:hAnsi="宋体" w:cs="宋体"/>
          <w:color w:val="auto"/>
          <w:szCs w:val="21"/>
          <w:highlight w:val="none"/>
        </w:rPr>
      </w:pPr>
    </w:p>
    <w:p>
      <w:pPr>
        <w:spacing w:line="360" w:lineRule="auto"/>
        <w:ind w:firstLine="4080" w:firstLineChars="17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（公章）</w:t>
      </w:r>
    </w:p>
    <w:p>
      <w:pPr>
        <w:snapToGrid w:val="0"/>
        <w:spacing w:line="360" w:lineRule="auto"/>
        <w:ind w:firstLine="2640" w:firstLineChars="11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adjustRightInd w:val="0"/>
        <w:snapToGrid w:val="0"/>
        <w:jc w:val="left"/>
        <w:rPr>
          <w:rFonts w:hint="eastAsia" w:ascii="宋体" w:hAnsi="宋体" w:cs="宋体"/>
          <w:color w:val="auto"/>
          <w:szCs w:val="21"/>
          <w:highlight w:val="none"/>
        </w:rPr>
      </w:pPr>
    </w:p>
    <w:p>
      <w:pPr>
        <w:adjustRightInd w:val="0"/>
        <w:snapToGrid w:val="0"/>
        <w:jc w:val="left"/>
        <w:rPr>
          <w:rFonts w:hint="eastAsia" w:ascii="宋体" w:hAnsi="宋体" w:cs="宋体"/>
          <w:color w:val="auto"/>
          <w:szCs w:val="21"/>
          <w:highlight w:val="none"/>
        </w:rPr>
      </w:pPr>
    </w:p>
    <w:p>
      <w:pPr>
        <w:adjustRightInd w:val="0"/>
        <w:snapToGrid w:val="0"/>
        <w:jc w:val="left"/>
        <w:rPr>
          <w:rFonts w:hint="eastAsia" w:ascii="宋体" w:hAnsi="宋体" w:cs="宋体"/>
          <w:color w:val="auto"/>
          <w:szCs w:val="21"/>
          <w:highlight w:val="none"/>
        </w:rPr>
      </w:pPr>
    </w:p>
    <w:p>
      <w:pPr>
        <w:adjustRightInd w:val="0"/>
        <w:snapToGrid w:val="0"/>
        <w:jc w:val="left"/>
        <w:rPr>
          <w:rFonts w:hint="eastAsia" w:ascii="宋体" w:hAnsi="宋体" w:cs="宋体"/>
          <w:color w:val="auto"/>
          <w:szCs w:val="21"/>
          <w:highlight w:val="none"/>
        </w:rPr>
      </w:pPr>
    </w:p>
    <w:p>
      <w:pPr>
        <w:widowControl/>
        <w:adjustRightInd w:val="0"/>
        <w:spacing w:line="360" w:lineRule="auto"/>
        <w:jc w:val="left"/>
        <w:rPr>
          <w:rFonts w:ascii="Arial" w:hAnsi="Arial"/>
          <w:color w:val="auto"/>
          <w:highlight w:val="none"/>
        </w:rPr>
      </w:pPr>
    </w:p>
    <w:p>
      <w:pPr>
        <w:rPr>
          <w:rFonts w:hint="eastAsia"/>
          <w:color w:val="auto"/>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盖章为联合体双方成员</w:t>
      </w:r>
      <w:r>
        <w:rPr>
          <w:rFonts w:hint="eastAsia"/>
          <w:color w:val="auto"/>
          <w:highlight w:val="none"/>
          <w:lang w:eastAsia="zh-CN"/>
        </w:rPr>
        <w:t>。</w:t>
      </w:r>
    </w:p>
    <w:p>
      <w:pPr>
        <w:adjustRightInd w:val="0"/>
        <w:snapToGrid w:val="0"/>
        <w:jc w:val="left"/>
        <w:rPr>
          <w:rFonts w:hint="eastAsia" w:ascii="宋体" w:hAnsi="宋体" w:cs="宋体"/>
          <w:b/>
          <w:color w:val="auto"/>
          <w:szCs w:val="21"/>
          <w:highlight w:val="none"/>
        </w:rPr>
      </w:pPr>
      <w:r>
        <w:rPr>
          <w:rStyle w:val="29"/>
          <w:rFonts w:hint="eastAsia" w:ascii="宋体" w:hAnsi="宋体" w:cs="宋体"/>
          <w:color w:val="auto"/>
          <w:sz w:val="21"/>
          <w:szCs w:val="21"/>
          <w:highlight w:val="none"/>
        </w:rPr>
        <w:br w:type="page"/>
      </w:r>
      <w:r>
        <w:rPr>
          <w:rStyle w:val="29"/>
          <w:rFonts w:hint="eastAsia" w:ascii="宋体" w:hAnsi="宋体" w:cs="宋体"/>
          <w:color w:val="auto"/>
          <w:sz w:val="21"/>
          <w:szCs w:val="21"/>
          <w:highlight w:val="none"/>
        </w:rPr>
        <w:t>1.2</w:t>
      </w:r>
      <w:r>
        <w:rPr>
          <w:rFonts w:hint="eastAsia" w:ascii="宋体" w:hAnsi="宋体" w:cs="宋体"/>
          <w:b/>
          <w:color w:val="auto"/>
          <w:szCs w:val="21"/>
          <w:highlight w:val="none"/>
        </w:rPr>
        <w:t>资格条件自查表</w:t>
      </w:r>
    </w:p>
    <w:p>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资格条件自查表</w:t>
      </w:r>
    </w:p>
    <w:tbl>
      <w:tblPr>
        <w:tblStyle w:val="19"/>
        <w:tblW w:w="0" w:type="auto"/>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5"/>
        <w:gridCol w:w="4290"/>
        <w:gridCol w:w="1291"/>
        <w:gridCol w:w="2654"/>
      </w:tblGrid>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12" w:hRule="atLeast"/>
          <w:jc w:val="center"/>
        </w:trPr>
        <w:tc>
          <w:tcPr>
            <w:tcW w:w="845" w:type="dxa"/>
            <w:tcBorders>
              <w:top w:val="single" w:color="auto" w:sz="12" w:space="0"/>
              <w:left w:val="single" w:color="auto" w:sz="12" w:space="0"/>
              <w:bottom w:val="inset" w:color="111111" w:sz="6" w:space="0"/>
              <w:right w:val="inset" w:color="111111" w:sz="6"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b/>
                <w:color w:val="auto"/>
                <w:szCs w:val="21"/>
                <w:highlight w:val="none"/>
                <w:lang w:bidi="ar"/>
              </w:rPr>
              <w:t>评审内容</w:t>
            </w:r>
          </w:p>
        </w:tc>
        <w:tc>
          <w:tcPr>
            <w:tcW w:w="4290" w:type="dxa"/>
            <w:tcBorders>
              <w:top w:val="single" w:color="auto" w:sz="12" w:space="0"/>
              <w:left w:val="inset" w:color="111111" w:sz="6" w:space="0"/>
              <w:bottom w:val="inset" w:color="111111" w:sz="6" w:space="0"/>
              <w:right w:val="inset" w:color="111111" w:sz="6"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b/>
                <w:color w:val="auto"/>
                <w:szCs w:val="21"/>
                <w:highlight w:val="none"/>
                <w:lang w:bidi="ar"/>
              </w:rPr>
              <w:t>招标文件要求</w:t>
            </w:r>
          </w:p>
        </w:tc>
        <w:tc>
          <w:tcPr>
            <w:tcW w:w="1291" w:type="dxa"/>
            <w:tcBorders>
              <w:top w:val="single" w:color="auto" w:sz="12" w:space="0"/>
              <w:left w:val="inset" w:color="111111" w:sz="6" w:space="0"/>
              <w:bottom w:val="inset" w:color="111111" w:sz="6" w:space="0"/>
              <w:right w:val="inset" w:color="111111" w:sz="6"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b/>
                <w:color w:val="auto"/>
                <w:szCs w:val="21"/>
                <w:highlight w:val="none"/>
                <w:lang w:bidi="ar"/>
              </w:rPr>
              <w:t>自查结论</w:t>
            </w:r>
          </w:p>
        </w:tc>
        <w:tc>
          <w:tcPr>
            <w:tcW w:w="2654" w:type="dxa"/>
            <w:tcBorders>
              <w:top w:val="single" w:color="auto" w:sz="12" w:space="0"/>
              <w:left w:val="inset" w:color="111111" w:sz="6" w:space="0"/>
              <w:bottom w:val="inset" w:color="111111" w:sz="6"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b/>
                <w:color w:val="auto"/>
                <w:szCs w:val="21"/>
                <w:highlight w:val="none"/>
                <w:lang w:bidi="ar"/>
              </w:rPr>
              <w:t>证明资料</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0" w:hRule="atLeast"/>
          <w:jc w:val="center"/>
        </w:trPr>
        <w:tc>
          <w:tcPr>
            <w:tcW w:w="845" w:type="dxa"/>
            <w:vMerge w:val="restart"/>
            <w:tcBorders>
              <w:top w:val="inset" w:color="111111" w:sz="6" w:space="0"/>
              <w:left w:val="single" w:color="auto" w:sz="12" w:space="0"/>
              <w:right w:val="inset" w:color="111111" w:sz="6" w:space="0"/>
            </w:tcBorders>
            <w:noWrap w:val="0"/>
            <w:vAlign w:val="center"/>
          </w:tcPr>
          <w:p>
            <w:pPr>
              <w:pStyle w:val="17"/>
              <w:adjustRightInd w:val="0"/>
              <w:snapToGrid w:val="0"/>
              <w:spacing w:before="0" w:beforeAutospacing="0" w:after="0" w:afterAutospacing="0" w:line="240" w:lineRule="atLeast"/>
              <w:jc w:val="center"/>
              <w:rPr>
                <w:rFonts w:hint="eastAsia" w:cs="宋体"/>
                <w:b/>
                <w:color w:val="auto"/>
                <w:kern w:val="2"/>
                <w:sz w:val="21"/>
                <w:szCs w:val="21"/>
                <w:highlight w:val="none"/>
              </w:rPr>
            </w:pPr>
            <w:r>
              <w:rPr>
                <w:rFonts w:hint="eastAsia" w:cs="宋体"/>
                <w:b/>
                <w:color w:val="auto"/>
                <w:kern w:val="2"/>
                <w:sz w:val="21"/>
                <w:szCs w:val="21"/>
                <w:highlight w:val="none"/>
                <w:lang w:bidi="ar"/>
              </w:rPr>
              <w:t>资</w:t>
            </w:r>
          </w:p>
          <w:p>
            <w:pPr>
              <w:pStyle w:val="17"/>
              <w:adjustRightInd w:val="0"/>
              <w:snapToGrid w:val="0"/>
              <w:spacing w:before="0" w:beforeAutospacing="0" w:after="0" w:afterAutospacing="0" w:line="240" w:lineRule="atLeast"/>
              <w:jc w:val="center"/>
              <w:rPr>
                <w:rFonts w:hint="eastAsia" w:cs="宋体"/>
                <w:b/>
                <w:color w:val="auto"/>
                <w:kern w:val="2"/>
                <w:sz w:val="21"/>
                <w:szCs w:val="21"/>
                <w:highlight w:val="none"/>
              </w:rPr>
            </w:pPr>
            <w:r>
              <w:rPr>
                <w:rFonts w:hint="eastAsia" w:cs="宋体"/>
                <w:b/>
                <w:color w:val="auto"/>
                <w:kern w:val="2"/>
                <w:sz w:val="21"/>
                <w:szCs w:val="21"/>
                <w:highlight w:val="none"/>
                <w:lang w:bidi="ar"/>
              </w:rPr>
              <w:t>格</w:t>
            </w:r>
          </w:p>
          <w:p>
            <w:pPr>
              <w:pStyle w:val="17"/>
              <w:adjustRightInd w:val="0"/>
              <w:snapToGrid w:val="0"/>
              <w:spacing w:before="0" w:beforeAutospacing="0" w:after="0" w:afterAutospacing="0" w:line="240" w:lineRule="atLeast"/>
              <w:jc w:val="center"/>
              <w:rPr>
                <w:rFonts w:hint="eastAsia" w:cs="宋体"/>
                <w:b/>
                <w:color w:val="auto"/>
                <w:kern w:val="2"/>
                <w:sz w:val="21"/>
                <w:szCs w:val="21"/>
                <w:highlight w:val="none"/>
              </w:rPr>
            </w:pPr>
            <w:r>
              <w:rPr>
                <w:rFonts w:hint="eastAsia" w:cs="宋体"/>
                <w:b/>
                <w:color w:val="auto"/>
                <w:kern w:val="2"/>
                <w:sz w:val="21"/>
                <w:szCs w:val="21"/>
                <w:highlight w:val="none"/>
                <w:lang w:bidi="ar"/>
              </w:rPr>
              <w:t>性</w:t>
            </w:r>
          </w:p>
          <w:p>
            <w:pPr>
              <w:pStyle w:val="17"/>
              <w:adjustRightInd w:val="0"/>
              <w:snapToGrid w:val="0"/>
              <w:spacing w:before="0" w:beforeAutospacing="0" w:after="0" w:afterAutospacing="0" w:line="240" w:lineRule="atLeast"/>
              <w:jc w:val="center"/>
              <w:rPr>
                <w:rFonts w:hint="eastAsia" w:cs="宋体"/>
                <w:b/>
                <w:color w:val="auto"/>
                <w:kern w:val="2"/>
                <w:sz w:val="21"/>
                <w:szCs w:val="21"/>
                <w:highlight w:val="none"/>
              </w:rPr>
            </w:pPr>
            <w:r>
              <w:rPr>
                <w:rFonts w:hint="eastAsia" w:cs="宋体"/>
                <w:b/>
                <w:color w:val="auto"/>
                <w:kern w:val="2"/>
                <w:sz w:val="21"/>
                <w:szCs w:val="21"/>
                <w:highlight w:val="none"/>
                <w:lang w:bidi="ar"/>
              </w:rPr>
              <w:t>审</w:t>
            </w:r>
          </w:p>
          <w:p>
            <w:pPr>
              <w:pStyle w:val="17"/>
              <w:adjustRightInd w:val="0"/>
              <w:snapToGrid w:val="0"/>
              <w:spacing w:before="0" w:beforeAutospacing="0" w:after="0" w:afterAutospacing="0" w:line="240" w:lineRule="atLeast"/>
              <w:jc w:val="center"/>
              <w:rPr>
                <w:rFonts w:hint="eastAsia" w:cs="宋体"/>
                <w:b/>
                <w:color w:val="auto"/>
                <w:kern w:val="2"/>
                <w:sz w:val="21"/>
                <w:szCs w:val="21"/>
                <w:highlight w:val="none"/>
              </w:rPr>
            </w:pPr>
            <w:r>
              <w:rPr>
                <w:rFonts w:hint="eastAsia" w:cs="宋体"/>
                <w:b/>
                <w:color w:val="auto"/>
                <w:kern w:val="2"/>
                <w:sz w:val="21"/>
                <w:szCs w:val="21"/>
                <w:highlight w:val="none"/>
                <w:lang w:bidi="ar"/>
              </w:rPr>
              <w:t>查</w:t>
            </w:r>
          </w:p>
        </w:tc>
        <w:tc>
          <w:tcPr>
            <w:tcW w:w="4290" w:type="dxa"/>
            <w:tcBorders>
              <w:top w:val="inset" w:color="111111" w:sz="6" w:space="0"/>
              <w:left w:val="inset" w:color="111111" w:sz="6" w:space="0"/>
              <w:bottom w:val="single" w:color="auto" w:sz="4"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1.符合《中华人民共和国政府采购法》第二十二条规定的</w:t>
            </w:r>
            <w:r>
              <w:rPr>
                <w:rFonts w:hint="eastAsia" w:cs="宋体"/>
                <w:color w:val="auto"/>
                <w:szCs w:val="21"/>
                <w:highlight w:val="none"/>
                <w:lang w:val="en-US" w:eastAsia="zh-CN"/>
              </w:rPr>
              <w:t>投标供应商</w:t>
            </w:r>
            <w:r>
              <w:rPr>
                <w:rFonts w:hint="eastAsia" w:ascii="宋体" w:hAnsi="宋体" w:cs="宋体"/>
                <w:color w:val="auto"/>
                <w:szCs w:val="21"/>
                <w:highlight w:val="none"/>
                <w:lang w:bidi="ar"/>
              </w:rPr>
              <w:t>资格条件</w:t>
            </w:r>
          </w:p>
        </w:tc>
        <w:tc>
          <w:tcPr>
            <w:tcW w:w="1291" w:type="dxa"/>
            <w:vMerge w:val="restart"/>
            <w:tcBorders>
              <w:top w:val="inset" w:color="111111" w:sz="6" w:space="0"/>
              <w:left w:val="inset" w:color="111111" w:sz="6" w:space="0"/>
              <w:bottom w:val="single" w:color="auto" w:sz="2"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54" w:type="dxa"/>
            <w:tcBorders>
              <w:top w:val="inset" w:color="111111" w:sz="6"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029"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inset" w:color="111111" w:sz="6" w:space="0"/>
              <w:left w:val="inset" w:color="111111" w:sz="6" w:space="0"/>
              <w:bottom w:val="single" w:color="auto" w:sz="4" w:space="0"/>
              <w:right w:val="inset" w:color="111111" w:sz="6" w:space="0"/>
            </w:tcBorders>
            <w:noWrap w:val="0"/>
            <w:vAlign w:val="center"/>
          </w:tcPr>
          <w:p>
            <w:pPr>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2.有效的企业法人营业执照（或事业法人登记证）、其他组织（个体工商户）的营业执照或者民办非企业单位登记证书复印件并加盖公章，</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如果有名称变更的，应提供由行政主管部门出具的变更证明文件（加盖公章）；</w:t>
            </w:r>
          </w:p>
        </w:tc>
        <w:tc>
          <w:tcPr>
            <w:tcW w:w="1291" w:type="dxa"/>
            <w:vMerge w:val="continue"/>
            <w:tcBorders>
              <w:top w:val="inset" w:color="111111" w:sz="6" w:space="0"/>
              <w:left w:val="inset" w:color="111111" w:sz="6" w:space="0"/>
              <w:bottom w:val="single" w:color="auto" w:sz="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2654" w:type="dxa"/>
            <w:tcBorders>
              <w:top w:val="inset" w:color="111111" w:sz="6"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35"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inset" w:color="111111" w:sz="6" w:space="0"/>
              <w:left w:val="inset" w:color="111111" w:sz="6" w:space="0"/>
              <w:bottom w:val="single" w:color="auto" w:sz="4"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3.</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如果有名称变更的，应提供由行政主管部门出具的变更证明文件。</w:t>
            </w:r>
          </w:p>
        </w:tc>
        <w:tc>
          <w:tcPr>
            <w:tcW w:w="1291" w:type="dxa"/>
            <w:vMerge w:val="continue"/>
            <w:tcBorders>
              <w:top w:val="inset" w:color="111111" w:sz="6" w:space="0"/>
              <w:left w:val="inset" w:color="111111" w:sz="6" w:space="0"/>
              <w:bottom w:val="single" w:color="auto" w:sz="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2654" w:type="dxa"/>
            <w:tcBorders>
              <w:top w:val="inset" w:color="111111" w:sz="6"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single" w:color="auto" w:sz="4" w:space="0"/>
              <w:left w:val="inset" w:color="111111" w:sz="6" w:space="0"/>
              <w:bottom w:val="single" w:color="auto" w:sz="4" w:space="0"/>
              <w:right w:val="inset" w:color="111111" w:sz="6" w:space="0"/>
            </w:tcBorders>
            <w:noWrap w:val="0"/>
            <w:vAlign w:val="center"/>
          </w:tcPr>
          <w:p>
            <w:pPr>
              <w:spacing w:line="24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4.具有良好的商业信誉和健全的财务会计制度；</w:t>
            </w:r>
            <w:r>
              <w:rPr>
                <w:rFonts w:hint="eastAsia" w:ascii="宋体" w:hAnsi="宋体" w:cs="宋体"/>
                <w:bCs/>
                <w:color w:val="auto"/>
                <w:szCs w:val="21"/>
                <w:highlight w:val="none"/>
              </w:rPr>
              <w:t>（提供《关于资格的声明函》）</w:t>
            </w:r>
          </w:p>
        </w:tc>
        <w:tc>
          <w:tcPr>
            <w:tcW w:w="1291" w:type="dxa"/>
            <w:vMerge w:val="continue"/>
            <w:tcBorders>
              <w:top w:val="inset" w:color="111111" w:sz="6" w:space="0"/>
              <w:left w:val="inset" w:color="111111" w:sz="6" w:space="0"/>
              <w:bottom w:val="single" w:color="auto" w:sz="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2654" w:type="dxa"/>
            <w:tcBorders>
              <w:top w:val="single" w:color="auto" w:sz="4"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18"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single" w:color="auto" w:sz="4" w:space="0"/>
              <w:left w:val="inset" w:color="111111" w:sz="6" w:space="0"/>
              <w:bottom w:val="single" w:color="auto" w:sz="4" w:space="0"/>
              <w:right w:val="inset" w:color="111111" w:sz="6" w:space="0"/>
            </w:tcBorders>
            <w:noWrap w:val="0"/>
            <w:vAlign w:val="center"/>
          </w:tcPr>
          <w:p>
            <w:pPr>
              <w:spacing w:line="24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5、具有履行合同所必需的设备和专业技术能力；</w:t>
            </w:r>
            <w:r>
              <w:rPr>
                <w:rFonts w:hint="eastAsia" w:ascii="宋体" w:hAnsi="宋体" w:cs="宋体"/>
                <w:bCs/>
                <w:color w:val="auto"/>
                <w:szCs w:val="21"/>
                <w:highlight w:val="none"/>
              </w:rPr>
              <w:t>（提供《关于资格的声明函》）。</w:t>
            </w:r>
          </w:p>
        </w:tc>
        <w:tc>
          <w:tcPr>
            <w:tcW w:w="1291" w:type="dxa"/>
            <w:vMerge w:val="continue"/>
            <w:tcBorders>
              <w:top w:val="inset" w:color="111111" w:sz="6" w:space="0"/>
              <w:left w:val="inset" w:color="111111" w:sz="6" w:space="0"/>
              <w:bottom w:val="single" w:color="auto" w:sz="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2654" w:type="dxa"/>
            <w:tcBorders>
              <w:top w:val="single" w:color="auto" w:sz="4"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8"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single" w:color="auto" w:sz="4" w:space="0"/>
              <w:left w:val="inset" w:color="111111" w:sz="6" w:space="0"/>
              <w:bottom w:val="single" w:color="auto" w:sz="4" w:space="0"/>
              <w:right w:val="inset" w:color="111111" w:sz="6" w:space="0"/>
            </w:tcBorders>
            <w:noWrap w:val="0"/>
            <w:vAlign w:val="center"/>
          </w:tcPr>
          <w:p>
            <w:pPr>
              <w:spacing w:line="24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6、有依法缴纳税收和社会保障资金的良好记录；</w:t>
            </w:r>
            <w:r>
              <w:rPr>
                <w:rFonts w:hint="eastAsia" w:ascii="宋体" w:hAnsi="宋体" w:cs="宋体"/>
                <w:bCs/>
                <w:color w:val="auto"/>
                <w:szCs w:val="21"/>
                <w:highlight w:val="none"/>
              </w:rPr>
              <w:t>（提供《关于资格的声明函》）。</w:t>
            </w:r>
          </w:p>
        </w:tc>
        <w:tc>
          <w:tcPr>
            <w:tcW w:w="1291" w:type="dxa"/>
            <w:vMerge w:val="continue"/>
            <w:tcBorders>
              <w:top w:val="inset" w:color="111111" w:sz="6" w:space="0"/>
              <w:left w:val="inset" w:color="111111" w:sz="6" w:space="0"/>
              <w:bottom w:val="single" w:color="auto" w:sz="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2654" w:type="dxa"/>
            <w:tcBorders>
              <w:top w:val="single" w:color="auto" w:sz="4"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43"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single" w:color="auto" w:sz="4" w:space="0"/>
              <w:left w:val="inset" w:color="111111" w:sz="6" w:space="0"/>
              <w:bottom w:val="single" w:color="auto" w:sz="4" w:space="0"/>
              <w:right w:val="inset" w:color="111111" w:sz="6" w:space="0"/>
            </w:tcBorders>
            <w:noWrap w:val="0"/>
            <w:vAlign w:val="center"/>
          </w:tcPr>
          <w:p>
            <w:pPr>
              <w:spacing w:line="24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7、</w:t>
            </w:r>
            <w:r>
              <w:rPr>
                <w:rFonts w:hint="eastAsia" w:ascii="宋体" w:hAnsi="宋体" w:cs="宋体"/>
                <w:color w:val="auto"/>
                <w:szCs w:val="21"/>
                <w:highlight w:val="none"/>
              </w:rPr>
              <w:t>参加本招标活动前三年内，在经营活动中没有重大违法记录；法律、行政法规规定的其他条件；</w:t>
            </w:r>
            <w:r>
              <w:rPr>
                <w:rFonts w:hint="eastAsia" w:ascii="宋体" w:hAnsi="宋体" w:cs="宋体"/>
                <w:bCs/>
                <w:color w:val="auto"/>
                <w:szCs w:val="21"/>
                <w:highlight w:val="none"/>
              </w:rPr>
              <w:t>（提供《关于资格的声明函》）。</w:t>
            </w:r>
          </w:p>
        </w:tc>
        <w:tc>
          <w:tcPr>
            <w:tcW w:w="1291" w:type="dxa"/>
            <w:vMerge w:val="continue"/>
            <w:tcBorders>
              <w:top w:val="inset" w:color="111111" w:sz="6" w:space="0"/>
              <w:left w:val="inset" w:color="111111" w:sz="6" w:space="0"/>
              <w:bottom w:val="single" w:color="auto" w:sz="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2654" w:type="dxa"/>
            <w:tcBorders>
              <w:top w:val="single" w:color="auto" w:sz="4" w:space="0"/>
              <w:left w:val="inset" w:color="111111" w:sz="6" w:space="0"/>
              <w:bottom w:val="single" w:color="auto" w:sz="4"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349"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inset" w:color="111111" w:sz="6" w:space="0"/>
              <w:left w:val="inset" w:color="111111" w:sz="6" w:space="0"/>
              <w:bottom w:val="inset" w:color="111111" w:sz="6"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7.</w:t>
            </w:r>
            <w:r>
              <w:rPr>
                <w:rFonts w:hint="eastAsia" w:ascii="宋体" w:hAnsi="宋体" w:cs="宋体"/>
                <w:color w:val="auto"/>
                <w:szCs w:val="21"/>
                <w:highlight w:val="none"/>
              </w:rPr>
              <w:t>单位负责人为同一人或者存在直接控股、管理关系的不同</w:t>
            </w:r>
            <w:r>
              <w:rPr>
                <w:rFonts w:hint="eastAsia" w:cs="宋体"/>
                <w:color w:val="auto"/>
                <w:szCs w:val="21"/>
                <w:highlight w:val="none"/>
                <w:lang w:eastAsia="zh-CN"/>
              </w:rPr>
              <w:t>投标供应商</w:t>
            </w:r>
            <w:r>
              <w:rPr>
                <w:rFonts w:hint="eastAsia" w:ascii="宋体" w:hAnsi="宋体" w:cs="宋体"/>
                <w:color w:val="auto"/>
                <w:szCs w:val="21"/>
                <w:highlight w:val="none"/>
              </w:rPr>
              <w:t>，不得参加同一合同项下的政府采购活动。为采购项目提供整体设计、规范编制或者项目管理、监理、检测等服务的</w:t>
            </w:r>
            <w:r>
              <w:rPr>
                <w:rFonts w:hint="eastAsia" w:cs="宋体"/>
                <w:color w:val="auto"/>
                <w:szCs w:val="21"/>
                <w:highlight w:val="none"/>
                <w:lang w:eastAsia="zh-CN"/>
              </w:rPr>
              <w:t>投标供应商</w:t>
            </w:r>
            <w:r>
              <w:rPr>
                <w:rFonts w:hint="eastAsia" w:ascii="宋体" w:hAnsi="宋体" w:cs="宋体"/>
                <w:color w:val="auto"/>
                <w:szCs w:val="21"/>
                <w:highlight w:val="none"/>
              </w:rPr>
              <w:t>，不得再参加本项目投标</w:t>
            </w:r>
            <w:r>
              <w:rPr>
                <w:rFonts w:hint="eastAsia" w:ascii="宋体" w:hAnsi="宋体" w:cs="宋体"/>
                <w:bCs/>
                <w:color w:val="auto"/>
                <w:szCs w:val="21"/>
                <w:highlight w:val="none"/>
                <w:lang w:bidi="ar"/>
              </w:rPr>
              <w:t>。</w:t>
            </w:r>
          </w:p>
        </w:tc>
        <w:tc>
          <w:tcPr>
            <w:tcW w:w="1291" w:type="dxa"/>
            <w:tcBorders>
              <w:top w:val="inset" w:color="111111" w:sz="6" w:space="0"/>
              <w:left w:val="inset" w:color="111111" w:sz="6" w:space="0"/>
              <w:bottom w:val="inset" w:color="111111" w:sz="6"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54" w:type="dxa"/>
            <w:tcBorders>
              <w:top w:val="inset" w:color="111111" w:sz="6" w:space="0"/>
              <w:left w:val="inset" w:color="111111" w:sz="6" w:space="0"/>
              <w:bottom w:val="inset" w:color="111111" w:sz="6"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57"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inset" w:color="111111" w:sz="6" w:space="0"/>
              <w:left w:val="inset" w:color="111111" w:sz="6" w:space="0"/>
              <w:bottom w:val="inset" w:color="111111" w:sz="6"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8.</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需提供相关证明资料）。</w:t>
            </w:r>
          </w:p>
        </w:tc>
        <w:tc>
          <w:tcPr>
            <w:tcW w:w="1291" w:type="dxa"/>
            <w:tcBorders>
              <w:top w:val="inset" w:color="111111" w:sz="6" w:space="0"/>
              <w:left w:val="inset" w:color="111111" w:sz="6" w:space="0"/>
              <w:bottom w:val="inset" w:color="111111" w:sz="6"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adjustRightInd w:val="0"/>
              <w:snapToGrid w:val="0"/>
              <w:spacing w:line="24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□不通过</w:t>
            </w:r>
          </w:p>
        </w:tc>
        <w:tc>
          <w:tcPr>
            <w:tcW w:w="2654" w:type="dxa"/>
            <w:tcBorders>
              <w:top w:val="inset" w:color="111111" w:sz="6" w:space="0"/>
              <w:left w:val="inset" w:color="111111" w:sz="6" w:space="0"/>
              <w:bottom w:val="inset" w:color="111111" w:sz="6"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第（ ）页-（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487" w:hRule="atLeast"/>
          <w:jc w:val="center"/>
        </w:trPr>
        <w:tc>
          <w:tcPr>
            <w:tcW w:w="845" w:type="dxa"/>
            <w:vMerge w:val="continue"/>
            <w:tcBorders>
              <w:left w:val="single" w:color="auto" w:sz="12" w:space="0"/>
              <w:right w:val="inset" w:color="111111" w:sz="6" w:space="0"/>
            </w:tcBorders>
            <w:noWrap w:val="0"/>
            <w:vAlign w:val="center"/>
          </w:tcPr>
          <w:p>
            <w:pPr>
              <w:spacing w:line="240" w:lineRule="atLeast"/>
              <w:rPr>
                <w:rFonts w:hint="eastAsia" w:ascii="宋体" w:hAnsi="宋体" w:cs="宋体"/>
                <w:color w:val="auto"/>
                <w:szCs w:val="21"/>
                <w:highlight w:val="none"/>
              </w:rPr>
            </w:pPr>
          </w:p>
        </w:tc>
        <w:tc>
          <w:tcPr>
            <w:tcW w:w="4290" w:type="dxa"/>
            <w:tcBorders>
              <w:top w:val="inset" w:color="111111" w:sz="6" w:space="0"/>
              <w:left w:val="inset" w:color="111111" w:sz="6" w:space="0"/>
              <w:bottom w:val="inset" w:color="111111" w:sz="6" w:space="0"/>
              <w:right w:val="inset" w:color="111111" w:sz="6" w:space="0"/>
            </w:tcBorders>
            <w:noWrap w:val="0"/>
            <w:vAlign w:val="center"/>
          </w:tcPr>
          <w:p>
            <w:pPr>
              <w:widowControl/>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bidi="ar"/>
              </w:rPr>
              <w:t>9.</w:t>
            </w:r>
            <w:r>
              <w:rPr>
                <w:rFonts w:hint="eastAsia" w:ascii="宋体" w:hAnsi="宋体" w:cs="宋体"/>
                <w:color w:val="auto"/>
                <w:szCs w:val="21"/>
                <w:highlight w:val="none"/>
              </w:rPr>
              <w:t>本项目接受联合体投标，</w:t>
            </w:r>
            <w:r>
              <w:rPr>
                <w:color w:val="auto"/>
                <w:szCs w:val="21"/>
                <w:highlight w:val="none"/>
              </w:rPr>
              <w:t>联合体参加投标</w:t>
            </w:r>
            <w:r>
              <w:rPr>
                <w:rFonts w:hint="eastAsia"/>
                <w:color w:val="auto"/>
                <w:szCs w:val="21"/>
                <w:highlight w:val="none"/>
              </w:rPr>
              <w:t>的</w:t>
            </w:r>
            <w:r>
              <w:rPr>
                <w:color w:val="auto"/>
                <w:szCs w:val="21"/>
                <w:highlight w:val="none"/>
              </w:rPr>
              <w:t>必须提供联合投标协议；在联合</w:t>
            </w:r>
            <w:r>
              <w:rPr>
                <w:rFonts w:hint="eastAsia"/>
                <w:color w:val="auto"/>
                <w:szCs w:val="21"/>
                <w:highlight w:val="none"/>
              </w:rPr>
              <w:t>体</w:t>
            </w:r>
            <w:r>
              <w:rPr>
                <w:rFonts w:hint="eastAsia" w:cs="宋体"/>
                <w:color w:val="auto"/>
                <w:kern w:val="0"/>
                <w:szCs w:val="21"/>
                <w:highlight w:val="none"/>
              </w:rPr>
              <w:t>投标协议中必须明确各联合投标单位的责任和义务，联合体成员数量不得超过两家。</w:t>
            </w:r>
            <w:r>
              <w:rPr>
                <w:rFonts w:hint="eastAsia" w:cs="宋体"/>
                <w:color w:val="auto"/>
                <w:kern w:val="0"/>
                <w:szCs w:val="21"/>
                <w:highlight w:val="none"/>
                <w:lang w:eastAsia="zh-CN"/>
              </w:rPr>
              <w:t>（</w:t>
            </w:r>
            <w:r>
              <w:rPr>
                <w:rFonts w:hint="eastAsia" w:cs="宋体"/>
                <w:color w:val="auto"/>
                <w:kern w:val="0"/>
                <w:szCs w:val="21"/>
                <w:highlight w:val="none"/>
                <w:lang w:val="en-US" w:eastAsia="zh-CN"/>
              </w:rPr>
              <w:t>提供联合体协议</w:t>
            </w:r>
            <w:r>
              <w:rPr>
                <w:rFonts w:hint="eastAsia" w:cs="宋体"/>
                <w:color w:val="auto"/>
                <w:kern w:val="0"/>
                <w:szCs w:val="21"/>
                <w:highlight w:val="none"/>
                <w:lang w:eastAsia="zh-CN"/>
              </w:rPr>
              <w:t>）</w:t>
            </w:r>
          </w:p>
        </w:tc>
        <w:tc>
          <w:tcPr>
            <w:tcW w:w="1291" w:type="dxa"/>
            <w:tcBorders>
              <w:top w:val="inset" w:color="111111" w:sz="6" w:space="0"/>
              <w:left w:val="inset" w:color="111111" w:sz="6" w:space="0"/>
              <w:bottom w:val="inset" w:color="111111" w:sz="6" w:space="0"/>
              <w:right w:val="inset" w:color="111111" w:sz="6" w:space="0"/>
            </w:tcBorders>
            <w:noWrap w:val="0"/>
            <w:vAlign w:val="center"/>
          </w:tcPr>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□通过</w:t>
            </w:r>
          </w:p>
          <w:p>
            <w:pPr>
              <w:adjustRightInd w:val="0"/>
              <w:snapToGrid w:val="0"/>
              <w:spacing w:line="240" w:lineRule="atLeas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54" w:type="dxa"/>
            <w:tcBorders>
              <w:top w:val="inset" w:color="111111" w:sz="6" w:space="0"/>
              <w:left w:val="inset" w:color="111111" w:sz="6" w:space="0"/>
              <w:bottom w:val="inset" w:color="111111" w:sz="6" w:space="0"/>
              <w:right w:val="single" w:color="auto" w:sz="12" w:space="0"/>
            </w:tcBorders>
            <w:noWrap w:val="0"/>
            <w:vAlign w:val="center"/>
          </w:tcPr>
          <w:p>
            <w:pPr>
              <w:adjustRightInd w:val="0"/>
              <w:snapToGrid w:val="0"/>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bl>
    <w:p>
      <w:pPr>
        <w:rPr>
          <w:rFonts w:hint="eastAsia" w:ascii="宋体" w:hAnsi="宋体" w:cs="宋体"/>
          <w:color w:val="auto"/>
          <w:szCs w:val="21"/>
          <w:highlight w:val="none"/>
        </w:rPr>
      </w:pPr>
    </w:p>
    <w:p>
      <w:pPr>
        <w:spacing w:line="360" w:lineRule="auto"/>
        <w:ind w:firstLine="4680" w:firstLineChars="1950"/>
        <w:rPr>
          <w:rFonts w:hint="eastAsia" w:ascii="宋体" w:hAnsi="宋体" w:cs="宋体"/>
          <w:color w:val="auto"/>
          <w:szCs w:val="21"/>
          <w:highlight w:val="none"/>
        </w:rPr>
      </w:pPr>
      <w:r>
        <w:rPr>
          <w:rFonts w:hint="eastAsia" w:ascii="宋体" w:hAnsi="宋体" w:cs="宋体"/>
          <w:color w:val="auto"/>
          <w:szCs w:val="21"/>
          <w:highlight w:val="none"/>
          <w:lang w:bidi="ar"/>
        </w:rPr>
        <w:t xml:space="preserve">法定代表人或授权代表：（签字或盖章）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投标供应商盖章（公章）：         </w:t>
      </w:r>
    </w:p>
    <w:p>
      <w:pPr>
        <w:jc w:val="center"/>
        <w:rPr>
          <w:rFonts w:hint="eastAsia" w:ascii="宋体" w:hAnsi="宋体" w:cs="宋体"/>
          <w:b/>
          <w:color w:val="auto"/>
          <w:szCs w:val="21"/>
          <w:highlight w:val="none"/>
        </w:rPr>
      </w:pPr>
      <w:r>
        <w:rPr>
          <w:rFonts w:hint="eastAsia" w:ascii="宋体" w:hAnsi="宋体" w:cs="宋体"/>
          <w:color w:val="auto"/>
          <w:szCs w:val="21"/>
          <w:highlight w:val="none"/>
          <w:lang w:bidi="ar"/>
        </w:rPr>
        <w:t xml:space="preserve">                                    日  期：</w:t>
      </w:r>
    </w:p>
    <w:p>
      <w:pPr>
        <w:spacing w:line="480" w:lineRule="auto"/>
        <w:jc w:val="left"/>
        <w:rPr>
          <w:rFonts w:hint="eastAsia" w:ascii="宋体" w:hAnsi="宋体" w:cs="宋体"/>
          <w:b/>
          <w:color w:val="auto"/>
          <w:szCs w:val="21"/>
          <w:highlight w:val="none"/>
        </w:rPr>
      </w:pPr>
    </w:p>
    <w:p>
      <w:pPr>
        <w:spacing w:line="480" w:lineRule="auto"/>
        <w:jc w:val="left"/>
        <w:rPr>
          <w:rFonts w:hint="eastAsia" w:ascii="宋体" w:hAnsi="宋体" w:cs="宋体"/>
          <w:b/>
          <w:color w:val="auto"/>
          <w:szCs w:val="21"/>
          <w:highlight w:val="none"/>
        </w:rPr>
      </w:pPr>
    </w:p>
    <w:p>
      <w:pPr>
        <w:widowControl/>
        <w:adjustRightInd w:val="0"/>
        <w:spacing w:line="360" w:lineRule="auto"/>
        <w:jc w:val="left"/>
        <w:rPr>
          <w:rFonts w:ascii="Arial" w:hAnsi="Arial"/>
          <w:color w:val="auto"/>
          <w:highlight w:val="none"/>
        </w:rPr>
      </w:pPr>
    </w:p>
    <w:p>
      <w:pPr>
        <w:rPr>
          <w:rFonts w:hint="eastAsia"/>
          <w:color w:val="auto"/>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盖章为联合体双方成员</w:t>
      </w:r>
      <w:r>
        <w:rPr>
          <w:rFonts w:hint="eastAsia"/>
          <w:color w:val="auto"/>
          <w:highlight w:val="none"/>
          <w:lang w:eastAsia="zh-CN"/>
        </w:rPr>
        <w:t>。</w:t>
      </w:r>
    </w:p>
    <w:p>
      <w:pPr>
        <w:spacing w:line="48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rPr>
        <w:br w:type="page"/>
      </w:r>
      <w:r>
        <w:rPr>
          <w:rFonts w:hint="eastAsia" w:ascii="宋体" w:hAnsi="宋体" w:cs="宋体"/>
          <w:b/>
          <w:color w:val="auto"/>
          <w:szCs w:val="21"/>
          <w:highlight w:val="none"/>
        </w:rPr>
        <w:t>1.3</w:t>
      </w:r>
      <w:r>
        <w:rPr>
          <w:rFonts w:hint="eastAsia" w:ascii="宋体" w:hAnsi="宋体" w:cs="宋体"/>
          <w:b/>
          <w:color w:val="auto"/>
          <w:szCs w:val="21"/>
          <w:highlight w:val="none"/>
          <w:lang w:bidi="ar"/>
        </w:rPr>
        <w:t>有效的企业法人营业执照（或事业法人登记证）、其他组织（个体工商户）的营业执照或者民办非企业单位登记证书复印件并加盖公章；</w:t>
      </w:r>
    </w:p>
    <w:p>
      <w:pPr>
        <w:spacing w:line="480" w:lineRule="auto"/>
        <w:jc w:val="left"/>
        <w:rPr>
          <w:rFonts w:hint="eastAsia" w:ascii="宋体" w:hAnsi="宋体" w:cs="宋体"/>
          <w:b/>
          <w:color w:val="auto"/>
          <w:szCs w:val="21"/>
          <w:highlight w:val="none"/>
          <w:lang w:bidi="ar"/>
        </w:rPr>
      </w:pPr>
    </w:p>
    <w:p>
      <w:pPr>
        <w:spacing w:line="480" w:lineRule="auto"/>
        <w:jc w:val="left"/>
        <w:rPr>
          <w:rFonts w:hint="eastAsia" w:ascii="宋体" w:hAnsi="宋体" w:cs="宋体"/>
          <w:bCs/>
          <w:color w:val="auto"/>
          <w:szCs w:val="21"/>
          <w:highlight w:val="none"/>
          <w:lang w:bidi="ar"/>
        </w:rPr>
      </w:pPr>
      <w:r>
        <w:rPr>
          <w:rFonts w:hint="eastAsia" w:ascii="宋体" w:hAnsi="宋体" w:cs="宋体"/>
          <w:b/>
          <w:color w:val="auto"/>
          <w:szCs w:val="21"/>
          <w:highlight w:val="none"/>
          <w:lang w:bidi="ar"/>
        </w:rPr>
        <w:t>1.4具有履行合同所必需的设备和专业技术能力的书面声明</w:t>
      </w:r>
    </w:p>
    <w:p>
      <w:pPr>
        <w:pStyle w:val="18"/>
        <w:rPr>
          <w:rFonts w:hint="eastAsia" w:ascii="宋体" w:hAnsi="宋体" w:eastAsia="宋体" w:cs="宋体"/>
          <w:color w:val="auto"/>
          <w:szCs w:val="21"/>
          <w:highlight w:val="none"/>
        </w:rPr>
      </w:pPr>
    </w:p>
    <w:p>
      <w:pPr>
        <w:spacing w:line="48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具备履行合同所需的设备和专业技术能力的声明</w:t>
      </w:r>
    </w:p>
    <w:p>
      <w:pPr>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我公司（单位）具备履行合同所需的设备和专业技术能力，具体情况介绍如下：</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（内容包括：主要设备、专业技术人员、公司资质等）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w:t>
      </w:r>
    </w:p>
    <w:p>
      <w:pPr>
        <w:widowControl/>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特此承诺。</w:t>
      </w:r>
    </w:p>
    <w:p>
      <w:pPr>
        <w:widowControl/>
        <w:jc w:val="left"/>
        <w:rPr>
          <w:rFonts w:hint="eastAsia" w:ascii="宋体" w:hAnsi="宋体" w:cs="宋体"/>
          <w:color w:val="auto"/>
          <w:szCs w:val="21"/>
          <w:highlight w:val="none"/>
          <w:lang w:bidi="ar"/>
        </w:rPr>
      </w:pPr>
    </w:p>
    <w:p>
      <w:pPr>
        <w:widowControl/>
        <w:jc w:val="left"/>
        <w:rPr>
          <w:rFonts w:hint="eastAsia" w:ascii="宋体" w:hAnsi="宋体" w:cs="宋体"/>
          <w:color w:val="auto"/>
          <w:szCs w:val="21"/>
          <w:highlight w:val="none"/>
          <w:lang w:bidi="ar"/>
        </w:rPr>
      </w:pPr>
    </w:p>
    <w:p>
      <w:pPr>
        <w:spacing w:line="360" w:lineRule="auto"/>
        <w:ind w:firstLine="4080" w:firstLineChars="1700"/>
        <w:rPr>
          <w:rFonts w:hint="eastAsia" w:ascii="宋体" w:hAnsi="宋体" w:cs="宋体"/>
          <w:color w:val="auto"/>
          <w:szCs w:val="21"/>
          <w:highlight w:val="none"/>
        </w:rPr>
      </w:pPr>
    </w:p>
    <w:p>
      <w:pPr>
        <w:spacing w:line="360" w:lineRule="auto"/>
        <w:ind w:firstLine="4080" w:firstLineChars="1700"/>
        <w:rPr>
          <w:rFonts w:hint="eastAsia" w:ascii="宋体" w:hAnsi="宋体" w:cs="宋体"/>
          <w:color w:val="auto"/>
          <w:szCs w:val="21"/>
          <w:highlight w:val="none"/>
        </w:rPr>
      </w:pPr>
    </w:p>
    <w:p>
      <w:pPr>
        <w:spacing w:line="360" w:lineRule="auto"/>
        <w:ind w:firstLine="4080" w:firstLineChars="1700"/>
        <w:rPr>
          <w:rFonts w:hint="eastAsia" w:ascii="宋体" w:hAnsi="宋体" w:cs="宋体"/>
          <w:color w:val="auto"/>
          <w:szCs w:val="21"/>
          <w:highlight w:val="none"/>
          <w:u w:val="single"/>
        </w:rPr>
      </w:pP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（公章）</w:t>
      </w:r>
    </w:p>
    <w:p>
      <w:pPr>
        <w:snapToGrid w:val="0"/>
        <w:spacing w:line="360" w:lineRule="auto"/>
        <w:ind w:firstLine="2640" w:firstLineChars="11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widowControl/>
        <w:jc w:val="center"/>
        <w:rPr>
          <w:rFonts w:hint="eastAsia" w:ascii="宋体" w:hAnsi="宋体" w:cs="宋体"/>
          <w:color w:val="auto"/>
          <w:szCs w:val="21"/>
          <w:highlight w:val="none"/>
          <w:lang w:bidi="ar"/>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widowControl/>
        <w:adjustRightInd w:val="0"/>
        <w:spacing w:line="360" w:lineRule="auto"/>
        <w:jc w:val="left"/>
        <w:rPr>
          <w:rFonts w:ascii="Arial" w:hAnsi="Arial"/>
          <w:color w:val="auto"/>
          <w:highlight w:val="none"/>
        </w:rPr>
      </w:pPr>
    </w:p>
    <w:p>
      <w:pPr>
        <w:rPr>
          <w:rFonts w:hint="eastAsia"/>
          <w:color w:val="auto"/>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盖章为联合体双方成员</w:t>
      </w:r>
      <w:r>
        <w:rPr>
          <w:rFonts w:hint="eastAsia"/>
          <w:color w:val="auto"/>
          <w:highlight w:val="none"/>
          <w:lang w:eastAsia="zh-CN"/>
        </w:rPr>
        <w:t>。</w:t>
      </w: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jc w:val="left"/>
        <w:rPr>
          <w:rFonts w:hint="eastAsia"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bidi="ar"/>
        </w:rPr>
        <w:t>近三年在政府采购活动中无重大违法记录的声明</w:t>
      </w:r>
    </w:p>
    <w:p>
      <w:pPr>
        <w:spacing w:line="360" w:lineRule="auto"/>
        <w:rPr>
          <w:rFonts w:hint="eastAsia" w:ascii="宋体" w:hAnsi="宋体" w:cs="宋体"/>
          <w:b/>
          <w:color w:val="auto"/>
          <w:szCs w:val="21"/>
          <w:highlight w:val="none"/>
        </w:rPr>
      </w:pPr>
    </w:p>
    <w:p>
      <w:pPr>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近三年在政府采购活动中无重大违法记录的声明</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（招标采购单位名称）：</w:t>
      </w:r>
    </w:p>
    <w:p>
      <w:pPr>
        <w:snapToGrid w:val="0"/>
        <w:spacing w:line="360" w:lineRule="auto"/>
        <w:ind w:firstLine="720" w:firstLineChars="3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（投标供应商名称）系中华人民共和国合法企业，经营地址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645"/>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（投标供应商名称）的法定代表人，我方愿意参加贵方组织的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项目的投标，为便于贵方公正、择优地确定中标人及其投标服务，我方就本次投标有关事项郑重声明如下：</w:t>
      </w:r>
    </w:p>
    <w:p>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pPr>
        <w:pStyle w:val="17"/>
        <w:widowControl w:val="0"/>
        <w:snapToGrid w:val="0"/>
        <w:spacing w:before="0" w:beforeAutospacing="0" w:after="0" w:afterAutospacing="0" w:line="360" w:lineRule="auto"/>
        <w:ind w:firstLine="420" w:firstLineChars="200"/>
        <w:jc w:val="both"/>
        <w:rPr>
          <w:rFonts w:hint="eastAsia" w:cs="宋体"/>
          <w:color w:val="auto"/>
          <w:kern w:val="2"/>
          <w:sz w:val="21"/>
          <w:szCs w:val="21"/>
          <w:highlight w:val="none"/>
        </w:rPr>
      </w:pPr>
      <w:r>
        <w:rPr>
          <w:rFonts w:hint="eastAsia" w:cs="宋体"/>
          <w:color w:val="auto"/>
          <w:kern w:val="2"/>
          <w:sz w:val="21"/>
          <w:szCs w:val="21"/>
          <w:highlight w:val="none"/>
        </w:rPr>
        <w:t xml:space="preserve">3.参加政府采购活动前三年内，在经营活动中没有重大违法记录，特此声明。        </w:t>
      </w:r>
    </w:p>
    <w:p>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4.以上事项如有虚假或隐瞒，我方愿意承担一切后果，并不再寻求任何旨在减轻或免除法律责任的辩解。</w:t>
      </w:r>
    </w:p>
    <w:p>
      <w:pPr>
        <w:pStyle w:val="17"/>
        <w:widowControl w:val="0"/>
        <w:tabs>
          <w:tab w:val="left" w:pos="939"/>
        </w:tabs>
        <w:snapToGrid w:val="0"/>
        <w:spacing w:before="0" w:beforeAutospacing="0" w:after="0" w:afterAutospacing="0" w:line="360" w:lineRule="auto"/>
        <w:ind w:left="761" w:leftChars="150" w:hanging="401" w:hangingChars="191"/>
        <w:jc w:val="both"/>
        <w:rPr>
          <w:rFonts w:hint="eastAsia" w:cs="宋体"/>
          <w:color w:val="auto"/>
          <w:sz w:val="21"/>
          <w:szCs w:val="21"/>
          <w:highlight w:val="none"/>
        </w:rPr>
      </w:pPr>
    </w:p>
    <w:p>
      <w:pPr>
        <w:pStyle w:val="17"/>
        <w:widowControl w:val="0"/>
        <w:tabs>
          <w:tab w:val="left" w:pos="939"/>
        </w:tabs>
        <w:snapToGrid w:val="0"/>
        <w:spacing w:before="0" w:beforeAutospacing="0" w:after="0" w:afterAutospacing="0" w:line="360" w:lineRule="auto"/>
        <w:ind w:left="761" w:leftChars="150" w:hanging="401" w:hangingChars="191"/>
        <w:jc w:val="both"/>
        <w:rPr>
          <w:rFonts w:hint="eastAsia" w:cs="宋体"/>
          <w:color w:val="auto"/>
          <w:sz w:val="21"/>
          <w:szCs w:val="21"/>
          <w:highlight w:val="none"/>
        </w:rPr>
      </w:pPr>
    </w:p>
    <w:p>
      <w:pPr>
        <w:pStyle w:val="17"/>
        <w:widowControl w:val="0"/>
        <w:tabs>
          <w:tab w:val="left" w:pos="939"/>
        </w:tabs>
        <w:snapToGrid w:val="0"/>
        <w:spacing w:before="0" w:beforeAutospacing="0" w:after="0" w:afterAutospacing="0" w:line="360" w:lineRule="auto"/>
        <w:ind w:left="761" w:leftChars="150" w:hanging="401" w:hangingChars="191"/>
        <w:jc w:val="both"/>
        <w:rPr>
          <w:rFonts w:hint="eastAsia" w:cs="宋体"/>
          <w:color w:val="auto"/>
          <w:sz w:val="21"/>
          <w:szCs w:val="21"/>
          <w:highlight w:val="none"/>
        </w:rPr>
      </w:pPr>
    </w:p>
    <w:p>
      <w:pPr>
        <w:pStyle w:val="17"/>
        <w:widowControl w:val="0"/>
        <w:snapToGrid w:val="0"/>
        <w:spacing w:before="0" w:beforeAutospacing="0" w:after="0" w:afterAutospacing="0" w:line="360" w:lineRule="auto"/>
        <w:ind w:firstLine="200"/>
        <w:jc w:val="both"/>
        <w:rPr>
          <w:rFonts w:hint="eastAsia" w:cs="宋体"/>
          <w:color w:val="auto"/>
          <w:sz w:val="21"/>
          <w:szCs w:val="21"/>
          <w:highlight w:val="none"/>
        </w:rPr>
      </w:pPr>
      <w:r>
        <w:rPr>
          <w:rFonts w:hint="eastAsia" w:cs="宋体"/>
          <w:color w:val="auto"/>
          <w:kern w:val="2"/>
          <w:sz w:val="21"/>
          <w:szCs w:val="21"/>
          <w:highlight w:val="none"/>
        </w:rPr>
        <w:t xml:space="preserve"> </w:t>
      </w:r>
      <w:r>
        <w:rPr>
          <w:rFonts w:hint="eastAsia" w:cs="宋体"/>
          <w:color w:val="auto"/>
          <w:kern w:val="2"/>
          <w:sz w:val="21"/>
          <w:szCs w:val="21"/>
          <w:highlight w:val="none"/>
          <w:lang w:eastAsia="zh-CN"/>
        </w:rPr>
        <w:t>投标供应商</w:t>
      </w:r>
      <w:r>
        <w:rPr>
          <w:rFonts w:hint="eastAsia" w:cs="宋体"/>
          <w:color w:val="auto"/>
          <w:kern w:val="2"/>
          <w:sz w:val="21"/>
          <w:szCs w:val="21"/>
          <w:highlight w:val="none"/>
        </w:rPr>
        <w:t>盖章</w:t>
      </w:r>
      <w:r>
        <w:rPr>
          <w:rFonts w:hint="eastAsia" w:cs="宋体"/>
          <w:color w:val="auto"/>
          <w:kern w:val="2"/>
          <w:sz w:val="21"/>
          <w:szCs w:val="21"/>
          <w:highlight w:val="none"/>
          <w:u w:val="single"/>
        </w:rPr>
        <w:t>（公章）</w:t>
      </w:r>
      <w:r>
        <w:rPr>
          <w:rFonts w:hint="eastAsia" w:cs="宋体"/>
          <w:color w:val="auto"/>
          <w:kern w:val="2"/>
          <w:sz w:val="21"/>
          <w:szCs w:val="21"/>
          <w:highlight w:val="none"/>
        </w:rPr>
        <w:t xml:space="preserve">    </w:t>
      </w:r>
    </w:p>
    <w:p>
      <w:pPr>
        <w:snapToGrid w:val="0"/>
        <w:spacing w:line="360" w:lineRule="auto"/>
        <w:ind w:firstLine="20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tabs>
          <w:tab w:val="left" w:pos="606"/>
        </w:tabs>
        <w:jc w:val="left"/>
        <w:rPr>
          <w:rFonts w:hint="eastAsia" w:ascii="宋体" w:hAnsi="宋体" w:cs="宋体"/>
          <w:color w:val="auto"/>
          <w:szCs w:val="21"/>
          <w:highlight w:val="none"/>
        </w:rPr>
      </w:pPr>
    </w:p>
    <w:p>
      <w:pPr>
        <w:tabs>
          <w:tab w:val="left" w:pos="606"/>
        </w:tabs>
        <w:jc w:val="left"/>
        <w:rPr>
          <w:rFonts w:hint="eastAsia" w:ascii="宋体" w:hAnsi="宋体" w:cs="宋体"/>
          <w:color w:val="auto"/>
          <w:szCs w:val="21"/>
          <w:highlight w:val="none"/>
        </w:rPr>
      </w:pPr>
    </w:p>
    <w:p>
      <w:pPr>
        <w:tabs>
          <w:tab w:val="left" w:pos="606"/>
        </w:tabs>
        <w:jc w:val="left"/>
        <w:rPr>
          <w:rFonts w:hint="eastAsia" w:ascii="宋体" w:hAnsi="宋体" w:cs="宋体"/>
          <w:color w:val="auto"/>
          <w:szCs w:val="21"/>
          <w:highlight w:val="none"/>
        </w:rPr>
      </w:pPr>
    </w:p>
    <w:p>
      <w:pPr>
        <w:widowControl/>
        <w:adjustRightInd w:val="0"/>
        <w:spacing w:line="360" w:lineRule="auto"/>
        <w:jc w:val="left"/>
        <w:rPr>
          <w:rFonts w:ascii="Arial" w:hAnsi="Arial"/>
          <w:color w:val="auto"/>
          <w:highlight w:val="none"/>
        </w:rPr>
      </w:pPr>
    </w:p>
    <w:p>
      <w:pPr>
        <w:rPr>
          <w:rFonts w:hint="eastAsia"/>
          <w:color w:val="auto"/>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盖章为联合体双方成员</w:t>
      </w:r>
      <w:r>
        <w:rPr>
          <w:rFonts w:hint="eastAsia"/>
          <w:color w:val="auto"/>
          <w:highlight w:val="none"/>
          <w:lang w:eastAsia="zh-CN"/>
        </w:rPr>
        <w:t>。</w:t>
      </w:r>
    </w:p>
    <w:p>
      <w:pPr>
        <w:tabs>
          <w:tab w:val="left" w:pos="606"/>
        </w:tabs>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br w:type="page"/>
      </w:r>
      <w:r>
        <w:rPr>
          <w:rFonts w:hint="eastAsia" w:ascii="宋体" w:hAnsi="宋体" w:cs="宋体"/>
          <w:b/>
          <w:bCs/>
          <w:color w:val="auto"/>
          <w:szCs w:val="21"/>
          <w:highlight w:val="none"/>
          <w:lang w:val="en-US" w:eastAsia="zh-CN"/>
        </w:rPr>
        <w:t>1.6联合体协议</w:t>
      </w:r>
    </w:p>
    <w:p>
      <w:pPr>
        <w:tabs>
          <w:tab w:val="left" w:pos="606"/>
        </w:tabs>
        <w:jc w:val="center"/>
        <w:rPr>
          <w:rFonts w:ascii="宋体" w:hAnsi="宋体"/>
          <w:b/>
          <w:color w:val="auto"/>
          <w:sz w:val="24"/>
          <w:highlight w:val="none"/>
        </w:rPr>
      </w:pPr>
      <w:r>
        <w:rPr>
          <w:rFonts w:hint="eastAsia" w:ascii="宋体" w:hAnsi="宋体"/>
          <w:b/>
          <w:color w:val="auto"/>
          <w:sz w:val="24"/>
          <w:highlight w:val="none"/>
        </w:rPr>
        <w:t>联合体协议书</w:t>
      </w:r>
    </w:p>
    <w:p>
      <w:pPr>
        <w:pStyle w:val="11"/>
        <w:overflowPunct w:val="0"/>
        <w:spacing w:before="24" w:beforeLines="10" w:line="500" w:lineRule="exact"/>
        <w:rPr>
          <w:rFonts w:hAnsi="宋体"/>
          <w:b/>
          <w:color w:val="auto"/>
          <w:sz w:val="21"/>
          <w:szCs w:val="21"/>
          <w:highlight w:val="none"/>
        </w:rPr>
      </w:pPr>
      <w:r>
        <w:rPr>
          <w:rFonts w:hint="eastAsia" w:hAnsi="宋体"/>
          <w:b/>
          <w:color w:val="auto"/>
          <w:sz w:val="21"/>
          <w:szCs w:val="21"/>
          <w:highlight w:val="none"/>
        </w:rPr>
        <w:t>甲方：</w:t>
      </w:r>
    </w:p>
    <w:p>
      <w:pPr>
        <w:pStyle w:val="11"/>
        <w:overflowPunct w:val="0"/>
        <w:spacing w:before="24" w:beforeLines="10" w:line="500" w:lineRule="exact"/>
        <w:rPr>
          <w:rFonts w:hAnsi="宋体"/>
          <w:b/>
          <w:color w:val="auto"/>
          <w:sz w:val="21"/>
          <w:szCs w:val="21"/>
          <w:highlight w:val="none"/>
        </w:rPr>
      </w:pPr>
      <w:r>
        <w:rPr>
          <w:rFonts w:hint="eastAsia" w:hAnsi="宋体"/>
          <w:b/>
          <w:color w:val="auto"/>
          <w:sz w:val="21"/>
          <w:szCs w:val="21"/>
          <w:highlight w:val="none"/>
        </w:rPr>
        <w:t>乙方：</w:t>
      </w:r>
    </w:p>
    <w:p>
      <w:pPr>
        <w:pStyle w:val="11"/>
        <w:spacing w:line="380" w:lineRule="exact"/>
        <w:ind w:left="420"/>
        <w:rPr>
          <w:rFonts w:hAnsi="宋体"/>
          <w:b/>
          <w:color w:val="auto"/>
          <w:sz w:val="24"/>
          <w:szCs w:val="24"/>
          <w:highlight w:val="none"/>
        </w:rPr>
      </w:pPr>
    </w:p>
    <w:p>
      <w:pPr>
        <w:spacing w:line="360" w:lineRule="auto"/>
        <w:ind w:firstLine="480" w:firstLineChars="200"/>
        <w:rPr>
          <w:rFonts w:hint="eastAsia" w:ascii="宋体" w:hAnsi="宋体"/>
          <w:color w:val="auto"/>
          <w:szCs w:val="21"/>
          <w:highlight w:val="none"/>
        </w:rPr>
      </w:pPr>
      <w:r>
        <w:rPr>
          <w:rFonts w:hint="eastAsia" w:ascii="宋体" w:hAnsi="宋体"/>
          <w:color w:val="auto"/>
          <w:sz w:val="24"/>
          <w:highlight w:val="none"/>
          <w:u w:val="single"/>
        </w:rPr>
        <w:t xml:space="preserve">   </w:t>
      </w:r>
      <w:r>
        <w:rPr>
          <w:rFonts w:hint="eastAsia" w:ascii="宋体" w:hAnsi="宋体"/>
          <w:color w:val="auto"/>
          <w:szCs w:val="21"/>
          <w:highlight w:val="none"/>
          <w:u w:val="single"/>
        </w:rPr>
        <w:t xml:space="preserve">  （所有成员单位名称）  </w:t>
      </w:r>
      <w:r>
        <w:rPr>
          <w:rFonts w:hint="eastAsia" w:ascii="宋体" w:hAnsi="宋体"/>
          <w:color w:val="auto"/>
          <w:szCs w:val="21"/>
          <w:highlight w:val="none"/>
        </w:rPr>
        <w:t>自愿组成联合体，共同参加</w:t>
      </w:r>
      <w:r>
        <w:rPr>
          <w:rFonts w:hint="eastAsia" w:ascii="宋体" w:hAnsi="宋体"/>
          <w:color w:val="auto"/>
          <w:szCs w:val="21"/>
          <w:highlight w:val="none"/>
          <w:u w:val="single"/>
        </w:rPr>
        <w:t xml:space="preserve">   （招标项目名称）   </w:t>
      </w:r>
      <w:r>
        <w:rPr>
          <w:rFonts w:hint="eastAsia" w:ascii="宋体" w:hAnsi="宋体"/>
          <w:color w:val="auto"/>
          <w:szCs w:val="21"/>
          <w:highlight w:val="none"/>
        </w:rPr>
        <w:t>投标。现就联合体投标事宜订立如下协议。</w:t>
      </w:r>
    </w:p>
    <w:p>
      <w:pPr>
        <w:pStyle w:val="11"/>
        <w:spacing w:line="500" w:lineRule="exact"/>
        <w:ind w:left="-122" w:leftChars="-51" w:firstLine="420"/>
        <w:rPr>
          <w:rFonts w:hAnsi="宋体"/>
          <w:color w:val="auto"/>
          <w:sz w:val="21"/>
          <w:szCs w:val="21"/>
          <w:highlight w:val="none"/>
        </w:rPr>
      </w:pPr>
      <w:r>
        <w:rPr>
          <w:rFonts w:hint="eastAsia" w:hAnsi="宋体"/>
          <w:color w:val="auto"/>
          <w:szCs w:val="21"/>
          <w:highlight w:val="none"/>
        </w:rPr>
        <w:t>1、</w:t>
      </w:r>
      <w:r>
        <w:rPr>
          <w:rFonts w:hint="eastAsia" w:hAnsi="宋体"/>
          <w:color w:val="auto"/>
          <w:sz w:val="21"/>
          <w:szCs w:val="21"/>
          <w:highlight w:val="none"/>
        </w:rPr>
        <w:t>各方一致决定，以</w:t>
      </w:r>
      <w:r>
        <w:rPr>
          <w:rFonts w:hint="eastAsia" w:hAnsi="宋体"/>
          <w:color w:val="auto"/>
          <w:sz w:val="21"/>
          <w:szCs w:val="21"/>
          <w:highlight w:val="none"/>
          <w:u w:val="single"/>
        </w:rPr>
        <w:t xml:space="preserve">                        </w:t>
      </w:r>
      <w:r>
        <w:rPr>
          <w:rFonts w:hint="eastAsia" w:hAnsi="宋体"/>
          <w:color w:val="auto"/>
          <w:sz w:val="21"/>
          <w:szCs w:val="21"/>
          <w:highlight w:val="none"/>
        </w:rPr>
        <w:t>为联合体牵头人，</w:t>
      </w:r>
      <w:r>
        <w:rPr>
          <w:rFonts w:hint="eastAsia" w:hAnsi="宋体"/>
          <w:color w:val="auto"/>
          <w:sz w:val="21"/>
          <w:szCs w:val="21"/>
          <w:highlight w:val="none"/>
          <w:u w:val="single"/>
        </w:rPr>
        <w:t xml:space="preserve">                 </w:t>
      </w:r>
      <w:r>
        <w:rPr>
          <w:rFonts w:hint="eastAsia" w:hAnsi="宋体"/>
          <w:color w:val="auto"/>
          <w:sz w:val="21"/>
          <w:szCs w:val="21"/>
          <w:highlight w:val="none"/>
        </w:rPr>
        <w:t>为联合体成员，共同进行投标，并按照招标文件的规定分别提交资格文件。</w:t>
      </w:r>
    </w:p>
    <w:p>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3、联合体将严格按照招标文件的各项要求，提交投标文件，履行合同，并对外承担连带责任。</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4、联合体各成员单位内部的职责分工如下：</w:t>
      </w:r>
    </w:p>
    <w:p>
      <w:pPr>
        <w:pStyle w:val="11"/>
        <w:spacing w:line="500" w:lineRule="exact"/>
        <w:ind w:left="-122" w:leftChars="-51" w:firstLine="2520" w:firstLineChars="1200"/>
        <w:rPr>
          <w:rFonts w:hAnsi="宋体"/>
          <w:color w:val="auto"/>
          <w:sz w:val="21"/>
          <w:szCs w:val="21"/>
          <w:highlight w:val="none"/>
        </w:rPr>
      </w:pPr>
      <w:r>
        <w:rPr>
          <w:rFonts w:hint="eastAsia" w:hAnsi="宋体"/>
          <w:color w:val="auto"/>
          <w:sz w:val="21"/>
          <w:szCs w:val="21"/>
          <w:highlight w:val="none"/>
        </w:rPr>
        <w:t>甲方承担的工作和义务为：</w:t>
      </w:r>
    </w:p>
    <w:p>
      <w:pPr>
        <w:pStyle w:val="11"/>
        <w:spacing w:line="500" w:lineRule="exact"/>
        <w:ind w:left="-122" w:leftChars="-51" w:firstLine="420"/>
        <w:rPr>
          <w:rFonts w:hAnsi="宋体"/>
          <w:color w:val="auto"/>
          <w:sz w:val="21"/>
          <w:szCs w:val="21"/>
          <w:highlight w:val="none"/>
        </w:rPr>
      </w:pPr>
      <w:r>
        <w:rPr>
          <w:rFonts w:hint="eastAsia" w:hAnsi="宋体"/>
          <w:color w:val="auto"/>
          <w:sz w:val="21"/>
          <w:szCs w:val="21"/>
          <w:highlight w:val="none"/>
        </w:rPr>
        <w:t xml:space="preserve">                    甲方承担本项目的合同金额占合同总金额的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1"/>
        <w:spacing w:line="500" w:lineRule="exact"/>
        <w:ind w:left="-122" w:leftChars="-51" w:firstLine="420"/>
        <w:rPr>
          <w:rFonts w:hAnsi="宋体"/>
          <w:color w:val="auto"/>
          <w:sz w:val="21"/>
          <w:szCs w:val="21"/>
          <w:highlight w:val="none"/>
        </w:rPr>
      </w:pPr>
      <w:r>
        <w:rPr>
          <w:rFonts w:hint="eastAsia" w:hAnsi="宋体"/>
          <w:color w:val="auto"/>
          <w:sz w:val="21"/>
          <w:szCs w:val="21"/>
          <w:highlight w:val="none"/>
        </w:rPr>
        <w:t xml:space="preserve">                    乙方承担的工作和义务为：        </w:t>
      </w:r>
    </w:p>
    <w:p>
      <w:pPr>
        <w:pStyle w:val="11"/>
        <w:spacing w:line="500" w:lineRule="exact"/>
        <w:ind w:left="-122" w:leftChars="-51" w:firstLine="420"/>
        <w:rPr>
          <w:rFonts w:hAnsi="宋体"/>
          <w:color w:val="auto"/>
          <w:sz w:val="21"/>
          <w:szCs w:val="21"/>
          <w:highlight w:val="none"/>
        </w:rPr>
      </w:pPr>
      <w:r>
        <w:rPr>
          <w:rFonts w:hint="eastAsia" w:hAnsi="宋体"/>
          <w:color w:val="auto"/>
          <w:sz w:val="21"/>
          <w:szCs w:val="21"/>
          <w:highlight w:val="none"/>
        </w:rPr>
        <w:t xml:space="preserve">                    乙方承担本项目的合同金额占合同总金额的</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spacing w:line="360" w:lineRule="auto"/>
        <w:ind w:firstLine="480" w:firstLineChars="200"/>
        <w:rPr>
          <w:rFonts w:hint="eastAsia" w:ascii="宋体" w:hAnsi="宋体"/>
          <w:color w:val="auto"/>
          <w:szCs w:val="21"/>
          <w:highlight w:val="none"/>
        </w:rPr>
      </w:pPr>
    </w:p>
    <w:p>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5、本协议书自签署之日起生效，合同履行完毕后自动失效。</w:t>
      </w:r>
    </w:p>
    <w:p>
      <w:pPr>
        <w:pStyle w:val="11"/>
        <w:spacing w:line="500" w:lineRule="exact"/>
        <w:ind w:firstLine="522" w:firstLineChars="249"/>
        <w:rPr>
          <w:rFonts w:hAnsi="宋体"/>
          <w:color w:val="auto"/>
          <w:sz w:val="21"/>
          <w:szCs w:val="21"/>
          <w:highlight w:val="none"/>
        </w:rPr>
      </w:pPr>
      <w:r>
        <w:rPr>
          <w:rFonts w:hint="eastAsia" w:hAnsi="宋体"/>
          <w:color w:val="auto"/>
          <w:sz w:val="21"/>
          <w:szCs w:val="21"/>
          <w:highlight w:val="none"/>
        </w:rPr>
        <w:t>6、本协议提交采购人后，联合投标各方不得以任何形式对上述实质内容进行修改或撤销。</w:t>
      </w:r>
    </w:p>
    <w:p>
      <w:pPr>
        <w:spacing w:line="360" w:lineRule="auto"/>
        <w:ind w:firstLine="464" w:firstLineChars="200"/>
        <w:rPr>
          <w:rFonts w:hint="eastAsia" w:ascii="宋体" w:hAnsi="宋体"/>
          <w:color w:val="auto"/>
          <w:spacing w:val="-4"/>
          <w:szCs w:val="21"/>
          <w:highlight w:val="none"/>
        </w:rPr>
      </w:pPr>
      <w:r>
        <w:rPr>
          <w:rFonts w:ascii="宋体" w:hAnsi="宋体"/>
          <w:color w:val="auto"/>
          <w:spacing w:val="-4"/>
          <w:szCs w:val="21"/>
          <w:highlight w:val="none"/>
        </w:rPr>
        <w:t>7</w:t>
      </w:r>
      <w:r>
        <w:rPr>
          <w:rFonts w:hint="eastAsia" w:ascii="宋体" w:hAnsi="宋体"/>
          <w:color w:val="auto"/>
          <w:spacing w:val="-4"/>
          <w:szCs w:val="21"/>
          <w:highlight w:val="none"/>
        </w:rPr>
        <w:t>、本协议书一式 二份，联合体成员各执一份。</w:t>
      </w:r>
    </w:p>
    <w:p>
      <w:pPr>
        <w:spacing w:line="480" w:lineRule="auto"/>
        <w:ind w:firstLine="3960" w:firstLineChars="1650"/>
        <w:rPr>
          <w:rFonts w:hint="eastAsia" w:ascii="宋体" w:hAnsi="宋体"/>
          <w:color w:val="auto"/>
          <w:szCs w:val="21"/>
          <w:highlight w:val="none"/>
        </w:rPr>
      </w:pPr>
    </w:p>
    <w:p>
      <w:pPr>
        <w:spacing w:line="480" w:lineRule="auto"/>
        <w:ind w:firstLine="3960" w:firstLineChars="1650"/>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（盖单位章）          </w:t>
      </w:r>
    </w:p>
    <w:p>
      <w:pPr>
        <w:spacing w:line="480" w:lineRule="auto"/>
        <w:ind w:firstLine="3960" w:firstLineChars="165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（签字或盖章）        </w:t>
      </w:r>
    </w:p>
    <w:p>
      <w:pPr>
        <w:spacing w:line="480" w:lineRule="auto"/>
        <w:ind w:firstLine="3960" w:firstLineChars="1650"/>
        <w:rPr>
          <w:rFonts w:hint="eastAsia" w:ascii="宋体" w:hAnsi="宋体"/>
          <w:color w:val="auto"/>
          <w:szCs w:val="21"/>
          <w:highlight w:val="none"/>
        </w:rPr>
      </w:pPr>
      <w:r>
        <w:rPr>
          <w:rFonts w:hint="eastAsia" w:ascii="宋体" w:hAnsi="宋体"/>
          <w:color w:val="auto"/>
          <w:szCs w:val="21"/>
          <w:highlight w:val="none"/>
        </w:rPr>
        <w:t>成员一名称：</w:t>
      </w:r>
      <w:r>
        <w:rPr>
          <w:rFonts w:hint="eastAsia" w:ascii="宋体" w:hAnsi="宋体"/>
          <w:color w:val="auto"/>
          <w:szCs w:val="21"/>
          <w:highlight w:val="none"/>
          <w:u w:val="single"/>
        </w:rPr>
        <w:t xml:space="preserve">      （盖单位章）          </w:t>
      </w:r>
    </w:p>
    <w:p>
      <w:pPr>
        <w:widowControl/>
        <w:adjustRightInd w:val="0"/>
        <w:spacing w:line="480" w:lineRule="auto"/>
        <w:ind w:firstLine="4080" w:firstLineChars="1700"/>
        <w:jc w:val="left"/>
        <w:rPr>
          <w:rFonts w:hint="eastAsia" w:ascii="Arial" w:hAnsi="Arial"/>
          <w:b/>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（签字或盖章）      </w:t>
      </w:r>
    </w:p>
    <w:p>
      <w:pPr>
        <w:spacing w:line="360" w:lineRule="auto"/>
        <w:jc w:val="center"/>
        <w:rPr>
          <w:rStyle w:val="29"/>
          <w:rFonts w:hint="eastAsia" w:ascii="宋体" w:hAnsi="宋体" w:cs="宋体"/>
          <w:color w:val="auto"/>
          <w:sz w:val="21"/>
          <w:szCs w:val="21"/>
          <w:highlight w:val="none"/>
        </w:rPr>
      </w:pPr>
      <w:r>
        <w:rPr>
          <w:rFonts w:ascii="Arial" w:hAnsi="Arial"/>
          <w:b/>
          <w:color w:val="auto"/>
          <w:szCs w:val="21"/>
          <w:highlight w:val="none"/>
        </w:rPr>
        <w:br w:type="page"/>
      </w:r>
    </w:p>
    <w:p>
      <w:pPr>
        <w:rPr>
          <w:rFonts w:hint="eastAsia" w:ascii="宋体" w:hAnsi="宋体" w:cs="宋体"/>
          <w:b/>
          <w:bCs/>
          <w:color w:val="auto"/>
          <w:szCs w:val="21"/>
          <w:highlight w:val="none"/>
        </w:rPr>
      </w:pPr>
      <w:r>
        <w:rPr>
          <w:rFonts w:hint="eastAsia" w:ascii="宋体" w:hAnsi="宋体" w:cs="宋体"/>
          <w:b/>
          <w:bCs/>
          <w:color w:val="auto"/>
          <w:szCs w:val="21"/>
          <w:highlight w:val="none"/>
          <w:lang w:bidi="ar"/>
        </w:rPr>
        <w:t>二、商务技术文件的外包装封面格式：</w:t>
      </w:r>
    </w:p>
    <w:p>
      <w:pPr>
        <w:rPr>
          <w:rFonts w:hint="eastAsia" w:ascii="宋体" w:hAnsi="宋体" w:cs="宋体"/>
          <w:b/>
          <w:bCs/>
          <w:color w:val="auto"/>
          <w:szCs w:val="21"/>
          <w:highlight w:val="none"/>
        </w:rPr>
      </w:pPr>
      <w:r>
        <w:rPr>
          <w:rFonts w:hint="eastAsia" w:ascii="宋体" w:hAnsi="宋体" w:cs="宋体"/>
          <w:b/>
          <w:bCs/>
          <w:color w:val="auto"/>
          <w:szCs w:val="21"/>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商务技术文件</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项目名称：                        项目</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项目编号：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标 项:</w:t>
      </w:r>
    </w:p>
    <w:p>
      <w:pPr>
        <w:spacing w:line="360" w:lineRule="auto"/>
        <w:rPr>
          <w:rFonts w:hint="eastAsia" w:ascii="宋体" w:hAnsi="宋体" w:cs="宋体"/>
          <w:color w:val="auto"/>
          <w:szCs w:val="21"/>
          <w:highlight w:val="none"/>
          <w:lang w:bidi="ar"/>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名称：</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widowControl/>
        <w:spacing w:line="360" w:lineRule="auto"/>
        <w:ind w:firstLine="4080" w:firstLineChars="17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公章或法定代表人或授权代表的盖章（或签字） </w:t>
      </w:r>
    </w:p>
    <w:p>
      <w:pPr>
        <w:widowControl/>
        <w:spacing w:line="360" w:lineRule="auto"/>
        <w:ind w:left="6960" w:leftChars="2000" w:hanging="2160" w:hangingChars="9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年  月  日</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b/>
          <w:bCs/>
          <w:color w:val="auto"/>
          <w:szCs w:val="21"/>
          <w:highlight w:val="none"/>
          <w:lang w:bidi="ar"/>
        </w:rPr>
      </w:pPr>
    </w:p>
    <w:p>
      <w:pPr>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 xml:space="preserve">二、商务技术文件封面格式：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p>
      <w:pPr>
        <w:spacing w:line="360" w:lineRule="auto"/>
        <w:ind w:firstLine="7200" w:firstLineChars="3000"/>
        <w:rPr>
          <w:rFonts w:hint="eastAsia" w:ascii="宋体" w:hAnsi="宋体" w:cs="宋体"/>
          <w:color w:val="auto"/>
          <w:szCs w:val="21"/>
          <w:highlight w:val="none"/>
          <w:lang w:bidi="ar"/>
        </w:rPr>
      </w:pPr>
      <w:r>
        <w:rPr>
          <w:rFonts w:hint="eastAsia" w:ascii="宋体" w:hAnsi="宋体" w:cs="宋体"/>
          <w:color w:val="auto"/>
          <w:szCs w:val="21"/>
          <w:highlight w:val="none"/>
          <w:lang w:bidi="ar"/>
        </w:rPr>
        <w:t>正本/或副本</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商务技术文件</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项目名称：                        项目</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项目编号：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标 项:</w:t>
      </w:r>
    </w:p>
    <w:p>
      <w:pPr>
        <w:spacing w:line="360" w:lineRule="auto"/>
        <w:rPr>
          <w:rFonts w:hint="eastAsia" w:ascii="宋体" w:hAnsi="宋体" w:cs="宋体"/>
          <w:color w:val="auto"/>
          <w:szCs w:val="21"/>
          <w:highlight w:val="none"/>
          <w:lang w:bidi="ar"/>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名称：</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widowControl/>
        <w:spacing w:line="360" w:lineRule="auto"/>
        <w:ind w:left="5760" w:leftChars="1600" w:hanging="1920" w:hangingChars="800"/>
        <w:jc w:val="left"/>
        <w:rPr>
          <w:rFonts w:hint="eastAsia" w:ascii="宋体" w:hAnsi="宋体" w:cs="宋体"/>
          <w:color w:val="auto"/>
          <w:szCs w:val="21"/>
          <w:highlight w:val="none"/>
          <w:lang w:bidi="ar"/>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公章或法定代表人或授权代表的盖章（或签字）                                                        年  月  日</w:t>
      </w:r>
    </w:p>
    <w:p>
      <w:pPr>
        <w:widowControl/>
        <w:jc w:val="left"/>
        <w:rPr>
          <w:rFonts w:hint="eastAsia" w:ascii="宋体" w:hAnsi="宋体" w:cs="宋体"/>
          <w:color w:val="auto"/>
          <w:szCs w:val="21"/>
          <w:highlight w:val="none"/>
          <w:lang w:bidi="ar"/>
        </w:rPr>
      </w:pPr>
    </w:p>
    <w:p>
      <w:pPr>
        <w:widowControl/>
        <w:jc w:val="left"/>
        <w:rPr>
          <w:rFonts w:hint="eastAsia" w:ascii="宋体" w:hAnsi="宋体" w:cs="宋体"/>
          <w:color w:val="auto"/>
          <w:szCs w:val="21"/>
          <w:highlight w:val="none"/>
          <w:lang w:bidi="ar"/>
        </w:rPr>
      </w:pPr>
    </w:p>
    <w:p>
      <w:pPr>
        <w:pStyle w:val="30"/>
        <w:rPr>
          <w:rFonts w:hint="eastAsia" w:hAnsi="宋体" w:cs="宋体"/>
          <w:color w:val="auto"/>
          <w:szCs w:val="21"/>
          <w:highlight w:val="none"/>
          <w:lang w:bidi="ar"/>
        </w:rPr>
      </w:pPr>
    </w:p>
    <w:p>
      <w:pPr>
        <w:pStyle w:val="30"/>
        <w:rPr>
          <w:rFonts w:hint="eastAsia" w:hAnsi="宋体" w:cs="宋体"/>
          <w:color w:val="auto"/>
          <w:szCs w:val="21"/>
          <w:highlight w:val="none"/>
          <w:lang w:bidi="ar"/>
        </w:rPr>
      </w:pPr>
    </w:p>
    <w:p>
      <w:pPr>
        <w:widowControl/>
        <w:jc w:val="left"/>
        <w:rPr>
          <w:rFonts w:hint="eastAsia" w:ascii="宋体" w:hAnsi="宋体" w:cs="宋体"/>
          <w:color w:val="auto"/>
          <w:szCs w:val="21"/>
          <w:highlight w:val="none"/>
          <w:lang w:bidi="ar"/>
        </w:rPr>
      </w:pPr>
    </w:p>
    <w:p>
      <w:pPr>
        <w:widowControl/>
        <w:jc w:val="left"/>
        <w:rPr>
          <w:rFonts w:hint="eastAsia" w:ascii="宋体" w:hAnsi="宋体" w:cs="宋体"/>
          <w:color w:val="auto"/>
          <w:szCs w:val="21"/>
          <w:highlight w:val="none"/>
          <w:lang w:bidi="ar"/>
        </w:rPr>
      </w:pPr>
    </w:p>
    <w:p>
      <w:pPr>
        <w:spacing w:line="360" w:lineRule="auto"/>
        <w:ind w:firstLine="480"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商务技术文件包括：</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1、项目</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响应表（格式见第八章投标文件格式）；</w:t>
      </w:r>
    </w:p>
    <w:p>
      <w:pPr>
        <w:spacing w:line="360" w:lineRule="auto"/>
        <w:ind w:firstLine="480" w:firstLineChars="200"/>
        <w:jc w:val="left"/>
        <w:rPr>
          <w:rFonts w:hint="eastAsia" w:ascii="宋体" w:hAnsi="宋体" w:cs="宋体"/>
          <w:color w:val="auto"/>
          <w:szCs w:val="21"/>
          <w:highlight w:val="none"/>
          <w:lang w:bidi="ar"/>
        </w:rPr>
      </w:pPr>
      <w:r>
        <w:rPr>
          <w:rFonts w:hint="eastAsia" w:ascii="宋体" w:hAnsi="宋体" w:cs="宋体"/>
          <w:bCs/>
          <w:color w:val="auto"/>
          <w:szCs w:val="21"/>
          <w:highlight w:val="none"/>
          <w:lang w:bidi="ar"/>
        </w:rPr>
        <w:t>2、</w:t>
      </w:r>
      <w:r>
        <w:rPr>
          <w:rFonts w:hint="eastAsia" w:ascii="宋体" w:hAnsi="宋体" w:cs="宋体"/>
          <w:color w:val="auto"/>
          <w:szCs w:val="21"/>
          <w:highlight w:val="none"/>
          <w:lang w:bidi="ar"/>
        </w:rPr>
        <w:t>符合性自查表（格式见第八章投标文件格式）；</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3、投标供应商一般情况（格式见第八章投标文件格式）；</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4、法定代表人身份证明或法定代表人授权书和被授权代表身份证复印件（</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代表为法定代表人的提供法定代表人身份证明；</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的代表若为非法定代表人的，须提交法定代表人授权书及被授权代表在开标前三个月任一个月的养老保险缴纳证明资料）；</w:t>
      </w:r>
    </w:p>
    <w:p>
      <w:pPr>
        <w:spacing w:line="360" w:lineRule="auto"/>
        <w:ind w:firstLine="48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bidi="ar"/>
        </w:rPr>
        <w:t>5、商务条款响应表（格式见第八章投标文件格式）；</w:t>
      </w:r>
    </w:p>
    <w:p>
      <w:pPr>
        <w:spacing w:line="360" w:lineRule="auto"/>
        <w:ind w:firstLine="480" w:firstLineChars="200"/>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6、技术条款响应表（格式见第八章投标文件格式）；</w:t>
      </w:r>
    </w:p>
    <w:p>
      <w:pPr>
        <w:spacing w:line="360" w:lineRule="auto"/>
        <w:ind w:firstLine="480" w:firstLineChars="200"/>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7、投标产品清单（格式见第八章投标文件格式）；</w:t>
      </w:r>
    </w:p>
    <w:p>
      <w:pPr>
        <w:spacing w:line="360" w:lineRule="auto"/>
        <w:ind w:firstLine="480" w:firstLineChars="200"/>
        <w:jc w:val="left"/>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8、同类项目业绩表（格式见第八章投标文件格式）；</w:t>
      </w:r>
    </w:p>
    <w:p>
      <w:pPr>
        <w:spacing w:line="360" w:lineRule="auto"/>
        <w:ind w:firstLine="480" w:firstLineChars="200"/>
        <w:jc w:val="left"/>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bidi="ar"/>
        </w:rPr>
        <w:t>9、</w:t>
      </w:r>
      <w:r>
        <w:rPr>
          <w:rFonts w:hint="eastAsia" w:ascii="宋体" w:hAnsi="宋体" w:eastAsia="宋体" w:cs="宋体"/>
          <w:b w:val="0"/>
          <w:bCs w:val="0"/>
          <w:color w:val="auto"/>
          <w:kern w:val="0"/>
          <w:szCs w:val="21"/>
          <w:highlight w:val="none"/>
        </w:rPr>
        <w:t>项目需求理解程度</w:t>
      </w:r>
      <w:r>
        <w:rPr>
          <w:rFonts w:hint="eastAsia" w:ascii="宋体" w:hAnsi="宋体" w:eastAsia="宋体" w:cs="宋体"/>
          <w:b w:val="0"/>
          <w:bCs w:val="0"/>
          <w:color w:val="auto"/>
          <w:szCs w:val="21"/>
          <w:highlight w:val="none"/>
          <w:lang w:bidi="ar"/>
        </w:rPr>
        <w:t>；</w:t>
      </w:r>
    </w:p>
    <w:p>
      <w:pPr>
        <w:spacing w:line="360" w:lineRule="auto"/>
        <w:ind w:firstLine="480" w:firstLineChars="200"/>
        <w:jc w:val="left"/>
        <w:rPr>
          <w:rFonts w:hint="eastAsia" w:ascii="宋体" w:hAnsi="宋体" w:eastAsia="宋体" w:cs="宋体"/>
          <w:b w:val="0"/>
          <w:bCs w:val="0"/>
          <w:color w:val="auto"/>
          <w:szCs w:val="21"/>
          <w:highlight w:val="none"/>
          <w:lang w:eastAsia="zh-CN" w:bidi="ar"/>
        </w:rPr>
      </w:pPr>
      <w:r>
        <w:rPr>
          <w:rFonts w:hint="eastAsia" w:ascii="宋体" w:hAnsi="宋体" w:eastAsia="宋体" w:cs="宋体"/>
          <w:b w:val="0"/>
          <w:bCs w:val="0"/>
          <w:color w:val="auto"/>
          <w:szCs w:val="21"/>
          <w:highlight w:val="none"/>
          <w:lang w:bidi="ar"/>
        </w:rPr>
        <w:t>10、</w:t>
      </w:r>
      <w:r>
        <w:rPr>
          <w:rFonts w:hint="eastAsia" w:ascii="宋体" w:hAnsi="宋体" w:eastAsia="宋体" w:cs="宋体"/>
          <w:b w:val="0"/>
          <w:bCs w:val="0"/>
          <w:color w:val="auto"/>
          <w:kern w:val="0"/>
          <w:szCs w:val="21"/>
          <w:highlight w:val="none"/>
        </w:rPr>
        <w:t>设计方案</w:t>
      </w:r>
      <w:r>
        <w:rPr>
          <w:rFonts w:hint="eastAsia" w:ascii="宋体" w:hAnsi="宋体" w:eastAsia="宋体" w:cs="宋体"/>
          <w:b w:val="0"/>
          <w:bCs w:val="0"/>
          <w:color w:val="auto"/>
          <w:kern w:val="0"/>
          <w:szCs w:val="21"/>
          <w:highlight w:val="none"/>
          <w:lang w:eastAsia="zh-CN"/>
        </w:rPr>
        <w:t>；</w:t>
      </w:r>
    </w:p>
    <w:p>
      <w:pPr>
        <w:spacing w:line="360" w:lineRule="auto"/>
        <w:ind w:firstLine="480" w:firstLineChars="200"/>
        <w:jc w:val="left"/>
        <w:rPr>
          <w:rFonts w:hint="eastAsia" w:ascii="宋体" w:hAnsi="宋体" w:eastAsia="宋体" w:cs="宋体"/>
          <w:b w:val="0"/>
          <w:bCs w:val="0"/>
          <w:color w:val="auto"/>
          <w:szCs w:val="21"/>
          <w:highlight w:val="none"/>
          <w:lang w:eastAsia="zh-CN" w:bidi="ar"/>
        </w:rPr>
      </w:pPr>
      <w:r>
        <w:rPr>
          <w:rFonts w:hint="eastAsia" w:ascii="宋体" w:hAnsi="宋体" w:eastAsia="宋体" w:cs="宋体"/>
          <w:b w:val="0"/>
          <w:bCs w:val="0"/>
          <w:color w:val="auto"/>
          <w:szCs w:val="21"/>
          <w:highlight w:val="none"/>
          <w:lang w:bidi="ar"/>
        </w:rPr>
        <w:t>11、</w:t>
      </w:r>
      <w:r>
        <w:rPr>
          <w:rFonts w:hint="eastAsia" w:ascii="宋体" w:hAnsi="宋体" w:eastAsia="宋体" w:cs="宋体"/>
          <w:b w:val="0"/>
          <w:bCs w:val="0"/>
          <w:color w:val="auto"/>
          <w:kern w:val="0"/>
          <w:szCs w:val="21"/>
          <w:highlight w:val="none"/>
        </w:rPr>
        <w:t>系统对接设计</w:t>
      </w:r>
      <w:r>
        <w:rPr>
          <w:rFonts w:hint="eastAsia" w:ascii="宋体" w:hAnsi="宋体" w:eastAsia="宋体" w:cs="宋体"/>
          <w:b w:val="0"/>
          <w:bCs w:val="0"/>
          <w:color w:val="auto"/>
          <w:kern w:val="0"/>
          <w:szCs w:val="21"/>
          <w:highlight w:val="none"/>
          <w:lang w:eastAsia="zh-CN"/>
        </w:rPr>
        <w:t>；</w:t>
      </w:r>
    </w:p>
    <w:p>
      <w:pPr>
        <w:spacing w:line="360" w:lineRule="auto"/>
        <w:ind w:firstLine="480" w:firstLineChars="200"/>
        <w:jc w:val="left"/>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12、</w:t>
      </w:r>
      <w:r>
        <w:rPr>
          <w:rFonts w:hint="eastAsia" w:ascii="宋体" w:hAnsi="宋体" w:eastAsia="宋体" w:cs="宋体"/>
          <w:b w:val="0"/>
          <w:bCs w:val="0"/>
          <w:color w:val="auto"/>
          <w:kern w:val="0"/>
          <w:szCs w:val="21"/>
          <w:highlight w:val="none"/>
        </w:rPr>
        <w:t>实施方案</w:t>
      </w:r>
      <w:r>
        <w:rPr>
          <w:rFonts w:hint="eastAsia" w:ascii="宋体" w:hAnsi="宋体" w:eastAsia="宋体" w:cs="宋体"/>
          <w:b w:val="0"/>
          <w:bCs w:val="0"/>
          <w:color w:val="auto"/>
          <w:kern w:val="0"/>
          <w:szCs w:val="21"/>
          <w:highlight w:val="none"/>
          <w:lang w:eastAsia="zh-CN"/>
        </w:rPr>
        <w:t>；</w:t>
      </w:r>
    </w:p>
    <w:p>
      <w:pPr>
        <w:spacing w:line="360" w:lineRule="auto"/>
        <w:ind w:firstLine="480" w:firstLineChars="200"/>
        <w:jc w:val="left"/>
        <w:rPr>
          <w:rFonts w:hint="eastAsia" w:ascii="宋体" w:hAnsi="宋体" w:eastAsia="宋体" w:cs="宋体"/>
          <w:b w:val="0"/>
          <w:bCs w:val="0"/>
          <w:color w:val="auto"/>
          <w:kern w:val="0"/>
          <w:szCs w:val="21"/>
          <w:highlight w:val="none"/>
          <w:lang w:eastAsia="zh-CN"/>
        </w:rPr>
      </w:pPr>
      <w:r>
        <w:rPr>
          <w:rFonts w:hint="eastAsia" w:ascii="宋体" w:hAnsi="宋体" w:eastAsia="宋体" w:cs="宋体"/>
          <w:b w:val="0"/>
          <w:bCs w:val="0"/>
          <w:color w:val="auto"/>
          <w:szCs w:val="21"/>
          <w:highlight w:val="none"/>
          <w:lang w:val="en-US" w:eastAsia="zh-CN" w:bidi="ar"/>
        </w:rPr>
        <w:t>13、</w:t>
      </w:r>
      <w:r>
        <w:rPr>
          <w:rFonts w:hint="eastAsia" w:ascii="宋体" w:hAnsi="宋体" w:eastAsia="宋体" w:cs="宋体"/>
          <w:b w:val="0"/>
          <w:bCs w:val="0"/>
          <w:color w:val="auto"/>
          <w:kern w:val="0"/>
          <w:szCs w:val="21"/>
          <w:highlight w:val="none"/>
        </w:rPr>
        <w:t>网络覆盖情况</w:t>
      </w:r>
      <w:r>
        <w:rPr>
          <w:rFonts w:hint="eastAsia" w:ascii="宋体" w:hAnsi="宋体" w:eastAsia="宋体" w:cs="宋体"/>
          <w:b w:val="0"/>
          <w:bCs w:val="0"/>
          <w:color w:val="auto"/>
          <w:kern w:val="0"/>
          <w:szCs w:val="21"/>
          <w:highlight w:val="none"/>
          <w:lang w:eastAsia="zh-CN"/>
        </w:rPr>
        <w:t>；</w:t>
      </w:r>
    </w:p>
    <w:p>
      <w:pPr>
        <w:pStyle w:val="11"/>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    14、</w:t>
      </w:r>
      <w:r>
        <w:rPr>
          <w:rFonts w:hint="eastAsia" w:ascii="宋体" w:hAnsi="宋体" w:eastAsia="宋体" w:cs="宋体"/>
          <w:b w:val="0"/>
          <w:bCs w:val="0"/>
          <w:color w:val="auto"/>
          <w:szCs w:val="21"/>
          <w:highlight w:val="none"/>
        </w:rPr>
        <w:t>合理化建议</w:t>
      </w:r>
      <w:r>
        <w:rPr>
          <w:rFonts w:hint="eastAsia" w:ascii="宋体" w:hAnsi="宋体" w:eastAsia="宋体" w:cs="宋体"/>
          <w:b w:val="0"/>
          <w:bCs w:val="0"/>
          <w:color w:val="auto"/>
          <w:szCs w:val="21"/>
          <w:highlight w:val="none"/>
          <w:lang w:eastAsia="zh-CN"/>
        </w:rPr>
        <w:t>；</w:t>
      </w:r>
    </w:p>
    <w:p>
      <w:pPr>
        <w:spacing w:line="360" w:lineRule="auto"/>
        <w:ind w:firstLine="48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bidi="ar"/>
        </w:rPr>
        <w:t>15、</w:t>
      </w:r>
      <w:r>
        <w:rPr>
          <w:rFonts w:hint="eastAsia" w:ascii="宋体" w:hAnsi="宋体" w:eastAsia="宋体" w:cs="宋体"/>
          <w:b w:val="0"/>
          <w:bCs w:val="0"/>
          <w:color w:val="auto"/>
          <w:szCs w:val="21"/>
          <w:highlight w:val="none"/>
        </w:rPr>
        <w:t>售后服务</w:t>
      </w:r>
    </w:p>
    <w:p>
      <w:pPr>
        <w:pStyle w:val="11"/>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    16、</w:t>
      </w:r>
      <w:r>
        <w:rPr>
          <w:rFonts w:hint="eastAsia" w:ascii="宋体" w:hAnsi="宋体" w:eastAsia="宋体" w:cs="宋体"/>
          <w:b w:val="0"/>
          <w:bCs w:val="0"/>
          <w:color w:val="auto"/>
          <w:szCs w:val="21"/>
          <w:highlight w:val="none"/>
          <w:lang w:bidi="ar"/>
        </w:rPr>
        <w:t>软件著作权、专利证书及获奖</w:t>
      </w:r>
      <w:r>
        <w:rPr>
          <w:rFonts w:hint="eastAsia" w:ascii="宋体" w:hAnsi="宋体" w:eastAsia="宋体" w:cs="宋体"/>
          <w:b w:val="0"/>
          <w:bCs w:val="0"/>
          <w:color w:val="auto"/>
          <w:szCs w:val="21"/>
          <w:highlight w:val="none"/>
          <w:lang w:val="en-US" w:eastAsia="zh-CN" w:bidi="ar"/>
        </w:rPr>
        <w:t>情况（</w:t>
      </w:r>
      <w:r>
        <w:rPr>
          <w:rFonts w:hint="eastAsia" w:ascii="宋体" w:hAnsi="宋体" w:eastAsia="宋体" w:cs="宋体"/>
          <w:b w:val="0"/>
          <w:bCs w:val="0"/>
          <w:color w:val="auto"/>
          <w:szCs w:val="21"/>
          <w:highlight w:val="none"/>
          <w:lang w:val="en-US" w:eastAsia="zh-CN"/>
        </w:rPr>
        <w:t>提供证书复印件</w:t>
      </w:r>
      <w:r>
        <w:rPr>
          <w:rFonts w:hint="eastAsia" w:ascii="宋体" w:hAnsi="宋体" w:eastAsia="宋体" w:cs="宋体"/>
          <w:b w:val="0"/>
          <w:bCs w:val="0"/>
          <w:color w:val="auto"/>
          <w:szCs w:val="21"/>
          <w:highlight w:val="none"/>
          <w:lang w:val="en-US" w:eastAsia="zh-CN" w:bidi="ar"/>
        </w:rPr>
        <w:t>加盖</w:t>
      </w:r>
      <w:r>
        <w:rPr>
          <w:rFonts w:hint="eastAsia" w:cs="宋体"/>
          <w:b w:val="0"/>
          <w:bCs w:val="0"/>
          <w:color w:val="auto"/>
          <w:szCs w:val="21"/>
          <w:highlight w:val="none"/>
          <w:lang w:val="en-US" w:eastAsia="zh-CN" w:bidi="ar"/>
        </w:rPr>
        <w:t>投标供应商</w:t>
      </w:r>
      <w:r>
        <w:rPr>
          <w:rFonts w:hint="eastAsia" w:ascii="宋体" w:hAnsi="宋体" w:eastAsia="宋体" w:cs="宋体"/>
          <w:b w:val="0"/>
          <w:bCs w:val="0"/>
          <w:color w:val="auto"/>
          <w:szCs w:val="21"/>
          <w:highlight w:val="none"/>
          <w:lang w:val="en-US" w:eastAsia="zh-CN" w:bidi="ar"/>
        </w:rPr>
        <w:t>公章，如有请提供）</w:t>
      </w:r>
    </w:p>
    <w:p>
      <w:pPr>
        <w:spacing w:line="360" w:lineRule="auto"/>
        <w:ind w:firstLine="480" w:firstLineChars="200"/>
        <w:jc w:val="left"/>
        <w:rPr>
          <w:rFonts w:hint="eastAsia" w:ascii="宋体" w:hAnsi="宋体" w:eastAsia="宋体" w:cs="宋体"/>
          <w:b w:val="0"/>
          <w:bCs w:val="0"/>
          <w:color w:val="auto"/>
          <w:szCs w:val="21"/>
          <w:highlight w:val="none"/>
          <w:lang w:val="en-US" w:eastAsia="zh-CN" w:bidi="ar"/>
        </w:rPr>
      </w:pPr>
      <w:r>
        <w:rPr>
          <w:rFonts w:hint="eastAsia" w:ascii="宋体" w:hAnsi="宋体" w:eastAsia="宋体" w:cs="宋体"/>
          <w:b w:val="0"/>
          <w:bCs w:val="0"/>
          <w:color w:val="auto"/>
          <w:szCs w:val="21"/>
          <w:highlight w:val="none"/>
          <w:lang w:val="en-US" w:eastAsia="zh-CN" w:bidi="ar"/>
        </w:rPr>
        <w:t>17、</w:t>
      </w:r>
      <w:r>
        <w:rPr>
          <w:rFonts w:hint="eastAsia" w:cs="宋体"/>
          <w:b w:val="0"/>
          <w:bCs w:val="0"/>
          <w:color w:val="auto"/>
          <w:szCs w:val="21"/>
          <w:highlight w:val="none"/>
          <w:lang w:eastAsia="zh-CN"/>
        </w:rPr>
        <w:t>投标供应商</w:t>
      </w:r>
      <w:r>
        <w:rPr>
          <w:rFonts w:hint="eastAsia" w:ascii="宋体" w:hAnsi="宋体" w:eastAsia="宋体" w:cs="宋体"/>
          <w:b w:val="0"/>
          <w:bCs w:val="0"/>
          <w:color w:val="auto"/>
          <w:szCs w:val="21"/>
          <w:highlight w:val="none"/>
        </w:rPr>
        <w:t>实力</w:t>
      </w:r>
      <w:r>
        <w:rPr>
          <w:rFonts w:hint="eastAsia" w:ascii="宋体" w:hAnsi="宋体" w:eastAsia="宋体" w:cs="宋体"/>
          <w:b w:val="0"/>
          <w:bCs w:val="0"/>
          <w:color w:val="auto"/>
          <w:szCs w:val="21"/>
          <w:highlight w:val="none"/>
          <w:lang w:val="en-US" w:eastAsia="zh-CN" w:bidi="ar"/>
        </w:rPr>
        <w:t>（</w:t>
      </w:r>
      <w:r>
        <w:rPr>
          <w:rFonts w:hint="eastAsia" w:ascii="宋体" w:hAnsi="宋体" w:eastAsia="宋体" w:cs="宋体"/>
          <w:b w:val="0"/>
          <w:bCs w:val="0"/>
          <w:color w:val="auto"/>
          <w:szCs w:val="21"/>
          <w:highlight w:val="none"/>
          <w:lang w:val="en-US" w:eastAsia="zh-CN"/>
        </w:rPr>
        <w:t>提供证书复印件</w:t>
      </w:r>
      <w:r>
        <w:rPr>
          <w:rFonts w:hint="eastAsia" w:ascii="宋体" w:hAnsi="宋体" w:eastAsia="宋体" w:cs="宋体"/>
          <w:b w:val="0"/>
          <w:bCs w:val="0"/>
          <w:color w:val="auto"/>
          <w:szCs w:val="21"/>
          <w:highlight w:val="none"/>
          <w:lang w:val="en-US" w:eastAsia="zh-CN" w:bidi="ar"/>
        </w:rPr>
        <w:t>加盖</w:t>
      </w:r>
      <w:r>
        <w:rPr>
          <w:rFonts w:hint="eastAsia" w:cs="宋体"/>
          <w:b w:val="0"/>
          <w:bCs w:val="0"/>
          <w:color w:val="auto"/>
          <w:szCs w:val="21"/>
          <w:highlight w:val="none"/>
          <w:lang w:val="en-US" w:eastAsia="zh-CN" w:bidi="ar"/>
        </w:rPr>
        <w:t>投标供应商</w:t>
      </w:r>
      <w:r>
        <w:rPr>
          <w:rFonts w:hint="eastAsia" w:ascii="宋体" w:hAnsi="宋体" w:eastAsia="宋体" w:cs="宋体"/>
          <w:b w:val="0"/>
          <w:bCs w:val="0"/>
          <w:color w:val="auto"/>
          <w:szCs w:val="21"/>
          <w:highlight w:val="none"/>
          <w:lang w:val="en-US" w:eastAsia="zh-CN" w:bidi="ar"/>
        </w:rPr>
        <w:t>公章，如有请提供）</w:t>
      </w:r>
    </w:p>
    <w:p>
      <w:pPr>
        <w:spacing w:line="360" w:lineRule="auto"/>
        <w:ind w:firstLine="480" w:firstLineChars="200"/>
        <w:jc w:val="left"/>
        <w:rPr>
          <w:rFonts w:hint="eastAsia" w:ascii="宋体" w:hAnsi="宋体" w:eastAsia="宋体" w:cs="宋体"/>
          <w:b w:val="0"/>
          <w:bCs w:val="0"/>
          <w:color w:val="auto"/>
          <w:szCs w:val="21"/>
          <w:highlight w:val="none"/>
          <w:lang w:bidi="ar"/>
        </w:rPr>
      </w:pPr>
      <w:r>
        <w:rPr>
          <w:rFonts w:hint="eastAsia" w:ascii="宋体" w:hAnsi="宋体" w:eastAsia="宋体" w:cs="宋体"/>
          <w:b w:val="0"/>
          <w:bCs w:val="0"/>
          <w:color w:val="auto"/>
          <w:szCs w:val="21"/>
          <w:highlight w:val="none"/>
          <w:lang w:val="en-US" w:eastAsia="zh-CN" w:bidi="ar"/>
        </w:rPr>
        <w:t>18</w:t>
      </w:r>
      <w:r>
        <w:rPr>
          <w:rFonts w:hint="eastAsia" w:ascii="宋体" w:hAnsi="宋体" w:eastAsia="宋体" w:cs="宋体"/>
          <w:b w:val="0"/>
          <w:bCs w:val="0"/>
          <w:color w:val="auto"/>
          <w:szCs w:val="21"/>
          <w:highlight w:val="none"/>
          <w:lang w:bidi="ar"/>
        </w:rPr>
        <w:t>、</w:t>
      </w:r>
      <w:r>
        <w:rPr>
          <w:rFonts w:hint="eastAsia" w:ascii="宋体" w:hAnsi="宋体" w:eastAsia="宋体" w:cs="宋体"/>
          <w:b w:val="0"/>
          <w:bCs w:val="0"/>
          <w:color w:val="auto"/>
          <w:szCs w:val="21"/>
          <w:highlight w:val="none"/>
          <w:lang w:val="zh-CN" w:bidi="ar"/>
        </w:rPr>
        <w:t>其它本招标文件</w:t>
      </w:r>
      <w:r>
        <w:rPr>
          <w:rFonts w:hint="eastAsia" w:ascii="宋体" w:hAnsi="宋体" w:eastAsia="宋体" w:cs="宋体"/>
          <w:b w:val="0"/>
          <w:bCs w:val="0"/>
          <w:color w:val="auto"/>
          <w:szCs w:val="21"/>
          <w:highlight w:val="none"/>
          <w:lang w:bidi="ar"/>
        </w:rPr>
        <w:t>及评分标准中</w:t>
      </w:r>
      <w:r>
        <w:rPr>
          <w:rFonts w:hint="eastAsia" w:ascii="宋体" w:hAnsi="宋体" w:eastAsia="宋体" w:cs="宋体"/>
          <w:b w:val="0"/>
          <w:bCs w:val="0"/>
          <w:color w:val="auto"/>
          <w:szCs w:val="21"/>
          <w:highlight w:val="none"/>
          <w:lang w:val="zh-CN" w:bidi="ar"/>
        </w:rPr>
        <w:t>要求提供的</w:t>
      </w:r>
      <w:r>
        <w:rPr>
          <w:rFonts w:hint="eastAsia" w:ascii="宋体" w:hAnsi="宋体" w:eastAsia="宋体" w:cs="宋体"/>
          <w:b w:val="0"/>
          <w:bCs w:val="0"/>
          <w:color w:val="auto"/>
          <w:szCs w:val="21"/>
          <w:highlight w:val="none"/>
          <w:lang w:bidi="ar"/>
        </w:rPr>
        <w:t>证明</w:t>
      </w:r>
      <w:r>
        <w:rPr>
          <w:rFonts w:hint="eastAsia" w:ascii="宋体" w:hAnsi="宋体" w:eastAsia="宋体" w:cs="宋体"/>
          <w:b w:val="0"/>
          <w:bCs w:val="0"/>
          <w:color w:val="auto"/>
          <w:szCs w:val="21"/>
          <w:highlight w:val="none"/>
          <w:lang w:val="zh-CN" w:bidi="ar"/>
        </w:rPr>
        <w:t>材料。</w:t>
      </w:r>
    </w:p>
    <w:p>
      <w:pPr>
        <w:widowControl/>
        <w:spacing w:line="360" w:lineRule="auto"/>
        <w:ind w:firstLine="480" w:firstLineChars="200"/>
        <w:jc w:val="left"/>
        <w:rPr>
          <w:rFonts w:hint="eastAsia" w:ascii="宋体" w:hAnsi="宋体" w:cs="宋体"/>
          <w:color w:val="auto"/>
          <w:szCs w:val="21"/>
          <w:highlight w:val="none"/>
          <w:lang w:bidi="ar"/>
        </w:rPr>
      </w:pPr>
    </w:p>
    <w:p>
      <w:pPr>
        <w:widowControl/>
        <w:spacing w:line="360" w:lineRule="auto"/>
        <w:ind w:firstLine="480" w:firstLineChars="200"/>
        <w:jc w:val="left"/>
        <w:rPr>
          <w:rFonts w:hint="eastAsia" w:ascii="宋体" w:hAnsi="宋体" w:cs="宋体"/>
          <w:color w:val="auto"/>
          <w:szCs w:val="21"/>
          <w:highlight w:val="none"/>
          <w:lang w:bidi="ar"/>
        </w:rPr>
      </w:pPr>
    </w:p>
    <w:p>
      <w:pPr>
        <w:widowControl/>
        <w:spacing w:line="360" w:lineRule="auto"/>
        <w:ind w:firstLine="480" w:firstLineChars="200"/>
        <w:jc w:val="left"/>
        <w:rPr>
          <w:rFonts w:hint="eastAsia" w:ascii="宋体" w:hAnsi="宋体" w:cs="宋体"/>
          <w:color w:val="auto"/>
          <w:szCs w:val="21"/>
          <w:highlight w:val="none"/>
          <w:lang w:bidi="ar"/>
        </w:rPr>
      </w:pPr>
    </w:p>
    <w:p>
      <w:pPr>
        <w:widowControl/>
        <w:spacing w:line="360" w:lineRule="auto"/>
        <w:ind w:firstLine="480" w:firstLineChars="200"/>
        <w:jc w:val="left"/>
        <w:rPr>
          <w:rFonts w:hint="eastAsia" w:ascii="宋体" w:hAnsi="宋体" w:cs="宋体"/>
          <w:color w:val="auto"/>
          <w:szCs w:val="21"/>
          <w:highlight w:val="none"/>
          <w:lang w:bidi="ar"/>
        </w:rPr>
      </w:pPr>
    </w:p>
    <w:p>
      <w:pPr>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w:t>
      </w:r>
      <w:r>
        <w:rPr>
          <w:rFonts w:hint="eastAsia" w:cs="宋体"/>
          <w:b/>
          <w:color w:val="auto"/>
          <w:szCs w:val="21"/>
          <w:highlight w:val="none"/>
          <w:lang w:eastAsia="zh-CN" w:bidi="ar"/>
        </w:rPr>
        <w:t>投标供应商</w:t>
      </w:r>
      <w:r>
        <w:rPr>
          <w:rFonts w:hint="eastAsia" w:ascii="宋体" w:hAnsi="宋体" w:cs="宋体"/>
          <w:b/>
          <w:color w:val="auto"/>
          <w:szCs w:val="21"/>
          <w:highlight w:val="none"/>
          <w:lang w:bidi="ar"/>
        </w:rPr>
        <w:t>响应表格式：</w:t>
      </w:r>
    </w:p>
    <w:p>
      <w:pPr>
        <w:rPr>
          <w:rFonts w:hint="eastAsia" w:ascii="宋体" w:hAnsi="宋体" w:cs="宋体"/>
          <w:color w:val="auto"/>
          <w:szCs w:val="21"/>
          <w:highlight w:val="none"/>
        </w:rPr>
      </w:pP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项目</w:t>
      </w:r>
      <w:r>
        <w:rPr>
          <w:rFonts w:hint="eastAsia" w:cs="宋体"/>
          <w:b/>
          <w:color w:val="auto"/>
          <w:spacing w:val="20"/>
          <w:sz w:val="28"/>
          <w:szCs w:val="28"/>
          <w:highlight w:val="none"/>
          <w:lang w:eastAsia="zh-CN" w:bidi="ar"/>
        </w:rPr>
        <w:t>投标供应商</w:t>
      </w:r>
      <w:r>
        <w:rPr>
          <w:rFonts w:hint="eastAsia" w:ascii="宋体" w:hAnsi="宋体" w:cs="宋体"/>
          <w:b/>
          <w:color w:val="auto"/>
          <w:spacing w:val="20"/>
          <w:sz w:val="28"/>
          <w:szCs w:val="28"/>
          <w:highlight w:val="none"/>
          <w:lang w:bidi="ar"/>
        </w:rPr>
        <w:t>响应表</w:t>
      </w: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招标编号：                      项目名称：                 </w:t>
      </w:r>
    </w:p>
    <w:tbl>
      <w:tblPr>
        <w:tblStyle w:val="19"/>
        <w:tblW w:w="9089" w:type="dxa"/>
        <w:tblInd w:w="-157" w:type="dxa"/>
        <w:tblLayout w:type="fixed"/>
        <w:tblCellMar>
          <w:top w:w="0" w:type="dxa"/>
          <w:left w:w="108" w:type="dxa"/>
          <w:bottom w:w="0" w:type="dxa"/>
          <w:right w:w="108" w:type="dxa"/>
        </w:tblCellMar>
      </w:tblPr>
      <w:tblGrid>
        <w:gridCol w:w="816"/>
        <w:gridCol w:w="3983"/>
        <w:gridCol w:w="1230"/>
        <w:gridCol w:w="1350"/>
        <w:gridCol w:w="1710"/>
      </w:tblGrid>
      <w:tr>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3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评审内容</w:t>
            </w: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自评分</w:t>
            </w: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说明</w:t>
            </w: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证明文件</w:t>
            </w:r>
          </w:p>
        </w:tc>
      </w:tr>
      <w:tr>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r>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3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35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7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见（  ）页</w:t>
            </w:r>
          </w:p>
        </w:tc>
      </w:tr>
    </w:tbl>
    <w:p>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请各</w:t>
      </w:r>
      <w:r>
        <w:rPr>
          <w:rFonts w:hint="eastAsia" w:cs="宋体"/>
          <w:b/>
          <w:color w:val="auto"/>
          <w:szCs w:val="21"/>
          <w:highlight w:val="none"/>
          <w:lang w:eastAsia="zh-CN" w:bidi="ar"/>
        </w:rPr>
        <w:t>投标供应商</w:t>
      </w:r>
      <w:r>
        <w:rPr>
          <w:rFonts w:hint="eastAsia" w:ascii="宋体" w:hAnsi="宋体" w:cs="宋体"/>
          <w:b/>
          <w:color w:val="auto"/>
          <w:szCs w:val="21"/>
          <w:highlight w:val="none"/>
          <w:lang w:bidi="ar"/>
        </w:rPr>
        <w:t>根据评标细则，列出评分项对应的投标文件页码及自查情况（价格部分除外）</w:t>
      </w:r>
    </w:p>
    <w:p>
      <w:pPr>
        <w:spacing w:line="400" w:lineRule="exact"/>
        <w:rPr>
          <w:rFonts w:hint="eastAsia" w:ascii="宋体" w:hAnsi="宋体" w:cs="宋体"/>
          <w:b/>
          <w:color w:val="auto"/>
          <w:szCs w:val="21"/>
          <w:highlight w:val="none"/>
        </w:rPr>
      </w:pPr>
    </w:p>
    <w:p>
      <w:pPr>
        <w:spacing w:line="400" w:lineRule="exact"/>
        <w:ind w:firstLine="3600" w:firstLineChars="1500"/>
        <w:jc w:val="right"/>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盖章（公章）：             </w:t>
      </w:r>
    </w:p>
    <w:p>
      <w:pPr>
        <w:spacing w:line="360" w:lineRule="auto"/>
        <w:ind w:firstLine="3720" w:firstLineChars="1550"/>
        <w:jc w:val="right"/>
        <w:rPr>
          <w:rFonts w:hint="eastAsia" w:ascii="宋体" w:hAnsi="宋体" w:cs="宋体"/>
          <w:color w:val="auto"/>
          <w:szCs w:val="21"/>
          <w:highlight w:val="none"/>
        </w:rPr>
      </w:pPr>
      <w:r>
        <w:rPr>
          <w:rFonts w:hint="eastAsia" w:ascii="宋体" w:hAnsi="宋体" w:cs="宋体"/>
          <w:color w:val="auto"/>
          <w:szCs w:val="21"/>
          <w:highlight w:val="none"/>
          <w:lang w:bidi="ar"/>
        </w:rPr>
        <w:t xml:space="preserve">           法定代表人或授权代表（签字或盖章）：</w:t>
      </w:r>
    </w:p>
    <w:p>
      <w:pPr>
        <w:spacing w:line="360" w:lineRule="auto"/>
        <w:jc w:val="righ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jc w:val="left"/>
        <w:rPr>
          <w:rFonts w:hint="eastAsia" w:ascii="宋体" w:hAnsi="宋体" w:cs="宋体"/>
          <w:color w:val="auto"/>
          <w:szCs w:val="21"/>
          <w:highlight w:val="none"/>
        </w:rPr>
      </w:pPr>
    </w:p>
    <w:p>
      <w:pPr>
        <w:jc w:val="left"/>
        <w:rPr>
          <w:rFonts w:hint="eastAsia" w:ascii="宋体" w:hAnsi="宋体" w:cs="宋体"/>
          <w:b/>
          <w:color w:val="auto"/>
          <w:szCs w:val="21"/>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color w:val="auto"/>
          <w:szCs w:val="21"/>
          <w:highlight w:val="none"/>
        </w:rPr>
        <w:br w:type="page"/>
      </w:r>
      <w:r>
        <w:rPr>
          <w:rFonts w:hint="eastAsia" w:ascii="宋体" w:hAnsi="宋体" w:cs="宋体"/>
          <w:color w:val="auto"/>
          <w:szCs w:val="21"/>
          <w:highlight w:val="none"/>
        </w:rPr>
        <w:t>2、</w:t>
      </w:r>
      <w:r>
        <w:rPr>
          <w:rFonts w:hint="eastAsia" w:ascii="宋体" w:hAnsi="宋体" w:cs="宋体"/>
          <w:b/>
          <w:color w:val="auto"/>
          <w:szCs w:val="21"/>
          <w:highlight w:val="none"/>
          <w:lang w:bidi="ar"/>
        </w:rPr>
        <w:t>符合性自查表</w:t>
      </w:r>
    </w:p>
    <w:p>
      <w:pPr>
        <w:jc w:val="center"/>
        <w:rPr>
          <w:rFonts w:hint="eastAsia" w:ascii="宋体" w:hAnsi="宋体" w:cs="宋体"/>
          <w:color w:val="auto"/>
          <w:szCs w:val="21"/>
          <w:highlight w:val="none"/>
        </w:rPr>
      </w:pP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符合性自查表</w:t>
      </w:r>
    </w:p>
    <w:p>
      <w:pPr>
        <w:spacing w:line="360" w:lineRule="auto"/>
        <w:jc w:val="center"/>
        <w:rPr>
          <w:rFonts w:hint="eastAsia" w:ascii="宋体" w:hAnsi="宋体" w:cs="宋体"/>
          <w:b/>
          <w:color w:val="auto"/>
          <w:spacing w:val="20"/>
          <w:sz w:val="28"/>
          <w:szCs w:val="28"/>
          <w:highlight w:val="none"/>
          <w:lang w:bidi="ar"/>
        </w:rPr>
      </w:pPr>
    </w:p>
    <w:tbl>
      <w:tblPr>
        <w:tblStyle w:val="19"/>
        <w:tblW w:w="0" w:type="auto"/>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招标文件要求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证明资料</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1.投标文件完全满足招标文件的实质性条款（即标注*号条款）无负偏离的；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4.投标文件没有招标文件中规定的其它无效投标条款的；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r>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pPr>
              <w:rPr>
                <w:rFonts w:hint="eastAsia" w:ascii="宋体" w:hAnsi="宋体" w:cs="宋体"/>
                <w:color w:val="auto"/>
                <w:szCs w:val="21"/>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5.按有关法律、法规、规章不属于投标无效的。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□通过 </w:t>
            </w:r>
          </w:p>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lang w:bidi="ar"/>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第（ ）页</w:t>
            </w:r>
          </w:p>
        </w:tc>
      </w:tr>
    </w:tbl>
    <w:p>
      <w:pPr>
        <w:spacing w:line="360" w:lineRule="auto"/>
        <w:ind w:firstLine="4680" w:firstLineChars="1950"/>
        <w:rPr>
          <w:rFonts w:hint="eastAsia" w:ascii="宋体" w:hAnsi="宋体" w:cs="宋体"/>
          <w:color w:val="auto"/>
          <w:szCs w:val="21"/>
          <w:highlight w:val="none"/>
          <w:lang w:bidi="ar"/>
        </w:rPr>
      </w:pPr>
    </w:p>
    <w:p>
      <w:pPr>
        <w:spacing w:line="360" w:lineRule="auto"/>
        <w:ind w:firstLine="4680" w:firstLineChars="1950"/>
        <w:rPr>
          <w:rFonts w:hint="eastAsia" w:ascii="宋体" w:hAnsi="宋体" w:cs="宋体"/>
          <w:color w:val="auto"/>
          <w:szCs w:val="21"/>
          <w:highlight w:val="none"/>
        </w:rPr>
      </w:pPr>
      <w:r>
        <w:rPr>
          <w:rFonts w:hint="eastAsia" w:ascii="宋体" w:hAnsi="宋体" w:cs="宋体"/>
          <w:color w:val="auto"/>
          <w:szCs w:val="21"/>
          <w:highlight w:val="none"/>
          <w:lang w:bidi="ar"/>
        </w:rPr>
        <w:t xml:space="preserve">法定代表人或授权代表：（签字或盖章）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盖章（公章）：         </w:t>
      </w:r>
    </w:p>
    <w:p>
      <w:pPr>
        <w:adjustRightInd w:val="0"/>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 xml:space="preserve">                                    日  期：</w:t>
      </w:r>
    </w:p>
    <w:p>
      <w:pPr>
        <w:adjustRightInd w:val="0"/>
        <w:snapToGrid w:val="0"/>
        <w:spacing w:line="440" w:lineRule="exact"/>
        <w:jc w:val="center"/>
        <w:rPr>
          <w:rFonts w:hint="eastAsia" w:ascii="宋体" w:hAnsi="宋体" w:cs="宋体"/>
          <w:color w:val="auto"/>
          <w:szCs w:val="21"/>
          <w:highlight w:val="none"/>
        </w:rPr>
      </w:pPr>
    </w:p>
    <w:p>
      <w:pPr>
        <w:adjustRightInd w:val="0"/>
        <w:snapToGrid w:val="0"/>
        <w:spacing w:line="440" w:lineRule="exact"/>
        <w:jc w:val="center"/>
        <w:rPr>
          <w:rFonts w:hint="eastAsia" w:ascii="宋体" w:hAnsi="宋体" w:cs="宋体"/>
          <w:color w:val="auto"/>
          <w:szCs w:val="21"/>
          <w:highlight w:val="none"/>
        </w:rPr>
      </w:pPr>
    </w:p>
    <w:p>
      <w:pPr>
        <w:widowControl/>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lang w:bidi="ar"/>
        </w:rPr>
        <w:t>备注：</w:t>
      </w:r>
      <w:r>
        <w:rPr>
          <w:rFonts w:hint="eastAsia" w:cs="宋体"/>
          <w:b/>
          <w:color w:val="auto"/>
          <w:szCs w:val="21"/>
          <w:highlight w:val="none"/>
          <w:lang w:eastAsia="zh-CN" w:bidi="ar"/>
        </w:rPr>
        <w:t>投标供应商</w:t>
      </w:r>
      <w:r>
        <w:rPr>
          <w:rFonts w:hint="eastAsia" w:ascii="宋体" w:hAnsi="宋体" w:cs="宋体"/>
          <w:b/>
          <w:color w:val="auto"/>
          <w:szCs w:val="21"/>
          <w:highlight w:val="none"/>
          <w:lang w:bidi="ar"/>
        </w:rPr>
        <w:t>符合性自查表将作为</w:t>
      </w:r>
      <w:r>
        <w:rPr>
          <w:rFonts w:hint="eastAsia" w:cs="宋体"/>
          <w:b/>
          <w:color w:val="auto"/>
          <w:szCs w:val="21"/>
          <w:highlight w:val="none"/>
          <w:lang w:eastAsia="zh-CN" w:bidi="ar"/>
        </w:rPr>
        <w:t>投标供应商</w:t>
      </w:r>
      <w:r>
        <w:rPr>
          <w:rFonts w:hint="eastAsia" w:ascii="宋体" w:hAnsi="宋体" w:cs="宋体"/>
          <w:b/>
          <w:color w:val="auto"/>
          <w:szCs w:val="21"/>
          <w:highlight w:val="none"/>
          <w:lang w:bidi="ar"/>
        </w:rPr>
        <w:t>有效性审查的重要内容之一，</w:t>
      </w:r>
      <w:r>
        <w:rPr>
          <w:rFonts w:hint="eastAsia" w:cs="宋体"/>
          <w:b/>
          <w:color w:val="auto"/>
          <w:szCs w:val="21"/>
          <w:highlight w:val="none"/>
          <w:lang w:eastAsia="zh-CN" w:bidi="ar"/>
        </w:rPr>
        <w:t>投标供应商</w:t>
      </w:r>
      <w:r>
        <w:rPr>
          <w:rFonts w:hint="eastAsia" w:ascii="宋体" w:hAnsi="宋体" w:cs="宋体"/>
          <w:b/>
          <w:color w:val="auto"/>
          <w:szCs w:val="21"/>
          <w:highlight w:val="none"/>
          <w:lang w:bidi="ar"/>
        </w:rPr>
        <w:t>必须严格按照其内容及序列要求在投标文件中对应如实提供。</w:t>
      </w:r>
    </w:p>
    <w:p>
      <w:pPr>
        <w:pStyle w:val="5"/>
        <w:rPr>
          <w:rFonts w:hint="eastAsia" w:ascii="宋体" w:hAnsi="宋体" w:cs="宋体"/>
          <w:color w:val="auto"/>
          <w:sz w:val="21"/>
          <w:szCs w:val="21"/>
          <w:highlight w:val="none"/>
        </w:rPr>
      </w:pPr>
    </w:p>
    <w:p>
      <w:pPr>
        <w:rPr>
          <w:rFonts w:hint="eastAsia" w:ascii="宋体" w:hAnsi="宋体" w:cs="宋体"/>
          <w:color w:val="auto"/>
          <w:szCs w:val="21"/>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color w:val="auto"/>
          <w:szCs w:val="21"/>
          <w:highlight w:val="none"/>
        </w:rPr>
        <w:br w:type="page"/>
      </w:r>
    </w:p>
    <w:p>
      <w:pPr>
        <w:widowControl/>
        <w:spacing w:line="360" w:lineRule="auto"/>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3、投标供应商一般情况</w:t>
      </w: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投标供应商一般情况</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147" w:type="dxa"/>
            <w:gridSpan w:val="3"/>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147" w:type="dxa"/>
            <w:gridSpan w:val="3"/>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147" w:type="dxa"/>
            <w:gridSpan w:val="3"/>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305" w:type="dxa"/>
            <w:gridSpan w:val="2"/>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84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305" w:type="dxa"/>
            <w:gridSpan w:val="2"/>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384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4305" w:type="dxa"/>
            <w:gridSpan w:val="2"/>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注册地：</w:t>
            </w:r>
          </w:p>
        </w:tc>
        <w:tc>
          <w:tcPr>
            <w:tcW w:w="384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147" w:type="dxa"/>
            <w:gridSpan w:val="3"/>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147" w:type="dxa"/>
            <w:gridSpan w:val="3"/>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520"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其他需要说明的情况</w:t>
            </w:r>
          </w:p>
        </w:tc>
        <w:tc>
          <w:tcPr>
            <w:tcW w:w="5627" w:type="dxa"/>
            <w:gridSpan w:val="2"/>
            <w:noWrap w:val="0"/>
            <w:vAlign w:val="center"/>
          </w:tcPr>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tc>
      </w:tr>
    </w:tbl>
    <w:p>
      <w:pPr>
        <w:spacing w:line="360" w:lineRule="auto"/>
        <w:ind w:firstLine="573"/>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ind w:firstLine="4080" w:firstLineChars="1700"/>
        <w:rPr>
          <w:rFonts w:hint="eastAsia" w:ascii="宋体" w:hAnsi="宋体" w:cs="宋体"/>
          <w:color w:val="auto"/>
          <w:szCs w:val="21"/>
          <w:highlight w:val="none"/>
        </w:rPr>
      </w:pP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 xml:space="preserve">   （公章）　</w:t>
      </w:r>
    </w:p>
    <w:p>
      <w:pPr>
        <w:snapToGrid w:val="0"/>
        <w:spacing w:line="360" w:lineRule="auto"/>
        <w:ind w:firstLine="2640" w:firstLineChars="11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napToGrid w:val="0"/>
        <w:spacing w:line="360" w:lineRule="auto"/>
        <w:ind w:firstLine="4440" w:firstLineChars="18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center"/>
        <w:rPr>
          <w:rFonts w:hint="eastAsia" w:ascii="宋体" w:hAnsi="宋体" w:cs="宋体"/>
          <w:color w:val="auto"/>
          <w:szCs w:val="21"/>
          <w:highlight w:val="none"/>
        </w:rPr>
      </w:pPr>
    </w:p>
    <w:p>
      <w:pPr>
        <w:numPr>
          <w:ilvl w:val="0"/>
          <w:numId w:val="0"/>
        </w:numPr>
        <w:spacing w:line="360" w:lineRule="auto"/>
        <w:jc w:val="left"/>
        <w:rPr>
          <w:rFonts w:hint="eastAsia"/>
          <w:color w:val="auto"/>
          <w:highlight w:val="none"/>
        </w:rPr>
      </w:pPr>
    </w:p>
    <w:p>
      <w:pPr>
        <w:numPr>
          <w:ilvl w:val="0"/>
          <w:numId w:val="0"/>
        </w:numPr>
        <w:spacing w:line="360" w:lineRule="auto"/>
        <w:jc w:val="left"/>
        <w:rPr>
          <w:rFonts w:hint="eastAsia"/>
          <w:color w:val="auto"/>
          <w:highlight w:val="none"/>
        </w:rPr>
      </w:pPr>
    </w:p>
    <w:p>
      <w:pPr>
        <w:numPr>
          <w:ilvl w:val="0"/>
          <w:numId w:val="0"/>
        </w:numPr>
        <w:spacing w:line="360" w:lineRule="auto"/>
        <w:jc w:val="left"/>
        <w:rPr>
          <w:rFonts w:hint="eastAsia" w:ascii="宋体" w:hAnsi="宋体" w:cs="宋体"/>
          <w:color w:val="auto"/>
          <w:szCs w:val="21"/>
          <w:highlight w:val="none"/>
          <w:lang w:bidi="ar"/>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color w:val="auto"/>
          <w:szCs w:val="21"/>
          <w:highlight w:val="none"/>
          <w:lang w:bidi="ar"/>
        </w:rPr>
        <w:br w:type="page"/>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法定代表人身份证明或法定代表人授权书</w:t>
      </w:r>
    </w:p>
    <w:p>
      <w:pPr>
        <w:pStyle w:val="18"/>
        <w:spacing w:line="360" w:lineRule="auto"/>
        <w:ind w:firstLine="0" w:firstLineChars="0"/>
        <w:rPr>
          <w:rFonts w:hint="eastAsia" w:ascii="宋体" w:hAnsi="宋体" w:eastAsia="宋体" w:cs="宋体"/>
          <w:color w:val="auto"/>
          <w:szCs w:val="21"/>
          <w:highlight w:val="none"/>
        </w:rPr>
      </w:pPr>
    </w:p>
    <w:p>
      <w:pPr>
        <w:spacing w:line="360" w:lineRule="auto"/>
        <w:jc w:val="center"/>
        <w:rPr>
          <w:rFonts w:hint="eastAsia" w:ascii="宋体" w:hAnsi="宋体" w:cs="宋体"/>
          <w:b/>
          <w:color w:val="auto"/>
          <w:spacing w:val="20"/>
          <w:sz w:val="28"/>
          <w:szCs w:val="28"/>
          <w:highlight w:val="none"/>
        </w:rPr>
      </w:pPr>
      <w:r>
        <w:rPr>
          <w:rFonts w:hint="eastAsia" w:ascii="宋体" w:hAnsi="宋体" w:cs="宋体"/>
          <w:b/>
          <w:color w:val="auto"/>
          <w:spacing w:val="20"/>
          <w:sz w:val="28"/>
          <w:szCs w:val="28"/>
          <w:highlight w:val="none"/>
          <w:lang w:bidi="ar"/>
        </w:rPr>
        <w:t>法定代表人授权书</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致：</w:t>
      </w:r>
      <w:r>
        <w:rPr>
          <w:rFonts w:hint="eastAsia" w:ascii="宋体" w:hAnsi="宋体" w:cs="宋体"/>
          <w:i/>
          <w:color w:val="auto"/>
          <w:szCs w:val="21"/>
          <w:highlight w:val="none"/>
          <w:lang w:bidi="ar"/>
        </w:rPr>
        <w:t>（招标方）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u w:val="single"/>
          <w:lang w:bidi="ar"/>
        </w:rPr>
        <w:t xml:space="preserve">  （投标供应商全称）</w:t>
      </w:r>
      <w:r>
        <w:rPr>
          <w:rFonts w:hint="eastAsia" w:ascii="宋体" w:hAnsi="宋体" w:cs="宋体"/>
          <w:color w:val="auto"/>
          <w:szCs w:val="21"/>
          <w:highlight w:val="none"/>
          <w:lang w:bidi="ar"/>
        </w:rPr>
        <w:t>法定代表人</w:t>
      </w:r>
      <w:r>
        <w:rPr>
          <w:rFonts w:hint="eastAsia" w:ascii="宋体" w:hAnsi="宋体" w:cs="宋体"/>
          <w:color w:val="auto"/>
          <w:szCs w:val="21"/>
          <w:highlight w:val="none"/>
          <w:u w:val="single"/>
          <w:lang w:bidi="ar"/>
        </w:rPr>
        <w:t>（法定代表人姓名）</w:t>
      </w:r>
      <w:r>
        <w:rPr>
          <w:rFonts w:hint="eastAsia" w:ascii="宋体" w:hAnsi="宋体" w:cs="宋体"/>
          <w:color w:val="auto"/>
          <w:szCs w:val="21"/>
          <w:highlight w:val="none"/>
          <w:lang w:bidi="ar"/>
        </w:rPr>
        <w:t>授权</w:t>
      </w:r>
      <w:r>
        <w:rPr>
          <w:rFonts w:hint="eastAsia" w:ascii="宋体" w:hAnsi="宋体" w:cs="宋体"/>
          <w:color w:val="auto"/>
          <w:szCs w:val="21"/>
          <w:highlight w:val="none"/>
          <w:u w:val="single"/>
          <w:lang w:bidi="ar"/>
        </w:rPr>
        <w:t xml:space="preserve"> （授权代表姓名）</w:t>
      </w:r>
      <w:r>
        <w:rPr>
          <w:rFonts w:hint="eastAsia" w:ascii="宋体" w:hAnsi="宋体" w:cs="宋体"/>
          <w:color w:val="auto"/>
          <w:szCs w:val="21"/>
          <w:highlight w:val="none"/>
          <w:lang w:bidi="ar"/>
        </w:rPr>
        <w:t>为授权代表，参加</w:t>
      </w:r>
      <w:r>
        <w:rPr>
          <w:rFonts w:hint="eastAsia" w:ascii="宋体" w:hAnsi="宋体" w:cs="宋体"/>
          <w:color w:val="auto"/>
          <w:szCs w:val="21"/>
          <w:highlight w:val="none"/>
          <w:u w:val="single"/>
          <w:lang w:bidi="ar"/>
        </w:rPr>
        <w:t xml:space="preserve">  </w:t>
      </w:r>
      <w:r>
        <w:rPr>
          <w:rFonts w:hint="eastAsia" w:ascii="宋体" w:hAnsi="宋体" w:cs="宋体"/>
          <w:i/>
          <w:color w:val="auto"/>
          <w:szCs w:val="21"/>
          <w:highlight w:val="none"/>
          <w:u w:val="single"/>
          <w:lang w:bidi="ar"/>
        </w:rPr>
        <w:t>（招标方）</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组织的</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项目政府采购，项目编号为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，其在招投标活动中的一切活动本公司均予承认。</w:t>
      </w:r>
    </w:p>
    <w:p>
      <w:pPr>
        <w:spacing w:line="360" w:lineRule="auto"/>
        <w:rPr>
          <w:rFonts w:hint="eastAsia" w:ascii="宋体" w:hAnsi="宋体" w:cs="宋体"/>
          <w:color w:val="auto"/>
          <w:szCs w:val="21"/>
          <w:highlight w:val="none"/>
        </w:rPr>
      </w:pPr>
    </w:p>
    <w:p>
      <w:pPr>
        <w:spacing w:line="360" w:lineRule="auto"/>
        <w:ind w:firstLine="3840" w:firstLineChars="1600"/>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盖章：</w:t>
      </w:r>
      <w:r>
        <w:rPr>
          <w:rFonts w:hint="eastAsia" w:ascii="宋体" w:hAnsi="宋体" w:cs="宋体"/>
          <w:color w:val="auto"/>
          <w:szCs w:val="21"/>
          <w:highlight w:val="none"/>
          <w:u w:val="single"/>
          <w:lang w:bidi="ar"/>
        </w:rPr>
        <w:t xml:space="preserve">   （公章）　</w:t>
      </w:r>
    </w:p>
    <w:p>
      <w:pPr>
        <w:snapToGrid w:val="0"/>
        <w:spacing w:line="360" w:lineRule="auto"/>
        <w:ind w:firstLine="3840" w:firstLineChars="1600"/>
        <w:rPr>
          <w:rFonts w:hint="eastAsia" w:ascii="宋体" w:hAnsi="宋体" w:cs="宋体"/>
          <w:color w:val="auto"/>
          <w:szCs w:val="21"/>
          <w:highlight w:val="non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rPr>
        <w:t>（签字或盖章）</w:t>
      </w:r>
      <w:r>
        <w:rPr>
          <w:rFonts w:hint="eastAsia" w:ascii="宋体" w:hAnsi="宋体" w:cs="宋体"/>
          <w:color w:val="auto"/>
          <w:szCs w:val="21"/>
          <w:highlight w:val="none"/>
          <w:u w:val="single"/>
          <w:lang w:bidi="ar"/>
        </w:rPr>
        <w:t xml:space="preserve">            </w:t>
      </w:r>
    </w:p>
    <w:p>
      <w:pPr>
        <w:snapToGrid w:val="0"/>
        <w:spacing w:line="360" w:lineRule="auto"/>
        <w:ind w:firstLine="4440" w:firstLineChars="1850"/>
        <w:rPr>
          <w:rFonts w:hint="eastAsia" w:ascii="宋体" w:hAnsi="宋体" w:cs="宋体"/>
          <w:color w:val="auto"/>
          <w:szCs w:val="21"/>
          <w:highlight w:val="none"/>
        </w:r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附：</w:t>
      </w:r>
    </w:p>
    <w:p>
      <w:pPr>
        <w:spacing w:line="360" w:lineRule="auto"/>
        <w:ind w:firstLine="555"/>
        <w:rPr>
          <w:rFonts w:hint="eastAsia" w:ascii="宋体" w:hAnsi="宋体" w:cs="宋体"/>
          <w:color w:val="auto"/>
          <w:szCs w:val="21"/>
          <w:highlight w:val="none"/>
          <w:u w:val="single"/>
        </w:rPr>
      </w:pPr>
      <w:r>
        <w:rPr>
          <w:rFonts w:hint="eastAsia" w:ascii="宋体" w:hAnsi="宋体" w:cs="宋体"/>
          <w:color w:val="auto"/>
          <w:szCs w:val="21"/>
          <w:highlight w:val="none"/>
          <w:lang w:bidi="ar"/>
        </w:rPr>
        <w:t>授权代表姓名：</w:t>
      </w:r>
      <w:r>
        <w:rPr>
          <w:rFonts w:hint="eastAsia" w:ascii="宋体" w:hAnsi="宋体" w:cs="宋体"/>
          <w:color w:val="auto"/>
          <w:szCs w:val="21"/>
          <w:highlight w:val="none"/>
          <w:u w:val="single"/>
          <w:lang w:bidi="ar"/>
        </w:rPr>
        <w:t xml:space="preserve">                 </w:t>
      </w:r>
    </w:p>
    <w:p>
      <w:pPr>
        <w:spacing w:line="360" w:lineRule="auto"/>
        <w:ind w:firstLine="555"/>
        <w:rPr>
          <w:rFonts w:hint="eastAsia" w:ascii="宋体" w:hAnsi="宋体" w:cs="宋体"/>
          <w:color w:val="auto"/>
          <w:szCs w:val="21"/>
          <w:highlight w:val="none"/>
          <w:u w:val="single"/>
        </w:rPr>
      </w:pPr>
      <w:r>
        <w:rPr>
          <w:rFonts w:hint="eastAsia" w:ascii="宋体" w:hAnsi="宋体" w:cs="宋体"/>
          <w:color w:val="auto"/>
          <w:szCs w:val="21"/>
          <w:highlight w:val="none"/>
          <w:lang w:bidi="ar"/>
        </w:rPr>
        <w:t>授权代表身份证号码：</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bidi="ar"/>
        </w:rPr>
        <w:t xml:space="preserve">     职务：</w:t>
      </w:r>
      <w:r>
        <w:rPr>
          <w:rFonts w:hint="eastAsia" w:ascii="宋体" w:hAnsi="宋体" w:cs="宋体"/>
          <w:color w:val="auto"/>
          <w:szCs w:val="21"/>
          <w:highlight w:val="none"/>
          <w:u w:val="single"/>
          <w:lang w:bidi="ar"/>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bidi="ar"/>
        </w:rPr>
        <w:t xml:space="preserve">     详细通讯地址：</w:t>
      </w:r>
      <w:r>
        <w:rPr>
          <w:rFonts w:hint="eastAsia" w:ascii="宋体" w:hAnsi="宋体" w:cs="宋体"/>
          <w:color w:val="auto"/>
          <w:szCs w:val="21"/>
          <w:highlight w:val="none"/>
          <w:u w:val="single"/>
          <w:lang w:bidi="ar"/>
        </w:rPr>
        <w:t xml:space="preserve">                                  </w:t>
      </w:r>
    </w:p>
    <w:p>
      <w:pPr>
        <w:spacing w:line="360" w:lineRule="auto"/>
        <w:ind w:firstLine="600"/>
        <w:rPr>
          <w:rFonts w:hint="eastAsia" w:ascii="宋体" w:hAnsi="宋体" w:cs="宋体"/>
          <w:color w:val="auto"/>
          <w:szCs w:val="21"/>
          <w:highlight w:val="none"/>
          <w:u w:val="single"/>
        </w:rPr>
      </w:pPr>
      <w:r>
        <w:rPr>
          <w:rFonts w:hint="eastAsia" w:ascii="宋体" w:hAnsi="宋体" w:cs="宋体"/>
          <w:color w:val="auto"/>
          <w:szCs w:val="21"/>
          <w:highlight w:val="none"/>
          <w:lang w:bidi="ar"/>
        </w:rPr>
        <w:t>传真：</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电话：</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邮编：</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rPr>
        <w:t xml:space="preserve"> </w:t>
      </w:r>
    </w:p>
    <w:p>
      <w:pPr>
        <w:spacing w:line="360" w:lineRule="auto"/>
        <w:jc w:val="left"/>
        <w:rPr>
          <w:rStyle w:val="29"/>
          <w:rFonts w:hint="eastAsia" w:ascii="宋体" w:hAnsi="宋体" w:cs="宋体"/>
          <w:color w:val="auto"/>
          <w:sz w:val="21"/>
          <w:szCs w:val="21"/>
          <w:highlight w:val="none"/>
        </w:rPr>
      </w:pPr>
    </w:p>
    <w:p>
      <w:pPr>
        <w:rPr>
          <w:rFonts w:hint="eastAsia" w:ascii="宋体" w:hAnsi="宋体" w:cs="宋体"/>
          <w:color w:val="auto"/>
          <w:szCs w:val="21"/>
          <w:highlight w:val="none"/>
        </w:rPr>
      </w:pPr>
      <w:r>
        <w:rPr>
          <w:rFonts w:hint="eastAsia" w:ascii="宋体" w:hAnsi="宋体" w:cs="宋体"/>
          <w:b/>
          <w:bCs/>
          <w:color w:val="auto"/>
          <w:szCs w:val="21"/>
          <w:highlight w:val="none"/>
        </w:rPr>
        <w:t>附被授权代表身份证复印件（正反面）及被授权代表在开标前三个月任一个月的养老保险缴纳证明资料</w:t>
      </w:r>
      <w:r>
        <w:rPr>
          <w:rFonts w:hint="eastAsia" w:cs="宋体"/>
          <w:b/>
          <w:bCs/>
          <w:color w:val="auto"/>
          <w:szCs w:val="21"/>
          <w:highlight w:val="none"/>
          <w:lang w:eastAsia="zh-CN"/>
        </w:rPr>
        <w:t>。</w:t>
      </w:r>
    </w:p>
    <w:p>
      <w:pPr>
        <w:spacing w:line="360" w:lineRule="auto"/>
        <w:jc w:val="left"/>
        <w:rPr>
          <w:rStyle w:val="29"/>
          <w:rFonts w:hint="eastAsia" w:ascii="宋体" w:hAnsi="宋体" w:cs="宋体"/>
          <w:color w:val="auto"/>
          <w:sz w:val="21"/>
          <w:szCs w:val="21"/>
          <w:highlight w:val="none"/>
        </w:rPr>
      </w:pPr>
    </w:p>
    <w:p>
      <w:pPr>
        <w:spacing w:line="360" w:lineRule="auto"/>
        <w:jc w:val="left"/>
        <w:rPr>
          <w:rStyle w:val="29"/>
          <w:rFonts w:hint="eastAsia" w:ascii="宋体" w:hAnsi="宋体" w:cs="宋体"/>
          <w:color w:val="auto"/>
          <w:sz w:val="21"/>
          <w:szCs w:val="21"/>
          <w:highlight w:val="none"/>
        </w:rPr>
      </w:pPr>
    </w:p>
    <w:p>
      <w:pPr>
        <w:spacing w:line="360" w:lineRule="auto"/>
        <w:jc w:val="left"/>
        <w:rPr>
          <w:rFonts w:hint="eastAsia" w:ascii="宋体" w:hAnsi="宋体" w:cs="宋体"/>
          <w:b/>
          <w:color w:val="auto"/>
          <w:szCs w:val="21"/>
          <w:highlight w:val="none"/>
        </w:rPr>
      </w:pPr>
    </w:p>
    <w:p>
      <w:pPr>
        <w:spacing w:line="360" w:lineRule="auto"/>
        <w:jc w:val="left"/>
        <w:rPr>
          <w:rFonts w:hint="eastAsia" w:ascii="宋体" w:hAnsi="宋体" w:cs="宋体"/>
          <w:b/>
          <w:color w:val="auto"/>
          <w:szCs w:val="21"/>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b/>
          <w:color w:val="auto"/>
          <w:szCs w:val="21"/>
          <w:highlight w:val="none"/>
        </w:rPr>
        <w:br w:type="page"/>
      </w: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法定代表人身份证明</w:t>
      </w:r>
    </w:p>
    <w:p>
      <w:pPr>
        <w:spacing w:line="480" w:lineRule="auto"/>
        <w:jc w:val="center"/>
        <w:rPr>
          <w:rFonts w:hint="eastAsia" w:ascii="宋体" w:hAnsi="宋体" w:cs="宋体"/>
          <w:b/>
          <w:color w:val="auto"/>
          <w:szCs w:val="21"/>
          <w:highlight w:val="none"/>
        </w:rPr>
      </w:pP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供应商名称：                                      </w:t>
      </w: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单位性质：</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地址：</w:t>
      </w:r>
      <w:r>
        <w:rPr>
          <w:rFonts w:hint="eastAsia" w:ascii="宋体" w:hAnsi="宋体" w:cs="宋体"/>
          <w:color w:val="auto"/>
          <w:szCs w:val="21"/>
          <w:highlight w:val="none"/>
          <w:u w:val="single"/>
          <w:lang w:bidi="ar"/>
        </w:rPr>
        <w:t xml:space="preserve">                                              </w:t>
      </w: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成立时间：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经营期限：</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w:t>
      </w: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姓名：</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性别：</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年龄：</w:t>
      </w:r>
      <w:r>
        <w:rPr>
          <w:rFonts w:hint="eastAsia" w:ascii="宋体" w:hAnsi="宋体" w:cs="宋体"/>
          <w:color w:val="auto"/>
          <w:szCs w:val="21"/>
          <w:highlight w:val="none"/>
          <w:u w:val="single"/>
          <w:lang w:bidi="ar"/>
        </w:rPr>
        <w:t xml:space="preserve">    周岁  </w:t>
      </w:r>
      <w:r>
        <w:rPr>
          <w:rFonts w:hint="eastAsia" w:ascii="宋体" w:hAnsi="宋体" w:cs="宋体"/>
          <w:color w:val="auto"/>
          <w:szCs w:val="21"/>
          <w:highlight w:val="none"/>
          <w:lang w:bidi="ar"/>
        </w:rPr>
        <w:t>职务：</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_</w:t>
      </w:r>
    </w:p>
    <w:p>
      <w:pPr>
        <w:spacing w:line="480" w:lineRule="auto"/>
        <w:ind w:firstLine="48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身份证号码：</w:t>
      </w:r>
      <w:r>
        <w:rPr>
          <w:rFonts w:hint="eastAsia" w:ascii="宋体" w:hAnsi="宋体" w:cs="宋体"/>
          <w:color w:val="auto"/>
          <w:szCs w:val="21"/>
          <w:highlight w:val="none"/>
          <w:u w:val="single"/>
          <w:lang w:bidi="ar"/>
        </w:rPr>
        <w:t xml:space="preserve">                   </w:t>
      </w:r>
    </w:p>
    <w:p>
      <w:pPr>
        <w:spacing w:line="48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系</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（供应商名称）的法定代表人。</w:t>
      </w:r>
    </w:p>
    <w:p>
      <w:pPr>
        <w:spacing w:line="480" w:lineRule="auto"/>
        <w:ind w:firstLine="960" w:firstLineChars="400"/>
        <w:rPr>
          <w:rFonts w:hint="eastAsia" w:ascii="宋体" w:hAnsi="宋体" w:cs="宋体"/>
          <w:color w:val="auto"/>
          <w:szCs w:val="21"/>
          <w:highlight w:val="none"/>
        </w:rPr>
      </w:pPr>
      <w:r>
        <w:rPr>
          <w:rFonts w:hint="eastAsia" w:ascii="宋体" w:hAnsi="宋体" w:cs="宋体"/>
          <w:color w:val="auto"/>
          <w:szCs w:val="21"/>
          <w:highlight w:val="none"/>
          <w:lang w:bidi="ar"/>
        </w:rPr>
        <w:t>特此证明。</w:t>
      </w:r>
    </w:p>
    <w:p>
      <w:pPr>
        <w:spacing w:line="360" w:lineRule="auto"/>
        <w:ind w:firstLine="480" w:firstLineChars="200"/>
        <w:rPr>
          <w:rFonts w:hint="eastAsia" w:ascii="宋体" w:hAnsi="宋体" w:cs="宋体"/>
          <w:color w:val="auto"/>
          <w:szCs w:val="21"/>
          <w:highlight w:val="none"/>
        </w:rPr>
      </w:pPr>
    </w:p>
    <w:p>
      <w:pPr>
        <w:spacing w:line="360" w:lineRule="auto"/>
        <w:ind w:firstLine="480" w:firstLineChars="200"/>
        <w:rPr>
          <w:rFonts w:hint="eastAsia" w:ascii="宋体" w:hAnsi="宋体" w:cs="宋体"/>
          <w:color w:val="auto"/>
          <w:szCs w:val="21"/>
          <w:highlight w:val="none"/>
        </w:rPr>
      </w:pPr>
    </w:p>
    <w:p>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lang w:bidi="ar"/>
        </w:rPr>
        <w:t>供应商：</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（盖单位公章）</w:t>
      </w:r>
    </w:p>
    <w:p>
      <w:pPr>
        <w:spacing w:line="360" w:lineRule="auto"/>
        <w:ind w:firstLine="5160" w:firstLineChars="2150"/>
        <w:rPr>
          <w:rFonts w:hint="eastAsia" w:ascii="宋体" w:hAnsi="宋体" w:cs="宋体"/>
          <w:color w:val="auto"/>
          <w:szCs w:val="21"/>
          <w:highlight w:val="none"/>
          <w:u w:val="single"/>
        </w:rPr>
      </w:pPr>
    </w:p>
    <w:p>
      <w:pPr>
        <w:spacing w:line="360" w:lineRule="auto"/>
        <w:ind w:firstLine="4200" w:firstLineChars="1750"/>
        <w:rPr>
          <w:rFonts w:hint="eastAsia" w:ascii="宋体" w:hAnsi="宋体" w:cs="宋体"/>
          <w:color w:val="auto"/>
          <w:szCs w:val="21"/>
          <w:highlight w:val="none"/>
        </w:r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widowControl/>
        <w:jc w:val="left"/>
        <w:rPr>
          <w:rFonts w:hint="eastAsia" w:ascii="宋体" w:hAnsi="宋体" w:cs="宋体"/>
          <w:color w:val="auto"/>
          <w:szCs w:val="21"/>
          <w:highlight w:val="none"/>
        </w:rPr>
      </w:pPr>
      <w:r>
        <w:rPr>
          <w:rFonts w:hint="eastAsia" w:ascii="宋体" w:hAnsi="宋体" w:cs="宋体"/>
          <w:b/>
          <w:color w:val="auto"/>
          <w:szCs w:val="21"/>
          <w:highlight w:val="none"/>
          <w:lang w:bidi="ar"/>
        </w:rPr>
        <w:t>附法定代表人身份证复印件（正反面）：</w:t>
      </w:r>
    </w:p>
    <w:p>
      <w:pPr>
        <w:widowControl/>
        <w:jc w:val="left"/>
        <w:rPr>
          <w:rFonts w:hint="eastAsia" w:ascii="宋体" w:hAnsi="宋体" w:cs="宋体"/>
          <w:color w:val="auto"/>
          <w:szCs w:val="21"/>
          <w:highlight w:val="none"/>
        </w:rPr>
      </w:pPr>
    </w:p>
    <w:p>
      <w:pPr>
        <w:widowControl/>
        <w:numPr>
          <w:ilvl w:val="0"/>
          <w:numId w:val="0"/>
        </w:numPr>
        <w:spacing w:line="360" w:lineRule="auto"/>
        <w:jc w:val="left"/>
        <w:rPr>
          <w:rFonts w:hint="eastAsia" w:ascii="宋体" w:hAnsi="宋体" w:cs="宋体"/>
          <w:b/>
          <w:color w:val="auto"/>
          <w:szCs w:val="21"/>
          <w:highlight w:val="none"/>
        </w:rPr>
      </w:pPr>
      <w:r>
        <w:rPr>
          <w:rFonts w:hint="eastAsia"/>
          <w:color w:val="auto"/>
          <w:highlight w:val="none"/>
        </w:rPr>
        <w:t>备注：若联合体参加投标，</w:t>
      </w:r>
      <w:r>
        <w:rPr>
          <w:rFonts w:hint="eastAsia"/>
          <w:color w:val="auto"/>
          <w:highlight w:val="none"/>
          <w:lang w:val="en-US" w:eastAsia="zh-CN"/>
        </w:rPr>
        <w:t>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b/>
          <w:color w:val="auto"/>
          <w:szCs w:val="21"/>
          <w:highlight w:val="none"/>
        </w:rPr>
        <w:br w:type="page"/>
      </w:r>
    </w:p>
    <w:p>
      <w:pPr>
        <w:widowControl/>
        <w:numPr>
          <w:ilvl w:val="0"/>
          <w:numId w:val="0"/>
        </w:numPr>
        <w:spacing w:line="360" w:lineRule="auto"/>
        <w:jc w:val="left"/>
        <w:rPr>
          <w:rFonts w:hint="eastAsia" w:ascii="宋体" w:hAnsi="宋体" w:cs="宋体"/>
          <w:color w:val="auto"/>
          <w:szCs w:val="21"/>
          <w:highlight w:val="none"/>
          <w:lang w:bidi="ar"/>
        </w:rPr>
      </w:pPr>
      <w:r>
        <w:rPr>
          <w:rFonts w:hint="eastAsia" w:ascii="宋体" w:hAnsi="宋体" w:cs="宋体"/>
          <w:b/>
          <w:color w:val="auto"/>
          <w:szCs w:val="21"/>
          <w:highlight w:val="none"/>
          <w:lang w:val="en-US" w:eastAsia="zh-CN"/>
        </w:rPr>
        <w:t>5、</w:t>
      </w:r>
      <w:r>
        <w:rPr>
          <w:rFonts w:hint="eastAsia" w:ascii="宋体" w:hAnsi="宋体" w:cs="宋体"/>
          <w:b/>
          <w:bCs/>
          <w:color w:val="auto"/>
          <w:szCs w:val="21"/>
          <w:highlight w:val="none"/>
          <w:lang w:bidi="ar"/>
        </w:rPr>
        <w:t>商务条款响应表</w:t>
      </w: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商务条款响应表</w:t>
      </w:r>
    </w:p>
    <w:p>
      <w:pPr>
        <w:spacing w:line="360" w:lineRule="auto"/>
        <w:rPr>
          <w:rFonts w:hint="eastAsia" w:ascii="宋体" w:hAnsi="宋体" w:cs="宋体"/>
          <w:b/>
          <w:color w:val="auto"/>
          <w:szCs w:val="21"/>
          <w:highlight w:val="none"/>
        </w:rPr>
      </w:pPr>
    </w:p>
    <w:p>
      <w:pPr>
        <w:adjustRightInd w:val="0"/>
        <w:snapToGrid w:val="0"/>
        <w:spacing w:line="360" w:lineRule="auto"/>
        <w:rPr>
          <w:rFonts w:hint="eastAsia" w:ascii="宋体" w:hAnsi="宋体" w:cs="宋体"/>
          <w:color w:val="auto"/>
          <w:spacing w:val="20"/>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 xml:space="preserve">   </w:t>
      </w:r>
    </w:p>
    <w:tbl>
      <w:tblPr>
        <w:tblStyle w:val="19"/>
        <w:tblpPr w:leftFromText="180" w:rightFromText="180" w:vertAnchor="text" w:horzAnchor="page" w:tblpX="1528" w:tblpY="20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800"/>
        <w:gridCol w:w="2160"/>
        <w:gridCol w:w="2700"/>
        <w:gridCol w:w="1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序号</w:t>
            </w:r>
          </w:p>
        </w:tc>
        <w:tc>
          <w:tcPr>
            <w:tcW w:w="1800" w:type="dxa"/>
            <w:noWrap w:val="0"/>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pacing w:val="20"/>
                <w:szCs w:val="21"/>
                <w:highlight w:val="none"/>
              </w:rPr>
              <w:t>内 容</w:t>
            </w: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招标要求</w:t>
            </w: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投标响应</w:t>
            </w: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cs="宋体"/>
                <w:color w:val="auto"/>
                <w:spacing w:val="20"/>
                <w:szCs w:val="21"/>
                <w:highlight w:val="none"/>
              </w:rPr>
            </w:pPr>
          </w:p>
        </w:tc>
        <w:tc>
          <w:tcPr>
            <w:tcW w:w="1800" w:type="dxa"/>
            <w:noWrap w:val="0"/>
            <w:vAlign w:val="center"/>
          </w:tcPr>
          <w:p>
            <w:pPr>
              <w:adjustRightInd w:val="0"/>
              <w:snapToGrid w:val="0"/>
              <w:jc w:val="center"/>
              <w:rPr>
                <w:rFonts w:hint="eastAsia" w:ascii="宋体" w:hAnsi="宋体" w:cs="宋体"/>
                <w:color w:val="auto"/>
                <w:szCs w:val="21"/>
                <w:highlight w:val="none"/>
              </w:rPr>
            </w:pPr>
          </w:p>
        </w:tc>
        <w:tc>
          <w:tcPr>
            <w:tcW w:w="2160" w:type="dxa"/>
            <w:noWrap w:val="0"/>
            <w:vAlign w:val="center"/>
          </w:tcPr>
          <w:p>
            <w:pPr>
              <w:adjustRightInd w:val="0"/>
              <w:snapToGrid w:val="0"/>
              <w:jc w:val="center"/>
              <w:rPr>
                <w:rFonts w:hint="eastAsia" w:ascii="宋体" w:hAnsi="宋体" w:cs="宋体"/>
                <w:color w:val="auto"/>
                <w:spacing w:val="20"/>
                <w:szCs w:val="21"/>
                <w:highlight w:val="none"/>
              </w:rPr>
            </w:pPr>
          </w:p>
        </w:tc>
        <w:tc>
          <w:tcPr>
            <w:tcW w:w="2700" w:type="dxa"/>
            <w:noWrap w:val="0"/>
            <w:vAlign w:val="center"/>
          </w:tcPr>
          <w:p>
            <w:pPr>
              <w:adjustRightInd w:val="0"/>
              <w:snapToGrid w:val="0"/>
              <w:jc w:val="center"/>
              <w:rPr>
                <w:rFonts w:hint="eastAsia" w:ascii="宋体" w:hAnsi="宋体" w:cs="宋体"/>
                <w:color w:val="auto"/>
                <w:spacing w:val="20"/>
                <w:szCs w:val="21"/>
                <w:highlight w:val="none"/>
              </w:rPr>
            </w:pPr>
          </w:p>
        </w:tc>
        <w:tc>
          <w:tcPr>
            <w:tcW w:w="1356" w:type="dxa"/>
            <w:noWrap w:val="0"/>
            <w:vAlign w:val="center"/>
          </w:tcPr>
          <w:p>
            <w:pPr>
              <w:adjustRightInd w:val="0"/>
              <w:snapToGrid w:val="0"/>
              <w:jc w:val="center"/>
              <w:rPr>
                <w:rFonts w:hint="eastAsia" w:ascii="宋体" w:hAnsi="宋体" w:cs="宋体"/>
                <w:color w:val="auto"/>
                <w:spacing w:val="20"/>
                <w:szCs w:val="21"/>
                <w:highlight w:val="none"/>
              </w:rPr>
            </w:pPr>
          </w:p>
        </w:tc>
      </w:tr>
    </w:tbl>
    <w:p>
      <w:pPr>
        <w:adjustRightInd w:val="0"/>
        <w:snapToGrid w:val="0"/>
        <w:spacing w:line="360" w:lineRule="auto"/>
        <w:rPr>
          <w:rFonts w:hint="eastAsia" w:ascii="宋体" w:hAnsi="宋体" w:cs="宋体"/>
          <w:color w:val="auto"/>
          <w:spacing w:val="20"/>
          <w:szCs w:val="21"/>
          <w:highlight w:val="none"/>
        </w:rPr>
      </w:pPr>
      <w:r>
        <w:rPr>
          <w:rFonts w:hint="eastAsia" w:ascii="宋体" w:hAnsi="宋体" w:cs="宋体"/>
          <w:color w:val="auto"/>
          <w:spacing w:val="20"/>
          <w:szCs w:val="21"/>
          <w:highlight w:val="none"/>
        </w:rPr>
        <w:t>注：对照商务条款逐项比较填写</w:t>
      </w:r>
    </w:p>
    <w:p>
      <w:pPr>
        <w:adjustRightInd w:val="0"/>
        <w:snapToGrid w:val="0"/>
        <w:spacing w:line="360" w:lineRule="auto"/>
        <w:rPr>
          <w:rFonts w:hint="eastAsia" w:ascii="宋体" w:hAnsi="宋体" w:cs="宋体"/>
          <w:color w:val="auto"/>
          <w:spacing w:val="20"/>
          <w:szCs w:val="21"/>
          <w:highlight w:val="none"/>
        </w:rPr>
      </w:pPr>
    </w:p>
    <w:p>
      <w:pPr>
        <w:spacing w:line="360" w:lineRule="auto"/>
        <w:ind w:firstLine="4080" w:firstLineChars="17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（公章）</w:t>
      </w:r>
    </w:p>
    <w:p>
      <w:pPr>
        <w:snapToGrid w:val="0"/>
        <w:spacing w:line="360" w:lineRule="auto"/>
        <w:ind w:firstLine="2640" w:firstLineChars="11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pacing w:line="360" w:lineRule="auto"/>
        <w:ind w:firstLine="4320" w:firstLineChars="18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p>
    <w:p>
      <w:pPr>
        <w:widowControl/>
        <w:numPr>
          <w:ilvl w:val="0"/>
          <w:numId w:val="0"/>
        </w:numPr>
        <w:spacing w:line="360" w:lineRule="auto"/>
        <w:jc w:val="left"/>
        <w:rPr>
          <w:rFonts w:hint="eastAsia" w:ascii="宋体" w:hAnsi="宋体" w:cs="宋体"/>
          <w:color w:val="auto"/>
          <w:szCs w:val="21"/>
          <w:highlight w:val="none"/>
          <w:lang w:bidi="ar"/>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color w:val="auto"/>
          <w:szCs w:val="21"/>
          <w:highlight w:val="none"/>
          <w:lang w:bidi="ar"/>
        </w:rPr>
        <w:br w:type="page"/>
      </w:r>
    </w:p>
    <w:p>
      <w:pPr>
        <w:widowControl/>
        <w:numPr>
          <w:ilvl w:val="0"/>
          <w:numId w:val="0"/>
        </w:numPr>
        <w:spacing w:line="360" w:lineRule="auto"/>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6、</w:t>
      </w:r>
      <w:r>
        <w:rPr>
          <w:rFonts w:hint="eastAsia" w:ascii="宋体" w:hAnsi="宋体" w:cs="宋体"/>
          <w:b/>
          <w:bCs/>
          <w:color w:val="auto"/>
          <w:szCs w:val="21"/>
          <w:highlight w:val="none"/>
          <w:lang w:bidi="ar"/>
        </w:rPr>
        <w:t>技术条款响应表</w:t>
      </w: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技术条款响应表</w:t>
      </w:r>
    </w:p>
    <w:p>
      <w:pPr>
        <w:spacing w:line="360" w:lineRule="auto"/>
        <w:jc w:val="center"/>
        <w:rPr>
          <w:rFonts w:hint="eastAsia" w:ascii="宋体" w:hAnsi="宋体" w:cs="宋体"/>
          <w:b/>
          <w:color w:val="auto"/>
          <w:spacing w:val="20"/>
          <w:sz w:val="28"/>
          <w:szCs w:val="28"/>
          <w:highlight w:val="none"/>
          <w:lang w:bidi="ar"/>
        </w:rPr>
      </w:pPr>
    </w:p>
    <w:p>
      <w:pPr>
        <w:adjustRightInd w:val="0"/>
        <w:snapToGrid w:val="0"/>
        <w:spacing w:line="360" w:lineRule="auto"/>
        <w:rPr>
          <w:rFonts w:hint="eastAsia" w:ascii="宋体" w:hAnsi="宋体" w:cs="宋体"/>
          <w:color w:val="auto"/>
          <w:spacing w:val="20"/>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563"/>
        <w:gridCol w:w="2250"/>
        <w:gridCol w:w="166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序号</w:t>
            </w:r>
          </w:p>
        </w:tc>
        <w:tc>
          <w:tcPr>
            <w:tcW w:w="2563"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招标文件技术要求</w:t>
            </w:r>
          </w:p>
        </w:tc>
        <w:tc>
          <w:tcPr>
            <w:tcW w:w="2250"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投标技术内容</w:t>
            </w:r>
          </w:p>
        </w:tc>
        <w:tc>
          <w:tcPr>
            <w:tcW w:w="166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是否偏离</w:t>
            </w:r>
          </w:p>
        </w:tc>
        <w:tc>
          <w:tcPr>
            <w:tcW w:w="127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563"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250"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66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27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563"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250"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66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27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563"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250"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66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27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563"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250"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66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27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563"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2250"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66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c>
          <w:tcPr>
            <w:tcW w:w="1274" w:type="dxa"/>
            <w:noWrap w:val="0"/>
            <w:vAlign w:val="center"/>
          </w:tcPr>
          <w:p>
            <w:pPr>
              <w:adjustRightInd w:val="0"/>
              <w:snapToGrid w:val="0"/>
              <w:spacing w:line="360" w:lineRule="auto"/>
              <w:jc w:val="center"/>
              <w:rPr>
                <w:rFonts w:hint="eastAsia" w:ascii="宋体" w:hAnsi="宋体" w:cs="宋体"/>
                <w:color w:val="auto"/>
                <w:spacing w:val="20"/>
                <w:szCs w:val="21"/>
                <w:highlight w:val="none"/>
              </w:rPr>
            </w:pPr>
          </w:p>
        </w:tc>
      </w:tr>
    </w:tbl>
    <w:p>
      <w:pPr>
        <w:adjustRightInd w:val="0"/>
        <w:snapToGrid w:val="0"/>
        <w:spacing w:line="360" w:lineRule="auto"/>
        <w:ind w:firstLine="280" w:firstLineChars="100"/>
        <w:rPr>
          <w:rFonts w:hint="eastAsia" w:ascii="宋体" w:hAnsi="宋体" w:cs="宋体"/>
          <w:color w:val="auto"/>
          <w:szCs w:val="21"/>
          <w:highlight w:val="none"/>
        </w:rPr>
      </w:pPr>
      <w:r>
        <w:rPr>
          <w:rFonts w:hint="eastAsia" w:ascii="宋体" w:hAnsi="宋体" w:cs="宋体"/>
          <w:color w:val="auto"/>
          <w:spacing w:val="20"/>
          <w:szCs w:val="21"/>
          <w:highlight w:val="none"/>
        </w:rPr>
        <w:t>注：1、须与招标内容与技术要求中的要求对应。</w:t>
      </w:r>
    </w:p>
    <w:p>
      <w:pPr>
        <w:adjustRightInd w:val="0"/>
        <w:snapToGrid w:val="0"/>
        <w:spacing w:line="360" w:lineRule="auto"/>
        <w:rPr>
          <w:rFonts w:hint="eastAsia" w:ascii="宋体" w:hAnsi="宋体" w:cs="宋体"/>
          <w:color w:val="auto"/>
          <w:spacing w:val="20"/>
          <w:szCs w:val="21"/>
          <w:highlight w:val="none"/>
        </w:rPr>
      </w:pPr>
    </w:p>
    <w:p>
      <w:pPr>
        <w:adjustRightInd w:val="0"/>
        <w:snapToGrid w:val="0"/>
        <w:spacing w:line="360" w:lineRule="auto"/>
        <w:rPr>
          <w:rFonts w:hint="eastAsia" w:ascii="宋体" w:hAnsi="宋体" w:cs="宋体"/>
          <w:color w:val="auto"/>
          <w:spacing w:val="20"/>
          <w:szCs w:val="21"/>
          <w:highlight w:val="none"/>
        </w:rPr>
      </w:pPr>
    </w:p>
    <w:p>
      <w:pPr>
        <w:spacing w:line="360" w:lineRule="auto"/>
        <w:ind w:firstLine="4080" w:firstLineChars="17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s="宋体"/>
          <w:color w:val="auto"/>
          <w:szCs w:val="21"/>
          <w:highlight w:val="none"/>
          <w:lang w:eastAsia="zh-CN"/>
        </w:rPr>
        <w:t>投标供应商</w:t>
      </w:r>
      <w:r>
        <w:rPr>
          <w:rFonts w:hint="eastAsia" w:ascii="宋体" w:hAnsi="宋体" w:cs="宋体"/>
          <w:color w:val="auto"/>
          <w:szCs w:val="21"/>
          <w:highlight w:val="none"/>
        </w:rPr>
        <w:t>盖章（公章）</w:t>
      </w:r>
    </w:p>
    <w:p>
      <w:pPr>
        <w:snapToGrid w:val="0"/>
        <w:spacing w:line="360" w:lineRule="auto"/>
        <w:ind w:firstLine="2640" w:firstLineChars="11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pacing w:line="360" w:lineRule="auto"/>
        <w:ind w:firstLine="4320" w:firstLineChars="18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jc w:val="left"/>
        <w:rPr>
          <w:rFonts w:hint="eastAsia" w:ascii="宋体" w:hAnsi="宋体" w:cs="宋体"/>
          <w:color w:val="auto"/>
          <w:spacing w:val="20"/>
          <w:szCs w:val="21"/>
          <w:highlight w:val="none"/>
        </w:rPr>
      </w:pPr>
    </w:p>
    <w:p>
      <w:pPr>
        <w:widowControl/>
        <w:numPr>
          <w:ilvl w:val="0"/>
          <w:numId w:val="0"/>
        </w:numPr>
        <w:spacing w:line="360" w:lineRule="auto"/>
        <w:jc w:val="left"/>
        <w:rPr>
          <w:rFonts w:hint="eastAsia"/>
          <w:color w:val="auto"/>
          <w:highlight w:val="none"/>
        </w:rPr>
      </w:pPr>
    </w:p>
    <w:p>
      <w:pPr>
        <w:widowControl/>
        <w:numPr>
          <w:ilvl w:val="0"/>
          <w:numId w:val="0"/>
        </w:numPr>
        <w:spacing w:line="360" w:lineRule="auto"/>
        <w:jc w:val="left"/>
        <w:rPr>
          <w:rFonts w:hint="eastAsia" w:ascii="宋体" w:hAnsi="宋体" w:cs="宋体"/>
          <w:color w:val="auto"/>
          <w:szCs w:val="21"/>
          <w:highlight w:val="none"/>
          <w:lang w:bidi="ar"/>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color w:val="auto"/>
          <w:szCs w:val="21"/>
          <w:highlight w:val="none"/>
          <w:lang w:bidi="ar"/>
        </w:rPr>
        <w:br w:type="page"/>
      </w:r>
    </w:p>
    <w:p>
      <w:pPr>
        <w:widowControl/>
        <w:numPr>
          <w:ilvl w:val="0"/>
          <w:numId w:val="0"/>
        </w:numPr>
        <w:spacing w:line="360" w:lineRule="auto"/>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7、</w:t>
      </w:r>
      <w:r>
        <w:rPr>
          <w:rFonts w:hint="eastAsia" w:ascii="宋体" w:hAnsi="宋体" w:cs="宋体"/>
          <w:b/>
          <w:bCs/>
          <w:color w:val="auto"/>
          <w:szCs w:val="21"/>
          <w:highlight w:val="none"/>
          <w:lang w:bidi="ar"/>
        </w:rPr>
        <w:t>投标产品清单</w:t>
      </w: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投标产品清单</w:t>
      </w:r>
    </w:p>
    <w:p>
      <w:pPr>
        <w:pStyle w:val="17"/>
        <w:widowControl w:val="0"/>
        <w:tabs>
          <w:tab w:val="left" w:pos="4841"/>
        </w:tabs>
        <w:spacing w:before="0" w:beforeAutospacing="0" w:after="120" w:afterAutospacing="0"/>
        <w:ind w:left="480" w:leftChars="200" w:firstLine="420" w:firstLineChars="200"/>
        <w:jc w:val="center"/>
        <w:rPr>
          <w:rFonts w:hint="eastAsia" w:cs="宋体"/>
          <w:b/>
          <w:color w:val="auto"/>
          <w:kern w:val="2"/>
          <w:sz w:val="21"/>
          <w:szCs w:val="21"/>
          <w:highlight w:val="none"/>
        </w:rPr>
      </w:pPr>
    </w:p>
    <w:p>
      <w:pPr>
        <w:pStyle w:val="17"/>
        <w:widowControl w:val="0"/>
        <w:tabs>
          <w:tab w:val="left" w:pos="4841"/>
        </w:tabs>
        <w:spacing w:before="0" w:beforeAutospacing="0" w:after="120" w:afterAutospacing="0"/>
        <w:jc w:val="both"/>
        <w:rPr>
          <w:rFonts w:hint="eastAsia" w:cs="宋体"/>
          <w:color w:val="auto"/>
          <w:sz w:val="21"/>
          <w:szCs w:val="21"/>
          <w:highlight w:val="none"/>
        </w:rPr>
      </w:pPr>
      <w:r>
        <w:rPr>
          <w:rFonts w:hint="eastAsia" w:cs="宋体"/>
          <w:color w:val="auto"/>
          <w:sz w:val="21"/>
          <w:szCs w:val="21"/>
          <w:highlight w:val="none"/>
        </w:rPr>
        <w:t xml:space="preserve">项目编号：                                 项目名称：    </w:t>
      </w:r>
    </w:p>
    <w:p>
      <w:pPr>
        <w:pStyle w:val="17"/>
        <w:widowControl w:val="0"/>
        <w:tabs>
          <w:tab w:val="left" w:pos="4841"/>
        </w:tabs>
        <w:spacing w:before="0" w:beforeAutospacing="0" w:after="120" w:afterAutospacing="0"/>
        <w:jc w:val="both"/>
        <w:rPr>
          <w:rFonts w:hint="eastAsia" w:cs="宋体"/>
          <w:color w:val="auto"/>
          <w:sz w:val="21"/>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31"/>
        <w:gridCol w:w="1898"/>
        <w:gridCol w:w="1898"/>
        <w:gridCol w:w="109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2" w:type="dxa"/>
            <w:noWrap w:val="0"/>
            <w:vAlign w:val="center"/>
          </w:tcPr>
          <w:p>
            <w:pPr>
              <w:pStyle w:val="17"/>
              <w:widowControl w:val="0"/>
              <w:tabs>
                <w:tab w:val="left" w:pos="4841"/>
              </w:tabs>
              <w:spacing w:before="0" w:beforeAutospacing="0" w:after="120" w:afterAutospacing="0"/>
              <w:jc w:val="center"/>
              <w:rPr>
                <w:rFonts w:hint="eastAsia" w:cs="宋体"/>
                <w:b/>
                <w:color w:val="auto"/>
                <w:sz w:val="21"/>
                <w:szCs w:val="21"/>
                <w:highlight w:val="none"/>
                <w:lang w:bidi="ar"/>
              </w:rPr>
            </w:pPr>
            <w:r>
              <w:rPr>
                <w:rFonts w:hint="eastAsia" w:cs="宋体"/>
                <w:b/>
                <w:color w:val="auto"/>
                <w:sz w:val="21"/>
                <w:szCs w:val="21"/>
                <w:highlight w:val="none"/>
                <w:lang w:bidi="ar"/>
              </w:rPr>
              <w:t>序号</w:t>
            </w:r>
          </w:p>
        </w:tc>
        <w:tc>
          <w:tcPr>
            <w:tcW w:w="2031"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bCs/>
                <w:color w:val="auto"/>
                <w:szCs w:val="21"/>
                <w:highlight w:val="none"/>
              </w:rPr>
              <w:t>设备/系统名称</w:t>
            </w:r>
          </w:p>
        </w:tc>
        <w:tc>
          <w:tcPr>
            <w:tcW w:w="1898" w:type="dxa"/>
            <w:noWrap w:val="0"/>
            <w:vAlign w:val="center"/>
          </w:tcPr>
          <w:p>
            <w:pPr>
              <w:widowControl/>
              <w:jc w:val="center"/>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品牌</w:t>
            </w:r>
          </w:p>
        </w:tc>
        <w:tc>
          <w:tcPr>
            <w:tcW w:w="1898"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名称描述、主要参数或规格</w:t>
            </w:r>
          </w:p>
        </w:tc>
        <w:tc>
          <w:tcPr>
            <w:tcW w:w="1095"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单位</w:t>
            </w:r>
          </w:p>
        </w:tc>
        <w:tc>
          <w:tcPr>
            <w:tcW w:w="1413" w:type="dxa"/>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2"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2031"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898"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095"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c>
          <w:tcPr>
            <w:tcW w:w="1413" w:type="dxa"/>
            <w:noWrap w:val="0"/>
            <w:vAlign w:val="top"/>
          </w:tcPr>
          <w:p>
            <w:pPr>
              <w:pStyle w:val="17"/>
              <w:widowControl w:val="0"/>
              <w:tabs>
                <w:tab w:val="left" w:pos="4841"/>
              </w:tabs>
              <w:spacing w:before="0" w:beforeAutospacing="0" w:after="120" w:afterAutospacing="0"/>
              <w:jc w:val="both"/>
              <w:rPr>
                <w:rFonts w:hint="eastAsia" w:cs="宋体"/>
                <w:color w:val="auto"/>
                <w:sz w:val="21"/>
                <w:szCs w:val="21"/>
                <w:highlight w:val="none"/>
              </w:rPr>
            </w:pPr>
          </w:p>
        </w:tc>
      </w:tr>
    </w:tbl>
    <w:p>
      <w:pPr>
        <w:spacing w:line="360" w:lineRule="auto"/>
        <w:ind w:firstLine="4080" w:firstLineChars="1700"/>
        <w:jc w:val="right"/>
        <w:rPr>
          <w:rFonts w:hint="eastAsia" w:ascii="宋体" w:hAnsi="宋体" w:cs="宋体"/>
          <w:color w:val="auto"/>
          <w:szCs w:val="21"/>
          <w:highlight w:val="none"/>
        </w:rPr>
      </w:pPr>
    </w:p>
    <w:p>
      <w:pPr>
        <w:spacing w:line="360" w:lineRule="auto"/>
        <w:ind w:firstLine="4080" w:firstLineChars="1700"/>
        <w:jc w:val="right"/>
        <w:rPr>
          <w:rFonts w:hint="eastAsia" w:ascii="宋体" w:hAnsi="宋体" w:cs="宋体"/>
          <w:color w:val="auto"/>
          <w:szCs w:val="21"/>
          <w:highlight w:val="none"/>
        </w:rPr>
      </w:pPr>
    </w:p>
    <w:p>
      <w:pPr>
        <w:spacing w:line="360" w:lineRule="auto"/>
        <w:ind w:firstLine="4080" w:firstLineChars="1700"/>
        <w:jc w:val="right"/>
        <w:rPr>
          <w:rFonts w:hint="eastAsia" w:ascii="宋体" w:hAnsi="宋体" w:cs="宋体"/>
          <w:color w:val="auto"/>
          <w:szCs w:val="21"/>
          <w:highlight w:val="none"/>
        </w:rPr>
      </w:pP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 xml:space="preserve">   （公章）　</w:t>
      </w:r>
    </w:p>
    <w:p>
      <w:pPr>
        <w:snapToGrid w:val="0"/>
        <w:spacing w:line="360" w:lineRule="auto"/>
        <w:ind w:firstLine="2640" w:firstLineChars="1100"/>
        <w:jc w:val="righ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pacing w:line="360" w:lineRule="auto"/>
        <w:jc w:val="right"/>
        <w:rPr>
          <w:rFonts w:hint="eastAsia" w:ascii="宋体" w:hAnsi="宋体" w:cs="宋体"/>
          <w:b/>
          <w:bCs/>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0"/>
        <w:spacing w:line="360" w:lineRule="exact"/>
        <w:jc w:val="center"/>
        <w:rPr>
          <w:rFonts w:hint="eastAsia"/>
          <w:color w:val="auto"/>
          <w:highlight w:val="none"/>
        </w:rPr>
      </w:pPr>
    </w:p>
    <w:p>
      <w:pPr>
        <w:pStyle w:val="10"/>
        <w:spacing w:line="360" w:lineRule="exact"/>
        <w:jc w:val="left"/>
        <w:rPr>
          <w:rFonts w:hint="eastAsia" w:ascii="宋体" w:hAnsi="宋体" w:cs="宋体"/>
          <w:b/>
          <w:color w:val="auto"/>
          <w:szCs w:val="21"/>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ascii="宋体" w:hAnsi="宋体" w:cs="宋体"/>
          <w:color w:val="auto"/>
          <w:szCs w:val="21"/>
          <w:highlight w:val="none"/>
          <w:lang w:bidi="ar"/>
        </w:rPr>
        <w:br w:type="page"/>
      </w:r>
    </w:p>
    <w:p>
      <w:pPr>
        <w:widowControl/>
        <w:numPr>
          <w:ilvl w:val="0"/>
          <w:numId w:val="0"/>
        </w:numPr>
        <w:spacing w:line="360" w:lineRule="auto"/>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val="en-US" w:eastAsia="zh-CN" w:bidi="ar"/>
        </w:rPr>
        <w:t>8、</w:t>
      </w:r>
      <w:r>
        <w:rPr>
          <w:rFonts w:hint="eastAsia" w:ascii="宋体" w:hAnsi="宋体" w:cs="宋体"/>
          <w:b/>
          <w:bCs/>
          <w:color w:val="auto"/>
          <w:szCs w:val="21"/>
          <w:highlight w:val="none"/>
          <w:lang w:bidi="ar"/>
        </w:rPr>
        <w:t>同类项目业绩表</w:t>
      </w: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同类项目业绩表</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项目名称：              </w:t>
      </w:r>
    </w:p>
    <w:tbl>
      <w:tblPr>
        <w:tblStyle w:val="19"/>
        <w:tblW w:w="0" w:type="auto"/>
        <w:tblInd w:w="0" w:type="dxa"/>
        <w:tblLayout w:type="fixed"/>
        <w:tblCellMar>
          <w:top w:w="0" w:type="dxa"/>
          <w:left w:w="108" w:type="dxa"/>
          <w:bottom w:w="0" w:type="dxa"/>
          <w:right w:w="108" w:type="dxa"/>
        </w:tblCellMar>
      </w:tblPr>
      <w:tblGrid>
        <w:gridCol w:w="763"/>
        <w:gridCol w:w="1505"/>
        <w:gridCol w:w="1266"/>
        <w:gridCol w:w="1413"/>
        <w:gridCol w:w="2060"/>
        <w:gridCol w:w="1550"/>
        <w:gridCol w:w="907"/>
      </w:tblGrid>
      <w:tr>
        <w:tblPrEx>
          <w:tblCellMar>
            <w:top w:w="0" w:type="dxa"/>
            <w:left w:w="108" w:type="dxa"/>
            <w:bottom w:w="0" w:type="dxa"/>
            <w:right w:w="108" w:type="dxa"/>
          </w:tblCellMar>
        </w:tblPrEx>
        <w:trPr>
          <w:trHeight w:val="60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序号</w:t>
            </w: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项目名称</w:t>
            </w: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项目类型</w:t>
            </w:r>
          </w:p>
        </w:tc>
        <w:tc>
          <w:tcPr>
            <w:tcW w:w="1413"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业主单位</w:t>
            </w:r>
          </w:p>
        </w:tc>
        <w:tc>
          <w:tcPr>
            <w:tcW w:w="206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合同金额（元）</w:t>
            </w: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签订时间</w:t>
            </w:r>
          </w:p>
        </w:tc>
        <w:tc>
          <w:tcPr>
            <w:tcW w:w="907"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r>
              <w:rPr>
                <w:rFonts w:hint="eastAsia" w:ascii="宋体" w:hAnsi="宋体" w:cs="宋体"/>
                <w:color w:val="auto"/>
                <w:spacing w:val="20"/>
                <w:highlight w:val="none"/>
              </w:rPr>
              <w:t>备注</w:t>
            </w: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r>
        <w:tblPrEx>
          <w:tblCellMar>
            <w:top w:w="0" w:type="dxa"/>
            <w:left w:w="108" w:type="dxa"/>
            <w:bottom w:w="0" w:type="dxa"/>
            <w:right w:w="108" w:type="dxa"/>
          </w:tblCellMar>
        </w:tblPrEx>
        <w:tc>
          <w:tcPr>
            <w:tcW w:w="7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505"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266"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1413"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2060"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c>
          <w:tcPr>
            <w:tcW w:w="1550" w:type="dxa"/>
            <w:tcBorders>
              <w:top w:val="single" w:color="000000" w:sz="4" w:space="0"/>
              <w:left w:val="nil"/>
              <w:bottom w:val="single" w:color="000000" w:sz="4" w:space="0"/>
              <w:right w:val="single" w:color="000000" w:sz="4" w:space="0"/>
            </w:tcBorders>
            <w:noWrap w:val="0"/>
            <w:vAlign w:val="center"/>
          </w:tcPr>
          <w:p>
            <w:pPr>
              <w:pStyle w:val="31"/>
              <w:spacing w:line="360" w:lineRule="auto"/>
              <w:jc w:val="center"/>
              <w:rPr>
                <w:rFonts w:hint="eastAsia" w:ascii="宋体" w:hAnsi="宋体" w:cs="宋体"/>
                <w:color w:val="auto"/>
                <w:spacing w:val="20"/>
                <w:highlight w:val="none"/>
              </w:rPr>
            </w:pPr>
          </w:p>
        </w:tc>
        <w:tc>
          <w:tcPr>
            <w:tcW w:w="907" w:type="dxa"/>
            <w:tcBorders>
              <w:top w:val="single" w:color="000000" w:sz="4" w:space="0"/>
              <w:left w:val="nil"/>
              <w:bottom w:val="single" w:color="000000" w:sz="4" w:space="0"/>
              <w:right w:val="single" w:color="000000" w:sz="4" w:space="0"/>
            </w:tcBorders>
            <w:noWrap w:val="0"/>
            <w:vAlign w:val="top"/>
          </w:tcPr>
          <w:p>
            <w:pPr>
              <w:pStyle w:val="31"/>
              <w:spacing w:line="360" w:lineRule="auto"/>
              <w:jc w:val="center"/>
              <w:rPr>
                <w:rFonts w:hint="eastAsia" w:ascii="宋体" w:hAnsi="宋体" w:cs="宋体"/>
                <w:color w:val="auto"/>
                <w:spacing w:val="20"/>
                <w:highlight w:val="none"/>
              </w:rPr>
            </w:pPr>
          </w:p>
        </w:tc>
      </w:tr>
    </w:tbl>
    <w:p>
      <w:pPr>
        <w:pStyle w:val="32"/>
        <w:spacing w:line="360" w:lineRule="auto"/>
        <w:ind w:firstLine="0"/>
        <w:rPr>
          <w:rFonts w:hint="eastAsia"/>
          <w:b/>
          <w:bCs/>
          <w:color w:val="auto"/>
          <w:highlight w:val="none"/>
        </w:rPr>
      </w:pPr>
    </w:p>
    <w:p>
      <w:pPr>
        <w:pStyle w:val="32"/>
        <w:spacing w:line="360" w:lineRule="auto"/>
        <w:ind w:firstLine="0"/>
        <w:rPr>
          <w:rFonts w:hint="eastAsia"/>
          <w:b/>
          <w:bCs/>
          <w:color w:val="auto"/>
          <w:highlight w:val="none"/>
        </w:rPr>
      </w:pPr>
      <w:r>
        <w:rPr>
          <w:rFonts w:hint="eastAsia"/>
          <w:b/>
          <w:bCs/>
          <w:color w:val="auto"/>
          <w:highlight w:val="none"/>
        </w:rPr>
        <w:t>1. 此表在不改变表式的情况下，可自行制作。</w:t>
      </w:r>
    </w:p>
    <w:p>
      <w:pPr>
        <w:pStyle w:val="10"/>
        <w:spacing w:line="360" w:lineRule="auto"/>
        <w:rPr>
          <w:rFonts w:hint="eastAsia" w:ascii="宋体" w:hAnsi="宋体" w:cs="宋体"/>
          <w:color w:val="auto"/>
          <w:szCs w:val="21"/>
          <w:highlight w:val="none"/>
        </w:rPr>
      </w:pPr>
      <w:r>
        <w:rPr>
          <w:rFonts w:hint="eastAsia" w:ascii="宋体" w:hAnsi="宋体" w:cs="宋体"/>
          <w:b/>
          <w:bCs/>
          <w:color w:val="auto"/>
          <w:spacing w:val="20"/>
          <w:szCs w:val="21"/>
          <w:highlight w:val="none"/>
        </w:rPr>
        <w:t>2</w:t>
      </w:r>
      <w:r>
        <w:rPr>
          <w:rFonts w:hint="eastAsia" w:ascii="宋体" w:hAnsi="宋体" w:cs="宋体"/>
          <w:b/>
          <w:bCs/>
          <w:color w:val="auto"/>
          <w:kern w:val="0"/>
          <w:szCs w:val="21"/>
          <w:highlight w:val="none"/>
        </w:rPr>
        <w:t>. 根据打分表中要求，在表后提供相应证明材料。</w:t>
      </w:r>
    </w:p>
    <w:p>
      <w:pPr>
        <w:pStyle w:val="10"/>
        <w:rPr>
          <w:rFonts w:hint="eastAsia" w:ascii="宋体" w:hAnsi="宋体" w:cs="宋体"/>
          <w:b/>
          <w:bCs/>
          <w:color w:val="auto"/>
          <w:kern w:val="0"/>
          <w:szCs w:val="21"/>
          <w:highlight w:val="none"/>
        </w:rPr>
      </w:pPr>
    </w:p>
    <w:p>
      <w:pPr>
        <w:spacing w:line="400" w:lineRule="exact"/>
        <w:ind w:left="600" w:leftChars="250" w:firstLine="2640" w:firstLineChars="1100"/>
        <w:rPr>
          <w:rFonts w:hint="eastAsia" w:ascii="宋体" w:hAnsi="宋体" w:cs="宋体"/>
          <w:color w:val="auto"/>
          <w:szCs w:val="21"/>
          <w:highlight w:val="none"/>
        </w:rPr>
      </w:pPr>
    </w:p>
    <w:p>
      <w:pPr>
        <w:spacing w:line="400" w:lineRule="exact"/>
        <w:ind w:left="600" w:leftChars="250" w:firstLine="2640" w:firstLineChars="1100"/>
        <w:rPr>
          <w:rFonts w:hint="eastAsia" w:ascii="宋体" w:hAnsi="宋体" w:cs="宋体"/>
          <w:color w:val="auto"/>
          <w:szCs w:val="21"/>
          <w:highlight w:val="none"/>
        </w:rPr>
      </w:pP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 xml:space="preserve">   （公章）　</w:t>
      </w:r>
    </w:p>
    <w:p>
      <w:pPr>
        <w:spacing w:line="400" w:lineRule="exact"/>
        <w:ind w:left="600" w:leftChars="250" w:firstLine="2640" w:firstLineChars="1100"/>
        <w:rPr>
          <w:rFonts w:hint="eastAsia" w:ascii="宋体" w:hAnsi="宋体" w:cs="宋体"/>
          <w:color w:val="auto"/>
          <w:szCs w:val="21"/>
          <w:highlight w:val="none"/>
        </w:rPr>
      </w:pPr>
    </w:p>
    <w:p>
      <w:pPr>
        <w:spacing w:line="400" w:lineRule="exact"/>
        <w:ind w:firstLine="3120" w:firstLineChars="13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pPr>
        <w:tabs>
          <w:tab w:val="left" w:pos="2625"/>
        </w:tabs>
        <w:spacing w:line="400" w:lineRule="exact"/>
        <w:ind w:firstLine="2976" w:firstLineChars="1240"/>
        <w:rPr>
          <w:rFonts w:hint="eastAsia" w:ascii="宋体" w:hAnsi="宋体" w:cs="宋体"/>
          <w:color w:val="auto"/>
          <w:szCs w:val="21"/>
          <w:highlight w:val="none"/>
        </w:rPr>
      </w:pPr>
    </w:p>
    <w:p>
      <w:pPr>
        <w:spacing w:line="400" w:lineRule="exact"/>
        <w:jc w:val="righ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日</w:t>
      </w:r>
    </w:p>
    <w:p>
      <w:pPr>
        <w:pStyle w:val="17"/>
        <w:widowControl w:val="0"/>
        <w:tabs>
          <w:tab w:val="left" w:pos="4841"/>
        </w:tabs>
        <w:spacing w:before="0" w:beforeAutospacing="0" w:after="120" w:afterAutospacing="0"/>
        <w:ind w:left="480" w:leftChars="200" w:firstLine="420" w:firstLineChars="200"/>
        <w:jc w:val="center"/>
        <w:rPr>
          <w:rFonts w:hint="eastAsia" w:cs="宋体"/>
          <w:color w:val="auto"/>
          <w:sz w:val="21"/>
          <w:szCs w:val="21"/>
          <w:highlight w:val="none"/>
          <w:u w:val="single"/>
        </w:rPr>
      </w:pPr>
    </w:p>
    <w:p>
      <w:pPr>
        <w:pStyle w:val="17"/>
        <w:widowControl w:val="0"/>
        <w:tabs>
          <w:tab w:val="left" w:pos="4841"/>
        </w:tabs>
        <w:spacing w:before="0" w:beforeAutospacing="0" w:after="120" w:afterAutospacing="0"/>
        <w:jc w:val="left"/>
        <w:rPr>
          <w:rFonts w:hint="eastAsia" w:cs="宋体"/>
          <w:b/>
          <w:color w:val="auto"/>
          <w:kern w:val="2"/>
          <w:sz w:val="21"/>
          <w:szCs w:val="21"/>
          <w:highlight w:val="none"/>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r>
        <w:rPr>
          <w:rFonts w:hint="eastAsia" w:cs="宋体"/>
          <w:color w:val="auto"/>
          <w:sz w:val="21"/>
          <w:szCs w:val="21"/>
          <w:highlight w:val="none"/>
          <w:u w:val="single"/>
        </w:rPr>
        <w:br w:type="page"/>
      </w:r>
      <w:r>
        <w:rPr>
          <w:rFonts w:hint="eastAsia" w:cs="宋体"/>
          <w:b/>
          <w:color w:val="auto"/>
          <w:kern w:val="2"/>
          <w:sz w:val="21"/>
          <w:szCs w:val="21"/>
          <w:highlight w:val="none"/>
          <w:lang w:val="en-US" w:eastAsia="zh-CN"/>
        </w:rPr>
        <w:t>9、</w:t>
      </w:r>
      <w:r>
        <w:rPr>
          <w:rFonts w:hint="eastAsia" w:cs="宋体"/>
          <w:b/>
          <w:color w:val="auto"/>
          <w:kern w:val="2"/>
          <w:sz w:val="21"/>
          <w:szCs w:val="21"/>
          <w:highlight w:val="none"/>
        </w:rPr>
        <w:t>拟投入项目人员情况表</w:t>
      </w:r>
    </w:p>
    <w:p>
      <w:pPr>
        <w:pStyle w:val="17"/>
        <w:widowControl w:val="0"/>
        <w:tabs>
          <w:tab w:val="left" w:pos="4841"/>
        </w:tabs>
        <w:spacing w:before="0" w:beforeAutospacing="0" w:after="120" w:afterAutospacing="0"/>
        <w:ind w:left="480" w:leftChars="200" w:firstLine="420" w:firstLineChars="200"/>
        <w:jc w:val="left"/>
        <w:rPr>
          <w:rFonts w:hint="eastAsia" w:eastAsia="宋体" w:cs="宋体"/>
          <w:color w:val="auto"/>
          <w:sz w:val="21"/>
          <w:szCs w:val="21"/>
          <w:highlight w:val="none"/>
          <w:u w:val="single"/>
          <w:lang w:val="en-US" w:eastAsia="zh-CN"/>
        </w:rPr>
      </w:pPr>
    </w:p>
    <w:p>
      <w:pPr>
        <w:spacing w:line="360" w:lineRule="auto"/>
        <w:jc w:val="center"/>
        <w:rPr>
          <w:rFonts w:hint="eastAsia" w:ascii="宋体" w:hAnsi="宋体" w:cs="宋体"/>
          <w:b/>
          <w:color w:val="auto"/>
          <w:spacing w:val="20"/>
          <w:sz w:val="28"/>
          <w:szCs w:val="28"/>
          <w:highlight w:val="none"/>
          <w:lang w:bidi="ar"/>
        </w:rPr>
      </w:pPr>
      <w:r>
        <w:rPr>
          <w:rFonts w:hint="eastAsia" w:ascii="宋体" w:hAnsi="宋体" w:cs="宋体"/>
          <w:b/>
          <w:color w:val="auto"/>
          <w:spacing w:val="20"/>
          <w:sz w:val="28"/>
          <w:szCs w:val="28"/>
          <w:highlight w:val="none"/>
          <w:lang w:bidi="ar"/>
        </w:rPr>
        <w:t>拟投入项目人员情况表</w:t>
      </w:r>
    </w:p>
    <w:p>
      <w:pPr>
        <w:tabs>
          <w:tab w:val="right" w:pos="8847"/>
        </w:tabs>
        <w:spacing w:line="360" w:lineRule="auto"/>
        <w:ind w:firstLine="480" w:firstLineChars="200"/>
        <w:rPr>
          <w:rFonts w:hint="eastAsia" w:ascii="宋体" w:hAnsi="宋体" w:cs="宋体"/>
          <w:color w:val="auto"/>
          <w:szCs w:val="21"/>
          <w:highlight w:val="none"/>
          <w:u w:val="single"/>
        </w:rPr>
      </w:pPr>
      <w:r>
        <w:rPr>
          <w:rFonts w:hint="eastAsia" w:ascii="宋体" w:hAnsi="宋体" w:cs="宋体"/>
          <w:color w:val="auto"/>
          <w:szCs w:val="21"/>
          <w:highlight w:val="none"/>
          <w:lang w:bidi="ar"/>
        </w:rPr>
        <w:t>招标项目名称：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招标编号：</w:t>
      </w:r>
      <w:r>
        <w:rPr>
          <w:rFonts w:hint="eastAsia" w:ascii="宋体" w:hAnsi="宋体" w:cs="宋体"/>
          <w:color w:val="auto"/>
          <w:szCs w:val="21"/>
          <w:highlight w:val="none"/>
          <w:u w:val="single"/>
          <w:lang w:bidi="ar"/>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15"/>
        <w:gridCol w:w="1197"/>
        <w:gridCol w:w="1197"/>
        <w:gridCol w:w="1181"/>
        <w:gridCol w:w="1975"/>
        <w:gridCol w:w="20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615" w:type="dxa"/>
            <w:tcBorders>
              <w:top w:val="single" w:color="auto" w:sz="4" w:space="0"/>
              <w:left w:val="single" w:color="auto" w:sz="4"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姓  名</w:t>
            </w:r>
          </w:p>
        </w:tc>
        <w:tc>
          <w:tcPr>
            <w:tcW w:w="1197" w:type="dxa"/>
            <w:tcBorders>
              <w:top w:val="single" w:color="auto" w:sz="4"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p>
        </w:tc>
        <w:tc>
          <w:tcPr>
            <w:tcW w:w="1197" w:type="dxa"/>
            <w:tcBorders>
              <w:top w:val="single" w:color="auto" w:sz="4"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年  龄</w:t>
            </w:r>
          </w:p>
        </w:tc>
        <w:tc>
          <w:tcPr>
            <w:tcW w:w="1181" w:type="dxa"/>
            <w:tcBorders>
              <w:top w:val="single" w:color="auto" w:sz="4"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p>
        </w:tc>
        <w:tc>
          <w:tcPr>
            <w:tcW w:w="1975" w:type="dxa"/>
            <w:tcBorders>
              <w:top w:val="single" w:color="auto" w:sz="4"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性  别</w:t>
            </w:r>
          </w:p>
        </w:tc>
        <w:tc>
          <w:tcPr>
            <w:tcW w:w="2016" w:type="dxa"/>
            <w:tcBorders>
              <w:top w:val="single" w:color="auto" w:sz="4" w:space="0"/>
              <w:left w:val="single" w:color="auto" w:sz="2" w:space="0"/>
              <w:bottom w:val="single" w:color="auto" w:sz="2"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02" w:hRule="atLeast"/>
          <w:jc w:val="center"/>
        </w:trPr>
        <w:tc>
          <w:tcPr>
            <w:tcW w:w="1615" w:type="dxa"/>
            <w:tcBorders>
              <w:top w:val="single" w:color="auto" w:sz="2" w:space="0"/>
              <w:left w:val="single" w:color="auto" w:sz="4"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身份证号码</w:t>
            </w:r>
          </w:p>
        </w:tc>
        <w:tc>
          <w:tcPr>
            <w:tcW w:w="3575"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p>
        </w:tc>
        <w:tc>
          <w:tcPr>
            <w:tcW w:w="19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专  业</w:t>
            </w:r>
          </w:p>
        </w:tc>
        <w:tc>
          <w:tcPr>
            <w:tcW w:w="2016"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615" w:type="dxa"/>
            <w:tcBorders>
              <w:top w:val="single" w:color="auto" w:sz="2" w:space="0"/>
              <w:left w:val="single" w:color="auto" w:sz="4"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职  称</w:t>
            </w:r>
          </w:p>
        </w:tc>
        <w:tc>
          <w:tcPr>
            <w:tcW w:w="1197"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p>
        </w:tc>
        <w:tc>
          <w:tcPr>
            <w:tcW w:w="1197"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职  务</w:t>
            </w:r>
          </w:p>
        </w:tc>
        <w:tc>
          <w:tcPr>
            <w:tcW w:w="1181"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p>
        </w:tc>
        <w:tc>
          <w:tcPr>
            <w:tcW w:w="19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拟在本合同中担任的职务</w:t>
            </w:r>
          </w:p>
        </w:tc>
        <w:tc>
          <w:tcPr>
            <w:tcW w:w="2016" w:type="dxa"/>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63" w:hRule="atLeast"/>
          <w:jc w:val="center"/>
        </w:trPr>
        <w:tc>
          <w:tcPr>
            <w:tcW w:w="1615" w:type="dxa"/>
            <w:tcBorders>
              <w:top w:val="single" w:color="auto" w:sz="2" w:space="0"/>
              <w:left w:val="single" w:color="auto" w:sz="4" w:space="0"/>
              <w:bottom w:val="single" w:color="auto" w:sz="2"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毕业学校</w:t>
            </w:r>
          </w:p>
        </w:tc>
        <w:tc>
          <w:tcPr>
            <w:tcW w:w="7566" w:type="dxa"/>
            <w:gridSpan w:val="5"/>
            <w:tcBorders>
              <w:top w:val="single" w:color="auto" w:sz="2" w:space="0"/>
              <w:left w:val="single" w:color="auto" w:sz="2" w:space="0"/>
              <w:bottom w:val="single" w:color="auto" w:sz="2"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月毕业于</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学</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系（科），学制</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169" w:hRule="atLeast"/>
          <w:jc w:val="center"/>
        </w:trPr>
        <w:tc>
          <w:tcPr>
            <w:tcW w:w="1615" w:type="dxa"/>
            <w:tcBorders>
              <w:top w:val="single" w:color="auto" w:sz="2" w:space="0"/>
              <w:left w:val="single" w:color="auto" w:sz="4" w:space="0"/>
              <w:right w:val="single" w:color="auto" w:sz="2"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bidi="ar"/>
              </w:rPr>
              <w:t>项目经历及荣誉状况</w:t>
            </w:r>
          </w:p>
        </w:tc>
        <w:tc>
          <w:tcPr>
            <w:tcW w:w="7566" w:type="dxa"/>
            <w:gridSpan w:val="5"/>
            <w:tcBorders>
              <w:top w:val="single" w:color="auto" w:sz="2" w:space="0"/>
              <w:left w:val="single" w:color="auto" w:sz="2"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bl>
    <w:p>
      <w:pPr>
        <w:spacing w:line="360" w:lineRule="auto"/>
        <w:rPr>
          <w:rFonts w:hint="eastAsia" w:ascii="宋体" w:hAnsi="宋体" w:cs="宋体"/>
          <w:b/>
          <w:bCs/>
          <w:color w:val="auto"/>
          <w:kern w:val="0"/>
          <w:szCs w:val="21"/>
          <w:highlight w:val="none"/>
        </w:rPr>
      </w:pPr>
      <w:r>
        <w:rPr>
          <w:rFonts w:hint="eastAsia" w:ascii="宋体" w:hAnsi="宋体" w:cs="宋体"/>
          <w:b/>
          <w:bCs/>
          <w:color w:val="auto"/>
          <w:szCs w:val="21"/>
          <w:highlight w:val="none"/>
        </w:rPr>
        <w:t xml:space="preserve"> </w:t>
      </w:r>
      <w:r>
        <w:rPr>
          <w:rFonts w:hint="eastAsia" w:ascii="宋体" w:hAnsi="宋体" w:cs="宋体"/>
          <w:b/>
          <w:bCs/>
          <w:color w:val="auto"/>
          <w:kern w:val="0"/>
          <w:szCs w:val="21"/>
          <w:highlight w:val="none"/>
        </w:rPr>
        <w:t xml:space="preserve"> 备注：</w:t>
      </w:r>
    </w:p>
    <w:p>
      <w:pPr>
        <w:spacing w:line="360" w:lineRule="auto"/>
        <w:ind w:firstLine="240" w:firstLineChars="1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①一人一表</w:t>
      </w:r>
    </w:p>
    <w:p>
      <w:pPr>
        <w:spacing w:line="360" w:lineRule="auto"/>
        <w:ind w:firstLine="240" w:firstLineChars="100"/>
        <w:rPr>
          <w:rFonts w:hint="eastAsia" w:ascii="宋体" w:hAnsi="宋体" w:cs="宋体"/>
          <w:color w:val="auto"/>
          <w:kern w:val="0"/>
          <w:szCs w:val="21"/>
          <w:highlight w:val="none"/>
        </w:rPr>
      </w:pPr>
      <w:r>
        <w:rPr>
          <w:rFonts w:hint="eastAsia" w:ascii="宋体" w:hAnsi="宋体" w:cs="宋体"/>
          <w:b/>
          <w:bCs/>
          <w:color w:val="auto"/>
          <w:kern w:val="0"/>
          <w:szCs w:val="21"/>
          <w:highlight w:val="none"/>
        </w:rPr>
        <w:t>②根据打分表中要求，在表后提供相应证明材料。</w:t>
      </w:r>
    </w:p>
    <w:p>
      <w:pPr>
        <w:spacing w:line="360" w:lineRule="auto"/>
        <w:ind w:firstLine="4080" w:firstLineChars="1700"/>
        <w:jc w:val="right"/>
        <w:rPr>
          <w:rFonts w:hint="eastAsia" w:ascii="宋体" w:hAnsi="宋体" w:cs="宋体"/>
          <w:color w:val="auto"/>
          <w:szCs w:val="21"/>
          <w:highlight w:val="none"/>
        </w:rPr>
      </w:pP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 xml:space="preserve">   （公章）　</w:t>
      </w:r>
    </w:p>
    <w:p>
      <w:pPr>
        <w:snapToGrid w:val="0"/>
        <w:spacing w:line="360" w:lineRule="auto"/>
        <w:ind w:firstLine="2640" w:firstLineChars="1100"/>
        <w:jc w:val="righ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pacing w:line="360" w:lineRule="auto"/>
        <w:jc w:val="right"/>
        <w:rPr>
          <w:rFonts w:hint="eastAsia" w:ascii="宋体" w:hAnsi="宋体" w:cs="宋体"/>
          <w:b/>
          <w:bCs/>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Style w:val="29"/>
          <w:rFonts w:hint="eastAsia" w:ascii="宋体" w:hAnsi="宋体" w:cs="宋体"/>
          <w:color w:val="auto"/>
          <w:sz w:val="21"/>
          <w:szCs w:val="21"/>
          <w:highlight w:val="none"/>
        </w:rPr>
      </w:pPr>
    </w:p>
    <w:p>
      <w:pPr>
        <w:spacing w:line="360" w:lineRule="auto"/>
        <w:rPr>
          <w:rStyle w:val="29"/>
          <w:rFonts w:hint="eastAsia" w:ascii="宋体" w:hAnsi="宋体" w:cs="宋体"/>
          <w:color w:val="auto"/>
          <w:sz w:val="21"/>
          <w:szCs w:val="21"/>
          <w:highlight w:val="none"/>
        </w:rPr>
      </w:pPr>
    </w:p>
    <w:p>
      <w:pPr>
        <w:rPr>
          <w:rFonts w:hint="eastAsia" w:eastAsia="宋体"/>
          <w:color w:val="auto"/>
          <w:highlight w:val="none"/>
          <w:lang w:eastAsia="zh-CN"/>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p>
    <w:p>
      <w:pPr>
        <w:spacing w:line="360" w:lineRule="auto"/>
        <w:rPr>
          <w:rStyle w:val="29"/>
          <w:rFonts w:hint="eastAsia" w:ascii="宋体" w:hAnsi="宋体" w:cs="宋体"/>
          <w:color w:val="auto"/>
          <w:sz w:val="21"/>
          <w:szCs w:val="21"/>
          <w:highlight w:val="none"/>
        </w:rPr>
        <w:sectPr>
          <w:headerReference r:id="rId11" w:type="default"/>
          <w:footerReference r:id="rId12" w:type="default"/>
          <w:pgSz w:w="11906" w:h="16838"/>
          <w:pgMar w:top="1418" w:right="1287" w:bottom="1135" w:left="1622" w:header="851" w:footer="992" w:gutter="0"/>
          <w:pgNumType w:start="50"/>
          <w:cols w:space="720" w:num="1"/>
          <w:docGrid w:type="linesAndChars" w:linePitch="312" w:charSpace="0"/>
        </w:sectPr>
      </w:pPr>
    </w:p>
    <w:p>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bidi="ar"/>
        </w:rPr>
        <w:t>三、报价文件的外包装封面格式：</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报价文件</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项目名称：                        项目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项目编号：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标 项:</w:t>
      </w:r>
    </w:p>
    <w:p>
      <w:pPr>
        <w:spacing w:line="360" w:lineRule="auto"/>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名称：</w:t>
      </w:r>
    </w:p>
    <w:p>
      <w:pPr>
        <w:rPr>
          <w:rFonts w:hint="eastAsia" w:ascii="宋体" w:hAnsi="宋体" w:cs="宋体"/>
          <w:color w:val="auto"/>
          <w:szCs w:val="21"/>
          <w:highlight w:val="none"/>
          <w:lang w:bidi="ar"/>
        </w:rPr>
      </w:pP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ind w:firstLine="4560" w:firstLineChars="1900"/>
        <w:rPr>
          <w:rFonts w:hint="eastAsia" w:ascii="宋体" w:hAnsi="宋体" w:cs="宋体"/>
          <w:color w:val="auto"/>
          <w:szCs w:val="21"/>
          <w:highlight w:val="none"/>
          <w:lang w:bidi="ar"/>
        </w:rPr>
      </w:pPr>
    </w:p>
    <w:p>
      <w:pPr>
        <w:spacing w:line="360" w:lineRule="auto"/>
        <w:ind w:firstLine="2400" w:firstLineChars="1000"/>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公章或法定代表人或授权代表的盖章（或签字）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 xml:space="preserve">                                                       年  月  日</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widowControl/>
        <w:spacing w:line="360" w:lineRule="auto"/>
        <w:jc w:val="left"/>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 xml:space="preserve">四、报价文件封面格式：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spacing w:line="360" w:lineRule="auto"/>
        <w:ind w:firstLine="7200" w:firstLineChars="3000"/>
        <w:rPr>
          <w:rFonts w:hint="eastAsia" w:ascii="宋体" w:hAnsi="宋体" w:cs="宋体"/>
          <w:color w:val="auto"/>
          <w:szCs w:val="21"/>
          <w:highlight w:val="none"/>
          <w:lang w:bidi="ar"/>
        </w:rPr>
      </w:pPr>
      <w:r>
        <w:rPr>
          <w:rFonts w:hint="eastAsia" w:ascii="宋体" w:hAnsi="宋体" w:cs="宋体"/>
          <w:color w:val="auto"/>
          <w:szCs w:val="21"/>
          <w:highlight w:val="none"/>
          <w:lang w:bidi="ar"/>
        </w:rPr>
        <w:t>正本/或副本</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p>
      <w:pPr>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报价文件</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项目名称：                   项目</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项目编号： </w:t>
      </w:r>
    </w:p>
    <w:p>
      <w:pPr>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标 项:</w:t>
      </w:r>
    </w:p>
    <w:p>
      <w:pPr>
        <w:spacing w:line="360" w:lineRule="auto"/>
        <w:rPr>
          <w:rFonts w:hint="eastAsia" w:ascii="宋体" w:hAnsi="宋体" w:cs="宋体"/>
          <w:color w:val="auto"/>
          <w:szCs w:val="21"/>
          <w:highlight w:val="none"/>
          <w:lang w:bidi="ar"/>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名称：</w:t>
      </w:r>
    </w:p>
    <w:p>
      <w:pPr>
        <w:rPr>
          <w:rFonts w:hint="eastAsia" w:ascii="宋体" w:hAnsi="宋体" w:cs="宋体"/>
          <w:color w:val="auto"/>
          <w:szCs w:val="21"/>
          <w:highlight w:val="none"/>
          <w:lang w:bidi="ar"/>
        </w:rPr>
      </w:pP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p>
      <w:pPr>
        <w:ind w:firstLine="3120" w:firstLineChars="1300"/>
        <w:rPr>
          <w:rFonts w:hint="eastAsia" w:ascii="宋体" w:hAnsi="宋体" w:cs="宋体"/>
          <w:color w:val="auto"/>
          <w:szCs w:val="21"/>
          <w:highlight w:val="none"/>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公章或法定代表人或授权代表的盖章（或签字） </w:t>
      </w:r>
    </w:p>
    <w:p>
      <w:pPr>
        <w:rPr>
          <w:rFonts w:hint="eastAsia" w:ascii="宋体" w:hAnsi="宋体" w:cs="宋体"/>
          <w:color w:val="auto"/>
          <w:szCs w:val="21"/>
          <w:highlight w:val="none"/>
        </w:rPr>
      </w:pPr>
      <w:r>
        <w:rPr>
          <w:rFonts w:hint="eastAsia" w:ascii="宋体" w:hAnsi="宋体" w:cs="宋体"/>
          <w:color w:val="auto"/>
          <w:szCs w:val="21"/>
          <w:highlight w:val="none"/>
          <w:lang w:bidi="ar"/>
        </w:rPr>
        <w:t xml:space="preserve"> </w:t>
      </w:r>
    </w:p>
    <w:p>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                                                          年  月  日</w:t>
      </w:r>
    </w:p>
    <w:p>
      <w:pPr>
        <w:spacing w:line="360" w:lineRule="auto"/>
        <w:ind w:firstLine="240" w:firstLineChars="100"/>
        <w:rPr>
          <w:rFonts w:hint="eastAsia" w:ascii="宋体" w:hAnsi="宋体" w:cs="宋体"/>
          <w:color w:val="auto"/>
          <w:szCs w:val="21"/>
          <w:highlight w:val="none"/>
        </w:rPr>
      </w:pPr>
    </w:p>
    <w:p>
      <w:pPr>
        <w:spacing w:line="360" w:lineRule="auto"/>
        <w:ind w:firstLine="240" w:firstLineChars="100"/>
        <w:rPr>
          <w:rFonts w:hint="eastAsia" w:ascii="宋体" w:hAnsi="宋体" w:cs="宋体"/>
          <w:color w:val="auto"/>
          <w:szCs w:val="21"/>
          <w:highlight w:val="none"/>
        </w:rPr>
      </w:pPr>
    </w:p>
    <w:p>
      <w:pPr>
        <w:rPr>
          <w:rFonts w:hint="eastAsia" w:eastAsia="宋体"/>
          <w:color w:val="auto"/>
          <w:highlight w:val="none"/>
          <w:lang w:eastAsia="zh-CN"/>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p>
    <w:p>
      <w:pPr>
        <w:adjustRightInd w:val="0"/>
        <w:snapToGrid w:val="0"/>
        <w:jc w:val="left"/>
        <w:rPr>
          <w:rFonts w:hint="eastAsia" w:ascii="宋体" w:hAnsi="宋体" w:cs="宋体"/>
          <w:color w:val="auto"/>
          <w:szCs w:val="21"/>
          <w:highlight w:val="none"/>
        </w:rPr>
      </w:pPr>
    </w:p>
    <w:p>
      <w:pPr>
        <w:adjustRightInd w:val="0"/>
        <w:snapToGrid w:val="0"/>
        <w:spacing w:line="360" w:lineRule="auto"/>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报价文件包括：</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1、投标书（格式见第八章投标文件格式）；</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2、开标一览表（格式见第八章投标文件格式）；</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3、投标报价明细表（格式见第八章投标文件格式）；</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4、中小企业声明函（格式见第八章投标文件格式）</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5、残疾人福利性单位声明函（格式见第八章投标文件格式，如是请提供）</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6、其它本招标文件要求提供的报价部分材料。</w:t>
      </w: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adjustRightInd w:val="0"/>
        <w:snapToGrid w:val="0"/>
        <w:jc w:val="left"/>
        <w:rPr>
          <w:rFonts w:hint="eastAsia" w:ascii="宋体" w:hAnsi="宋体" w:cs="宋体"/>
          <w:b/>
          <w:color w:val="auto"/>
          <w:szCs w:val="21"/>
          <w:highlight w:val="none"/>
          <w:lang w:bidi="ar"/>
        </w:rPr>
      </w:pPr>
    </w:p>
    <w:p>
      <w:pPr>
        <w:spacing w:line="360" w:lineRule="auto"/>
        <w:rPr>
          <w:rStyle w:val="29"/>
          <w:rFonts w:hint="eastAsia" w:ascii="宋体" w:hAnsi="宋体" w:cs="宋体"/>
          <w:color w:val="auto"/>
          <w:sz w:val="21"/>
          <w:szCs w:val="21"/>
          <w:highlight w:val="none"/>
        </w:rPr>
      </w:pPr>
      <w:r>
        <w:rPr>
          <w:rFonts w:hint="eastAsia" w:ascii="宋体" w:hAnsi="宋体" w:cs="宋体"/>
          <w:b/>
          <w:color w:val="auto"/>
          <w:szCs w:val="21"/>
          <w:highlight w:val="none"/>
          <w:lang w:bidi="ar"/>
        </w:rPr>
        <w:br w:type="page"/>
      </w:r>
      <w:bookmarkStart w:id="48" w:name="_Toc22309"/>
      <w:r>
        <w:rPr>
          <w:rFonts w:hint="eastAsia" w:ascii="宋体" w:hAnsi="宋体" w:cs="宋体"/>
          <w:b/>
          <w:bCs/>
          <w:color w:val="auto"/>
          <w:szCs w:val="21"/>
          <w:highlight w:val="none"/>
          <w:lang w:bidi="ar"/>
        </w:rPr>
        <w:t>1、投标书</w:t>
      </w:r>
    </w:p>
    <w:bookmarkEnd w:id="48"/>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 标 书</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i/>
          <w:color w:val="auto"/>
          <w:szCs w:val="21"/>
          <w:highlight w:val="none"/>
        </w:rPr>
        <w:t>（招标方）</w:t>
      </w:r>
    </w:p>
    <w:p>
      <w:pPr>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(投标供应商全称)　</w:t>
      </w:r>
      <w:r>
        <w:rPr>
          <w:rFonts w:hint="eastAsia" w:ascii="宋体" w:hAnsi="宋体" w:cs="宋体"/>
          <w:color w:val="auto"/>
          <w:szCs w:val="21"/>
          <w:highlight w:val="none"/>
        </w:rPr>
        <w:t>授权</w:t>
      </w:r>
      <w:r>
        <w:rPr>
          <w:rFonts w:hint="eastAsia" w:ascii="宋体" w:hAnsi="宋体" w:cs="宋体"/>
          <w:color w:val="auto"/>
          <w:szCs w:val="21"/>
          <w:highlight w:val="none"/>
          <w:u w:val="single"/>
        </w:rPr>
        <w:t xml:space="preserve">  （全名、职务）  </w:t>
      </w:r>
      <w:r>
        <w:rPr>
          <w:rFonts w:hint="eastAsia" w:ascii="宋体" w:hAnsi="宋体" w:cs="宋体"/>
          <w:color w:val="auto"/>
          <w:szCs w:val="21"/>
          <w:highlight w:val="none"/>
        </w:rPr>
        <w:t>为全权代表，参加贵方组织的</w:t>
      </w:r>
      <w:r>
        <w:rPr>
          <w:rFonts w:hint="eastAsia" w:ascii="宋体" w:hAnsi="宋体" w:cs="宋体"/>
          <w:color w:val="auto"/>
          <w:szCs w:val="21"/>
          <w:highlight w:val="none"/>
          <w:u w:val="single"/>
        </w:rPr>
        <w:t xml:space="preserve">    （项目名称）</w:t>
      </w:r>
      <w:r>
        <w:rPr>
          <w:rFonts w:hint="eastAsia" w:ascii="宋体" w:hAnsi="宋体" w:cs="宋体"/>
          <w:color w:val="auto"/>
          <w:szCs w:val="21"/>
          <w:highlight w:val="none"/>
        </w:rPr>
        <w:t>项目（项目编号：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）招标活动并投标，为便于贵方公正、择优地确定中标供应商及其投标的服务，我方就本次投标有关事项郑重声明如下：</w:t>
      </w:r>
    </w:p>
    <w:p>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2、若中标，投标供应商将按招标文件规定履行合同责任和义务。</w:t>
      </w:r>
    </w:p>
    <w:p>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3、我方不是采购人的附属机构；在获知本项目采购信息后，与招标方聘请的为此项目提供咨询服务的公司及其附属机构没有任何联系。</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4、我方符合招标方提出的资格要求。</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5、投标文件有效期为开标之日起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w:t>
      </w:r>
    </w:p>
    <w:p>
      <w:pPr>
        <w:snapToGrid w:val="0"/>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6.以上事项如有虚假或隐瞒，我方愿意承担一切后果，并不再寻求任何旨在减轻或免除法律责任的辩解。</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7、我方与本投标有关的一切正式来往通讯请寄：</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p>
    <w:p>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left="540" w:firstLine="30"/>
        <w:jc w:val="left"/>
        <w:rPr>
          <w:rFonts w:hint="eastAsia" w:ascii="宋体" w:hAnsi="宋体" w:cs="宋体"/>
          <w:color w:val="auto"/>
          <w:szCs w:val="21"/>
          <w:highlight w:val="none"/>
        </w:rPr>
      </w:pPr>
    </w:p>
    <w:p>
      <w:pPr>
        <w:spacing w:line="400" w:lineRule="exact"/>
        <w:ind w:firstLine="3600" w:firstLineChars="1500"/>
        <w:jc w:val="right"/>
        <w:rPr>
          <w:rFonts w:hint="eastAsia" w:ascii="宋体" w:hAnsi="宋体" w:cs="宋体"/>
          <w:color w:val="auto"/>
          <w:szCs w:val="21"/>
          <w:highlight w:val="none"/>
          <w:lang w:bidi="ar"/>
        </w:rPr>
      </w:pPr>
      <w:r>
        <w:rPr>
          <w:rFonts w:hint="eastAsia" w:cs="宋体"/>
          <w:color w:val="auto"/>
          <w:szCs w:val="21"/>
          <w:highlight w:val="none"/>
          <w:lang w:eastAsia="zh-CN" w:bidi="ar"/>
        </w:rPr>
        <w:t>投标供应商</w:t>
      </w:r>
      <w:r>
        <w:rPr>
          <w:rFonts w:hint="eastAsia" w:ascii="宋体" w:hAnsi="宋体" w:cs="宋体"/>
          <w:color w:val="auto"/>
          <w:szCs w:val="21"/>
          <w:highlight w:val="none"/>
          <w:lang w:bidi="ar"/>
        </w:rPr>
        <w:t xml:space="preserve">盖章（公章）：             </w:t>
      </w:r>
    </w:p>
    <w:p>
      <w:pPr>
        <w:spacing w:line="400" w:lineRule="exact"/>
        <w:ind w:firstLine="3600" w:firstLineChars="1500"/>
        <w:jc w:val="righ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法定代表人或授权代表签字（签字或盖章）：</w:t>
      </w:r>
    </w:p>
    <w:p>
      <w:pPr>
        <w:spacing w:line="400" w:lineRule="exact"/>
        <w:ind w:firstLine="3600" w:firstLineChars="1500"/>
        <w:jc w:val="right"/>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年  月  日</w:t>
      </w:r>
    </w:p>
    <w:p>
      <w:pPr>
        <w:spacing w:line="360" w:lineRule="auto"/>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eastAsia="宋体"/>
          <w:color w:val="auto"/>
          <w:highlight w:val="none"/>
          <w:lang w:eastAsia="zh-CN"/>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p>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r>
        <w:rPr>
          <w:rStyle w:val="29"/>
          <w:rFonts w:hint="eastAsia" w:ascii="宋体" w:hAnsi="宋体" w:cs="宋体"/>
          <w:color w:val="auto"/>
          <w:sz w:val="21"/>
          <w:szCs w:val="21"/>
          <w:highlight w:val="none"/>
        </w:rPr>
        <w:t>2、开标一览表</w:t>
      </w:r>
    </w:p>
    <w:p>
      <w:pPr>
        <w:rPr>
          <w:rFonts w:hint="eastAsia" w:ascii="宋体" w:hAnsi="宋体" w:cs="宋体"/>
          <w:color w:val="auto"/>
          <w:szCs w:val="21"/>
          <w:highlight w:val="none"/>
        </w:rPr>
      </w:pP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开标一览表</w:t>
      </w:r>
    </w:p>
    <w:p>
      <w:pPr>
        <w:pStyle w:val="11"/>
        <w:ind w:firstLine="0"/>
        <w:rPr>
          <w:rFonts w:hint="eastAsia" w:ascii="宋体" w:hAnsi="宋体" w:cs="宋体"/>
          <w:color w:val="auto"/>
          <w:szCs w:val="21"/>
          <w:highlight w:val="none"/>
          <w:u w:val="single"/>
        </w:rPr>
      </w:pPr>
      <w:r>
        <w:rPr>
          <w:rFonts w:hint="eastAsia" w:ascii="宋体" w:hAnsi="宋体" w:cs="宋体"/>
          <w:color w:val="auto"/>
          <w:szCs w:val="21"/>
          <w:highlight w:val="none"/>
        </w:rPr>
        <w:t>招标项目名称：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招标编号：</w:t>
      </w:r>
      <w:r>
        <w:rPr>
          <w:rFonts w:hint="eastAsia" w:ascii="宋体" w:hAnsi="宋体" w:cs="宋体"/>
          <w:color w:val="auto"/>
          <w:szCs w:val="21"/>
          <w:highlight w:val="none"/>
          <w:u w:val="singl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222"/>
        <w:gridCol w:w="2428"/>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7" w:type="dxa"/>
            <w:tcBorders>
              <w:top w:val="single" w:color="auto" w:sz="4" w:space="0"/>
              <w:left w:val="single" w:color="auto" w:sz="4" w:space="0"/>
              <w:bottom w:val="single" w:color="auto" w:sz="4" w:space="0"/>
              <w:right w:val="single" w:color="auto" w:sz="4" w:space="0"/>
            </w:tcBorders>
            <w:noWrap w:val="0"/>
            <w:vAlign w:val="center"/>
          </w:tcPr>
          <w:p>
            <w:pPr>
              <w:spacing w:before="240" w:after="24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标项</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spacing w:before="240" w:after="24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项目内容</w:t>
            </w:r>
          </w:p>
        </w:tc>
        <w:tc>
          <w:tcPr>
            <w:tcW w:w="5087" w:type="dxa"/>
            <w:gridSpan w:val="2"/>
            <w:tcBorders>
              <w:top w:val="single" w:color="auto" w:sz="4" w:space="0"/>
              <w:left w:val="single" w:color="auto" w:sz="4" w:space="0"/>
              <w:bottom w:val="single" w:color="auto" w:sz="4" w:space="0"/>
              <w:right w:val="single" w:color="auto" w:sz="4" w:space="0"/>
            </w:tcBorders>
            <w:noWrap w:val="0"/>
            <w:vAlign w:val="center"/>
          </w:tcPr>
          <w:p>
            <w:pPr>
              <w:spacing w:before="240" w:after="24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977" w:type="dxa"/>
            <w:tcBorders>
              <w:top w:val="single" w:color="auto" w:sz="4" w:space="0"/>
              <w:left w:val="single" w:color="auto" w:sz="4" w:space="0"/>
              <w:bottom w:val="single" w:color="auto" w:sz="4" w:space="0"/>
              <w:right w:val="single" w:color="auto" w:sz="4" w:space="0"/>
            </w:tcBorders>
            <w:noWrap w:val="0"/>
            <w:vAlign w:val="center"/>
          </w:tcPr>
          <w:p>
            <w:pPr>
              <w:spacing w:before="240" w:after="240"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spacing w:before="240" w:after="240" w:line="240" w:lineRule="exact"/>
              <w:jc w:val="center"/>
              <w:rPr>
                <w:rFonts w:hint="eastAsia" w:ascii="宋体" w:hAnsi="宋体" w:cs="宋体"/>
                <w:color w:val="auto"/>
                <w:szCs w:val="21"/>
                <w:highlight w:val="none"/>
              </w:rPr>
            </w:pPr>
          </w:p>
        </w:tc>
        <w:tc>
          <w:tcPr>
            <w:tcW w:w="2428" w:type="dxa"/>
            <w:tcBorders>
              <w:top w:val="single" w:color="auto" w:sz="4" w:space="0"/>
              <w:left w:val="single" w:color="auto" w:sz="4" w:space="0"/>
              <w:bottom w:val="single" w:color="auto" w:sz="4" w:space="0"/>
              <w:right w:val="single" w:color="auto" w:sz="4" w:space="0"/>
            </w:tcBorders>
            <w:noWrap w:val="0"/>
            <w:vAlign w:val="top"/>
          </w:tcPr>
          <w:p>
            <w:pPr>
              <w:spacing w:before="240" w:after="240" w:line="440" w:lineRule="exact"/>
              <w:rPr>
                <w:rFonts w:hint="eastAsia" w:ascii="宋体" w:hAnsi="宋体" w:cs="宋体"/>
                <w:color w:val="auto"/>
                <w:szCs w:val="21"/>
                <w:highlight w:val="none"/>
                <w:u w:val="single"/>
              </w:rPr>
            </w:pPr>
            <w:r>
              <w:rPr>
                <w:rFonts w:hint="eastAsia" w:ascii="宋体" w:hAnsi="宋体" w:cs="宋体"/>
                <w:color w:val="auto"/>
                <w:szCs w:val="21"/>
                <w:highlight w:val="none"/>
                <w:lang w:bidi="ar"/>
              </w:rPr>
              <w:t>小写（￥）：</w:t>
            </w:r>
          </w:p>
        </w:tc>
        <w:tc>
          <w:tcPr>
            <w:tcW w:w="2659" w:type="dxa"/>
            <w:tcBorders>
              <w:top w:val="single" w:color="auto" w:sz="4" w:space="0"/>
              <w:left w:val="single" w:color="auto" w:sz="4" w:space="0"/>
              <w:bottom w:val="single" w:color="auto" w:sz="4" w:space="0"/>
              <w:right w:val="single" w:color="auto" w:sz="4" w:space="0"/>
            </w:tcBorders>
            <w:noWrap w:val="0"/>
            <w:vAlign w:val="top"/>
          </w:tcPr>
          <w:p>
            <w:pPr>
              <w:spacing w:before="240" w:after="240" w:line="440" w:lineRule="exact"/>
              <w:rPr>
                <w:rFonts w:hint="eastAsia" w:ascii="宋体" w:hAnsi="宋体" w:cs="宋体"/>
                <w:color w:val="auto"/>
                <w:szCs w:val="21"/>
                <w:highlight w:val="none"/>
                <w:u w:val="single"/>
              </w:rPr>
            </w:pPr>
            <w:r>
              <w:rPr>
                <w:rFonts w:hint="eastAsia" w:ascii="宋体" w:hAnsi="宋体" w:cs="宋体"/>
                <w:color w:val="auto"/>
                <w:szCs w:val="21"/>
                <w:highlight w:val="none"/>
                <w:lang w:bidi="ar"/>
              </w:rPr>
              <w:t>大写：</w:t>
            </w:r>
          </w:p>
        </w:tc>
      </w:tr>
    </w:tbl>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备注：1、投标报价以人民币为结算单位。</w:t>
      </w:r>
    </w:p>
    <w:p>
      <w:pPr>
        <w:snapToGrid w:val="0"/>
        <w:spacing w:line="360" w:lineRule="auto"/>
        <w:ind w:firstLine="720" w:firstLineChars="300"/>
        <w:rPr>
          <w:rFonts w:hint="eastAsia" w:ascii="宋体" w:hAnsi="宋体" w:cs="宋体"/>
          <w:color w:val="auto"/>
          <w:szCs w:val="21"/>
          <w:highlight w:val="none"/>
        </w:rPr>
      </w:pPr>
      <w:r>
        <w:rPr>
          <w:rFonts w:hint="eastAsia" w:ascii="宋体" w:hAnsi="宋体" w:cs="宋体"/>
          <w:color w:val="auto"/>
          <w:szCs w:val="21"/>
          <w:highlight w:val="none"/>
        </w:rPr>
        <w:t>2、此表在不改变格式内容时，可自行制作。</w:t>
      </w:r>
    </w:p>
    <w:p>
      <w:pPr>
        <w:snapToGrid w:val="0"/>
        <w:spacing w:line="360" w:lineRule="auto"/>
        <w:ind w:firstLine="720" w:firstLineChars="300"/>
        <w:rPr>
          <w:rFonts w:hint="eastAsia" w:ascii="宋体" w:hAnsi="宋体" w:cs="宋体"/>
          <w:color w:val="auto"/>
          <w:szCs w:val="21"/>
          <w:highlight w:val="none"/>
        </w:rPr>
      </w:pPr>
      <w:r>
        <w:rPr>
          <w:rFonts w:hint="eastAsia" w:ascii="宋体" w:hAnsi="宋体" w:cs="宋体"/>
          <w:color w:val="auto"/>
          <w:szCs w:val="21"/>
          <w:highlight w:val="none"/>
        </w:rPr>
        <w:t>3、公开招标实行一次性报价，投标价即为最终有效价。</w:t>
      </w:r>
    </w:p>
    <w:p>
      <w:pPr>
        <w:spacing w:line="360" w:lineRule="auto"/>
        <w:ind w:firstLine="4080" w:firstLineChars="1700"/>
        <w:rPr>
          <w:rFonts w:hint="eastAsia" w:ascii="宋体" w:hAnsi="宋体" w:cs="宋体"/>
          <w:color w:val="auto"/>
          <w:szCs w:val="21"/>
          <w:highlight w:val="none"/>
        </w:rPr>
      </w:pPr>
    </w:p>
    <w:p>
      <w:pPr>
        <w:spacing w:line="360" w:lineRule="auto"/>
        <w:ind w:firstLine="4080" w:firstLineChars="1700"/>
        <w:rPr>
          <w:rFonts w:hint="eastAsia" w:ascii="宋体" w:hAnsi="宋体" w:cs="宋体"/>
          <w:color w:val="auto"/>
          <w:szCs w:val="21"/>
          <w:highlight w:val="none"/>
        </w:rPr>
      </w:pPr>
    </w:p>
    <w:p>
      <w:pPr>
        <w:spacing w:line="360" w:lineRule="auto"/>
        <w:ind w:firstLine="4080" w:firstLineChars="17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s="宋体"/>
          <w:color w:val="auto"/>
          <w:szCs w:val="21"/>
          <w:highlight w:val="none"/>
          <w:lang w:eastAsia="zh-CN"/>
        </w:rPr>
        <w:t>投标供应商</w:t>
      </w:r>
      <w:r>
        <w:rPr>
          <w:rFonts w:hint="eastAsia" w:ascii="宋体" w:hAnsi="宋体" w:cs="宋体"/>
          <w:color w:val="auto"/>
          <w:szCs w:val="21"/>
          <w:highlight w:val="none"/>
        </w:rPr>
        <w:t>盖章：</w:t>
      </w:r>
      <w:r>
        <w:rPr>
          <w:rFonts w:hint="eastAsia" w:ascii="宋体" w:hAnsi="宋体" w:cs="宋体"/>
          <w:color w:val="auto"/>
          <w:szCs w:val="21"/>
          <w:highlight w:val="none"/>
          <w:u w:val="single"/>
        </w:rPr>
        <w:t xml:space="preserve">   （公章）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pacing w:val="20"/>
          <w:szCs w:val="21"/>
          <w:highlight w:val="none"/>
        </w:rPr>
        <w:t>或授权代表签字</w:t>
      </w:r>
      <w:r>
        <w:rPr>
          <w:rFonts w:hint="eastAsia" w:ascii="宋体" w:hAnsi="宋体" w:cs="宋体"/>
          <w:color w:val="auto"/>
          <w:szCs w:val="21"/>
          <w:highlight w:val="none"/>
        </w:rPr>
        <w:t>：（签字或盖章）</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rPr>
          <w:rFonts w:hint="eastAsia" w:eastAsia="宋体"/>
          <w:color w:val="auto"/>
          <w:highlight w:val="none"/>
          <w:lang w:eastAsia="zh-CN"/>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p>
    <w:p>
      <w:pPr>
        <w:spacing w:line="360" w:lineRule="auto"/>
        <w:rPr>
          <w:rStyle w:val="29"/>
          <w:rFonts w:hint="eastAsia" w:ascii="宋体" w:hAnsi="宋体" w:cs="宋体"/>
          <w:color w:val="auto"/>
          <w:sz w:val="21"/>
          <w:szCs w:val="21"/>
          <w:highlight w:val="none"/>
        </w:rPr>
      </w:pPr>
      <w:r>
        <w:rPr>
          <w:rFonts w:hint="eastAsia" w:ascii="宋体" w:hAnsi="宋体" w:cs="宋体"/>
          <w:color w:val="auto"/>
          <w:szCs w:val="21"/>
          <w:highlight w:val="none"/>
        </w:rPr>
        <w:br w:type="page"/>
      </w:r>
      <w:bookmarkStart w:id="49" w:name="_Toc5995"/>
      <w:r>
        <w:rPr>
          <w:rStyle w:val="29"/>
          <w:rFonts w:hint="eastAsia" w:ascii="宋体" w:hAnsi="宋体" w:cs="宋体"/>
          <w:color w:val="auto"/>
          <w:sz w:val="21"/>
          <w:szCs w:val="21"/>
          <w:highlight w:val="none"/>
        </w:rPr>
        <w:t>3、投标报价明细表</w:t>
      </w:r>
    </w:p>
    <w:bookmarkEnd w:id="49"/>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投标报价明细表</w:t>
      </w:r>
    </w:p>
    <w:p>
      <w:pPr>
        <w:spacing w:line="360" w:lineRule="auto"/>
        <w:jc w:val="center"/>
        <w:rPr>
          <w:rFonts w:hint="eastAsia" w:ascii="宋体" w:hAnsi="宋体" w:cs="宋体"/>
          <w:color w:val="auto"/>
          <w:szCs w:val="21"/>
          <w:highlight w:val="none"/>
        </w:rPr>
      </w:pPr>
    </w:p>
    <w:p>
      <w:pPr>
        <w:jc w:val="left"/>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（价格单位：人民币元）</w:t>
      </w:r>
    </w:p>
    <w:p>
      <w:pPr>
        <w:jc w:val="left"/>
        <w:rPr>
          <w:rFonts w:hint="eastAsia" w:ascii="宋体" w:hAnsi="宋体" w:cs="宋体"/>
          <w:color w:val="auto"/>
          <w:szCs w:val="21"/>
          <w:highlight w:val="none"/>
        </w:rPr>
      </w:pPr>
    </w:p>
    <w:tbl>
      <w:tblPr>
        <w:tblStyle w:val="19"/>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266"/>
        <w:gridCol w:w="1137"/>
        <w:gridCol w:w="1137"/>
        <w:gridCol w:w="1137"/>
        <w:gridCol w:w="137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2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26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设备材料名称</w:t>
            </w:r>
          </w:p>
        </w:tc>
        <w:tc>
          <w:tcPr>
            <w:tcW w:w="113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13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产地品牌</w:t>
            </w:r>
          </w:p>
        </w:tc>
        <w:tc>
          <w:tcPr>
            <w:tcW w:w="113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377"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26" w:type="dxa"/>
            <w:noWrap w:val="0"/>
            <w:vAlign w:val="center"/>
          </w:tcPr>
          <w:p>
            <w:pPr>
              <w:jc w:val="center"/>
              <w:rPr>
                <w:rFonts w:hint="eastAsia" w:ascii="宋体" w:hAnsi="宋体" w:cs="宋体"/>
                <w:color w:val="auto"/>
                <w:szCs w:val="21"/>
                <w:highlight w:val="none"/>
              </w:rPr>
            </w:pPr>
          </w:p>
        </w:tc>
        <w:tc>
          <w:tcPr>
            <w:tcW w:w="2266"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376" w:type="dxa"/>
            <w:noWrap w:val="0"/>
            <w:vAlign w:val="center"/>
          </w:tcPr>
          <w:p>
            <w:pPr>
              <w:jc w:val="center"/>
              <w:rPr>
                <w:rFonts w:hint="eastAsia" w:ascii="宋体" w:hAnsi="宋体" w:cs="宋体"/>
                <w:color w:val="auto"/>
                <w:szCs w:val="21"/>
                <w:highlight w:val="none"/>
              </w:rPr>
            </w:pPr>
          </w:p>
        </w:tc>
        <w:tc>
          <w:tcPr>
            <w:tcW w:w="1377"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26" w:type="dxa"/>
            <w:noWrap w:val="0"/>
            <w:vAlign w:val="center"/>
          </w:tcPr>
          <w:p>
            <w:pPr>
              <w:jc w:val="center"/>
              <w:rPr>
                <w:rFonts w:hint="eastAsia" w:ascii="宋体" w:hAnsi="宋体" w:cs="宋体"/>
                <w:color w:val="auto"/>
                <w:szCs w:val="21"/>
                <w:highlight w:val="none"/>
              </w:rPr>
            </w:pPr>
          </w:p>
        </w:tc>
        <w:tc>
          <w:tcPr>
            <w:tcW w:w="2266"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376" w:type="dxa"/>
            <w:noWrap w:val="0"/>
            <w:vAlign w:val="center"/>
          </w:tcPr>
          <w:p>
            <w:pPr>
              <w:jc w:val="center"/>
              <w:rPr>
                <w:rFonts w:hint="eastAsia" w:ascii="宋体" w:hAnsi="宋体" w:cs="宋体"/>
                <w:color w:val="auto"/>
                <w:szCs w:val="21"/>
                <w:highlight w:val="none"/>
              </w:rPr>
            </w:pPr>
          </w:p>
        </w:tc>
        <w:tc>
          <w:tcPr>
            <w:tcW w:w="1377"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6" w:type="dxa"/>
            <w:noWrap w:val="0"/>
            <w:vAlign w:val="center"/>
          </w:tcPr>
          <w:p>
            <w:pPr>
              <w:jc w:val="center"/>
              <w:rPr>
                <w:rFonts w:hint="eastAsia" w:ascii="宋体" w:hAnsi="宋体" w:cs="宋体"/>
                <w:color w:val="auto"/>
                <w:szCs w:val="21"/>
                <w:highlight w:val="none"/>
              </w:rPr>
            </w:pPr>
          </w:p>
        </w:tc>
        <w:tc>
          <w:tcPr>
            <w:tcW w:w="2266"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137" w:type="dxa"/>
            <w:noWrap w:val="0"/>
            <w:vAlign w:val="center"/>
          </w:tcPr>
          <w:p>
            <w:pPr>
              <w:jc w:val="center"/>
              <w:rPr>
                <w:rFonts w:hint="eastAsia" w:ascii="宋体" w:hAnsi="宋体" w:cs="宋体"/>
                <w:color w:val="auto"/>
                <w:szCs w:val="21"/>
                <w:highlight w:val="none"/>
              </w:rPr>
            </w:pPr>
          </w:p>
        </w:tc>
        <w:tc>
          <w:tcPr>
            <w:tcW w:w="1376" w:type="dxa"/>
            <w:noWrap w:val="0"/>
            <w:vAlign w:val="center"/>
          </w:tcPr>
          <w:p>
            <w:pPr>
              <w:jc w:val="center"/>
              <w:rPr>
                <w:rFonts w:hint="eastAsia" w:ascii="宋体" w:hAnsi="宋体" w:cs="宋体"/>
                <w:color w:val="auto"/>
                <w:szCs w:val="21"/>
                <w:highlight w:val="none"/>
              </w:rPr>
            </w:pPr>
          </w:p>
        </w:tc>
        <w:tc>
          <w:tcPr>
            <w:tcW w:w="1377"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403" w:type="dxa"/>
            <w:gridSpan w:val="5"/>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合计（元）</w:t>
            </w:r>
          </w:p>
        </w:tc>
        <w:tc>
          <w:tcPr>
            <w:tcW w:w="2753" w:type="dxa"/>
            <w:gridSpan w:val="2"/>
            <w:noWrap w:val="0"/>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pStyle w:val="11"/>
        <w:spacing w:line="340" w:lineRule="exact"/>
        <w:ind w:firstLine="0"/>
        <w:rPr>
          <w:rFonts w:hint="eastAsia" w:ascii="宋体" w:hAnsi="宋体" w:cs="宋体"/>
          <w:color w:val="auto"/>
          <w:szCs w:val="21"/>
          <w:highlight w:val="none"/>
        </w:rPr>
      </w:pPr>
    </w:p>
    <w:p>
      <w:pPr>
        <w:pStyle w:val="11"/>
        <w:spacing w:line="340" w:lineRule="exact"/>
        <w:ind w:firstLine="0"/>
        <w:rPr>
          <w:rFonts w:hint="eastAsia" w:ascii="宋体" w:hAnsi="宋体" w:cs="宋体"/>
          <w:color w:val="auto"/>
          <w:szCs w:val="21"/>
          <w:highlight w:val="none"/>
        </w:rPr>
      </w:pPr>
    </w:p>
    <w:p>
      <w:pPr>
        <w:pStyle w:val="11"/>
        <w:spacing w:line="340" w:lineRule="exact"/>
        <w:ind w:firstLine="0"/>
        <w:rPr>
          <w:rFonts w:hint="eastAsia" w:ascii="宋体" w:hAnsi="宋体" w:cs="宋体"/>
          <w:color w:val="auto"/>
          <w:szCs w:val="21"/>
          <w:highlight w:val="none"/>
        </w:rPr>
      </w:pPr>
    </w:p>
    <w:p>
      <w:pPr>
        <w:pStyle w:val="11"/>
        <w:spacing w:line="340" w:lineRule="exact"/>
        <w:ind w:firstLine="0"/>
        <w:rPr>
          <w:rFonts w:hint="eastAsia" w:ascii="宋体" w:hAnsi="宋体" w:cs="宋体"/>
          <w:color w:val="auto"/>
          <w:szCs w:val="21"/>
          <w:highlight w:val="none"/>
        </w:rPr>
      </w:pPr>
    </w:p>
    <w:p>
      <w:pPr>
        <w:spacing w:line="400" w:lineRule="exact"/>
        <w:rPr>
          <w:rFonts w:hint="eastAsia" w:ascii="宋体" w:hAnsi="宋体" w:cs="宋体"/>
          <w:b/>
          <w:color w:val="auto"/>
          <w:szCs w:val="21"/>
          <w:highlight w:val="none"/>
        </w:rPr>
      </w:pPr>
    </w:p>
    <w:p>
      <w:pPr>
        <w:spacing w:line="400" w:lineRule="exact"/>
        <w:rPr>
          <w:rFonts w:hint="eastAsia" w:ascii="宋体" w:hAnsi="宋体" w:cs="宋体"/>
          <w:b/>
          <w:color w:val="auto"/>
          <w:szCs w:val="21"/>
          <w:highlight w:val="none"/>
        </w:rPr>
      </w:pPr>
    </w:p>
    <w:p>
      <w:pPr>
        <w:spacing w:line="400" w:lineRule="exact"/>
        <w:rPr>
          <w:rFonts w:hint="eastAsia" w:ascii="宋体" w:hAnsi="宋体" w:cs="宋体"/>
          <w:b/>
          <w:color w:val="auto"/>
          <w:szCs w:val="21"/>
          <w:highlight w:val="none"/>
        </w:rPr>
      </w:pPr>
    </w:p>
    <w:p>
      <w:pPr>
        <w:spacing w:line="400" w:lineRule="exact"/>
        <w:rPr>
          <w:rFonts w:hint="eastAsia" w:ascii="宋体" w:hAnsi="宋体" w:cs="宋体"/>
          <w:b/>
          <w:color w:val="auto"/>
          <w:szCs w:val="21"/>
          <w:highlight w:val="none"/>
        </w:rPr>
      </w:pPr>
    </w:p>
    <w:p>
      <w:pPr>
        <w:spacing w:line="400" w:lineRule="exact"/>
        <w:rPr>
          <w:rFonts w:hint="eastAsia" w:ascii="宋体" w:hAnsi="宋体" w:cs="宋体"/>
          <w:b/>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cs="宋体"/>
          <w:color w:val="auto"/>
          <w:szCs w:val="21"/>
          <w:highlight w:val="none"/>
          <w:lang w:eastAsia="zh-CN"/>
        </w:rPr>
        <w:t>投标供应商</w:t>
      </w:r>
      <w:r>
        <w:rPr>
          <w:rFonts w:hint="eastAsia" w:ascii="宋体" w:hAnsi="宋体" w:cs="宋体"/>
          <w:color w:val="auto"/>
          <w:szCs w:val="21"/>
          <w:highlight w:val="none"/>
        </w:rPr>
        <w:t>盖章（公章）：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法定代表人或授权代表（签字或盖章）：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11"/>
        <w:rPr>
          <w:rFonts w:hint="eastAsia" w:ascii="宋体" w:hAnsi="宋体" w:cs="宋体"/>
          <w:color w:val="auto"/>
          <w:szCs w:val="21"/>
          <w:highlight w:val="none"/>
        </w:rPr>
      </w:pPr>
    </w:p>
    <w:p>
      <w:pPr>
        <w:pStyle w:val="11"/>
        <w:rPr>
          <w:rFonts w:hint="eastAsia" w:ascii="宋体" w:hAnsi="宋体" w:cs="宋体"/>
          <w:color w:val="auto"/>
          <w:szCs w:val="21"/>
          <w:highlight w:val="none"/>
        </w:rPr>
      </w:pPr>
    </w:p>
    <w:p>
      <w:pPr>
        <w:rPr>
          <w:rFonts w:hint="eastAsia" w:eastAsia="宋体"/>
          <w:color w:val="auto"/>
          <w:highlight w:val="none"/>
          <w:lang w:eastAsia="zh-CN"/>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p>
    <w:p>
      <w:pPr>
        <w:pStyle w:val="11"/>
        <w:ind w:left="0" w:leftChars="0" w:firstLine="0" w:firstLineChars="0"/>
        <w:rPr>
          <w:rFonts w:hint="eastAsia" w:ascii="宋体" w:hAnsi="宋体" w:cs="宋体"/>
          <w:color w:val="auto"/>
          <w:szCs w:val="21"/>
          <w:highlight w:val="none"/>
        </w:rPr>
      </w:pPr>
    </w:p>
    <w:p>
      <w:pPr>
        <w:pStyle w:val="11"/>
        <w:rPr>
          <w:rFonts w:hint="eastAsia" w:ascii="宋体" w:hAnsi="宋体" w:cs="宋体"/>
          <w:color w:val="auto"/>
          <w:szCs w:val="21"/>
          <w:highlight w:val="none"/>
        </w:rPr>
        <w:sectPr>
          <w:pgSz w:w="11906" w:h="16838"/>
          <w:pgMar w:top="1701" w:right="1418" w:bottom="1134" w:left="1418" w:header="851" w:footer="992" w:gutter="0"/>
          <w:cols w:space="720" w:num="1"/>
          <w:docGrid w:linePitch="312" w:charSpace="0"/>
        </w:sectPr>
      </w:pPr>
    </w:p>
    <w:p>
      <w:pPr>
        <w:pStyle w:val="17"/>
        <w:widowControl w:val="0"/>
        <w:spacing w:before="0" w:beforeAutospacing="0" w:after="120" w:afterAutospacing="0" w:line="520" w:lineRule="exact"/>
        <w:ind w:left="480" w:leftChars="200"/>
        <w:rPr>
          <w:rStyle w:val="29"/>
          <w:rFonts w:hint="eastAsia" w:ascii="宋体" w:cs="宋体"/>
          <w:color w:val="auto"/>
          <w:sz w:val="21"/>
          <w:szCs w:val="21"/>
          <w:highlight w:val="none"/>
        </w:rPr>
      </w:pPr>
      <w:r>
        <w:rPr>
          <w:rStyle w:val="29"/>
          <w:rFonts w:hint="eastAsia" w:ascii="宋体" w:cs="宋体"/>
          <w:color w:val="auto"/>
          <w:sz w:val="21"/>
          <w:szCs w:val="21"/>
          <w:highlight w:val="none"/>
        </w:rPr>
        <w:t>4、</w:t>
      </w:r>
      <w:r>
        <w:rPr>
          <w:rFonts w:hint="eastAsia" w:cs="宋体"/>
          <w:b/>
          <w:color w:val="auto"/>
          <w:kern w:val="2"/>
          <w:sz w:val="21"/>
          <w:szCs w:val="21"/>
          <w:highlight w:val="none"/>
        </w:rPr>
        <w:t>中小企业声明函</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中小企业声明函</w:t>
      </w:r>
    </w:p>
    <w:p>
      <w:pPr>
        <w:spacing w:line="360" w:lineRule="auto"/>
        <w:rPr>
          <w:rFonts w:hint="eastAsia" w:ascii="宋体" w:hAnsi="宋体" w:cs="宋体"/>
          <w:b/>
          <w:color w:val="auto"/>
          <w:spacing w:val="6"/>
          <w:szCs w:val="21"/>
          <w:highlight w:val="none"/>
        </w:rPr>
      </w:pP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全部由符合政策要求的中小企业</w:t>
      </w:r>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软件和信息技术服务业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i/>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（采购档中明确的所属行业）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承接企业</w:t>
      </w:r>
      <w:r>
        <w:rPr>
          <w:rFonts w:hint="eastAsia" w:ascii="宋体" w:hAnsi="宋体" w:eastAsia="宋体" w:cs="宋体"/>
          <w:color w:val="auto"/>
          <w:sz w:val="21"/>
          <w:szCs w:val="21"/>
          <w:highlight w:val="none"/>
        </w:rPr>
        <w:t>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企业名称（盖章）：</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pPr>
        <w:widowControl/>
        <w:spacing w:line="360" w:lineRule="auto"/>
        <w:ind w:firstLine="506" w:firstLineChars="200"/>
        <w:jc w:val="left"/>
        <w:rPr>
          <w:rFonts w:hint="eastAsia" w:ascii="宋体" w:hAnsi="宋体" w:cs="宋体"/>
          <w:b/>
          <w:color w:val="auto"/>
          <w:spacing w:val="6"/>
          <w:szCs w:val="21"/>
          <w:highlight w:val="none"/>
        </w:rPr>
      </w:pPr>
    </w:p>
    <w:p>
      <w:pPr>
        <w:widowControl/>
        <w:spacing w:line="360" w:lineRule="auto"/>
        <w:ind w:firstLine="506" w:firstLineChars="200"/>
        <w:jc w:val="left"/>
        <w:rPr>
          <w:rFonts w:hint="eastAsia" w:ascii="宋体" w:hAnsi="宋体" w:cs="宋体"/>
          <w:b/>
          <w:color w:val="auto"/>
          <w:spacing w:val="6"/>
          <w:szCs w:val="21"/>
          <w:highlight w:val="none"/>
        </w:rPr>
      </w:pPr>
    </w:p>
    <w:p>
      <w:pPr>
        <w:widowControl/>
        <w:spacing w:line="360" w:lineRule="auto"/>
        <w:ind w:firstLine="506" w:firstLineChars="200"/>
        <w:jc w:val="left"/>
        <w:rPr>
          <w:rFonts w:hint="eastAsia" w:ascii="宋体" w:hAnsi="宋体" w:cs="宋体"/>
          <w:b/>
          <w:color w:val="auto"/>
          <w:spacing w:val="6"/>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rPr>
          <w:rFonts w:hint="eastAsia" w:ascii="宋体" w:hAnsi="宋体" w:cs="宋体"/>
          <w:b/>
          <w:color w:val="auto"/>
          <w:spacing w:val="6"/>
          <w:szCs w:val="21"/>
          <w:highlight w:val="none"/>
        </w:rPr>
      </w:pPr>
    </w:p>
    <w:p>
      <w:pPr>
        <w:spacing w:line="360" w:lineRule="auto"/>
        <w:rPr>
          <w:rFonts w:hint="eastAsia" w:ascii="宋体" w:hAnsi="宋体" w:cs="宋体"/>
          <w:b/>
          <w:color w:val="auto"/>
          <w:spacing w:val="6"/>
          <w:szCs w:val="21"/>
          <w:highlight w:val="none"/>
        </w:rPr>
      </w:pPr>
    </w:p>
    <w:p>
      <w:pPr>
        <w:rPr>
          <w:rFonts w:hint="default" w:eastAsia="宋体"/>
          <w:color w:val="auto"/>
          <w:highlight w:val="none"/>
          <w:lang w:val="en-US" w:eastAsia="zh-CN"/>
        </w:rPr>
      </w:pPr>
      <w:r>
        <w:rPr>
          <w:rFonts w:hint="eastAsia"/>
          <w:color w:val="auto"/>
          <w:highlight w:val="none"/>
        </w:rPr>
        <w:t>备注：若联合体参加投标，</w:t>
      </w:r>
      <w:r>
        <w:rPr>
          <w:rFonts w:hint="eastAsia"/>
          <w:color w:val="auto"/>
          <w:highlight w:val="none"/>
          <w:lang w:val="en-US" w:eastAsia="zh-CN"/>
        </w:rPr>
        <w:t>此表需要联合体双方提供。</w:t>
      </w:r>
    </w:p>
    <w:p>
      <w:pPr>
        <w:spacing w:line="360" w:lineRule="auto"/>
        <w:rPr>
          <w:rFonts w:hint="eastAsia" w:ascii="宋体" w:hAnsi="宋体" w:cs="宋体"/>
          <w:color w:val="auto"/>
          <w:szCs w:val="21"/>
          <w:highlight w:val="none"/>
        </w:rPr>
      </w:pPr>
      <w:r>
        <w:rPr>
          <w:rFonts w:hint="eastAsia" w:ascii="宋体" w:hAnsi="宋体" w:cs="宋体"/>
          <w:b/>
          <w:color w:val="auto"/>
          <w:spacing w:val="6"/>
          <w:szCs w:val="21"/>
          <w:highlight w:val="none"/>
        </w:rPr>
        <w:br w:type="page"/>
      </w:r>
    </w:p>
    <w:p>
      <w:pPr>
        <w:numPr>
          <w:ilvl w:val="0"/>
          <w:numId w:val="15"/>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残疾人福利性单位声明函</w:t>
      </w:r>
    </w:p>
    <w:p>
      <w:pPr>
        <w:pStyle w:val="18"/>
        <w:ind w:firstLine="0" w:firstLineChars="0"/>
        <w:rPr>
          <w:rFonts w:hint="eastAsia" w:ascii="宋体" w:hAnsi="宋体" w:eastAsia="宋体" w:cs="宋体"/>
          <w:color w:val="auto"/>
          <w:szCs w:val="21"/>
          <w:highlight w:val="none"/>
        </w:rPr>
      </w:pPr>
    </w:p>
    <w:p>
      <w:pPr>
        <w:spacing w:line="48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残疾人福利性单位声明函（如是，请提供）</w:t>
      </w:r>
    </w:p>
    <w:p>
      <w:pPr>
        <w:spacing w:line="480" w:lineRule="auto"/>
        <w:ind w:firstLine="50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rPr>
          <w:rFonts w:hint="eastAsia" w:ascii="宋体" w:hAnsi="宋体" w:cs="宋体"/>
          <w:color w:val="auto"/>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17"/>
        <w:widowControl w:val="0"/>
        <w:spacing w:before="0" w:beforeAutospacing="0" w:after="120" w:afterAutospacing="0" w:line="480" w:lineRule="exact"/>
        <w:ind w:left="480" w:leftChars="200"/>
        <w:jc w:val="both"/>
        <w:rPr>
          <w:rFonts w:hint="eastAsia" w:cs="宋体"/>
          <w:color w:val="auto"/>
          <w:sz w:val="21"/>
          <w:szCs w:val="21"/>
          <w:highlight w:val="none"/>
        </w:rPr>
      </w:pPr>
      <w:r>
        <w:rPr>
          <w:rFonts w:hint="eastAsia" w:cs="宋体"/>
          <w:color w:val="auto"/>
          <w:kern w:val="2"/>
          <w:sz w:val="21"/>
          <w:szCs w:val="21"/>
          <w:highlight w:val="none"/>
        </w:rPr>
        <w:t>企业名称（盖章）：</w:t>
      </w:r>
    </w:p>
    <w:p>
      <w:pP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pPr>
        <w:spacing w:line="360" w:lineRule="auto"/>
        <w:rPr>
          <w:rFonts w:hint="eastAsia" w:ascii="宋体" w:hAnsi="宋体" w:cs="宋体"/>
          <w:color w:val="auto"/>
          <w:szCs w:val="21"/>
          <w:highlight w:val="none"/>
        </w:rPr>
      </w:pPr>
    </w:p>
    <w:p>
      <w:pPr>
        <w:pStyle w:val="11"/>
        <w:rPr>
          <w:rFonts w:hint="eastAsia" w:ascii="宋体" w:hAnsi="宋体" w:cs="宋体"/>
          <w:color w:val="auto"/>
          <w:szCs w:val="21"/>
          <w:highlight w:val="none"/>
        </w:rPr>
      </w:pPr>
    </w:p>
    <w:p>
      <w:pPr>
        <w:pStyle w:val="11"/>
        <w:rPr>
          <w:rFonts w:hint="eastAsia" w:ascii="宋体" w:hAnsi="宋体" w:cs="宋体"/>
          <w:color w:val="auto"/>
          <w:szCs w:val="21"/>
          <w:highlight w:val="none"/>
        </w:rPr>
      </w:pPr>
    </w:p>
    <w:p>
      <w:pPr>
        <w:rPr>
          <w:rFonts w:hint="eastAsia" w:eastAsia="宋体"/>
          <w:color w:val="auto"/>
          <w:highlight w:val="none"/>
          <w:lang w:eastAsia="zh-CN"/>
        </w:rPr>
      </w:pPr>
      <w:r>
        <w:rPr>
          <w:rFonts w:hint="eastAsia"/>
          <w:color w:val="auto"/>
          <w:highlight w:val="none"/>
        </w:rPr>
        <w:t>备注：若联合体参加投标，</w:t>
      </w:r>
      <w:r>
        <w:rPr>
          <w:rFonts w:hint="eastAsia"/>
          <w:color w:val="auto"/>
          <w:highlight w:val="none"/>
          <w:lang w:eastAsia="zh-CN"/>
        </w:rPr>
        <w:t>投标供应商</w:t>
      </w:r>
      <w:r>
        <w:rPr>
          <w:rFonts w:hint="eastAsia"/>
          <w:color w:val="auto"/>
          <w:highlight w:val="none"/>
        </w:rPr>
        <w:t>盖章为联合体牵头人</w:t>
      </w:r>
      <w:r>
        <w:rPr>
          <w:rFonts w:hint="eastAsia"/>
          <w:color w:val="auto"/>
          <w:highlight w:val="none"/>
          <w:lang w:eastAsia="zh-CN"/>
        </w:rPr>
        <w:t>。</w:t>
      </w:r>
    </w:p>
    <w:p>
      <w:pPr>
        <w:spacing w:line="360" w:lineRule="auto"/>
        <w:rPr>
          <w:rFonts w:hint="eastAsia" w:ascii="宋体" w:hAnsi="宋体" w:cs="宋体"/>
          <w:color w:val="auto"/>
          <w:szCs w:val="21"/>
          <w:highlight w:val="none"/>
        </w:rPr>
      </w:pPr>
    </w:p>
    <w:p>
      <w:pPr>
        <w:rPr>
          <w:color w:val="auto"/>
          <w:highlight w:val="none"/>
        </w:rPr>
      </w:pPr>
    </w:p>
    <w:sectPr>
      <w:headerReference r:id="rId13" w:type="default"/>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2</w: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fldChar w:fldCharType="begin"/>
    </w:r>
    <w:r>
      <w:rPr>
        <w:rStyle w:val="23"/>
      </w:rPr>
      <w:instrText xml:space="preserve">PAGE  </w:instrText>
    </w:r>
    <w:r>
      <w:fldChar w:fldCharType="separate"/>
    </w:r>
    <w:r>
      <w:rPr>
        <w:rStyle w:val="23"/>
      </w:rPr>
      <w:t>13</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80"/>
      <w:jc w:val="center"/>
    </w:pPr>
    <w:r>
      <w:fldChar w:fldCharType="begin"/>
    </w:r>
    <w:r>
      <w:instrText xml:space="preserve">PAGE   \* MERGEFORMAT</w:instrText>
    </w:r>
    <w:r>
      <w:fldChar w:fldCharType="separate"/>
    </w:r>
    <w:r>
      <w:rPr>
        <w:lang w:val="zh-CN"/>
      </w:rPr>
      <w:t>50</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5D1F2"/>
    <w:multiLevelType w:val="multilevel"/>
    <w:tmpl w:val="8CA5D1F2"/>
    <w:lvl w:ilvl="0" w:tentative="0">
      <w:start w:val="2"/>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536D482"/>
    <w:multiLevelType w:val="singleLevel"/>
    <w:tmpl w:val="9536D482"/>
    <w:lvl w:ilvl="0" w:tentative="0">
      <w:start w:val="6"/>
      <w:numFmt w:val="chineseCounting"/>
      <w:suff w:val="space"/>
      <w:lvlText w:val="第%1章"/>
      <w:lvlJc w:val="left"/>
      <w:rPr>
        <w:rFonts w:hint="eastAsia"/>
      </w:rPr>
    </w:lvl>
  </w:abstractNum>
  <w:abstractNum w:abstractNumId="2">
    <w:nsid w:val="DE10D489"/>
    <w:multiLevelType w:val="singleLevel"/>
    <w:tmpl w:val="DE10D489"/>
    <w:lvl w:ilvl="0" w:tentative="0">
      <w:start w:val="1"/>
      <w:numFmt w:val="decimal"/>
      <w:suff w:val="nothing"/>
      <w:lvlText w:val="%1、"/>
      <w:lvlJc w:val="left"/>
    </w:lvl>
  </w:abstractNum>
  <w:abstractNum w:abstractNumId="3">
    <w:nsid w:val="00000006"/>
    <w:multiLevelType w:val="multilevel"/>
    <w:tmpl w:val="00000006"/>
    <w:lvl w:ilvl="0" w:tentative="0">
      <w:start w:val="1"/>
      <w:numFmt w:val="decimal"/>
      <w:isLgl/>
      <w:lvlText w:val="%1."/>
      <w:lvlJc w:val="left"/>
      <w:pPr>
        <w:tabs>
          <w:tab w:val="left" w:pos="360"/>
        </w:tabs>
        <w:ind w:left="360" w:hanging="360"/>
      </w:pPr>
      <w:rPr>
        <w:rFonts w:hint="eastAsia"/>
      </w:rPr>
    </w:lvl>
    <w:lvl w:ilvl="1" w:tentative="0">
      <w:start w:val="1"/>
      <w:numFmt w:val="decimal"/>
      <w:isLgl/>
      <w:lvlText w:val="%1.%2."/>
      <w:lvlJc w:val="left"/>
      <w:pPr>
        <w:tabs>
          <w:tab w:val="left" w:pos="792"/>
        </w:tabs>
        <w:ind w:left="792" w:hanging="432"/>
      </w:pPr>
      <w:rPr>
        <w:rFonts w:hint="eastAsia"/>
      </w:rPr>
    </w:lvl>
    <w:lvl w:ilvl="2" w:tentative="0">
      <w:start w:val="1"/>
      <w:numFmt w:val="decimal"/>
      <w:pStyle w:val="6"/>
      <w:isLgl/>
      <w:lvlText w:val="%1.%2.%3."/>
      <w:lvlJc w:val="left"/>
      <w:pPr>
        <w:tabs>
          <w:tab w:val="left" w:pos="1224"/>
        </w:tabs>
        <w:ind w:left="1224" w:hanging="504"/>
      </w:pPr>
      <w:rPr>
        <w:rFonts w:hint="eastAsia"/>
      </w:rPr>
    </w:lvl>
    <w:lvl w:ilvl="3" w:tentative="0">
      <w:start w:val="1"/>
      <w:numFmt w:val="decimal"/>
      <w:isLgl/>
      <w:lvlText w:val="%1.%2.%3.%4."/>
      <w:lvlJc w:val="left"/>
      <w:pPr>
        <w:tabs>
          <w:tab w:val="left" w:pos="1800"/>
        </w:tabs>
        <w:ind w:left="1728" w:hanging="648"/>
      </w:pPr>
      <w:rPr>
        <w:rFonts w:hint="eastAsia"/>
      </w:rPr>
    </w:lvl>
    <w:lvl w:ilvl="4" w:tentative="0">
      <w:start w:val="1"/>
      <w:numFmt w:val="decimal"/>
      <w:isLgl/>
      <w:lvlText w:val="%1.%2.%3.%4.%5."/>
      <w:lvlJc w:val="left"/>
      <w:pPr>
        <w:tabs>
          <w:tab w:val="left" w:pos="2520"/>
        </w:tabs>
        <w:ind w:left="2232" w:hanging="792"/>
      </w:pPr>
      <w:rPr>
        <w:rFonts w:hint="eastAsia"/>
      </w:rPr>
    </w:lvl>
    <w:lvl w:ilvl="5" w:tentative="0">
      <w:start w:val="1"/>
      <w:numFmt w:val="decimal"/>
      <w:lvlText w:val="%1.%2.%3.%4.%5.%6."/>
      <w:lvlJc w:val="left"/>
      <w:pPr>
        <w:tabs>
          <w:tab w:val="left" w:pos="2880"/>
        </w:tabs>
        <w:ind w:left="2736" w:hanging="936"/>
      </w:pPr>
      <w:rPr>
        <w:rFonts w:hint="eastAsia"/>
      </w:rPr>
    </w:lvl>
    <w:lvl w:ilvl="6" w:tentative="0">
      <w:start w:val="1"/>
      <w:numFmt w:val="decimal"/>
      <w:lvlText w:val="%1.%2.%3.%4.%5.%6.%7."/>
      <w:lvlJc w:val="left"/>
      <w:pPr>
        <w:tabs>
          <w:tab w:val="left" w:pos="3600"/>
        </w:tabs>
        <w:ind w:left="3240" w:hanging="1080"/>
      </w:pPr>
      <w:rPr>
        <w:rFonts w:hint="eastAsia"/>
      </w:rPr>
    </w:lvl>
    <w:lvl w:ilvl="7" w:tentative="0">
      <w:start w:val="1"/>
      <w:numFmt w:val="decimal"/>
      <w:lvlText w:val="%1.%2.%3.%4.%5.%6.%7.%8."/>
      <w:lvlJc w:val="left"/>
      <w:pPr>
        <w:tabs>
          <w:tab w:val="left" w:pos="3960"/>
        </w:tabs>
        <w:ind w:left="3744" w:hanging="1224"/>
      </w:pPr>
      <w:rPr>
        <w:rFonts w:hint="eastAsia"/>
      </w:rPr>
    </w:lvl>
    <w:lvl w:ilvl="8" w:tentative="0">
      <w:start w:val="1"/>
      <w:numFmt w:val="decimal"/>
      <w:lvlText w:val="%1.%2.%3.%4.%5.%6.%7.%8.%9."/>
      <w:lvlJc w:val="left"/>
      <w:pPr>
        <w:tabs>
          <w:tab w:val="left" w:pos="4680"/>
        </w:tabs>
        <w:ind w:left="4320" w:hanging="1440"/>
      </w:pPr>
      <w:rPr>
        <w:rFonts w:hint="eastAsia"/>
      </w:rPr>
    </w:lvl>
  </w:abstractNum>
  <w:abstractNum w:abstractNumId="4">
    <w:nsid w:val="0000000D"/>
    <w:multiLevelType w:val="multilevel"/>
    <w:tmpl w:val="0000000D"/>
    <w:lvl w:ilvl="0" w:tentative="0">
      <w:start w:val="1"/>
      <w:numFmt w:val="decimal"/>
      <w:pStyle w:val="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9665AB"/>
    <w:multiLevelType w:val="singleLevel"/>
    <w:tmpl w:val="019665AB"/>
    <w:lvl w:ilvl="0" w:tentative="0">
      <w:start w:val="1"/>
      <w:numFmt w:val="decimal"/>
      <w:suff w:val="nothing"/>
      <w:lvlText w:val="%1、"/>
      <w:lvlJc w:val="left"/>
    </w:lvl>
  </w:abstractNum>
  <w:abstractNum w:abstractNumId="6">
    <w:nsid w:val="04695ABB"/>
    <w:multiLevelType w:val="multilevel"/>
    <w:tmpl w:val="04695AB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1A9C463D"/>
    <w:multiLevelType w:val="singleLevel"/>
    <w:tmpl w:val="1A9C463D"/>
    <w:lvl w:ilvl="0" w:tentative="0">
      <w:start w:val="1"/>
      <w:numFmt w:val="chineseCounting"/>
      <w:suff w:val="nothing"/>
      <w:lvlText w:val="%1、"/>
      <w:lvlJc w:val="left"/>
      <w:rPr>
        <w:rFonts w:hint="eastAsia"/>
      </w:rPr>
    </w:lvl>
  </w:abstractNum>
  <w:abstractNum w:abstractNumId="8">
    <w:nsid w:val="3664516D"/>
    <w:multiLevelType w:val="multilevel"/>
    <w:tmpl w:val="3664516D"/>
    <w:lvl w:ilvl="0" w:tentative="0">
      <w:start w:val="1"/>
      <w:numFmt w:val="chineseCountingThousand"/>
      <w:pStyle w:val="26"/>
      <w:suff w:val="space"/>
      <w:lvlText w:val="第%1章"/>
      <w:lvlJc w:val="center"/>
      <w:pPr>
        <w:ind w:left="0" w:firstLine="288"/>
      </w:pPr>
      <w:rPr>
        <w:rFonts w:hint="eastAsia" w:eastAsia="宋体"/>
        <w:b/>
        <w:i w:val="0"/>
        <w:sz w:val="32"/>
      </w:rPr>
    </w:lvl>
    <w:lvl w:ilvl="1" w:tentative="0">
      <w:start w:val="1"/>
      <w:numFmt w:val="chineseCountingThousand"/>
      <w:pStyle w:val="25"/>
      <w:suff w:val="nothing"/>
      <w:lvlText w:val="%2、"/>
      <w:lvlJc w:val="left"/>
      <w:pPr>
        <w:ind w:left="0" w:firstLine="0"/>
      </w:pPr>
      <w:rPr>
        <w:rFonts w:hint="eastAsia" w:eastAsia="宋体"/>
        <w:b/>
        <w:i w:val="0"/>
        <w:sz w:val="30"/>
      </w:rPr>
    </w:lvl>
    <w:lvl w:ilvl="2" w:tentative="0">
      <w:start w:val="1"/>
      <w:numFmt w:val="decimal"/>
      <w:suff w:val="nothing"/>
      <w:lvlText w:val="%3、"/>
      <w:lvlJc w:val="left"/>
      <w:pPr>
        <w:ind w:left="0" w:firstLine="0"/>
      </w:pPr>
      <w:rPr>
        <w:rFonts w:hint="eastAsia" w:ascii="宋体" w:hAnsi="宋体" w:eastAsia="宋体"/>
        <w:b/>
        <w:i w:val="0"/>
        <w:sz w:val="28"/>
      </w:rPr>
    </w:lvl>
    <w:lvl w:ilvl="3" w:tentative="0">
      <w:start w:val="1"/>
      <w:numFmt w:val="decimal"/>
      <w:suff w:val="nothing"/>
      <w:lvlText w:val="%3.%4、"/>
      <w:lvlJc w:val="left"/>
      <w:pPr>
        <w:ind w:left="0" w:firstLine="0"/>
      </w:pPr>
      <w:rPr>
        <w:rFonts w:hint="eastAsia" w:ascii="宋体" w:hAnsi="宋体" w:eastAsia="宋体"/>
        <w:b/>
        <w:i w:val="0"/>
        <w:sz w:val="28"/>
      </w:rPr>
    </w:lvl>
    <w:lvl w:ilvl="4" w:tentative="0">
      <w:start w:val="1"/>
      <w:numFmt w:val="decimal"/>
      <w:suff w:val="nothing"/>
      <w:lvlText w:val="%3.%4.%5、"/>
      <w:lvlJc w:val="left"/>
      <w:pPr>
        <w:ind w:left="0" w:firstLine="0"/>
      </w:pPr>
      <w:rPr>
        <w:rFonts w:hint="eastAsia" w:ascii="宋体" w:hAnsi="宋体" w:eastAsia="宋体"/>
        <w:b/>
        <w:i w:val="0"/>
        <w:sz w:val="28"/>
      </w:rPr>
    </w:lvl>
    <w:lvl w:ilvl="5" w:tentative="0">
      <w:start w:val="1"/>
      <w:numFmt w:val="decimal"/>
      <w:suff w:val="nothing"/>
      <w:lvlText w:val="%3.%4.%5.%6、"/>
      <w:lvlJc w:val="left"/>
      <w:pPr>
        <w:ind w:left="0" w:firstLine="0"/>
      </w:pPr>
      <w:rPr>
        <w:rFonts w:hint="eastAsia" w:ascii="宋体" w:hAnsi="宋体" w:eastAsia="宋体"/>
        <w:b/>
        <w:i w:val="0"/>
        <w:sz w:val="24"/>
      </w:rPr>
    </w:lvl>
    <w:lvl w:ilvl="6" w:tentative="0">
      <w:start w:val="1"/>
      <w:numFmt w:val="chineseCountingThousand"/>
      <w:suff w:val="nothing"/>
      <w:lvlText w:val="（%7）、"/>
      <w:lvlJc w:val="left"/>
      <w:pPr>
        <w:ind w:left="0" w:firstLine="0"/>
      </w:pPr>
      <w:rPr>
        <w:rFonts w:hint="eastAsia" w:eastAsia="宋体"/>
        <w:b/>
        <w:i w:val="0"/>
        <w:sz w:val="24"/>
      </w:rPr>
    </w:lvl>
    <w:lvl w:ilvl="7" w:tentative="0">
      <w:start w:val="1"/>
      <w:numFmt w:val="decimal"/>
      <w:suff w:val="space"/>
      <w:lvlText w:val="（%8）、"/>
      <w:lvlJc w:val="left"/>
      <w:pPr>
        <w:ind w:left="0" w:firstLine="0"/>
      </w:pPr>
      <w:rPr>
        <w:rFonts w:hint="eastAsia" w:ascii="宋体" w:hAnsi="宋体" w:eastAsia="宋体"/>
        <w:b/>
        <w:i w:val="0"/>
        <w:sz w:val="24"/>
      </w:rPr>
    </w:lvl>
    <w:lvl w:ilvl="8" w:tentative="0">
      <w:start w:val="1"/>
      <w:numFmt w:val="bullet"/>
      <w:suff w:val="space"/>
      <w:lvlText w:val=""/>
      <w:lvlJc w:val="left"/>
      <w:pPr>
        <w:ind w:left="0" w:firstLine="0"/>
      </w:pPr>
      <w:rPr>
        <w:rFonts w:hint="default" w:ascii="Symbol" w:hAnsi="Symbol"/>
        <w:b/>
        <w:i w:val="0"/>
        <w:color w:val="auto"/>
        <w:sz w:val="24"/>
      </w:rPr>
    </w:lvl>
  </w:abstractNum>
  <w:abstractNum w:abstractNumId="9">
    <w:nsid w:val="46EF1294"/>
    <w:multiLevelType w:val="multilevel"/>
    <w:tmpl w:val="46EF129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65D27010"/>
    <w:multiLevelType w:val="multilevel"/>
    <w:tmpl w:val="65D270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BB0B59"/>
    <w:multiLevelType w:val="multilevel"/>
    <w:tmpl w:val="68BB0B5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71598737"/>
    <w:multiLevelType w:val="multilevel"/>
    <w:tmpl w:val="71598737"/>
    <w:lvl w:ilvl="0" w:tentative="0">
      <w:start w:val="1"/>
      <w:numFmt w:val="decimal"/>
      <w:lvlText w:val="第%1章."/>
      <w:lvlJc w:val="left"/>
      <w:pPr>
        <w:ind w:left="113" w:hanging="113"/>
      </w:pPr>
      <w:rPr>
        <w:rFonts w:hint="eastAsia"/>
      </w:rPr>
    </w:lvl>
    <w:lvl w:ilvl="1" w:tentative="0">
      <w:start w:val="1"/>
      <w:numFmt w:val="decimal"/>
      <w:lvlText w:val="%1.%2."/>
      <w:lvlJc w:val="left"/>
      <w:pPr>
        <w:ind w:left="113" w:hanging="113"/>
      </w:pPr>
      <w:rPr>
        <w:rFonts w:hint="default"/>
      </w:rPr>
    </w:lvl>
    <w:lvl w:ilvl="2" w:tentative="0">
      <w:start w:val="1"/>
      <w:numFmt w:val="decimal"/>
      <w:lvlText w:val="%1.%2.%3."/>
      <w:lvlJc w:val="left"/>
      <w:pPr>
        <w:ind w:left="113" w:hanging="113"/>
      </w:pPr>
      <w:rPr>
        <w:rFonts w:hint="default"/>
      </w:rPr>
    </w:lvl>
    <w:lvl w:ilvl="3" w:tentative="0">
      <w:start w:val="1"/>
      <w:numFmt w:val="decimal"/>
      <w:pStyle w:val="7"/>
      <w:lvlText w:val="%1.%2.%3.%4."/>
      <w:lvlJc w:val="left"/>
      <w:pPr>
        <w:ind w:left="113" w:hanging="113"/>
      </w:pPr>
      <w:rPr>
        <w:rFonts w:hint="default"/>
      </w:rPr>
    </w:lvl>
    <w:lvl w:ilvl="4" w:tentative="0">
      <w:start w:val="1"/>
      <w:numFmt w:val="decimal"/>
      <w:pStyle w:val="8"/>
      <w:lvlText w:val="%1.%2.%3.%4.%5."/>
      <w:lvlJc w:val="left"/>
      <w:pPr>
        <w:ind w:left="113" w:hanging="113"/>
      </w:pPr>
      <w:rPr>
        <w:rFonts w:hint="default"/>
      </w:rPr>
    </w:lvl>
    <w:lvl w:ilvl="5" w:tentative="0">
      <w:start w:val="1"/>
      <w:numFmt w:val="decimal"/>
      <w:pStyle w:val="9"/>
      <w:lvlText w:val="%1.%2.%3.%4.%5.%6."/>
      <w:lvlJc w:val="left"/>
      <w:pPr>
        <w:ind w:left="113" w:hanging="113"/>
      </w:pPr>
      <w:rPr>
        <w:rFonts w:hint="default"/>
      </w:rPr>
    </w:lvl>
    <w:lvl w:ilvl="6" w:tentative="0">
      <w:start w:val="1"/>
      <w:numFmt w:val="decimal"/>
      <w:lvlText w:val="%1.%2.%3.%4.%5.%6.%7."/>
      <w:lvlJc w:val="left"/>
      <w:pPr>
        <w:ind w:left="113" w:hanging="113"/>
      </w:pPr>
      <w:rPr>
        <w:rFonts w:hint="default"/>
      </w:rPr>
    </w:lvl>
    <w:lvl w:ilvl="7" w:tentative="0">
      <w:start w:val="1"/>
      <w:numFmt w:val="decimal"/>
      <w:lvlText w:val="%1.%2.%3.%4.%5.%6.%7.%8."/>
      <w:lvlJc w:val="left"/>
      <w:pPr>
        <w:ind w:left="113" w:hanging="113"/>
      </w:pPr>
      <w:rPr>
        <w:rFonts w:hint="default"/>
      </w:rPr>
    </w:lvl>
    <w:lvl w:ilvl="8" w:tentative="0">
      <w:start w:val="1"/>
      <w:numFmt w:val="decimal"/>
      <w:lvlText w:val="%1.%2.%3.%4.%5.%6.%7.%8.%9."/>
      <w:lvlJc w:val="left"/>
      <w:pPr>
        <w:ind w:left="113" w:hanging="113"/>
      </w:pPr>
      <w:rPr>
        <w:rFonts w:hint="default"/>
      </w:rPr>
    </w:lvl>
  </w:abstractNum>
  <w:abstractNum w:abstractNumId="13">
    <w:nsid w:val="749218DA"/>
    <w:multiLevelType w:val="singleLevel"/>
    <w:tmpl w:val="749218DA"/>
    <w:lvl w:ilvl="0" w:tentative="0">
      <w:start w:val="5"/>
      <w:numFmt w:val="decimal"/>
      <w:suff w:val="nothing"/>
      <w:lvlText w:val="%1、"/>
      <w:lvlJc w:val="left"/>
    </w:lvl>
  </w:abstractNum>
  <w:abstractNum w:abstractNumId="14">
    <w:nsid w:val="792CEC21"/>
    <w:multiLevelType w:val="singleLevel"/>
    <w:tmpl w:val="792CEC21"/>
    <w:lvl w:ilvl="0" w:tentative="0">
      <w:start w:val="1"/>
      <w:numFmt w:val="decimal"/>
      <w:suff w:val="nothing"/>
      <w:lvlText w:val="（%1）"/>
      <w:lvlJc w:val="left"/>
    </w:lvl>
  </w:abstractNum>
  <w:num w:numId="1">
    <w:abstractNumId w:val="4"/>
  </w:num>
  <w:num w:numId="2">
    <w:abstractNumId w:val="3"/>
  </w:num>
  <w:num w:numId="3">
    <w:abstractNumId w:val="12"/>
  </w:num>
  <w:num w:numId="4">
    <w:abstractNumId w:val="8"/>
  </w:num>
  <w:num w:numId="5">
    <w:abstractNumId w:val="7"/>
  </w:num>
  <w:num w:numId="6">
    <w:abstractNumId w:val="14"/>
  </w:num>
  <w:num w:numId="7">
    <w:abstractNumId w:val="10"/>
  </w:num>
  <w:num w:numId="8">
    <w:abstractNumId w:val="5"/>
  </w:num>
  <w:num w:numId="9">
    <w:abstractNumId w:val="0"/>
  </w:num>
  <w:num w:numId="10">
    <w:abstractNumId w:val="1"/>
  </w:num>
  <w:num w:numId="11">
    <w:abstractNumId w:val="6"/>
  </w:num>
  <w:num w:numId="12">
    <w:abstractNumId w:val="11"/>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7072D"/>
    <w:rsid w:val="00513884"/>
    <w:rsid w:val="04313949"/>
    <w:rsid w:val="085B46B8"/>
    <w:rsid w:val="0C631213"/>
    <w:rsid w:val="10554893"/>
    <w:rsid w:val="117E7E0A"/>
    <w:rsid w:val="11B82896"/>
    <w:rsid w:val="13C619B5"/>
    <w:rsid w:val="15F3059C"/>
    <w:rsid w:val="162C547E"/>
    <w:rsid w:val="188C0DD3"/>
    <w:rsid w:val="1D702452"/>
    <w:rsid w:val="22D96437"/>
    <w:rsid w:val="29271B63"/>
    <w:rsid w:val="2BBB7A17"/>
    <w:rsid w:val="2E3648C1"/>
    <w:rsid w:val="32B349BA"/>
    <w:rsid w:val="352D474A"/>
    <w:rsid w:val="35BF797D"/>
    <w:rsid w:val="3C674FD5"/>
    <w:rsid w:val="41C7072D"/>
    <w:rsid w:val="45DB4117"/>
    <w:rsid w:val="4E487FD3"/>
    <w:rsid w:val="513B50A6"/>
    <w:rsid w:val="575D3648"/>
    <w:rsid w:val="57A90A97"/>
    <w:rsid w:val="58AD3E15"/>
    <w:rsid w:val="598B537A"/>
    <w:rsid w:val="59A01232"/>
    <w:rsid w:val="5A4A7365"/>
    <w:rsid w:val="5C7C0B3B"/>
    <w:rsid w:val="5E71596E"/>
    <w:rsid w:val="5F272487"/>
    <w:rsid w:val="62AC5E97"/>
    <w:rsid w:val="68257014"/>
    <w:rsid w:val="74F77F83"/>
    <w:rsid w:val="7846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29"/>
    <w:qFormat/>
    <w:uiPriority w:val="0"/>
    <w:pPr>
      <w:keepNext/>
      <w:keepLines/>
      <w:numPr>
        <w:ilvl w:val="0"/>
        <w:numId w:val="1"/>
      </w:numPr>
      <w:tabs>
        <w:tab w:val="left" w:pos="5220"/>
      </w:tabs>
      <w:adjustRightInd w:val="0"/>
      <w:spacing w:before="340" w:beforeLines="0" w:after="330" w:afterLines="0" w:line="578" w:lineRule="atLeast"/>
      <w:ind w:left="4530" w:hanging="1110"/>
      <w:jc w:val="center"/>
      <w:textAlignment w:val="baseline"/>
      <w:outlineLvl w:val="0"/>
    </w:pPr>
    <w:rPr>
      <w:b/>
      <w:spacing w:val="-2"/>
      <w:kern w:val="0"/>
      <w:sz w:val="24"/>
    </w:rPr>
  </w:style>
  <w:style w:type="paragraph" w:styleId="5">
    <w:name w:val="heading 2"/>
    <w:basedOn w:val="1"/>
    <w:next w:val="1"/>
    <w:qFormat/>
    <w:uiPriority w:val="0"/>
    <w:pPr>
      <w:keepNext/>
      <w:keepLines/>
      <w:spacing w:before="260" w:beforeLines="0" w:after="260" w:afterLines="0" w:line="415" w:lineRule="auto"/>
      <w:outlineLvl w:val="1"/>
    </w:pPr>
    <w:rPr>
      <w:rFonts w:ascii="Cambria"/>
      <w:b/>
      <w:sz w:val="32"/>
    </w:rPr>
  </w:style>
  <w:style w:type="paragraph" w:styleId="6">
    <w:name w:val="heading 3"/>
    <w:basedOn w:val="1"/>
    <w:next w:val="1"/>
    <w:qFormat/>
    <w:uiPriority w:val="0"/>
    <w:pPr>
      <w:keepNext/>
      <w:numPr>
        <w:ilvl w:val="2"/>
        <w:numId w:val="2"/>
      </w:numPr>
      <w:spacing w:before="120" w:after="120"/>
      <w:outlineLvl w:val="2"/>
    </w:pPr>
    <w:rPr>
      <w:rFonts w:ascii="Arial" w:hAnsi="Arial" w:eastAsia="宋体" w:cs="Arial"/>
      <w:b/>
      <w:bCs/>
      <w:sz w:val="24"/>
      <w:szCs w:val="24"/>
      <w:lang w:val="en-US" w:eastAsia="zh-CN" w:bidi="ar-SA"/>
    </w:rPr>
  </w:style>
  <w:style w:type="paragraph" w:styleId="7">
    <w:name w:val="heading 4"/>
    <w:basedOn w:val="1"/>
    <w:next w:val="1"/>
    <w:qFormat/>
    <w:uiPriority w:val="0"/>
    <w:pPr>
      <w:keepNext/>
      <w:keepLines/>
      <w:numPr>
        <w:ilvl w:val="3"/>
        <w:numId w:val="3"/>
      </w:numPr>
      <w:spacing w:before="280" w:after="290" w:line="372" w:lineRule="auto"/>
      <w:outlineLvl w:val="3"/>
    </w:pPr>
    <w:rPr>
      <w:rFonts w:ascii="Arial" w:hAnsi="Arial" w:eastAsia="黑体"/>
      <w:b/>
      <w:sz w:val="28"/>
    </w:rPr>
  </w:style>
  <w:style w:type="paragraph" w:styleId="8">
    <w:name w:val="heading 5"/>
    <w:basedOn w:val="1"/>
    <w:next w:val="1"/>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qFormat/>
    <w:uiPriority w:val="0"/>
    <w:pPr>
      <w:keepNext/>
      <w:keepLines/>
      <w:numPr>
        <w:ilvl w:val="5"/>
        <w:numId w:val="3"/>
      </w:numPr>
      <w:spacing w:before="240" w:after="64" w:line="317" w:lineRule="auto"/>
      <w:outlineLvl w:val="5"/>
    </w:pPr>
    <w:rPr>
      <w:rFonts w:ascii="Arial" w:hAnsi="Arial" w:eastAsia="黑体"/>
      <w:b/>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qFormat/>
    <w:uiPriority w:val="0"/>
    <w:pPr>
      <w:ind w:left="0" w:leftChars="0" w:firstLine="200" w:firstLineChars="200"/>
    </w:pPr>
  </w:style>
  <w:style w:type="paragraph" w:styleId="10">
    <w:name w:val="annotation text"/>
    <w:basedOn w:val="1"/>
    <w:qFormat/>
    <w:uiPriority w:val="0"/>
    <w:pPr>
      <w:jc w:val="left"/>
    </w:pPr>
  </w:style>
  <w:style w:type="paragraph" w:styleId="11">
    <w:name w:val="Body Text Indent"/>
    <w:basedOn w:val="1"/>
    <w:qFormat/>
    <w:uiPriority w:val="0"/>
    <w:pPr>
      <w:spacing w:line="480" w:lineRule="auto"/>
      <w:ind w:firstLine="600"/>
    </w:pPr>
  </w:style>
  <w:style w:type="paragraph" w:styleId="12">
    <w:name w:val="Plain Text"/>
    <w:basedOn w:val="1"/>
    <w:qFormat/>
    <w:uiPriority w:val="0"/>
    <w:pPr>
      <w:widowControl/>
      <w:overflowPunct w:val="0"/>
      <w:autoSpaceDE w:val="0"/>
      <w:autoSpaceDN w:val="0"/>
      <w:adjustRightInd w:val="0"/>
      <w:jc w:val="left"/>
      <w:textAlignment w:val="baseline"/>
    </w:pPr>
    <w:rPr>
      <w:rFonts w:hint="eastAsia" w:ascii="宋体" w:hAnsi="Courier New"/>
      <w:kern w:val="0"/>
      <w:sz w:val="20"/>
      <w:szCs w:val="21"/>
    </w:rPr>
  </w:style>
  <w:style w:type="paragraph" w:styleId="13">
    <w:name w:val="Date"/>
    <w:basedOn w:val="1"/>
    <w:next w:val="1"/>
    <w:qFormat/>
    <w:uiPriority w:val="0"/>
    <w:pPr>
      <w:ind w:left="100"/>
    </w:pPr>
    <w:rPr>
      <w:sz w:val="2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8846"/>
      </w:tabs>
      <w:spacing w:line="480" w:lineRule="auto"/>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8">
    <w:name w:val="Body Text First Indent 2"/>
    <w:basedOn w:val="11"/>
    <w:qFormat/>
    <w:uiPriority w:val="0"/>
    <w:pPr>
      <w:ind w:firstLine="420" w:firstLineChars="200"/>
    </w:pPr>
    <w:rPr>
      <w:rFonts w:ascii="Verdana" w:hAnsi="Verdana" w:eastAsia="华文细黑"/>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customStyle="1" w:styleId="24">
    <w:name w:val="标题 1 Char Char Char"/>
    <w:qFormat/>
    <w:uiPriority w:val="0"/>
    <w:rPr>
      <w:rFonts w:eastAsia="宋体"/>
      <w:b/>
      <w:spacing w:val="-2"/>
      <w:sz w:val="24"/>
      <w:lang w:val="en-US" w:eastAsia="zh-CN" w:bidi="ar-SA"/>
    </w:rPr>
  </w:style>
  <w:style w:type="paragraph" w:customStyle="1" w:styleId="25">
    <w:name w:val="2级标题"/>
    <w:basedOn w:val="26"/>
    <w:next w:val="1"/>
    <w:qFormat/>
    <w:uiPriority w:val="0"/>
    <w:pPr>
      <w:numPr>
        <w:ilvl w:val="1"/>
        <w:numId w:val="4"/>
      </w:numPr>
      <w:jc w:val="left"/>
      <w:outlineLvl w:val="1"/>
    </w:pPr>
    <w:rPr>
      <w:rFonts w:cs="Times New Roman"/>
      <w:sz w:val="30"/>
    </w:rPr>
  </w:style>
  <w:style w:type="paragraph" w:customStyle="1" w:styleId="26">
    <w:name w:val="1级标题"/>
    <w:basedOn w:val="1"/>
    <w:next w:val="1"/>
    <w:qFormat/>
    <w:uiPriority w:val="0"/>
    <w:pPr>
      <w:pageBreakBefore/>
      <w:numPr>
        <w:ilvl w:val="0"/>
        <w:numId w:val="4"/>
      </w:numPr>
      <w:spacing w:line="360" w:lineRule="auto"/>
      <w:jc w:val="center"/>
      <w:outlineLvl w:val="0"/>
    </w:pPr>
    <w:rPr>
      <w:rFonts w:ascii="宋体" w:hAnsi="宋体" w:cs="Times New Roman"/>
      <w:b/>
      <w:sz w:val="32"/>
      <w:szCs w:val="24"/>
    </w:rPr>
  </w:style>
  <w:style w:type="paragraph" w:customStyle="1" w:styleId="27">
    <w:name w:val="List Paragraph"/>
    <w:basedOn w:val="1"/>
    <w:qFormat/>
    <w:uiPriority w:val="0"/>
    <w:pPr>
      <w:ind w:firstLine="420" w:firstLineChars="200"/>
    </w:pPr>
    <w:rPr>
      <w:sz w:val="24"/>
    </w:rPr>
  </w:style>
  <w:style w:type="paragraph" w:customStyle="1" w:styleId="28">
    <w:name w:val="*正文"/>
    <w:basedOn w:val="1"/>
    <w:qFormat/>
    <w:uiPriority w:val="0"/>
    <w:pPr>
      <w:spacing w:line="360" w:lineRule="auto"/>
      <w:ind w:firstLine="200" w:firstLineChars="200"/>
      <w:contextualSpacing/>
    </w:pPr>
    <w:rPr>
      <w:rFonts w:hAnsi="Times New Roman" w:eastAsia="仿宋" w:cs="Times New Roman"/>
      <w:lang w:bidi="en-US"/>
    </w:rPr>
  </w:style>
  <w:style w:type="character" w:customStyle="1" w:styleId="29">
    <w:name w:val="标题 1 字符"/>
    <w:link w:val="4"/>
    <w:qFormat/>
    <w:uiPriority w:val="0"/>
    <w:rPr>
      <w:b/>
      <w:spacing w:val="-2"/>
      <w:kern w:val="0"/>
      <w:sz w:val="24"/>
    </w:rPr>
  </w:style>
  <w:style w:type="paragraph" w:customStyle="1" w:styleId="3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1">
    <w:name w:val="p0"/>
    <w:basedOn w:val="1"/>
    <w:qFormat/>
    <w:uiPriority w:val="0"/>
    <w:pPr>
      <w:widowControl/>
    </w:pPr>
    <w:rPr>
      <w:kern w:val="0"/>
      <w:szCs w:val="21"/>
    </w:rPr>
  </w:style>
  <w:style w:type="paragraph" w:customStyle="1" w:styleId="32">
    <w:name w:val="p17"/>
    <w:basedOn w:val="1"/>
    <w:qFormat/>
    <w:uiPriority w:val="0"/>
    <w:pPr>
      <w:widowControl/>
      <w:snapToGrid w:val="0"/>
      <w:spacing w:line="315" w:lineRule="atLeast"/>
      <w:ind w:firstLine="420"/>
      <w:jc w:val="left"/>
    </w:pPr>
    <w:rPr>
      <w:rFonts w:ascii="宋体" w:hAnsi="宋体" w:cs="宋体"/>
      <w:kern w:val="0"/>
      <w:szCs w:val="21"/>
    </w:rPr>
  </w:style>
  <w:style w:type="paragraph" w:customStyle="1" w:styleId="33">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4">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2021-01-15T07:40:00Z</dcterms:created>
  <dc:creator>孙信锋</dc:creator>
  <cp:lastModifiedBy>小溪</cp:lastModifiedBy>
  <dcterms:modified xsi:type="dcterms:W3CDTF">2021-01-27T08:46:02Z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