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宋体" w:hAnsi="宋体" w:cs="宋体"/>
          <w:color w:val="auto"/>
          <w:sz w:val="32"/>
          <w:szCs w:val="32"/>
        </w:rPr>
      </w:pPr>
      <w:r>
        <w:rPr>
          <w:rFonts w:hint="eastAsia" w:ascii="宋体" w:hAnsi="宋体"/>
          <w:b/>
          <w:color w:val="auto"/>
          <w:sz w:val="24"/>
        </w:rPr>
        <w:t xml:space="preserve">                                        </w:t>
      </w:r>
    </w:p>
    <w:p>
      <w:pPr>
        <w:spacing w:line="360" w:lineRule="auto"/>
        <w:rPr>
          <w:rFonts w:ascii="宋体" w:hAnsi="宋体" w:cs="宋体"/>
          <w:b/>
          <w:color w:val="auto"/>
          <w:sz w:val="72"/>
          <w:szCs w:val="72"/>
        </w:rPr>
      </w:pPr>
    </w:p>
    <w:p>
      <w:pPr>
        <w:spacing w:line="360" w:lineRule="auto"/>
        <w:jc w:val="center"/>
        <w:rPr>
          <w:rFonts w:ascii="宋体" w:hAnsi="宋体" w:cs="宋体"/>
          <w:b/>
          <w:color w:val="auto"/>
          <w:sz w:val="72"/>
          <w:szCs w:val="72"/>
        </w:rPr>
      </w:pPr>
      <w:r>
        <w:rPr>
          <w:rFonts w:hint="eastAsia" w:ascii="宋体" w:hAnsi="宋体" w:cs="宋体"/>
          <w:b/>
          <w:color w:val="auto"/>
          <w:sz w:val="72"/>
          <w:szCs w:val="72"/>
        </w:rPr>
        <w:t>竞争性磋商采购文件</w:t>
      </w:r>
    </w:p>
    <w:p>
      <w:pPr>
        <w:spacing w:line="360" w:lineRule="auto"/>
        <w:rPr>
          <w:rFonts w:ascii="宋体" w:hAnsi="宋体" w:cs="宋体"/>
          <w:color w:val="auto"/>
          <w:sz w:val="44"/>
          <w:szCs w:val="20"/>
        </w:rPr>
      </w:pPr>
    </w:p>
    <w:p>
      <w:pPr>
        <w:spacing w:line="360" w:lineRule="auto"/>
        <w:rPr>
          <w:rFonts w:ascii="宋体" w:hAnsi="宋体" w:cs="宋体"/>
          <w:color w:val="auto"/>
          <w:sz w:val="44"/>
          <w:szCs w:val="20"/>
        </w:rPr>
      </w:pPr>
    </w:p>
    <w:p>
      <w:pPr>
        <w:spacing w:line="360" w:lineRule="auto"/>
        <w:rPr>
          <w:rFonts w:ascii="宋体" w:hAnsi="宋体" w:cs="宋体"/>
          <w:color w:val="auto"/>
          <w:sz w:val="44"/>
          <w:szCs w:val="20"/>
        </w:rPr>
      </w:pPr>
    </w:p>
    <w:p>
      <w:pPr>
        <w:spacing w:line="360" w:lineRule="auto"/>
        <w:rPr>
          <w:rFonts w:ascii="宋体" w:hAnsi="宋体" w:cs="宋体"/>
          <w:color w:val="auto"/>
          <w:sz w:val="44"/>
          <w:szCs w:val="20"/>
        </w:rPr>
      </w:pPr>
      <w:r>
        <w:rPr>
          <w:rFonts w:hint="eastAsia" w:ascii="宋体" w:hAnsi="宋体" w:cs="宋体"/>
          <w:color w:val="auto"/>
          <w:sz w:val="44"/>
          <w:szCs w:val="20"/>
        </w:rPr>
        <w:t xml:space="preserve">                   </w:t>
      </w:r>
    </w:p>
    <w:tbl>
      <w:tblPr>
        <w:tblStyle w:val="45"/>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8"/>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2408" w:type="dxa"/>
            <w:tcBorders>
              <w:top w:val="single" w:color="auto" w:sz="4" w:space="0"/>
              <w:left w:val="single" w:color="auto" w:sz="4" w:space="0"/>
              <w:bottom w:val="single" w:color="auto" w:sz="4" w:space="0"/>
              <w:right w:val="single" w:color="auto" w:sz="4" w:space="0"/>
            </w:tcBorders>
            <w:vAlign w:val="center"/>
          </w:tcPr>
          <w:p>
            <w:pPr>
              <w:spacing w:line="360" w:lineRule="auto"/>
              <w:ind w:right="-216"/>
              <w:jc w:val="center"/>
              <w:rPr>
                <w:rFonts w:ascii="宋体" w:hAnsi="宋体" w:cs="宋体"/>
                <w:b/>
                <w:color w:val="auto"/>
                <w:sz w:val="30"/>
                <w:szCs w:val="30"/>
              </w:rPr>
            </w:pPr>
            <w:r>
              <w:rPr>
                <w:rFonts w:hint="eastAsia" w:ascii="宋体" w:hAnsi="宋体" w:cs="宋体"/>
                <w:b/>
                <w:color w:val="auto"/>
                <w:sz w:val="30"/>
                <w:szCs w:val="30"/>
              </w:rPr>
              <w:t>项目编号：</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auto"/>
              <w:ind w:right="-216"/>
              <w:jc w:val="center"/>
              <w:rPr>
                <w:rFonts w:ascii="宋体" w:hAnsi="宋体" w:cs="宋体"/>
                <w:b/>
                <w:color w:val="auto"/>
                <w:sz w:val="30"/>
                <w:szCs w:val="30"/>
              </w:rPr>
            </w:pPr>
            <w:r>
              <w:rPr>
                <w:rFonts w:hint="eastAsia" w:ascii="宋体" w:hAnsi="宋体" w:cs="宋体"/>
                <w:b/>
                <w:color w:val="auto"/>
                <w:sz w:val="30"/>
                <w:szCs w:val="30"/>
              </w:rPr>
              <w:t>CBZJ-202020</w:t>
            </w:r>
            <w:r>
              <w:rPr>
                <w:rFonts w:hint="eastAsia" w:ascii="宋体" w:hAnsi="宋体" w:cs="宋体"/>
                <w:b/>
                <w:color w:val="auto"/>
                <w:sz w:val="30"/>
                <w:szCs w:val="30"/>
                <w:lang w:val="en-US" w:eastAsia="zh-CN"/>
              </w:rPr>
              <w:t>33</w:t>
            </w:r>
            <w:r>
              <w:rPr>
                <w:rFonts w:hint="eastAsia" w:ascii="宋体" w:hAnsi="宋体" w:cs="宋体"/>
                <w:b/>
                <w:color w:val="auto"/>
                <w:sz w:val="30"/>
                <w:szCs w:val="30"/>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2408" w:type="dxa"/>
            <w:tcBorders>
              <w:top w:val="single" w:color="auto" w:sz="4" w:space="0"/>
              <w:left w:val="single" w:color="auto" w:sz="4" w:space="0"/>
              <w:bottom w:val="single" w:color="auto" w:sz="4" w:space="0"/>
              <w:right w:val="single" w:color="auto" w:sz="4" w:space="0"/>
            </w:tcBorders>
            <w:vAlign w:val="center"/>
          </w:tcPr>
          <w:p>
            <w:pPr>
              <w:spacing w:line="360" w:lineRule="auto"/>
              <w:ind w:right="-216"/>
              <w:jc w:val="center"/>
              <w:rPr>
                <w:rFonts w:ascii="宋体" w:hAnsi="宋体" w:cs="宋体"/>
                <w:b/>
                <w:color w:val="auto"/>
                <w:sz w:val="30"/>
                <w:szCs w:val="30"/>
              </w:rPr>
            </w:pPr>
            <w:r>
              <w:rPr>
                <w:rFonts w:hint="eastAsia" w:ascii="宋体" w:hAnsi="宋体" w:cs="宋体"/>
                <w:b/>
                <w:color w:val="auto"/>
                <w:sz w:val="30"/>
                <w:szCs w:val="30"/>
              </w:rPr>
              <w:t>项目名称：</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60" w:lineRule="auto"/>
              <w:ind w:right="-216"/>
              <w:jc w:val="center"/>
              <w:rPr>
                <w:rFonts w:ascii="宋体" w:hAnsi="宋体" w:cs="宋体"/>
                <w:b/>
                <w:color w:val="auto"/>
                <w:sz w:val="30"/>
                <w:szCs w:val="30"/>
              </w:rPr>
            </w:pPr>
            <w:r>
              <w:rPr>
                <w:rFonts w:hint="eastAsia" w:ascii="宋体" w:hAnsi="宋体" w:cs="宋体"/>
                <w:b/>
                <w:color w:val="auto"/>
                <w:sz w:val="30"/>
                <w:szCs w:val="30"/>
              </w:rPr>
              <w:t>宁波市公安局高新技术开发区分局</w:t>
            </w:r>
          </w:p>
          <w:p>
            <w:pPr>
              <w:spacing w:line="360" w:lineRule="auto"/>
              <w:ind w:right="-216"/>
              <w:jc w:val="center"/>
              <w:rPr>
                <w:rFonts w:ascii="宋体" w:hAnsi="宋体" w:cs="宋体"/>
                <w:b/>
                <w:color w:val="auto"/>
                <w:sz w:val="30"/>
                <w:szCs w:val="30"/>
              </w:rPr>
            </w:pPr>
            <w:r>
              <w:rPr>
                <w:rFonts w:hint="eastAsia" w:ascii="宋体" w:hAnsi="宋体" w:cs="宋体"/>
                <w:b/>
                <w:color w:val="auto"/>
                <w:sz w:val="30"/>
                <w:szCs w:val="30"/>
              </w:rPr>
              <w:t>清水桥菜场</w:t>
            </w:r>
            <w:r>
              <w:rPr>
                <w:rFonts w:hint="eastAsia" w:ascii="宋体" w:hAnsi="宋体" w:cs="宋体"/>
                <w:b/>
                <w:color w:val="auto"/>
                <w:sz w:val="30"/>
                <w:szCs w:val="30"/>
                <w:lang w:val="en-US" w:eastAsia="zh-CN"/>
              </w:rPr>
              <w:t>周边</w:t>
            </w:r>
            <w:r>
              <w:rPr>
                <w:rFonts w:hint="eastAsia" w:ascii="宋体" w:hAnsi="宋体" w:cs="宋体"/>
                <w:b/>
                <w:color w:val="auto"/>
                <w:sz w:val="30"/>
                <w:szCs w:val="30"/>
              </w:rPr>
              <w:t>监控系统</w:t>
            </w:r>
            <w:r>
              <w:rPr>
                <w:rFonts w:hint="eastAsia" w:ascii="宋体" w:hAnsi="宋体" w:cs="宋体"/>
                <w:b/>
                <w:color w:val="auto"/>
                <w:sz w:val="30"/>
                <w:szCs w:val="30"/>
                <w:lang w:val="en-US" w:eastAsia="zh-CN"/>
              </w:rPr>
              <w:t>建设及交通优化</w:t>
            </w:r>
            <w:r>
              <w:rPr>
                <w:rFonts w:hint="eastAsia" w:ascii="宋体" w:hAnsi="宋体" w:cs="宋体"/>
                <w:b/>
                <w:color w:val="auto"/>
                <w:sz w:val="30"/>
                <w:szCs w:val="30"/>
              </w:rPr>
              <w:t>项目</w:t>
            </w:r>
          </w:p>
        </w:tc>
      </w:tr>
    </w:tbl>
    <w:p>
      <w:pPr>
        <w:spacing w:line="360" w:lineRule="auto"/>
        <w:rPr>
          <w:rFonts w:ascii="宋体" w:hAnsi="宋体" w:cs="宋体"/>
          <w:color w:val="auto"/>
          <w:sz w:val="44"/>
          <w:szCs w:val="20"/>
        </w:rPr>
      </w:pPr>
    </w:p>
    <w:p>
      <w:pPr>
        <w:spacing w:line="360" w:lineRule="auto"/>
        <w:jc w:val="center"/>
        <w:rPr>
          <w:rFonts w:ascii="宋体" w:hAnsi="宋体" w:cs="宋体"/>
          <w:color w:val="auto"/>
          <w:sz w:val="44"/>
          <w:szCs w:val="20"/>
        </w:rPr>
      </w:pPr>
    </w:p>
    <w:p>
      <w:pPr>
        <w:spacing w:line="360" w:lineRule="auto"/>
        <w:jc w:val="center"/>
        <w:rPr>
          <w:rFonts w:ascii="宋体" w:hAnsi="宋体" w:cs="宋体"/>
          <w:color w:val="auto"/>
          <w:sz w:val="44"/>
          <w:szCs w:val="20"/>
        </w:rPr>
      </w:pPr>
    </w:p>
    <w:p>
      <w:pPr>
        <w:pStyle w:val="58"/>
        <w:rPr>
          <w:color w:val="auto"/>
        </w:rPr>
      </w:pPr>
    </w:p>
    <w:p>
      <w:pPr>
        <w:spacing w:line="360" w:lineRule="auto"/>
        <w:rPr>
          <w:rFonts w:ascii="宋体" w:hAnsi="宋体" w:cs="宋体"/>
          <w:b/>
          <w:color w:val="auto"/>
          <w:sz w:val="36"/>
          <w:szCs w:val="36"/>
        </w:rPr>
      </w:pPr>
    </w:p>
    <w:p>
      <w:pPr>
        <w:pStyle w:val="25"/>
        <w:snapToGrid w:val="0"/>
        <w:spacing w:before="156" w:after="156" w:line="360" w:lineRule="auto"/>
        <w:ind w:firstLine="131" w:firstLineChars="49"/>
        <w:jc w:val="left"/>
        <w:rPr>
          <w:rFonts w:hint="default" w:hAnsi="宋体"/>
          <w:b/>
          <w:bCs/>
          <w:color w:val="auto"/>
          <w:w w:val="95"/>
          <w:sz w:val="28"/>
          <w:szCs w:val="28"/>
        </w:rPr>
      </w:pPr>
      <w:r>
        <w:rPr>
          <w:rFonts w:hAnsi="宋体"/>
          <w:b/>
          <w:bCs/>
          <w:color w:val="auto"/>
          <w:w w:val="95"/>
          <w:sz w:val="28"/>
          <w:szCs w:val="28"/>
        </w:rPr>
        <w:t xml:space="preserve">         采购单位：宁波市公安局高新技术开发区分局</w:t>
      </w:r>
    </w:p>
    <w:p>
      <w:pPr>
        <w:pStyle w:val="25"/>
        <w:snapToGrid w:val="0"/>
        <w:spacing w:before="156" w:after="156" w:line="360" w:lineRule="auto"/>
        <w:ind w:firstLine="131" w:firstLineChars="49"/>
        <w:jc w:val="left"/>
        <w:rPr>
          <w:rFonts w:hint="default" w:hAnsi="宋体"/>
          <w:b/>
          <w:bCs/>
          <w:color w:val="auto"/>
          <w:w w:val="95"/>
          <w:sz w:val="28"/>
          <w:szCs w:val="28"/>
        </w:rPr>
      </w:pPr>
      <w:r>
        <w:rPr>
          <w:rFonts w:hAnsi="宋体"/>
          <w:b/>
          <w:bCs/>
          <w:color w:val="auto"/>
          <w:w w:val="95"/>
          <w:sz w:val="28"/>
          <w:szCs w:val="28"/>
        </w:rPr>
        <w:t xml:space="preserve">         代理机构：宁波中基国际招标有限公司</w:t>
      </w:r>
    </w:p>
    <w:p>
      <w:pPr>
        <w:pStyle w:val="25"/>
        <w:snapToGrid w:val="0"/>
        <w:spacing w:before="156" w:after="156" w:line="360" w:lineRule="auto"/>
        <w:ind w:firstLine="3865" w:firstLineChars="1447"/>
        <w:jc w:val="left"/>
        <w:rPr>
          <w:rFonts w:hint="default" w:hAnsi="宋体"/>
          <w:b/>
          <w:bCs/>
          <w:color w:val="auto"/>
          <w:sz w:val="24"/>
        </w:rPr>
      </w:pPr>
      <w:r>
        <w:rPr>
          <w:rFonts w:hAnsi="宋体"/>
          <w:b/>
          <w:bCs/>
          <w:color w:val="auto"/>
          <w:w w:val="95"/>
          <w:sz w:val="28"/>
          <w:szCs w:val="28"/>
        </w:rPr>
        <w:t>2020年</w:t>
      </w:r>
      <w:r>
        <w:rPr>
          <w:rFonts w:hint="eastAsia" w:hAnsi="宋体"/>
          <w:b/>
          <w:bCs/>
          <w:color w:val="auto"/>
          <w:w w:val="95"/>
          <w:sz w:val="28"/>
          <w:szCs w:val="28"/>
          <w:lang w:val="en-US" w:eastAsia="zh-CN"/>
        </w:rPr>
        <w:t>11</w:t>
      </w:r>
      <w:r>
        <w:rPr>
          <w:rFonts w:hAnsi="宋体"/>
          <w:b/>
          <w:bCs/>
          <w:color w:val="auto"/>
          <w:w w:val="95"/>
          <w:sz w:val="28"/>
          <w:szCs w:val="28"/>
        </w:rPr>
        <w:t>月</w:t>
      </w:r>
      <w:r>
        <w:rPr>
          <w:rFonts w:hAnsi="宋体"/>
          <w:b/>
          <w:bCs/>
          <w:color w:val="auto"/>
          <w:sz w:val="28"/>
          <w:szCs w:val="28"/>
        </w:rPr>
        <w:t xml:space="preserve"> </w:t>
      </w:r>
      <w:r>
        <w:rPr>
          <w:rFonts w:hAnsi="宋体"/>
          <w:b/>
          <w:bCs/>
          <w:color w:val="auto"/>
          <w:sz w:val="24"/>
        </w:rPr>
        <w:t xml:space="preserve">           </w:t>
      </w:r>
    </w:p>
    <w:p>
      <w:pPr>
        <w:jc w:val="center"/>
        <w:rPr>
          <w:rFonts w:ascii="宋体" w:hAnsi="宋体" w:cs="宋体"/>
          <w:b/>
          <w:color w:val="auto"/>
          <w:sz w:val="36"/>
          <w:szCs w:val="36"/>
          <w:lang w:val="zh-CN"/>
        </w:rPr>
      </w:pPr>
    </w:p>
    <w:p>
      <w:pPr>
        <w:jc w:val="center"/>
        <w:rPr>
          <w:rFonts w:ascii="宋体" w:hAnsi="宋体" w:cs="宋体"/>
          <w:b/>
          <w:color w:val="auto"/>
          <w:sz w:val="36"/>
          <w:szCs w:val="36"/>
        </w:rPr>
      </w:pPr>
      <w:r>
        <w:rPr>
          <w:rFonts w:hint="eastAsia" w:ascii="宋体" w:hAnsi="宋体" w:cs="宋体"/>
          <w:b/>
          <w:color w:val="auto"/>
          <w:sz w:val="36"/>
          <w:szCs w:val="36"/>
          <w:lang w:val="zh-CN"/>
        </w:rPr>
        <w:t>目  录</w:t>
      </w:r>
    </w:p>
    <w:p>
      <w:pPr>
        <w:pStyle w:val="33"/>
        <w:tabs>
          <w:tab w:val="right" w:leader="dot" w:pos="8856"/>
        </w:tabs>
        <w:rPr>
          <w:rFonts w:ascii="宋体" w:hAnsi="宋体" w:cs="宋体"/>
          <w:color w:val="auto"/>
        </w:rPr>
      </w:pPr>
      <w:r>
        <w:rPr>
          <w:rFonts w:hint="eastAsia" w:ascii="宋体" w:hAnsi="宋体" w:cs="宋体"/>
          <w:b w:val="0"/>
          <w:color w:val="auto"/>
        </w:rPr>
        <w:fldChar w:fldCharType="begin"/>
      </w:r>
      <w:r>
        <w:rPr>
          <w:rFonts w:hint="eastAsia" w:ascii="宋体" w:hAnsi="宋体" w:cs="宋体"/>
          <w:b w:val="0"/>
          <w:color w:val="auto"/>
        </w:rPr>
        <w:instrText xml:space="preserve"> TOC \o "1-3" \h \z \u </w:instrText>
      </w:r>
      <w:r>
        <w:rPr>
          <w:rFonts w:hint="eastAsia" w:ascii="宋体" w:hAnsi="宋体" w:cs="宋体"/>
          <w:b w:val="0"/>
          <w:color w:val="auto"/>
        </w:rPr>
        <w:fldChar w:fldCharType="separate"/>
      </w:r>
      <w:r>
        <w:rPr>
          <w:color w:val="auto"/>
        </w:rPr>
        <w:fldChar w:fldCharType="begin"/>
      </w:r>
      <w:r>
        <w:rPr>
          <w:color w:val="auto"/>
        </w:rPr>
        <w:instrText xml:space="preserve"> HYPERLINK \l "_Toc29589" </w:instrText>
      </w:r>
      <w:r>
        <w:rPr>
          <w:color w:val="auto"/>
        </w:rPr>
        <w:fldChar w:fldCharType="separate"/>
      </w:r>
      <w:r>
        <w:rPr>
          <w:rFonts w:hint="eastAsia" w:ascii="宋体" w:hAnsi="宋体" w:cs="宋体"/>
          <w:color w:val="auto"/>
        </w:rPr>
        <w:t>第一章  磋商公告</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_Toc29589 </w:instrText>
      </w:r>
      <w:r>
        <w:rPr>
          <w:rFonts w:hint="eastAsia" w:ascii="宋体" w:hAnsi="宋体" w:cs="宋体"/>
          <w:color w:val="auto"/>
        </w:rPr>
        <w:fldChar w:fldCharType="separate"/>
      </w:r>
      <w:r>
        <w:rPr>
          <w:rFonts w:hint="eastAsia" w:ascii="宋体" w:hAnsi="宋体" w:cs="宋体"/>
          <w:color w:val="auto"/>
        </w:rPr>
        <w:t>3</w:t>
      </w:r>
      <w:r>
        <w:rPr>
          <w:rFonts w:hint="eastAsia" w:ascii="宋体" w:hAnsi="宋体" w:cs="宋体"/>
          <w:color w:val="auto"/>
        </w:rPr>
        <w:fldChar w:fldCharType="end"/>
      </w:r>
      <w:r>
        <w:rPr>
          <w:rFonts w:hint="eastAsia" w:ascii="宋体" w:hAnsi="宋体" w:cs="宋体"/>
          <w:color w:val="auto"/>
        </w:rPr>
        <w:fldChar w:fldCharType="end"/>
      </w:r>
    </w:p>
    <w:p>
      <w:pPr>
        <w:pStyle w:val="33"/>
        <w:tabs>
          <w:tab w:val="right" w:leader="dot" w:pos="8856"/>
        </w:tabs>
        <w:rPr>
          <w:rFonts w:ascii="宋体" w:hAnsi="宋体" w:cs="宋体"/>
          <w:color w:val="auto"/>
        </w:rPr>
      </w:pPr>
      <w:r>
        <w:rPr>
          <w:color w:val="auto"/>
        </w:rPr>
        <w:fldChar w:fldCharType="begin"/>
      </w:r>
      <w:r>
        <w:rPr>
          <w:color w:val="auto"/>
        </w:rPr>
        <w:instrText xml:space="preserve"> HYPERLINK \l "_Toc27212" </w:instrText>
      </w:r>
      <w:r>
        <w:rPr>
          <w:color w:val="auto"/>
        </w:rPr>
        <w:fldChar w:fldCharType="separate"/>
      </w:r>
      <w:r>
        <w:rPr>
          <w:rFonts w:hint="eastAsia" w:ascii="宋体" w:hAnsi="宋体" w:cs="宋体"/>
          <w:color w:val="auto"/>
        </w:rPr>
        <w:t>第二章  采购需求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_Toc27212 </w:instrText>
      </w:r>
      <w:r>
        <w:rPr>
          <w:rFonts w:hint="eastAsia" w:ascii="宋体" w:hAnsi="宋体" w:cs="宋体"/>
          <w:color w:val="auto"/>
        </w:rPr>
        <w:fldChar w:fldCharType="separate"/>
      </w:r>
      <w:r>
        <w:rPr>
          <w:rFonts w:hint="eastAsia" w:ascii="宋体" w:hAnsi="宋体" w:cs="宋体"/>
          <w:color w:val="auto"/>
        </w:rPr>
        <w:t>6</w:t>
      </w:r>
      <w:r>
        <w:rPr>
          <w:rFonts w:hint="eastAsia" w:ascii="宋体" w:hAnsi="宋体" w:cs="宋体"/>
          <w:color w:val="auto"/>
        </w:rPr>
        <w:fldChar w:fldCharType="end"/>
      </w:r>
      <w:r>
        <w:rPr>
          <w:rFonts w:hint="eastAsia" w:ascii="宋体" w:hAnsi="宋体" w:cs="宋体"/>
          <w:color w:val="auto"/>
        </w:rPr>
        <w:fldChar w:fldCharType="end"/>
      </w:r>
    </w:p>
    <w:p>
      <w:pPr>
        <w:pStyle w:val="33"/>
        <w:tabs>
          <w:tab w:val="right" w:leader="dot" w:pos="8856"/>
        </w:tabs>
        <w:rPr>
          <w:rFonts w:ascii="宋体" w:hAnsi="宋体" w:cs="宋体"/>
          <w:color w:val="auto"/>
        </w:rPr>
      </w:pPr>
      <w:r>
        <w:rPr>
          <w:color w:val="auto"/>
        </w:rPr>
        <w:fldChar w:fldCharType="begin"/>
      </w:r>
      <w:r>
        <w:rPr>
          <w:color w:val="auto"/>
        </w:rPr>
        <w:instrText xml:space="preserve"> HYPERLINK \l "_Toc6513" </w:instrText>
      </w:r>
      <w:r>
        <w:rPr>
          <w:color w:val="auto"/>
        </w:rPr>
        <w:fldChar w:fldCharType="separate"/>
      </w:r>
      <w:r>
        <w:rPr>
          <w:rFonts w:hint="eastAsia" w:ascii="宋体" w:hAnsi="宋体" w:cs="宋体"/>
          <w:color w:val="auto"/>
        </w:rPr>
        <w:t>第三章  供应商须知</w:t>
      </w:r>
      <w:r>
        <w:rPr>
          <w:rFonts w:hint="eastAsia" w:ascii="宋体" w:hAnsi="宋体" w:cs="宋体"/>
          <w:color w:val="auto"/>
        </w:rPr>
        <w:tab/>
      </w:r>
      <w:r>
        <w:rPr>
          <w:rFonts w:hint="eastAsia" w:ascii="宋体" w:hAnsi="宋体" w:cs="宋体"/>
          <w:color w:val="auto"/>
        </w:rPr>
        <w:t>2</w:t>
      </w:r>
      <w:r>
        <w:rPr>
          <w:rFonts w:hint="eastAsia" w:ascii="宋体" w:hAnsi="宋体" w:cs="宋体"/>
          <w:color w:val="auto"/>
        </w:rPr>
        <w:fldChar w:fldCharType="end"/>
      </w:r>
      <w:r>
        <w:rPr>
          <w:rFonts w:hint="eastAsia" w:ascii="宋体" w:hAnsi="宋体" w:cs="宋体"/>
          <w:color w:val="auto"/>
        </w:rPr>
        <w:t>4</w:t>
      </w:r>
    </w:p>
    <w:p>
      <w:pPr>
        <w:pStyle w:val="33"/>
        <w:tabs>
          <w:tab w:val="right" w:leader="dot" w:pos="8856"/>
        </w:tabs>
        <w:rPr>
          <w:rFonts w:ascii="宋体" w:hAnsi="宋体" w:cs="宋体"/>
          <w:color w:val="auto"/>
        </w:rPr>
      </w:pPr>
      <w:r>
        <w:rPr>
          <w:color w:val="auto"/>
        </w:rPr>
        <w:fldChar w:fldCharType="begin"/>
      </w:r>
      <w:r>
        <w:rPr>
          <w:color w:val="auto"/>
        </w:rPr>
        <w:instrText xml:space="preserve"> HYPERLINK \l "_Toc23195" </w:instrText>
      </w:r>
      <w:r>
        <w:rPr>
          <w:color w:val="auto"/>
        </w:rPr>
        <w:fldChar w:fldCharType="separate"/>
      </w:r>
      <w:r>
        <w:rPr>
          <w:rFonts w:hint="eastAsia" w:ascii="宋体" w:hAnsi="宋体" w:cs="宋体"/>
          <w:color w:val="auto"/>
        </w:rPr>
        <w:t>第四章  评审办法及评分标准</w:t>
      </w:r>
      <w:r>
        <w:rPr>
          <w:rFonts w:hint="eastAsia" w:ascii="宋体" w:hAnsi="宋体" w:cs="宋体"/>
          <w:color w:val="auto"/>
        </w:rPr>
        <w:tab/>
      </w:r>
      <w:r>
        <w:rPr>
          <w:rFonts w:hint="eastAsia" w:ascii="宋体" w:hAnsi="宋体" w:cs="宋体"/>
          <w:color w:val="auto"/>
        </w:rPr>
        <w:t>3</w:t>
      </w:r>
      <w:r>
        <w:rPr>
          <w:rFonts w:hint="eastAsia" w:ascii="宋体" w:hAnsi="宋体" w:cs="宋体"/>
          <w:color w:val="auto"/>
        </w:rPr>
        <w:fldChar w:fldCharType="end"/>
      </w:r>
      <w:r>
        <w:rPr>
          <w:rFonts w:hint="eastAsia" w:ascii="宋体" w:hAnsi="宋体" w:cs="宋体"/>
          <w:color w:val="auto"/>
        </w:rPr>
        <w:t>6</w:t>
      </w:r>
    </w:p>
    <w:p>
      <w:pPr>
        <w:pStyle w:val="33"/>
        <w:tabs>
          <w:tab w:val="right" w:leader="dot" w:pos="8856"/>
        </w:tabs>
        <w:rPr>
          <w:rFonts w:ascii="宋体" w:hAnsi="宋体" w:cs="宋体"/>
          <w:color w:val="auto"/>
        </w:rPr>
      </w:pPr>
      <w:r>
        <w:rPr>
          <w:color w:val="auto"/>
        </w:rPr>
        <w:fldChar w:fldCharType="begin"/>
      </w:r>
      <w:r>
        <w:rPr>
          <w:color w:val="auto"/>
        </w:rPr>
        <w:instrText xml:space="preserve"> HYPERLINK \l "_Toc20990" </w:instrText>
      </w:r>
      <w:r>
        <w:rPr>
          <w:color w:val="auto"/>
        </w:rPr>
        <w:fldChar w:fldCharType="separate"/>
      </w:r>
      <w:r>
        <w:rPr>
          <w:rFonts w:hint="eastAsia" w:ascii="宋体" w:hAnsi="宋体" w:cs="宋体"/>
          <w:color w:val="auto"/>
        </w:rPr>
        <w:t>第五章  政府采购合同草案条款</w:t>
      </w:r>
      <w:r>
        <w:rPr>
          <w:rFonts w:hint="eastAsia" w:ascii="宋体" w:hAnsi="宋体" w:cs="宋体"/>
          <w:color w:val="auto"/>
        </w:rPr>
        <w:tab/>
      </w:r>
      <w:r>
        <w:rPr>
          <w:rFonts w:hint="eastAsia" w:ascii="宋体" w:hAnsi="宋体" w:cs="宋体"/>
          <w:color w:val="auto"/>
        </w:rPr>
        <w:t>4</w:t>
      </w:r>
      <w:r>
        <w:rPr>
          <w:rFonts w:hint="eastAsia" w:ascii="宋体" w:hAnsi="宋体" w:cs="宋体"/>
          <w:color w:val="auto"/>
        </w:rPr>
        <w:fldChar w:fldCharType="end"/>
      </w:r>
      <w:r>
        <w:rPr>
          <w:rFonts w:hint="eastAsia" w:ascii="宋体" w:hAnsi="宋体" w:cs="宋体"/>
          <w:color w:val="auto"/>
        </w:rPr>
        <w:t>0</w:t>
      </w:r>
    </w:p>
    <w:p>
      <w:pPr>
        <w:pStyle w:val="33"/>
        <w:tabs>
          <w:tab w:val="right" w:leader="dot" w:pos="8856"/>
        </w:tabs>
        <w:rPr>
          <w:rFonts w:ascii="宋体" w:hAnsi="宋体" w:cs="宋体"/>
          <w:color w:val="auto"/>
        </w:rPr>
      </w:pPr>
      <w:r>
        <w:rPr>
          <w:color w:val="auto"/>
        </w:rPr>
        <w:fldChar w:fldCharType="begin"/>
      </w:r>
      <w:r>
        <w:rPr>
          <w:color w:val="auto"/>
        </w:rPr>
        <w:instrText xml:space="preserve"> HYPERLINK \l "_Toc1823" </w:instrText>
      </w:r>
      <w:r>
        <w:rPr>
          <w:color w:val="auto"/>
        </w:rPr>
        <w:fldChar w:fldCharType="separate"/>
      </w:r>
      <w:r>
        <w:rPr>
          <w:rFonts w:hint="eastAsia" w:ascii="宋体" w:hAnsi="宋体" w:cs="宋体"/>
          <w:color w:val="auto"/>
        </w:rPr>
        <w:t>第六章  响应文件格式</w:t>
      </w:r>
      <w:r>
        <w:rPr>
          <w:rFonts w:hint="eastAsia" w:ascii="宋体" w:hAnsi="宋体" w:cs="宋体"/>
          <w:color w:val="auto"/>
        </w:rPr>
        <w:tab/>
      </w:r>
      <w:r>
        <w:rPr>
          <w:rFonts w:hint="eastAsia" w:ascii="宋体" w:hAnsi="宋体" w:cs="宋体"/>
          <w:color w:val="auto"/>
        </w:rPr>
        <w:t>4</w:t>
      </w:r>
      <w:r>
        <w:rPr>
          <w:rFonts w:hint="eastAsia" w:ascii="宋体" w:hAnsi="宋体" w:cs="宋体"/>
          <w:color w:val="auto"/>
        </w:rPr>
        <w:fldChar w:fldCharType="end"/>
      </w:r>
      <w:r>
        <w:rPr>
          <w:rFonts w:hint="eastAsia" w:ascii="宋体" w:hAnsi="宋体" w:cs="宋体"/>
          <w:color w:val="auto"/>
        </w:rPr>
        <w:t>3</w:t>
      </w:r>
    </w:p>
    <w:p>
      <w:pPr>
        <w:rPr>
          <w:rFonts w:ascii="宋体" w:hAnsi="宋体" w:cs="宋体"/>
          <w:color w:val="auto"/>
        </w:rPr>
      </w:pPr>
      <w:r>
        <w:rPr>
          <w:rFonts w:hint="eastAsia" w:ascii="宋体" w:hAnsi="宋体" w:cs="宋体"/>
          <w:color w:val="auto"/>
        </w:rPr>
        <w:fldChar w:fldCharType="end"/>
      </w:r>
    </w:p>
    <w:p>
      <w:pPr>
        <w:pStyle w:val="33"/>
        <w:tabs>
          <w:tab w:val="right" w:leader="dot" w:pos="8721"/>
        </w:tabs>
        <w:spacing w:line="360" w:lineRule="auto"/>
        <w:rPr>
          <w:rFonts w:ascii="宋体" w:hAnsi="宋体" w:cs="宋体"/>
          <w:b w:val="0"/>
          <w:color w:val="auto"/>
          <w:sz w:val="30"/>
          <w:szCs w:val="30"/>
        </w:rPr>
      </w:pPr>
      <w:r>
        <w:rPr>
          <w:rFonts w:hint="eastAsia" w:ascii="宋体" w:hAnsi="宋体" w:cs="宋体"/>
          <w:b w:val="0"/>
          <w:color w:val="auto"/>
          <w:sz w:val="30"/>
          <w:szCs w:val="30"/>
        </w:rPr>
        <w:fldChar w:fldCharType="begin"/>
      </w:r>
      <w:r>
        <w:rPr>
          <w:rFonts w:hint="eastAsia" w:ascii="宋体" w:hAnsi="宋体" w:cs="宋体"/>
          <w:b w:val="0"/>
          <w:color w:val="auto"/>
          <w:sz w:val="30"/>
          <w:szCs w:val="30"/>
        </w:rPr>
        <w:instrText xml:space="preserve"> TOC \o "1-3" \h \z \u </w:instrText>
      </w:r>
      <w:r>
        <w:rPr>
          <w:rFonts w:hint="eastAsia" w:ascii="宋体" w:hAnsi="宋体" w:cs="宋体"/>
          <w:b w:val="0"/>
          <w:color w:val="auto"/>
          <w:sz w:val="30"/>
          <w:szCs w:val="30"/>
        </w:rPr>
        <w:fldChar w:fldCharType="separate"/>
      </w:r>
    </w:p>
    <w:p>
      <w:pPr>
        <w:pStyle w:val="25"/>
        <w:spacing w:beforeLines="0" w:afterLines="0" w:line="360" w:lineRule="auto"/>
        <w:jc w:val="center"/>
        <w:rPr>
          <w:rFonts w:hint="default" w:hAnsi="宋体" w:cs="宋体"/>
          <w:b/>
          <w:color w:val="auto"/>
          <w:sz w:val="30"/>
          <w:szCs w:val="30"/>
        </w:rPr>
      </w:pPr>
      <w:r>
        <w:rPr>
          <w:rFonts w:hAnsi="宋体" w:cs="宋体"/>
          <w:b/>
          <w:color w:val="auto"/>
          <w:sz w:val="30"/>
          <w:szCs w:val="30"/>
        </w:rPr>
        <w:fldChar w:fldCharType="end"/>
      </w:r>
    </w:p>
    <w:p>
      <w:pPr>
        <w:pStyle w:val="25"/>
        <w:spacing w:beforeLines="0" w:afterLines="0" w:line="360" w:lineRule="auto"/>
        <w:jc w:val="center"/>
        <w:rPr>
          <w:rFonts w:hint="default" w:hAnsi="宋体" w:cs="宋体"/>
          <w:b/>
          <w:color w:val="auto"/>
          <w:sz w:val="30"/>
          <w:szCs w:val="30"/>
        </w:rPr>
      </w:pPr>
    </w:p>
    <w:p>
      <w:pPr>
        <w:pStyle w:val="25"/>
        <w:spacing w:beforeLines="0" w:afterLines="0" w:line="360" w:lineRule="auto"/>
        <w:jc w:val="center"/>
        <w:rPr>
          <w:rFonts w:hint="default" w:hAnsi="宋体" w:cs="宋体"/>
          <w:b/>
          <w:color w:val="auto"/>
          <w:sz w:val="30"/>
          <w:szCs w:val="30"/>
        </w:rPr>
      </w:pPr>
    </w:p>
    <w:p>
      <w:pPr>
        <w:pStyle w:val="25"/>
        <w:spacing w:beforeLines="0" w:afterLines="0" w:line="360" w:lineRule="auto"/>
        <w:jc w:val="center"/>
        <w:rPr>
          <w:rFonts w:hint="default" w:hAnsi="宋体" w:cs="宋体"/>
          <w:b/>
          <w:color w:val="auto"/>
          <w:sz w:val="30"/>
          <w:szCs w:val="30"/>
        </w:rPr>
        <w:sectPr>
          <w:footerReference r:id="rId5" w:type="first"/>
          <w:footerReference r:id="rId3" w:type="default"/>
          <w:footerReference r:id="rId4" w:type="even"/>
          <w:pgSz w:w="11906" w:h="16838"/>
          <w:pgMar w:top="1440" w:right="1440" w:bottom="1440" w:left="1610" w:header="851" w:footer="992" w:gutter="0"/>
          <w:pgNumType w:start="1"/>
          <w:cols w:space="720" w:num="1"/>
          <w:titlePg/>
          <w:docGrid w:type="lines" w:linePitch="312" w:charSpace="0"/>
        </w:sectPr>
      </w:pPr>
    </w:p>
    <w:p>
      <w:pPr>
        <w:pStyle w:val="3"/>
        <w:rPr>
          <w:rFonts w:ascii="宋体" w:hAnsi="宋体" w:cs="宋体"/>
          <w:color w:val="auto"/>
          <w:sz w:val="21"/>
          <w:szCs w:val="21"/>
        </w:rPr>
      </w:pPr>
      <w:bookmarkStart w:id="0" w:name="_Toc29589"/>
      <w:r>
        <w:rPr>
          <w:rFonts w:hint="eastAsia" w:ascii="宋体" w:hAnsi="宋体" w:cs="宋体"/>
          <w:color w:val="auto"/>
        </w:rPr>
        <w:t xml:space="preserve">第一章  </w:t>
      </w:r>
      <w:bookmarkEnd w:id="0"/>
      <w:r>
        <w:rPr>
          <w:rFonts w:hint="eastAsia" w:ascii="宋体" w:hAnsi="宋体" w:cs="宋体"/>
          <w:color w:val="auto"/>
        </w:rPr>
        <w:t>磋商公告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项目概况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宁波市公安局高新技术开发区分局清水桥菜场周边监控系统建设及交通优化项目采购项目的潜在供应商应在浙江政府采购云平台，网址http://www.zcygov.cn/ 获取（下载）采购文件，并于2020年11月17日 09:30（北京时间）前提交（上传）响应文件。   </w:t>
      </w:r>
    </w:p>
    <w:p>
      <w:pPr>
        <w:spacing w:line="360" w:lineRule="auto"/>
        <w:rPr>
          <w:rFonts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项目编号：CBZJ-20202033G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项目名称：宁波市公安局高新技术开发区分局清水桥菜场周边监控系统建设及交通优化项目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采购方式：竞争性磋商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预算金额（元）：484649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最高限价（元）：484649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数量：1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预算金额（元）：484649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单位：批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简要规格描述：清水桥菜场外围治安监控建设、丹桂路清水桥路路口非机动车抓拍系统视频流接入公安非机动车抓拍平台等，具体详见采购文件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合同履约期限：自合同签订生效后开始至双方合同义务完全履行后截止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本项目（否）接受联合体投标。  </w:t>
      </w:r>
    </w:p>
    <w:p>
      <w:pPr>
        <w:spacing w:line="360" w:lineRule="auto"/>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2.落实政府采购政策需满足的资格要求：无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本项目的特定资格要求：标项一:单位负责人为同一人或者存在直接控股、管理关系的不同供应商，不得参加同一合同项下的政府采购活动。为采购项目提供整体设计、规范编制或者项目管理、监理、检测等服务的供应商，不得参加本项目磋商 </w:t>
      </w:r>
    </w:p>
    <w:p>
      <w:pPr>
        <w:spacing w:line="360" w:lineRule="auto"/>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三、获取（下载）采购文件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时间：2020年11月04日至2020年11月11日，每天上午00:00至12:00，下午12:00至23:59（北京时间，线上获取法定节假日均可，线下获取文件法定节假日除外）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地点（网址）：浙江政府采购云平台，网址http://www.zcygov.cn/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方式：本项目采购文件实行“政府采购云平台”在线获取，不提供采购文件纸质版。供应商获取采购文件前应先完成“政府采购云平台”的账号注册； 潜在供应商登陆政采云平台，在线申请获取采购文件（进入“项目采购”应用，在获取采购文件菜单中选择项目，申请获取采购文件；仅需浏览采购文件的供应商可点击“游客，浏览采购文件”直接下载采购文件浏览）； 采购公告附件内的采购文件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注：请供应商按上述要求获取采购文件，如未在“政采云”系统内完成相关流程，引起的无效责任自负。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售价（元）：0 </w:t>
      </w:r>
    </w:p>
    <w:p>
      <w:pPr>
        <w:pStyle w:val="42"/>
        <w:keepNext w:val="0"/>
        <w:keepLines w:val="0"/>
        <w:widowControl/>
        <w:suppressLineNumbers w:val="0"/>
        <w:spacing w:before="255" w:beforeAutospacing="0" w:after="255" w:afterAutospacing="0" w:line="360" w:lineRule="auto"/>
        <w:ind w:left="0" w:right="0"/>
        <w:jc w:val="both"/>
        <w:rPr>
          <w:rFonts w:ascii="黑体" w:hAnsi="宋体" w:eastAsia="黑体" w:cs="黑体"/>
          <w:sz w:val="27"/>
          <w:szCs w:val="27"/>
        </w:rPr>
      </w:pPr>
      <w:r>
        <w:rPr>
          <w:rFonts w:hint="eastAsia" w:asciiTheme="minorEastAsia" w:hAnsiTheme="minorEastAsia" w:eastAsiaTheme="minorEastAsia" w:cstheme="minorEastAsia"/>
          <w:b/>
          <w:bCs/>
          <w:color w:val="auto"/>
          <w:kern w:val="2"/>
          <w:sz w:val="21"/>
          <w:szCs w:val="21"/>
          <w:lang w:val="en-US" w:eastAsia="zh-CN" w:bidi="ar-SA"/>
        </w:rPr>
        <w:t>四、响应文件提交（上传）</w:t>
      </w:r>
      <w:r>
        <w:rPr>
          <w:rFonts w:ascii="黑体" w:hAnsi="宋体" w:eastAsia="黑体" w:cs="黑体"/>
          <w:i w:val="0"/>
          <w:caps w:val="0"/>
          <w:color w:val="000000"/>
          <w:spacing w:val="0"/>
          <w:sz w:val="27"/>
          <w:szCs w:val="27"/>
        </w:rPr>
        <w:t>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截止时间：2020年11月17日 09:30（北京时间）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地点（网址）：（1）“电子加密投标文件”：https://www.zcygov.cn在线提交；（2）“电子备份投标文件”：宁波市高新区广贤路997号（宁波国家高新区行政服务大厅南三楼，309开标室）。  </w:t>
      </w:r>
    </w:p>
    <w:p>
      <w:pPr>
        <w:pStyle w:val="42"/>
        <w:keepNext w:val="0"/>
        <w:keepLines w:val="0"/>
        <w:widowControl/>
        <w:suppressLineNumbers w:val="0"/>
        <w:spacing w:before="255" w:beforeAutospacing="0" w:after="255" w:afterAutospacing="0" w:line="360" w:lineRule="auto"/>
        <w:ind w:left="0" w:right="0"/>
        <w:jc w:val="both"/>
        <w:rPr>
          <w:rFonts w:ascii="黑体" w:hAnsi="宋体" w:eastAsia="黑体" w:cs="黑体"/>
          <w:sz w:val="27"/>
          <w:szCs w:val="27"/>
        </w:rPr>
      </w:pPr>
      <w:r>
        <w:rPr>
          <w:rFonts w:hint="eastAsia" w:asciiTheme="minorEastAsia" w:hAnsiTheme="minorEastAsia" w:eastAsiaTheme="minorEastAsia" w:cstheme="minorEastAsia"/>
          <w:b/>
          <w:bCs/>
          <w:color w:val="auto"/>
          <w:kern w:val="2"/>
          <w:sz w:val="21"/>
          <w:szCs w:val="21"/>
          <w:lang w:val="en-US" w:eastAsia="zh-CN" w:bidi="ar-SA"/>
        </w:rPr>
        <w:t>五、响应文件开启</w:t>
      </w:r>
      <w:r>
        <w:rPr>
          <w:rFonts w:ascii="黑体" w:hAnsi="宋体" w:eastAsia="黑体" w:cs="黑体"/>
          <w:i w:val="0"/>
          <w:caps w:val="0"/>
          <w:color w:val="000000"/>
          <w:spacing w:val="0"/>
          <w:sz w:val="27"/>
          <w:szCs w:val="27"/>
        </w:rPr>
        <w:t>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开启时间：2020年11月17日 09:30 （北京时间）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地点（网址）：（1）政府采购云平台（www.zcygov.cn）（线上）；（2）宁波市高新区广贤路997号（宁波国家高新区行政服务大厅南三楼，309开标室） </w:t>
      </w:r>
    </w:p>
    <w:p>
      <w:pPr>
        <w:spacing w:line="360" w:lineRule="auto"/>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六、公告期限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自本公告发布之日起3个工作日。</w:t>
      </w:r>
    </w:p>
    <w:p>
      <w:pPr>
        <w:spacing w:line="360" w:lineRule="auto"/>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七、其他补充事宜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2.其他事项：</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 xml:space="preserve">2.1“电子加密响应文件”：通过“政府采购云平台（http://zfcg.czt.zj.gov.cn/）”在线提交。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 xml:space="preserve">2.2“电子备份响应文件”：可以（邮寄形式或派人现场提交，以招标代理机构联系人签收时间为准）在提交首次磋商响应文件截止时间前提交以介质（U盘）存储的数据电文形式的“备份响应文件”，备份电子响应文件递交可采用现场递交或邮寄的方式。 </w:t>
      </w:r>
    </w:p>
    <w:p>
      <w:pPr>
        <w:pStyle w:val="42"/>
        <w:keepNext w:val="0"/>
        <w:keepLines w:val="0"/>
        <w:pageBreakBefore w:val="0"/>
        <w:widowControl/>
        <w:numPr>
          <w:ilvl w:val="0"/>
          <w:numId w:val="1"/>
        </w:numPr>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 xml:space="preserve">现场递交方式，供应商可安排一名“甬行码”为绿色的授权代表在提交首次磋商响应文件截止时间前将电子备份响应文件送至宁波市高新区广贤路997号（宁波国家高新区行政服务大厅南三楼，309开标室），响应文件递交时须同时递交供应商的法定代表人（或其授权代表）联系方式，并保证开标期间联系方式畅通。 </w:t>
      </w:r>
    </w:p>
    <w:p>
      <w:pPr>
        <w:pStyle w:val="42"/>
        <w:keepNext w:val="0"/>
        <w:keepLines w:val="0"/>
        <w:pageBreakBefore w:val="0"/>
        <w:widowControl/>
        <w:numPr>
          <w:ilvl w:val="0"/>
          <w:numId w:val="1"/>
        </w:numPr>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 xml:space="preserve">EMS邮寄送达。供应商可以通过EMS邮寄送达电子备份响应文件，送达地址：浙江中基正采管理咨询有限公司（宁波市鄞州区天童南路666号中基大厦19楼），联系方式：0574-87425467。供应商邮寄后可将邮件单号发送至代理机构电子邮箱（电子邮箱：1115194121@qq.com），以便采购代理机构查询物流记录。各供应商应当确保响应文件的密封包装在邮寄过程保持完好，并在邮寄包裹上注明项目名称，因邮寄造成响应文件密封破损而不符合采购文件对响应文件的密封要求、或邮寄过程中导致响应文件未按时送达的，代理机构将拒绝其磋商响应文件。各供应商自行考虑邮寄在途时间，响应文件送达时间以采购代理机构工作人员实际签收时间为准。电子磋商响应文件邮寄送达截止时间2020年11月 16日17:00。 </w:t>
      </w:r>
    </w:p>
    <w:p>
      <w:pPr>
        <w:pStyle w:val="42"/>
        <w:keepNext w:val="0"/>
        <w:keepLines w:val="0"/>
        <w:pageBreakBefore w:val="0"/>
        <w:widowControl/>
        <w:numPr>
          <w:ilvl w:val="0"/>
          <w:numId w:val="1"/>
        </w:numPr>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 xml:space="preserve">开标过程全程视频监控记录，同时开启微信群视频语音通话方式邀请各供应商参与开标过程,请供应商在响应文件提交截止时间前告知微信号。 </w:t>
      </w:r>
    </w:p>
    <w:p>
      <w:pPr>
        <w:pStyle w:val="42"/>
        <w:keepNext w:val="0"/>
        <w:keepLines w:val="0"/>
        <w:pageBreakBefore w:val="0"/>
        <w:widowControl/>
        <w:numPr>
          <w:numId w:val="0"/>
        </w:numPr>
        <w:suppressLineNumbers w:val="0"/>
        <w:kinsoku/>
        <w:wordWrap/>
        <w:overflowPunct/>
        <w:topLinePunct w:val="0"/>
        <w:autoSpaceDE/>
        <w:autoSpaceDN/>
        <w:bidi w:val="0"/>
        <w:adjustRightInd/>
        <w:snapToGrid/>
        <w:spacing w:before="75" w:beforeAutospacing="0" w:after="75" w:afterAutospacing="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 xml:space="preserve">2.3采购项目需要落实的政府采购政策：《关于促进残疾人就业政府采购政策的通知》（财库[2017]141号）、《政府采购促进中小企业发展暂行办法》（财库[2011]181号）、《关于政府采购支持监狱企业发展有关问题的通知》(财库[2014]68号)。 </w:t>
      </w:r>
    </w:p>
    <w:p>
      <w:pPr>
        <w:pStyle w:val="42"/>
        <w:keepNext w:val="0"/>
        <w:keepLines w:val="0"/>
        <w:pageBreakBefore w:val="0"/>
        <w:widowControl/>
        <w:numPr>
          <w:numId w:val="0"/>
        </w:numPr>
        <w:suppressLineNumbers w:val="0"/>
        <w:kinsoku/>
        <w:wordWrap/>
        <w:overflowPunct/>
        <w:topLinePunct w:val="0"/>
        <w:autoSpaceDE/>
        <w:autoSpaceDN/>
        <w:bidi w:val="0"/>
        <w:adjustRightInd/>
        <w:snapToGrid/>
        <w:spacing w:before="75" w:beforeAutospacing="0" w:after="75" w:afterAutospacing="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2.4.本次政府采购活动有关信息在浙江政府采购网公布，视同送达所有潜在供应商。  </w:t>
      </w:r>
    </w:p>
    <w:p>
      <w:pPr>
        <w:spacing w:line="360" w:lineRule="auto"/>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八、凡对本次招标提出询问、质疑、投诉，请按以下方式联系</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right="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1.采购人信息</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名    称：宁波市公安局高新技术开发区分局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地    址：高新区玉兰路56号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传    真：/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项目联系人（询问）：陈杰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项目联系方式（询问）：(0574) 877-38530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质疑联系人：葛黎波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质疑联系方式：0574-87738530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    </w:t>
      </w:r>
      <w:r>
        <w:rPr>
          <w:rFonts w:hint="eastAsia" w:asciiTheme="minorEastAsia" w:hAnsiTheme="minorEastAsia" w:eastAsiaTheme="minorEastAsia" w:cstheme="minorEastAsia"/>
          <w:color w:val="auto"/>
          <w:kern w:val="2"/>
          <w:sz w:val="21"/>
          <w:szCs w:val="21"/>
          <w:lang w:val="en-US" w:eastAsia="zh-CN" w:bidi="ar-SA"/>
        </w:rPr>
        <w:br w:type="textWrapping"/>
      </w:r>
      <w:r>
        <w:rPr>
          <w:rFonts w:hint="eastAsia" w:asciiTheme="minorEastAsia" w:hAnsiTheme="minorEastAsia" w:eastAsiaTheme="minorEastAsia" w:cstheme="minorEastAsia"/>
          <w:color w:val="auto"/>
          <w:kern w:val="2"/>
          <w:sz w:val="21"/>
          <w:szCs w:val="21"/>
          <w:lang w:val="en-US" w:eastAsia="zh-CN" w:bidi="ar-SA"/>
        </w:rPr>
        <w:t>2.采购代理机构信息</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名    称：浙江中基正采管理咨询有限公司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地    址：鄞州区天童南路666号中基大厦19楼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传    真：0574-87425391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项目联系人（询问）：吕勇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项目联系方式（询问）：0574-88090063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质疑联系人：李艳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质疑联系方式：0574-87423685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    </w:t>
      </w:r>
      <w:r>
        <w:rPr>
          <w:rFonts w:hint="eastAsia" w:asciiTheme="minorEastAsia" w:hAnsiTheme="minorEastAsia" w:eastAsiaTheme="minorEastAsia" w:cstheme="minorEastAsia"/>
          <w:color w:val="auto"/>
          <w:kern w:val="2"/>
          <w:sz w:val="21"/>
          <w:szCs w:val="21"/>
          <w:lang w:val="en-US" w:eastAsia="zh-CN" w:bidi="ar-SA"/>
        </w:rPr>
        <w:br w:type="textWrapping"/>
      </w:r>
      <w:r>
        <w:rPr>
          <w:rFonts w:hint="eastAsia" w:asciiTheme="minorEastAsia" w:hAnsiTheme="minorEastAsia" w:eastAsiaTheme="minorEastAsia" w:cstheme="minorEastAsia"/>
          <w:color w:val="auto"/>
          <w:kern w:val="2"/>
          <w:sz w:val="21"/>
          <w:szCs w:val="21"/>
          <w:lang w:val="en-US" w:eastAsia="zh-CN" w:bidi="ar-SA"/>
        </w:rPr>
        <w:t>3.同级政府采购监督管理部门</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名    称：高新区财政局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地    址：/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传    真：/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联系人 ：蔡科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监督投诉电话：0574-89288732</w:t>
      </w:r>
    </w:p>
    <w:p>
      <w:pPr>
        <w:keepNext w:val="0"/>
        <w:keepLines w:val="0"/>
        <w:pageBreakBefore w:val="0"/>
        <w:widowControl/>
        <w:suppressLineNumbers w:val="0"/>
        <w:kinsoku/>
        <w:wordWrap/>
        <w:overflowPunct/>
        <w:topLinePunct w:val="0"/>
        <w:autoSpaceDE/>
        <w:autoSpaceDN/>
        <w:bidi w:val="0"/>
        <w:adjustRightInd/>
        <w:snapToGrid/>
        <w:spacing w:after="240" w:afterAutospacing="0" w:line="360" w:lineRule="auto"/>
        <w:ind w:firstLine="420" w:firstLineChars="200"/>
        <w:jc w:val="left"/>
        <w:textAlignment w:val="auto"/>
      </w:pP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若对项目采购电子交易系统操作有疑问，可登录政采云（https://www.zcygov.cn/），点击右侧咨询小采，获取采小蜜智能服务管家帮助，或拨打政采云服务热线400-881-7190获取热线服务帮助。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CA问题联系电话（人工）：汇信CA 400-888-4636；天谷CA 400-087-8198。</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Cs w:val="21"/>
        </w:rPr>
      </w:pPr>
    </w:p>
    <w:p>
      <w:pPr>
        <w:spacing w:line="360" w:lineRule="auto"/>
        <w:ind w:firstLine="420" w:firstLineChars="200"/>
        <w:rPr>
          <w:rFonts w:hint="eastAsia" w:asciiTheme="minorEastAsia" w:hAnsiTheme="minorEastAsia" w:eastAsiaTheme="minorEastAsia" w:cstheme="minorEastAsia"/>
          <w:color w:val="auto"/>
          <w:szCs w:val="21"/>
        </w:rPr>
      </w:pPr>
    </w:p>
    <w:p>
      <w:pPr>
        <w:spacing w:line="360" w:lineRule="auto"/>
        <w:ind w:firstLine="420" w:firstLineChars="200"/>
        <w:rPr>
          <w:rFonts w:hint="eastAsia" w:asciiTheme="minorEastAsia" w:hAnsiTheme="minorEastAsia" w:eastAsiaTheme="minorEastAsia" w:cstheme="minorEastAsia"/>
          <w:color w:val="auto"/>
          <w:szCs w:val="21"/>
        </w:rPr>
      </w:pPr>
    </w:p>
    <w:p>
      <w:pPr>
        <w:spacing w:line="360" w:lineRule="auto"/>
        <w:ind w:firstLine="420" w:firstLineChars="200"/>
        <w:rPr>
          <w:rFonts w:hint="eastAsia" w:asciiTheme="minorEastAsia" w:hAnsiTheme="minorEastAsia" w:eastAsiaTheme="minorEastAsia" w:cstheme="minorEastAsia"/>
          <w:color w:val="auto"/>
          <w:szCs w:val="21"/>
        </w:rPr>
      </w:pPr>
    </w:p>
    <w:p>
      <w:pPr>
        <w:spacing w:line="360" w:lineRule="auto"/>
        <w:ind w:firstLine="420" w:firstLineChars="200"/>
        <w:rPr>
          <w:rFonts w:hint="eastAsia" w:asciiTheme="minorEastAsia" w:hAnsiTheme="minorEastAsia" w:eastAsiaTheme="minorEastAsia" w:cstheme="minorEastAsia"/>
          <w:color w:val="auto"/>
          <w:szCs w:val="21"/>
        </w:rPr>
      </w:pPr>
    </w:p>
    <w:p>
      <w:pPr>
        <w:spacing w:line="360" w:lineRule="auto"/>
        <w:ind w:firstLine="420" w:firstLineChars="200"/>
        <w:rPr>
          <w:rFonts w:hint="eastAsia" w:asciiTheme="minorEastAsia" w:hAnsiTheme="minorEastAsia" w:eastAsiaTheme="minorEastAsia" w:cstheme="minorEastAsia"/>
          <w:color w:val="auto"/>
          <w:szCs w:val="21"/>
        </w:rPr>
      </w:pPr>
    </w:p>
    <w:p>
      <w:pPr>
        <w:spacing w:line="360" w:lineRule="auto"/>
        <w:ind w:firstLine="420" w:firstLineChars="200"/>
        <w:rPr>
          <w:rFonts w:hint="eastAsia" w:asciiTheme="minorEastAsia" w:hAnsiTheme="minorEastAsia" w:eastAsiaTheme="minorEastAsia" w:cstheme="minorEastAsia"/>
          <w:color w:val="auto"/>
          <w:szCs w:val="21"/>
        </w:rPr>
      </w:pPr>
    </w:p>
    <w:p>
      <w:pPr>
        <w:spacing w:line="360" w:lineRule="auto"/>
        <w:ind w:firstLine="420" w:firstLineChars="200"/>
        <w:rPr>
          <w:rFonts w:hint="eastAsia" w:asciiTheme="minorEastAsia" w:hAnsiTheme="minorEastAsia" w:eastAsiaTheme="minorEastAsia" w:cstheme="minorEastAsia"/>
          <w:color w:val="auto"/>
          <w:szCs w:val="21"/>
        </w:rPr>
      </w:pPr>
    </w:p>
    <w:p>
      <w:pPr>
        <w:spacing w:line="360" w:lineRule="auto"/>
        <w:ind w:firstLine="420" w:firstLineChars="200"/>
        <w:rPr>
          <w:rFonts w:hint="eastAsia" w:asciiTheme="minorEastAsia" w:hAnsiTheme="minorEastAsia" w:eastAsiaTheme="minorEastAsia" w:cstheme="minorEastAsia"/>
          <w:color w:val="auto"/>
          <w:szCs w:val="21"/>
        </w:rPr>
      </w:pPr>
    </w:p>
    <w:p>
      <w:pPr>
        <w:spacing w:line="360" w:lineRule="auto"/>
        <w:ind w:firstLine="420" w:firstLineChars="200"/>
        <w:rPr>
          <w:rFonts w:hint="eastAsia" w:asciiTheme="minorEastAsia" w:hAnsiTheme="minorEastAsia" w:eastAsiaTheme="minorEastAsia" w:cstheme="minorEastAsia"/>
          <w:color w:val="auto"/>
          <w:szCs w:val="21"/>
        </w:rPr>
      </w:pPr>
    </w:p>
    <w:p>
      <w:pPr>
        <w:pStyle w:val="3"/>
        <w:spacing w:line="480" w:lineRule="auto"/>
        <w:rPr>
          <w:rFonts w:ascii="宋体" w:hAnsi="宋体" w:cs="宋体"/>
          <w:color w:val="auto"/>
          <w:szCs w:val="21"/>
        </w:rPr>
      </w:pPr>
      <w:bookmarkStart w:id="1" w:name="_Toc27212"/>
      <w:bookmarkStart w:id="12" w:name="_GoBack"/>
      <w:bookmarkEnd w:id="12"/>
      <w:r>
        <w:rPr>
          <w:rFonts w:hint="eastAsia" w:ascii="宋体" w:hAnsi="宋体" w:cs="宋体"/>
          <w:color w:val="auto"/>
        </w:rPr>
        <w:br w:type="page"/>
      </w:r>
      <w:r>
        <w:rPr>
          <w:rFonts w:hint="eastAsia" w:ascii="宋体" w:hAnsi="宋体" w:cs="宋体"/>
          <w:color w:val="auto"/>
        </w:rPr>
        <w:t>第二章  采购需求</w:t>
      </w:r>
      <w:bookmarkEnd w:id="1"/>
      <w:bookmarkStart w:id="2" w:name="_Toc6513"/>
    </w:p>
    <w:p>
      <w:pPr>
        <w:spacing w:line="360" w:lineRule="auto"/>
        <w:rPr>
          <w:rFonts w:ascii="宋体" w:hAnsi="宋体" w:cs="宋体"/>
          <w:color w:val="auto"/>
          <w:sz w:val="28"/>
          <w:szCs w:val="28"/>
        </w:rPr>
      </w:pPr>
      <w:r>
        <w:rPr>
          <w:rFonts w:hint="eastAsia" w:ascii="宋体" w:hAnsi="宋体" w:cs="宋体"/>
          <w:color w:val="auto"/>
          <w:sz w:val="28"/>
          <w:szCs w:val="28"/>
        </w:rPr>
        <w:t>一、项目背景</w:t>
      </w:r>
    </w:p>
    <w:p>
      <w:pPr>
        <w:spacing w:line="360" w:lineRule="auto"/>
        <w:ind w:firstLine="420" w:firstLineChars="200"/>
        <w:rPr>
          <w:rFonts w:ascii="宋体" w:hAnsi="宋体" w:cs="宋体"/>
          <w:color w:val="auto"/>
          <w:szCs w:val="21"/>
        </w:rPr>
      </w:pPr>
      <w:r>
        <w:rPr>
          <w:rFonts w:hint="eastAsia" w:ascii="宋体" w:hAnsi="宋体" w:cs="宋体"/>
          <w:color w:val="auto"/>
          <w:szCs w:val="21"/>
        </w:rPr>
        <w:t>清水桥路菜场周边整治范围丹桂路（丁香路口-丹桂路世纪大道路口）门面房及菜场周边道路，此片区域店铺集中，人流量大，商业气氛浓厚；新明小学上下学接送时间与市民采购时间重叠，车辆人流相对集中，加上周边原来就不宽敞的道路大量机动车非机动车路边违章临时停靠，路口行人闯红灯现象频繁，给道路通行带来严重交通隐患。</w:t>
      </w:r>
    </w:p>
    <w:p>
      <w:pPr>
        <w:numPr>
          <w:ilvl w:val="0"/>
          <w:numId w:val="2"/>
        </w:numPr>
        <w:spacing w:line="360" w:lineRule="auto"/>
        <w:ind w:firstLine="420" w:firstLineChars="200"/>
        <w:rPr>
          <w:rFonts w:ascii="宋体" w:hAnsi="宋体" w:cs="宋体"/>
          <w:color w:val="auto"/>
          <w:szCs w:val="21"/>
        </w:rPr>
      </w:pPr>
      <w:r>
        <w:rPr>
          <w:rFonts w:hint="eastAsia" w:ascii="宋体" w:hAnsi="宋体" w:cs="宋体"/>
          <w:color w:val="auto"/>
          <w:szCs w:val="21"/>
        </w:rPr>
        <w:t>交通安全问题：菜场东面清水桥路因新明小学上放学时间点和市民买菜时间点冲突，路边违停情况突出；单位路丁香苑南门店面房人流集中，非机动车与行人及非机动车道违章停靠车辆存在冲突；菜场南边道路因丹桂路为断头路，交通职能部门已在路边设立停车位，但仍然无法满足停车需求，菜场北侧无名路及菜场内部道路原本就很窄，虽然中间交管部门做了相应措施管理还是避免不了车辆违停导致道路不畅；菜场内部道路及车位设立管理部合理通行状况也是一团糟。</w:t>
      </w:r>
    </w:p>
    <w:p>
      <w:pPr>
        <w:numPr>
          <w:ilvl w:val="0"/>
          <w:numId w:val="2"/>
        </w:numPr>
        <w:spacing w:line="360" w:lineRule="auto"/>
        <w:ind w:firstLine="420" w:firstLineChars="200"/>
        <w:rPr>
          <w:rFonts w:ascii="宋体" w:hAnsi="宋体" w:cs="宋体"/>
          <w:color w:val="auto"/>
          <w:szCs w:val="21"/>
        </w:rPr>
      </w:pPr>
      <w:r>
        <w:rPr>
          <w:rFonts w:hint="eastAsia" w:ascii="宋体" w:hAnsi="宋体" w:cs="宋体"/>
          <w:color w:val="auto"/>
          <w:szCs w:val="21"/>
        </w:rPr>
        <w:t>该区域店面出店经营现象频繁，严重影响人行道通行、影响市政市貌。</w:t>
      </w:r>
    </w:p>
    <w:p>
      <w:pPr>
        <w:spacing w:line="360" w:lineRule="auto"/>
        <w:rPr>
          <w:rFonts w:ascii="宋体" w:hAnsi="宋体" w:cs="宋体"/>
          <w:color w:val="auto"/>
          <w:sz w:val="28"/>
          <w:szCs w:val="28"/>
        </w:rPr>
      </w:pPr>
      <w:r>
        <w:rPr>
          <w:rFonts w:hint="eastAsia" w:ascii="宋体" w:hAnsi="宋体" w:cs="宋体"/>
          <w:color w:val="auto"/>
          <w:sz w:val="28"/>
          <w:szCs w:val="28"/>
        </w:rPr>
        <w:t>二、改造内容</w:t>
      </w:r>
    </w:p>
    <w:p>
      <w:pPr>
        <w:spacing w:line="360" w:lineRule="auto"/>
        <w:ind w:firstLine="420" w:firstLineChars="200"/>
        <w:rPr>
          <w:rFonts w:ascii="宋体" w:hAnsi="宋体" w:cs="宋体"/>
          <w:color w:val="auto"/>
          <w:szCs w:val="21"/>
        </w:rPr>
      </w:pPr>
      <w:r>
        <w:rPr>
          <w:rFonts w:hint="eastAsia" w:ascii="宋体" w:hAnsi="宋体" w:cs="宋体"/>
          <w:color w:val="auto"/>
          <w:szCs w:val="21"/>
        </w:rPr>
        <w:t>鉴于以上各种凸显的问题，本着科学发展，和谐共建的指导思想加强整治力度，建立长效管理机制，还菜场周边居民整洁卫生、安全畅通的交通治安环境；特提出整改建议如下（具体实施办法详见图纸清单）：</w:t>
      </w:r>
    </w:p>
    <w:p>
      <w:pPr>
        <w:numPr>
          <w:ilvl w:val="0"/>
          <w:numId w:val="3"/>
        </w:numPr>
        <w:spacing w:line="360" w:lineRule="auto"/>
        <w:ind w:left="420" w:leftChars="200"/>
        <w:rPr>
          <w:rFonts w:ascii="宋体" w:hAnsi="宋体" w:cs="宋体"/>
          <w:color w:val="auto"/>
          <w:szCs w:val="21"/>
        </w:rPr>
      </w:pPr>
      <w:r>
        <w:rPr>
          <w:rFonts w:hint="eastAsia" w:ascii="宋体" w:hAnsi="宋体" w:cs="宋体"/>
          <w:color w:val="auto"/>
          <w:szCs w:val="21"/>
        </w:rPr>
        <w:t>交通优化</w:t>
      </w:r>
      <w:r>
        <w:rPr>
          <w:rFonts w:hint="eastAsia" w:ascii="宋体" w:hAnsi="宋体" w:cs="宋体"/>
          <w:color w:val="auto"/>
          <w:szCs w:val="21"/>
          <w:lang w:eastAsia="zh-CN"/>
        </w:rPr>
        <w:t>要求</w:t>
      </w:r>
    </w:p>
    <w:p>
      <w:pPr>
        <w:numPr>
          <w:ilvl w:val="0"/>
          <w:numId w:val="4"/>
        </w:numPr>
        <w:spacing w:line="360" w:lineRule="auto"/>
        <w:ind w:firstLine="420" w:firstLineChars="200"/>
        <w:rPr>
          <w:rFonts w:ascii="宋体" w:hAnsi="宋体" w:cs="宋体"/>
          <w:color w:val="auto"/>
          <w:szCs w:val="21"/>
        </w:rPr>
      </w:pPr>
      <w:r>
        <w:rPr>
          <w:rFonts w:hint="eastAsia" w:ascii="宋体" w:hAnsi="宋体" w:cs="宋体"/>
          <w:color w:val="auto"/>
          <w:szCs w:val="21"/>
        </w:rPr>
        <w:t>对丹桂路清水桥路路口东向西车道进行渠化，由原来的双向单车道更改为双向三车道</w:t>
      </w:r>
      <w:r>
        <w:rPr>
          <w:rFonts w:hint="eastAsia" w:ascii="宋体" w:hAnsi="宋体" w:cs="宋体"/>
          <w:color w:val="auto"/>
          <w:szCs w:val="21"/>
          <w:lang w:eastAsia="zh-CN"/>
        </w:rPr>
        <w:t>；周边停车位标志标线及车位设计规格要符合后期城管智慧停车项目设计规范</w:t>
      </w:r>
      <w:r>
        <w:rPr>
          <w:rFonts w:hint="eastAsia" w:ascii="宋体" w:hAnsi="宋体" w:cs="宋体"/>
          <w:color w:val="auto"/>
          <w:szCs w:val="21"/>
        </w:rPr>
        <w:t>。</w:t>
      </w:r>
    </w:p>
    <w:p>
      <w:pPr>
        <w:numPr>
          <w:ilvl w:val="0"/>
          <w:numId w:val="4"/>
        </w:numPr>
        <w:spacing w:line="360" w:lineRule="auto"/>
        <w:ind w:firstLine="420" w:firstLineChars="200"/>
        <w:rPr>
          <w:rFonts w:ascii="宋体" w:hAnsi="宋体" w:cs="宋体"/>
          <w:color w:val="auto"/>
          <w:szCs w:val="21"/>
        </w:rPr>
      </w:pPr>
      <w:r>
        <w:rPr>
          <w:rFonts w:hint="eastAsia" w:ascii="宋体" w:hAnsi="宋体" w:cs="宋体"/>
          <w:color w:val="auto"/>
          <w:szCs w:val="21"/>
        </w:rPr>
        <w:t>清水桥路丹桂路路口增设非机动车抓拍及行人闯红灯</w:t>
      </w:r>
      <w:r>
        <w:rPr>
          <w:rFonts w:hint="eastAsia" w:ascii="宋体" w:hAnsi="宋体" w:cs="宋体"/>
          <w:color w:val="auto"/>
          <w:szCs w:val="21"/>
          <w:lang w:eastAsia="zh-CN"/>
        </w:rPr>
        <w:t>抓拍高清</w:t>
      </w:r>
      <w:r>
        <w:rPr>
          <w:rFonts w:hint="eastAsia" w:ascii="宋体" w:hAnsi="宋体" w:cs="宋体"/>
          <w:color w:val="auto"/>
          <w:szCs w:val="21"/>
        </w:rPr>
        <w:t>摄像机</w:t>
      </w:r>
      <w:r>
        <w:rPr>
          <w:rFonts w:hint="eastAsia" w:ascii="宋体" w:hAnsi="宋体" w:cs="宋体"/>
          <w:color w:val="auto"/>
          <w:szCs w:val="21"/>
          <w:lang w:eastAsia="zh-CN"/>
        </w:rPr>
        <w:t>（要求与公安人脸识别平台和非机动车违章处罚平台无缝对接）</w:t>
      </w:r>
      <w:r>
        <w:rPr>
          <w:rFonts w:hint="eastAsia" w:ascii="宋体" w:hAnsi="宋体" w:cs="宋体"/>
          <w:color w:val="auto"/>
          <w:szCs w:val="21"/>
        </w:rPr>
        <w:t>，对不文明行人进行有效管理管理。</w:t>
      </w:r>
    </w:p>
    <w:p>
      <w:pPr>
        <w:numPr>
          <w:ilvl w:val="0"/>
          <w:numId w:val="4"/>
        </w:numPr>
        <w:spacing w:line="360" w:lineRule="auto"/>
        <w:ind w:firstLine="420" w:firstLineChars="200"/>
        <w:rPr>
          <w:rFonts w:ascii="宋体" w:hAnsi="宋体" w:cs="宋体"/>
          <w:color w:val="auto"/>
          <w:szCs w:val="21"/>
        </w:rPr>
      </w:pPr>
      <w:r>
        <w:rPr>
          <w:rFonts w:hint="eastAsia" w:ascii="宋体" w:hAnsi="宋体" w:cs="宋体"/>
          <w:color w:val="auto"/>
          <w:szCs w:val="21"/>
        </w:rPr>
        <w:t>菜场周边区域合适位置安装违停球机，</w:t>
      </w:r>
      <w:r>
        <w:rPr>
          <w:rFonts w:hint="eastAsia" w:ascii="宋体" w:hAnsi="宋体" w:cs="宋体"/>
          <w:color w:val="auto"/>
          <w:szCs w:val="21"/>
          <w:lang w:eastAsia="zh-CN"/>
        </w:rPr>
        <w:t>要求和交警违停处罚平台无缝对接，</w:t>
      </w:r>
      <w:r>
        <w:rPr>
          <w:rFonts w:hint="eastAsia" w:ascii="宋体" w:hAnsi="宋体" w:cs="宋体"/>
          <w:color w:val="auto"/>
          <w:szCs w:val="21"/>
        </w:rPr>
        <w:t>对违章停车进行有效管理。</w:t>
      </w:r>
    </w:p>
    <w:p>
      <w:pPr>
        <w:numPr>
          <w:ilvl w:val="0"/>
          <w:numId w:val="4"/>
        </w:numPr>
        <w:spacing w:line="360" w:lineRule="auto"/>
        <w:ind w:firstLine="420" w:firstLineChars="200"/>
        <w:rPr>
          <w:rFonts w:ascii="宋体" w:hAnsi="宋体" w:cs="宋体"/>
          <w:color w:val="auto"/>
          <w:szCs w:val="21"/>
        </w:rPr>
      </w:pPr>
      <w:r>
        <w:rPr>
          <w:rFonts w:hint="eastAsia" w:ascii="宋体" w:hAnsi="宋体" w:cs="宋体"/>
          <w:color w:val="auto"/>
          <w:szCs w:val="21"/>
        </w:rPr>
        <w:t>店面门口加装</w:t>
      </w:r>
      <w:r>
        <w:rPr>
          <w:rFonts w:hint="eastAsia" w:ascii="宋体" w:hAnsi="宋体" w:cs="宋体"/>
          <w:color w:val="auto"/>
          <w:szCs w:val="21"/>
          <w:lang w:eastAsia="zh-CN"/>
        </w:rPr>
        <w:t>高清</w:t>
      </w:r>
      <w:r>
        <w:rPr>
          <w:rFonts w:hint="eastAsia" w:ascii="宋体" w:hAnsi="宋体" w:cs="宋体"/>
          <w:color w:val="auto"/>
          <w:szCs w:val="21"/>
        </w:rPr>
        <w:t>摄像机</w:t>
      </w:r>
      <w:r>
        <w:rPr>
          <w:rFonts w:hint="eastAsia" w:ascii="宋体" w:hAnsi="宋体" w:cs="宋体"/>
          <w:color w:val="auto"/>
          <w:szCs w:val="21"/>
          <w:lang w:eastAsia="zh-CN"/>
        </w:rPr>
        <w:t>（要求与城管出店经营抓拍平台无缝对接）</w:t>
      </w:r>
      <w:r>
        <w:rPr>
          <w:rFonts w:hint="eastAsia" w:ascii="宋体" w:hAnsi="宋体" w:cs="宋体"/>
          <w:color w:val="auto"/>
          <w:szCs w:val="21"/>
          <w:lang w:val="en-US" w:eastAsia="zh-CN"/>
        </w:rPr>
        <w:t xml:space="preserve"> </w:t>
      </w:r>
      <w:r>
        <w:rPr>
          <w:rFonts w:hint="eastAsia" w:ascii="宋体" w:hAnsi="宋体" w:cs="宋体"/>
          <w:color w:val="auto"/>
          <w:szCs w:val="21"/>
        </w:rPr>
        <w:t>对出店经营进行有效监控管理。</w:t>
      </w:r>
    </w:p>
    <w:p>
      <w:pPr>
        <w:pStyle w:val="2"/>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pStyle w:val="2"/>
        <w:rPr>
          <w:rFonts w:hint="eastAsia" w:ascii="宋体" w:hAnsi="宋体" w:cs="宋体"/>
          <w:color w:val="auto"/>
          <w:szCs w:val="21"/>
        </w:rPr>
      </w:pPr>
    </w:p>
    <w:p>
      <w:pPr>
        <w:spacing w:line="360" w:lineRule="auto"/>
        <w:rPr>
          <w:rFonts w:hint="eastAsia" w:ascii="宋体" w:hAnsi="宋体" w:eastAsia="宋体" w:cs="宋体"/>
          <w:color w:val="auto"/>
          <w:sz w:val="28"/>
          <w:szCs w:val="28"/>
          <w:lang w:eastAsia="zh-CN"/>
        </w:rPr>
      </w:pPr>
      <w:r>
        <w:rPr>
          <w:rFonts w:hint="eastAsia" w:ascii="宋体" w:hAnsi="宋体" w:cs="宋体"/>
          <w:color w:val="auto"/>
          <w:sz w:val="28"/>
          <w:szCs w:val="28"/>
        </w:rPr>
        <w:t>三、改造设备清单</w:t>
      </w:r>
      <w:r>
        <w:rPr>
          <w:rFonts w:hint="eastAsia" w:ascii="宋体" w:hAnsi="宋体" w:cs="宋体"/>
          <w:color w:val="auto"/>
          <w:sz w:val="28"/>
          <w:szCs w:val="28"/>
          <w:lang w:val="en-US" w:eastAsia="zh-CN"/>
        </w:rPr>
        <w:t xml:space="preserve">  </w:t>
      </w:r>
    </w:p>
    <w:tbl>
      <w:tblPr>
        <w:tblStyle w:val="45"/>
        <w:tblW w:w="8342" w:type="dxa"/>
        <w:tblInd w:w="0" w:type="dxa"/>
        <w:tblLayout w:type="fixed"/>
        <w:tblCellMar>
          <w:top w:w="0" w:type="dxa"/>
          <w:left w:w="0" w:type="dxa"/>
          <w:bottom w:w="0" w:type="dxa"/>
          <w:right w:w="0" w:type="dxa"/>
        </w:tblCellMar>
      </w:tblPr>
      <w:tblGrid>
        <w:gridCol w:w="783"/>
        <w:gridCol w:w="1309"/>
        <w:gridCol w:w="4642"/>
        <w:gridCol w:w="800"/>
        <w:gridCol w:w="808"/>
      </w:tblGrid>
      <w:tr>
        <w:tblPrEx>
          <w:tblCellMar>
            <w:top w:w="0" w:type="dxa"/>
            <w:left w:w="0" w:type="dxa"/>
            <w:bottom w:w="0" w:type="dxa"/>
            <w:right w:w="0" w:type="dxa"/>
          </w:tblCellMar>
        </w:tblPrEx>
        <w:trPr>
          <w:trHeight w:val="27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rPr>
              <w:t>序号</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rPr>
              <w:t>项目</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rPr>
              <w:t>技术参数要求</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rPr>
              <w:t>数量</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rPr>
              <w:t>单位</w:t>
            </w:r>
          </w:p>
        </w:tc>
      </w:tr>
      <w:tr>
        <w:tblPrEx>
          <w:tblCellMar>
            <w:top w:w="0" w:type="dxa"/>
            <w:left w:w="0" w:type="dxa"/>
            <w:bottom w:w="0" w:type="dxa"/>
            <w:right w:w="0" w:type="dxa"/>
          </w:tblCellMar>
        </w:tblPrEx>
        <w:trPr>
          <w:trHeight w:val="468" w:hRule="atLeast"/>
        </w:trPr>
        <w:tc>
          <w:tcPr>
            <w:tcW w:w="834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科技设施部分</w:t>
            </w:r>
          </w:p>
        </w:tc>
      </w:tr>
      <w:tr>
        <w:tblPrEx>
          <w:tblCellMar>
            <w:top w:w="0" w:type="dxa"/>
            <w:left w:w="0" w:type="dxa"/>
            <w:bottom w:w="0" w:type="dxa"/>
            <w:right w:w="0" w:type="dxa"/>
          </w:tblCellMar>
        </w:tblPrEx>
        <w:trPr>
          <w:trHeight w:val="4506"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非机动车抓拍摄像头</w:t>
            </w:r>
          </w:p>
        </w:tc>
        <w:tc>
          <w:tcPr>
            <w:tcW w:w="46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支持非机动车闯红灯运动过程抓拍，人脸抠图，电动车载人、电动车是否带头盔，以及报警信息输出等功能。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支持行人闯红灯运动过程抓拍，闯红灯人脸抠图，报警信息输出等功能。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包含摄像机、高清镜头、室外防护罩、风扇、内置补光灯、相机内置防雷模块、电源适配器、安装万向节等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像素：900W</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分辨率：最大支持4096*2160</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帧率：25fps</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感光器件：1" GMOS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相机：iDS-2CD9396-ASP</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镜头：30mm镜头</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照度：彩色:0.01Lux @(F1.2，AGC ON)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视频压缩标准：H.265/H.264/MJPEG</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图像输出格式：JPEG</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输出：电平量信号</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通讯接口：2个RJ45 100M/1000M自适应网口，3个RS485接口，1个RS232接口</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外部接口：4路外部触发输入，6路(5V TTL电平量)输出，可作为闪光灯同步输出控制，SYNC信号灯电源同步输入</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存储支持：最大支持64G TF卡</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自动光圈镜头：支持</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工作电压：100VAC～240VAC；频率：48Hz～52Hz</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功耗：＜20W</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8</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套</w:t>
            </w:r>
          </w:p>
        </w:tc>
      </w:tr>
      <w:tr>
        <w:tblPrEx>
          <w:tblCellMar>
            <w:top w:w="0" w:type="dxa"/>
            <w:left w:w="0" w:type="dxa"/>
            <w:bottom w:w="0" w:type="dxa"/>
            <w:right w:w="0" w:type="dxa"/>
          </w:tblCellMar>
        </w:tblPrEx>
        <w:trPr>
          <w:trHeight w:val="54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监控摄像机（城管）</w:t>
            </w:r>
          </w:p>
        </w:tc>
        <w:tc>
          <w:tcPr>
            <w:tcW w:w="46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400万星光级1/2.7"CMOS智能筒型网络摄像机</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智能侦测:采用深度学习硬件及算法,提供精准的人车分类侦测,支持越界侦测,区域入侵侦测,进入/离开区域侦测。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支持联动白光报警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支持联动声音报警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最小照度:0.005Lux @(F1.2,AGC ON) ,0 Lux with IR</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镜头:4mm, 水平视场角83.7°[6mm(51.8°),8mm(29.7°),12mm(24.6°)可选]</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宽动态范围:120dB</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视频压缩标准:H.265/H.264/ MJPEG</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最大图像尺寸:2560 x 1440</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存储功能:支持Micro SD(即TF卡)/Micro SDHC/Micro SDXC卡((128GB或者256GB)断网本地存储及断网续传,NAS(NFS,SMB/CIFS均支持),配合海康黑卡支持SD卡加密及SD状态检测功能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通讯接口:1个RJ45 10M / 100M 自适应以太网口</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音频接口:内置麦克风和扬声器</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音频接口:1对音频输入(Line in)/输出（Line out）外部接口</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报警输入:1路</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报警输出:1路(报警输出最大支持DC24V/AC24V 1A)</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电源输出:支持两线式DC12V 100mA电源输出</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工作温度和湿度:-30℃~60℃,湿度小于95%(无凝结)</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电源供应:DC12V±25% / PoE(802.3af)</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电源接口类型:Φ5.5mm圆头电源接口</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功耗:DC12V:9W Max; PoE:10.5W Max</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红外照射距离:最远可达50米</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防护等级:IP67</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16</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套</w:t>
            </w:r>
          </w:p>
        </w:tc>
      </w:tr>
      <w:tr>
        <w:tblPrEx>
          <w:tblCellMar>
            <w:top w:w="0" w:type="dxa"/>
            <w:left w:w="0" w:type="dxa"/>
            <w:bottom w:w="0" w:type="dxa"/>
            <w:right w:w="0" w:type="dxa"/>
          </w:tblCellMar>
        </w:tblPrEx>
        <w:trPr>
          <w:trHeight w:val="54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3</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监控摄像机（菜场）</w:t>
            </w:r>
          </w:p>
        </w:tc>
        <w:tc>
          <w:tcPr>
            <w:tcW w:w="46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400万星光级1/1.8” CMOS AI抓拍筒型网络摄像机</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人脸抓拍:</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人脸检测性能：最多可以同时支持30个人脸，支持检测、跟踪、评分</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支持上传背景大图以及人脸小图</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周界:</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支持区域入侵、越界侦测、进入区域、离开区域功能；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支持基于具体的目标类型（人或车辆）触发的报警；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过滤掉如树叶、灯光、动物、旗子等引起的误报警；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道路监控:</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车辆检测：支持车牌识别并抓拍，车型/车标/车身颜色/车牌颜色识别</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混行检测：检测正向或逆向行驶的车辆以及行人和非机动车，自动对车辆牌照进行识别，可以抓拍无车牌的车辆图片。</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设备内置电动变焦镜头，操作便易，变焦过程平稳</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最低照度:彩色: 0.0005Lux @ (F1.2, AGC ON); 黑白: 0.0001 Lux @ (F1.2, AGC ON), 0 Lux with IR</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镜头:（变焦）2.8-12mm @ F1.2,水平视场角：100°~40°，垂直视场角：52°~22°，对角线视场角：120°~46°</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宽动态: 超宽动态范围达120dB，室内逆光环境下监控</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视频压缩标准: H.265/H.264 / MJPEG</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最大图像尺寸: 2688×1520</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存储功能: 支持Micro SD(即TF卡)/Micro SDHC /Micro SDXC卡(256GB)断网本地存储及断网续传,NAS(NFS,SMB/CIFS均支持),配合支持SD卡加密及SD状态检测功能</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接口类型: 甩线</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通讯接口:1个RJ45 10M / 100M  自适应以太网口；</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电源输出:DC12V 200m</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Reset按键: 支持</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工作温度和湿度: -30℃~60℃,湿度小于95%(无凝结)</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电源供应: DC：12V±20% ，支持防反接保护；PoE：802.3at, class 4</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电源接口类型: 三芯电源接口</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功耗:DC： 12 V, 1.42 A, Max： 17.0W; PoE： (802.3at, 42.5V-57V), 0.45 A to 0.33 A，Max：19W</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防护等级:IP66</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补光距离:白光：50米（人脸5米）</w:t>
            </w:r>
            <w:r>
              <w:rPr>
                <w:rFonts w:hint="eastAsia" w:ascii="宋体" w:hAnsi="宋体" w:eastAsia="宋体" w:cs="宋体"/>
                <w:color w:val="auto"/>
                <w:sz w:val="21"/>
                <w:szCs w:val="21"/>
              </w:rPr>
              <w:br w:type="textWrapping"/>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8</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套</w:t>
            </w:r>
          </w:p>
        </w:tc>
      </w:tr>
      <w:tr>
        <w:tblPrEx>
          <w:tblCellMar>
            <w:top w:w="0" w:type="dxa"/>
            <w:left w:w="0" w:type="dxa"/>
            <w:bottom w:w="0" w:type="dxa"/>
            <w:right w:w="0" w:type="dxa"/>
          </w:tblCellMar>
        </w:tblPrEx>
        <w:trPr>
          <w:trHeight w:val="536"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4</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万向节</w:t>
            </w:r>
          </w:p>
        </w:tc>
        <w:tc>
          <w:tcPr>
            <w:tcW w:w="46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auto"/>
                <w:sz w:val="21"/>
                <w:szCs w:val="21"/>
              </w:rPr>
            </w:pP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32</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个</w:t>
            </w:r>
          </w:p>
        </w:tc>
      </w:tr>
      <w:tr>
        <w:tblPrEx>
          <w:tblCellMar>
            <w:top w:w="0" w:type="dxa"/>
            <w:left w:w="0" w:type="dxa"/>
            <w:bottom w:w="0" w:type="dxa"/>
            <w:right w:w="0" w:type="dxa"/>
          </w:tblCellMar>
        </w:tblPrEx>
        <w:trPr>
          <w:trHeight w:val="81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镜头</w:t>
            </w:r>
          </w:p>
        </w:tc>
        <w:tc>
          <w:tcPr>
            <w:tcW w:w="46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百万像素镜头 （3/4"百万像素级高级镜头，12mm）</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24</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个</w:t>
            </w:r>
          </w:p>
        </w:tc>
      </w:tr>
      <w:tr>
        <w:tblPrEx>
          <w:tblCellMar>
            <w:top w:w="0" w:type="dxa"/>
            <w:left w:w="0" w:type="dxa"/>
            <w:bottom w:w="0" w:type="dxa"/>
            <w:right w:w="0" w:type="dxa"/>
          </w:tblCellMar>
        </w:tblPrEx>
        <w:trPr>
          <w:trHeight w:val="54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6</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摄像机电源</w:t>
            </w:r>
          </w:p>
        </w:tc>
        <w:tc>
          <w:tcPr>
            <w:tcW w:w="46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摄像机电源 直流12V，12A</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32</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套</w:t>
            </w:r>
          </w:p>
        </w:tc>
      </w:tr>
      <w:tr>
        <w:tblPrEx>
          <w:tblCellMar>
            <w:top w:w="0" w:type="dxa"/>
            <w:left w:w="0" w:type="dxa"/>
            <w:bottom w:w="0" w:type="dxa"/>
            <w:right w:w="0" w:type="dxa"/>
          </w:tblCellMar>
        </w:tblPrEx>
        <w:trPr>
          <w:trHeight w:val="54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7</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护罩</w:t>
            </w:r>
          </w:p>
        </w:tc>
        <w:tc>
          <w:tcPr>
            <w:tcW w:w="46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摄像机护罩 18寸，带温控、风扇</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24</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个</w:t>
            </w:r>
          </w:p>
        </w:tc>
      </w:tr>
      <w:tr>
        <w:tblPrEx>
          <w:tblCellMar>
            <w:top w:w="0" w:type="dxa"/>
            <w:left w:w="0" w:type="dxa"/>
            <w:bottom w:w="0" w:type="dxa"/>
            <w:right w:w="0" w:type="dxa"/>
          </w:tblCellMar>
        </w:tblPrEx>
        <w:trPr>
          <w:trHeight w:val="27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8</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补光灯</w:t>
            </w:r>
          </w:p>
        </w:tc>
        <w:tc>
          <w:tcPr>
            <w:tcW w:w="46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auto"/>
                <w:sz w:val="21"/>
                <w:szCs w:val="21"/>
              </w:rPr>
            </w:pP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8</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套</w:t>
            </w:r>
          </w:p>
        </w:tc>
      </w:tr>
      <w:tr>
        <w:tblPrEx>
          <w:tblCellMar>
            <w:top w:w="0" w:type="dxa"/>
            <w:left w:w="0" w:type="dxa"/>
            <w:bottom w:w="0" w:type="dxa"/>
            <w:right w:w="0" w:type="dxa"/>
          </w:tblCellMar>
        </w:tblPrEx>
        <w:trPr>
          <w:trHeight w:val="27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9</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摄像头立杆</w:t>
            </w:r>
          </w:p>
        </w:tc>
        <w:tc>
          <w:tcPr>
            <w:tcW w:w="46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高度3M（八角杆）</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12</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套</w:t>
            </w:r>
          </w:p>
        </w:tc>
      </w:tr>
      <w:tr>
        <w:tblPrEx>
          <w:tblCellMar>
            <w:top w:w="0" w:type="dxa"/>
            <w:left w:w="0" w:type="dxa"/>
            <w:bottom w:w="0" w:type="dxa"/>
            <w:right w:w="0" w:type="dxa"/>
          </w:tblCellMar>
        </w:tblPrEx>
        <w:trPr>
          <w:trHeight w:val="54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10</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非机动车抓拍立杆</w:t>
            </w:r>
          </w:p>
        </w:tc>
        <w:tc>
          <w:tcPr>
            <w:tcW w:w="46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高度3.5M</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4</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套</w:t>
            </w:r>
          </w:p>
        </w:tc>
      </w:tr>
      <w:tr>
        <w:tblPrEx>
          <w:tblCellMar>
            <w:top w:w="0" w:type="dxa"/>
            <w:left w:w="0" w:type="dxa"/>
            <w:bottom w:w="0" w:type="dxa"/>
            <w:right w:w="0" w:type="dxa"/>
          </w:tblCellMar>
        </w:tblPrEx>
        <w:trPr>
          <w:trHeight w:val="27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11</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硬盘</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6T企业级硬盘 3.5英寸 4000G 7200 128M SATA3  6Gb/S</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8</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块</w:t>
            </w:r>
          </w:p>
        </w:tc>
      </w:tr>
      <w:tr>
        <w:tblPrEx>
          <w:tblCellMar>
            <w:top w:w="0" w:type="dxa"/>
            <w:left w:w="0" w:type="dxa"/>
            <w:bottom w:w="0" w:type="dxa"/>
            <w:right w:w="0" w:type="dxa"/>
          </w:tblCellMar>
        </w:tblPrEx>
        <w:trPr>
          <w:trHeight w:val="27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12</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网线</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室外三防网线 六类线</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970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米</w:t>
            </w:r>
          </w:p>
        </w:tc>
      </w:tr>
      <w:tr>
        <w:tblPrEx>
          <w:tblCellMar>
            <w:top w:w="0" w:type="dxa"/>
            <w:left w:w="0" w:type="dxa"/>
            <w:bottom w:w="0" w:type="dxa"/>
            <w:right w:w="0" w:type="dxa"/>
          </w:tblCellMar>
        </w:tblPrEx>
        <w:trPr>
          <w:trHeight w:val="27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13</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光缆</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8B1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550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米</w:t>
            </w:r>
          </w:p>
        </w:tc>
      </w:tr>
      <w:tr>
        <w:tblPrEx>
          <w:tblCellMar>
            <w:top w:w="0" w:type="dxa"/>
            <w:left w:w="0" w:type="dxa"/>
            <w:bottom w:w="0" w:type="dxa"/>
            <w:right w:w="0" w:type="dxa"/>
          </w:tblCellMar>
        </w:tblPrEx>
        <w:trPr>
          <w:trHeight w:val="27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14</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熔接</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auto"/>
                <w:sz w:val="21"/>
                <w:szCs w:val="21"/>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32</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芯</w:t>
            </w:r>
          </w:p>
        </w:tc>
      </w:tr>
      <w:tr>
        <w:tblPrEx>
          <w:tblCellMar>
            <w:top w:w="0" w:type="dxa"/>
            <w:left w:w="0" w:type="dxa"/>
            <w:bottom w:w="0" w:type="dxa"/>
            <w:right w:w="0" w:type="dxa"/>
          </w:tblCellMar>
        </w:tblPrEx>
        <w:trPr>
          <w:trHeight w:val="27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15</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收发器</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auto"/>
                <w:sz w:val="21"/>
                <w:szCs w:val="21"/>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8</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台</w:t>
            </w:r>
          </w:p>
        </w:tc>
      </w:tr>
      <w:tr>
        <w:tblPrEx>
          <w:tblCellMar>
            <w:top w:w="0" w:type="dxa"/>
            <w:left w:w="0" w:type="dxa"/>
            <w:bottom w:w="0" w:type="dxa"/>
            <w:right w:w="0" w:type="dxa"/>
          </w:tblCellMar>
        </w:tblPrEx>
        <w:trPr>
          <w:trHeight w:val="54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16</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RVV3*2.5电源线</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RVV3*2.5</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1550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米</w:t>
            </w:r>
          </w:p>
        </w:tc>
      </w:tr>
      <w:tr>
        <w:tblPrEx>
          <w:tblCellMar>
            <w:top w:w="0" w:type="dxa"/>
            <w:left w:w="0" w:type="dxa"/>
            <w:bottom w:w="0" w:type="dxa"/>
            <w:right w:w="0" w:type="dxa"/>
          </w:tblCellMar>
        </w:tblPrEx>
        <w:trPr>
          <w:trHeight w:val="54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17</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PE50电缆保护管铺设</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PE50电缆保护管铺设 单管外径60mm，壁厚3（含绿化开挖恢复）</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550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米</w:t>
            </w:r>
          </w:p>
        </w:tc>
      </w:tr>
      <w:tr>
        <w:tblPrEx>
          <w:tblCellMar>
            <w:top w:w="0" w:type="dxa"/>
            <w:left w:w="0" w:type="dxa"/>
            <w:bottom w:w="0" w:type="dxa"/>
            <w:right w:w="0" w:type="dxa"/>
          </w:tblCellMar>
        </w:tblPrEx>
        <w:trPr>
          <w:trHeight w:val="27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18</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破路面</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auto"/>
                <w:sz w:val="21"/>
                <w:szCs w:val="21"/>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55</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平方米</w:t>
            </w:r>
          </w:p>
        </w:tc>
      </w:tr>
      <w:tr>
        <w:tblPrEx>
          <w:tblCellMar>
            <w:top w:w="0" w:type="dxa"/>
            <w:left w:w="0" w:type="dxa"/>
            <w:bottom w:w="0" w:type="dxa"/>
            <w:right w:w="0" w:type="dxa"/>
          </w:tblCellMar>
        </w:tblPrEx>
        <w:trPr>
          <w:trHeight w:val="27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19</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土方</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处置清运</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立方米</w:t>
            </w:r>
          </w:p>
        </w:tc>
      </w:tr>
      <w:tr>
        <w:tblPrEx>
          <w:tblCellMar>
            <w:top w:w="0" w:type="dxa"/>
            <w:left w:w="0" w:type="dxa"/>
            <w:bottom w:w="0" w:type="dxa"/>
            <w:right w:w="0" w:type="dxa"/>
          </w:tblCellMar>
        </w:tblPrEx>
        <w:trPr>
          <w:trHeight w:val="1338"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20</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500*500复合窨井</w:t>
            </w:r>
          </w:p>
        </w:tc>
        <w:tc>
          <w:tcPr>
            <w:tcW w:w="46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含砖块、水泥、窨井盖要求：开挖深度1000mm，开挖面约1100mm*1100mm，窨井厚度50mm，重量大于18kg</w:t>
            </w:r>
          </w:p>
        </w:tc>
        <w:tc>
          <w:tcPr>
            <w:tcW w:w="8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16</w:t>
            </w:r>
          </w:p>
        </w:tc>
        <w:tc>
          <w:tcPr>
            <w:tcW w:w="8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套</w:t>
            </w:r>
          </w:p>
        </w:tc>
      </w:tr>
      <w:tr>
        <w:tblPrEx>
          <w:tblCellMar>
            <w:top w:w="0" w:type="dxa"/>
            <w:left w:w="0" w:type="dxa"/>
            <w:bottom w:w="0" w:type="dxa"/>
            <w:right w:w="0" w:type="dxa"/>
          </w:tblCellMar>
        </w:tblPrEx>
        <w:trPr>
          <w:trHeight w:val="9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21</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杆上设备箱</w:t>
            </w:r>
          </w:p>
        </w:tc>
        <w:tc>
          <w:tcPr>
            <w:tcW w:w="4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室外抱杆箱300mm（深）×350mm（宽）×400mm（高） 采用304不锈钢制作并喷塑，厚度不小于 1.0mm，防护等级IP55及以上；箱体隐蔽式安装，1个50mm进线孔，底部留有网状落水孔；箱体具有防虫、防雨功能，配备防尘网；配有背装绝缘固定板1块，配1根导轨，1块隔板，配有接地装置，右开门；配备把锁1把，具备防盗功能；配1个空开（2P 60A），配2个空开（2P 16A），1个导轨式插座10A（3孔），1个4位五孔排插；具备理线槽，强、弱电分开理线，配备1个4芯光纤熔接盒，可侧装。正门处须有“公安警徽”LOGO图标，尺寸不小于10cm*10cm；印有“高新公安”字样。</w:t>
            </w:r>
          </w:p>
        </w:tc>
        <w:tc>
          <w:tcPr>
            <w:tcW w:w="8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6</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套</w:t>
            </w:r>
          </w:p>
        </w:tc>
      </w:tr>
      <w:tr>
        <w:tblPrEx>
          <w:tblCellMar>
            <w:top w:w="0" w:type="dxa"/>
            <w:left w:w="0" w:type="dxa"/>
            <w:bottom w:w="0" w:type="dxa"/>
            <w:right w:w="0" w:type="dxa"/>
          </w:tblCellMar>
        </w:tblPrEx>
        <w:trPr>
          <w:trHeight w:val="591"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22</w:t>
            </w:r>
          </w:p>
        </w:tc>
        <w:tc>
          <w:tcPr>
            <w:tcW w:w="13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8口交换机</w:t>
            </w:r>
          </w:p>
        </w:tc>
        <w:tc>
          <w:tcPr>
            <w:tcW w:w="464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百兆</w:t>
            </w:r>
          </w:p>
        </w:tc>
        <w:tc>
          <w:tcPr>
            <w:tcW w:w="8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8</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个</w:t>
            </w:r>
          </w:p>
        </w:tc>
      </w:tr>
      <w:tr>
        <w:tblPrEx>
          <w:tblCellMar>
            <w:top w:w="0" w:type="dxa"/>
            <w:left w:w="0" w:type="dxa"/>
            <w:bottom w:w="0" w:type="dxa"/>
            <w:right w:w="0" w:type="dxa"/>
          </w:tblCellMar>
        </w:tblPrEx>
        <w:trPr>
          <w:trHeight w:val="563"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23</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5口交换机</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百兆</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7</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个</w:t>
            </w:r>
          </w:p>
        </w:tc>
      </w:tr>
      <w:tr>
        <w:tblPrEx>
          <w:tblCellMar>
            <w:top w:w="0" w:type="dxa"/>
            <w:left w:w="0" w:type="dxa"/>
            <w:bottom w:w="0" w:type="dxa"/>
            <w:right w:w="0" w:type="dxa"/>
          </w:tblCellMar>
        </w:tblPrEx>
        <w:trPr>
          <w:trHeight w:val="54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24</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50*100cm标志牌3块</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3M高强级反光膜</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1.5</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平方米</w:t>
            </w:r>
          </w:p>
        </w:tc>
      </w:tr>
      <w:tr>
        <w:tblPrEx>
          <w:tblCellMar>
            <w:top w:w="0" w:type="dxa"/>
            <w:left w:w="0" w:type="dxa"/>
            <w:bottom w:w="0" w:type="dxa"/>
            <w:right w:w="0" w:type="dxa"/>
          </w:tblCellMar>
        </w:tblPrEx>
        <w:trPr>
          <w:trHeight w:val="54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25</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标志牌与警示柱连接杆</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φ89*4*3300镀锌管钢；C25基础砼</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3</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根</w:t>
            </w:r>
          </w:p>
        </w:tc>
      </w:tr>
      <w:tr>
        <w:tblPrEx>
          <w:tblCellMar>
            <w:top w:w="0" w:type="dxa"/>
            <w:left w:w="0" w:type="dxa"/>
            <w:bottom w:w="0" w:type="dxa"/>
            <w:right w:w="0" w:type="dxa"/>
          </w:tblCellMar>
        </w:tblPrEx>
        <w:trPr>
          <w:trHeight w:val="81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26</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DN100警示桩（反光膜3m超强级）</w:t>
            </w:r>
          </w:p>
        </w:tc>
        <w:tc>
          <w:tcPr>
            <w:tcW w:w="4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3MM*80*80热镀锌钢管，黄白3M超强级反光膜</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9</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根</w:t>
            </w:r>
          </w:p>
        </w:tc>
      </w:tr>
      <w:tr>
        <w:tblPrEx>
          <w:tblCellMar>
            <w:top w:w="0" w:type="dxa"/>
            <w:left w:w="0" w:type="dxa"/>
            <w:bottom w:w="0" w:type="dxa"/>
            <w:right w:w="0" w:type="dxa"/>
          </w:tblCellMar>
        </w:tblPrEx>
        <w:trPr>
          <w:trHeight w:val="527"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27</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旧线清除</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高压水冲洗清除</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424.55</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平方米</w:t>
            </w:r>
          </w:p>
        </w:tc>
      </w:tr>
      <w:tr>
        <w:tblPrEx>
          <w:tblCellMar>
            <w:top w:w="0" w:type="dxa"/>
            <w:left w:w="0" w:type="dxa"/>
            <w:bottom w:w="0" w:type="dxa"/>
            <w:right w:w="0" w:type="dxa"/>
          </w:tblCellMar>
        </w:tblPrEx>
        <w:trPr>
          <w:trHeight w:val="468"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28</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热熔标线</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Ⅱ级反光热熔标线</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1334.79</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平方米</w:t>
            </w:r>
          </w:p>
        </w:tc>
      </w:tr>
      <w:tr>
        <w:tblPrEx>
          <w:tblCellMar>
            <w:top w:w="0" w:type="dxa"/>
            <w:left w:w="0" w:type="dxa"/>
            <w:bottom w:w="0" w:type="dxa"/>
            <w:right w:w="0" w:type="dxa"/>
          </w:tblCellMar>
        </w:tblPrEx>
        <w:trPr>
          <w:trHeight w:val="54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29</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停车位热熔标线</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Ⅱ级反光热熔标线</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142.28</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平方米</w:t>
            </w:r>
          </w:p>
        </w:tc>
      </w:tr>
      <w:tr>
        <w:tblPrEx>
          <w:tblCellMar>
            <w:top w:w="0" w:type="dxa"/>
            <w:left w:w="0" w:type="dxa"/>
            <w:bottom w:w="0" w:type="dxa"/>
            <w:right w:w="0" w:type="dxa"/>
          </w:tblCellMar>
        </w:tblPrEx>
        <w:trPr>
          <w:trHeight w:val="27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30</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停车位网格线</w:t>
            </w:r>
          </w:p>
        </w:tc>
        <w:tc>
          <w:tcPr>
            <w:tcW w:w="46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Ⅱ级反光热熔标线</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26.25</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平方米</w:t>
            </w:r>
          </w:p>
        </w:tc>
      </w:tr>
      <w:tr>
        <w:tblPrEx>
          <w:tblCellMar>
            <w:top w:w="0" w:type="dxa"/>
            <w:left w:w="0" w:type="dxa"/>
            <w:bottom w:w="0" w:type="dxa"/>
            <w:right w:w="0" w:type="dxa"/>
          </w:tblCellMar>
        </w:tblPrEx>
        <w:trPr>
          <w:trHeight w:val="2568"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31</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中心护栏</w:t>
            </w:r>
          </w:p>
        </w:tc>
        <w:tc>
          <w:tcPr>
            <w:tcW w:w="4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城市中心护栏（包括底坐、柱帽、反光片、道钉） 2000*1050，护栏整体热镀锌，表面纯聚脂静电喷涂工艺，颜色为交通灰A（RAL-7042），柱帽为钢质柱帽，底坐为灰色复合高分子，颜色为交通灰A（RAL-7042），300*300*150，其中两面刻“宁波交警”字样，每扇道尾正反6片L型黄色高光反光片，首尾立柱安装3片U型黄色高光反光片，道钉长20CM</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8</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扇</w:t>
            </w:r>
          </w:p>
        </w:tc>
      </w:tr>
    </w:tbl>
    <w:p>
      <w:pPr>
        <w:pStyle w:val="57"/>
        <w:ind w:left="738" w:firstLine="0"/>
        <w:rPr>
          <w:color w:val="auto"/>
        </w:rPr>
      </w:pPr>
    </w:p>
    <w:p>
      <w:pPr>
        <w:rPr>
          <w:rFonts w:ascii="宋体" w:hAnsi="宋体"/>
          <w:color w:val="auto"/>
          <w:szCs w:val="21"/>
        </w:rPr>
      </w:pPr>
      <w:r>
        <w:rPr>
          <w:rFonts w:hint="eastAsia" w:ascii="宋体" w:hAnsi="宋体"/>
          <w:color w:val="auto"/>
          <w:szCs w:val="21"/>
        </w:rPr>
        <w:br w:type="page"/>
      </w:r>
    </w:p>
    <w:p>
      <w:pPr>
        <w:numPr>
          <w:ilvl w:val="0"/>
          <w:numId w:val="5"/>
        </w:numPr>
        <w:spacing w:line="360" w:lineRule="auto"/>
        <w:ind w:firstLine="562" w:firstLineChars="200"/>
        <w:rPr>
          <w:rFonts w:ascii="宋体" w:hAnsi="宋体" w:cs="宋体"/>
          <w:b/>
          <w:color w:val="auto"/>
          <w:sz w:val="28"/>
          <w:szCs w:val="28"/>
        </w:rPr>
      </w:pPr>
      <w:r>
        <w:rPr>
          <w:rFonts w:hint="eastAsia" w:ascii="宋体" w:hAnsi="宋体" w:cs="宋体"/>
          <w:b/>
          <w:color w:val="auto"/>
          <w:sz w:val="28"/>
          <w:szCs w:val="28"/>
        </w:rPr>
        <w:t>商务需求</w:t>
      </w:r>
    </w:p>
    <w:tbl>
      <w:tblPr>
        <w:tblStyle w:val="45"/>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6"/>
        <w:gridCol w:w="75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b/>
                <w:color w:val="auto"/>
                <w:szCs w:val="21"/>
              </w:rPr>
            </w:pPr>
            <w:r>
              <w:rPr>
                <w:rFonts w:hint="eastAsia" w:ascii="宋体"/>
                <w:b/>
                <w:color w:val="auto"/>
                <w:szCs w:val="21"/>
              </w:rPr>
              <w:t>项目</w:t>
            </w:r>
          </w:p>
        </w:tc>
        <w:tc>
          <w:tcPr>
            <w:tcW w:w="75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b/>
                <w:color w:val="auto"/>
                <w:szCs w:val="21"/>
              </w:rPr>
            </w:pPr>
            <w:r>
              <w:rPr>
                <w:rFonts w:hint="eastAsia" w:ascii="宋体"/>
                <w:b/>
                <w:color w:val="auto"/>
                <w:szCs w:val="21"/>
              </w:rPr>
              <w:t>采购商务要求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3" w:hRule="atLeast"/>
        </w:trPr>
        <w:tc>
          <w:tcPr>
            <w:tcW w:w="15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olor w:val="auto"/>
                <w:szCs w:val="21"/>
              </w:rPr>
            </w:pPr>
            <w:r>
              <w:rPr>
                <w:rFonts w:hint="eastAsia" w:ascii="宋体"/>
                <w:color w:val="auto"/>
                <w:szCs w:val="21"/>
              </w:rPr>
              <w:t>投标报价</w:t>
            </w:r>
          </w:p>
        </w:tc>
        <w:tc>
          <w:tcPr>
            <w:tcW w:w="7513" w:type="dxa"/>
            <w:tcBorders>
              <w:top w:val="single" w:color="auto" w:sz="4" w:space="0"/>
              <w:left w:val="single" w:color="auto" w:sz="4" w:space="0"/>
              <w:bottom w:val="single" w:color="auto" w:sz="4" w:space="0"/>
              <w:right w:val="single" w:color="auto" w:sz="4" w:space="0"/>
            </w:tcBorders>
            <w:vAlign w:val="center"/>
          </w:tcPr>
          <w:p>
            <w:pPr>
              <w:pStyle w:val="17"/>
              <w:rPr>
                <w:rFonts w:ascii="宋体"/>
                <w:color w:val="auto"/>
                <w:szCs w:val="21"/>
              </w:rPr>
            </w:pPr>
            <w:r>
              <w:rPr>
                <w:rFonts w:hint="eastAsia" w:ascii="宋体" w:hAnsi="宋体" w:cs="宋体"/>
                <w:color w:val="auto"/>
                <w:szCs w:val="21"/>
              </w:rPr>
              <w:t>报价是履行合同的最终价格，</w:t>
            </w:r>
            <w:r>
              <w:rPr>
                <w:rFonts w:hint="eastAsia"/>
                <w:color w:val="auto"/>
                <w:szCs w:val="21"/>
              </w:rPr>
              <w:t>是履行合同的最终价格，</w:t>
            </w:r>
            <w:r>
              <w:rPr>
                <w:rFonts w:hint="eastAsia" w:ascii="宋体"/>
                <w:color w:val="auto"/>
                <w:szCs w:val="21"/>
              </w:rPr>
              <w:t>应根据采购项目要求包括货款、备品备件、专用工具、包装、运输、装卸、保险、税金、货到就位以及安装、调试、培训、保修等一切税金和费用，即交钥匙价）。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3" w:hRule="atLeast"/>
        </w:trPr>
        <w:tc>
          <w:tcPr>
            <w:tcW w:w="1526" w:type="dxa"/>
            <w:tcBorders>
              <w:top w:val="single" w:color="auto" w:sz="4" w:space="0"/>
              <w:left w:val="single" w:color="auto" w:sz="4" w:space="0"/>
              <w:bottom w:val="single" w:color="auto" w:sz="4" w:space="0"/>
              <w:right w:val="single" w:color="auto" w:sz="4" w:space="0"/>
            </w:tcBorders>
            <w:vAlign w:val="center"/>
          </w:tcPr>
          <w:p>
            <w:pPr>
              <w:pStyle w:val="84"/>
              <w:spacing w:line="400" w:lineRule="atLeast"/>
              <w:ind w:left="-210" w:right="-105" w:firstLine="210"/>
              <w:jc w:val="center"/>
              <w:rPr>
                <w:rFonts w:ascii="宋体"/>
                <w:color w:val="auto"/>
              </w:rPr>
            </w:pPr>
            <w:r>
              <w:rPr>
                <w:rFonts w:hint="eastAsia" w:ascii="宋体"/>
                <w:color w:val="auto"/>
              </w:rPr>
              <w:t>履约保证金</w:t>
            </w:r>
          </w:p>
        </w:tc>
        <w:tc>
          <w:tcPr>
            <w:tcW w:w="75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rPr>
            </w:pPr>
            <w:r>
              <w:rPr>
                <w:rFonts w:hint="eastAsia" w:ascii="宋体" w:hAnsi="宋体"/>
                <w:color w:val="auto"/>
                <w:szCs w:val="21"/>
              </w:rPr>
              <w:t>履约保证金金额：</w:t>
            </w:r>
            <w:r>
              <w:rPr>
                <w:rFonts w:hint="eastAsia" w:ascii="宋体" w:hAnsi="宋体" w:cs="宋体"/>
                <w:color w:val="auto"/>
                <w:szCs w:val="21"/>
              </w:rPr>
              <w:t>合同金额的5%；</w:t>
            </w:r>
          </w:p>
          <w:p>
            <w:pPr>
              <w:pStyle w:val="84"/>
              <w:spacing w:line="276" w:lineRule="auto"/>
              <w:jc w:val="left"/>
              <w:rPr>
                <w:rFonts w:ascii="宋体"/>
                <w:color w:val="auto"/>
              </w:rPr>
            </w:pPr>
            <w:r>
              <w:rPr>
                <w:rFonts w:hint="eastAsia" w:ascii="宋体" w:hAnsi="宋体" w:cs="宋体"/>
                <w:color w:val="auto"/>
              </w:rPr>
              <w:t>履约保证金形式：银行保函、银行汇票（电汇）、支票（仅限于使用宁波大市区范围内的银行开具的支票）。在签订合同</w:t>
            </w:r>
            <w:r>
              <w:rPr>
                <w:rFonts w:hint="eastAsia" w:ascii="宋体" w:hAnsi="宋体" w:cs="宋体"/>
                <w:color w:val="auto"/>
                <w:lang w:val="en-US" w:eastAsia="zh-CN"/>
              </w:rPr>
              <w:t>之后</w:t>
            </w:r>
            <w:r>
              <w:rPr>
                <w:rFonts w:hint="eastAsia" w:ascii="宋体" w:hAnsi="宋体" w:cs="宋体"/>
                <w:color w:val="auto"/>
              </w:rPr>
              <w:t>支付。履约保证金将在合同期满经考核合格后五个工作日内无息退还。如中标人拒绝履行合同规定的义务，履约保证金将作为违约金被没收。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1526" w:type="dxa"/>
            <w:tcBorders>
              <w:top w:val="single" w:color="auto" w:sz="4" w:space="0"/>
              <w:left w:val="single" w:color="auto" w:sz="4" w:space="0"/>
              <w:bottom w:val="single" w:color="auto" w:sz="4" w:space="0"/>
              <w:right w:val="single" w:color="auto" w:sz="4" w:space="0"/>
            </w:tcBorders>
            <w:vAlign w:val="center"/>
          </w:tcPr>
          <w:p>
            <w:pPr>
              <w:pStyle w:val="84"/>
              <w:spacing w:line="400" w:lineRule="atLeast"/>
              <w:ind w:left="-210" w:right="-105" w:firstLine="210"/>
              <w:jc w:val="center"/>
              <w:rPr>
                <w:rFonts w:ascii="宋体"/>
                <w:color w:val="auto"/>
              </w:rPr>
            </w:pPr>
            <w:r>
              <w:rPr>
                <w:rFonts w:hint="eastAsia" w:ascii="宋体" w:hAnsi="宋体"/>
                <w:color w:val="auto"/>
                <w:shd w:val="clear" w:color="auto" w:fill="FFFFFF"/>
              </w:rPr>
              <w:t>质保期</w:t>
            </w:r>
          </w:p>
        </w:tc>
        <w:tc>
          <w:tcPr>
            <w:tcW w:w="7513"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snapToGrid w:val="0"/>
              <w:spacing w:line="276" w:lineRule="auto"/>
              <w:ind w:right="-10"/>
              <w:rPr>
                <w:rFonts w:ascii="宋体"/>
                <w:color w:val="auto"/>
                <w:szCs w:val="21"/>
              </w:rPr>
            </w:pPr>
            <w:r>
              <w:rPr>
                <w:rFonts w:hint="eastAsia" w:ascii="宋体" w:hAnsi="宋体"/>
                <w:color w:val="auto"/>
                <w:kern w:val="0"/>
                <w:szCs w:val="21"/>
                <w:shd w:val="clear" w:color="auto" w:fill="FFFFFF"/>
              </w:rPr>
              <w:t>验收合格之日起叁年。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3" w:hRule="atLeast"/>
        </w:trPr>
        <w:tc>
          <w:tcPr>
            <w:tcW w:w="1526" w:type="dxa"/>
            <w:tcBorders>
              <w:top w:val="single" w:color="auto" w:sz="4" w:space="0"/>
              <w:left w:val="single" w:color="auto" w:sz="4" w:space="0"/>
              <w:bottom w:val="single" w:color="auto" w:sz="4" w:space="0"/>
              <w:right w:val="single" w:color="auto" w:sz="4" w:space="0"/>
            </w:tcBorders>
            <w:vAlign w:val="center"/>
          </w:tcPr>
          <w:p>
            <w:pPr>
              <w:pStyle w:val="84"/>
              <w:spacing w:line="276" w:lineRule="auto"/>
              <w:ind w:left="-210" w:right="-105" w:firstLine="210"/>
              <w:jc w:val="center"/>
              <w:rPr>
                <w:rFonts w:ascii="宋体"/>
                <w:color w:val="auto"/>
              </w:rPr>
            </w:pPr>
            <w:r>
              <w:rPr>
                <w:rFonts w:hint="eastAsia"/>
                <w:color w:val="auto"/>
              </w:rPr>
              <w:t>售后技术服务要求</w:t>
            </w:r>
          </w:p>
        </w:tc>
        <w:tc>
          <w:tcPr>
            <w:tcW w:w="7513"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snapToGrid w:val="0"/>
              <w:spacing w:line="276" w:lineRule="auto"/>
              <w:ind w:left="470" w:right="-10" w:hanging="432"/>
              <w:rPr>
                <w:rFonts w:ascii="宋体" w:hAnsi="宋体"/>
                <w:color w:val="auto"/>
                <w:szCs w:val="21"/>
                <w:shd w:val="clear" w:color="auto" w:fill="FFFFFF"/>
              </w:rPr>
            </w:pPr>
            <w:r>
              <w:rPr>
                <w:rFonts w:hint="eastAsia" w:ascii="宋体" w:hAnsi="宋体"/>
                <w:color w:val="auto"/>
                <w:szCs w:val="21"/>
                <w:shd w:val="clear" w:color="auto" w:fill="FFFFFF"/>
              </w:rPr>
              <w:t>系统出现故障时，投标人需在4小时内到达现场，24小时内解决故障。不能</w:t>
            </w:r>
          </w:p>
          <w:p>
            <w:pPr>
              <w:spacing w:line="276" w:lineRule="auto"/>
              <w:rPr>
                <w:rFonts w:ascii="宋体"/>
                <w:color w:val="auto"/>
                <w:szCs w:val="21"/>
              </w:rPr>
            </w:pPr>
            <w:r>
              <w:rPr>
                <w:rFonts w:hint="eastAsia" w:ascii="宋体" w:hAnsi="宋体"/>
                <w:color w:val="auto"/>
                <w:szCs w:val="21"/>
                <w:shd w:val="clear" w:color="auto" w:fill="FFFFFF"/>
              </w:rPr>
              <w:t>在有效时间内解决故障的，投标人提供备机。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trPr>
        <w:tc>
          <w:tcPr>
            <w:tcW w:w="15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color w:val="auto"/>
                <w:szCs w:val="21"/>
              </w:rPr>
              <w:t>付款条件</w:t>
            </w:r>
          </w:p>
        </w:tc>
        <w:tc>
          <w:tcPr>
            <w:tcW w:w="7513" w:type="dxa"/>
            <w:tcBorders>
              <w:top w:val="single" w:color="auto" w:sz="4" w:space="0"/>
              <w:left w:val="single" w:color="auto" w:sz="4" w:space="0"/>
              <w:bottom w:val="single" w:color="auto" w:sz="4" w:space="0"/>
              <w:right w:val="single" w:color="auto" w:sz="4" w:space="0"/>
            </w:tcBorders>
            <w:vAlign w:val="center"/>
          </w:tcPr>
          <w:p>
            <w:pPr>
              <w:snapToGrid w:val="0"/>
              <w:spacing w:beforeLines="50" w:line="360" w:lineRule="auto"/>
              <w:rPr>
                <w:rFonts w:ascii="宋体" w:hAnsi="宋体"/>
                <w:color w:val="auto"/>
                <w:szCs w:val="21"/>
              </w:rPr>
            </w:pPr>
            <w:r>
              <w:rPr>
                <w:rFonts w:ascii="宋体" w:hAnsi="宋体" w:cs="宋体"/>
                <w:color w:val="auto"/>
                <w:kern w:val="1"/>
                <w:szCs w:val="21"/>
              </w:rPr>
              <w:t>合同签订后7日内支付</w:t>
            </w:r>
            <w:r>
              <w:rPr>
                <w:rFonts w:hint="eastAsia" w:ascii="宋体" w:hAnsi="宋体" w:cs="宋体"/>
                <w:color w:val="auto"/>
                <w:kern w:val="1"/>
                <w:szCs w:val="21"/>
              </w:rPr>
              <w:t>合同金额的30</w:t>
            </w:r>
            <w:r>
              <w:rPr>
                <w:rFonts w:ascii="宋体" w:hAnsi="宋体" w:cs="宋体"/>
                <w:color w:val="auto"/>
                <w:kern w:val="1"/>
                <w:szCs w:val="21"/>
              </w:rPr>
              <w:t>%</w:t>
            </w:r>
            <w:r>
              <w:rPr>
                <w:rFonts w:hint="eastAsia" w:ascii="宋体" w:hAnsi="宋体" w:cs="宋体"/>
                <w:color w:val="auto"/>
                <w:kern w:val="1"/>
                <w:szCs w:val="21"/>
              </w:rPr>
              <w:t>，</w:t>
            </w:r>
            <w:r>
              <w:rPr>
                <w:rFonts w:hint="eastAsia" w:ascii="宋体" w:hAnsi="宋体" w:cs="宋体"/>
                <w:color w:val="auto"/>
                <w:szCs w:val="21"/>
              </w:rPr>
              <w:t>项目通过验收正式上线后支付合同金额的60%，结算审计后一次性付清剩余款项。</w:t>
            </w:r>
            <w:r>
              <w:rPr>
                <w:rFonts w:hint="eastAsia" w:ascii="宋体" w:hAnsi="宋体" w:cs="宋体"/>
                <w:color w:val="auto"/>
                <w:szCs w:val="21"/>
                <w:shd w:val="clear" w:color="auto" w:fill="FFFFFF"/>
              </w:rPr>
              <w:t xml:space="preserve"> </w:t>
            </w:r>
          </w:p>
        </w:tc>
      </w:tr>
    </w:tbl>
    <w:p>
      <w:pPr>
        <w:pStyle w:val="57"/>
        <w:ind w:left="0" w:firstLine="0"/>
        <w:rPr>
          <w:color w:val="auto"/>
        </w:rPr>
      </w:pPr>
    </w:p>
    <w:p>
      <w:pPr>
        <w:pStyle w:val="57"/>
        <w:ind w:left="0" w:firstLine="0"/>
        <w:rPr>
          <w:color w:val="auto"/>
        </w:rPr>
      </w:pPr>
    </w:p>
    <w:p>
      <w:pPr>
        <w:pStyle w:val="57"/>
        <w:ind w:left="0" w:firstLine="0"/>
        <w:rPr>
          <w:color w:val="auto"/>
        </w:rPr>
      </w:pPr>
    </w:p>
    <w:p>
      <w:pPr>
        <w:pStyle w:val="57"/>
        <w:ind w:left="0" w:firstLine="0"/>
        <w:rPr>
          <w:color w:val="auto"/>
        </w:rPr>
      </w:pPr>
    </w:p>
    <w:p>
      <w:pPr>
        <w:spacing w:after="100" w:afterAutospacing="1" w:line="580" w:lineRule="exact"/>
        <w:jc w:val="center"/>
        <w:rPr>
          <w:rFonts w:ascii="宋体" w:hAnsi="宋体" w:cs="宋体"/>
          <w:color w:val="auto"/>
          <w:szCs w:val="21"/>
        </w:rPr>
      </w:pPr>
    </w:p>
    <w:p>
      <w:pPr>
        <w:spacing w:after="100" w:afterAutospacing="1" w:line="580" w:lineRule="exact"/>
        <w:jc w:val="center"/>
        <w:rPr>
          <w:rFonts w:ascii="宋体" w:hAnsi="宋体" w:cs="宋体"/>
          <w:color w:val="auto"/>
          <w:szCs w:val="21"/>
        </w:rPr>
      </w:pPr>
    </w:p>
    <w:p>
      <w:pPr>
        <w:spacing w:after="100" w:afterAutospacing="1" w:line="580" w:lineRule="exact"/>
        <w:jc w:val="center"/>
        <w:rPr>
          <w:rFonts w:ascii="宋体" w:hAnsi="宋体" w:cs="宋体"/>
          <w:color w:val="auto"/>
          <w:szCs w:val="21"/>
        </w:rPr>
      </w:pPr>
    </w:p>
    <w:p>
      <w:pPr>
        <w:spacing w:after="100" w:afterAutospacing="1" w:line="580" w:lineRule="exact"/>
        <w:jc w:val="center"/>
        <w:rPr>
          <w:rFonts w:ascii="宋体" w:hAnsi="宋体" w:cs="宋体"/>
          <w:color w:val="auto"/>
          <w:szCs w:val="21"/>
        </w:rPr>
      </w:pPr>
    </w:p>
    <w:p>
      <w:pPr>
        <w:pStyle w:val="57"/>
        <w:rPr>
          <w:rFonts w:hAnsi="宋体" w:cs="宋体"/>
          <w:color w:val="auto"/>
          <w:szCs w:val="21"/>
        </w:rPr>
      </w:pPr>
    </w:p>
    <w:p>
      <w:pPr>
        <w:pStyle w:val="57"/>
        <w:rPr>
          <w:rFonts w:hAnsi="宋体" w:cs="宋体"/>
          <w:color w:val="auto"/>
          <w:szCs w:val="21"/>
        </w:rPr>
      </w:pPr>
    </w:p>
    <w:p>
      <w:pPr>
        <w:pStyle w:val="57"/>
        <w:rPr>
          <w:rFonts w:hAnsi="宋体" w:cs="宋体"/>
          <w:color w:val="auto"/>
          <w:szCs w:val="21"/>
        </w:rPr>
      </w:pPr>
    </w:p>
    <w:p>
      <w:pPr>
        <w:pStyle w:val="57"/>
        <w:rPr>
          <w:rFonts w:hAnsi="宋体" w:cs="宋体"/>
          <w:color w:val="auto"/>
          <w:szCs w:val="21"/>
        </w:rPr>
      </w:pPr>
    </w:p>
    <w:p>
      <w:pPr>
        <w:pStyle w:val="57"/>
        <w:rPr>
          <w:rFonts w:hAnsi="宋体" w:cs="宋体"/>
          <w:color w:val="auto"/>
          <w:szCs w:val="21"/>
        </w:rPr>
      </w:pPr>
    </w:p>
    <w:p>
      <w:pPr>
        <w:pStyle w:val="57"/>
        <w:rPr>
          <w:rFonts w:hAnsi="宋体" w:cs="宋体"/>
          <w:color w:val="auto"/>
          <w:szCs w:val="21"/>
        </w:rPr>
      </w:pPr>
    </w:p>
    <w:p>
      <w:pPr>
        <w:pStyle w:val="57"/>
        <w:rPr>
          <w:rFonts w:hAnsi="宋体" w:cs="宋体"/>
          <w:color w:val="auto"/>
          <w:szCs w:val="21"/>
        </w:rPr>
      </w:pPr>
    </w:p>
    <w:p>
      <w:pPr>
        <w:pStyle w:val="3"/>
        <w:spacing w:line="240" w:lineRule="auto"/>
        <w:rPr>
          <w:rFonts w:ascii="宋体" w:hAnsi="宋体" w:cs="宋体"/>
          <w:color w:val="auto"/>
          <w:sz w:val="24"/>
        </w:rPr>
      </w:pPr>
      <w:r>
        <w:rPr>
          <w:rFonts w:hint="eastAsia" w:ascii="宋体" w:hAnsi="宋体" w:cs="宋体"/>
          <w:color w:val="auto"/>
        </w:rPr>
        <w:t>第三章  供应商须知</w:t>
      </w:r>
      <w:bookmarkEnd w:id="2"/>
    </w:p>
    <w:p>
      <w:pPr>
        <w:jc w:val="center"/>
        <w:rPr>
          <w:rFonts w:ascii="宋体" w:hAnsi="宋体" w:cs="宋体"/>
          <w:color w:val="auto"/>
        </w:rPr>
      </w:pPr>
      <w:r>
        <w:rPr>
          <w:rFonts w:hint="eastAsia" w:ascii="宋体" w:hAnsi="宋体" w:cs="宋体"/>
          <w:color w:val="auto"/>
        </w:rPr>
        <w:t>前附表</w:t>
      </w:r>
    </w:p>
    <w:tbl>
      <w:tblPr>
        <w:tblStyle w:val="45"/>
        <w:tblW w:w="8790"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
        <w:gridCol w:w="79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序号</w:t>
            </w:r>
          </w:p>
        </w:tc>
        <w:tc>
          <w:tcPr>
            <w:tcW w:w="79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1</w:t>
            </w:r>
          </w:p>
        </w:tc>
        <w:tc>
          <w:tcPr>
            <w:tcW w:w="79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项目名称：</w:t>
            </w:r>
            <w:r>
              <w:rPr>
                <w:rFonts w:hint="eastAsia" w:asciiTheme="minorEastAsia" w:hAnsiTheme="minorEastAsia" w:eastAsiaTheme="minorEastAsia" w:cstheme="minorEastAsia"/>
                <w:color w:val="auto"/>
                <w:szCs w:val="21"/>
              </w:rPr>
              <w:t>宁波市公安局高新技术开发区分局清水桥菜场</w:t>
            </w:r>
            <w:r>
              <w:rPr>
                <w:rFonts w:hint="eastAsia" w:asciiTheme="minorEastAsia" w:hAnsiTheme="minorEastAsia" w:eastAsiaTheme="minorEastAsia" w:cstheme="minorEastAsia"/>
                <w:color w:val="auto"/>
                <w:szCs w:val="21"/>
                <w:lang w:val="en-US" w:eastAsia="zh-CN"/>
              </w:rPr>
              <w:t>周边</w:t>
            </w:r>
            <w:r>
              <w:rPr>
                <w:rFonts w:hint="eastAsia" w:asciiTheme="minorEastAsia" w:hAnsiTheme="minorEastAsia" w:eastAsiaTheme="minorEastAsia" w:cstheme="minorEastAsia"/>
                <w:color w:val="auto"/>
                <w:szCs w:val="21"/>
              </w:rPr>
              <w:t>监控系统</w:t>
            </w:r>
            <w:r>
              <w:rPr>
                <w:rFonts w:hint="eastAsia" w:asciiTheme="minorEastAsia" w:hAnsiTheme="minorEastAsia" w:eastAsiaTheme="minorEastAsia" w:cstheme="minorEastAsia"/>
                <w:color w:val="auto"/>
                <w:szCs w:val="21"/>
                <w:lang w:val="en-US" w:eastAsia="zh-CN"/>
              </w:rPr>
              <w:t>建设及交通优化</w:t>
            </w:r>
            <w:r>
              <w:rPr>
                <w:rFonts w:hint="eastAsia" w:asciiTheme="minorEastAsia" w:hAnsiTheme="minorEastAsia" w:eastAsiaTheme="minorEastAsia" w:cstheme="minorEastAsia"/>
                <w:color w:val="auto"/>
                <w:szCs w:val="21"/>
              </w:rPr>
              <w:t>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5"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b/>
                <w:color w:val="auto"/>
                <w:szCs w:val="21"/>
              </w:rPr>
              <w:t>▲</w:t>
            </w:r>
            <w:r>
              <w:rPr>
                <w:rFonts w:hint="eastAsia" w:ascii="宋体" w:hAnsi="宋体" w:cs="宋体"/>
                <w:color w:val="auto"/>
                <w:szCs w:val="21"/>
              </w:rPr>
              <w:t>2</w:t>
            </w:r>
          </w:p>
        </w:tc>
        <w:tc>
          <w:tcPr>
            <w:tcW w:w="79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 xml:space="preserve">报价要求及其他费用： </w:t>
            </w:r>
          </w:p>
          <w:p>
            <w:pPr>
              <w:spacing w:line="360" w:lineRule="auto"/>
              <w:rPr>
                <w:rFonts w:ascii="Calibri" w:hAnsi="Calibri"/>
                <w:color w:val="auto"/>
              </w:rPr>
            </w:pPr>
            <w:r>
              <w:rPr>
                <w:rFonts w:hint="eastAsia" w:ascii="宋体" w:hAnsi="宋体" w:cs="宋体"/>
                <w:color w:val="auto"/>
                <w:szCs w:val="21"/>
              </w:rPr>
              <w:t>1、报价要求：</w:t>
            </w:r>
            <w:r>
              <w:rPr>
                <w:rFonts w:hint="eastAsia" w:ascii="宋体" w:hAnsi="宋体" w:cs="宋体"/>
                <w:color w:val="auto"/>
              </w:rPr>
              <w:t>报价是履行合同的最终价格，</w:t>
            </w:r>
            <w:r>
              <w:rPr>
                <w:rFonts w:hint="eastAsia" w:ascii="宋体"/>
                <w:color w:val="auto"/>
                <w:szCs w:val="21"/>
              </w:rPr>
              <w:t>应根据采购项目要求包括货款、备品备件、专用工具、包装、运输、装卸、保险、税金、货到就位以及安装、调试、培训、保修等一切税金和费用，即交钥匙价）。</w:t>
            </w:r>
            <w:r>
              <w:rPr>
                <w:rFonts w:hint="eastAsia" w:ascii="宋体" w:hAnsi="宋体" w:cs="宋体"/>
                <w:color w:val="auto"/>
              </w:rPr>
              <w:t>供应商少报或漏报的工作量，采购人将视为已包含在投标总价中，并不予调整。</w:t>
            </w:r>
          </w:p>
          <w:p>
            <w:pPr>
              <w:spacing w:line="360" w:lineRule="auto"/>
              <w:rPr>
                <w:rFonts w:ascii="宋体" w:hAnsi="宋体" w:cs="宋体"/>
                <w:color w:val="auto"/>
                <w:szCs w:val="21"/>
              </w:rPr>
            </w:pPr>
            <w:r>
              <w:rPr>
                <w:rFonts w:hint="eastAsia" w:ascii="宋体" w:hAnsi="宋体" w:cs="宋体"/>
                <w:color w:val="auto"/>
                <w:szCs w:val="21"/>
              </w:rPr>
              <w:t>2、不论采购结果如何，供应商均应自行承担所有与采购有关的全部费用；</w:t>
            </w:r>
          </w:p>
          <w:p>
            <w:pPr>
              <w:spacing w:line="300" w:lineRule="auto"/>
              <w:rPr>
                <w:rFonts w:ascii="宋体" w:hAnsi="宋体" w:cs="宋体"/>
                <w:color w:val="auto"/>
                <w:szCs w:val="21"/>
              </w:rPr>
            </w:pPr>
            <w:r>
              <w:rPr>
                <w:rFonts w:hint="eastAsia" w:ascii="宋体" w:hAnsi="宋体" w:cs="宋体"/>
                <w:color w:val="auto"/>
                <w:szCs w:val="21"/>
              </w:rPr>
              <w:t>3、成交服务费的收取：</w:t>
            </w:r>
            <w:r>
              <w:rPr>
                <w:rFonts w:hint="eastAsia" w:ascii="宋体" w:hAnsi="宋体"/>
                <w:b/>
                <w:color w:val="auto"/>
                <w:szCs w:val="21"/>
              </w:rPr>
              <w:t>招标公司</w:t>
            </w:r>
            <w:r>
              <w:rPr>
                <w:rFonts w:hint="eastAsia" w:ascii="宋体" w:hAnsi="宋体"/>
                <w:b/>
                <w:color w:val="auto"/>
                <w:szCs w:val="21"/>
                <w:lang w:val="en-US" w:eastAsia="zh-CN"/>
              </w:rPr>
              <w:t>参照</w:t>
            </w:r>
            <w:r>
              <w:rPr>
                <w:rFonts w:hint="eastAsia" w:ascii="宋体" w:hAnsi="宋体"/>
                <w:b/>
                <w:color w:val="auto"/>
                <w:szCs w:val="21"/>
              </w:rPr>
              <w:t>国家发改委发改办价格[2003]857号通知和国家计委计价格[2002]1980号文件中货物招标费率，按照预算金额向确定成交人收取服务费。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3</w:t>
            </w:r>
          </w:p>
        </w:tc>
        <w:tc>
          <w:tcPr>
            <w:tcW w:w="79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olor w:val="auto"/>
              </w:rPr>
            </w:pPr>
            <w:r>
              <w:rPr>
                <w:rFonts w:hint="eastAsia" w:ascii="宋体" w:hAnsi="宋体" w:cs="宋体"/>
                <w:color w:val="auto"/>
                <w:szCs w:val="21"/>
              </w:rPr>
              <w:t>磋商保证金：无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6"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4</w:t>
            </w:r>
          </w:p>
        </w:tc>
        <w:tc>
          <w:tcPr>
            <w:tcW w:w="79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答疑与澄清：供应商依法获取磋商文件，如认为磋商采购文件表述不清晰、存在歧视性、排他性或者其他违法内容的，应当于递交磋商响应文件截止时间5日前，以书面形式要求采购单位作出书面解释、澄清或者向采购单位提出书面质疑，逾期不予受理；采购单位将不专门组织答疑；如有答疑，答疑内容是磋商采购文件的组成部份，将在浙江政府采购云平台、宁波中基国际招标有限公司网站上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5</w:t>
            </w:r>
          </w:p>
        </w:tc>
        <w:tc>
          <w:tcPr>
            <w:tcW w:w="79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评审办法及评审标准：具体见第四章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6</w:t>
            </w:r>
          </w:p>
        </w:tc>
        <w:tc>
          <w:tcPr>
            <w:tcW w:w="79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成交结果公告：评审结束后，成交结果公示于</w:t>
            </w:r>
            <w:r>
              <w:rPr>
                <w:rFonts w:hint="eastAsia" w:ascii="宋体" w:hAnsi="宋体" w:cs="Arial"/>
                <w:color w:val="auto"/>
                <w:szCs w:val="21"/>
              </w:rPr>
              <w:t>浙江政府采购云平台、宁波中基国际招标有限公司网站。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7</w:t>
            </w:r>
          </w:p>
        </w:tc>
        <w:tc>
          <w:tcPr>
            <w:tcW w:w="7938"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注意事项：</w:t>
            </w:r>
          </w:p>
          <w:p>
            <w:pPr>
              <w:numPr>
                <w:ilvl w:val="0"/>
                <w:numId w:val="6"/>
              </w:numPr>
              <w:spacing w:line="360" w:lineRule="auto"/>
              <w:rPr>
                <w:rFonts w:ascii="宋体" w:hAnsi="宋体" w:cs="宋体"/>
                <w:color w:val="auto"/>
              </w:rPr>
            </w:pPr>
            <w:r>
              <w:rPr>
                <w:rFonts w:hint="eastAsia" w:ascii="宋体" w:hAnsi="宋体" w:cs="宋体"/>
                <w:color w:val="auto"/>
              </w:rPr>
              <w:t>本项目通过“政府采购云平台”实行在线磋商（电子投标）。若供应商参与磋商，自行承担磋商一切费用。</w:t>
            </w:r>
          </w:p>
          <w:p>
            <w:pPr>
              <w:numPr>
                <w:ilvl w:val="0"/>
                <w:numId w:val="6"/>
              </w:numPr>
              <w:spacing w:line="360" w:lineRule="auto"/>
              <w:rPr>
                <w:rFonts w:ascii="宋体" w:hAnsi="宋体" w:cs="宋体"/>
                <w:color w:val="auto"/>
              </w:rPr>
            </w:pPr>
            <w:r>
              <w:rPr>
                <w:rFonts w:hint="eastAsia" w:ascii="宋体" w:hAnsi="宋体" w:cs="宋体"/>
                <w:color w:val="auto"/>
              </w:rPr>
              <w:t>制作电子响应文件的系统配置要求：64位的windows7及以上操作系统。</w:t>
            </w:r>
          </w:p>
          <w:p>
            <w:pPr>
              <w:spacing w:line="360" w:lineRule="auto"/>
              <w:rPr>
                <w:rFonts w:ascii="宋体" w:hAnsi="宋体" w:cs="宋体"/>
                <w:color w:val="auto"/>
              </w:rPr>
            </w:pPr>
            <w:r>
              <w:rPr>
                <w:rFonts w:hint="eastAsia" w:ascii="宋体" w:hAnsi="宋体" w:cs="宋体"/>
                <w:color w:val="auto"/>
              </w:rPr>
              <w:t>3.磋商前的准备：各供应商应在磋商前应确保成为浙江省政府采购网正式注册入库供应商，并完成CA数字证书办理（供应商CA申领操作指南：https://help.zcygov.cn/web/site_2/2018/11-29/2452.html，完成CA数字证书办理预计二周左右，请供应商自行把握时间）。因未注册入库、未办理CA数字证书等原因造成无法获取磋商文件、无法参加磋商或磋商失败等后果由供应商自行承担。</w:t>
            </w:r>
          </w:p>
          <w:p>
            <w:pPr>
              <w:spacing w:line="360" w:lineRule="auto"/>
              <w:rPr>
                <w:rFonts w:ascii="宋体" w:hAnsi="宋体" w:cs="宋体"/>
                <w:color w:val="auto"/>
              </w:rPr>
            </w:pPr>
            <w:r>
              <w:rPr>
                <w:rFonts w:hint="eastAsia" w:ascii="宋体" w:hAnsi="宋体" w:cs="宋体"/>
                <w:color w:val="auto"/>
              </w:rPr>
              <w:t>4.磋商响应文件由：资格审查文件、资信技术文件以及报价文件三个部分组成，供应商应按照本磋商文件和“政府采购云平台”的要求，通过“政采云电子交易客户端”编制并加密磋商响应文件。同时，供应商应递交“电子备份磋商响应文件”用于异常情况处理。</w:t>
            </w:r>
          </w:p>
          <w:p>
            <w:pPr>
              <w:pStyle w:val="58"/>
              <w:spacing w:line="360" w:lineRule="auto"/>
              <w:ind w:left="0" w:firstLine="0"/>
              <w:rPr>
                <w:color w:val="auto"/>
              </w:rPr>
            </w:pPr>
            <w:r>
              <w:rPr>
                <w:rFonts w:hint="eastAsia" w:hAnsi="宋体" w:cs="宋体"/>
                <w:color w:val="auto"/>
                <w:szCs w:val="21"/>
              </w:rPr>
              <w:t>5.供应商授权代表应自带电脑、CA锁用于“电子加密磋商响应文件”的解密。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8</w:t>
            </w:r>
          </w:p>
        </w:tc>
        <w:tc>
          <w:tcPr>
            <w:tcW w:w="79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9</w:t>
            </w:r>
          </w:p>
        </w:tc>
        <w:tc>
          <w:tcPr>
            <w:tcW w:w="79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b/>
                <w:color w:val="auto"/>
                <w:szCs w:val="21"/>
              </w:rPr>
              <w:t>▲</w:t>
            </w:r>
            <w:r>
              <w:rPr>
                <w:rFonts w:hint="eastAsia" w:ascii="宋体" w:hAnsi="宋体" w:cs="宋体"/>
                <w:color w:val="auto"/>
                <w:szCs w:val="21"/>
              </w:rPr>
              <w:t>10</w:t>
            </w:r>
          </w:p>
        </w:tc>
        <w:tc>
          <w:tcPr>
            <w:tcW w:w="79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响应文件有效期：90天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11</w:t>
            </w:r>
          </w:p>
        </w:tc>
        <w:tc>
          <w:tcPr>
            <w:tcW w:w="79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解释：本磋商采购文件的解释权属于采购单位。</w:t>
            </w:r>
          </w:p>
        </w:tc>
      </w:tr>
    </w:tbl>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r>
        <w:rPr>
          <w:rFonts w:hint="eastAsia" w:ascii="宋体" w:hAnsi="宋体" w:cs="宋体"/>
          <w:b/>
          <w:color w:val="auto"/>
          <w:sz w:val="21"/>
          <w:szCs w:val="21"/>
        </w:rPr>
        <w:t xml:space="preserve">   </w:t>
      </w: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pPr>
    </w:p>
    <w:p>
      <w:pPr>
        <w:pStyle w:val="14"/>
        <w:widowControl w:val="0"/>
        <w:tabs>
          <w:tab w:val="clear" w:pos="454"/>
        </w:tabs>
        <w:snapToGrid w:val="0"/>
        <w:spacing w:beforeLines="50" w:afterLines="0" w:line="360" w:lineRule="auto"/>
        <w:ind w:left="0" w:firstLine="0"/>
        <w:rPr>
          <w:rFonts w:ascii="宋体" w:hAnsi="宋体" w:cs="宋体"/>
          <w:b/>
          <w:color w:val="auto"/>
          <w:sz w:val="21"/>
          <w:szCs w:val="21"/>
        </w:rPr>
        <w:sectPr>
          <w:footerReference r:id="rId8" w:type="first"/>
          <w:headerReference r:id="rId6" w:type="default"/>
          <w:footerReference r:id="rId7" w:type="default"/>
          <w:pgSz w:w="11906" w:h="16838"/>
          <w:pgMar w:top="1474" w:right="1797" w:bottom="1247" w:left="1797" w:header="851" w:footer="851" w:gutter="0"/>
          <w:cols w:space="720" w:num="1"/>
          <w:titlePg/>
          <w:docGrid w:linePitch="312" w:charSpace="0"/>
        </w:sectPr>
      </w:pPr>
    </w:p>
    <w:p>
      <w:pPr>
        <w:pStyle w:val="14"/>
        <w:widowControl w:val="0"/>
        <w:tabs>
          <w:tab w:val="clear" w:pos="454"/>
        </w:tabs>
        <w:snapToGrid w:val="0"/>
        <w:spacing w:beforeLines="50" w:afterLines="0" w:line="360" w:lineRule="auto"/>
        <w:ind w:left="0" w:firstLine="0"/>
        <w:rPr>
          <w:rFonts w:ascii="宋体" w:hAnsi="宋体" w:cs="宋体"/>
          <w:color w:val="auto"/>
          <w:sz w:val="21"/>
          <w:szCs w:val="21"/>
        </w:rPr>
      </w:pPr>
      <w:r>
        <w:rPr>
          <w:rFonts w:hint="eastAsia" w:ascii="宋体" w:hAnsi="宋体" w:cs="宋体"/>
          <w:b/>
          <w:color w:val="auto"/>
          <w:sz w:val="21"/>
          <w:szCs w:val="21"/>
        </w:rPr>
        <w:t>一   总  则</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（一） 适用范围</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本磋商采购文件适用于本项目的采购邀请、响应、评审、验收、合同履约、付款等行为（法律、法规另有规定的，从其规定）。</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（二）定义</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1. 采购单位系指组织本次磋商的代理机构和采购人。</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2.“供应商”系指向采购单位提交响应文件的单位或个人。</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3.“服务”系指磋商采购文件规定供应商须提供的本项目相关的服务。</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4.“项目”系指供应商按磋商采购文件规定向采购人提供的服务和成果。</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5.“书面形式”包括信函、传真、电报等。</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6.“▲”系指实质性要求条款。</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（三）采购方式</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本次采购采用竞争性磋商方式进行。</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（四）磋商委托</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供应商代表须携带有效身份证件。如供应商代表不是法定代表人，须有法定代表人出具的授权委托书（响应文件正本用原件，副本可用复印件，格式见第六章）。</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（五）磋商费用</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不论采购结果如何，供应商均应自行承担所有与采购有关的全部费用。</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（六）联合体磋商</w:t>
      </w:r>
    </w:p>
    <w:p>
      <w:pPr>
        <w:pStyle w:val="25"/>
        <w:snapToGrid w:val="0"/>
        <w:spacing w:beforeLines="0" w:afterLines="0" w:line="360" w:lineRule="auto"/>
        <w:ind w:firstLine="420" w:firstLineChars="200"/>
        <w:rPr>
          <w:rFonts w:hint="default" w:hAnsi="宋体" w:cs="宋体"/>
          <w:bCs/>
          <w:color w:val="auto"/>
        </w:rPr>
      </w:pPr>
      <w:r>
        <w:rPr>
          <w:rFonts w:hAnsi="宋体" w:cs="宋体"/>
          <w:bCs/>
          <w:color w:val="auto"/>
        </w:rPr>
        <w:t>本项目不接受联合体</w:t>
      </w:r>
      <w:r>
        <w:rPr>
          <w:rStyle w:val="54"/>
          <w:rFonts w:hAnsi="宋体" w:cs="宋体"/>
          <w:color w:val="auto"/>
        </w:rPr>
        <w:t>参加</w:t>
      </w:r>
      <w:r>
        <w:rPr>
          <w:rFonts w:hAnsi="宋体" w:cs="宋体"/>
          <w:bCs/>
          <w:color w:val="auto"/>
        </w:rPr>
        <w:t>磋商。</w:t>
      </w:r>
    </w:p>
    <w:p>
      <w:pPr>
        <w:pStyle w:val="14"/>
        <w:widowControl w:val="0"/>
        <w:tabs>
          <w:tab w:val="clear" w:pos="454"/>
        </w:tabs>
        <w:snapToGrid w:val="0"/>
        <w:spacing w:beforeLines="50" w:afterLines="0" w:line="360" w:lineRule="auto"/>
        <w:ind w:left="0" w:firstLine="411" w:firstLineChars="196"/>
        <w:rPr>
          <w:rFonts w:ascii="宋体" w:hAnsi="宋体" w:cs="宋体"/>
          <w:bCs/>
          <w:color w:val="auto"/>
          <w:sz w:val="21"/>
          <w:szCs w:val="21"/>
        </w:rPr>
      </w:pPr>
      <w:r>
        <w:rPr>
          <w:rFonts w:hint="eastAsia" w:ascii="宋体" w:hAnsi="宋体" w:cs="宋体"/>
          <w:bCs/>
          <w:color w:val="auto"/>
          <w:sz w:val="21"/>
          <w:szCs w:val="21"/>
        </w:rPr>
        <w:t>（七）转包与分包</w:t>
      </w:r>
    </w:p>
    <w:p>
      <w:pPr>
        <w:pStyle w:val="25"/>
        <w:snapToGrid w:val="0"/>
        <w:spacing w:beforeLines="0" w:afterLines="0" w:line="360" w:lineRule="auto"/>
        <w:ind w:firstLine="420" w:firstLineChars="200"/>
        <w:rPr>
          <w:rFonts w:hint="default" w:hAnsi="宋体" w:cs="宋体"/>
          <w:bCs/>
          <w:color w:val="auto"/>
        </w:rPr>
      </w:pPr>
      <w:r>
        <w:rPr>
          <w:rFonts w:hAnsi="宋体" w:cs="宋体"/>
          <w:bCs/>
          <w:color w:val="auto"/>
        </w:rPr>
        <w:t>本项目不允许转包，未经采购人同意，不得分包。</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（八）特别说明：</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▲1.供应商磋商所使用的资格、信誉、荣誉、业绩与企业认证必须为本单位所拥有。</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▲2.供应商应仔细阅读磋商文件的所有内容，按照磋商文件的要求提交响应文件，并对所提供的全部资料的真实性承担法律责任。</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▲3.供应商在采购活动中提供任何虚假材料,其响应文件无效，并报监管部门查处。</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▲4.提供相同品牌产品且通过资格审查、符合性审查的不同供应商参加同一合同项下磋商的，按一家供应商计算。</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5.使用综合评分法的采购项目，提供相同品牌产品且通过资格审查、符合性审查的不同供应商参加同一合同项下磋商的，按一家供应商计算，评审后得分最高的同品牌供应商获得中标人推荐资格；评审得分相同的，由采购人或者采购人委托评标委员会按照磋商文件规定的方式确定一个供应商获得中标人推荐资格，磋商文件未规定的采取随机抽取方式确定，其他同品牌供应商不作为中标候选人。</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▲6.采用最低评标价法的采购项目，核心产品</w:t>
      </w:r>
      <w:r>
        <w:rPr>
          <w:rFonts w:hint="eastAsia" w:hAnsi="宋体" w:cs="宋体"/>
          <w:color w:val="auto"/>
          <w:lang w:eastAsia="zh-CN"/>
        </w:rPr>
        <w:t>（</w:t>
      </w:r>
      <w:r>
        <w:rPr>
          <w:rFonts w:hint="eastAsia" w:ascii="宋体" w:hAnsi="宋体" w:eastAsia="宋体" w:cs="宋体"/>
          <w:color w:val="auto"/>
          <w:kern w:val="0"/>
          <w:sz w:val="21"/>
          <w:szCs w:val="21"/>
        </w:rPr>
        <w:t>非机动车抓拍摄像头</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监控摄像机</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摄像头立杆</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中心护栏</w:t>
      </w:r>
      <w:r>
        <w:rPr>
          <w:rFonts w:hint="eastAsia" w:hAnsi="宋体" w:cs="宋体"/>
          <w:color w:val="auto"/>
          <w:lang w:eastAsia="zh-CN"/>
        </w:rPr>
        <w:t>）</w:t>
      </w:r>
      <w:r>
        <w:rPr>
          <w:rFonts w:hAnsi="宋体" w:cs="宋体"/>
          <w:color w:val="auto"/>
        </w:rPr>
        <w:t>提供相同品牌产品的不同供应商参加同一合同项下磋商的，以其中通过资格审查、符合性审查且报价最低的参加评标；报价相同的，由采购人或者采购人委托评标委员会按照磋商文件规定的方式确定一个参加评标的供应商，磋商文件未规定的采取随机抽取方式确定，其他磋商无效。</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▲7.非单一产品采购项目，采购人应当根据采购项目技术构成、产品价格比重等合理确定核心产品，并在磋商文件中载明。多家供应商提供的核心产品</w:t>
      </w:r>
      <w:r>
        <w:rPr>
          <w:rFonts w:hint="eastAsia" w:hAnsi="宋体" w:cs="宋体"/>
          <w:color w:val="auto"/>
          <w:lang w:eastAsia="zh-CN"/>
        </w:rPr>
        <w:t>（</w:t>
      </w:r>
      <w:r>
        <w:rPr>
          <w:rFonts w:hint="eastAsia" w:ascii="宋体" w:hAnsi="宋体" w:eastAsia="宋体" w:cs="宋体"/>
          <w:color w:val="auto"/>
          <w:kern w:val="0"/>
          <w:sz w:val="21"/>
          <w:szCs w:val="21"/>
        </w:rPr>
        <w:t>非机动车抓拍摄像头</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监控摄像机</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摄像头立杆</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中心护栏</w:t>
      </w:r>
      <w:r>
        <w:rPr>
          <w:rFonts w:hint="eastAsia" w:hAnsi="宋体" w:cs="宋体"/>
          <w:color w:val="auto"/>
          <w:lang w:eastAsia="zh-CN"/>
        </w:rPr>
        <w:t>）</w:t>
      </w:r>
      <w:r>
        <w:rPr>
          <w:rFonts w:hAnsi="宋体" w:cs="宋体"/>
          <w:color w:val="auto"/>
        </w:rPr>
        <w:t>品牌相同的，按前述规定处理。</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▲8.二家以上的供应商不得在同一合同项下的采购项目中，同时委托同一个自然人、同一家庭的人员、同一单位的人员作为其代理人，否则，其磋商响应文件作为无效处理。</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9.供应商在磋商活动中提供任何虚假材料,其磋商无效，并报监管部门查处。</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10.关于知识产权</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10.1、供应商必须保证，采购人在中华人民共和国境内使用磋商货物、资料、技术、服务或其任何一部分时，享有不受限制的无偿使用权，如有第三方向采购人提出侵犯其专利权、商标权或其它知识产权的主张，该责任应由供应商承担。</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10.2、磋商报价应包含所有应向所有权人支付的专利权、商标权或其它知识产权的一切相关费用。</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10.3、系统软件、通用软件必须是具有在中国境内的合法使用权或版权的正版软件，涉及到第三方提出侵权或知识产权的起诉及支付版税等费用由供应商承担所有责任及费用。</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11.供应商的风险</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11.1、供应商应详细阅读采购文件中的全部内容和要求，按照采购文件的要求提交首次磋商响应文件，没有按照采购文件要求提供磋商响应文件和资料导致的风险由供应商承担,并对所提供的全部资料的真实性承担法律责任。</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11.2、无论因何种原因导致本次采购活动终止致供应商损失的，相关责任人均不承担任何责任。</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（九）质疑和投诉</w:t>
      </w:r>
    </w:p>
    <w:p>
      <w:pPr>
        <w:widowControl/>
        <w:spacing w:line="360" w:lineRule="auto"/>
        <w:ind w:firstLine="480"/>
        <w:jc w:val="left"/>
        <w:rPr>
          <w:rFonts w:ascii="宋体" w:hAnsi="宋体" w:cs="宋体"/>
          <w:color w:val="auto"/>
          <w:szCs w:val="21"/>
        </w:rPr>
      </w:pPr>
      <w:r>
        <w:rPr>
          <w:rFonts w:hint="eastAsia" w:ascii="宋体" w:hAnsi="宋体" w:cs="宋体"/>
          <w:color w:val="auto"/>
          <w:szCs w:val="21"/>
        </w:rPr>
        <w:t>1、供应商认为磋商采购文件、磋商过程、成交结果使自己的权益受到损害的，须在应知其利益受损之日起七个工作日内以书面形式向采购人、采购代理机构提出质疑。供应商应当在法定质疑期内一次性提出针对同一采购程序环节的质疑。</w:t>
      </w:r>
    </w:p>
    <w:p>
      <w:pPr>
        <w:widowControl/>
        <w:spacing w:line="360" w:lineRule="auto"/>
        <w:ind w:firstLine="480"/>
        <w:jc w:val="left"/>
        <w:rPr>
          <w:rFonts w:ascii="宋体" w:hAnsi="宋体" w:cs="宋体"/>
          <w:color w:val="auto"/>
          <w:szCs w:val="21"/>
        </w:rPr>
      </w:pPr>
      <w:r>
        <w:rPr>
          <w:rFonts w:hint="eastAsia" w:ascii="宋体" w:hAnsi="宋体" w:cs="宋体"/>
          <w:color w:val="auto"/>
          <w:szCs w:val="21"/>
        </w:rPr>
        <w:t>2、提出质疑的供应商应当是参与所质疑项目采购活动的供应商。未依法获取采购文件的，不得就采购文件提出质疑；未提交磋商响应文件的供应商，视为与成交结果没有利害关系，不得就采购响应截止时间后的磋商采购过程、成交结果提出质疑。</w:t>
      </w:r>
    </w:p>
    <w:p>
      <w:pPr>
        <w:widowControl/>
        <w:spacing w:line="360" w:lineRule="auto"/>
        <w:ind w:firstLine="480"/>
        <w:jc w:val="left"/>
        <w:rPr>
          <w:rFonts w:ascii="宋体" w:hAnsi="宋体" w:cs="宋体"/>
          <w:color w:val="auto"/>
          <w:szCs w:val="21"/>
        </w:rPr>
      </w:pPr>
      <w:r>
        <w:rPr>
          <w:rFonts w:hint="eastAsia" w:ascii="宋体" w:hAnsi="宋体" w:cs="宋体"/>
          <w:color w:val="auto"/>
          <w:szCs w:val="21"/>
        </w:rPr>
        <w:t>3、供应商提出质疑应当提交质疑函和必要的证明材料，质疑函应当面以书面形式提出，质疑函格式和内容须符合财政部《质疑函范本》要求，供应商可到中国政府采购网自行下载财政部《质疑函范本》。</w:t>
      </w:r>
    </w:p>
    <w:p>
      <w:pPr>
        <w:widowControl/>
        <w:spacing w:line="360" w:lineRule="auto"/>
        <w:ind w:firstLine="480"/>
        <w:jc w:val="left"/>
        <w:rPr>
          <w:rFonts w:ascii="宋体" w:hAnsi="宋体" w:cs="宋体"/>
          <w:color w:val="auto"/>
          <w:szCs w:val="21"/>
        </w:rPr>
      </w:pPr>
      <w:r>
        <w:rPr>
          <w:rFonts w:hint="eastAsia" w:ascii="宋体" w:hAnsi="宋体" w:cs="宋体"/>
          <w:color w:val="auto"/>
          <w:szCs w:val="21"/>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磋商采购文件第一章有关联系方式。</w:t>
      </w:r>
    </w:p>
    <w:p>
      <w:pPr>
        <w:widowControl/>
        <w:spacing w:line="360" w:lineRule="auto"/>
        <w:ind w:firstLine="480"/>
        <w:jc w:val="left"/>
        <w:rPr>
          <w:rFonts w:ascii="宋体" w:hAnsi="宋体" w:cs="宋体"/>
          <w:color w:val="auto"/>
          <w:szCs w:val="21"/>
        </w:rPr>
      </w:pPr>
      <w:r>
        <w:rPr>
          <w:rFonts w:hint="eastAsia" w:ascii="宋体" w:hAnsi="宋体" w:cs="宋体"/>
          <w:color w:val="auto"/>
          <w:szCs w:val="21"/>
        </w:rPr>
        <w:t>5、供应商对采购人或采购代理机构的质疑答复不满意或者采购人或采购代理机构未在规定时间内作出答复的，可以在答复期满后十五个工作日内向同级采购监管部门投诉。</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6.供应商未按磋商公告要求依法获取磋商文件的，采购代理机构及采购人不予接收其针对本项目提出的任何质疑及投诉。</w:t>
      </w:r>
    </w:p>
    <w:p>
      <w:pPr>
        <w:pStyle w:val="2"/>
        <w:rPr>
          <w:color w:val="auto"/>
        </w:rPr>
      </w:pP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二  磋商采购文件</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（一）磋商采购文件的构成。本磋商采购文件由以下部分组成：</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1.磋商公告</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2.采购需求</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3.供应商须知</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4.评审办法及标准</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5.合同主要条款</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6.响应文件格式</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7.本项目磋商采购文件的澄清、答复、修改、补充的内容</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（二）供应商的风险</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供应商没有按照磋商采购文件要求提供全部资料，或者供应商没有对磋商采购文件在各方面作出实质性响应是供应商的风险，并可能导致其响应文件被拒绝。</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 xml:space="preserve">（三）磋商采购文件的澄清与修改 </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1.采购单位对已发出的磋商采购文件进行必要的澄清和修改时，将在递交首次响应文件截止时间前五日内，在采购信息发布网站上发布更正公告。不足五日的，采购单位将顺延提交首次响应文件截止时间。</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2.更正公告为磋商文件的组成部分，一经在网站发布，视同已通知所有磋商文件的收受人，不再采用其它方式传达相关信息, 若因未能及时了解到上述网站上发布的相关信息而导致的一切后果自行承担。</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3.如更正公告有重新发布电子磋商文件的，供应商应自行下载最新发布的电子磋商文件制作磋商响应文件。</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4.购买磋商采购文件的潜在供应商对磋商采购文件有异议，应知其权益受到损害之日起七个工作日内提出。逾期提出的将不予受理。对磋商采购文件的异议应有法定代表人或其委托代理人签字，并盖供应商公章和注明日期。</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没有提出异议且又参与了该项目磋商的供应商将被视为完全认同磋商采购文件。</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三、响应文件的编制</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（一）磋商响应文件的形式和效力</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1.磋商响应文件分为：“电子加密磋商响应文件”、“电子备份磋商响应文件”。</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2.“电子加密磋商响应文件”是指通过“政采云电子交易客户端”完成磋商响应文件编制后生成并加密的数据电文形式的磋商响应文件（文件后缀为：jmbs）。</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3.“电子备份磋商响应文件”是指与“电子加密磋商响应文件”同时生成的数据电文形式的电子文件，文件后缀为：bfbs（备份标书），其他方式编制的“电子备份磋商响应文件”视为无效备份磋商响应文件。</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4.磋商响应文件的效力：磋商响应文件的启用，按先后顺位分别为“电子加密磋商响应文件”、“电子备份磋商响应文件”。在下一顺位的磋商响应文件启用时，前一顺位的磋商响应文件自动失效。“电子加密磋商响应文件”在规定解密时间内无法解密时，供应商若在提交首次磋商响应文件截止时间之前递交了“电子备份磋商响应文件”的，由采购代理机构上传“电子备份磋商响应文件”进行异常处理，未在提交首次磋商响应文件截止时间之前递交“电子备份磋商响应文件”的视为磋商响应文件撤回。通过“政府采购云平台”上传递交的“电子加密磋商响应文件”已按时解密的，“电子备份磋商响应文件”自动失效。</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6.当“政府采购云平台”无法正常运行，或者无法保证在线电子磋商的公平、公正和安全时或发生下列其他情况的，采购组织机构可中止电子交易活动。</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 xml:space="preserve">A.“政府采购云平台”发生故障而无法登录访问的； </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B.“政府采购云平台”应用或数据库出现错误，不能进行正常操作的；</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C.“政府采购云平台”发现严重安全漏洞，有潜在泄密危险的；</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 xml:space="preserve">D.病毒发作导致不能进行正常操作的； </w:t>
      </w:r>
    </w:p>
    <w:p>
      <w:pPr>
        <w:pStyle w:val="25"/>
        <w:snapToGrid w:val="0"/>
        <w:spacing w:beforeLines="0" w:afterLines="0" w:line="360" w:lineRule="auto"/>
        <w:ind w:firstLine="420" w:firstLineChars="200"/>
        <w:rPr>
          <w:rFonts w:hint="default" w:hAnsi="宋体" w:cs="宋体"/>
          <w:bCs/>
          <w:color w:val="auto"/>
          <w:szCs w:val="21"/>
        </w:rPr>
      </w:pPr>
      <w:r>
        <w:rPr>
          <w:rFonts w:hAnsi="宋体" w:cs="宋体"/>
          <w:color w:val="auto"/>
        </w:rPr>
        <w:t>E.其他无法保证电子交易的公平、公正和安全的情况</w:t>
      </w:r>
      <w:r>
        <w:rPr>
          <w:rFonts w:hAnsi="宋体" w:cs="宋体"/>
          <w:bCs/>
          <w:color w:val="auto"/>
          <w:szCs w:val="21"/>
        </w:rPr>
        <w:t>。</w:t>
      </w:r>
    </w:p>
    <w:p>
      <w:pPr>
        <w:pStyle w:val="25"/>
        <w:snapToGrid w:val="0"/>
        <w:spacing w:beforeLines="0" w:afterLines="0" w:line="360" w:lineRule="auto"/>
        <w:ind w:firstLine="420" w:firstLineChars="200"/>
        <w:rPr>
          <w:rFonts w:hint="default" w:hAnsi="宋体" w:cs="宋体"/>
          <w:bCs/>
          <w:color w:val="auto"/>
          <w:szCs w:val="21"/>
        </w:rPr>
      </w:pPr>
      <w:r>
        <w:rPr>
          <w:rFonts w:hint="default" w:hAnsi="宋体" w:cs="宋体"/>
          <w:color w:val="auto"/>
          <w:szCs w:val="21"/>
        </w:rPr>
        <w:t>出现前款规定情形，不影响采购公平、公正性的，采购组织机构可以待上述情形消除后继续组织电子交易活动；影响或可能影响采购公平、公正性的，应当重新采购</w:t>
      </w:r>
      <w:r>
        <w:rPr>
          <w:rFonts w:hAnsi="宋体" w:cs="宋体"/>
          <w:color w:val="auto"/>
          <w:szCs w:val="21"/>
        </w:rPr>
        <w:t>。</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（二）响应文件的组成</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响应文件至少包含以下三个部分：</w:t>
      </w:r>
    </w:p>
    <w:p>
      <w:pPr>
        <w:numPr>
          <w:ilvl w:val="0"/>
          <w:numId w:val="7"/>
        </w:numPr>
        <w:snapToGrid w:val="0"/>
        <w:spacing w:line="360" w:lineRule="auto"/>
        <w:ind w:firstLine="413" w:firstLineChars="196"/>
        <w:jc w:val="left"/>
        <w:rPr>
          <w:rFonts w:ascii="宋体" w:hAnsi="宋体" w:cs="宋体"/>
          <w:color w:val="auto"/>
          <w:szCs w:val="21"/>
        </w:rPr>
      </w:pPr>
      <w:r>
        <w:rPr>
          <w:rFonts w:hint="eastAsia" w:ascii="宋体" w:hAnsi="宋体" w:cs="宋体"/>
          <w:b/>
          <w:color w:val="auto"/>
          <w:szCs w:val="21"/>
        </w:rPr>
        <w:t>资格审核文件：</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1.1、资格条件自查表（格式附后）</w:t>
      </w:r>
    </w:p>
    <w:p>
      <w:pPr>
        <w:spacing w:line="360" w:lineRule="auto"/>
        <w:ind w:firstLine="420" w:firstLineChars="200"/>
        <w:rPr>
          <w:rFonts w:ascii="宋体" w:hAnsi="宋体" w:cs="宋体"/>
          <w:color w:val="auto"/>
        </w:rPr>
      </w:pPr>
      <w:r>
        <w:rPr>
          <w:rFonts w:hint="eastAsia" w:ascii="宋体" w:hAnsi="宋体" w:cs="宋体"/>
          <w:color w:val="auto"/>
          <w:szCs w:val="21"/>
        </w:rPr>
        <w:t>1</w:t>
      </w:r>
      <w:r>
        <w:rPr>
          <w:rFonts w:hint="eastAsia" w:ascii="宋体" w:hAnsi="宋体" w:cs="宋体"/>
          <w:color w:val="auto"/>
        </w:rPr>
        <w:t>.2、有效的营业执照（或事业法人登记证）、其他组织（个体工商户）的营业执照或者民办非企业单位登记证书复印件并加盖公章，供应商如果有名称变更的，应提供由行政主管部门出具的变更证明文件；</w:t>
      </w:r>
    </w:p>
    <w:p>
      <w:pPr>
        <w:spacing w:line="360" w:lineRule="auto"/>
        <w:ind w:firstLine="420" w:firstLineChars="200"/>
        <w:rPr>
          <w:rFonts w:ascii="宋体" w:hAnsi="宋体" w:cs="宋体"/>
          <w:color w:val="auto"/>
        </w:rPr>
      </w:pPr>
      <w:r>
        <w:rPr>
          <w:rFonts w:hint="eastAsia" w:ascii="宋体" w:hAnsi="宋体" w:cs="宋体"/>
          <w:color w:val="auto"/>
        </w:rPr>
        <w:t>1.3、2019年12月财务状况报表复印件（至少包含资产负债表和利润表）；供应商新成立不足一年，提供银行出具的资信证明材料复印件；</w:t>
      </w:r>
    </w:p>
    <w:p>
      <w:pPr>
        <w:spacing w:line="360" w:lineRule="auto"/>
        <w:ind w:firstLine="420" w:firstLineChars="200"/>
        <w:rPr>
          <w:rFonts w:ascii="宋体" w:hAnsi="宋体" w:cs="宋体"/>
          <w:color w:val="auto"/>
        </w:rPr>
      </w:pPr>
      <w:r>
        <w:rPr>
          <w:rFonts w:hint="eastAsia" w:ascii="宋体" w:hAnsi="宋体" w:cs="宋体"/>
          <w:color w:val="auto"/>
        </w:rPr>
        <w:t>1.4、提交首次磋商响应文件截止日三个月内的任一月份的缴纳税收的凭据证明材料复印件并加盖公章；如依法免税的，应提供相应文件证明其依法免税)；</w:t>
      </w:r>
    </w:p>
    <w:p>
      <w:pPr>
        <w:spacing w:line="360" w:lineRule="auto"/>
        <w:ind w:firstLine="420" w:firstLineChars="200"/>
        <w:rPr>
          <w:rFonts w:ascii="宋体" w:hAnsi="宋体" w:cs="宋体"/>
          <w:color w:val="auto"/>
        </w:rPr>
      </w:pPr>
      <w:r>
        <w:rPr>
          <w:rFonts w:hint="eastAsia" w:ascii="宋体" w:hAnsi="宋体" w:cs="宋体"/>
          <w:color w:val="auto"/>
        </w:rPr>
        <w:t>1.5、提交首次磋商响应文件截止日三个月内的任一月份的缴纳社会保险的凭据证明材料复印件并加盖公章；如依法不需要缴纳社会保障资金的，应提供相应文件证明其依法不需要缴纳社会保障资金；</w:t>
      </w:r>
    </w:p>
    <w:p>
      <w:pPr>
        <w:spacing w:line="360" w:lineRule="auto"/>
        <w:ind w:firstLine="420" w:firstLineChars="200"/>
        <w:rPr>
          <w:rFonts w:ascii="宋体" w:hAnsi="宋体" w:cs="宋体"/>
          <w:color w:val="auto"/>
        </w:rPr>
      </w:pPr>
      <w:r>
        <w:rPr>
          <w:rFonts w:hint="eastAsia" w:ascii="宋体" w:hAnsi="宋体" w:cs="宋体"/>
          <w:color w:val="auto"/>
        </w:rPr>
        <w:t>1.6、提供具有履行合同所必需的设备和专业技术能力的书面声明（格式附后）；</w:t>
      </w:r>
    </w:p>
    <w:p>
      <w:pPr>
        <w:spacing w:line="360" w:lineRule="auto"/>
        <w:ind w:firstLine="420" w:firstLineChars="200"/>
        <w:rPr>
          <w:rFonts w:ascii="宋体" w:hAnsi="宋体" w:cs="宋体"/>
          <w:color w:val="auto"/>
        </w:rPr>
      </w:pPr>
      <w:r>
        <w:rPr>
          <w:rFonts w:hint="eastAsia" w:ascii="宋体" w:hAnsi="宋体" w:cs="宋体"/>
          <w:color w:val="auto"/>
        </w:rPr>
        <w:t>1.7、提供参加政府采购活动前3年内在经营活动中没有重大违法记录的书面声明（格式附后）</w:t>
      </w:r>
      <w:r>
        <w:rPr>
          <w:rFonts w:hint="eastAsia" w:ascii="宋体" w:hAnsi="宋体" w:cs="宋体"/>
          <w:color w:val="auto"/>
          <w:szCs w:val="21"/>
          <w:lang w:val="zh-CN"/>
        </w:rPr>
        <w:t>。</w:t>
      </w:r>
    </w:p>
    <w:p>
      <w:pPr>
        <w:widowControl/>
        <w:spacing w:line="360" w:lineRule="auto"/>
        <w:ind w:firstLine="420" w:firstLineChars="200"/>
        <w:jc w:val="left"/>
        <w:rPr>
          <w:rFonts w:ascii="宋体" w:hAnsi="宋体" w:cs="宋体"/>
          <w:color w:val="auto"/>
        </w:rPr>
      </w:pPr>
    </w:p>
    <w:p>
      <w:pPr>
        <w:spacing w:line="360" w:lineRule="auto"/>
        <w:ind w:firstLine="422" w:firstLineChars="200"/>
        <w:rPr>
          <w:rFonts w:hint="eastAsia" w:ascii="宋体" w:hAnsi="宋体" w:cs="宋体"/>
          <w:color w:val="auto"/>
        </w:rPr>
      </w:pPr>
      <w:r>
        <w:rPr>
          <w:rFonts w:hint="eastAsia" w:ascii="宋体" w:hAnsi="宋体" w:cs="宋体"/>
          <w:b/>
          <w:color w:val="auto"/>
          <w:szCs w:val="21"/>
        </w:rPr>
        <w:t xml:space="preserve">2、商务技术文件   </w:t>
      </w:r>
      <w:r>
        <w:rPr>
          <w:rFonts w:hint="eastAsia" w:ascii="宋体" w:hAnsi="宋体" w:cs="宋体"/>
          <w:color w:val="auto"/>
        </w:rPr>
        <w:t xml:space="preserve"> </w:t>
      </w:r>
    </w:p>
    <w:p>
      <w:pPr>
        <w:spacing w:line="360" w:lineRule="auto"/>
        <w:ind w:firstLine="420" w:firstLineChars="200"/>
        <w:rPr>
          <w:rFonts w:hint="eastAsia" w:ascii="宋体" w:hAnsi="宋体" w:cs="宋体"/>
          <w:color w:val="auto"/>
        </w:rPr>
      </w:pPr>
      <w:r>
        <w:rPr>
          <w:rFonts w:hint="eastAsia" w:ascii="宋体" w:hAnsi="宋体" w:cs="宋体"/>
          <w:color w:val="auto"/>
        </w:rPr>
        <w:t>2.1符合性自查表（格式见第六章）；</w:t>
      </w:r>
    </w:p>
    <w:p>
      <w:pPr>
        <w:tabs>
          <w:tab w:val="left" w:pos="518"/>
        </w:tabs>
        <w:adjustRightInd w:val="0"/>
        <w:snapToGrid w:val="0"/>
        <w:spacing w:line="360" w:lineRule="auto"/>
        <w:ind w:left="240" w:firstLine="210" w:firstLineChars="100"/>
        <w:rPr>
          <w:color w:val="auto"/>
        </w:rPr>
      </w:pPr>
      <w:r>
        <w:rPr>
          <w:rFonts w:hint="eastAsia" w:ascii="宋体" w:hAnsi="宋体"/>
          <w:color w:val="auto"/>
          <w:szCs w:val="21"/>
        </w:rPr>
        <w:t>2.2</w:t>
      </w:r>
      <w:r>
        <w:rPr>
          <w:rFonts w:hint="eastAsia"/>
          <w:color w:val="auto"/>
        </w:rPr>
        <w:t>供应商响应表</w:t>
      </w:r>
      <w:r>
        <w:rPr>
          <w:rFonts w:hint="eastAsia" w:ascii="宋体" w:hAnsi="宋体"/>
          <w:color w:val="auto"/>
          <w:szCs w:val="21"/>
        </w:rPr>
        <w:t>（格式见第六章）</w:t>
      </w:r>
      <w:r>
        <w:rPr>
          <w:rFonts w:hint="eastAsia"/>
          <w:color w:val="auto"/>
        </w:rPr>
        <w:t>；</w:t>
      </w:r>
    </w:p>
    <w:p>
      <w:pPr>
        <w:tabs>
          <w:tab w:val="left" w:pos="518"/>
        </w:tabs>
        <w:adjustRightInd w:val="0"/>
        <w:snapToGrid w:val="0"/>
        <w:spacing w:line="360" w:lineRule="auto"/>
        <w:ind w:left="240" w:firstLine="210" w:firstLineChars="100"/>
        <w:rPr>
          <w:rFonts w:ascii="宋体" w:hAnsi="宋体"/>
          <w:color w:val="auto"/>
          <w:szCs w:val="21"/>
        </w:rPr>
      </w:pPr>
      <w:r>
        <w:rPr>
          <w:rFonts w:hint="eastAsia" w:ascii="宋体" w:hAnsi="宋体"/>
          <w:color w:val="auto"/>
          <w:szCs w:val="21"/>
        </w:rPr>
        <w:t>2.3</w:t>
      </w:r>
      <w:r>
        <w:rPr>
          <w:rFonts w:hint="eastAsia"/>
          <w:color w:val="auto"/>
        </w:rPr>
        <w:t>商务响应表</w:t>
      </w:r>
      <w:r>
        <w:rPr>
          <w:rFonts w:hint="eastAsia" w:ascii="宋体" w:hAnsi="宋体"/>
          <w:color w:val="auto"/>
          <w:szCs w:val="21"/>
        </w:rPr>
        <w:t>（格式见第六章）</w:t>
      </w:r>
      <w:r>
        <w:rPr>
          <w:rFonts w:hint="eastAsia"/>
          <w:color w:val="auto"/>
        </w:rPr>
        <w:t>；</w:t>
      </w:r>
    </w:p>
    <w:p>
      <w:pPr>
        <w:tabs>
          <w:tab w:val="left" w:pos="518"/>
        </w:tabs>
        <w:adjustRightInd w:val="0"/>
        <w:snapToGrid w:val="0"/>
        <w:spacing w:line="360" w:lineRule="auto"/>
        <w:ind w:left="240" w:firstLine="210" w:firstLineChars="100"/>
        <w:rPr>
          <w:rFonts w:ascii="宋体" w:hAnsi="宋体"/>
          <w:color w:val="auto"/>
          <w:szCs w:val="21"/>
        </w:rPr>
      </w:pPr>
      <w:r>
        <w:rPr>
          <w:rFonts w:hint="eastAsia" w:ascii="宋体" w:hAnsi="宋体"/>
          <w:color w:val="auto"/>
          <w:szCs w:val="21"/>
        </w:rPr>
        <w:t>2.4</w:t>
      </w:r>
      <w:r>
        <w:rPr>
          <w:rFonts w:hint="eastAsia"/>
          <w:color w:val="auto"/>
        </w:rPr>
        <w:t>法定代表人身份证明或法定代表人授权委托书（格式见附件）；</w:t>
      </w:r>
    </w:p>
    <w:p>
      <w:pPr>
        <w:tabs>
          <w:tab w:val="left" w:pos="518"/>
        </w:tabs>
        <w:adjustRightInd w:val="0"/>
        <w:snapToGrid w:val="0"/>
        <w:spacing w:line="360" w:lineRule="auto"/>
        <w:ind w:left="240" w:firstLine="210" w:firstLineChars="100"/>
        <w:rPr>
          <w:rFonts w:ascii="宋体" w:hAnsi="宋体"/>
          <w:color w:val="auto"/>
          <w:szCs w:val="21"/>
        </w:rPr>
      </w:pPr>
      <w:r>
        <w:rPr>
          <w:rFonts w:hint="eastAsia" w:ascii="宋体" w:hAnsi="宋体"/>
          <w:color w:val="auto"/>
          <w:szCs w:val="21"/>
        </w:rPr>
        <w:t>2.5</w:t>
      </w:r>
      <w:r>
        <w:rPr>
          <w:rFonts w:hint="eastAsia"/>
          <w:color w:val="auto"/>
        </w:rPr>
        <w:t>技术响应一览表</w:t>
      </w:r>
      <w:r>
        <w:rPr>
          <w:rFonts w:hint="eastAsia" w:ascii="宋体" w:hAnsi="宋体"/>
          <w:color w:val="auto"/>
          <w:szCs w:val="21"/>
        </w:rPr>
        <w:t>（格式见第六章）</w:t>
      </w:r>
      <w:r>
        <w:rPr>
          <w:rFonts w:hint="eastAsia"/>
          <w:color w:val="auto"/>
        </w:rPr>
        <w:t>；</w:t>
      </w:r>
    </w:p>
    <w:p>
      <w:pPr>
        <w:adjustRightInd w:val="0"/>
        <w:snapToGrid w:val="0"/>
        <w:spacing w:line="360" w:lineRule="auto"/>
        <w:ind w:left="239" w:leftChars="114" w:firstLine="210" w:firstLineChars="100"/>
        <w:rPr>
          <w:rFonts w:ascii="宋体" w:hAnsi="宋体"/>
          <w:color w:val="auto"/>
          <w:szCs w:val="21"/>
        </w:rPr>
      </w:pPr>
      <w:r>
        <w:rPr>
          <w:rFonts w:hint="eastAsia" w:ascii="宋体" w:hAnsi="宋体"/>
          <w:color w:val="auto"/>
          <w:szCs w:val="21"/>
        </w:rPr>
        <w:t>2.6</w:t>
      </w:r>
      <w:r>
        <w:rPr>
          <w:rFonts w:hint="eastAsia"/>
          <w:color w:val="auto"/>
        </w:rPr>
        <w:t>承诺函</w:t>
      </w:r>
      <w:r>
        <w:rPr>
          <w:rFonts w:hint="eastAsia" w:ascii="宋体" w:hAnsi="宋体"/>
          <w:color w:val="auto"/>
          <w:szCs w:val="21"/>
        </w:rPr>
        <w:t>（格式见第六章）</w:t>
      </w:r>
      <w:r>
        <w:rPr>
          <w:rFonts w:hint="eastAsia"/>
          <w:color w:val="auto"/>
        </w:rPr>
        <w:t>；</w:t>
      </w:r>
    </w:p>
    <w:p>
      <w:pPr>
        <w:tabs>
          <w:tab w:val="left" w:pos="518"/>
        </w:tabs>
        <w:adjustRightInd w:val="0"/>
        <w:snapToGrid w:val="0"/>
        <w:spacing w:line="360" w:lineRule="auto"/>
        <w:ind w:left="240" w:firstLine="210" w:firstLineChars="100"/>
        <w:rPr>
          <w:rFonts w:ascii="宋体" w:hAnsi="宋体"/>
          <w:color w:val="auto"/>
          <w:szCs w:val="21"/>
        </w:rPr>
      </w:pPr>
      <w:r>
        <w:rPr>
          <w:rFonts w:hint="eastAsia" w:ascii="宋体" w:hAnsi="宋体"/>
          <w:color w:val="auto"/>
          <w:szCs w:val="21"/>
        </w:rPr>
        <w:t>2.7</w:t>
      </w:r>
      <w:r>
        <w:rPr>
          <w:rFonts w:hint="eastAsia"/>
          <w:color w:val="auto"/>
        </w:rPr>
        <w:t>供应商基本情况表</w:t>
      </w:r>
      <w:r>
        <w:rPr>
          <w:rFonts w:hint="eastAsia" w:ascii="宋体" w:hAnsi="宋体"/>
          <w:color w:val="auto"/>
          <w:szCs w:val="21"/>
        </w:rPr>
        <w:t>（格式见第六章）</w:t>
      </w:r>
      <w:r>
        <w:rPr>
          <w:rFonts w:hint="eastAsia"/>
          <w:color w:val="auto"/>
        </w:rPr>
        <w:t>；</w:t>
      </w:r>
    </w:p>
    <w:p>
      <w:pPr>
        <w:tabs>
          <w:tab w:val="left" w:pos="420"/>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2.8同类业绩情况一览表（格式见第六章）</w:t>
      </w:r>
      <w:r>
        <w:rPr>
          <w:rFonts w:hint="eastAsia"/>
          <w:color w:val="auto"/>
        </w:rPr>
        <w:t>；</w:t>
      </w:r>
    </w:p>
    <w:p>
      <w:pPr>
        <w:tabs>
          <w:tab w:val="left" w:pos="518"/>
        </w:tabs>
        <w:adjustRightInd w:val="0"/>
        <w:snapToGrid w:val="0"/>
        <w:spacing w:line="360" w:lineRule="auto"/>
        <w:ind w:left="240" w:firstLine="210" w:firstLineChars="100"/>
        <w:rPr>
          <w:color w:val="auto"/>
        </w:rPr>
      </w:pPr>
      <w:r>
        <w:rPr>
          <w:rFonts w:hint="eastAsia"/>
          <w:color w:val="auto"/>
        </w:rPr>
        <w:t>2.9</w:t>
      </w:r>
      <w:r>
        <w:rPr>
          <w:rFonts w:hint="eastAsia" w:ascii="宋体" w:hAnsi="宋体" w:cs="宋体"/>
          <w:color w:val="auto"/>
          <w:szCs w:val="21"/>
        </w:rPr>
        <w:t>系统架构、数据架构、功能结构设计</w:t>
      </w:r>
      <w:r>
        <w:rPr>
          <w:rFonts w:hint="eastAsia"/>
          <w:color w:val="auto"/>
        </w:rPr>
        <w:t>；</w:t>
      </w:r>
    </w:p>
    <w:p>
      <w:pPr>
        <w:tabs>
          <w:tab w:val="left" w:pos="518"/>
        </w:tabs>
        <w:adjustRightInd w:val="0"/>
        <w:snapToGrid w:val="0"/>
        <w:spacing w:line="360" w:lineRule="auto"/>
        <w:ind w:left="240" w:firstLine="210" w:firstLineChars="100"/>
        <w:rPr>
          <w:rFonts w:hint="eastAsia"/>
          <w:color w:val="auto"/>
        </w:rPr>
      </w:pPr>
      <w:r>
        <w:rPr>
          <w:rFonts w:hint="eastAsia"/>
          <w:color w:val="auto"/>
        </w:rPr>
        <w:t>2.10本项目的难点及关键点的应对方案；</w:t>
      </w:r>
    </w:p>
    <w:p>
      <w:pPr>
        <w:tabs>
          <w:tab w:val="left" w:pos="518"/>
        </w:tabs>
        <w:adjustRightInd w:val="0"/>
        <w:snapToGrid w:val="0"/>
        <w:spacing w:line="360" w:lineRule="auto"/>
        <w:ind w:left="240" w:firstLine="210" w:firstLineChars="100"/>
        <w:rPr>
          <w:rFonts w:hint="eastAsia"/>
          <w:color w:val="auto"/>
        </w:rPr>
      </w:pPr>
      <w:r>
        <w:rPr>
          <w:rFonts w:hint="eastAsia"/>
          <w:color w:val="auto"/>
        </w:rPr>
        <w:t>2.11施工方案；</w:t>
      </w:r>
    </w:p>
    <w:p>
      <w:pPr>
        <w:tabs>
          <w:tab w:val="left" w:pos="518"/>
        </w:tabs>
        <w:adjustRightInd w:val="0"/>
        <w:snapToGrid w:val="0"/>
        <w:spacing w:line="360" w:lineRule="auto"/>
        <w:ind w:left="240" w:firstLine="210" w:firstLineChars="100"/>
        <w:rPr>
          <w:rFonts w:hint="eastAsia"/>
          <w:color w:val="auto"/>
        </w:rPr>
      </w:pPr>
      <w:r>
        <w:rPr>
          <w:rFonts w:hint="eastAsia"/>
          <w:color w:val="auto"/>
        </w:rPr>
        <w:t>2.12售后服务方案；</w:t>
      </w:r>
    </w:p>
    <w:p>
      <w:pPr>
        <w:tabs>
          <w:tab w:val="left" w:pos="518"/>
        </w:tabs>
        <w:adjustRightInd w:val="0"/>
        <w:snapToGrid w:val="0"/>
        <w:spacing w:line="360" w:lineRule="auto"/>
        <w:ind w:left="240" w:firstLine="210" w:firstLineChars="100"/>
        <w:rPr>
          <w:rFonts w:hint="eastAsia"/>
          <w:color w:val="auto"/>
        </w:rPr>
      </w:pPr>
      <w:r>
        <w:rPr>
          <w:rFonts w:hint="eastAsia"/>
          <w:color w:val="auto"/>
        </w:rPr>
        <w:t>2.13</w:t>
      </w:r>
      <w:r>
        <w:rPr>
          <w:rFonts w:hint="eastAsia"/>
          <w:color w:val="auto"/>
          <w:lang w:val="en-US" w:eastAsia="zh-CN"/>
        </w:rPr>
        <w:t>合理化建议</w:t>
      </w:r>
      <w:r>
        <w:rPr>
          <w:rFonts w:hint="eastAsia"/>
          <w:color w:val="auto"/>
        </w:rPr>
        <w:t>；</w:t>
      </w:r>
    </w:p>
    <w:p>
      <w:pPr>
        <w:tabs>
          <w:tab w:val="left" w:pos="518"/>
        </w:tabs>
        <w:adjustRightInd w:val="0"/>
        <w:snapToGrid w:val="0"/>
        <w:spacing w:line="360" w:lineRule="auto"/>
        <w:ind w:left="240" w:firstLine="210" w:firstLineChars="100"/>
        <w:rPr>
          <w:rFonts w:hint="eastAsia"/>
          <w:color w:val="auto"/>
        </w:rPr>
      </w:pPr>
      <w:r>
        <w:rPr>
          <w:rFonts w:hint="eastAsia"/>
          <w:color w:val="auto"/>
        </w:rPr>
        <w:t>2.14人员配置情况表（格式见第六章）；</w:t>
      </w:r>
    </w:p>
    <w:p>
      <w:pPr>
        <w:tabs>
          <w:tab w:val="left" w:pos="518"/>
        </w:tabs>
        <w:adjustRightInd w:val="0"/>
        <w:snapToGrid w:val="0"/>
        <w:spacing w:line="360" w:lineRule="auto"/>
        <w:ind w:left="240" w:firstLine="210" w:firstLineChars="100"/>
        <w:rPr>
          <w:rFonts w:hint="eastAsia"/>
          <w:color w:val="auto"/>
        </w:rPr>
      </w:pPr>
      <w:r>
        <w:rPr>
          <w:rFonts w:hint="eastAsia"/>
          <w:color w:val="auto"/>
        </w:rPr>
        <w:t>2.15招标文件评分标准中要求提供的所有资料；</w:t>
      </w:r>
    </w:p>
    <w:p>
      <w:pPr>
        <w:tabs>
          <w:tab w:val="left" w:pos="518"/>
        </w:tabs>
        <w:adjustRightInd w:val="0"/>
        <w:snapToGrid w:val="0"/>
        <w:spacing w:line="360" w:lineRule="auto"/>
        <w:ind w:left="240" w:firstLine="210" w:firstLineChars="100"/>
        <w:rPr>
          <w:rFonts w:hint="eastAsia"/>
          <w:color w:val="auto"/>
        </w:rPr>
      </w:pPr>
      <w:r>
        <w:rPr>
          <w:rFonts w:hint="eastAsia"/>
          <w:color w:val="auto"/>
        </w:rPr>
        <w:t>2.16供应商认为需要提供的其它材料。</w:t>
      </w:r>
    </w:p>
    <w:p>
      <w:pPr>
        <w:snapToGrid w:val="0"/>
        <w:spacing w:line="360" w:lineRule="auto"/>
        <w:ind w:firstLine="413" w:firstLineChars="196"/>
        <w:jc w:val="left"/>
        <w:rPr>
          <w:rFonts w:ascii="宋体" w:hAnsi="宋体" w:cs="宋体"/>
          <w:b/>
          <w:bCs/>
          <w:color w:val="auto"/>
          <w:szCs w:val="21"/>
        </w:rPr>
      </w:pPr>
      <w:r>
        <w:rPr>
          <w:rFonts w:hint="eastAsia" w:ascii="宋体" w:hAnsi="宋体" w:cs="宋体"/>
          <w:b/>
          <w:bCs/>
          <w:color w:val="auto"/>
          <w:szCs w:val="21"/>
        </w:rPr>
        <w:t>3.报价文件</w:t>
      </w:r>
    </w:p>
    <w:p>
      <w:pPr>
        <w:snapToGrid w:val="0"/>
        <w:spacing w:line="360" w:lineRule="auto"/>
        <w:ind w:firstLine="420" w:firstLineChars="200"/>
        <w:jc w:val="left"/>
        <w:rPr>
          <w:rFonts w:ascii="宋体" w:hAnsi="宋体" w:cs="宋体"/>
          <w:b/>
          <w:color w:val="auto"/>
          <w:szCs w:val="21"/>
        </w:rPr>
      </w:pPr>
      <w:r>
        <w:rPr>
          <w:rFonts w:hint="eastAsia" w:ascii="宋体" w:hAnsi="宋体" w:cs="宋体"/>
          <w:color w:val="auto"/>
          <w:szCs w:val="21"/>
        </w:rPr>
        <w:t>3.1、磋商响应书（格式附后）；</w:t>
      </w:r>
    </w:p>
    <w:p>
      <w:pPr>
        <w:snapToGrid w:val="0"/>
        <w:spacing w:line="360" w:lineRule="auto"/>
        <w:ind w:firstLine="420"/>
        <w:jc w:val="left"/>
        <w:rPr>
          <w:rFonts w:ascii="宋体" w:hAnsi="宋体" w:cs="宋体"/>
          <w:color w:val="auto"/>
          <w:szCs w:val="21"/>
        </w:rPr>
      </w:pPr>
      <w:r>
        <w:rPr>
          <w:rFonts w:hint="eastAsia" w:ascii="宋体" w:hAnsi="宋体" w:cs="宋体"/>
          <w:color w:val="auto"/>
          <w:szCs w:val="21"/>
        </w:rPr>
        <w:t>3.2、初次报价表（格式附后）；</w:t>
      </w:r>
    </w:p>
    <w:p>
      <w:pPr>
        <w:snapToGrid w:val="0"/>
        <w:spacing w:line="360" w:lineRule="auto"/>
        <w:ind w:firstLine="420"/>
        <w:jc w:val="left"/>
        <w:rPr>
          <w:rFonts w:ascii="宋体" w:hAnsi="宋体" w:cs="宋体"/>
          <w:color w:val="auto"/>
          <w:szCs w:val="21"/>
        </w:rPr>
      </w:pPr>
      <w:r>
        <w:rPr>
          <w:rFonts w:hint="eastAsia" w:ascii="宋体" w:hAnsi="宋体" w:cs="宋体"/>
          <w:color w:val="auto"/>
          <w:szCs w:val="21"/>
        </w:rPr>
        <w:t>3.3、中小企业声明函（格式附后）；</w:t>
      </w:r>
    </w:p>
    <w:p>
      <w:pPr>
        <w:spacing w:line="360" w:lineRule="auto"/>
        <w:ind w:firstLine="420" w:firstLineChars="200"/>
        <w:rPr>
          <w:rFonts w:ascii="宋体" w:hAnsi="宋体" w:cs="宋体"/>
          <w:color w:val="auto"/>
        </w:rPr>
      </w:pPr>
      <w:r>
        <w:rPr>
          <w:rFonts w:hint="eastAsia" w:ascii="宋体" w:hAnsi="宋体" w:cs="宋体"/>
          <w:color w:val="auto"/>
          <w:szCs w:val="21"/>
        </w:rPr>
        <w:t>3.4、</w:t>
      </w:r>
      <w:r>
        <w:rPr>
          <w:rFonts w:hint="eastAsia" w:ascii="宋体" w:hAnsi="宋体" w:cs="宋体"/>
          <w:color w:val="auto"/>
        </w:rPr>
        <w:t>残疾人福利性单位声明函，如是提供</w:t>
      </w:r>
      <w:r>
        <w:rPr>
          <w:rFonts w:hint="eastAsia" w:ascii="宋体" w:hAnsi="宋体" w:cs="宋体"/>
          <w:color w:val="auto"/>
          <w:szCs w:val="21"/>
        </w:rPr>
        <w:t>（格式附后）</w:t>
      </w:r>
      <w:r>
        <w:rPr>
          <w:rFonts w:hint="eastAsia" w:ascii="宋体" w:hAnsi="宋体" w:cs="宋体"/>
          <w:color w:val="auto"/>
        </w:rPr>
        <w:t>；</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3.5、其它本磋商文件要求提供的报价部分材料；</w:t>
      </w:r>
    </w:p>
    <w:p>
      <w:pPr>
        <w:pStyle w:val="58"/>
        <w:spacing w:line="360" w:lineRule="auto"/>
        <w:ind w:left="0" w:firstLine="0"/>
        <w:rPr>
          <w:color w:val="auto"/>
        </w:rPr>
      </w:pPr>
      <w:r>
        <w:rPr>
          <w:rFonts w:hint="eastAsia" w:hAnsi="宋体" w:cs="宋体"/>
          <w:color w:val="auto"/>
          <w:szCs w:val="21"/>
        </w:rPr>
        <w:t xml:space="preserve">    3.6、确定成交服务费支付承诺函（格式附后）。</w:t>
      </w:r>
    </w:p>
    <w:p>
      <w:pPr>
        <w:spacing w:line="360" w:lineRule="auto"/>
        <w:ind w:firstLine="420" w:firstLineChars="200"/>
        <w:jc w:val="left"/>
        <w:rPr>
          <w:rFonts w:ascii="宋体" w:hAnsi="宋体" w:cs="宋体"/>
          <w:color w:val="auto"/>
          <w:szCs w:val="21"/>
        </w:rPr>
      </w:pP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（三）响应文件的语言及计量</w:t>
      </w:r>
    </w:p>
    <w:p>
      <w:pPr>
        <w:snapToGrid w:val="0"/>
        <w:spacing w:line="360" w:lineRule="auto"/>
        <w:ind w:firstLine="422" w:firstLineChars="200"/>
        <w:jc w:val="left"/>
        <w:rPr>
          <w:rFonts w:ascii="宋体" w:hAnsi="宋体" w:cs="宋体"/>
          <w:b/>
          <w:color w:val="auto"/>
          <w:szCs w:val="21"/>
        </w:rPr>
      </w:pPr>
      <w:r>
        <w:rPr>
          <w:rFonts w:hint="eastAsia" w:ascii="宋体" w:hAnsi="宋体" w:cs="宋体"/>
          <w:b/>
          <w:color w:val="auto"/>
          <w:szCs w:val="21"/>
        </w:rPr>
        <w:t>▲1响应文件以及供应商与采购单位就有关磋商事宜的所有来往函电，均应以中文汉语书写。除签名、盖章、专用名称等特殊情形外，以中文汉语以外的文字表述的响应文件视同未提供。</w:t>
      </w:r>
    </w:p>
    <w:p>
      <w:pPr>
        <w:snapToGrid w:val="0"/>
        <w:spacing w:line="360" w:lineRule="auto"/>
        <w:ind w:firstLine="422" w:firstLineChars="200"/>
        <w:jc w:val="left"/>
        <w:rPr>
          <w:rFonts w:ascii="宋体" w:hAnsi="宋体" w:cs="宋体"/>
          <w:b/>
          <w:color w:val="auto"/>
          <w:szCs w:val="21"/>
        </w:rPr>
      </w:pPr>
      <w:r>
        <w:rPr>
          <w:rFonts w:hint="eastAsia" w:ascii="宋体" w:hAnsi="宋体" w:cs="宋体"/>
          <w:b/>
          <w:color w:val="auto"/>
          <w:szCs w:val="21"/>
        </w:rPr>
        <w:t>▲2报价计量单位：磋商采购文件已有明确规定的，使用磋商采购文件规定的计量单位；磋商采购文件没有规定的，应采用中华人民共和国法定计量单位（货币单位：人民币元），否则视同未响应。</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（四）报价要求</w:t>
      </w:r>
    </w:p>
    <w:p>
      <w:pPr>
        <w:pStyle w:val="14"/>
        <w:widowControl w:val="0"/>
        <w:tabs>
          <w:tab w:val="clear" w:pos="454"/>
        </w:tabs>
        <w:snapToGrid w:val="0"/>
        <w:spacing w:beforeLines="50" w:afterLines="0" w:line="360" w:lineRule="auto"/>
        <w:ind w:left="0" w:firstLine="411" w:firstLineChars="196"/>
        <w:rPr>
          <w:rFonts w:ascii="宋体" w:hAnsi="宋体" w:cs="宋体"/>
          <w:color w:val="auto"/>
          <w:sz w:val="21"/>
          <w:szCs w:val="21"/>
        </w:rPr>
      </w:pPr>
      <w:r>
        <w:rPr>
          <w:rFonts w:hint="eastAsia" w:ascii="宋体" w:hAnsi="宋体" w:cs="宋体"/>
          <w:color w:val="auto"/>
          <w:sz w:val="21"/>
          <w:szCs w:val="21"/>
        </w:rPr>
        <w:t>1.报价应按磋商采购文件中相关附表格式填写。</w:t>
      </w:r>
    </w:p>
    <w:p>
      <w:pPr>
        <w:pStyle w:val="14"/>
        <w:widowControl w:val="0"/>
        <w:tabs>
          <w:tab w:val="clear" w:pos="454"/>
        </w:tabs>
        <w:snapToGrid w:val="0"/>
        <w:spacing w:beforeLines="50" w:afterLines="0" w:line="360" w:lineRule="auto"/>
        <w:ind w:left="0" w:firstLine="411" w:firstLineChars="196"/>
        <w:rPr>
          <w:rFonts w:ascii="宋体" w:hAnsi="宋体" w:cs="宋体"/>
          <w:color w:val="auto"/>
          <w:sz w:val="21"/>
          <w:szCs w:val="21"/>
        </w:rPr>
      </w:pPr>
      <w:r>
        <w:rPr>
          <w:rFonts w:hint="eastAsia" w:ascii="宋体" w:hAnsi="宋体" w:cs="宋体"/>
          <w:color w:val="auto"/>
          <w:sz w:val="21"/>
          <w:szCs w:val="21"/>
        </w:rPr>
        <w:t>▲2.响应文件只允许有一个总报价，有选择的或有条件的报价将不予接受。</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（五）响应文件的有效期</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▲1.自递交首次响应文件截止日起</w:t>
      </w:r>
      <w:r>
        <w:rPr>
          <w:rFonts w:hint="eastAsia" w:ascii="宋体" w:hAnsi="宋体" w:cs="宋体"/>
          <w:b/>
          <w:color w:val="auto"/>
          <w:sz w:val="21"/>
          <w:szCs w:val="21"/>
          <w:u w:val="single"/>
        </w:rPr>
        <w:t xml:space="preserve"> 90 </w:t>
      </w:r>
      <w:r>
        <w:rPr>
          <w:rFonts w:hint="eastAsia" w:ascii="宋体" w:hAnsi="宋体" w:cs="宋体"/>
          <w:b/>
          <w:color w:val="auto"/>
          <w:sz w:val="21"/>
          <w:szCs w:val="21"/>
        </w:rPr>
        <w:t>天响应文件应保持有效。有效期不足的响应文件将被拒绝。</w:t>
      </w:r>
    </w:p>
    <w:p>
      <w:pPr>
        <w:pStyle w:val="14"/>
        <w:widowControl w:val="0"/>
        <w:tabs>
          <w:tab w:val="clear" w:pos="454"/>
        </w:tabs>
        <w:snapToGrid w:val="0"/>
        <w:spacing w:beforeLines="50" w:afterLines="0" w:line="360" w:lineRule="auto"/>
        <w:ind w:left="0" w:firstLine="411" w:firstLineChars="196"/>
        <w:rPr>
          <w:rFonts w:ascii="宋体" w:hAnsi="宋体" w:cs="宋体"/>
          <w:color w:val="auto"/>
          <w:sz w:val="21"/>
          <w:szCs w:val="21"/>
        </w:rPr>
      </w:pPr>
      <w:r>
        <w:rPr>
          <w:rFonts w:hint="eastAsia" w:ascii="宋体" w:hAnsi="宋体" w:cs="宋体"/>
          <w:color w:val="auto"/>
          <w:sz w:val="21"/>
          <w:szCs w:val="21"/>
        </w:rPr>
        <w:t>2.在特殊情况下，采购人可与供应商协商延长响应文件的有效期，这种要求和答复均以书面形式进行。</w:t>
      </w:r>
    </w:p>
    <w:p>
      <w:pPr>
        <w:pStyle w:val="14"/>
        <w:widowControl w:val="0"/>
        <w:tabs>
          <w:tab w:val="clear" w:pos="454"/>
        </w:tabs>
        <w:snapToGrid w:val="0"/>
        <w:spacing w:beforeLines="50" w:afterLines="0" w:line="360" w:lineRule="auto"/>
        <w:ind w:left="0" w:firstLine="411" w:firstLineChars="196"/>
        <w:rPr>
          <w:rFonts w:ascii="宋体" w:hAnsi="宋体" w:cs="宋体"/>
          <w:color w:val="auto"/>
          <w:sz w:val="21"/>
          <w:szCs w:val="21"/>
        </w:rPr>
      </w:pPr>
      <w:r>
        <w:rPr>
          <w:rFonts w:hint="eastAsia" w:ascii="宋体" w:hAnsi="宋体" w:cs="宋体"/>
          <w:color w:val="auto"/>
          <w:sz w:val="21"/>
          <w:szCs w:val="21"/>
        </w:rPr>
        <w:t>3.成交供应商的响应文件自开标之日起至合同履行完毕止均应保持有效。</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（六）响应文件的签署和份数</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1.供应商应按照本磋商文件规定的格式和顺序以及“政府采购云平台”的要求，通过“政采云电子交易客户端”编制磋商响应文件并进行关联定位，同时对磋商响应文件进行加密。资格审查文件以及资信技术文件中不得出现报价内容，如因供应商编制原因提前泄露报价，是供应商的责任。</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2.磋商响应文件内容不完整、编排混乱导致磋商响应文件被误读、漏读或者查找不到相关内容的，是供应商的责任。</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3.磋商响应文件须由供应商在规定位置盖章并由法定代表人或法定代表人的授权委托人签署，供应商应写全称。法定代表人授权委托书必须由法定代表人签名并加盖单位公章。</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4.磋商响应文件不得涂改，若有修改错漏处，须加盖单位公章或者法定代表人或授权委托人签名或盖章。磋商响应文件因版面模糊或表达不清所引起的后果由供应商负责。</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5.供应商递交的企业宣传册、产品宣传册不属于磋商响应文件有效组成资料的不作为评审依据。</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6.磋商响应文件份数：“电子加密磋商响应文件”一份（包含：资格审查文件、资信技术文件、报价文件三部分）；“电子备份磋商响应文件”一份（包含：资格审查文件、资信技术文件、报价文件三部分）。</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7.“电子备份磋商响应文件”以介质（U盘）存储，单独密封包装，外包装封面上应注明供应商名称、供应商地址、磋商响应文件名称（“电子备份磋商响应文件”）、项目名称、项目编号、及“在  年  月  日  时  分之前不得启封”字样，并加盖供应商公章。</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（七）磋商响应文件的修改和撤回</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1.供应商应当在提交首次磋商响应文件截止时间前完成磋商响应文件的上传和递交，并可以补充、修改或者撤回磋商响应文件。补充或者修改磋商响应文件的，应当先行撤回原文件，补充、修改后重新上传和递交。提交首次磋商响应文件截止时间前未完成上传和递交的，视为撤回磋商响应文件。提交首次磋商响应文件截止时间后上传和递交的磋商响应文件，将被拒收。</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2.提交首次磋商响应文件截止时间后，供应商不得撤回、修改磋商响应文件。</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（八）响应无效的情形</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实质上没有响应磋商采购文件要求的响应文件将被视为无效响应，供应商不得通过修正或撤消不合要求的偏离或保留从而使其响应成为实质上响应的文件。但磋商小组可以要求供应商在限期内对响应文件中含义不明确、同类问题表述不一致或者有明显文字和计算错误的内容等作出必要的澄清、说明或者更正。供应商的澄清、说明或更正不得超出响应文件的范围或者改变响应文件的实质性内容。供应商的澄清、说明或更正应当以书面形式作出。供应商的澄清、说明或者更正应当由法定代表人或其授权代表签字或者加盖公章。由授权代表签字的，应当附法定代表人授权书。供应商为自然人的，应当由本人签字并附身份证明。限期内不补正或经补正后仍不符合磋商采购文件要求的，应认定其响应无效。供应商澄清、说明或更正后，不影响磋商小组对其响应文件所作的评价和评分结果。</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1.在符合性审查和商务评审时，如发现下列情形之一的，响应文件将被视为无效：</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（1）资格证明文件不全的，或者不符合磋商文件标明的资格要求的；</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（2）磋商响应文件无法定代表人签字,或未提供法定代表人授权委托书、供应商声明书或者填写项目不齐全的；</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 xml:space="preserve">（3）供应商代表人未能出具身份证明或与法定代表人授权委托人身份不符的； </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（4）磋商响应文件项目不齐全或者内容虚假的；</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（5）磋商响应文件的实质性内容未使用中文表述、意思表述不明确、前后矛盾或者使用计量单位不符合磋商文件要求的（经磋商小组认定并允许其当场更正的笔误除外）；</w:t>
      </w:r>
    </w:p>
    <w:p>
      <w:pPr>
        <w:pStyle w:val="20"/>
        <w:snapToGrid w:val="0"/>
        <w:spacing w:line="360" w:lineRule="auto"/>
        <w:ind w:firstLine="411" w:firstLineChars="196"/>
        <w:rPr>
          <w:rFonts w:ascii="宋体" w:hAnsi="宋体" w:cs="宋体"/>
          <w:snapToGrid w:val="0"/>
          <w:color w:val="auto"/>
          <w:szCs w:val="21"/>
        </w:rPr>
      </w:pPr>
      <w:r>
        <w:rPr>
          <w:rFonts w:hint="eastAsia" w:ascii="宋体" w:hAnsi="宋体" w:cs="宋体"/>
          <w:color w:val="auto"/>
          <w:szCs w:val="21"/>
        </w:rPr>
        <w:t>（</w:t>
      </w:r>
      <w:r>
        <w:rPr>
          <w:rFonts w:hint="eastAsia" w:ascii="宋体" w:hAnsi="宋体" w:cs="宋体"/>
          <w:snapToGrid w:val="0"/>
          <w:color w:val="auto"/>
          <w:szCs w:val="21"/>
        </w:rPr>
        <w:t>6）磋商响应文件有效期不能满足磋商文件要求的；</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（7）未实质性响应磋商文件要求或者响应文件有采购人不能接受的附加条件的；</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（8）超过递交响应文件截止时间送达的或未按规定地点送达的；</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（9）未按规定密封、签章的；</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 xml:space="preserve">（10）磋商响应文件的关键内容字迹模糊、无法辨认的,或者响应文件中经修正的内容字迹模糊难以辩认或者修改处未按规定签名盖章的； </w:t>
      </w:r>
    </w:p>
    <w:p>
      <w:pPr>
        <w:pStyle w:val="20"/>
        <w:snapToGrid w:val="0"/>
        <w:spacing w:line="360" w:lineRule="auto"/>
        <w:ind w:firstLine="413" w:firstLineChars="196"/>
        <w:rPr>
          <w:rFonts w:ascii="宋体" w:hAnsi="宋体" w:cs="宋体"/>
          <w:b/>
          <w:bCs/>
          <w:color w:val="auto"/>
          <w:szCs w:val="21"/>
        </w:rPr>
      </w:pPr>
      <w:r>
        <w:rPr>
          <w:rFonts w:hint="eastAsia" w:ascii="宋体" w:hAnsi="宋体" w:cs="宋体"/>
          <w:b/>
          <w:bCs/>
          <w:color w:val="auto"/>
          <w:szCs w:val="21"/>
        </w:rPr>
        <w:t>2.在技术评审时，如发现下列情形之一的，响应文件将被视为无效：</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（1）响应文件标明的响应或偏离与事实不符或虚假响应的；</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（2）</w:t>
      </w:r>
      <w:r>
        <w:rPr>
          <w:rFonts w:hint="eastAsia" w:ascii="宋体" w:hAnsi="宋体" w:cs="宋体"/>
          <w:snapToGrid w:val="0"/>
          <w:color w:val="auto"/>
          <w:szCs w:val="21"/>
        </w:rPr>
        <w:t>明显不符合磋商</w:t>
      </w:r>
      <w:r>
        <w:rPr>
          <w:rFonts w:hint="eastAsia" w:ascii="宋体" w:hAnsi="宋体" w:cs="宋体"/>
          <w:color w:val="auto"/>
          <w:szCs w:val="21"/>
        </w:rPr>
        <w:t>采购</w:t>
      </w:r>
      <w:r>
        <w:rPr>
          <w:rFonts w:hint="eastAsia" w:ascii="宋体" w:hAnsi="宋体" w:cs="宋体"/>
          <w:snapToGrid w:val="0"/>
          <w:color w:val="auto"/>
          <w:szCs w:val="21"/>
        </w:rPr>
        <w:t>文件要求的，或者与</w:t>
      </w:r>
      <w:r>
        <w:rPr>
          <w:rFonts w:hint="eastAsia" w:ascii="宋体" w:hAnsi="宋体" w:cs="宋体"/>
          <w:color w:val="auto"/>
          <w:szCs w:val="21"/>
        </w:rPr>
        <w:t>磋商采购文件中标“▲”的条款发生实质性偏离的；</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（3）响应文件技术方案不明确，存在一个或一个以上备选（替代）方案的；</w:t>
      </w:r>
    </w:p>
    <w:p>
      <w:pPr>
        <w:pStyle w:val="20"/>
        <w:snapToGrid w:val="0"/>
        <w:spacing w:line="360" w:lineRule="auto"/>
        <w:ind w:firstLine="413" w:firstLineChars="196"/>
        <w:rPr>
          <w:rFonts w:ascii="宋体" w:hAnsi="宋体" w:cs="宋体"/>
          <w:b/>
          <w:bCs/>
          <w:color w:val="auto"/>
          <w:szCs w:val="21"/>
        </w:rPr>
      </w:pPr>
      <w:r>
        <w:rPr>
          <w:rFonts w:hint="eastAsia" w:ascii="宋体" w:hAnsi="宋体" w:cs="宋体"/>
          <w:b/>
          <w:bCs/>
          <w:color w:val="auto"/>
          <w:szCs w:val="21"/>
        </w:rPr>
        <w:t>3.在报价评审时，如发现下列情形之一的，响应文件将被视为无效：</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（1）未采用响应文件要求的报价形式或超过采购预算（最高限价）报价的；</w:t>
      </w:r>
    </w:p>
    <w:p>
      <w:pPr>
        <w:pStyle w:val="20"/>
        <w:snapToGrid w:val="0"/>
        <w:spacing w:line="360" w:lineRule="auto"/>
        <w:ind w:firstLine="411" w:firstLineChars="196"/>
        <w:rPr>
          <w:rStyle w:val="54"/>
          <w:color w:val="auto"/>
        </w:rPr>
      </w:pPr>
      <w:r>
        <w:rPr>
          <w:rFonts w:hint="eastAsia" w:ascii="宋体" w:hAnsi="宋体" w:cs="宋体"/>
          <w:color w:val="auto"/>
          <w:szCs w:val="21"/>
        </w:rPr>
        <w:t>（2）报价具有选择性；</w:t>
      </w:r>
    </w:p>
    <w:p>
      <w:pPr>
        <w:pStyle w:val="20"/>
        <w:snapToGrid w:val="0"/>
        <w:spacing w:line="360" w:lineRule="auto"/>
        <w:ind w:firstLine="411" w:firstLineChars="196"/>
        <w:rPr>
          <w:rFonts w:ascii="宋体" w:hAnsi="宋体" w:cs="宋体"/>
          <w:color w:val="auto"/>
          <w:szCs w:val="21"/>
        </w:rPr>
      </w:pPr>
      <w:r>
        <w:rPr>
          <w:rFonts w:hint="eastAsia" w:ascii="宋体" w:hAnsi="宋体" w:cs="宋体"/>
          <w:color w:val="auto"/>
          <w:szCs w:val="21"/>
        </w:rPr>
        <w:t>（3）磋商小组委员会认为供应商的报价明显低于其他通过符合性审查供应商的报价，有可能影响产品质量或者不能诚信履约的，要求其在现场合理的时间内提供书面说明，必要时提供相关证明材料；且供应商不能证明其报价合理性的；不符合法律、法规和本磋商文件规定的其他实质性要求的。</w:t>
      </w:r>
    </w:p>
    <w:p>
      <w:pPr>
        <w:pStyle w:val="20"/>
        <w:snapToGrid w:val="0"/>
        <w:spacing w:line="360" w:lineRule="auto"/>
        <w:ind w:firstLine="413" w:firstLineChars="196"/>
        <w:rPr>
          <w:rFonts w:ascii="宋体" w:hAnsi="宋体" w:cs="宋体"/>
          <w:b/>
          <w:color w:val="auto"/>
          <w:szCs w:val="21"/>
        </w:rPr>
      </w:pPr>
      <w:r>
        <w:rPr>
          <w:rFonts w:hint="eastAsia" w:ascii="宋体" w:hAnsi="宋体" w:cs="宋体"/>
          <w:b/>
          <w:color w:val="auto"/>
          <w:szCs w:val="21"/>
        </w:rPr>
        <w:t>4.被拒绝的响应文件为无效。</w:t>
      </w:r>
    </w:p>
    <w:p>
      <w:pPr>
        <w:pStyle w:val="20"/>
        <w:snapToGrid w:val="0"/>
        <w:spacing w:line="360" w:lineRule="auto"/>
        <w:ind w:firstLine="413" w:firstLineChars="196"/>
        <w:rPr>
          <w:rFonts w:ascii="宋体" w:hAnsi="宋体" w:cs="宋体"/>
          <w:b/>
          <w:color w:val="auto"/>
          <w:szCs w:val="21"/>
        </w:rPr>
      </w:pPr>
      <w:r>
        <w:rPr>
          <w:rFonts w:hint="eastAsia" w:ascii="宋体" w:hAnsi="宋体" w:cs="宋体"/>
          <w:b/>
          <w:color w:val="auto"/>
          <w:szCs w:val="21"/>
        </w:rPr>
        <w:t>5.如采购过程中发现供应商有行贿犯罪记录的视为无效响应或取消成交资格。</w:t>
      </w:r>
    </w:p>
    <w:p>
      <w:pPr>
        <w:pStyle w:val="20"/>
        <w:snapToGrid w:val="0"/>
        <w:spacing w:line="360" w:lineRule="auto"/>
        <w:ind w:firstLine="413" w:firstLineChars="196"/>
        <w:rPr>
          <w:rFonts w:ascii="宋体" w:hAnsi="宋体" w:cs="宋体"/>
          <w:b/>
          <w:color w:val="auto"/>
          <w:szCs w:val="21"/>
        </w:rPr>
      </w:pP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四、磋商程序</w:t>
      </w:r>
    </w:p>
    <w:p>
      <w:pPr>
        <w:pStyle w:val="25"/>
        <w:snapToGrid w:val="0"/>
        <w:spacing w:beforeLines="0" w:afterLines="0" w:line="360" w:lineRule="auto"/>
        <w:ind w:firstLine="413" w:firstLineChars="196"/>
        <w:rPr>
          <w:rFonts w:hint="default" w:hAnsi="宋体" w:cs="宋体"/>
          <w:b/>
          <w:color w:val="auto"/>
        </w:rPr>
      </w:pPr>
      <w:r>
        <w:rPr>
          <w:rFonts w:hAnsi="宋体" w:cs="宋体"/>
          <w:b/>
          <w:color w:val="auto"/>
        </w:rPr>
        <w:t>（一）磋商准备</w:t>
      </w:r>
    </w:p>
    <w:p>
      <w:pPr>
        <w:pStyle w:val="25"/>
        <w:snapToGrid w:val="0"/>
        <w:spacing w:beforeLines="0" w:afterLines="0" w:line="360" w:lineRule="auto"/>
        <w:ind w:firstLine="420" w:firstLineChars="200"/>
        <w:rPr>
          <w:rFonts w:hint="default" w:hAnsi="宋体" w:cs="宋体"/>
          <w:bCs/>
          <w:color w:val="auto"/>
        </w:rPr>
      </w:pPr>
      <w:r>
        <w:rPr>
          <w:rFonts w:hAnsi="宋体" w:cs="宋体"/>
          <w:bCs/>
          <w:color w:val="auto"/>
        </w:rPr>
        <w:t>采购代理机构将在规定的时间和地点进行磋商，供应商的法定代表人或其授权代表应参加磋商并签到。供应商的法定代表人或其授权代表未按时签到的，视同放弃磋商权利，认可磋商结果。</w:t>
      </w:r>
    </w:p>
    <w:p>
      <w:pPr>
        <w:pStyle w:val="25"/>
        <w:snapToGrid w:val="0"/>
        <w:spacing w:beforeLines="0" w:afterLines="0" w:line="360" w:lineRule="auto"/>
        <w:ind w:firstLine="413" w:firstLineChars="196"/>
        <w:rPr>
          <w:rFonts w:hint="default" w:hAnsi="宋体" w:cs="宋体"/>
          <w:b/>
          <w:color w:val="auto"/>
        </w:rPr>
      </w:pPr>
      <w:r>
        <w:rPr>
          <w:rFonts w:hAnsi="宋体" w:cs="宋体"/>
          <w:b/>
          <w:color w:val="auto"/>
        </w:rPr>
        <w:t>（二） 磋商程序：</w:t>
      </w:r>
    </w:p>
    <w:p>
      <w:pPr>
        <w:pStyle w:val="25"/>
        <w:snapToGrid w:val="0"/>
        <w:spacing w:beforeLines="0" w:afterLines="0" w:line="360" w:lineRule="auto"/>
        <w:ind w:firstLine="422" w:firstLineChars="200"/>
        <w:rPr>
          <w:rFonts w:hint="default" w:hAnsi="宋体"/>
          <w:b/>
          <w:color w:val="auto"/>
          <w:szCs w:val="21"/>
        </w:rPr>
      </w:pPr>
      <w:r>
        <w:rPr>
          <w:rFonts w:hAnsi="宋体"/>
          <w:b/>
          <w:color w:val="auto"/>
          <w:szCs w:val="21"/>
        </w:rPr>
        <w:t>电子招投标开标程序：</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第一阶段：</w:t>
      </w:r>
    </w:p>
    <w:p>
      <w:pPr>
        <w:pStyle w:val="25"/>
        <w:numPr>
          <w:ilvl w:val="0"/>
          <w:numId w:val="8"/>
        </w:numPr>
        <w:snapToGrid w:val="0"/>
        <w:spacing w:beforeLines="0" w:afterLines="0" w:line="360" w:lineRule="auto"/>
        <w:ind w:firstLine="420" w:firstLineChars="200"/>
        <w:rPr>
          <w:rFonts w:hint="default" w:hAnsi="宋体"/>
          <w:bCs/>
          <w:color w:val="auto"/>
          <w:szCs w:val="21"/>
        </w:rPr>
      </w:pPr>
      <w:r>
        <w:rPr>
          <w:rFonts w:hAnsi="宋体"/>
          <w:bCs/>
          <w:color w:val="auto"/>
          <w:szCs w:val="21"/>
        </w:rPr>
        <w:t>提交首次磋商响应文件截止时间后，采购代理机构向各供应商发出“电子加密磋商响应文件”开始解密通知。供应商登录“政府采购云平台”，按要求在规定时间内完成解密。在线解密“电子加密磋商响应文件”时间为提交首次磋商响应文件截止时间起</w:t>
      </w:r>
      <w:r>
        <w:rPr>
          <w:rFonts w:hAnsi="宋体" w:cs="宋体"/>
          <w:b/>
          <w:bCs/>
          <w:color w:val="auto"/>
          <w:u w:val="single"/>
        </w:rPr>
        <w:t xml:space="preserve">60 </w:t>
      </w:r>
      <w:r>
        <w:rPr>
          <w:rFonts w:hAnsi="宋体" w:cs="宋体"/>
          <w:b/>
          <w:bCs/>
          <w:color w:val="auto"/>
        </w:rPr>
        <w:t>分钟</w:t>
      </w:r>
      <w:r>
        <w:rPr>
          <w:rFonts w:hAnsi="宋体"/>
          <w:bCs/>
          <w:color w:val="auto"/>
          <w:szCs w:val="21"/>
        </w:rPr>
        <w:t>内。在规定的时间内供应商因故无法完成“政府采购云平台”的“电子加密磋商响应文件”解密的，如已按规定在提交首次磋商响应文件截止时间前向采购代理机构递交了“电子备份磋商响应文件”的（若供应商未向采购代理机构递交“电子备份磋商响应文件”的，视为响应文件撤回），将由采购代理机构按“政府采购云平台”操作规范将“电子备份磋商响应文件”上传至“政府采购云平台”进行解密，上传并解密成功后，原“电子加密磋商响应文件”自动失效。评审时以“电子备份磋商响应文件”为准。</w:t>
      </w:r>
    </w:p>
    <w:p>
      <w:pPr>
        <w:pStyle w:val="25"/>
        <w:numPr>
          <w:ilvl w:val="0"/>
          <w:numId w:val="8"/>
        </w:numPr>
        <w:snapToGrid w:val="0"/>
        <w:spacing w:beforeLines="0" w:afterLines="0" w:line="360" w:lineRule="auto"/>
        <w:ind w:firstLine="420" w:firstLineChars="200"/>
        <w:rPr>
          <w:rFonts w:hint="default" w:hAnsi="宋体"/>
          <w:bCs/>
          <w:color w:val="auto"/>
          <w:szCs w:val="21"/>
        </w:rPr>
      </w:pPr>
      <w:r>
        <w:rPr>
          <w:rFonts w:hAnsi="宋体"/>
          <w:bCs/>
          <w:color w:val="auto"/>
          <w:szCs w:val="21"/>
        </w:rPr>
        <w:t>采购人或采购代理机构对磋商响应供应商的资格进行审查，资格审查结束后进入符合性审查和资信技术的评审工作。</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第二阶段：</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（1）符合性审查、资信技术评审结束后，举行开标大会第二阶段会议。首先公布符合性审查、资信技术评审无效供应商名称及理由；公布经资信技术评审后有效磋商响应供应商的名单。</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（2）磋商小组对各响应单位在“政府采购云平台”上进行在线磋商。</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3）磋商结束后，开启符合性审查、资信技术评审有效磋商响应供应商的初次报价文件，经磋商小组评审及磋商，要求所有实质性响应的供应商在规定时间内提交最后报价，采购代理机构向各磋商响应供应商发出最终报价文件通知，由供应商按磋商文件规定的时间内自行填写最终报价加盖签章并上传。</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（4）最后报价是磋商响应文件的有效组成部分。</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（5）已提交首次磋商响应文件的供应商，在提交最后报价之前，若因磋商文件实质性变动导致供应商无法满足采购需求的，允许供应商退出磋商。</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（6）公布其得分情况。供应商予以确认。（不予确认的应说明理由，否则视为无异议）</w:t>
      </w:r>
    </w:p>
    <w:p>
      <w:pPr>
        <w:pStyle w:val="42"/>
        <w:widowControl w:val="0"/>
        <w:snapToGrid w:val="0"/>
        <w:spacing w:beforeAutospacing="0" w:afterAutospacing="0" w:line="360" w:lineRule="auto"/>
        <w:ind w:firstLine="420" w:firstLineChars="200"/>
        <w:jc w:val="both"/>
        <w:rPr>
          <w:rFonts w:hAnsi="宋体"/>
          <w:bCs/>
          <w:color w:val="auto"/>
          <w:sz w:val="21"/>
          <w:szCs w:val="21"/>
        </w:rPr>
      </w:pPr>
      <w:r>
        <w:rPr>
          <w:rFonts w:hint="eastAsia" w:hAnsi="宋体"/>
          <w:bCs/>
          <w:color w:val="auto"/>
          <w:sz w:val="21"/>
          <w:szCs w:val="21"/>
        </w:rPr>
        <w:t>（7）磋商小组根据综合评分情况，每标项按照评审得分由高到低顺序推荐3名及以上成交候选供应商，并编写评审报告。若评审得分相同，则报价低者为成交候选人；评审得分且最终报价相同的则由抽签决定成交候选人。</w:t>
      </w:r>
      <w:r>
        <w:rPr>
          <w:rFonts w:hint="eastAsia" w:ascii="宋体" w:hAnsi="宋体" w:cs="宋体"/>
          <w:color w:val="auto"/>
          <w:kern w:val="2"/>
          <w:sz w:val="21"/>
          <w:szCs w:val="21"/>
        </w:rPr>
        <w:t>由排名第1至3名的供应商为第一、二、三成交候选人。</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（8）评审结束后，公布成交候选供应商名单，及采购人最终确定成交供应商名单的时间和公告方式等。</w:t>
      </w:r>
    </w:p>
    <w:p>
      <w:pPr>
        <w:pStyle w:val="42"/>
        <w:widowControl w:val="0"/>
        <w:snapToGrid w:val="0"/>
        <w:spacing w:beforeLines="50" w:beforeAutospacing="0" w:afterLines="50" w:afterAutospacing="0" w:line="360" w:lineRule="auto"/>
        <w:ind w:firstLine="420" w:firstLineChars="200"/>
        <w:jc w:val="both"/>
        <w:rPr>
          <w:rFonts w:hAnsi="宋体"/>
          <w:bCs/>
          <w:color w:val="auto"/>
          <w:sz w:val="21"/>
          <w:szCs w:val="21"/>
        </w:rPr>
      </w:pPr>
      <w:r>
        <w:rPr>
          <w:rFonts w:hint="eastAsia" w:hAnsi="宋体"/>
          <w:bCs/>
          <w:color w:val="auto"/>
          <w:sz w:val="21"/>
          <w:szCs w:val="21"/>
        </w:rPr>
        <w:t>注：在磋商过程中，磋商小组可以根据磋商文件和磋商情况实质性变动采购需求中的技术、服务要求（即本磋商文件第二章 采购需求）以及合同草案条款（即本磋商文件第五章 采购合同）；对磋商文件作出的实质性变动是磋商文件的有效组成部分，磋商小组以在线询标的形式同时通知所有参加磋商的供应商。供应商按照磋商文件的变动情况和磋商小组的要求在规定时间内提交响应文件（或补充文件），并由其法定代表人或授权代表签名或加盖公章。递交的响应文件（或补充文件）具有相应的法律效力；磋商结束后，磋商小组要求所有实质性响应的供应商在规定时间内在线提交最终报价。最终报价是供应商响应文件的有效组成部分。</w:t>
      </w:r>
    </w:p>
    <w:p>
      <w:pPr>
        <w:pStyle w:val="14"/>
        <w:widowControl w:val="0"/>
        <w:tabs>
          <w:tab w:val="clear" w:pos="454"/>
        </w:tabs>
        <w:snapToGrid w:val="0"/>
        <w:spacing w:beforeLines="50" w:afterLines="0" w:line="360" w:lineRule="auto"/>
        <w:ind w:left="0" w:firstLine="413" w:firstLineChars="196"/>
        <w:rPr>
          <w:rFonts w:ascii="宋体" w:hAnsi="宋体" w:cs="宋体"/>
          <w:b/>
          <w:color w:val="auto"/>
          <w:sz w:val="21"/>
          <w:szCs w:val="21"/>
        </w:rPr>
      </w:pPr>
      <w:r>
        <w:rPr>
          <w:rFonts w:hint="eastAsia" w:ascii="宋体" w:hAnsi="宋体" w:cs="宋体"/>
          <w:b/>
          <w:color w:val="auto"/>
          <w:sz w:val="21"/>
          <w:szCs w:val="21"/>
        </w:rPr>
        <w:t>五、评审</w:t>
      </w:r>
    </w:p>
    <w:p>
      <w:pPr>
        <w:pStyle w:val="25"/>
        <w:snapToGrid w:val="0"/>
        <w:spacing w:beforeLines="0" w:afterLines="0" w:line="360" w:lineRule="auto"/>
        <w:ind w:left="690" w:leftChars="228" w:hanging="211" w:hangingChars="100"/>
        <w:rPr>
          <w:rFonts w:hint="default" w:hAnsi="宋体" w:cs="宋体"/>
          <w:b/>
          <w:color w:val="auto"/>
        </w:rPr>
      </w:pPr>
      <w:r>
        <w:rPr>
          <w:rFonts w:hAnsi="宋体" w:cs="宋体"/>
          <w:b/>
          <w:color w:val="auto"/>
        </w:rPr>
        <w:t>（一）组建磋商小组</w:t>
      </w:r>
    </w:p>
    <w:p>
      <w:pPr>
        <w:pStyle w:val="25"/>
        <w:snapToGrid w:val="0"/>
        <w:spacing w:beforeLines="0" w:afterLines="0" w:line="360" w:lineRule="auto"/>
        <w:ind w:firstLine="420" w:firstLineChars="200"/>
        <w:rPr>
          <w:rFonts w:hint="default" w:hAnsi="宋体" w:cs="宋体"/>
          <w:color w:val="auto"/>
        </w:rPr>
      </w:pPr>
      <w:r>
        <w:rPr>
          <w:rFonts w:hAnsi="宋体" w:cs="宋体"/>
          <w:color w:val="auto"/>
        </w:rPr>
        <w:t>磋商小组由政府采购评审专家或采购人代表共3人或以上单数组成，其中评审专家人数不得少于磋商小组成员总数的2/3。</w:t>
      </w:r>
    </w:p>
    <w:p>
      <w:pPr>
        <w:pStyle w:val="25"/>
        <w:snapToGrid w:val="0"/>
        <w:spacing w:beforeLines="0" w:afterLines="0" w:line="360" w:lineRule="auto"/>
        <w:ind w:left="690" w:leftChars="228" w:hanging="211" w:hangingChars="100"/>
        <w:rPr>
          <w:rFonts w:hint="default" w:hAnsi="宋体" w:cs="宋体"/>
          <w:b/>
          <w:color w:val="auto"/>
        </w:rPr>
      </w:pPr>
      <w:r>
        <w:rPr>
          <w:rFonts w:hAnsi="宋体" w:cs="宋体"/>
          <w:b/>
          <w:color w:val="auto"/>
        </w:rPr>
        <w:t>（二）评审的方式</w:t>
      </w:r>
    </w:p>
    <w:p>
      <w:pPr>
        <w:pStyle w:val="25"/>
        <w:snapToGrid w:val="0"/>
        <w:spacing w:beforeLines="0" w:afterLines="0" w:line="360" w:lineRule="auto"/>
        <w:ind w:left="689" w:leftChars="228" w:hanging="210" w:hangingChars="100"/>
        <w:rPr>
          <w:rFonts w:hint="default" w:hAnsi="宋体" w:cs="宋体"/>
          <w:color w:val="auto"/>
        </w:rPr>
      </w:pPr>
      <w:r>
        <w:rPr>
          <w:rFonts w:hAnsi="宋体" w:cs="宋体"/>
          <w:color w:val="auto"/>
        </w:rPr>
        <w:t>本项目采用不公开方式评审，评审的依据为磋商采购文件和响应文件。</w:t>
      </w:r>
    </w:p>
    <w:p>
      <w:pPr>
        <w:pStyle w:val="25"/>
        <w:snapToGrid w:val="0"/>
        <w:spacing w:beforeLines="0" w:afterLines="0" w:line="360" w:lineRule="auto"/>
        <w:ind w:left="690" w:leftChars="228" w:hanging="211" w:hangingChars="100"/>
        <w:rPr>
          <w:rFonts w:hint="default" w:hAnsi="宋体" w:cs="宋体"/>
          <w:b/>
          <w:color w:val="auto"/>
        </w:rPr>
      </w:pPr>
      <w:r>
        <w:rPr>
          <w:rFonts w:hAnsi="宋体" w:cs="宋体"/>
          <w:b/>
          <w:color w:val="auto"/>
        </w:rPr>
        <w:t>（三）</w:t>
      </w:r>
      <w:r>
        <w:rPr>
          <w:rFonts w:hAnsi="宋体" w:cs="宋体"/>
          <w:b/>
          <w:bCs/>
          <w:color w:val="auto"/>
        </w:rPr>
        <w:t>评审程序</w:t>
      </w:r>
    </w:p>
    <w:p>
      <w:pPr>
        <w:snapToGrid w:val="0"/>
        <w:spacing w:line="360" w:lineRule="auto"/>
        <w:ind w:firstLine="413" w:firstLineChars="196"/>
        <w:rPr>
          <w:rFonts w:ascii="宋体" w:hAnsi="宋体" w:cs="宋体"/>
          <w:b/>
          <w:color w:val="auto"/>
          <w:szCs w:val="21"/>
        </w:rPr>
      </w:pPr>
      <w:r>
        <w:rPr>
          <w:rFonts w:hint="eastAsia" w:ascii="宋体" w:hAnsi="宋体" w:cs="宋体"/>
          <w:b/>
          <w:color w:val="auto"/>
          <w:szCs w:val="21"/>
        </w:rPr>
        <w:t>1.形式审查</w:t>
      </w:r>
    </w:p>
    <w:p>
      <w:pPr>
        <w:snapToGrid w:val="0"/>
        <w:spacing w:line="360" w:lineRule="auto"/>
        <w:ind w:firstLine="420" w:firstLineChars="200"/>
        <w:rPr>
          <w:rFonts w:ascii="宋体" w:hAnsi="宋体" w:cs="宋体"/>
          <w:b/>
          <w:color w:val="auto"/>
          <w:szCs w:val="21"/>
        </w:rPr>
      </w:pPr>
      <w:r>
        <w:rPr>
          <w:rFonts w:hint="eastAsia" w:ascii="宋体" w:hAnsi="宋体" w:cs="宋体"/>
          <w:color w:val="auto"/>
          <w:szCs w:val="21"/>
        </w:rPr>
        <w:t>采购人代表和代理机构工作人员协助磋商小组对供应商的资格和响应文件的完整性、合法性等进行审查。</w:t>
      </w:r>
    </w:p>
    <w:p>
      <w:pPr>
        <w:snapToGrid w:val="0"/>
        <w:spacing w:line="360" w:lineRule="auto"/>
        <w:ind w:firstLine="413" w:firstLineChars="196"/>
        <w:rPr>
          <w:rFonts w:ascii="宋体" w:hAnsi="宋体" w:cs="宋体"/>
          <w:b/>
          <w:color w:val="auto"/>
          <w:szCs w:val="21"/>
        </w:rPr>
      </w:pPr>
      <w:r>
        <w:rPr>
          <w:rFonts w:hint="eastAsia" w:ascii="宋体" w:hAnsi="宋体" w:cs="宋体"/>
          <w:b/>
          <w:color w:val="auto"/>
          <w:szCs w:val="21"/>
        </w:rPr>
        <w:t>2.实质审查与比较</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（1）磋商小组审查响应文件的实质性内容是否符合磋商采购文件的实质性要求。</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（2）磋商小组将根据供应商的响应文件进行审查、核对,如有疑问,将对供应商进行询问,供应商要向磋商小组澄清有关问题,并最终以书面形式进行答复。</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供应商代表未到场或者拒绝澄清或者澄清的内容改变了响应文件的实质性内容的，磋商小组有权对该响应文件作出不利于供应商的评判。</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（3）各供应商的技术商务得分为所有磋商小组成员的有效评分的算术平均数，由指定专人进行计算复核。</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（4）代理机构工作人员协助磋商小组根据本项目的评分标准计算各供应商的报价得分。</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（5）磋商小组完成评审后,评审成员对各部分得分汇总，计算出本项目最终得分。磋商小组按评审原则推荐成交候选供应商同时起草评审报告。</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（四）澄清问题的形式</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对响应文件中含义不明确、同类问题表述不一致或者有明显文字和计算错误的内容，磋商小组可要求供应商作出必要的澄清、说明或者更正。供应商的澄清、说明或者更正应当采用书面形式，由法定代表人或其授权代表签字或盖章确认，并不得超出响应文件的范围或者改变响应文件的实质性内容。</w:t>
      </w:r>
    </w:p>
    <w:p>
      <w:pPr>
        <w:snapToGrid w:val="0"/>
        <w:spacing w:line="360" w:lineRule="auto"/>
        <w:ind w:firstLine="422" w:firstLineChars="200"/>
        <w:rPr>
          <w:rFonts w:ascii="宋体" w:hAnsi="宋体" w:cs="宋体"/>
          <w:b/>
          <w:color w:val="auto"/>
          <w:szCs w:val="21"/>
        </w:rPr>
      </w:pPr>
      <w:r>
        <w:rPr>
          <w:rFonts w:hint="eastAsia" w:ascii="宋体" w:hAnsi="宋体" w:cs="宋体"/>
          <w:b/>
          <w:color w:val="auto"/>
          <w:szCs w:val="21"/>
        </w:rPr>
        <w:t>（五） 错误修正</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响应文件如果出现计算或表达上的错误，修正错误的原则如下：</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1、响应文件的大写金额和小写金额不一致的，以大写金额为准；</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2、总价与按单价汇总金额不一致的，以单价金额计算结果为准；</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3、对不同文字文本响应文件的解释发生异议的，以中文文本为准；</w:t>
      </w:r>
    </w:p>
    <w:p>
      <w:pPr>
        <w:snapToGrid w:val="0"/>
        <w:spacing w:line="360" w:lineRule="auto"/>
        <w:ind w:firstLine="420" w:firstLineChars="200"/>
        <w:rPr>
          <w:color w:val="auto"/>
        </w:rPr>
      </w:pPr>
      <w:r>
        <w:rPr>
          <w:rFonts w:hint="eastAsia" w:ascii="宋体" w:hAnsi="宋体" w:cs="宋体"/>
          <w:color w:val="auto"/>
          <w:szCs w:val="21"/>
        </w:rPr>
        <w:t>4、正本与副本不一致的，以正本为准；</w:t>
      </w:r>
    </w:p>
    <w:p>
      <w:pPr>
        <w:pStyle w:val="2"/>
        <w:spacing w:line="360" w:lineRule="auto"/>
        <w:rPr>
          <w:rFonts w:hint="eastAsia" w:eastAsia="宋体"/>
          <w:color w:val="auto"/>
          <w:lang w:val="en-US" w:eastAsia="zh-CN"/>
        </w:rPr>
      </w:pPr>
      <w:r>
        <w:rPr>
          <w:rFonts w:hint="eastAsia"/>
          <w:color w:val="auto"/>
          <w:lang w:val="en-US" w:eastAsia="zh-CN"/>
        </w:rPr>
        <w:t>5、</w:t>
      </w:r>
      <w:r>
        <w:rPr>
          <w:rFonts w:hint="eastAsia" w:hAnsi="宋体" w:cs="宋体"/>
          <w:color w:val="auto"/>
          <w:sz w:val="21"/>
          <w:szCs w:val="21"/>
          <w:lang w:val="en-US" w:eastAsia="zh-CN"/>
        </w:rPr>
        <w:t>开标一览表中的价格与上传的报价文件中开标一览表的报价不一致的，以上传的报价文件为准。</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同时出现两种以上不一致的，按照前款规定的顺序修正。修正后的报价按照磋商响应文件澄清的规定经供应商确认后产生约束力，供应商不确认的，其投标无效。</w:t>
      </w:r>
    </w:p>
    <w:p>
      <w:pPr>
        <w:pStyle w:val="42"/>
        <w:widowControl w:val="0"/>
        <w:tabs>
          <w:tab w:val="left" w:pos="630"/>
        </w:tabs>
        <w:snapToGrid w:val="0"/>
        <w:spacing w:beforeLines="50" w:beforeAutospacing="0" w:afterLines="50" w:afterAutospacing="0" w:line="360" w:lineRule="auto"/>
        <w:ind w:firstLine="413" w:firstLineChars="196"/>
        <w:jc w:val="both"/>
        <w:rPr>
          <w:rFonts w:ascii="宋体" w:hAnsi="宋体" w:cs="宋体"/>
          <w:b/>
          <w:color w:val="auto"/>
          <w:sz w:val="21"/>
          <w:szCs w:val="21"/>
        </w:rPr>
      </w:pPr>
      <w:r>
        <w:rPr>
          <w:rFonts w:hint="eastAsia" w:ascii="宋体" w:hAnsi="宋体" w:cs="宋体"/>
          <w:b/>
          <w:color w:val="auto"/>
          <w:kern w:val="2"/>
          <w:sz w:val="21"/>
          <w:szCs w:val="21"/>
        </w:rPr>
        <w:t>（六）评审原则和评审办法</w:t>
      </w:r>
    </w:p>
    <w:p>
      <w:pPr>
        <w:pStyle w:val="42"/>
        <w:widowControl w:val="0"/>
        <w:snapToGrid w:val="0"/>
        <w:spacing w:beforeLines="50" w:beforeAutospacing="0" w:afterLines="50" w:afterAutospacing="0" w:line="360" w:lineRule="auto"/>
        <w:ind w:firstLine="420" w:firstLineChars="200"/>
        <w:jc w:val="both"/>
        <w:rPr>
          <w:rFonts w:ascii="宋体" w:hAnsi="宋体" w:cs="宋体"/>
          <w:color w:val="auto"/>
          <w:sz w:val="21"/>
          <w:szCs w:val="21"/>
        </w:rPr>
      </w:pPr>
      <w:r>
        <w:rPr>
          <w:rFonts w:hint="eastAsia" w:ascii="宋体" w:hAnsi="宋体" w:cs="宋体"/>
          <w:color w:val="auto"/>
          <w:kern w:val="2"/>
          <w:sz w:val="21"/>
          <w:szCs w:val="21"/>
        </w:rPr>
        <w:t>1.评审原则。磋商小组必须公平、公正、客观，不带任何倾向性和启发性；不得向外界透露任何与评审有关的内容；任何单位和个人不得干扰、影响评审的正常进行；磋商小组及有关工作人员不得私下与供应商接触。</w:t>
      </w:r>
    </w:p>
    <w:p>
      <w:pPr>
        <w:pStyle w:val="42"/>
        <w:widowControl w:val="0"/>
        <w:snapToGrid w:val="0"/>
        <w:spacing w:beforeLines="50" w:beforeAutospacing="0" w:afterLines="50" w:afterAutospacing="0" w:line="360" w:lineRule="auto"/>
        <w:ind w:firstLine="420" w:firstLineChars="200"/>
        <w:jc w:val="both"/>
        <w:rPr>
          <w:rFonts w:ascii="宋体" w:hAnsi="宋体" w:cs="宋体"/>
          <w:color w:val="auto"/>
          <w:sz w:val="21"/>
          <w:szCs w:val="21"/>
        </w:rPr>
      </w:pPr>
      <w:r>
        <w:rPr>
          <w:rFonts w:hint="eastAsia" w:ascii="宋体" w:hAnsi="宋体" w:cs="宋体"/>
          <w:color w:val="auto"/>
          <w:kern w:val="2"/>
          <w:sz w:val="21"/>
          <w:szCs w:val="21"/>
        </w:rPr>
        <w:t>2.评审办法。本项目评审办法是</w:t>
      </w:r>
      <w:r>
        <w:rPr>
          <w:rFonts w:hint="eastAsia" w:ascii="宋体" w:hAnsi="宋体" w:cs="宋体"/>
          <w:b/>
          <w:color w:val="auto"/>
          <w:kern w:val="2"/>
          <w:sz w:val="21"/>
          <w:szCs w:val="21"/>
          <w:u w:val="single"/>
        </w:rPr>
        <w:t xml:space="preserve"> 综合评分法</w:t>
      </w:r>
      <w:r>
        <w:rPr>
          <w:rFonts w:hint="eastAsia" w:ascii="宋体" w:hAnsi="宋体" w:cs="宋体"/>
          <w:color w:val="auto"/>
          <w:kern w:val="2"/>
          <w:sz w:val="21"/>
          <w:szCs w:val="21"/>
          <w:u w:val="single"/>
        </w:rPr>
        <w:t xml:space="preserve"> </w:t>
      </w:r>
      <w:r>
        <w:rPr>
          <w:rFonts w:hint="eastAsia" w:ascii="宋体" w:hAnsi="宋体" w:cs="宋体"/>
          <w:color w:val="auto"/>
          <w:kern w:val="2"/>
          <w:sz w:val="21"/>
          <w:szCs w:val="21"/>
        </w:rPr>
        <w:t>，具体评审内容及评分标准等具体见《第四章：评审办法及评分标准》。</w:t>
      </w:r>
    </w:p>
    <w:p>
      <w:pPr>
        <w:pStyle w:val="42"/>
        <w:widowControl w:val="0"/>
        <w:snapToGrid w:val="0"/>
        <w:spacing w:beforeLines="50" w:beforeAutospacing="0" w:afterLines="50" w:afterAutospacing="0" w:line="360" w:lineRule="auto"/>
        <w:ind w:firstLine="422" w:firstLineChars="200"/>
        <w:jc w:val="both"/>
        <w:rPr>
          <w:rFonts w:ascii="宋体" w:hAnsi="宋体" w:cs="宋体"/>
          <w:b/>
          <w:bCs/>
          <w:color w:val="auto"/>
          <w:sz w:val="21"/>
          <w:szCs w:val="21"/>
        </w:rPr>
      </w:pPr>
      <w:r>
        <w:rPr>
          <w:rFonts w:hint="eastAsia" w:ascii="宋体" w:hAnsi="宋体" w:cs="宋体"/>
          <w:b/>
          <w:color w:val="auto"/>
          <w:kern w:val="2"/>
          <w:sz w:val="21"/>
          <w:szCs w:val="21"/>
        </w:rPr>
        <w:t>六、确定成交供应商：</w:t>
      </w:r>
      <w:r>
        <w:rPr>
          <w:rFonts w:hint="eastAsia" w:ascii="宋体" w:hAnsi="宋体" w:cs="宋体"/>
          <w:b/>
          <w:bCs/>
          <w:color w:val="auto"/>
          <w:kern w:val="2"/>
          <w:sz w:val="21"/>
          <w:szCs w:val="21"/>
        </w:rPr>
        <w:t>本项目由采购人确定成交供应商。</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采购代理机构在评标结束后2个工作日内将评审报告交采购人确认，采购人自收到评审报告之日起5个工作日内在评审报告推荐的每标项成交候选供应商中按由高到低的顺序确定成交供应商，并在浙江政府采购网(http://www.zjzfcg.gov.cn)”政采云平台</w:t>
      </w:r>
      <w:r>
        <w:rPr>
          <w:rFonts w:hint="eastAsia" w:ascii="宋体" w:hAnsi="宋体" w:cs="宋体"/>
          <w:bCs/>
          <w:color w:val="auto"/>
          <w:szCs w:val="21"/>
        </w:rPr>
        <w:t>宁波中基国际招标有限公司网上</w:t>
      </w:r>
      <w:r>
        <w:rPr>
          <w:rFonts w:hint="eastAsia" w:ascii="宋体" w:hAnsi="宋体" w:cs="宋体"/>
          <w:color w:val="auto"/>
          <w:szCs w:val="21"/>
        </w:rPr>
        <w:t>对成交结果进行公示。</w:t>
      </w:r>
    </w:p>
    <w:p>
      <w:pPr>
        <w:pStyle w:val="42"/>
        <w:widowControl w:val="0"/>
        <w:snapToGrid w:val="0"/>
        <w:spacing w:beforeLines="50" w:beforeAutospacing="0" w:afterLines="50" w:afterAutospacing="0" w:line="360" w:lineRule="auto"/>
        <w:ind w:firstLine="420"/>
        <w:jc w:val="both"/>
        <w:rPr>
          <w:rFonts w:ascii="宋体" w:hAnsi="宋体" w:cs="宋体"/>
          <w:color w:val="auto"/>
          <w:szCs w:val="21"/>
        </w:rPr>
      </w:pPr>
      <w:r>
        <w:rPr>
          <w:rFonts w:hint="eastAsia" w:ascii="宋体" w:hAnsi="宋体" w:cs="宋体"/>
          <w:color w:val="auto"/>
          <w:kern w:val="2"/>
          <w:sz w:val="21"/>
          <w:szCs w:val="21"/>
        </w:rPr>
        <w:t xml:space="preserve">其他事项：供应商认为该中标结果和采购过程等使自己的权益受到损害的，可以自结果公告期限届满之日（自公告发布之日起至第2日24时止）起7个工作日内，以书面形式向采购人提出质疑。质疑供应商对采购人、采购代理机构的答复不满意或者采购人、采购代理机构未在规定的时间内作出答复的，可以再答复期满后十五个工作日内向同级政府采购监督管理部门投诉。 </w:t>
      </w:r>
    </w:p>
    <w:p>
      <w:pPr>
        <w:pStyle w:val="42"/>
        <w:widowControl w:val="0"/>
        <w:snapToGrid w:val="0"/>
        <w:spacing w:beforeLines="50" w:beforeAutospacing="0" w:afterLines="50" w:afterAutospacing="0" w:line="360" w:lineRule="auto"/>
        <w:ind w:firstLine="422" w:firstLineChars="200"/>
        <w:jc w:val="both"/>
        <w:rPr>
          <w:rFonts w:ascii="宋体" w:hAnsi="宋体" w:cs="宋体"/>
          <w:b/>
          <w:color w:val="auto"/>
          <w:sz w:val="21"/>
          <w:szCs w:val="21"/>
        </w:rPr>
      </w:pPr>
      <w:r>
        <w:rPr>
          <w:rFonts w:hint="eastAsia" w:ascii="宋体" w:hAnsi="宋体" w:cs="宋体"/>
          <w:b/>
          <w:color w:val="auto"/>
          <w:kern w:val="2"/>
          <w:sz w:val="21"/>
          <w:szCs w:val="21"/>
        </w:rPr>
        <w:t>七、合同授予</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1.采购人与成交供应商应当在《成交通知书》发出之日起</w:t>
      </w:r>
      <w:r>
        <w:rPr>
          <w:rFonts w:hint="eastAsia" w:ascii="宋体" w:hAnsi="宋体" w:cs="宋体"/>
          <w:b/>
          <w:color w:val="auto"/>
          <w:szCs w:val="21"/>
          <w:u w:val="single"/>
        </w:rPr>
        <w:t>30</w:t>
      </w:r>
      <w:r>
        <w:rPr>
          <w:rFonts w:hint="eastAsia" w:ascii="宋体" w:hAnsi="宋体" w:cs="宋体"/>
          <w:color w:val="auto"/>
          <w:szCs w:val="21"/>
        </w:rPr>
        <w:t>日内签订合同。</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2.成交供应商拖延、拒签合同的,将被取消成交资格。</w:t>
      </w:r>
    </w:p>
    <w:p>
      <w:pPr>
        <w:snapToGrid w:val="0"/>
        <w:spacing w:line="360" w:lineRule="auto"/>
        <w:ind w:firstLine="420" w:firstLineChars="200"/>
        <w:rPr>
          <w:rFonts w:ascii="宋体" w:hAnsi="宋体" w:cs="宋体"/>
          <w:color w:val="auto"/>
        </w:rPr>
      </w:pPr>
      <w:r>
        <w:rPr>
          <w:rFonts w:hint="eastAsia" w:ascii="宋体" w:hAnsi="宋体" w:cs="宋体"/>
          <w:color w:val="auto"/>
          <w:szCs w:val="21"/>
        </w:rPr>
        <w:t>3.成交供应商拒绝与采购人签订合同的，采购人可以按照评审报告推荐的成交候选供应商名单排序，确定下一候选人为成交供应商或重新采购。拒绝签订政府采购合同的成交供应商不得参加该项目重新开展的采购活动。</w:t>
      </w:r>
    </w:p>
    <w:p>
      <w:pPr>
        <w:tabs>
          <w:tab w:val="left" w:pos="518"/>
        </w:tabs>
        <w:adjustRightInd w:val="0"/>
        <w:snapToGrid w:val="0"/>
        <w:spacing w:line="360" w:lineRule="auto"/>
        <w:ind w:firstLine="241" w:firstLineChars="100"/>
        <w:rPr>
          <w:rFonts w:ascii="宋体" w:hAnsi="宋体" w:cs="宋体"/>
          <w:color w:val="auto"/>
          <w:sz w:val="24"/>
        </w:rPr>
      </w:pPr>
      <w:r>
        <w:rPr>
          <w:rFonts w:hint="eastAsia" w:ascii="宋体" w:hAnsi="宋体" w:cs="宋体"/>
          <w:b/>
          <w:color w:val="auto"/>
          <w:sz w:val="24"/>
        </w:rPr>
        <w:t xml:space="preserve">  </w:t>
      </w:r>
      <w:r>
        <w:rPr>
          <w:rFonts w:hint="eastAsia" w:ascii="宋体" w:hAnsi="宋体" w:cs="宋体"/>
          <w:b/>
          <w:color w:val="auto"/>
          <w:szCs w:val="21"/>
        </w:rPr>
        <w:t>八、特别说明</w:t>
      </w:r>
    </w:p>
    <w:p>
      <w:pPr>
        <w:tabs>
          <w:tab w:val="left" w:pos="518"/>
        </w:tabs>
        <w:adjustRightInd w:val="0"/>
        <w:snapToGrid w:val="0"/>
        <w:spacing w:line="360" w:lineRule="auto"/>
        <w:rPr>
          <w:rFonts w:ascii="宋体" w:hAnsi="宋体" w:cs="宋体"/>
          <w:color w:val="auto"/>
          <w:szCs w:val="21"/>
        </w:rPr>
      </w:pPr>
      <w:r>
        <w:rPr>
          <w:rFonts w:hint="eastAsia" w:ascii="宋体" w:hAnsi="宋体" w:cs="宋体"/>
          <w:color w:val="auto"/>
          <w:szCs w:val="21"/>
        </w:rPr>
        <w:t xml:space="preserve">    1.政府采购活动中有关中小企业的相关规定（采购进口产品的项目不适用）</w:t>
      </w:r>
    </w:p>
    <w:p>
      <w:pPr>
        <w:tabs>
          <w:tab w:val="left" w:pos="518"/>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1.1参加政府采购活动的中小企业（含中型、小型、微型企业，其他地方同）应当同时符合以下条件：</w:t>
      </w:r>
    </w:p>
    <w:p>
      <w:pPr>
        <w:tabs>
          <w:tab w:val="left" w:pos="518"/>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（一）符合中小企业划分标准（具体见工信部联企业[2011]300号）；</w:t>
      </w:r>
    </w:p>
    <w:p>
      <w:pPr>
        <w:tabs>
          <w:tab w:val="left" w:pos="518"/>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（二）提供本企业制造的货物、承担的工程或者服务，或者提供其他中小企业制造的货物。本项所称货物不包括使用大型企业注册商标的货物。</w:t>
      </w:r>
    </w:p>
    <w:p>
      <w:pPr>
        <w:tabs>
          <w:tab w:val="left" w:pos="518"/>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（三）小型、微型企业提供中型企业制造的货物的，视同为中型企业。</w:t>
      </w:r>
    </w:p>
    <w:p>
      <w:pPr>
        <w:tabs>
          <w:tab w:val="left" w:pos="518"/>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1.2 参加政府采购活动的中小企业应当提供《中小企业声明函》。</w:t>
      </w:r>
    </w:p>
    <w:p>
      <w:pPr>
        <w:tabs>
          <w:tab w:val="left" w:pos="518"/>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1.3 本项目对小型和微型企业产品的价格给予6%的扣除，用扣除后的价格参与评审。具体扣除比例见第四章评标标准。</w:t>
      </w:r>
    </w:p>
    <w:p>
      <w:pPr>
        <w:widowControl/>
        <w:spacing w:line="360" w:lineRule="auto"/>
        <w:jc w:val="left"/>
        <w:rPr>
          <w:rFonts w:ascii="宋体" w:hAnsi="宋体" w:cs="宋体"/>
          <w:color w:val="auto"/>
        </w:rPr>
      </w:pPr>
      <w:r>
        <w:rPr>
          <w:rFonts w:hint="eastAsia" w:ascii="宋体" w:hAnsi="宋体" w:cs="宋体"/>
          <w:color w:val="auto"/>
          <w:szCs w:val="21"/>
        </w:rPr>
        <w:t xml:space="preserve">    1.4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napToGrid w:val="0"/>
        <w:spacing w:line="360" w:lineRule="auto"/>
        <w:rPr>
          <w:rFonts w:ascii="宋体" w:hAnsi="宋体" w:cs="宋体"/>
          <w:color w:val="auto"/>
          <w:szCs w:val="21"/>
        </w:rPr>
      </w:pPr>
      <w:r>
        <w:rPr>
          <w:rFonts w:hint="eastAsia" w:ascii="宋体" w:hAnsi="宋体" w:cs="宋体"/>
          <w:color w:val="auto"/>
          <w:szCs w:val="21"/>
        </w:rPr>
        <w:t xml:space="preserve">     1.5中小企业划型标准的营业收入（销售收入）以上年数为准，从业人员人数以上年年末数为准，当年新成立的企业暂以当期实际数据为准。</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1.6执行财政部、司法部《关于政府采购支持监狱企业发展有关问题的通知》。监狱企业（监狱和戒毒企业）提供自己企业的产品（服务）参加磋商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pPr>
        <w:spacing w:line="360" w:lineRule="auto"/>
        <w:ind w:firstLine="420" w:firstLineChars="200"/>
        <w:rPr>
          <w:rFonts w:ascii="宋体" w:hAnsi="宋体" w:cs="宋体"/>
          <w:color w:val="auto"/>
        </w:rPr>
      </w:pPr>
      <w:r>
        <w:rPr>
          <w:rFonts w:hint="eastAsia" w:ascii="宋体" w:hAnsi="宋体" w:cs="宋体"/>
          <w:color w:val="auto"/>
          <w:szCs w:val="21"/>
        </w:rPr>
        <w:t>1.7</w:t>
      </w:r>
      <w:r>
        <w:rPr>
          <w:rFonts w:hint="eastAsia" w:ascii="宋体" w:hAnsi="宋体" w:cs="宋体"/>
          <w:color w:val="auto"/>
        </w:rPr>
        <w:t>根据《关于促进残疾人就业政府采购政策的通知》（财库[2017]141号）规定，在政府采购活动中，残疾人福利性单位视同小型、微型企业。残疾人福利性单位参加政府采购活动时，提供《残疾人福利性单位声明函》。</w:t>
      </w:r>
    </w:p>
    <w:p>
      <w:pPr>
        <w:pStyle w:val="25"/>
        <w:snapToGrid w:val="0"/>
        <w:spacing w:beforeLines="0" w:afterLines="0" w:line="360" w:lineRule="auto"/>
        <w:jc w:val="center"/>
        <w:rPr>
          <w:rFonts w:hint="default" w:hAnsi="宋体" w:cs="宋体"/>
          <w:b/>
          <w:color w:val="auto"/>
          <w:sz w:val="28"/>
          <w:szCs w:val="28"/>
        </w:rPr>
      </w:pPr>
      <w:r>
        <w:rPr>
          <w:rFonts w:hAnsi="宋体" w:cs="宋体"/>
          <w:color w:val="auto"/>
        </w:rPr>
        <w:br w:type="page"/>
      </w:r>
      <w:bookmarkStart w:id="3" w:name="_Toc23195"/>
      <w:r>
        <w:rPr>
          <w:rFonts w:hAnsi="宋体" w:cs="宋体"/>
          <w:b/>
          <w:color w:val="auto"/>
          <w:sz w:val="28"/>
          <w:szCs w:val="28"/>
        </w:rPr>
        <w:t>第四章  评审办法及评分标准</w:t>
      </w:r>
      <w:bookmarkEnd w:id="3"/>
    </w:p>
    <w:p>
      <w:pPr>
        <w:pStyle w:val="28"/>
        <w:spacing w:line="360" w:lineRule="auto"/>
        <w:ind w:firstLine="626" w:firstLineChars="297"/>
        <w:rPr>
          <w:rFonts w:hint="default" w:ascii="宋体" w:eastAsia="宋体" w:cs="宋体"/>
          <w:color w:val="auto"/>
          <w:sz w:val="21"/>
          <w:szCs w:val="21"/>
        </w:rPr>
      </w:pPr>
      <w:r>
        <w:rPr>
          <w:rFonts w:ascii="宋体" w:eastAsia="宋体" w:cs="宋体"/>
          <w:color w:val="auto"/>
          <w:sz w:val="21"/>
          <w:szCs w:val="21"/>
        </w:rPr>
        <w:t>本办法严格遵照《中华人民共和国政府采购法》、《中华人民共和国政府采购法实施条例》、《政府采购竞争性磋商采购方式管理暂行办法》，结合项目所在地政府有关政府采购规定和项目的实际情况制定。</w:t>
      </w:r>
    </w:p>
    <w:p>
      <w:pPr>
        <w:pStyle w:val="28"/>
        <w:spacing w:line="360" w:lineRule="auto"/>
        <w:ind w:firstLine="474"/>
        <w:rPr>
          <w:rFonts w:hint="default" w:ascii="宋体" w:eastAsia="宋体" w:cs="宋体"/>
          <w:color w:val="auto"/>
          <w:sz w:val="21"/>
          <w:szCs w:val="21"/>
        </w:rPr>
      </w:pPr>
      <w:r>
        <w:rPr>
          <w:rFonts w:ascii="宋体" w:eastAsia="宋体" w:cs="宋体"/>
          <w:color w:val="auto"/>
          <w:sz w:val="21"/>
          <w:szCs w:val="21"/>
        </w:rPr>
        <w:t xml:space="preserve"> 本次采购为非专门面向中小企业，本次评标将对中小企业声明函满足磋商采购文件要求的小型和微型企业产品的价格给予6%的扣除，用扣除后的价格参与评审。</w:t>
      </w:r>
    </w:p>
    <w:p>
      <w:pPr>
        <w:spacing w:line="360" w:lineRule="auto"/>
        <w:rPr>
          <w:rFonts w:ascii="宋体" w:hAnsi="宋体" w:cs="宋体"/>
          <w:b/>
          <w:bCs/>
          <w:color w:val="auto"/>
          <w:szCs w:val="21"/>
        </w:rPr>
      </w:pPr>
      <w:r>
        <w:rPr>
          <w:rFonts w:hint="eastAsia" w:ascii="宋体" w:hAnsi="宋体" w:cs="宋体"/>
          <w:b/>
          <w:bCs/>
          <w:color w:val="auto"/>
          <w:szCs w:val="21"/>
        </w:rPr>
        <w:t>一. 总则</w:t>
      </w:r>
    </w:p>
    <w:p>
      <w:pPr>
        <w:spacing w:line="360" w:lineRule="auto"/>
        <w:ind w:firstLine="420" w:firstLineChars="200"/>
        <w:rPr>
          <w:rFonts w:ascii="宋体" w:hAnsi="宋体" w:cs="宋体"/>
          <w:color w:val="auto"/>
          <w:szCs w:val="21"/>
        </w:rPr>
      </w:pPr>
      <w:r>
        <w:rPr>
          <w:rFonts w:hint="eastAsia" w:ascii="宋体" w:hAnsi="宋体" w:cs="宋体"/>
          <w:color w:val="auto"/>
          <w:szCs w:val="21"/>
        </w:rPr>
        <w:t>本次磋商遵循公平、公正、科学、择优的原则依法进行，磋商活动及当事人接受依法实施的监督。本次磋商采用综合评分法。</w:t>
      </w:r>
    </w:p>
    <w:p>
      <w:pPr>
        <w:spacing w:line="360" w:lineRule="auto"/>
        <w:rPr>
          <w:rFonts w:ascii="宋体" w:hAnsi="宋体" w:cs="宋体"/>
          <w:b/>
          <w:bCs/>
          <w:color w:val="auto"/>
          <w:szCs w:val="21"/>
        </w:rPr>
      </w:pPr>
      <w:r>
        <w:rPr>
          <w:rFonts w:hint="eastAsia" w:ascii="宋体" w:hAnsi="宋体" w:cs="宋体"/>
          <w:b/>
          <w:bCs/>
          <w:color w:val="auto"/>
          <w:szCs w:val="21"/>
        </w:rPr>
        <w:t>二. 评审组织</w:t>
      </w:r>
    </w:p>
    <w:p>
      <w:pPr>
        <w:spacing w:line="360" w:lineRule="auto"/>
        <w:ind w:firstLine="420" w:firstLineChars="200"/>
        <w:rPr>
          <w:rFonts w:ascii="宋体" w:hAnsi="宋体" w:cs="宋体"/>
          <w:color w:val="auto"/>
          <w:szCs w:val="21"/>
        </w:rPr>
      </w:pPr>
      <w:r>
        <w:rPr>
          <w:rFonts w:hint="eastAsia" w:ascii="宋体" w:hAnsi="宋体" w:cs="宋体"/>
          <w:color w:val="auto"/>
          <w:szCs w:val="21"/>
        </w:rPr>
        <w:t>磋商小组：采购人和采购机构根据采购项目的内容特点按照法律法规规定组建磋商小组。磋商小组由采购人、技术、经济等方面专家等有关人员组成。</w:t>
      </w:r>
    </w:p>
    <w:p>
      <w:pPr>
        <w:spacing w:line="360" w:lineRule="auto"/>
        <w:rPr>
          <w:rFonts w:ascii="宋体" w:hAnsi="宋体" w:cs="宋体"/>
          <w:b/>
          <w:bCs/>
          <w:color w:val="auto"/>
          <w:szCs w:val="21"/>
        </w:rPr>
      </w:pPr>
      <w:r>
        <w:rPr>
          <w:rFonts w:hint="eastAsia" w:ascii="宋体" w:hAnsi="宋体" w:cs="宋体"/>
          <w:b/>
          <w:bCs/>
          <w:color w:val="auto"/>
          <w:szCs w:val="21"/>
        </w:rPr>
        <w:t>三．磋商程序</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第一阶段：</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1）提交首次磋商响应文件截止时间后，采购代理机构向各供应商发出“电子加密磋商响应文件”开始解密通知。供应商登录“政府采购云平台”，按要求在规定时间内完成解密。在线解密“电子加密磋商响应文件”时间为提交首次磋商响应文件截止时间起</w:t>
      </w:r>
      <w:r>
        <w:rPr>
          <w:rFonts w:hAnsi="宋体" w:cs="宋体"/>
          <w:color w:val="auto"/>
          <w:u w:val="single"/>
        </w:rPr>
        <w:t xml:space="preserve"> 60 </w:t>
      </w:r>
      <w:r>
        <w:rPr>
          <w:rFonts w:hAnsi="宋体" w:cs="宋体"/>
          <w:color w:val="auto"/>
        </w:rPr>
        <w:t>分钟</w:t>
      </w:r>
      <w:r>
        <w:rPr>
          <w:rFonts w:hAnsi="宋体"/>
          <w:bCs/>
          <w:color w:val="auto"/>
          <w:szCs w:val="21"/>
        </w:rPr>
        <w:t>内。在规定的时间内供应商因故无法完成“政府采购云平台”的“电子加密磋商响应文件”解密的，如已按规定在提交首次磋商响应文件截止时间前向采购代理机构递交了“电子备份磋商响应文件”的（若供应商未向采购代理机构递交“电子备份磋商响应文件”的，视为响应文件撤回），将由采购代理机构按“政府采购云平台”操作规范将“电子备份磋商响应文件”上传至“政府采购云平台”进行解密，上传并解密成功后，原“电子加密磋商响应文件”自动失效。评审时以“电子备份磋商响应文件”为准。</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（2）采购人或采购代理机构对磋商响应供应商的资格进行审查，资格审查结束后进入符合性审查和资信技术的评审工作。</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第二阶段：</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（1）符合性审查、资信技术评审结束后，举行开标大会第二阶段会议。首先公布符合性审查、资信技术评审无效供应商名称及理由；公布经资信技术评审后有效磋商响应供应商的名单。</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（2）磋商小组对各响应单位在“政府采购云平台”上进行在线磋商。</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3）磋商结束后，开启符合性审查、资信技术评审有效磋商响应供应商的初次报价文件，经磋商小组评审及磋商，要求所有实质性响应的供应商在规定时间内提交最后报价，采购代理机构向各磋商响应供应商发出最终报价文件通知，由供应商按磋商文件规定的时间内自行填写最终报价加盖签章并上传。</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（4）最后报价是磋商响应文件的有效组成部分。</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（5）已提交首次磋商响应文件的供应商，在提交最后报价之前，若因磋商文件实质性变动导致供应商无法满足采购需求的，允许供应商退出磋商。</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（6）公布其得分情况。供应商予以确认。（不予确认的应说明理由，否则视为无异议）</w:t>
      </w:r>
    </w:p>
    <w:p>
      <w:pPr>
        <w:pStyle w:val="42"/>
        <w:widowControl w:val="0"/>
        <w:snapToGrid w:val="0"/>
        <w:spacing w:beforeAutospacing="0" w:afterAutospacing="0" w:line="360" w:lineRule="auto"/>
        <w:ind w:firstLine="420" w:firstLineChars="200"/>
        <w:jc w:val="both"/>
        <w:rPr>
          <w:rFonts w:hAnsi="宋体"/>
          <w:bCs/>
          <w:color w:val="auto"/>
          <w:sz w:val="21"/>
          <w:szCs w:val="21"/>
        </w:rPr>
      </w:pPr>
      <w:r>
        <w:rPr>
          <w:rFonts w:hint="eastAsia" w:hAnsi="宋体"/>
          <w:bCs/>
          <w:color w:val="auto"/>
          <w:sz w:val="21"/>
          <w:szCs w:val="21"/>
        </w:rPr>
        <w:t>（7）磋商小组根据综合评分情况，每标项按照评审得分由高到低顺序推荐3名及以上成交候选供应商，并编写评审报告。若评审得分相同，则报价低者为成交候选人；评审得分且最终报价相同的则由抽签决定成交候选人。</w:t>
      </w:r>
      <w:r>
        <w:rPr>
          <w:rFonts w:hint="eastAsia" w:ascii="宋体" w:hAnsi="宋体" w:cs="宋体"/>
          <w:color w:val="auto"/>
          <w:kern w:val="2"/>
          <w:sz w:val="21"/>
          <w:szCs w:val="21"/>
        </w:rPr>
        <w:t>由排名第1至3名的供应商为第一、二、三成交候选人。</w:t>
      </w:r>
    </w:p>
    <w:p>
      <w:pPr>
        <w:pStyle w:val="25"/>
        <w:snapToGrid w:val="0"/>
        <w:spacing w:beforeLines="0" w:afterLines="0" w:line="360" w:lineRule="auto"/>
        <w:ind w:firstLine="420" w:firstLineChars="200"/>
        <w:rPr>
          <w:rFonts w:hint="default" w:hAnsi="宋体"/>
          <w:bCs/>
          <w:color w:val="auto"/>
          <w:szCs w:val="21"/>
        </w:rPr>
      </w:pPr>
      <w:r>
        <w:rPr>
          <w:rFonts w:hAnsi="宋体"/>
          <w:bCs/>
          <w:color w:val="auto"/>
          <w:szCs w:val="21"/>
        </w:rPr>
        <w:t>（8）评审结束后，公布成交候选供应商名单，及采购人最终确定成交供应商名单的时间和公告方式等。</w:t>
      </w:r>
    </w:p>
    <w:p>
      <w:pPr>
        <w:spacing w:line="360" w:lineRule="auto"/>
        <w:rPr>
          <w:rFonts w:ascii="宋体" w:hAnsi="宋体" w:cs="宋体"/>
          <w:b/>
          <w:bCs/>
          <w:color w:val="auto"/>
          <w:szCs w:val="21"/>
        </w:rPr>
      </w:pPr>
      <w:r>
        <w:rPr>
          <w:rFonts w:hint="eastAsia" w:ascii="宋体" w:hAnsi="宋体" w:cs="宋体"/>
          <w:b/>
          <w:bCs/>
          <w:color w:val="auto"/>
          <w:szCs w:val="21"/>
        </w:rPr>
        <w:t>四.评审程序</w:t>
      </w:r>
    </w:p>
    <w:p>
      <w:pPr>
        <w:pStyle w:val="42"/>
        <w:widowControl w:val="0"/>
        <w:snapToGrid w:val="0"/>
        <w:spacing w:beforeAutospacing="0" w:afterAutospacing="0" w:line="360" w:lineRule="auto"/>
        <w:ind w:firstLine="472" w:firstLineChars="225"/>
        <w:jc w:val="both"/>
        <w:rPr>
          <w:rFonts w:ascii="宋体" w:hAnsi="宋体" w:cs="宋体"/>
          <w:color w:val="auto"/>
          <w:szCs w:val="21"/>
        </w:rPr>
      </w:pPr>
      <w:r>
        <w:rPr>
          <w:rFonts w:hint="eastAsia" w:ascii="宋体" w:hAnsi="宋体" w:cs="宋体"/>
          <w:color w:val="auto"/>
          <w:kern w:val="2"/>
          <w:sz w:val="21"/>
          <w:szCs w:val="21"/>
        </w:rPr>
        <w:t>1. 响应文件初审。初审分为资格性检查和符合性检查。</w:t>
      </w:r>
    </w:p>
    <w:p>
      <w:pPr>
        <w:spacing w:line="360" w:lineRule="auto"/>
        <w:ind w:firstLine="420" w:firstLineChars="200"/>
        <w:rPr>
          <w:rFonts w:ascii="宋体" w:hAnsi="宋体" w:cs="宋体"/>
          <w:color w:val="auto"/>
          <w:szCs w:val="21"/>
        </w:rPr>
      </w:pPr>
      <w:r>
        <w:rPr>
          <w:rFonts w:hint="eastAsia" w:ascii="宋体" w:hAnsi="宋体" w:cs="宋体"/>
          <w:color w:val="auto"/>
          <w:szCs w:val="21"/>
        </w:rPr>
        <w:t>资格性检查。依据法律法规和磋商采购文件的规定，对响应文件中的资格证明、等进行审查，以确定供应商是否具备报价资格。</w:t>
      </w:r>
    </w:p>
    <w:p>
      <w:pPr>
        <w:spacing w:line="360" w:lineRule="auto"/>
        <w:ind w:firstLine="420" w:firstLineChars="200"/>
        <w:rPr>
          <w:rFonts w:ascii="宋体" w:hAnsi="宋体" w:cs="宋体"/>
          <w:color w:val="auto"/>
          <w:szCs w:val="21"/>
        </w:rPr>
      </w:pPr>
      <w:r>
        <w:rPr>
          <w:rFonts w:hint="eastAsia" w:ascii="宋体" w:hAnsi="宋体" w:cs="宋体"/>
          <w:color w:val="auto"/>
          <w:szCs w:val="21"/>
        </w:rPr>
        <w:t>符合性检查。依据磋商采购文件的规定，从响应文件的有效性、完整性和对磋商采购文件的响应程度进行审查，以确定是否对磋商采购文件的实质性要求作出响应。</w:t>
      </w:r>
    </w:p>
    <w:p>
      <w:pPr>
        <w:pStyle w:val="42"/>
        <w:widowControl w:val="0"/>
        <w:snapToGrid w:val="0"/>
        <w:spacing w:beforeAutospacing="0" w:afterAutospacing="0" w:line="360" w:lineRule="auto"/>
        <w:ind w:firstLine="472" w:firstLineChars="225"/>
        <w:jc w:val="both"/>
        <w:rPr>
          <w:rFonts w:ascii="宋体" w:hAnsi="宋体" w:cs="宋体"/>
          <w:color w:val="auto"/>
          <w:sz w:val="21"/>
          <w:szCs w:val="21"/>
        </w:rPr>
      </w:pPr>
      <w:r>
        <w:rPr>
          <w:rFonts w:hint="eastAsia" w:ascii="宋体" w:hAnsi="宋体" w:cs="宋体"/>
          <w:color w:val="auto"/>
          <w:kern w:val="2"/>
          <w:sz w:val="21"/>
          <w:szCs w:val="21"/>
        </w:rPr>
        <w:t>2.澄清问题</w:t>
      </w:r>
    </w:p>
    <w:p>
      <w:pPr>
        <w:spacing w:line="360" w:lineRule="auto"/>
        <w:ind w:firstLine="420" w:firstLineChars="200"/>
        <w:rPr>
          <w:rFonts w:ascii="宋体" w:hAnsi="宋体" w:cs="宋体"/>
          <w:color w:val="auto"/>
          <w:szCs w:val="21"/>
        </w:rPr>
      </w:pPr>
      <w:r>
        <w:rPr>
          <w:rFonts w:hint="eastAsia" w:ascii="宋体" w:hAnsi="宋体" w:cs="宋体"/>
          <w:color w:val="auto"/>
          <w:szCs w:val="21"/>
        </w:rPr>
        <w:t>对响应文件中含义不明确、同类问题表述不一致或者有明显文字和计算错误的内容，磋商小组要求供应商作出必要的澄清、说明或者纠正。供应商的澄清、说明或者补正应当采用书面形式，由其授权的代表签字，并不得超出响应文件的范围或者改变响应文件的实质性内容。</w:t>
      </w:r>
    </w:p>
    <w:p>
      <w:pPr>
        <w:pStyle w:val="42"/>
        <w:widowControl w:val="0"/>
        <w:snapToGrid w:val="0"/>
        <w:spacing w:beforeAutospacing="0" w:afterAutospacing="0" w:line="360" w:lineRule="auto"/>
        <w:ind w:firstLine="472" w:firstLineChars="225"/>
        <w:jc w:val="both"/>
        <w:rPr>
          <w:rFonts w:ascii="宋体" w:hAnsi="宋体" w:cs="宋体"/>
          <w:color w:val="auto"/>
          <w:sz w:val="21"/>
          <w:szCs w:val="21"/>
        </w:rPr>
      </w:pPr>
      <w:r>
        <w:rPr>
          <w:rFonts w:hint="eastAsia" w:ascii="宋体" w:hAnsi="宋体" w:cs="宋体"/>
          <w:color w:val="auto"/>
          <w:kern w:val="2"/>
          <w:sz w:val="21"/>
          <w:szCs w:val="21"/>
        </w:rPr>
        <w:t>3.详细评审</w:t>
      </w:r>
    </w:p>
    <w:p>
      <w:pPr>
        <w:spacing w:line="360" w:lineRule="auto"/>
        <w:ind w:firstLine="420" w:firstLineChars="200"/>
        <w:rPr>
          <w:rFonts w:ascii="宋体" w:hAnsi="宋体" w:cs="宋体"/>
          <w:color w:val="auto"/>
          <w:szCs w:val="21"/>
        </w:rPr>
      </w:pPr>
      <w:r>
        <w:rPr>
          <w:rFonts w:hint="eastAsia" w:ascii="宋体" w:hAnsi="宋体" w:cs="宋体"/>
          <w:color w:val="auto"/>
          <w:szCs w:val="21"/>
        </w:rPr>
        <w:t>磋商小组对初步评审合格的响应文件，依照本办法对商务技术内容作进一步评审、比较。磋商小组成员经过阅标、审标和询标，对供应商进行综合打分。</w:t>
      </w:r>
    </w:p>
    <w:p>
      <w:pPr>
        <w:spacing w:line="360" w:lineRule="auto"/>
        <w:ind w:firstLine="420" w:firstLineChars="200"/>
        <w:rPr>
          <w:rFonts w:ascii="宋体" w:hAnsi="宋体" w:cs="宋体"/>
          <w:color w:val="auto"/>
          <w:szCs w:val="21"/>
        </w:rPr>
      </w:pPr>
      <w:r>
        <w:rPr>
          <w:rFonts w:hint="eastAsia" w:ascii="宋体" w:hAnsi="宋体" w:cs="宋体"/>
          <w:color w:val="auto"/>
          <w:szCs w:val="21"/>
        </w:rPr>
        <w:t>评委打分参照本部分附表：评分标准表。其中商务技术部分由各磋商小组成员打分，根据供应商的响应文件及相关澄清文件，进行独立打分。评委打分采用记名方式（小数点后保留一位小数）。报价分经磋商小组评审后按评分标准表进行统一计算（小数点后保留一位小数）。</w:t>
      </w:r>
    </w:p>
    <w:p>
      <w:pPr>
        <w:spacing w:line="360" w:lineRule="auto"/>
        <w:ind w:firstLine="525" w:firstLineChars="250"/>
        <w:rPr>
          <w:rFonts w:ascii="宋体" w:hAnsi="宋体" w:cs="宋体"/>
          <w:color w:val="auto"/>
          <w:szCs w:val="21"/>
        </w:rPr>
      </w:pPr>
      <w:r>
        <w:rPr>
          <w:rFonts w:hint="eastAsia" w:ascii="宋体" w:hAnsi="宋体" w:cs="宋体"/>
          <w:color w:val="auto"/>
          <w:szCs w:val="21"/>
        </w:rPr>
        <w:t>4.如果在</w:t>
      </w:r>
      <w:r>
        <w:rPr>
          <w:rFonts w:hint="eastAsia"/>
          <w:color w:val="auto"/>
        </w:rPr>
        <w:t>参加磋商时</w:t>
      </w:r>
      <w:r>
        <w:rPr>
          <w:rFonts w:hint="eastAsia" w:ascii="宋体" w:hAnsi="宋体" w:cs="宋体"/>
          <w:color w:val="auto"/>
          <w:szCs w:val="21"/>
        </w:rPr>
        <w:t>只有两家供应商或在评标过程中实际有效供应商只有两家，竞争性磋商采购活动可以以继续进行。如果只有一家，采购人或者采购代理机构应当终止竞争性磋商采购活动，发布项目终止公告并说明原因，重新开展采购活动。</w:t>
      </w:r>
    </w:p>
    <w:p>
      <w:pPr>
        <w:pStyle w:val="42"/>
        <w:widowControl w:val="0"/>
        <w:snapToGrid w:val="0"/>
        <w:spacing w:beforeAutospacing="0" w:afterAutospacing="0" w:line="360" w:lineRule="auto"/>
        <w:ind w:firstLine="472" w:firstLineChars="225"/>
        <w:jc w:val="both"/>
        <w:rPr>
          <w:rFonts w:ascii="宋体" w:hAnsi="宋体" w:cs="宋体"/>
          <w:color w:val="auto"/>
          <w:sz w:val="21"/>
          <w:szCs w:val="21"/>
        </w:rPr>
      </w:pPr>
      <w:r>
        <w:rPr>
          <w:rFonts w:hint="eastAsia" w:ascii="宋体" w:hAnsi="宋体" w:cs="宋体"/>
          <w:color w:val="auto"/>
          <w:kern w:val="2"/>
          <w:sz w:val="21"/>
          <w:szCs w:val="21"/>
        </w:rPr>
        <w:t>5.成交候选人确定</w:t>
      </w:r>
    </w:p>
    <w:p>
      <w:pPr>
        <w:pStyle w:val="42"/>
        <w:widowControl w:val="0"/>
        <w:snapToGrid w:val="0"/>
        <w:spacing w:beforeAutospacing="0" w:afterAutospacing="0" w:line="360" w:lineRule="auto"/>
        <w:ind w:firstLine="420" w:firstLineChars="200"/>
        <w:jc w:val="both"/>
        <w:rPr>
          <w:rFonts w:ascii="宋体" w:hAnsi="宋体"/>
          <w:bCs/>
          <w:color w:val="auto"/>
          <w:sz w:val="21"/>
          <w:szCs w:val="21"/>
        </w:rPr>
      </w:pPr>
      <w:r>
        <w:rPr>
          <w:rFonts w:hint="eastAsia" w:ascii="宋体" w:hAnsi="宋体"/>
          <w:bCs/>
          <w:color w:val="auto"/>
          <w:sz w:val="21"/>
          <w:szCs w:val="21"/>
        </w:rPr>
        <w:t>磋商小组根据供应商的综合得分（报价、商务技术得分之和）高低排定顺序。供应商综合得分相同的则报价低者优先，报价也相同的，则由供应商抽签决定排序。推荐排名第1至3名的供应商为第一、二、三成交候选人；</w:t>
      </w:r>
    </w:p>
    <w:p>
      <w:pPr>
        <w:pStyle w:val="42"/>
        <w:widowControl w:val="0"/>
        <w:snapToGrid w:val="0"/>
        <w:spacing w:beforeAutospacing="0" w:afterAutospacing="0" w:line="360" w:lineRule="auto"/>
        <w:ind w:firstLine="420" w:firstLineChars="200"/>
        <w:jc w:val="both"/>
        <w:rPr>
          <w:rFonts w:ascii="宋体" w:hAnsi="宋体"/>
          <w:bCs/>
          <w:color w:val="auto"/>
          <w:sz w:val="21"/>
          <w:szCs w:val="21"/>
        </w:rPr>
      </w:pPr>
      <w:r>
        <w:rPr>
          <w:rFonts w:hint="eastAsia" w:ascii="宋体" w:hAnsi="宋体"/>
          <w:bCs/>
          <w:color w:val="auto"/>
          <w:sz w:val="21"/>
          <w:szCs w:val="21"/>
        </w:rPr>
        <w:t>如评审过程中出现本磋商采购文件未尽事宜，则由磋商小组讨论决定。</w:t>
      </w:r>
    </w:p>
    <w:p>
      <w:pPr>
        <w:pStyle w:val="42"/>
        <w:widowControl w:val="0"/>
        <w:snapToGrid w:val="0"/>
        <w:spacing w:beforeAutospacing="0" w:afterAutospacing="0" w:line="360" w:lineRule="auto"/>
        <w:ind w:firstLine="472" w:firstLineChars="225"/>
        <w:jc w:val="both"/>
        <w:rPr>
          <w:rFonts w:ascii="宋体" w:hAnsi="宋体" w:cs="宋体"/>
          <w:color w:val="auto"/>
          <w:kern w:val="2"/>
          <w:sz w:val="21"/>
          <w:szCs w:val="21"/>
        </w:rPr>
      </w:pPr>
    </w:p>
    <w:p>
      <w:pPr>
        <w:pStyle w:val="42"/>
        <w:widowControl w:val="0"/>
        <w:snapToGrid w:val="0"/>
        <w:spacing w:beforeAutospacing="0" w:afterAutospacing="0" w:line="360" w:lineRule="auto"/>
        <w:ind w:firstLine="472" w:firstLineChars="225"/>
        <w:jc w:val="both"/>
        <w:rPr>
          <w:rFonts w:ascii="宋体" w:hAnsi="宋体" w:cs="宋体"/>
          <w:color w:val="auto"/>
          <w:kern w:val="2"/>
          <w:sz w:val="21"/>
          <w:szCs w:val="21"/>
        </w:rPr>
      </w:pPr>
      <w:r>
        <w:rPr>
          <w:rFonts w:hint="eastAsia" w:ascii="宋体" w:hAnsi="宋体" w:cs="宋体"/>
          <w:color w:val="auto"/>
          <w:kern w:val="2"/>
          <w:sz w:val="21"/>
          <w:szCs w:val="21"/>
        </w:rPr>
        <w:t>6.成交结果公告</w:t>
      </w:r>
    </w:p>
    <w:p>
      <w:pPr>
        <w:widowControl/>
        <w:spacing w:line="360" w:lineRule="auto"/>
        <w:jc w:val="left"/>
        <w:rPr>
          <w:rFonts w:ascii="宋体" w:hAnsi="宋体" w:cs="宋体"/>
          <w:color w:val="auto"/>
        </w:rPr>
      </w:pPr>
      <w:r>
        <w:rPr>
          <w:rFonts w:hint="eastAsia" w:ascii="宋体" w:hAnsi="宋体" w:cs="宋体"/>
          <w:color w:val="auto"/>
          <w:szCs w:val="21"/>
        </w:rPr>
        <w:t xml:space="preserve">    采购机构将成交结果在政府采购指定媒体上公示，根据成交结果公告和决标结果，向成交人发出确定成交通知书。</w:t>
      </w:r>
    </w:p>
    <w:p>
      <w:pPr>
        <w:pStyle w:val="28"/>
        <w:numPr>
          <w:ilvl w:val="0"/>
          <w:numId w:val="9"/>
        </w:numPr>
        <w:spacing w:line="360" w:lineRule="auto"/>
        <w:ind w:firstLine="420" w:firstLineChars="200"/>
        <w:rPr>
          <w:rFonts w:hint="default" w:ascii="宋体" w:eastAsia="宋体" w:cs="宋体"/>
          <w:b w:val="0"/>
          <w:color w:val="auto"/>
          <w:sz w:val="21"/>
          <w:szCs w:val="21"/>
        </w:rPr>
      </w:pPr>
      <w:r>
        <w:rPr>
          <w:rFonts w:ascii="宋体" w:eastAsia="宋体" w:cs="宋体"/>
          <w:b w:val="0"/>
          <w:color w:val="auto"/>
          <w:sz w:val="21"/>
          <w:szCs w:val="21"/>
        </w:rPr>
        <w:t>评分标准</w:t>
      </w:r>
      <w:bookmarkStart w:id="4" w:name="_Toc20990"/>
    </w:p>
    <w:tbl>
      <w:tblPr>
        <w:tblStyle w:val="45"/>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232"/>
        <w:gridCol w:w="7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225" w:type="dxa"/>
            <w:gridSpan w:val="3"/>
            <w:tcBorders>
              <w:top w:val="single" w:color="auto" w:sz="4" w:space="0"/>
              <w:left w:val="single" w:color="auto" w:sz="4" w:space="0"/>
              <w:bottom w:val="single" w:color="auto" w:sz="4" w:space="0"/>
              <w:right w:val="single" w:color="auto" w:sz="4" w:space="0"/>
              <w:tl2br w:val="single" w:color="auto" w:sz="4" w:space="0"/>
            </w:tcBorders>
            <w:vAlign w:val="center"/>
          </w:tcPr>
          <w:p>
            <w:pPr>
              <w:jc w:val="right"/>
              <w:rPr>
                <w:rFonts w:ascii="宋体" w:hAnsi="宋体" w:cs="宋体"/>
                <w:color w:val="auto"/>
                <w:szCs w:val="21"/>
              </w:rPr>
            </w:pPr>
            <w:r>
              <w:rPr>
                <w:rFonts w:hint="eastAsia" w:ascii="宋体" w:hAnsi="宋体" w:cs="宋体"/>
                <w:color w:val="auto"/>
                <w:szCs w:val="21"/>
              </w:rPr>
              <w:t>投标单位</w:t>
            </w:r>
          </w:p>
          <w:p>
            <w:pPr>
              <w:ind w:right="380"/>
              <w:rPr>
                <w:rFonts w:ascii="宋体" w:hAnsi="宋体" w:cs="宋体"/>
                <w:color w:val="auto"/>
                <w:szCs w:val="21"/>
              </w:rPr>
            </w:pPr>
            <w:r>
              <w:rPr>
                <w:rFonts w:hint="eastAsia" w:ascii="宋体" w:hAnsi="宋体" w:cs="宋体"/>
                <w:color w:val="auto"/>
                <w:szCs w:val="21"/>
              </w:rPr>
              <w:t>评分项及分值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92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价格分</w:t>
            </w:r>
          </w:p>
          <w:p>
            <w:pPr>
              <w:jc w:val="center"/>
              <w:rPr>
                <w:rFonts w:ascii="宋体" w:hAnsi="宋体" w:cs="宋体"/>
                <w:color w:val="auto"/>
                <w:szCs w:val="21"/>
              </w:rPr>
            </w:pPr>
            <w:r>
              <w:rPr>
                <w:rFonts w:hint="eastAsia" w:ascii="宋体" w:hAnsi="宋体" w:cs="宋体"/>
                <w:color w:val="auto"/>
                <w:szCs w:val="21"/>
              </w:rPr>
              <w:t>30分</w:t>
            </w:r>
          </w:p>
        </w:tc>
        <w:tc>
          <w:tcPr>
            <w:tcW w:w="824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参与评审的价格=最后磋商报价－小微企业价格扣除优惠值6%（如有）</w:t>
            </w:r>
          </w:p>
          <w:p>
            <w:pPr>
              <w:spacing w:line="360" w:lineRule="auto"/>
              <w:rPr>
                <w:color w:val="auto"/>
              </w:rPr>
            </w:pPr>
            <w:r>
              <w:rPr>
                <w:rFonts w:hint="eastAsia"/>
                <w:color w:val="auto"/>
              </w:rPr>
              <w:t>满足磋商采购文件要求且最低的参与评审的价格为磋商基准价，得30分；</w:t>
            </w:r>
          </w:p>
          <w:p>
            <w:pPr>
              <w:spacing w:line="360" w:lineRule="auto"/>
              <w:rPr>
                <w:color w:val="auto"/>
              </w:rPr>
            </w:pPr>
            <w:r>
              <w:rPr>
                <w:rFonts w:hint="eastAsia"/>
                <w:color w:val="auto"/>
              </w:rPr>
              <w:t>其他供应商的价格得分计算公式如下：</w:t>
            </w:r>
          </w:p>
          <w:p>
            <w:pPr>
              <w:spacing w:line="360" w:lineRule="auto"/>
              <w:rPr>
                <w:color w:val="auto"/>
              </w:rPr>
            </w:pPr>
            <w:r>
              <w:rPr>
                <w:rFonts w:hint="eastAsia"/>
                <w:color w:val="auto"/>
              </w:rPr>
              <w:t>报价得分=（磋商基准价/参与评审的价格）×30%×100。</w:t>
            </w:r>
          </w:p>
          <w:p>
            <w:pPr>
              <w:rPr>
                <w:rFonts w:ascii="宋体" w:hAnsi="宋体" w:cs="宋体"/>
                <w:b/>
                <w:color w:val="auto"/>
                <w:szCs w:val="21"/>
              </w:rPr>
            </w:pPr>
            <w:r>
              <w:rPr>
                <w:rFonts w:hint="eastAsia"/>
                <w:color w:val="auto"/>
              </w:rPr>
              <w:t>▲</w:t>
            </w:r>
            <w:r>
              <w:rPr>
                <w:rFonts w:hint="eastAsia" w:ascii="宋体" w:hAnsi="宋体" w:cs="宋体"/>
                <w:color w:val="auto"/>
                <w:szCs w:val="21"/>
              </w:rPr>
              <w:t>备注：本项目最高限价为人民</w:t>
            </w:r>
            <w:r>
              <w:rPr>
                <w:rFonts w:hint="eastAsia"/>
                <w:color w:val="auto"/>
              </w:rPr>
              <w:t>币48.4649</w:t>
            </w:r>
            <w:r>
              <w:rPr>
                <w:rFonts w:hint="eastAsia"/>
                <w:color w:val="auto"/>
                <w:lang w:val="en-US" w:eastAsia="zh-CN"/>
              </w:rPr>
              <w:t>万元，</w:t>
            </w:r>
            <w:r>
              <w:rPr>
                <w:rFonts w:hint="eastAsia" w:ascii="宋体" w:hAnsi="宋体" w:cs="宋体"/>
                <w:color w:val="auto"/>
                <w:szCs w:val="21"/>
              </w:rPr>
              <w:t>超过最高限价的视为无效磋商。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79"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资信、技术分70分</w:t>
            </w:r>
          </w:p>
        </w:tc>
        <w:tc>
          <w:tcPr>
            <w:tcW w:w="8246"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color w:val="auto"/>
                <w:szCs w:val="21"/>
              </w:rPr>
            </w:pPr>
            <w:r>
              <w:rPr>
                <w:rFonts w:hint="eastAsia" w:ascii="宋体" w:hAnsi="宋体" w:cs="宋体"/>
                <w:color w:val="auto"/>
              </w:rPr>
              <w:t>“第二章  采购需求</w:t>
            </w:r>
            <w:r>
              <w:rPr>
                <w:rFonts w:hint="eastAsia" w:ascii="宋体" w:hAnsi="宋体" w:cs="宋体"/>
                <w:color w:val="auto"/>
                <w:szCs w:val="21"/>
              </w:rPr>
              <w:t>”响应性（20分）：</w:t>
            </w:r>
          </w:p>
          <w:p>
            <w:pPr>
              <w:spacing w:line="276" w:lineRule="auto"/>
              <w:rPr>
                <w:rFonts w:ascii="宋体" w:hAnsi="宋体" w:cs="宋体"/>
                <w:color w:val="auto"/>
                <w:szCs w:val="21"/>
              </w:rPr>
            </w:pPr>
            <w:r>
              <w:rPr>
                <w:rFonts w:hint="eastAsia" w:ascii="宋体" w:hAnsi="宋体" w:cs="宋体"/>
                <w:color w:val="auto"/>
                <w:szCs w:val="21"/>
              </w:rPr>
              <w:t>完全响应招标文件“技术参数”需求指标的得20分。</w:t>
            </w:r>
          </w:p>
          <w:p>
            <w:pPr>
              <w:rPr>
                <w:rFonts w:ascii="宋体" w:hAnsi="宋体" w:cs="宋体"/>
                <w:color w:val="auto"/>
                <w:szCs w:val="21"/>
              </w:rPr>
            </w:pPr>
            <w:r>
              <w:rPr>
                <w:rFonts w:hint="eastAsia" w:ascii="宋体" w:hAnsi="宋体" w:cs="宋体"/>
                <w:color w:val="auto"/>
                <w:szCs w:val="21"/>
              </w:rPr>
              <w:t>每负偏离一条指标扣2分，负偏离10（不含）条以上的其投标文件作无效处理。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979" w:type="dxa"/>
            <w:vMerge w:val="continue"/>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p>
        </w:tc>
        <w:tc>
          <w:tcPr>
            <w:tcW w:w="8246"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b/>
                <w:color w:val="auto"/>
                <w:szCs w:val="21"/>
              </w:rPr>
            </w:pPr>
            <w:r>
              <w:rPr>
                <w:rFonts w:hint="eastAsia" w:ascii="宋体" w:hAnsi="宋体" w:cs="宋体"/>
                <w:color w:val="auto"/>
                <w:szCs w:val="21"/>
              </w:rPr>
              <w:t>整个系统的系统架构、数据架构、功能结构设计是否完整，系统的整体布设是否科学、合理，网络架构设计是否科学、合理，满分5分。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79" w:type="dxa"/>
            <w:vMerge w:val="continue"/>
            <w:tcBorders>
              <w:left w:val="single" w:color="auto" w:sz="4" w:space="0"/>
              <w:right w:val="single" w:color="auto" w:sz="4" w:space="0"/>
            </w:tcBorders>
            <w:vAlign w:val="center"/>
          </w:tcPr>
          <w:p>
            <w:pPr>
              <w:rPr>
                <w:rFonts w:ascii="宋体" w:hAnsi="宋体" w:cs="宋体"/>
                <w:color w:val="auto"/>
                <w:szCs w:val="21"/>
              </w:rPr>
            </w:pPr>
          </w:p>
        </w:tc>
        <w:tc>
          <w:tcPr>
            <w:tcW w:w="8246" w:type="dxa"/>
            <w:gridSpan w:val="2"/>
            <w:tcBorders>
              <w:top w:val="single" w:color="auto" w:sz="4" w:space="0"/>
              <w:left w:val="single" w:color="auto" w:sz="4" w:space="0"/>
              <w:right w:val="single" w:color="auto" w:sz="4" w:space="0"/>
            </w:tcBorders>
            <w:vAlign w:val="center"/>
          </w:tcPr>
          <w:p>
            <w:pPr>
              <w:spacing w:line="276" w:lineRule="auto"/>
              <w:rPr>
                <w:rFonts w:ascii="宋体" w:hAnsi="宋体" w:cs="宋体"/>
                <w:color w:val="auto"/>
                <w:szCs w:val="21"/>
              </w:rPr>
            </w:pPr>
            <w:r>
              <w:rPr>
                <w:rFonts w:hint="eastAsia" w:ascii="宋体" w:hAnsi="宋体" w:cs="宋体"/>
                <w:color w:val="auto"/>
                <w:szCs w:val="21"/>
              </w:rPr>
              <w:t>供应商对本项目的难点及关键点的应对方案是否分析清晰、到位，建议及措施是否合理、有效、可操作性的评议，满分5分。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79" w:type="dxa"/>
            <w:vMerge w:val="continue"/>
            <w:tcBorders>
              <w:left w:val="single" w:color="auto" w:sz="4" w:space="0"/>
              <w:right w:val="single" w:color="auto" w:sz="4" w:space="0"/>
            </w:tcBorders>
            <w:vAlign w:val="center"/>
          </w:tcPr>
          <w:p>
            <w:pPr>
              <w:rPr>
                <w:rFonts w:ascii="宋体" w:hAnsi="宋体" w:cs="宋体"/>
                <w:color w:val="auto"/>
                <w:szCs w:val="21"/>
              </w:rPr>
            </w:pPr>
          </w:p>
        </w:tc>
        <w:tc>
          <w:tcPr>
            <w:tcW w:w="1232"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施工方案（12分）</w:t>
            </w:r>
          </w:p>
        </w:tc>
        <w:tc>
          <w:tcPr>
            <w:tcW w:w="70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rPr>
            </w:pPr>
            <w:r>
              <w:rPr>
                <w:rFonts w:hint="eastAsia"/>
                <w:color w:val="auto"/>
              </w:rPr>
              <w:t>施工组织设计、施工进度计划合理性</w:t>
            </w:r>
            <w:r>
              <w:rPr>
                <w:rFonts w:hint="eastAsia" w:ascii="宋体" w:hAnsi="宋体" w:cs="宋体"/>
                <w:color w:val="auto"/>
                <w:szCs w:val="21"/>
              </w:rPr>
              <w:t>评议，满分4分。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79" w:type="dxa"/>
            <w:vMerge w:val="continue"/>
            <w:tcBorders>
              <w:left w:val="single" w:color="auto" w:sz="4" w:space="0"/>
              <w:right w:val="single" w:color="auto" w:sz="4" w:space="0"/>
            </w:tcBorders>
            <w:vAlign w:val="center"/>
          </w:tcPr>
          <w:p>
            <w:pPr>
              <w:rPr>
                <w:rFonts w:ascii="宋体" w:hAnsi="宋体" w:cs="宋体"/>
                <w:color w:val="auto"/>
                <w:szCs w:val="21"/>
              </w:rPr>
            </w:pPr>
          </w:p>
        </w:tc>
        <w:tc>
          <w:tcPr>
            <w:tcW w:w="1232" w:type="dxa"/>
            <w:vMerge w:val="continue"/>
            <w:tcBorders>
              <w:left w:val="single" w:color="auto" w:sz="4" w:space="0"/>
              <w:right w:val="single" w:color="auto" w:sz="4" w:space="0"/>
            </w:tcBorders>
            <w:vAlign w:val="center"/>
          </w:tcPr>
          <w:p>
            <w:pPr>
              <w:spacing w:line="276" w:lineRule="auto"/>
              <w:jc w:val="left"/>
              <w:rPr>
                <w:rFonts w:ascii="宋体" w:hAnsi="宋体" w:cs="宋体"/>
                <w:color w:val="auto"/>
                <w:szCs w:val="21"/>
              </w:rPr>
            </w:pPr>
          </w:p>
        </w:tc>
        <w:tc>
          <w:tcPr>
            <w:tcW w:w="7014"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color w:val="auto"/>
                <w:szCs w:val="21"/>
              </w:rPr>
            </w:pPr>
            <w:r>
              <w:rPr>
                <w:rFonts w:hint="eastAsia" w:ascii="宋体" w:hAnsi="宋体" w:cs="宋体"/>
                <w:color w:val="auto"/>
                <w:szCs w:val="21"/>
              </w:rPr>
              <w:t>供货集成验收方案科学合理性的评议，满分4分。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79" w:type="dxa"/>
            <w:vMerge w:val="continue"/>
            <w:tcBorders>
              <w:left w:val="single" w:color="auto" w:sz="4" w:space="0"/>
              <w:right w:val="single" w:color="auto" w:sz="4" w:space="0"/>
            </w:tcBorders>
            <w:vAlign w:val="center"/>
          </w:tcPr>
          <w:p>
            <w:pPr>
              <w:rPr>
                <w:rFonts w:ascii="宋体" w:hAnsi="宋体" w:cs="宋体"/>
                <w:color w:val="auto"/>
                <w:szCs w:val="21"/>
              </w:rPr>
            </w:pPr>
          </w:p>
        </w:tc>
        <w:tc>
          <w:tcPr>
            <w:tcW w:w="1232" w:type="dxa"/>
            <w:vMerge w:val="continue"/>
            <w:tcBorders>
              <w:left w:val="single" w:color="auto" w:sz="4" w:space="0"/>
              <w:bottom w:val="single" w:color="auto" w:sz="4" w:space="0"/>
              <w:right w:val="single" w:color="auto" w:sz="4" w:space="0"/>
            </w:tcBorders>
            <w:vAlign w:val="center"/>
          </w:tcPr>
          <w:p>
            <w:pPr>
              <w:spacing w:line="276" w:lineRule="auto"/>
              <w:jc w:val="left"/>
              <w:rPr>
                <w:rFonts w:ascii="宋体" w:hAnsi="宋体" w:cs="宋体"/>
                <w:color w:val="auto"/>
                <w:szCs w:val="21"/>
              </w:rPr>
            </w:pPr>
          </w:p>
        </w:tc>
        <w:tc>
          <w:tcPr>
            <w:tcW w:w="7014"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color w:val="auto"/>
                <w:szCs w:val="21"/>
              </w:rPr>
            </w:pPr>
            <w:r>
              <w:rPr>
                <w:rFonts w:hint="eastAsia" w:ascii="宋体" w:hAnsi="宋体" w:cs="宋体"/>
                <w:color w:val="auto"/>
                <w:szCs w:val="21"/>
              </w:rPr>
              <w:t>施工管控措施科学合理性，包括</w:t>
            </w:r>
            <w:r>
              <w:rPr>
                <w:rFonts w:hint="eastAsia" w:ascii="宋体" w:hAnsi="宋体"/>
                <w:bCs/>
                <w:color w:val="auto"/>
                <w:szCs w:val="21"/>
              </w:rPr>
              <w:t>但不限于</w:t>
            </w:r>
            <w:r>
              <w:rPr>
                <w:rFonts w:hint="eastAsia" w:ascii="宋体" w:hAnsi="宋体" w:cs="宋体"/>
                <w:color w:val="auto"/>
                <w:szCs w:val="21"/>
              </w:rPr>
              <w:t>质量控制、进度控制、风险控制、安全、文明、环保施工等是否科学合理的评议，满分4分。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979" w:type="dxa"/>
            <w:vMerge w:val="continue"/>
            <w:tcBorders>
              <w:left w:val="single" w:color="auto" w:sz="4" w:space="0"/>
              <w:right w:val="single" w:color="auto" w:sz="4" w:space="0"/>
            </w:tcBorders>
            <w:vAlign w:val="center"/>
          </w:tcPr>
          <w:p>
            <w:pPr>
              <w:rPr>
                <w:rFonts w:ascii="宋体" w:hAnsi="宋体" w:cs="宋体"/>
                <w:color w:val="auto"/>
                <w:szCs w:val="21"/>
              </w:rPr>
            </w:pPr>
          </w:p>
        </w:tc>
        <w:tc>
          <w:tcPr>
            <w:tcW w:w="1232" w:type="dxa"/>
            <w:tcBorders>
              <w:top w:val="single" w:color="auto" w:sz="4" w:space="0"/>
              <w:left w:val="single" w:color="auto" w:sz="4" w:space="0"/>
              <w:right w:val="single" w:color="auto" w:sz="4" w:space="0"/>
            </w:tcBorders>
            <w:vAlign w:val="center"/>
          </w:tcPr>
          <w:p>
            <w:pPr>
              <w:spacing w:line="276" w:lineRule="auto"/>
              <w:jc w:val="left"/>
              <w:rPr>
                <w:rFonts w:ascii="宋体" w:hAnsi="宋体" w:cs="宋体"/>
                <w:color w:val="auto"/>
                <w:szCs w:val="21"/>
              </w:rPr>
            </w:pPr>
            <w:r>
              <w:rPr>
                <w:rFonts w:hint="eastAsia" w:ascii="宋体" w:hAnsi="宋体"/>
                <w:bCs/>
                <w:color w:val="auto"/>
                <w:szCs w:val="21"/>
              </w:rPr>
              <w:t>售后服务方案（12分）</w:t>
            </w:r>
          </w:p>
        </w:tc>
        <w:tc>
          <w:tcPr>
            <w:tcW w:w="7014"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color w:val="auto"/>
              </w:rPr>
            </w:pPr>
            <w:r>
              <w:rPr>
                <w:rFonts w:hint="eastAsia"/>
                <w:color w:val="auto"/>
              </w:rPr>
              <w:t>根据投标人针对本项目提供的售后服务方案：</w:t>
            </w:r>
          </w:p>
          <w:p>
            <w:pPr>
              <w:spacing w:line="276" w:lineRule="auto"/>
              <w:jc w:val="left"/>
              <w:rPr>
                <w:color w:val="auto"/>
              </w:rPr>
            </w:pPr>
            <w:r>
              <w:rPr>
                <w:rFonts w:hint="eastAsia"/>
                <w:color w:val="auto"/>
              </w:rPr>
              <w:t>服务响应时间、响应程度的评议4分；</w:t>
            </w:r>
          </w:p>
          <w:p>
            <w:pPr>
              <w:spacing w:line="276" w:lineRule="auto"/>
              <w:jc w:val="left"/>
              <w:rPr>
                <w:color w:val="auto"/>
              </w:rPr>
            </w:pPr>
            <w:r>
              <w:rPr>
                <w:rFonts w:hint="eastAsia"/>
                <w:color w:val="auto"/>
              </w:rPr>
              <w:t>解决问题的能力、紧急故障处理预案的评议3分；</w:t>
            </w:r>
          </w:p>
          <w:p>
            <w:pPr>
              <w:spacing w:line="276" w:lineRule="auto"/>
              <w:jc w:val="left"/>
              <w:rPr>
                <w:color w:val="auto"/>
              </w:rPr>
            </w:pPr>
            <w:r>
              <w:rPr>
                <w:rFonts w:hint="eastAsia"/>
                <w:color w:val="auto"/>
              </w:rPr>
              <w:t>备品备件、技术指导的评议，满分2分；</w:t>
            </w:r>
          </w:p>
          <w:p>
            <w:pPr>
              <w:spacing w:line="276" w:lineRule="auto"/>
              <w:jc w:val="left"/>
              <w:rPr>
                <w:color w:val="auto"/>
              </w:rPr>
            </w:pPr>
            <w:r>
              <w:rPr>
                <w:rFonts w:hint="eastAsia"/>
                <w:color w:val="auto"/>
              </w:rPr>
              <w:t>根据本地化服务设施和本地化服务团队设置的评议3分。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79" w:type="dxa"/>
            <w:vMerge w:val="continue"/>
            <w:tcBorders>
              <w:left w:val="single" w:color="auto" w:sz="4" w:space="0"/>
              <w:right w:val="single" w:color="auto" w:sz="4" w:space="0"/>
            </w:tcBorders>
            <w:vAlign w:val="center"/>
          </w:tcPr>
          <w:p>
            <w:pPr>
              <w:rPr>
                <w:rFonts w:ascii="宋体" w:hAnsi="宋体" w:cs="宋体"/>
                <w:color w:val="auto"/>
                <w:szCs w:val="21"/>
              </w:rPr>
            </w:pPr>
          </w:p>
        </w:tc>
        <w:tc>
          <w:tcPr>
            <w:tcW w:w="824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bCs/>
                <w:color w:val="auto"/>
                <w:szCs w:val="21"/>
              </w:rPr>
              <w:t>投标供应商针对本项目提供的合理化建议</w:t>
            </w:r>
            <w:r>
              <w:rPr>
                <w:rFonts w:hint="eastAsia" w:ascii="宋体" w:hAnsi="宋体" w:cs="宋体"/>
                <w:color w:val="auto"/>
                <w:szCs w:val="21"/>
              </w:rPr>
              <w:t>的评议，满分5分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979" w:type="dxa"/>
            <w:vMerge w:val="continue"/>
            <w:tcBorders>
              <w:left w:val="single" w:color="auto" w:sz="4" w:space="0"/>
              <w:right w:val="single" w:color="auto" w:sz="4" w:space="0"/>
            </w:tcBorders>
            <w:vAlign w:val="center"/>
          </w:tcPr>
          <w:p>
            <w:pPr>
              <w:rPr>
                <w:rFonts w:ascii="宋体" w:hAnsi="宋体" w:cs="宋体"/>
                <w:color w:val="auto"/>
                <w:szCs w:val="21"/>
              </w:rPr>
            </w:pPr>
          </w:p>
        </w:tc>
        <w:tc>
          <w:tcPr>
            <w:tcW w:w="824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rPr>
            </w:pPr>
            <w:r>
              <w:rPr>
                <w:rFonts w:hint="eastAsia"/>
                <w:color w:val="auto"/>
              </w:rPr>
              <w:t>人员配置：投入本项目人员配备充足合理性的评议，满分5分。</w:t>
            </w:r>
          </w:p>
          <w:p>
            <w:pPr>
              <w:pStyle w:val="2"/>
              <w:spacing w:line="360" w:lineRule="auto"/>
              <w:ind w:firstLine="0" w:firstLineChars="0"/>
              <w:rPr>
                <w:color w:val="auto"/>
                <w:lang w:val="en-US"/>
              </w:rPr>
            </w:pPr>
            <w:r>
              <w:rPr>
                <w:rFonts w:hint="eastAsia"/>
                <w:color w:val="auto"/>
                <w:lang w:val="en-US"/>
              </w:rPr>
              <w:t>磋商响应文件中提供人员清单及响应单位为其缴纳的近三个月内任一个月的社保证明材料。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979" w:type="dxa"/>
            <w:vMerge w:val="continue"/>
            <w:tcBorders>
              <w:left w:val="single" w:color="auto" w:sz="4" w:space="0"/>
              <w:right w:val="single" w:color="auto" w:sz="4" w:space="0"/>
            </w:tcBorders>
          </w:tcPr>
          <w:p>
            <w:pPr>
              <w:rPr>
                <w:rFonts w:ascii="宋体" w:hAnsi="宋体" w:cs="宋体"/>
                <w:color w:val="auto"/>
                <w:szCs w:val="21"/>
              </w:rPr>
            </w:pPr>
          </w:p>
        </w:tc>
        <w:tc>
          <w:tcPr>
            <w:tcW w:w="8246" w:type="dxa"/>
            <w:gridSpan w:val="2"/>
            <w:vAlign w:val="center"/>
          </w:tcPr>
          <w:p>
            <w:pPr>
              <w:rPr>
                <w:rFonts w:ascii="宋体" w:hAnsi="宋体" w:cs="宋体"/>
                <w:b/>
                <w:color w:val="auto"/>
                <w:szCs w:val="21"/>
              </w:rPr>
            </w:pPr>
            <w:r>
              <w:rPr>
                <w:rFonts w:hint="eastAsia" w:ascii="宋体" w:hAnsi="宋体" w:cs="宋体"/>
                <w:b/>
                <w:color w:val="auto"/>
                <w:szCs w:val="21"/>
              </w:rPr>
              <w:t>业绩分（3分）：</w:t>
            </w:r>
          </w:p>
          <w:p>
            <w:pPr>
              <w:rPr>
                <w:rFonts w:ascii="宋体" w:hAnsi="宋体"/>
                <w:snapToGrid w:val="0"/>
                <w:color w:val="auto"/>
              </w:rPr>
            </w:pPr>
            <w:r>
              <w:rPr>
                <w:rFonts w:hint="eastAsia" w:ascii="宋体" w:hAnsi="宋体"/>
                <w:snapToGrid w:val="0"/>
                <w:color w:val="auto"/>
              </w:rPr>
              <w:t>供应商2017年1月1日（以合同签订之日算起）起至今同类监控项目业绩，每具有一个合同得1分，最多3分。</w:t>
            </w:r>
          </w:p>
          <w:p>
            <w:pPr>
              <w:rPr>
                <w:rFonts w:ascii="宋体" w:hAnsi="宋体"/>
                <w:snapToGrid w:val="0"/>
                <w:color w:val="auto"/>
              </w:rPr>
            </w:pPr>
            <w:r>
              <w:rPr>
                <w:rFonts w:hint="eastAsia" w:ascii="宋体" w:hAnsi="宋体"/>
                <w:snapToGrid w:val="0"/>
                <w:color w:val="auto"/>
              </w:rPr>
              <w:t>（磋商响应文件中提供合同复印件）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79" w:type="dxa"/>
            <w:vMerge w:val="continue"/>
            <w:tcBorders>
              <w:left w:val="single" w:color="auto" w:sz="4" w:space="0"/>
              <w:right w:val="single" w:color="auto" w:sz="4" w:space="0"/>
            </w:tcBorders>
          </w:tcPr>
          <w:p>
            <w:pPr>
              <w:rPr>
                <w:rFonts w:ascii="宋体" w:hAnsi="宋体" w:cs="宋体"/>
                <w:color w:val="auto"/>
                <w:szCs w:val="21"/>
              </w:rPr>
            </w:pPr>
          </w:p>
        </w:tc>
        <w:tc>
          <w:tcPr>
            <w:tcW w:w="8246" w:type="dxa"/>
            <w:gridSpan w:val="2"/>
            <w:vAlign w:val="center"/>
          </w:tcPr>
          <w:p>
            <w:pPr>
              <w:rPr>
                <w:rFonts w:ascii="宋体" w:hAnsi="宋体"/>
                <w:snapToGrid w:val="0"/>
                <w:color w:val="auto"/>
              </w:rPr>
            </w:pPr>
            <w:r>
              <w:rPr>
                <w:rFonts w:hint="eastAsia" w:ascii="宋体" w:hAnsi="宋体"/>
                <w:snapToGrid w:val="0"/>
                <w:color w:val="auto"/>
              </w:rPr>
              <w:t>商务条款响应：供应商商务需求全部响应磋商文件要求的得2分，有负偏离的不得分。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979" w:type="dxa"/>
            <w:vMerge w:val="continue"/>
            <w:tcBorders>
              <w:left w:val="single" w:color="auto" w:sz="4" w:space="0"/>
              <w:right w:val="single" w:color="auto" w:sz="4" w:space="0"/>
            </w:tcBorders>
          </w:tcPr>
          <w:p>
            <w:pPr>
              <w:rPr>
                <w:rFonts w:ascii="宋体" w:hAnsi="宋体" w:cs="宋体"/>
                <w:color w:val="auto"/>
                <w:szCs w:val="21"/>
              </w:rPr>
            </w:pPr>
          </w:p>
        </w:tc>
        <w:tc>
          <w:tcPr>
            <w:tcW w:w="8246" w:type="dxa"/>
            <w:gridSpan w:val="2"/>
            <w:vAlign w:val="center"/>
          </w:tcPr>
          <w:p>
            <w:pPr>
              <w:spacing w:line="360" w:lineRule="auto"/>
              <w:rPr>
                <w:rFonts w:ascii="宋体" w:hAnsi="宋体"/>
                <w:color w:val="auto"/>
                <w:szCs w:val="21"/>
              </w:rPr>
            </w:pPr>
            <w:r>
              <w:rPr>
                <w:rFonts w:hint="eastAsia" w:ascii="宋体" w:hAnsi="宋体"/>
                <w:color w:val="auto"/>
                <w:szCs w:val="21"/>
              </w:rPr>
              <w:t>政策分（</w:t>
            </w:r>
            <w:r>
              <w:rPr>
                <w:rFonts w:hint="eastAsia" w:ascii="宋体" w:hAnsi="宋体"/>
                <w:color w:val="auto"/>
                <w:szCs w:val="21"/>
                <w:lang w:val="en-US" w:eastAsia="zh-CN"/>
              </w:rPr>
              <w:t>1</w:t>
            </w:r>
            <w:r>
              <w:rPr>
                <w:rFonts w:hint="eastAsia" w:ascii="宋体" w:hAnsi="宋体"/>
                <w:color w:val="auto"/>
                <w:szCs w:val="21"/>
              </w:rPr>
              <w:t>分）</w:t>
            </w:r>
          </w:p>
          <w:p>
            <w:pPr>
              <w:spacing w:line="360" w:lineRule="auto"/>
              <w:rPr>
                <w:rFonts w:ascii="宋体" w:hAnsi="宋体"/>
                <w:color w:val="auto"/>
                <w:szCs w:val="21"/>
              </w:rPr>
            </w:pPr>
            <w:r>
              <w:rPr>
                <w:rFonts w:hint="eastAsia" w:ascii="宋体" w:hAnsi="宋体"/>
                <w:color w:val="auto"/>
                <w:szCs w:val="21"/>
              </w:rPr>
              <w:t>（1）供应商</w:t>
            </w:r>
            <w:r>
              <w:rPr>
                <w:rFonts w:ascii="宋体" w:hAnsi="宋体"/>
                <w:color w:val="auto"/>
                <w:szCs w:val="21"/>
              </w:rPr>
              <w:t>拟投入</w:t>
            </w:r>
            <w:r>
              <w:rPr>
                <w:rFonts w:hint="eastAsia" w:ascii="宋体" w:hAnsi="宋体"/>
                <w:color w:val="auto"/>
                <w:szCs w:val="21"/>
              </w:rPr>
              <w:t>的产品列入中国政府采购网“节能产品政府采购清单”的，根据第二章采购内容中所列货物清单每个产品得0.</w:t>
            </w:r>
            <w:r>
              <w:rPr>
                <w:rFonts w:ascii="宋体" w:hAnsi="宋体"/>
                <w:color w:val="auto"/>
                <w:szCs w:val="21"/>
              </w:rPr>
              <w:t>5</w:t>
            </w:r>
            <w:r>
              <w:rPr>
                <w:rFonts w:hint="eastAsia" w:ascii="宋体" w:hAnsi="宋体"/>
                <w:color w:val="auto"/>
                <w:szCs w:val="21"/>
              </w:rPr>
              <w:t>分，最高得0.5分。</w:t>
            </w:r>
          </w:p>
          <w:p>
            <w:pPr>
              <w:spacing w:line="360" w:lineRule="auto"/>
              <w:rPr>
                <w:rFonts w:ascii="宋体" w:hAnsi="宋体"/>
                <w:color w:val="auto"/>
                <w:szCs w:val="21"/>
              </w:rPr>
            </w:pPr>
            <w:r>
              <w:rPr>
                <w:rFonts w:hint="eastAsia" w:ascii="宋体" w:hAnsi="宋体"/>
                <w:color w:val="auto"/>
                <w:szCs w:val="21"/>
              </w:rPr>
              <w:t>（2）供应商</w:t>
            </w:r>
            <w:r>
              <w:rPr>
                <w:rFonts w:ascii="宋体" w:hAnsi="宋体"/>
                <w:color w:val="auto"/>
                <w:szCs w:val="21"/>
              </w:rPr>
              <w:t>拟投入</w:t>
            </w:r>
            <w:r>
              <w:rPr>
                <w:rFonts w:hint="eastAsia" w:ascii="宋体" w:hAnsi="宋体"/>
                <w:color w:val="auto"/>
                <w:szCs w:val="21"/>
              </w:rPr>
              <w:t>的产品列入中国政府采购网“环境标志产品政府采购清单”的，根据第二章采购内容中所列货物清单每个产品得0.</w:t>
            </w:r>
            <w:r>
              <w:rPr>
                <w:rFonts w:ascii="宋体" w:hAnsi="宋体"/>
                <w:color w:val="auto"/>
                <w:szCs w:val="21"/>
              </w:rPr>
              <w:t>5</w:t>
            </w:r>
            <w:r>
              <w:rPr>
                <w:rFonts w:hint="eastAsia" w:ascii="宋体" w:hAnsi="宋体"/>
                <w:color w:val="auto"/>
                <w:szCs w:val="21"/>
              </w:rPr>
              <w:t>分，最高得0.5分。</w:t>
            </w:r>
          </w:p>
          <w:p>
            <w:pPr>
              <w:spacing w:line="360" w:lineRule="auto"/>
              <w:rPr>
                <w:rFonts w:ascii="宋体" w:hAnsi="宋体" w:cs="宋体"/>
                <w:color w:val="auto"/>
                <w:szCs w:val="21"/>
              </w:rPr>
            </w:pPr>
            <w:r>
              <w:rPr>
                <w:rFonts w:hint="eastAsia" w:ascii="宋体" w:hAnsi="宋体"/>
                <w:color w:val="auto"/>
                <w:szCs w:val="21"/>
              </w:rPr>
              <w:t>（</w:t>
            </w:r>
            <w:r>
              <w:rPr>
                <w:rFonts w:ascii="宋体" w:hAnsi="宋体"/>
                <w:color w:val="auto"/>
                <w:szCs w:val="21"/>
              </w:rPr>
              <w:t>以中国政府采购网(www.ccgp.gov.cn)上财政部发布的文件为准</w:t>
            </w:r>
            <w:r>
              <w:rPr>
                <w:rFonts w:hint="eastAsia" w:ascii="宋体" w:hAnsi="宋体"/>
                <w:color w:val="auto"/>
                <w:szCs w:val="21"/>
              </w:rPr>
              <w:t>，证书复印件编入投标文件）</w:t>
            </w:r>
          </w:p>
        </w:tc>
      </w:tr>
    </w:tbl>
    <w:p>
      <w:pPr>
        <w:pStyle w:val="28"/>
        <w:spacing w:line="360" w:lineRule="auto"/>
        <w:ind w:firstLine="0" w:firstLineChars="0"/>
        <w:rPr>
          <w:rFonts w:hint="default" w:ascii="宋体" w:eastAsia="宋体" w:cs="宋体"/>
          <w:b w:val="0"/>
          <w:color w:val="auto"/>
          <w:sz w:val="21"/>
          <w:szCs w:val="21"/>
        </w:rPr>
      </w:pPr>
    </w:p>
    <w:p>
      <w:pPr>
        <w:pStyle w:val="28"/>
        <w:spacing w:line="360" w:lineRule="auto"/>
        <w:ind w:firstLine="0" w:firstLineChars="0"/>
        <w:rPr>
          <w:rFonts w:hint="default" w:ascii="宋体" w:eastAsia="宋体" w:cs="宋体"/>
          <w:b w:val="0"/>
          <w:color w:val="auto"/>
          <w:sz w:val="21"/>
          <w:szCs w:val="21"/>
        </w:rPr>
      </w:pPr>
    </w:p>
    <w:p>
      <w:pPr>
        <w:pStyle w:val="28"/>
        <w:spacing w:line="360" w:lineRule="auto"/>
        <w:ind w:firstLine="0" w:firstLineChars="0"/>
        <w:rPr>
          <w:rFonts w:hint="default" w:ascii="宋体" w:eastAsia="宋体" w:cs="宋体"/>
          <w:b w:val="0"/>
          <w:color w:val="auto"/>
          <w:sz w:val="21"/>
          <w:szCs w:val="21"/>
        </w:rPr>
      </w:pPr>
    </w:p>
    <w:p>
      <w:pPr>
        <w:pStyle w:val="3"/>
        <w:spacing w:line="28" w:lineRule="atLeast"/>
        <w:rPr>
          <w:rFonts w:ascii="宋体" w:hAnsi="宋体" w:cs="宋体"/>
          <w:color w:val="auto"/>
        </w:rPr>
      </w:pPr>
      <w:r>
        <w:rPr>
          <w:rFonts w:hint="eastAsia" w:ascii="宋体" w:hAnsi="宋体" w:cs="宋体"/>
          <w:color w:val="auto"/>
        </w:rPr>
        <w:br w:type="page"/>
      </w:r>
      <w:r>
        <w:rPr>
          <w:rFonts w:hint="eastAsia" w:ascii="宋体" w:hAnsi="宋体" w:cs="宋体"/>
          <w:color w:val="auto"/>
        </w:rPr>
        <w:t>第五章  采购合同</w:t>
      </w:r>
      <w:bookmarkEnd w:id="4"/>
    </w:p>
    <w:p>
      <w:pPr>
        <w:pStyle w:val="25"/>
        <w:snapToGrid w:val="0"/>
        <w:spacing w:before="120" w:after="120" w:line="276" w:lineRule="auto"/>
        <w:jc w:val="center"/>
        <w:rPr>
          <w:rFonts w:hint="default"/>
          <w:b/>
          <w:bCs/>
          <w:color w:val="auto"/>
        </w:rPr>
      </w:pPr>
      <w:r>
        <w:rPr>
          <w:b/>
          <w:bCs/>
          <w:color w:val="auto"/>
        </w:rPr>
        <w:t>（本合同为参考合同，最终稿由甲乙双方协商后确定）</w:t>
      </w:r>
    </w:p>
    <w:p>
      <w:pPr>
        <w:pStyle w:val="25"/>
        <w:snapToGrid w:val="0"/>
        <w:spacing w:before="120" w:after="120" w:line="276" w:lineRule="auto"/>
        <w:rPr>
          <w:rFonts w:hint="default"/>
          <w:b/>
          <w:bCs/>
          <w:color w:val="auto"/>
        </w:rPr>
      </w:pPr>
    </w:p>
    <w:p>
      <w:pPr>
        <w:spacing w:line="360" w:lineRule="auto"/>
        <w:rPr>
          <w:rFonts w:ascii="宋体" w:hAnsi="宋体"/>
          <w:b/>
          <w:color w:val="auto"/>
          <w:szCs w:val="21"/>
        </w:rPr>
      </w:pPr>
      <w:r>
        <w:rPr>
          <w:rFonts w:hint="eastAsia" w:ascii="宋体" w:hAnsi="宋体"/>
          <w:b/>
          <w:color w:val="auto"/>
          <w:szCs w:val="21"/>
        </w:rPr>
        <w:t>甲    方</w:t>
      </w:r>
      <w:r>
        <w:rPr>
          <w:rFonts w:hint="eastAsia" w:ascii="宋体" w:hAnsi="宋体" w:cs="宋体"/>
          <w:color w:val="auto"/>
          <w:szCs w:val="21"/>
        </w:rPr>
        <w:t>（采购人）</w:t>
      </w:r>
      <w:r>
        <w:rPr>
          <w:rFonts w:hint="eastAsia" w:ascii="宋体" w:hAnsi="宋体"/>
          <w:b/>
          <w:color w:val="auto"/>
          <w:szCs w:val="21"/>
        </w:rPr>
        <w:t>：</w:t>
      </w:r>
      <w:r>
        <w:rPr>
          <w:rFonts w:hint="eastAsia" w:ascii="宋体" w:hAnsi="宋体"/>
          <w:b/>
          <w:color w:val="auto"/>
          <w:szCs w:val="21"/>
          <w:u w:val="single"/>
        </w:rPr>
        <w:t xml:space="preserve">                 </w:t>
      </w:r>
    </w:p>
    <w:p>
      <w:pPr>
        <w:spacing w:line="360" w:lineRule="auto"/>
        <w:rPr>
          <w:rFonts w:ascii="宋体" w:hAnsi="宋体"/>
          <w:color w:val="auto"/>
          <w:szCs w:val="21"/>
        </w:rPr>
      </w:pPr>
      <w:r>
        <w:rPr>
          <w:rFonts w:hint="eastAsia" w:ascii="宋体" w:hAnsi="宋体"/>
          <w:color w:val="auto"/>
          <w:szCs w:val="21"/>
        </w:rPr>
        <w:t>电    话：           　   传  真：           地  址：</w:t>
      </w:r>
    </w:p>
    <w:p>
      <w:pPr>
        <w:spacing w:line="360" w:lineRule="auto"/>
        <w:rPr>
          <w:rFonts w:ascii="宋体" w:hAnsi="宋体"/>
          <w:b/>
          <w:color w:val="auto"/>
          <w:szCs w:val="21"/>
        </w:rPr>
      </w:pPr>
    </w:p>
    <w:p>
      <w:pPr>
        <w:spacing w:line="360" w:lineRule="auto"/>
        <w:rPr>
          <w:rFonts w:ascii="宋体" w:hAnsi="宋体"/>
          <w:color w:val="auto"/>
          <w:szCs w:val="21"/>
        </w:rPr>
      </w:pPr>
      <w:r>
        <w:rPr>
          <w:rFonts w:hint="eastAsia" w:ascii="宋体" w:hAnsi="宋体"/>
          <w:b/>
          <w:color w:val="auto"/>
          <w:szCs w:val="21"/>
        </w:rPr>
        <w:t>乙    方</w:t>
      </w:r>
      <w:r>
        <w:rPr>
          <w:rFonts w:hint="eastAsia" w:ascii="宋体" w:hAnsi="宋体" w:cs="宋体"/>
          <w:color w:val="auto"/>
          <w:szCs w:val="21"/>
        </w:rPr>
        <w:t>（中标人）</w:t>
      </w:r>
      <w:r>
        <w:rPr>
          <w:rFonts w:hint="eastAsia" w:ascii="宋体" w:hAnsi="宋体"/>
          <w:b/>
          <w:color w:val="auto"/>
          <w:szCs w:val="21"/>
        </w:rPr>
        <w:t>：</w:t>
      </w:r>
      <w:r>
        <w:rPr>
          <w:rFonts w:hint="eastAsia" w:ascii="宋体" w:hAnsi="宋体"/>
          <w:b/>
          <w:color w:val="auto"/>
          <w:szCs w:val="21"/>
          <w:u w:val="single"/>
        </w:rPr>
        <w:t xml:space="preserve">                  </w:t>
      </w:r>
      <w:r>
        <w:rPr>
          <w:rFonts w:hint="eastAsia" w:ascii="宋体" w:hAnsi="宋体"/>
          <w:b/>
          <w:color w:val="auto"/>
          <w:szCs w:val="21"/>
        </w:rPr>
        <w:br w:type="textWrapping"/>
      </w:r>
      <w:r>
        <w:rPr>
          <w:rFonts w:hint="eastAsia" w:ascii="宋体" w:hAnsi="宋体"/>
          <w:color w:val="auto"/>
          <w:szCs w:val="21"/>
        </w:rPr>
        <w:t xml:space="preserve">电    话：                传  真：           地  址：   </w:t>
      </w:r>
    </w:p>
    <w:p>
      <w:pPr>
        <w:spacing w:line="360" w:lineRule="auto"/>
        <w:ind w:firstLine="420" w:firstLineChars="200"/>
        <w:rPr>
          <w:rFonts w:ascii="宋体" w:hAnsi="宋体"/>
          <w:color w:val="auto"/>
          <w:szCs w:val="21"/>
        </w:rPr>
      </w:pPr>
      <w:r>
        <w:rPr>
          <w:rFonts w:hint="eastAsia" w:ascii="宋体" w:hAnsi="宋体" w:cs="宋体"/>
          <w:color w:val="auto"/>
          <w:szCs w:val="21"/>
        </w:rPr>
        <w:t>根据</w:t>
      </w:r>
      <w:r>
        <w:rPr>
          <w:rFonts w:hint="eastAsia" w:ascii="宋体" w:hAnsi="宋体" w:cs="宋体"/>
          <w:color w:val="auto"/>
          <w:szCs w:val="21"/>
          <w:u w:val="single"/>
        </w:rPr>
        <w:t xml:space="preserve">  （项目名称）  </w:t>
      </w:r>
      <w:r>
        <w:rPr>
          <w:rFonts w:hint="eastAsia" w:ascii="宋体" w:hAnsi="宋体" w:cs="宋体"/>
          <w:color w:val="auto"/>
          <w:szCs w:val="21"/>
        </w:rPr>
        <w:t>（项目编号：</w:t>
      </w:r>
      <w:r>
        <w:rPr>
          <w:rFonts w:hint="eastAsia" w:ascii="宋体" w:hAnsi="宋体"/>
          <w:color w:val="auto"/>
          <w:szCs w:val="21"/>
        </w:rPr>
        <w:t xml:space="preserve">      ）的采购结果，按照《中华人民共和国政府采购法》</w:t>
      </w:r>
      <w:r>
        <w:rPr>
          <w:rFonts w:hint="eastAsia" w:ascii="宋体" w:hAnsi="宋体" w:cs="宋体"/>
          <w:color w:val="auto"/>
          <w:szCs w:val="21"/>
        </w:rPr>
        <w:t>及其实施条例</w:t>
      </w:r>
      <w:r>
        <w:rPr>
          <w:rFonts w:hint="eastAsia" w:ascii="宋体" w:hAnsi="宋体"/>
          <w:color w:val="auto"/>
          <w:szCs w:val="21"/>
        </w:rPr>
        <w:t>、87号令、《中华人民共和国合同法》的规定，</w:t>
      </w:r>
      <w:r>
        <w:rPr>
          <w:rFonts w:hint="eastAsia" w:ascii="宋体" w:hAnsi="宋体"/>
          <w:color w:val="auto"/>
          <w:kern w:val="28"/>
          <w:szCs w:val="21"/>
        </w:rPr>
        <w:t>经双方协商，</w:t>
      </w:r>
      <w:r>
        <w:rPr>
          <w:rFonts w:hint="eastAsia" w:ascii="宋体" w:hAnsi="宋体"/>
          <w:color w:val="auto"/>
          <w:szCs w:val="21"/>
        </w:rPr>
        <w:t>本着平等互利和诚实信用的原则，</w:t>
      </w:r>
      <w:r>
        <w:rPr>
          <w:rFonts w:hint="eastAsia" w:ascii="宋体" w:hAnsi="宋体"/>
          <w:color w:val="auto"/>
          <w:kern w:val="28"/>
          <w:szCs w:val="21"/>
        </w:rPr>
        <w:t>一致同意签订本合同如下</w:t>
      </w:r>
      <w:r>
        <w:rPr>
          <w:rFonts w:hint="eastAsia" w:ascii="宋体" w:hAnsi="宋体"/>
          <w:color w:val="auto"/>
          <w:szCs w:val="21"/>
        </w:rPr>
        <w:t>。</w:t>
      </w:r>
    </w:p>
    <w:p>
      <w:pPr>
        <w:spacing w:line="360" w:lineRule="auto"/>
        <w:rPr>
          <w:color w:val="auto"/>
        </w:rPr>
      </w:pPr>
      <w:r>
        <w:rPr>
          <w:color w:val="auto"/>
        </w:rPr>
        <w:t>一、货物内容</w:t>
      </w:r>
    </w:p>
    <w:p>
      <w:pPr>
        <w:spacing w:line="360" w:lineRule="auto"/>
        <w:rPr>
          <w:color w:val="auto"/>
        </w:rPr>
      </w:pPr>
      <w:r>
        <w:rPr>
          <w:color w:val="auto"/>
        </w:rPr>
        <w:t>1. 货物名称：</w:t>
      </w:r>
    </w:p>
    <w:p>
      <w:pPr>
        <w:spacing w:line="360" w:lineRule="auto"/>
        <w:rPr>
          <w:color w:val="auto"/>
        </w:rPr>
      </w:pPr>
      <w:r>
        <w:rPr>
          <w:rFonts w:hint="eastAsia"/>
          <w:color w:val="auto"/>
        </w:rPr>
        <w:t>2</w:t>
      </w:r>
      <w:r>
        <w:rPr>
          <w:color w:val="auto"/>
        </w:rPr>
        <w:t>. 型号规格：</w:t>
      </w:r>
    </w:p>
    <w:p>
      <w:pPr>
        <w:spacing w:line="360" w:lineRule="auto"/>
        <w:rPr>
          <w:color w:val="auto"/>
        </w:rPr>
      </w:pPr>
      <w:r>
        <w:rPr>
          <w:rFonts w:hint="eastAsia"/>
          <w:color w:val="auto"/>
        </w:rPr>
        <w:t>3</w:t>
      </w:r>
      <w:r>
        <w:rPr>
          <w:color w:val="auto"/>
        </w:rPr>
        <w:t>. 技术参数：</w:t>
      </w:r>
    </w:p>
    <w:p>
      <w:pPr>
        <w:spacing w:line="360" w:lineRule="auto"/>
        <w:rPr>
          <w:color w:val="auto"/>
        </w:rPr>
      </w:pPr>
      <w:r>
        <w:rPr>
          <w:color w:val="auto"/>
        </w:rPr>
        <w:t>4</w:t>
      </w:r>
      <w:r>
        <w:rPr>
          <w:rFonts w:hint="eastAsia"/>
          <w:color w:val="auto"/>
        </w:rPr>
        <w:t>.</w:t>
      </w:r>
      <w:r>
        <w:rPr>
          <w:color w:val="auto"/>
        </w:rPr>
        <w:t xml:space="preserve"> 数量（单位）：</w:t>
      </w:r>
    </w:p>
    <w:p>
      <w:pPr>
        <w:spacing w:line="360" w:lineRule="auto"/>
        <w:rPr>
          <w:color w:val="auto"/>
        </w:rPr>
      </w:pPr>
      <w:r>
        <w:rPr>
          <w:color w:val="auto"/>
        </w:rPr>
        <w:t>二、合同金额</w:t>
      </w:r>
    </w:p>
    <w:p>
      <w:pPr>
        <w:spacing w:line="360" w:lineRule="auto"/>
        <w:rPr>
          <w:color w:val="auto"/>
        </w:rPr>
      </w:pPr>
      <w:r>
        <w:rPr>
          <w:color w:val="auto"/>
        </w:rPr>
        <w:t xml:space="preserve"> 本合同金额为（大写）：____________________________________元（￥_______________元）人民币。</w:t>
      </w:r>
    </w:p>
    <w:p>
      <w:pPr>
        <w:spacing w:line="360" w:lineRule="auto"/>
        <w:rPr>
          <w:color w:val="auto"/>
        </w:rPr>
      </w:pPr>
      <w:r>
        <w:rPr>
          <w:rFonts w:hint="eastAsia"/>
          <w:color w:val="auto"/>
        </w:rPr>
        <w:t>三、采购需求中实质性条款：</w:t>
      </w:r>
    </w:p>
    <w:p>
      <w:pPr>
        <w:spacing w:line="360" w:lineRule="auto"/>
        <w:rPr>
          <w:color w:val="auto"/>
        </w:rPr>
      </w:pPr>
      <w:r>
        <w:rPr>
          <w:rFonts w:hint="eastAsia"/>
          <w:color w:val="auto"/>
        </w:rPr>
        <w:t>1、</w:t>
      </w:r>
      <w:r>
        <w:rPr>
          <w:color w:val="auto"/>
        </w:rPr>
        <w:t>…</w:t>
      </w:r>
      <w:r>
        <w:rPr>
          <w:rFonts w:hint="eastAsia"/>
          <w:color w:val="auto"/>
        </w:rPr>
        <w:t>..</w:t>
      </w:r>
    </w:p>
    <w:p>
      <w:pPr>
        <w:spacing w:line="360" w:lineRule="auto"/>
        <w:rPr>
          <w:color w:val="auto"/>
        </w:rPr>
      </w:pPr>
      <w:r>
        <w:rPr>
          <w:rFonts w:hint="eastAsia"/>
          <w:color w:val="auto"/>
        </w:rPr>
        <w:t>2、</w:t>
      </w:r>
      <w:r>
        <w:rPr>
          <w:color w:val="auto"/>
        </w:rPr>
        <w:t>…</w:t>
      </w:r>
      <w:r>
        <w:rPr>
          <w:rFonts w:hint="eastAsia"/>
          <w:color w:val="auto"/>
        </w:rPr>
        <w:t>..</w:t>
      </w:r>
    </w:p>
    <w:p>
      <w:pPr>
        <w:spacing w:line="360" w:lineRule="auto"/>
        <w:rPr>
          <w:color w:val="auto"/>
        </w:rPr>
      </w:pPr>
    </w:p>
    <w:p>
      <w:pPr>
        <w:spacing w:line="360" w:lineRule="auto"/>
        <w:rPr>
          <w:color w:val="auto"/>
        </w:rPr>
      </w:pPr>
      <w:r>
        <w:rPr>
          <w:rFonts w:hint="eastAsia"/>
          <w:color w:val="auto"/>
        </w:rPr>
        <w:t>四</w:t>
      </w:r>
      <w:r>
        <w:rPr>
          <w:color w:val="auto"/>
        </w:rPr>
        <w:t>、技术资料</w:t>
      </w:r>
    </w:p>
    <w:p>
      <w:pPr>
        <w:spacing w:line="360" w:lineRule="auto"/>
        <w:rPr>
          <w:color w:val="auto"/>
        </w:rPr>
      </w:pPr>
      <w:r>
        <w:rPr>
          <w:color w:val="auto"/>
        </w:rPr>
        <w:t>1</w:t>
      </w:r>
      <w:r>
        <w:rPr>
          <w:rFonts w:hint="eastAsia"/>
          <w:color w:val="auto"/>
        </w:rPr>
        <w:t>.</w:t>
      </w:r>
      <w:r>
        <w:rPr>
          <w:color w:val="auto"/>
        </w:rPr>
        <w:t>乙方应按采购文件规定的时间向甲方提供使用货物的有关技术资料。</w:t>
      </w:r>
    </w:p>
    <w:p>
      <w:pPr>
        <w:spacing w:line="360" w:lineRule="auto"/>
        <w:rPr>
          <w:color w:val="auto"/>
        </w:rPr>
      </w:pPr>
      <w:r>
        <w:rPr>
          <w:color w:val="auto"/>
        </w:rPr>
        <w:t>2</w:t>
      </w:r>
      <w:r>
        <w:rPr>
          <w:rFonts w:hint="eastAsia"/>
          <w:color w:val="auto"/>
        </w:rPr>
        <w:t>.</w:t>
      </w:r>
      <w:r>
        <w:rPr>
          <w:color w:val="auto"/>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rPr>
          <w:color w:val="auto"/>
        </w:rPr>
      </w:pPr>
      <w:r>
        <w:rPr>
          <w:rFonts w:hint="eastAsia"/>
          <w:color w:val="auto"/>
        </w:rPr>
        <w:t>五</w:t>
      </w:r>
      <w:r>
        <w:rPr>
          <w:color w:val="auto"/>
        </w:rPr>
        <w:t>、知识产权</w:t>
      </w:r>
    </w:p>
    <w:p>
      <w:pPr>
        <w:spacing w:line="360" w:lineRule="auto"/>
        <w:rPr>
          <w:color w:val="auto"/>
        </w:rPr>
      </w:pPr>
      <w:r>
        <w:rPr>
          <w:color w:val="auto"/>
        </w:rPr>
        <w:t>乙方应保证所提供的货物或其任何一部分均不会侵犯任何第三方的知识产权。</w:t>
      </w:r>
    </w:p>
    <w:p>
      <w:pPr>
        <w:spacing w:line="360" w:lineRule="auto"/>
        <w:rPr>
          <w:color w:val="auto"/>
        </w:rPr>
      </w:pPr>
      <w:r>
        <w:rPr>
          <w:rFonts w:hint="eastAsia"/>
          <w:color w:val="auto"/>
        </w:rPr>
        <w:t>六</w:t>
      </w:r>
      <w:r>
        <w:rPr>
          <w:color w:val="auto"/>
        </w:rPr>
        <w:t>、产权担保</w:t>
      </w:r>
    </w:p>
    <w:p>
      <w:pPr>
        <w:spacing w:line="360" w:lineRule="auto"/>
        <w:rPr>
          <w:color w:val="auto"/>
        </w:rPr>
      </w:pPr>
      <w:r>
        <w:rPr>
          <w:color w:val="auto"/>
        </w:rPr>
        <w:t>乙方保证所交付的货物的所有权完全属于乙方且无任何抵押、查封等产权瑕疵。</w:t>
      </w:r>
    </w:p>
    <w:p>
      <w:pPr>
        <w:spacing w:line="360" w:lineRule="auto"/>
        <w:rPr>
          <w:color w:val="auto"/>
        </w:rPr>
      </w:pPr>
      <w:r>
        <w:rPr>
          <w:rFonts w:hint="eastAsia"/>
          <w:color w:val="auto"/>
        </w:rPr>
        <w:t>七</w:t>
      </w:r>
      <w:r>
        <w:rPr>
          <w:color w:val="auto"/>
        </w:rPr>
        <w:t>、履约保证金</w:t>
      </w:r>
    </w:p>
    <w:p>
      <w:pPr>
        <w:spacing w:line="360" w:lineRule="auto"/>
        <w:rPr>
          <w:color w:val="auto"/>
        </w:rPr>
      </w:pPr>
      <w:r>
        <w:rPr>
          <w:color w:val="auto"/>
        </w:rPr>
        <w:t>乙方交纳人民币</w:t>
      </w:r>
      <w:r>
        <w:rPr>
          <w:rFonts w:ascii="Cambria Math" w:hAnsi="Cambria Math" w:cs="Cambria Math"/>
          <w:color w:val="auto"/>
        </w:rPr>
        <w:t>△</w:t>
      </w:r>
      <w:r>
        <w:rPr>
          <w:color w:val="auto"/>
        </w:rPr>
        <w:t>元作为本合同的履约保证金。</w:t>
      </w:r>
    </w:p>
    <w:p>
      <w:pPr>
        <w:spacing w:line="360" w:lineRule="auto"/>
        <w:rPr>
          <w:color w:val="auto"/>
        </w:rPr>
      </w:pPr>
      <w:r>
        <w:rPr>
          <w:rFonts w:hint="eastAsia"/>
          <w:color w:val="auto"/>
        </w:rPr>
        <w:t>八、转包或分包</w:t>
      </w:r>
    </w:p>
    <w:p>
      <w:pPr>
        <w:spacing w:line="360" w:lineRule="auto"/>
        <w:rPr>
          <w:color w:val="auto"/>
        </w:rPr>
      </w:pPr>
      <w:r>
        <w:rPr>
          <w:color w:val="auto"/>
        </w:rPr>
        <w:t>1</w:t>
      </w:r>
      <w:r>
        <w:rPr>
          <w:rFonts w:hint="eastAsia"/>
          <w:color w:val="auto"/>
        </w:rPr>
        <w:t>.本合同范围的货物，应由</w:t>
      </w:r>
      <w:r>
        <w:rPr>
          <w:color w:val="auto"/>
        </w:rPr>
        <w:t>乙</w:t>
      </w:r>
      <w:r>
        <w:rPr>
          <w:rFonts w:hint="eastAsia"/>
          <w:color w:val="auto"/>
        </w:rPr>
        <w:t>方直接供应，不得转让他人供应；</w:t>
      </w:r>
    </w:p>
    <w:p>
      <w:pPr>
        <w:spacing w:line="360" w:lineRule="auto"/>
        <w:rPr>
          <w:color w:val="auto"/>
        </w:rPr>
      </w:pPr>
      <w:r>
        <w:rPr>
          <w:color w:val="auto"/>
        </w:rPr>
        <w:t>2</w:t>
      </w:r>
      <w:r>
        <w:rPr>
          <w:rFonts w:hint="eastAsia"/>
          <w:color w:val="auto"/>
        </w:rPr>
        <w:t>.除非得到</w:t>
      </w:r>
      <w:r>
        <w:rPr>
          <w:color w:val="auto"/>
        </w:rPr>
        <w:t>甲</w:t>
      </w:r>
      <w:r>
        <w:rPr>
          <w:rFonts w:hint="eastAsia"/>
          <w:color w:val="auto"/>
        </w:rPr>
        <w:t>方的书面同意，</w:t>
      </w:r>
      <w:r>
        <w:rPr>
          <w:color w:val="auto"/>
        </w:rPr>
        <w:t>乙</w:t>
      </w:r>
      <w:r>
        <w:rPr>
          <w:rFonts w:hint="eastAsia"/>
          <w:color w:val="auto"/>
        </w:rPr>
        <w:t>方不得将本合同范围的货物全部或部分分包给他人供应；</w:t>
      </w:r>
    </w:p>
    <w:p>
      <w:pPr>
        <w:spacing w:line="360" w:lineRule="auto"/>
        <w:rPr>
          <w:color w:val="auto"/>
        </w:rPr>
      </w:pPr>
      <w:r>
        <w:rPr>
          <w:color w:val="auto"/>
        </w:rPr>
        <w:t>3</w:t>
      </w:r>
      <w:r>
        <w:rPr>
          <w:rFonts w:hint="eastAsia"/>
          <w:color w:val="auto"/>
        </w:rPr>
        <w:t>.如有转让和未经</w:t>
      </w:r>
      <w:r>
        <w:rPr>
          <w:color w:val="auto"/>
        </w:rPr>
        <w:t>甲</w:t>
      </w:r>
      <w:r>
        <w:rPr>
          <w:rFonts w:hint="eastAsia"/>
          <w:color w:val="auto"/>
        </w:rPr>
        <w:t>方同意的分包行为，</w:t>
      </w:r>
      <w:r>
        <w:rPr>
          <w:color w:val="auto"/>
        </w:rPr>
        <w:t>甲</w:t>
      </w:r>
      <w:r>
        <w:rPr>
          <w:rFonts w:hint="eastAsia"/>
          <w:color w:val="auto"/>
        </w:rPr>
        <w:t>方有权解除合同，没收履约保证金并追究乙方的违约责任。</w:t>
      </w:r>
    </w:p>
    <w:p>
      <w:pPr>
        <w:spacing w:line="360" w:lineRule="auto"/>
        <w:rPr>
          <w:color w:val="auto"/>
        </w:rPr>
      </w:pPr>
      <w:r>
        <w:rPr>
          <w:rFonts w:hint="eastAsia"/>
          <w:color w:val="auto"/>
        </w:rPr>
        <w:t>九</w:t>
      </w:r>
      <w:r>
        <w:rPr>
          <w:color w:val="auto"/>
        </w:rPr>
        <w:t>、质保期和质保金</w:t>
      </w:r>
    </w:p>
    <w:p>
      <w:pPr>
        <w:spacing w:line="360" w:lineRule="auto"/>
        <w:rPr>
          <w:color w:val="auto"/>
        </w:rPr>
      </w:pPr>
      <w:r>
        <w:rPr>
          <w:color w:val="auto"/>
        </w:rPr>
        <w:t>1</w:t>
      </w:r>
      <w:r>
        <w:rPr>
          <w:rFonts w:hint="eastAsia"/>
          <w:color w:val="auto"/>
        </w:rPr>
        <w:t>.</w:t>
      </w:r>
      <w:r>
        <w:rPr>
          <w:color w:val="auto"/>
        </w:rPr>
        <w:t xml:space="preserve"> 质保期      年。（自交货验收合格之日起计）</w:t>
      </w:r>
    </w:p>
    <w:p>
      <w:pPr>
        <w:spacing w:line="360" w:lineRule="auto"/>
        <w:rPr>
          <w:color w:val="auto"/>
        </w:rPr>
      </w:pPr>
      <w:r>
        <w:rPr>
          <w:color w:val="auto"/>
        </w:rPr>
        <w:t>2</w:t>
      </w:r>
      <w:r>
        <w:rPr>
          <w:rFonts w:hint="eastAsia"/>
          <w:color w:val="auto"/>
        </w:rPr>
        <w:t>.</w:t>
      </w:r>
      <w:r>
        <w:rPr>
          <w:color w:val="auto"/>
        </w:rPr>
        <w:t xml:space="preserve"> 质保金            元。</w:t>
      </w:r>
      <w:r>
        <w:rPr>
          <w:rFonts w:hint="eastAsia"/>
          <w:color w:val="auto"/>
        </w:rPr>
        <w:t xml:space="preserve"> </w:t>
      </w:r>
    </w:p>
    <w:p>
      <w:pPr>
        <w:spacing w:line="360" w:lineRule="auto"/>
        <w:rPr>
          <w:color w:val="auto"/>
        </w:rPr>
      </w:pPr>
      <w:r>
        <w:rPr>
          <w:rFonts w:hint="eastAsia"/>
          <w:color w:val="auto"/>
        </w:rPr>
        <w:t>十</w:t>
      </w:r>
      <w:r>
        <w:rPr>
          <w:color w:val="auto"/>
        </w:rPr>
        <w:t>、交货期、交货方式及交货地点</w:t>
      </w:r>
    </w:p>
    <w:p>
      <w:pPr>
        <w:spacing w:line="360" w:lineRule="auto"/>
        <w:rPr>
          <w:color w:val="auto"/>
        </w:rPr>
      </w:pPr>
      <w:r>
        <w:rPr>
          <w:color w:val="auto"/>
        </w:rPr>
        <w:t>1</w:t>
      </w:r>
      <w:r>
        <w:rPr>
          <w:rFonts w:hint="eastAsia"/>
          <w:color w:val="auto"/>
        </w:rPr>
        <w:t>.</w:t>
      </w:r>
      <w:r>
        <w:rPr>
          <w:color w:val="auto"/>
        </w:rPr>
        <w:t xml:space="preserve"> 交货期：</w:t>
      </w:r>
    </w:p>
    <w:p>
      <w:pPr>
        <w:spacing w:line="360" w:lineRule="auto"/>
        <w:rPr>
          <w:color w:val="auto"/>
        </w:rPr>
      </w:pPr>
      <w:r>
        <w:rPr>
          <w:color w:val="auto"/>
        </w:rPr>
        <w:t>2</w:t>
      </w:r>
      <w:r>
        <w:rPr>
          <w:rFonts w:hint="eastAsia"/>
          <w:color w:val="auto"/>
        </w:rPr>
        <w:t>.</w:t>
      </w:r>
      <w:r>
        <w:rPr>
          <w:color w:val="auto"/>
        </w:rPr>
        <w:t xml:space="preserve"> 交货方式：</w:t>
      </w:r>
    </w:p>
    <w:p>
      <w:pPr>
        <w:spacing w:line="360" w:lineRule="auto"/>
        <w:rPr>
          <w:color w:val="auto"/>
        </w:rPr>
      </w:pPr>
      <w:r>
        <w:rPr>
          <w:color w:val="auto"/>
        </w:rPr>
        <w:t>3</w:t>
      </w:r>
      <w:r>
        <w:rPr>
          <w:rFonts w:hint="eastAsia"/>
          <w:color w:val="auto"/>
        </w:rPr>
        <w:t>.</w:t>
      </w:r>
      <w:r>
        <w:rPr>
          <w:color w:val="auto"/>
        </w:rPr>
        <w:t xml:space="preserve"> 交货地点：</w:t>
      </w:r>
    </w:p>
    <w:p>
      <w:pPr>
        <w:spacing w:line="360" w:lineRule="auto"/>
        <w:rPr>
          <w:color w:val="auto"/>
        </w:rPr>
      </w:pPr>
      <w:r>
        <w:rPr>
          <w:color w:val="auto"/>
        </w:rPr>
        <w:t>十</w:t>
      </w:r>
      <w:r>
        <w:rPr>
          <w:rFonts w:hint="eastAsia"/>
          <w:color w:val="auto"/>
        </w:rPr>
        <w:t>一</w:t>
      </w:r>
      <w:r>
        <w:rPr>
          <w:color w:val="auto"/>
        </w:rPr>
        <w:t>、货款支付</w:t>
      </w:r>
    </w:p>
    <w:p>
      <w:pPr>
        <w:spacing w:line="360" w:lineRule="auto"/>
        <w:rPr>
          <w:color w:val="auto"/>
        </w:rPr>
      </w:pPr>
      <w:r>
        <w:rPr>
          <w:color w:val="auto"/>
        </w:rPr>
        <w:t>1</w:t>
      </w:r>
      <w:r>
        <w:rPr>
          <w:rFonts w:hint="eastAsia"/>
          <w:color w:val="auto"/>
        </w:rPr>
        <w:t>.</w:t>
      </w:r>
      <w:r>
        <w:rPr>
          <w:color w:val="auto"/>
        </w:rPr>
        <w:t xml:space="preserve"> 付款方式：</w:t>
      </w:r>
    </w:p>
    <w:p>
      <w:pPr>
        <w:spacing w:line="360" w:lineRule="auto"/>
        <w:rPr>
          <w:color w:val="auto"/>
        </w:rPr>
      </w:pPr>
      <w:r>
        <w:rPr>
          <w:rFonts w:hint="eastAsia"/>
          <w:color w:val="auto"/>
        </w:rPr>
        <w:t>十二、税费</w:t>
      </w:r>
    </w:p>
    <w:p>
      <w:pPr>
        <w:spacing w:line="360" w:lineRule="auto"/>
        <w:rPr>
          <w:color w:val="auto"/>
        </w:rPr>
      </w:pPr>
      <w:r>
        <w:rPr>
          <w:rFonts w:hint="eastAsia"/>
          <w:color w:val="auto"/>
        </w:rPr>
        <w:t>本合同执行中相关的一切税费均由</w:t>
      </w:r>
      <w:r>
        <w:rPr>
          <w:color w:val="auto"/>
        </w:rPr>
        <w:t>乙</w:t>
      </w:r>
      <w:r>
        <w:rPr>
          <w:rFonts w:hint="eastAsia"/>
          <w:color w:val="auto"/>
        </w:rPr>
        <w:t>方负担。</w:t>
      </w:r>
    </w:p>
    <w:p>
      <w:pPr>
        <w:spacing w:line="360" w:lineRule="auto"/>
        <w:rPr>
          <w:color w:val="auto"/>
        </w:rPr>
      </w:pPr>
      <w:r>
        <w:rPr>
          <w:color w:val="auto"/>
        </w:rPr>
        <w:t>十</w:t>
      </w:r>
      <w:r>
        <w:rPr>
          <w:rFonts w:hint="eastAsia"/>
          <w:color w:val="auto"/>
        </w:rPr>
        <w:t>三</w:t>
      </w:r>
      <w:r>
        <w:rPr>
          <w:color w:val="auto"/>
        </w:rPr>
        <w:t>、质量保证及售后服务</w:t>
      </w:r>
    </w:p>
    <w:p>
      <w:pPr>
        <w:spacing w:line="360" w:lineRule="auto"/>
        <w:rPr>
          <w:color w:val="auto"/>
        </w:rPr>
      </w:pPr>
      <w:r>
        <w:rPr>
          <w:color w:val="auto"/>
        </w:rPr>
        <w:t>1</w:t>
      </w:r>
      <w:r>
        <w:rPr>
          <w:rFonts w:hint="eastAsia"/>
          <w:color w:val="auto"/>
        </w:rPr>
        <w:t>.</w:t>
      </w:r>
      <w:r>
        <w:rPr>
          <w:color w:val="auto"/>
        </w:rPr>
        <w:t xml:space="preserve"> 乙方应按采购文件规定的货物性能、技术要求、质量标准向甲方提供未经使用的全新产品。</w:t>
      </w:r>
    </w:p>
    <w:p>
      <w:pPr>
        <w:spacing w:line="360" w:lineRule="auto"/>
        <w:rPr>
          <w:color w:val="auto"/>
        </w:rPr>
      </w:pPr>
      <w:r>
        <w:rPr>
          <w:color w:val="auto"/>
        </w:rPr>
        <w:t>2</w:t>
      </w:r>
      <w:r>
        <w:rPr>
          <w:rFonts w:hint="eastAsia"/>
          <w:color w:val="auto"/>
        </w:rPr>
        <w:t>.</w:t>
      </w:r>
      <w:r>
        <w:rPr>
          <w:color w:val="auto"/>
        </w:rPr>
        <w:t xml:space="preserve"> 乙方提供的货物在质</w:t>
      </w:r>
      <w:r>
        <w:rPr>
          <w:rFonts w:hint="eastAsia"/>
          <w:color w:val="auto"/>
        </w:rPr>
        <w:t>保</w:t>
      </w:r>
      <w:r>
        <w:rPr>
          <w:color w:val="auto"/>
        </w:rPr>
        <w:t>期内因货物本身的质量问题发生故障，乙方应负责免费更换。对达不到技术要求者，根据实际情况，经双方协商，可按以下办法处理：</w:t>
      </w:r>
    </w:p>
    <w:p>
      <w:pPr>
        <w:spacing w:line="360" w:lineRule="auto"/>
        <w:rPr>
          <w:color w:val="auto"/>
        </w:rPr>
      </w:pPr>
      <w:r>
        <w:rPr>
          <w:rFonts w:hint="eastAsia" w:ascii="宋体" w:hAnsi="宋体" w:cs="宋体"/>
          <w:color w:val="auto"/>
        </w:rPr>
        <w:t>⑴</w:t>
      </w:r>
      <w:r>
        <w:rPr>
          <w:color w:val="auto"/>
        </w:rPr>
        <w:t>更换：由乙方承担所发生的全部费用。</w:t>
      </w:r>
    </w:p>
    <w:p>
      <w:pPr>
        <w:spacing w:line="360" w:lineRule="auto"/>
        <w:rPr>
          <w:color w:val="auto"/>
        </w:rPr>
      </w:pPr>
      <w:r>
        <w:rPr>
          <w:rFonts w:hint="eastAsia" w:ascii="宋体" w:hAnsi="宋体" w:cs="宋体"/>
          <w:color w:val="auto"/>
        </w:rPr>
        <w:t>⑵</w:t>
      </w:r>
      <w:r>
        <w:rPr>
          <w:color w:val="auto"/>
        </w:rPr>
        <w:t>贬值处理：由甲乙双方合议定价。</w:t>
      </w:r>
    </w:p>
    <w:p>
      <w:pPr>
        <w:spacing w:line="360" w:lineRule="auto"/>
        <w:rPr>
          <w:color w:val="auto"/>
        </w:rPr>
      </w:pPr>
      <w:r>
        <w:rPr>
          <w:rFonts w:hint="eastAsia" w:ascii="宋体" w:hAnsi="宋体" w:cs="宋体"/>
          <w:color w:val="auto"/>
        </w:rPr>
        <w:t>⑶</w:t>
      </w:r>
      <w:r>
        <w:rPr>
          <w:color w:val="auto"/>
        </w:rPr>
        <w:t>退货处理：乙方应退还甲方支付的合同款，同时应承担该货物的直接费用（运输、保险、检验、货款利息及银行手续费等）。</w:t>
      </w:r>
    </w:p>
    <w:p>
      <w:pPr>
        <w:spacing w:line="360" w:lineRule="auto"/>
        <w:rPr>
          <w:color w:val="auto"/>
        </w:rPr>
      </w:pPr>
      <w:r>
        <w:rPr>
          <w:color w:val="auto"/>
        </w:rPr>
        <w:t>3</w:t>
      </w:r>
      <w:r>
        <w:rPr>
          <w:rFonts w:hint="eastAsia"/>
          <w:color w:val="auto"/>
        </w:rPr>
        <w:t>.</w:t>
      </w:r>
      <w:r>
        <w:rPr>
          <w:color w:val="auto"/>
        </w:rPr>
        <w:t xml:space="preserve"> 如在使用过程中发生质量问题，乙方在接到甲方通知后在</w:t>
      </w:r>
      <w:r>
        <w:rPr>
          <w:rFonts w:ascii="Cambria Math" w:hAnsi="Cambria Math" w:cs="Cambria Math"/>
          <w:color w:val="auto"/>
        </w:rPr>
        <w:t>△</w:t>
      </w:r>
      <w:r>
        <w:rPr>
          <w:color w:val="auto"/>
        </w:rPr>
        <w:t>小时内到达甲方现场。</w:t>
      </w:r>
    </w:p>
    <w:p>
      <w:pPr>
        <w:spacing w:line="360" w:lineRule="auto"/>
        <w:rPr>
          <w:color w:val="auto"/>
        </w:rPr>
      </w:pPr>
      <w:r>
        <w:rPr>
          <w:color w:val="auto"/>
        </w:rPr>
        <w:t>4</w:t>
      </w:r>
      <w:r>
        <w:rPr>
          <w:rFonts w:hint="eastAsia"/>
          <w:color w:val="auto"/>
        </w:rPr>
        <w:t>.</w:t>
      </w:r>
      <w:r>
        <w:rPr>
          <w:color w:val="auto"/>
        </w:rPr>
        <w:t xml:space="preserve"> 在质保期内，乙方应对货物出现的质量及安全问题负责处理解决并承担一切费用。</w:t>
      </w:r>
    </w:p>
    <w:p>
      <w:pPr>
        <w:spacing w:line="360" w:lineRule="auto"/>
        <w:rPr>
          <w:color w:val="auto"/>
        </w:rPr>
      </w:pPr>
      <w:r>
        <w:rPr>
          <w:color w:val="auto"/>
        </w:rPr>
        <w:t>5</w:t>
      </w:r>
      <w:r>
        <w:rPr>
          <w:rFonts w:hint="eastAsia"/>
          <w:color w:val="auto"/>
        </w:rPr>
        <w:t>.</w:t>
      </w:r>
      <w:r>
        <w:rPr>
          <w:color w:val="auto"/>
        </w:rPr>
        <w:t>上述的货物免费保修期为     年，因人为因素出现的故障不在免费保修范围内。超过保修期的机器设备，终生维修，维修时只收部件成本费。</w:t>
      </w:r>
    </w:p>
    <w:p>
      <w:pPr>
        <w:spacing w:line="360" w:lineRule="auto"/>
        <w:rPr>
          <w:color w:val="auto"/>
        </w:rPr>
      </w:pPr>
      <w:r>
        <w:rPr>
          <w:color w:val="auto"/>
        </w:rPr>
        <w:t>十</w:t>
      </w:r>
      <w:r>
        <w:rPr>
          <w:rFonts w:hint="eastAsia"/>
          <w:color w:val="auto"/>
        </w:rPr>
        <w:t>四</w:t>
      </w:r>
      <w:r>
        <w:rPr>
          <w:color w:val="auto"/>
        </w:rPr>
        <w:t>、调试和验收</w:t>
      </w:r>
    </w:p>
    <w:p>
      <w:pPr>
        <w:spacing w:line="360" w:lineRule="auto"/>
        <w:rPr>
          <w:color w:val="auto"/>
        </w:rPr>
      </w:pPr>
      <w:r>
        <w:rPr>
          <w:color w:val="auto"/>
        </w:rPr>
        <w:t>1</w:t>
      </w:r>
      <w:r>
        <w:rPr>
          <w:rFonts w:hint="eastAsia"/>
          <w:color w:val="auto"/>
        </w:rPr>
        <w:t>.</w:t>
      </w:r>
      <w:r>
        <w:rPr>
          <w:color w:val="auto"/>
        </w:rPr>
        <w:t xml:space="preserve"> 甲方对乙方提交的货物依据采购文件上的技术规格要求和国家有关质量标准进行现场初步验收，外观、说明书符合采购文件技术要求的，给予签收，初步验收不合格的不予签收。货到后，甲方需在五个工作日内验收。</w:t>
      </w:r>
    </w:p>
    <w:p>
      <w:pPr>
        <w:spacing w:line="360" w:lineRule="auto"/>
        <w:rPr>
          <w:color w:val="auto"/>
        </w:rPr>
      </w:pPr>
      <w:r>
        <w:rPr>
          <w:color w:val="auto"/>
        </w:rPr>
        <w:t>2</w:t>
      </w:r>
      <w:r>
        <w:rPr>
          <w:rFonts w:hint="eastAsia"/>
          <w:color w:val="auto"/>
        </w:rPr>
        <w:t>.</w:t>
      </w:r>
      <w:r>
        <w:rPr>
          <w:color w:val="auto"/>
        </w:rPr>
        <w:t xml:space="preserve"> 乙方交货前应对产品作出全面检查和对验收文件进行整理，并列出清单，作为甲方收货验收和使用的技术条件依据，检验的结果应随货物交甲方。</w:t>
      </w:r>
    </w:p>
    <w:p>
      <w:pPr>
        <w:spacing w:line="360" w:lineRule="auto"/>
        <w:rPr>
          <w:color w:val="auto"/>
        </w:rPr>
      </w:pPr>
      <w:r>
        <w:rPr>
          <w:color w:val="auto"/>
        </w:rPr>
        <w:t>3</w:t>
      </w:r>
      <w:r>
        <w:rPr>
          <w:rFonts w:hint="eastAsia"/>
          <w:color w:val="auto"/>
        </w:rPr>
        <w:t>.</w:t>
      </w:r>
      <w:r>
        <w:rPr>
          <w:color w:val="auto"/>
        </w:rPr>
        <w:t xml:space="preserve"> 甲方对乙方提供的货物在使用前进行调试时，乙方需负责安装并培训甲方的使用操作人员，并协助甲方一起调试，直到符合技术要求，甲方才做最终验收。</w:t>
      </w:r>
    </w:p>
    <w:p>
      <w:pPr>
        <w:spacing w:line="360" w:lineRule="auto"/>
        <w:rPr>
          <w:color w:val="auto"/>
        </w:rPr>
      </w:pPr>
      <w:r>
        <w:rPr>
          <w:color w:val="auto"/>
        </w:rPr>
        <w:t>4</w:t>
      </w:r>
      <w:r>
        <w:rPr>
          <w:rFonts w:hint="eastAsia"/>
          <w:color w:val="auto"/>
        </w:rPr>
        <w:t>.</w:t>
      </w:r>
      <w:r>
        <w:rPr>
          <w:color w:val="auto"/>
        </w:rPr>
        <w:t xml:space="preserve"> 对技术复杂的货物，甲方应请国家认可的专业检测机构参与初步验收及最终验收，并由其出具质量检测报告。</w:t>
      </w:r>
    </w:p>
    <w:p>
      <w:pPr>
        <w:spacing w:line="360" w:lineRule="auto"/>
        <w:rPr>
          <w:color w:val="auto"/>
        </w:rPr>
      </w:pPr>
      <w:r>
        <w:rPr>
          <w:color w:val="auto"/>
        </w:rPr>
        <w:t>5</w:t>
      </w:r>
      <w:r>
        <w:rPr>
          <w:rFonts w:hint="eastAsia"/>
          <w:color w:val="auto"/>
        </w:rPr>
        <w:t>.</w:t>
      </w:r>
      <w:r>
        <w:rPr>
          <w:color w:val="auto"/>
        </w:rPr>
        <w:t xml:space="preserve"> 验收时乙方必须在现场，验收完毕后作出验收结果报告；验收费用由乙方负责。</w:t>
      </w:r>
    </w:p>
    <w:p>
      <w:pPr>
        <w:spacing w:line="360" w:lineRule="auto"/>
        <w:rPr>
          <w:color w:val="auto"/>
        </w:rPr>
      </w:pPr>
      <w:r>
        <w:rPr>
          <w:color w:val="auto"/>
        </w:rPr>
        <w:t>十</w:t>
      </w:r>
      <w:r>
        <w:rPr>
          <w:rFonts w:hint="eastAsia"/>
          <w:color w:val="auto"/>
        </w:rPr>
        <w:t>五</w:t>
      </w:r>
      <w:r>
        <w:rPr>
          <w:color w:val="auto"/>
        </w:rPr>
        <w:t>、货物包装、发运及运输</w:t>
      </w:r>
    </w:p>
    <w:p>
      <w:pPr>
        <w:spacing w:line="360" w:lineRule="auto"/>
        <w:rPr>
          <w:color w:val="auto"/>
        </w:rPr>
      </w:pPr>
      <w:r>
        <w:rPr>
          <w:color w:val="auto"/>
        </w:rPr>
        <w:t>1</w:t>
      </w:r>
      <w:r>
        <w:rPr>
          <w:rFonts w:hint="eastAsia"/>
          <w:color w:val="auto"/>
        </w:rPr>
        <w:t>.</w:t>
      </w:r>
      <w:r>
        <w:rPr>
          <w:color w:val="auto"/>
        </w:rPr>
        <w:t xml:space="preserve"> 乙方应在货物发运前对其进行满足运输距离、防潮、防震、防锈和防破损装卸等要求包装，以保证货物安全运达甲方指定地点。</w:t>
      </w:r>
    </w:p>
    <w:p>
      <w:pPr>
        <w:spacing w:line="360" w:lineRule="auto"/>
        <w:rPr>
          <w:color w:val="auto"/>
        </w:rPr>
      </w:pPr>
      <w:r>
        <w:rPr>
          <w:color w:val="auto"/>
        </w:rPr>
        <w:t>2</w:t>
      </w:r>
      <w:r>
        <w:rPr>
          <w:rFonts w:hint="eastAsia"/>
          <w:color w:val="auto"/>
        </w:rPr>
        <w:t>.</w:t>
      </w:r>
      <w:r>
        <w:rPr>
          <w:color w:val="auto"/>
        </w:rPr>
        <w:t xml:space="preserve"> 使用说明书、质量检验证明书、随配附件和工具以及清单一并附于货物内。</w:t>
      </w:r>
    </w:p>
    <w:p>
      <w:pPr>
        <w:spacing w:line="360" w:lineRule="auto"/>
        <w:rPr>
          <w:color w:val="auto"/>
        </w:rPr>
      </w:pPr>
      <w:r>
        <w:rPr>
          <w:color w:val="auto"/>
        </w:rPr>
        <w:t>3</w:t>
      </w:r>
      <w:r>
        <w:rPr>
          <w:rFonts w:hint="eastAsia"/>
          <w:color w:val="auto"/>
        </w:rPr>
        <w:t>.</w:t>
      </w:r>
      <w:r>
        <w:rPr>
          <w:color w:val="auto"/>
        </w:rPr>
        <w:t xml:space="preserve"> 乙方在货物发运手续办理完毕后24小时内或货到甲方48小时前通知甲方，以准备接货。</w:t>
      </w:r>
    </w:p>
    <w:p>
      <w:pPr>
        <w:spacing w:line="360" w:lineRule="auto"/>
        <w:rPr>
          <w:color w:val="auto"/>
        </w:rPr>
      </w:pPr>
      <w:r>
        <w:rPr>
          <w:color w:val="auto"/>
        </w:rPr>
        <w:t>4</w:t>
      </w:r>
      <w:r>
        <w:rPr>
          <w:rFonts w:hint="eastAsia"/>
          <w:color w:val="auto"/>
        </w:rPr>
        <w:t>.</w:t>
      </w:r>
      <w:r>
        <w:rPr>
          <w:color w:val="auto"/>
        </w:rPr>
        <w:t xml:space="preserve"> 货物在交付甲方前发生的风险均由乙方负责。</w:t>
      </w:r>
    </w:p>
    <w:p>
      <w:pPr>
        <w:spacing w:line="360" w:lineRule="auto"/>
        <w:rPr>
          <w:color w:val="auto"/>
        </w:rPr>
      </w:pPr>
      <w:r>
        <w:rPr>
          <w:color w:val="auto"/>
        </w:rPr>
        <w:t>5</w:t>
      </w:r>
      <w:r>
        <w:rPr>
          <w:rFonts w:hint="eastAsia"/>
          <w:color w:val="auto"/>
        </w:rPr>
        <w:t>.</w:t>
      </w:r>
      <w:r>
        <w:rPr>
          <w:color w:val="auto"/>
        </w:rPr>
        <w:t xml:space="preserve"> 货物在规定的交付期限内由乙方送达甲方指定的地点视为交付，乙方同时需通知甲方货物已送达。</w:t>
      </w:r>
    </w:p>
    <w:p>
      <w:pPr>
        <w:spacing w:line="360" w:lineRule="auto"/>
        <w:rPr>
          <w:color w:val="auto"/>
        </w:rPr>
      </w:pPr>
      <w:r>
        <w:rPr>
          <w:color w:val="auto"/>
        </w:rPr>
        <w:t>十</w:t>
      </w:r>
      <w:r>
        <w:rPr>
          <w:rFonts w:hint="eastAsia"/>
          <w:color w:val="auto"/>
        </w:rPr>
        <w:t>六</w:t>
      </w:r>
      <w:r>
        <w:rPr>
          <w:color w:val="auto"/>
        </w:rPr>
        <w:t>、违约责任</w:t>
      </w:r>
    </w:p>
    <w:p>
      <w:pPr>
        <w:spacing w:line="360" w:lineRule="auto"/>
        <w:rPr>
          <w:color w:val="auto"/>
        </w:rPr>
      </w:pPr>
      <w:r>
        <w:rPr>
          <w:color w:val="auto"/>
        </w:rPr>
        <w:t>1</w:t>
      </w:r>
      <w:r>
        <w:rPr>
          <w:rFonts w:hint="eastAsia"/>
          <w:color w:val="auto"/>
        </w:rPr>
        <w:t>.</w:t>
      </w:r>
      <w:r>
        <w:rPr>
          <w:color w:val="auto"/>
        </w:rPr>
        <w:t xml:space="preserve"> 甲方无正当理由拒收货物的，甲方向乙方偿付拒收货款总值的百分之五违约金。</w:t>
      </w:r>
    </w:p>
    <w:p>
      <w:pPr>
        <w:spacing w:line="360" w:lineRule="auto"/>
        <w:rPr>
          <w:color w:val="auto"/>
        </w:rPr>
      </w:pPr>
      <w:r>
        <w:rPr>
          <w:color w:val="auto"/>
        </w:rPr>
        <w:t>2</w:t>
      </w:r>
      <w:r>
        <w:rPr>
          <w:rFonts w:hint="eastAsia"/>
          <w:color w:val="auto"/>
        </w:rPr>
        <w:t>.</w:t>
      </w:r>
      <w:r>
        <w:rPr>
          <w:color w:val="auto"/>
        </w:rPr>
        <w:t xml:space="preserve"> 甲方无故逾期验收和办理货款支付手续的,甲方应按逾期付款总额每日万分之五向乙方支付违约金。</w:t>
      </w:r>
    </w:p>
    <w:p>
      <w:pPr>
        <w:spacing w:line="360" w:lineRule="auto"/>
        <w:rPr>
          <w:color w:val="auto"/>
        </w:rPr>
      </w:pPr>
      <w:r>
        <w:rPr>
          <w:color w:val="auto"/>
        </w:rPr>
        <w:t>3</w:t>
      </w:r>
      <w:r>
        <w:rPr>
          <w:rFonts w:hint="eastAsia"/>
          <w:color w:val="auto"/>
        </w:rPr>
        <w:t>.</w:t>
      </w:r>
      <w:r>
        <w:rPr>
          <w:color w:val="auto"/>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360" w:lineRule="auto"/>
        <w:rPr>
          <w:color w:val="auto"/>
        </w:rPr>
      </w:pPr>
      <w:r>
        <w:rPr>
          <w:color w:val="auto"/>
        </w:rPr>
        <w:t>4</w:t>
      </w:r>
      <w:r>
        <w:rPr>
          <w:rFonts w:hint="eastAsia"/>
          <w:color w:val="auto"/>
        </w:rPr>
        <w:t>.</w:t>
      </w:r>
      <w:r>
        <w:rPr>
          <w:color w:val="auto"/>
        </w:rPr>
        <w:t xml:space="preserve">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spacing w:line="360" w:lineRule="auto"/>
        <w:rPr>
          <w:color w:val="auto"/>
        </w:rPr>
      </w:pPr>
      <w:r>
        <w:rPr>
          <w:color w:val="auto"/>
        </w:rPr>
        <w:t>十</w:t>
      </w:r>
      <w:r>
        <w:rPr>
          <w:rFonts w:hint="eastAsia"/>
          <w:color w:val="auto"/>
        </w:rPr>
        <w:t>七</w:t>
      </w:r>
      <w:r>
        <w:rPr>
          <w:color w:val="auto"/>
        </w:rPr>
        <w:t>、不可抗力事件处理</w:t>
      </w:r>
    </w:p>
    <w:p>
      <w:pPr>
        <w:spacing w:line="360" w:lineRule="auto"/>
        <w:rPr>
          <w:color w:val="auto"/>
        </w:rPr>
      </w:pPr>
      <w:r>
        <w:rPr>
          <w:color w:val="auto"/>
        </w:rPr>
        <w:t>1</w:t>
      </w:r>
      <w:r>
        <w:rPr>
          <w:rFonts w:hint="eastAsia"/>
          <w:color w:val="auto"/>
        </w:rPr>
        <w:t>.</w:t>
      </w:r>
      <w:r>
        <w:rPr>
          <w:color w:val="auto"/>
        </w:rPr>
        <w:t xml:space="preserve"> 在合同有效期内，任何一方因不可抗力事件导致不能履行合同，则合同履行期可延长，其延长期与不可抗力影响期相同。</w:t>
      </w:r>
    </w:p>
    <w:p>
      <w:pPr>
        <w:spacing w:line="360" w:lineRule="auto"/>
        <w:rPr>
          <w:color w:val="auto"/>
        </w:rPr>
      </w:pPr>
      <w:r>
        <w:rPr>
          <w:color w:val="auto"/>
        </w:rPr>
        <w:t>2</w:t>
      </w:r>
      <w:r>
        <w:rPr>
          <w:rFonts w:hint="eastAsia"/>
          <w:color w:val="auto"/>
        </w:rPr>
        <w:t>.</w:t>
      </w:r>
      <w:r>
        <w:rPr>
          <w:color w:val="auto"/>
        </w:rPr>
        <w:t xml:space="preserve"> 不可抗力事件发生后，应立即通知对方，并寄送有关权威机构出具的证明。</w:t>
      </w:r>
    </w:p>
    <w:p>
      <w:pPr>
        <w:spacing w:line="360" w:lineRule="auto"/>
        <w:rPr>
          <w:color w:val="auto"/>
        </w:rPr>
      </w:pPr>
      <w:r>
        <w:rPr>
          <w:color w:val="auto"/>
        </w:rPr>
        <w:t>3</w:t>
      </w:r>
      <w:r>
        <w:rPr>
          <w:rFonts w:hint="eastAsia"/>
          <w:color w:val="auto"/>
        </w:rPr>
        <w:t>.</w:t>
      </w:r>
      <w:r>
        <w:rPr>
          <w:color w:val="auto"/>
        </w:rPr>
        <w:t xml:space="preserve"> 不可抗力事件延续120天以上，双方应通过友好协商，确定是否继续履行合同。</w:t>
      </w:r>
    </w:p>
    <w:p>
      <w:pPr>
        <w:spacing w:line="360" w:lineRule="auto"/>
        <w:rPr>
          <w:color w:val="auto"/>
        </w:rPr>
      </w:pPr>
      <w:r>
        <w:rPr>
          <w:color w:val="auto"/>
        </w:rPr>
        <w:t>十</w:t>
      </w:r>
      <w:r>
        <w:rPr>
          <w:rFonts w:hint="eastAsia"/>
          <w:color w:val="auto"/>
        </w:rPr>
        <w:t>八</w:t>
      </w:r>
      <w:r>
        <w:rPr>
          <w:color w:val="auto"/>
        </w:rPr>
        <w:t>、诉讼</w:t>
      </w:r>
    </w:p>
    <w:p>
      <w:pPr>
        <w:spacing w:line="360" w:lineRule="auto"/>
        <w:rPr>
          <w:color w:val="auto"/>
        </w:rPr>
      </w:pPr>
      <w:r>
        <w:rPr>
          <w:color w:val="auto"/>
        </w:rPr>
        <w:t xml:space="preserve"> 双方在执行合同中所发生的一切争议，应通过协商解决。如协商不成，可向</w:t>
      </w:r>
      <w:r>
        <w:rPr>
          <w:rFonts w:hint="eastAsia"/>
          <w:color w:val="auto"/>
        </w:rPr>
        <w:t>甲方所在</w:t>
      </w:r>
      <w:r>
        <w:rPr>
          <w:color w:val="auto"/>
        </w:rPr>
        <w:t>地法院起诉。</w:t>
      </w:r>
    </w:p>
    <w:p>
      <w:pPr>
        <w:spacing w:line="360" w:lineRule="auto"/>
        <w:rPr>
          <w:color w:val="auto"/>
        </w:rPr>
      </w:pPr>
      <w:r>
        <w:rPr>
          <w:color w:val="auto"/>
        </w:rPr>
        <w:t>十</w:t>
      </w:r>
      <w:r>
        <w:rPr>
          <w:rFonts w:hint="eastAsia"/>
          <w:color w:val="auto"/>
        </w:rPr>
        <w:t>九</w:t>
      </w:r>
      <w:r>
        <w:rPr>
          <w:color w:val="auto"/>
        </w:rPr>
        <w:t>、合同生效及其它</w:t>
      </w:r>
    </w:p>
    <w:p>
      <w:pPr>
        <w:spacing w:line="360" w:lineRule="auto"/>
        <w:rPr>
          <w:color w:val="auto"/>
        </w:rPr>
      </w:pPr>
      <w:r>
        <w:rPr>
          <w:color w:val="auto"/>
        </w:rPr>
        <w:t>1</w:t>
      </w:r>
      <w:r>
        <w:rPr>
          <w:rFonts w:hint="eastAsia"/>
          <w:color w:val="auto"/>
        </w:rPr>
        <w:t>.</w:t>
      </w:r>
      <w:r>
        <w:rPr>
          <w:color w:val="auto"/>
        </w:rPr>
        <w:t xml:space="preserve"> 合同经双方法定代表人或授权代表签字并加盖单位公章后生效。</w:t>
      </w:r>
    </w:p>
    <w:p>
      <w:pPr>
        <w:spacing w:line="360" w:lineRule="auto"/>
        <w:ind w:firstLine="315" w:firstLineChars="150"/>
        <w:rPr>
          <w:color w:val="auto"/>
        </w:rPr>
      </w:pPr>
      <w:r>
        <w:rPr>
          <w:rFonts w:hint="eastAsia" w:ascii="宋体" w:hAnsi="宋体" w:cs="宋体"/>
          <w:color w:val="auto"/>
          <w:szCs w:val="21"/>
        </w:rPr>
        <w:t>合同壹式</w:t>
      </w:r>
      <w:r>
        <w:rPr>
          <w:rFonts w:hint="eastAsia" w:ascii="宋体" w:hAnsi="宋体" w:cs="宋体"/>
          <w:color w:val="auto"/>
          <w:szCs w:val="21"/>
          <w:u w:val="single"/>
        </w:rPr>
        <w:t xml:space="preserve">    </w:t>
      </w:r>
      <w:r>
        <w:rPr>
          <w:rFonts w:hint="eastAsia" w:ascii="宋体" w:hAnsi="宋体" w:cs="宋体"/>
          <w:color w:val="auto"/>
          <w:szCs w:val="21"/>
        </w:rPr>
        <w:t>份，其中甲乙双方各执</w:t>
      </w:r>
      <w:r>
        <w:rPr>
          <w:rFonts w:hint="eastAsia" w:ascii="宋体" w:hAnsi="宋体" w:cs="宋体"/>
          <w:color w:val="auto"/>
          <w:szCs w:val="21"/>
          <w:u w:val="single"/>
        </w:rPr>
        <w:t xml:space="preserve">    </w:t>
      </w:r>
      <w:r>
        <w:rPr>
          <w:rFonts w:hint="eastAsia" w:ascii="宋体" w:hAnsi="宋体" w:cs="宋体"/>
          <w:color w:val="auto"/>
          <w:szCs w:val="21"/>
        </w:rPr>
        <w:t>份，采购中心壹份，采购代理机构执壹份，政府采购监督管理部门</w:t>
      </w:r>
      <w:r>
        <w:rPr>
          <w:rFonts w:hint="eastAsia" w:ascii="宋体" w:hAnsi="宋体" w:cs="宋体"/>
          <w:color w:val="auto"/>
          <w:szCs w:val="21"/>
          <w:u w:val="single"/>
        </w:rPr>
        <w:t xml:space="preserve">    </w:t>
      </w:r>
      <w:r>
        <w:rPr>
          <w:rFonts w:hint="eastAsia" w:ascii="宋体" w:hAnsi="宋体" w:cs="宋体"/>
          <w:color w:val="auto"/>
          <w:szCs w:val="21"/>
        </w:rPr>
        <w:t>份</w:t>
      </w:r>
      <w:r>
        <w:rPr>
          <w:rFonts w:hint="eastAsia" w:ascii="宋体" w:hAnsi="宋体"/>
          <w:color w:val="auto"/>
          <w:szCs w:val="21"/>
        </w:rPr>
        <w:t>。</w:t>
      </w:r>
    </w:p>
    <w:p>
      <w:pPr>
        <w:spacing w:line="360" w:lineRule="auto"/>
        <w:rPr>
          <w:color w:val="auto"/>
        </w:rPr>
      </w:pPr>
      <w:r>
        <w:rPr>
          <w:color w:val="auto"/>
        </w:rPr>
        <w:t>2</w:t>
      </w:r>
      <w:r>
        <w:rPr>
          <w:rFonts w:hint="eastAsia"/>
          <w:color w:val="auto"/>
        </w:rPr>
        <w:t>.</w:t>
      </w:r>
      <w:r>
        <w:rPr>
          <w:color w:val="auto"/>
        </w:rPr>
        <w:t>合同执行中涉及采购资金和采购内容修改或补充的，须经财政部门审批，并签书面补充协议报政府采购监督管理部门备案，方可作为主合同不可分割的一部分。</w:t>
      </w:r>
    </w:p>
    <w:p>
      <w:pPr>
        <w:spacing w:line="360" w:lineRule="auto"/>
        <w:rPr>
          <w:color w:val="auto"/>
        </w:rPr>
      </w:pPr>
      <w:r>
        <w:rPr>
          <w:color w:val="auto"/>
        </w:rPr>
        <w:t>3</w:t>
      </w:r>
      <w:r>
        <w:rPr>
          <w:rFonts w:hint="eastAsia"/>
          <w:color w:val="auto"/>
        </w:rPr>
        <w:t>.</w:t>
      </w:r>
      <w:r>
        <w:rPr>
          <w:color w:val="auto"/>
        </w:rPr>
        <w:t>本合同未尽事宜，遵照《合同法》有关条文执行。</w:t>
      </w:r>
    </w:p>
    <w:p>
      <w:pPr>
        <w:rPr>
          <w:color w:val="auto"/>
        </w:rPr>
      </w:pPr>
      <w:r>
        <w:rPr>
          <w:rFonts w:hint="eastAsia"/>
          <w:color w:val="auto"/>
        </w:rPr>
        <w:t xml:space="preserve"> </w:t>
      </w:r>
    </w:p>
    <w:p>
      <w:pPr>
        <w:spacing w:line="360" w:lineRule="auto"/>
        <w:rPr>
          <w:color w:val="auto"/>
        </w:rPr>
      </w:pPr>
      <w:r>
        <w:rPr>
          <w:color w:val="auto"/>
        </w:rPr>
        <w:t xml:space="preserve">  甲方：</w:t>
      </w:r>
      <w:r>
        <w:rPr>
          <w:rFonts w:hint="eastAsia"/>
          <w:color w:val="auto"/>
        </w:rPr>
        <w:t xml:space="preserve">  </w:t>
      </w:r>
      <w:r>
        <w:rPr>
          <w:color w:val="auto"/>
        </w:rPr>
        <w:t xml:space="preserve">                                 乙方： </w:t>
      </w:r>
    </w:p>
    <w:p>
      <w:pPr>
        <w:spacing w:line="360" w:lineRule="auto"/>
        <w:rPr>
          <w:color w:val="auto"/>
        </w:rPr>
      </w:pPr>
      <w:r>
        <w:rPr>
          <w:color w:val="auto"/>
        </w:rPr>
        <w:t xml:space="preserve">  地址：                                   地址： </w:t>
      </w:r>
    </w:p>
    <w:p>
      <w:pPr>
        <w:spacing w:line="360" w:lineRule="auto"/>
        <w:rPr>
          <w:color w:val="auto"/>
        </w:rPr>
      </w:pPr>
      <w:r>
        <w:rPr>
          <w:color w:val="auto"/>
        </w:rPr>
        <w:t xml:space="preserve">  法定</w:t>
      </w:r>
      <w:r>
        <w:rPr>
          <w:rFonts w:hint="eastAsia"/>
          <w:color w:val="auto"/>
        </w:rPr>
        <w:t>（授权）</w:t>
      </w:r>
      <w:r>
        <w:rPr>
          <w:color w:val="auto"/>
        </w:rPr>
        <w:t xml:space="preserve">代表人：             </w:t>
      </w:r>
      <w:r>
        <w:rPr>
          <w:rFonts w:hint="eastAsia"/>
          <w:color w:val="auto"/>
        </w:rPr>
        <w:t xml:space="preserve"> </w:t>
      </w:r>
      <w:r>
        <w:rPr>
          <w:color w:val="auto"/>
        </w:rPr>
        <w:t xml:space="preserve">       法定</w:t>
      </w:r>
      <w:r>
        <w:rPr>
          <w:rFonts w:hint="eastAsia"/>
          <w:color w:val="auto"/>
        </w:rPr>
        <w:t>（授权）</w:t>
      </w:r>
      <w:r>
        <w:rPr>
          <w:color w:val="auto"/>
        </w:rPr>
        <w:t>代表人：</w:t>
      </w:r>
    </w:p>
    <w:p>
      <w:pPr>
        <w:spacing w:line="360" w:lineRule="auto"/>
        <w:rPr>
          <w:color w:val="auto"/>
        </w:rPr>
      </w:pPr>
      <w:r>
        <w:rPr>
          <w:color w:val="auto"/>
        </w:rPr>
        <w:t xml:space="preserve">  签</w:t>
      </w:r>
      <w:r>
        <w:rPr>
          <w:rFonts w:hint="eastAsia"/>
          <w:color w:val="auto"/>
        </w:rPr>
        <w:t>字日期</w:t>
      </w:r>
      <w:r>
        <w:rPr>
          <w:color w:val="auto"/>
        </w:rPr>
        <w:t xml:space="preserve">：      年  月  日  </w:t>
      </w:r>
      <w:r>
        <w:rPr>
          <w:rFonts w:hint="eastAsia"/>
          <w:color w:val="auto"/>
        </w:rPr>
        <w:t xml:space="preserve">    </w:t>
      </w:r>
      <w:r>
        <w:rPr>
          <w:color w:val="auto"/>
        </w:rPr>
        <w:t xml:space="preserve"> </w:t>
      </w:r>
      <w:r>
        <w:rPr>
          <w:rFonts w:hint="eastAsia"/>
          <w:color w:val="auto"/>
        </w:rPr>
        <w:t xml:space="preserve">    </w:t>
      </w:r>
      <w:r>
        <w:rPr>
          <w:color w:val="auto"/>
        </w:rPr>
        <w:t xml:space="preserve">    签</w:t>
      </w:r>
      <w:r>
        <w:rPr>
          <w:rFonts w:hint="eastAsia"/>
          <w:color w:val="auto"/>
        </w:rPr>
        <w:t>字</w:t>
      </w:r>
      <w:r>
        <w:rPr>
          <w:color w:val="auto"/>
        </w:rPr>
        <w:t>日期：      年  月  日</w:t>
      </w:r>
    </w:p>
    <w:p>
      <w:pPr>
        <w:spacing w:line="360" w:lineRule="auto"/>
        <w:ind w:right="480"/>
        <w:rPr>
          <w:rFonts w:ascii="宋体" w:hAnsi="宋体" w:cs="宋体"/>
          <w:color w:val="auto"/>
          <w:sz w:val="24"/>
        </w:rPr>
      </w:pPr>
    </w:p>
    <w:p>
      <w:pPr>
        <w:spacing w:line="360" w:lineRule="auto"/>
        <w:rPr>
          <w:rFonts w:ascii="宋体" w:hAnsi="宋体" w:cs="宋体"/>
          <w:color w:val="auto"/>
          <w:sz w:val="24"/>
        </w:rPr>
      </w:pPr>
      <w:r>
        <w:rPr>
          <w:rFonts w:hint="eastAsia" w:ascii="宋体" w:hAnsi="宋体"/>
          <w:color w:val="auto"/>
          <w:sz w:val="32"/>
          <w:szCs w:val="32"/>
        </w:rPr>
        <w:br w:type="page"/>
      </w:r>
    </w:p>
    <w:p>
      <w:pPr>
        <w:widowControl/>
        <w:jc w:val="left"/>
        <w:rPr>
          <w:rFonts w:ascii="宋体" w:hAnsi="宋体" w:cs="宋体"/>
          <w:color w:val="auto"/>
        </w:rPr>
      </w:pPr>
    </w:p>
    <w:p>
      <w:pPr>
        <w:pStyle w:val="3"/>
        <w:rPr>
          <w:rFonts w:ascii="宋体" w:hAnsi="宋体" w:cs="宋体"/>
          <w:color w:val="auto"/>
        </w:rPr>
      </w:pPr>
      <w:bookmarkStart w:id="5" w:name="_Toc1823"/>
      <w:r>
        <w:rPr>
          <w:rFonts w:hint="eastAsia" w:ascii="宋体" w:hAnsi="宋体" w:cs="宋体"/>
          <w:color w:val="auto"/>
        </w:rPr>
        <w:t>第六章  响应文件格式</w:t>
      </w:r>
      <w:bookmarkEnd w:id="5"/>
    </w:p>
    <w:p>
      <w:pPr>
        <w:rPr>
          <w:rFonts w:ascii="宋体" w:hAnsi="宋体" w:cs="宋体"/>
          <w:color w:val="auto"/>
        </w:rPr>
      </w:pPr>
    </w:p>
    <w:p>
      <w:pPr>
        <w:rPr>
          <w:rFonts w:ascii="宋体" w:hAnsi="宋体" w:cs="宋体"/>
          <w:color w:val="auto"/>
        </w:rPr>
      </w:pPr>
      <w:r>
        <w:rPr>
          <w:rFonts w:hint="eastAsia" w:ascii="宋体" w:hAnsi="宋体" w:cs="宋体"/>
          <w:color w:val="auto"/>
        </w:rPr>
        <w:t>一、资格审核文件的外包装封面格式：</w:t>
      </w:r>
    </w:p>
    <w:p>
      <w:pPr>
        <w:rPr>
          <w:rFonts w:ascii="宋体" w:hAnsi="宋体" w:cs="宋体"/>
          <w:color w:val="auto"/>
        </w:rPr>
      </w:pP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 xml:space="preserve"> </w:t>
      </w:r>
    </w:p>
    <w:p>
      <w:pPr>
        <w:jc w:val="center"/>
        <w:rPr>
          <w:rFonts w:ascii="宋体" w:hAnsi="宋体" w:cs="宋体"/>
          <w:color w:val="auto"/>
          <w:sz w:val="44"/>
          <w:szCs w:val="44"/>
        </w:rPr>
      </w:pPr>
      <w:r>
        <w:rPr>
          <w:rFonts w:hint="eastAsia" w:ascii="宋体" w:hAnsi="宋体" w:cs="宋体"/>
          <w:color w:val="auto"/>
          <w:sz w:val="44"/>
          <w:szCs w:val="44"/>
        </w:rPr>
        <w:t>资格审核文件</w:t>
      </w:r>
    </w:p>
    <w:p>
      <w:pPr>
        <w:rPr>
          <w:rFonts w:ascii="宋体" w:hAnsi="宋体" w:cs="宋体"/>
          <w:color w:val="auto"/>
          <w:szCs w:val="21"/>
        </w:rPr>
      </w:pPr>
      <w:r>
        <w:rPr>
          <w:rFonts w:hint="eastAsia" w:ascii="宋体" w:hAnsi="宋体" w:cs="宋体"/>
          <w:color w:val="auto"/>
        </w:rPr>
        <w:t xml:space="preserve"> </w:t>
      </w:r>
    </w:p>
    <w:p>
      <w:pPr>
        <w:spacing w:line="360" w:lineRule="auto"/>
        <w:rPr>
          <w:rFonts w:ascii="宋体" w:hAnsi="宋体" w:cs="宋体"/>
          <w:color w:val="auto"/>
        </w:rPr>
      </w:pPr>
      <w:r>
        <w:rPr>
          <w:rFonts w:hint="eastAsia" w:ascii="宋体" w:hAnsi="宋体" w:cs="宋体"/>
          <w:color w:val="auto"/>
        </w:rPr>
        <w:t xml:space="preserve">项目名称：                      </w:t>
      </w:r>
    </w:p>
    <w:p>
      <w:pPr>
        <w:spacing w:line="360" w:lineRule="auto"/>
        <w:rPr>
          <w:rFonts w:ascii="宋体" w:hAnsi="宋体" w:cs="宋体"/>
          <w:color w:val="auto"/>
        </w:rPr>
      </w:pPr>
      <w:r>
        <w:rPr>
          <w:rFonts w:hint="eastAsia" w:ascii="宋体" w:hAnsi="宋体" w:cs="宋体"/>
          <w:color w:val="auto"/>
        </w:rPr>
        <w:t xml:space="preserve">项目编号： </w:t>
      </w:r>
    </w:p>
    <w:p>
      <w:pPr>
        <w:spacing w:line="360" w:lineRule="auto"/>
        <w:rPr>
          <w:rFonts w:ascii="宋体" w:hAnsi="宋体" w:cs="宋体"/>
          <w:color w:val="auto"/>
        </w:rPr>
      </w:pPr>
      <w:r>
        <w:rPr>
          <w:rFonts w:hint="eastAsia" w:ascii="宋体" w:hAnsi="宋体" w:cs="宋体"/>
          <w:color w:val="auto"/>
        </w:rPr>
        <w:t>供应商名称：</w:t>
      </w:r>
    </w:p>
    <w:p>
      <w:pPr>
        <w:spacing w:line="360" w:lineRule="auto"/>
        <w:rPr>
          <w:rFonts w:ascii="宋体" w:hAnsi="宋体" w:cs="宋体"/>
          <w:color w:val="auto"/>
        </w:rPr>
      </w:pPr>
      <w:r>
        <w:rPr>
          <w:rFonts w:hint="eastAsia" w:ascii="宋体" w:hAnsi="宋体" w:cs="宋体"/>
          <w:color w:val="auto"/>
        </w:rPr>
        <w:t>供应商地址：</w:t>
      </w:r>
    </w:p>
    <w:p>
      <w:pPr>
        <w:spacing w:line="360" w:lineRule="auto"/>
        <w:rPr>
          <w:rFonts w:ascii="宋体" w:hAnsi="宋体" w:cs="宋体"/>
          <w:color w:val="auto"/>
        </w:rPr>
      </w:pPr>
      <w:r>
        <w:rPr>
          <w:rFonts w:hint="eastAsia" w:ascii="宋体" w:hAnsi="宋体" w:cs="宋体"/>
          <w:color w:val="auto"/>
        </w:rPr>
        <w:t>在  年  月  日  时  分之前不得启封</w:t>
      </w:r>
    </w:p>
    <w:p>
      <w:pPr>
        <w:spacing w:line="360" w:lineRule="auto"/>
        <w:rPr>
          <w:rFonts w:ascii="宋体" w:hAnsi="宋体" w:cs="宋体"/>
          <w:color w:val="auto"/>
        </w:rPr>
      </w:pPr>
      <w:r>
        <w:rPr>
          <w:rFonts w:hint="eastAsia" w:ascii="宋体" w:hAnsi="宋体" w:cs="宋体"/>
          <w:color w:val="auto"/>
        </w:rPr>
        <w:t xml:space="preserve">      </w:t>
      </w:r>
    </w:p>
    <w:p>
      <w:pPr>
        <w:spacing w:line="360" w:lineRule="auto"/>
        <w:rPr>
          <w:rFonts w:ascii="宋体" w:hAnsi="宋体" w:cs="宋体"/>
          <w:color w:val="auto"/>
        </w:rPr>
      </w:pPr>
      <w:r>
        <w:rPr>
          <w:rFonts w:hint="eastAsia" w:ascii="宋体" w:hAnsi="宋体" w:cs="宋体"/>
          <w:color w:val="auto"/>
        </w:rPr>
        <w:t xml:space="preserve">                                                    （供应商公章）</w:t>
      </w:r>
    </w:p>
    <w:p>
      <w:pPr>
        <w:spacing w:line="360" w:lineRule="auto"/>
        <w:rPr>
          <w:rFonts w:ascii="宋体" w:hAnsi="宋体" w:cs="宋体"/>
          <w:color w:val="auto"/>
        </w:rPr>
      </w:pPr>
      <w:r>
        <w:rPr>
          <w:rFonts w:hint="eastAsia" w:ascii="宋体" w:hAnsi="宋体" w:cs="宋体"/>
          <w:color w:val="auto"/>
        </w:rPr>
        <w:t xml:space="preserve">                                                      年  月  日</w:t>
      </w:r>
    </w:p>
    <w:p>
      <w:pPr>
        <w:rPr>
          <w:rFonts w:ascii="宋体" w:hAnsi="宋体" w:cs="宋体"/>
          <w:color w:val="auto"/>
        </w:rPr>
      </w:pP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 xml:space="preserve">一、资格审核文件封面格式： </w:t>
      </w:r>
    </w:p>
    <w:p>
      <w:pPr>
        <w:rPr>
          <w:rFonts w:ascii="宋体" w:hAnsi="宋体" w:cs="宋体"/>
          <w:color w:val="auto"/>
        </w:rPr>
      </w:pPr>
      <w:r>
        <w:rPr>
          <w:rFonts w:hint="eastAsia" w:ascii="宋体" w:hAnsi="宋体" w:cs="宋体"/>
          <w:color w:val="auto"/>
        </w:rPr>
        <w:t xml:space="preserve">                                                        正本/或副本</w:t>
      </w:r>
    </w:p>
    <w:p>
      <w:pPr>
        <w:rPr>
          <w:rFonts w:ascii="宋体" w:hAnsi="宋体" w:cs="宋体"/>
          <w:color w:val="auto"/>
        </w:rPr>
      </w:pP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 xml:space="preserve"> </w:t>
      </w:r>
    </w:p>
    <w:p>
      <w:pPr>
        <w:jc w:val="center"/>
        <w:rPr>
          <w:rFonts w:ascii="宋体" w:hAnsi="宋体" w:cs="宋体"/>
          <w:color w:val="auto"/>
          <w:sz w:val="44"/>
          <w:szCs w:val="44"/>
        </w:rPr>
      </w:pPr>
      <w:r>
        <w:rPr>
          <w:rFonts w:hint="eastAsia" w:ascii="宋体" w:hAnsi="宋体" w:cs="宋体"/>
          <w:color w:val="auto"/>
          <w:sz w:val="44"/>
          <w:szCs w:val="44"/>
        </w:rPr>
        <w:t>资格审核文件</w:t>
      </w:r>
    </w:p>
    <w:p>
      <w:pPr>
        <w:rPr>
          <w:rFonts w:ascii="宋体" w:hAnsi="宋体" w:cs="宋体"/>
          <w:color w:val="auto"/>
          <w:szCs w:val="21"/>
        </w:rPr>
      </w:pPr>
      <w:r>
        <w:rPr>
          <w:rFonts w:hint="eastAsia" w:ascii="宋体" w:hAnsi="宋体" w:cs="宋体"/>
          <w:color w:val="auto"/>
        </w:rPr>
        <w:t xml:space="preserve"> </w:t>
      </w:r>
    </w:p>
    <w:p>
      <w:pPr>
        <w:spacing w:line="360" w:lineRule="auto"/>
        <w:rPr>
          <w:rFonts w:ascii="宋体" w:hAnsi="宋体" w:cs="宋体"/>
          <w:color w:val="auto"/>
        </w:rPr>
      </w:pPr>
      <w:r>
        <w:rPr>
          <w:rFonts w:hint="eastAsia" w:ascii="宋体" w:hAnsi="宋体" w:cs="宋体"/>
          <w:color w:val="auto"/>
        </w:rPr>
        <w:t xml:space="preserve">项目名称：                       </w:t>
      </w:r>
    </w:p>
    <w:p>
      <w:pPr>
        <w:spacing w:line="360" w:lineRule="auto"/>
        <w:rPr>
          <w:rFonts w:ascii="宋体" w:hAnsi="宋体" w:cs="宋体"/>
          <w:color w:val="auto"/>
        </w:rPr>
      </w:pPr>
      <w:r>
        <w:rPr>
          <w:rFonts w:hint="eastAsia" w:ascii="宋体" w:hAnsi="宋体" w:cs="宋体"/>
          <w:color w:val="auto"/>
        </w:rPr>
        <w:t xml:space="preserve">项目编号： </w:t>
      </w:r>
    </w:p>
    <w:p>
      <w:pPr>
        <w:spacing w:line="360" w:lineRule="auto"/>
        <w:rPr>
          <w:rFonts w:ascii="宋体" w:hAnsi="宋体" w:cs="宋体"/>
          <w:color w:val="auto"/>
        </w:rPr>
      </w:pPr>
      <w:r>
        <w:rPr>
          <w:rFonts w:hint="eastAsia" w:ascii="宋体" w:hAnsi="宋体" w:cs="宋体"/>
          <w:color w:val="auto"/>
        </w:rPr>
        <w:t>供应商名称：</w:t>
      </w:r>
    </w:p>
    <w:p>
      <w:pPr>
        <w:spacing w:line="360" w:lineRule="auto"/>
        <w:rPr>
          <w:rFonts w:ascii="宋体" w:hAnsi="宋体" w:cs="宋体"/>
          <w:color w:val="auto"/>
        </w:rPr>
      </w:pPr>
      <w:r>
        <w:rPr>
          <w:rFonts w:hint="eastAsia" w:ascii="宋体" w:hAnsi="宋体" w:cs="宋体"/>
          <w:color w:val="auto"/>
        </w:rPr>
        <w:t>供应商地址：</w:t>
      </w:r>
    </w:p>
    <w:p>
      <w:pPr>
        <w:spacing w:line="360" w:lineRule="auto"/>
        <w:rPr>
          <w:rFonts w:ascii="宋体" w:hAnsi="宋体" w:cs="宋体"/>
          <w:color w:val="auto"/>
        </w:rPr>
      </w:pPr>
      <w:r>
        <w:rPr>
          <w:rFonts w:hint="eastAsia" w:ascii="宋体" w:hAnsi="宋体" w:cs="宋体"/>
          <w:color w:val="auto"/>
        </w:rPr>
        <w:t xml:space="preserve"> </w:t>
      </w:r>
    </w:p>
    <w:p>
      <w:pPr>
        <w:spacing w:line="360" w:lineRule="auto"/>
        <w:ind w:firstLine="5355" w:firstLineChars="2550"/>
        <w:rPr>
          <w:rFonts w:ascii="宋体" w:hAnsi="宋体" w:cs="宋体"/>
          <w:color w:val="auto"/>
        </w:rPr>
      </w:pPr>
      <w:r>
        <w:rPr>
          <w:rFonts w:hint="eastAsia" w:ascii="宋体" w:hAnsi="宋体" w:cs="宋体"/>
          <w:color w:val="auto"/>
        </w:rPr>
        <w:t>（供应商公章）</w:t>
      </w:r>
    </w:p>
    <w:p>
      <w:pPr>
        <w:widowControl/>
        <w:jc w:val="left"/>
        <w:rPr>
          <w:rFonts w:ascii="宋体" w:hAnsi="宋体" w:cs="宋体"/>
          <w:color w:val="auto"/>
        </w:rPr>
      </w:pPr>
      <w:r>
        <w:rPr>
          <w:rFonts w:hint="eastAsia" w:ascii="宋体" w:hAnsi="宋体" w:cs="宋体"/>
          <w:color w:val="auto"/>
        </w:rPr>
        <w:t xml:space="preserve">                                                       年  月  日</w:t>
      </w:r>
    </w:p>
    <w:p>
      <w:pPr>
        <w:widowControl/>
        <w:jc w:val="left"/>
        <w:rPr>
          <w:rFonts w:ascii="宋体" w:hAnsi="宋体" w:cs="宋体"/>
          <w:color w:val="auto"/>
        </w:rPr>
      </w:pPr>
      <w:r>
        <w:rPr>
          <w:rFonts w:hint="eastAsia" w:ascii="宋体" w:hAnsi="宋体" w:cs="宋体"/>
          <w:color w:val="auto"/>
        </w:rPr>
        <w:t xml:space="preserve"> </w:t>
      </w:r>
    </w:p>
    <w:p>
      <w:pPr>
        <w:rPr>
          <w:rFonts w:ascii="宋体" w:hAnsi="宋体" w:cs="宋体"/>
          <w:color w:val="auto"/>
        </w:rPr>
      </w:pPr>
    </w:p>
    <w:p>
      <w:pPr>
        <w:rPr>
          <w:rFonts w:ascii="宋体" w:hAnsi="宋体" w:cs="宋体"/>
          <w:color w:val="auto"/>
        </w:rPr>
      </w:pPr>
    </w:p>
    <w:p>
      <w:pPr>
        <w:snapToGrid w:val="0"/>
        <w:spacing w:line="360" w:lineRule="auto"/>
        <w:ind w:firstLine="413" w:firstLineChars="196"/>
        <w:jc w:val="left"/>
        <w:rPr>
          <w:rFonts w:ascii="宋体" w:hAnsi="宋体" w:cs="宋体"/>
          <w:b/>
          <w:color w:val="auto"/>
          <w:szCs w:val="21"/>
        </w:rPr>
      </w:pPr>
    </w:p>
    <w:p>
      <w:pPr>
        <w:pStyle w:val="2"/>
        <w:rPr>
          <w:rFonts w:ascii="宋体" w:hAnsi="宋体" w:cs="宋体"/>
          <w:b/>
          <w:color w:val="auto"/>
          <w:szCs w:val="21"/>
        </w:rPr>
      </w:pPr>
    </w:p>
    <w:p>
      <w:pPr>
        <w:pStyle w:val="2"/>
        <w:rPr>
          <w:rFonts w:ascii="宋体" w:hAnsi="宋体" w:cs="宋体"/>
          <w:b/>
          <w:color w:val="auto"/>
          <w:szCs w:val="21"/>
        </w:rPr>
      </w:pPr>
    </w:p>
    <w:p>
      <w:pPr>
        <w:snapToGrid w:val="0"/>
        <w:spacing w:line="360" w:lineRule="auto"/>
        <w:ind w:firstLine="413" w:firstLineChars="196"/>
        <w:jc w:val="left"/>
        <w:rPr>
          <w:rFonts w:ascii="宋体" w:hAnsi="宋体" w:cs="宋体"/>
          <w:b/>
          <w:color w:val="auto"/>
          <w:szCs w:val="21"/>
        </w:rPr>
      </w:pPr>
    </w:p>
    <w:p>
      <w:pPr>
        <w:snapToGrid w:val="0"/>
        <w:spacing w:line="360" w:lineRule="auto"/>
        <w:ind w:firstLine="413" w:firstLineChars="196"/>
        <w:jc w:val="left"/>
        <w:rPr>
          <w:rFonts w:ascii="宋体" w:hAnsi="宋体" w:cs="宋体"/>
          <w:b/>
          <w:color w:val="auto"/>
          <w:szCs w:val="21"/>
        </w:rPr>
      </w:pPr>
    </w:p>
    <w:p>
      <w:pPr>
        <w:snapToGrid w:val="0"/>
        <w:spacing w:line="360" w:lineRule="auto"/>
        <w:ind w:firstLine="413" w:firstLineChars="196"/>
        <w:jc w:val="left"/>
        <w:rPr>
          <w:rFonts w:ascii="宋体" w:hAnsi="宋体" w:cs="宋体"/>
          <w:b/>
          <w:color w:val="auto"/>
          <w:szCs w:val="21"/>
        </w:rPr>
      </w:pPr>
      <w:r>
        <w:rPr>
          <w:rFonts w:hint="eastAsia" w:ascii="宋体" w:hAnsi="宋体" w:cs="宋体"/>
          <w:b/>
          <w:color w:val="auto"/>
          <w:szCs w:val="21"/>
        </w:rPr>
        <w:t>1、资格审核文件包括：</w:t>
      </w:r>
    </w:p>
    <w:p>
      <w:p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1.1、资格条件自查表（格式附后）</w:t>
      </w:r>
    </w:p>
    <w:p>
      <w:pPr>
        <w:spacing w:line="400" w:lineRule="exact"/>
        <w:ind w:firstLine="420" w:firstLineChars="200"/>
        <w:rPr>
          <w:rFonts w:ascii="宋体" w:hAnsi="宋体" w:cs="宋体"/>
          <w:color w:val="auto"/>
        </w:rPr>
      </w:pPr>
      <w:r>
        <w:rPr>
          <w:rFonts w:hint="eastAsia" w:ascii="宋体" w:hAnsi="宋体" w:cs="宋体"/>
          <w:color w:val="auto"/>
          <w:szCs w:val="21"/>
        </w:rPr>
        <w:t>1</w:t>
      </w:r>
      <w:r>
        <w:rPr>
          <w:rFonts w:hint="eastAsia" w:ascii="宋体" w:hAnsi="宋体" w:cs="宋体"/>
          <w:color w:val="auto"/>
        </w:rPr>
        <w:t>.2、有效的营业执照（或事业法人登记证）、其他组织（个体工商户）的营业执照或者民办非企业单位登记证书复印件并加盖公章，供应商如果有名称变更的，应提供由行政主管部门出具的变更证明文件；</w:t>
      </w:r>
    </w:p>
    <w:p>
      <w:pPr>
        <w:spacing w:line="400" w:lineRule="exact"/>
        <w:ind w:firstLine="420" w:firstLineChars="200"/>
        <w:rPr>
          <w:rFonts w:ascii="宋体" w:hAnsi="宋体" w:cs="宋体"/>
          <w:color w:val="auto"/>
        </w:rPr>
      </w:pPr>
      <w:r>
        <w:rPr>
          <w:rFonts w:hint="eastAsia" w:ascii="宋体" w:hAnsi="宋体" w:cs="宋体"/>
          <w:color w:val="auto"/>
        </w:rPr>
        <w:t>1.3、2019年12月财务状况报表复印件（至少包含资产负债表和利润表）；供应商新成立不足一年，提供银行出具的资信证明材料复印件；</w:t>
      </w:r>
    </w:p>
    <w:p>
      <w:pPr>
        <w:spacing w:line="400" w:lineRule="exact"/>
        <w:ind w:firstLine="420" w:firstLineChars="200"/>
        <w:rPr>
          <w:rFonts w:ascii="宋体" w:hAnsi="宋体" w:cs="宋体"/>
          <w:color w:val="auto"/>
        </w:rPr>
      </w:pPr>
      <w:r>
        <w:rPr>
          <w:rFonts w:hint="eastAsia" w:ascii="宋体" w:hAnsi="宋体" w:cs="宋体"/>
          <w:color w:val="auto"/>
        </w:rPr>
        <w:t>1.4、提交首次磋商响应文件截止日三个月内的任一月份的缴纳税收的凭据证明材料复印件并加盖公章；如依法免税的，应提供相应文件证明其依法免税)；</w:t>
      </w:r>
    </w:p>
    <w:p>
      <w:pPr>
        <w:spacing w:line="400" w:lineRule="exact"/>
        <w:ind w:firstLine="420" w:firstLineChars="200"/>
        <w:rPr>
          <w:rFonts w:ascii="宋体" w:hAnsi="宋体" w:cs="宋体"/>
          <w:color w:val="auto"/>
        </w:rPr>
      </w:pPr>
      <w:r>
        <w:rPr>
          <w:rFonts w:hint="eastAsia" w:ascii="宋体" w:hAnsi="宋体" w:cs="宋体"/>
          <w:color w:val="auto"/>
        </w:rPr>
        <w:t>1.5、提交首次磋商响应文件截止日三个月内的任一月份的缴纳社会保险的凭据证明材料复印件并加盖公章；如依法不需要缴纳社会保障资金的，应提供相应文件证明其依法不需要缴纳社会保障资金；</w:t>
      </w:r>
    </w:p>
    <w:p>
      <w:pPr>
        <w:spacing w:line="400" w:lineRule="exact"/>
        <w:ind w:firstLine="420" w:firstLineChars="200"/>
        <w:rPr>
          <w:rFonts w:ascii="宋体" w:hAnsi="宋体" w:cs="宋体"/>
          <w:color w:val="auto"/>
        </w:rPr>
      </w:pPr>
      <w:r>
        <w:rPr>
          <w:rFonts w:hint="eastAsia" w:ascii="宋体" w:hAnsi="宋体" w:cs="宋体"/>
          <w:color w:val="auto"/>
        </w:rPr>
        <w:t>1.6、提供具有履行合同所必需的设备和专业技术能力的书面声明（格式附后）；</w:t>
      </w:r>
    </w:p>
    <w:p>
      <w:pPr>
        <w:spacing w:line="400" w:lineRule="exact"/>
        <w:ind w:firstLine="420" w:firstLineChars="200"/>
        <w:rPr>
          <w:rFonts w:ascii="宋体" w:hAnsi="宋体" w:cs="宋体"/>
          <w:color w:val="auto"/>
        </w:rPr>
      </w:pPr>
      <w:r>
        <w:rPr>
          <w:rFonts w:hint="eastAsia" w:ascii="宋体" w:hAnsi="宋体" w:cs="宋体"/>
          <w:color w:val="auto"/>
        </w:rPr>
        <w:t>1.7、提供参加政府采购活动前3年内在经营活动中没有重大违法记录的书面声明（格式附后）</w:t>
      </w:r>
      <w:r>
        <w:rPr>
          <w:rFonts w:hint="eastAsia" w:ascii="宋体" w:hAnsi="宋体" w:cs="宋体"/>
          <w:color w:val="auto"/>
          <w:szCs w:val="21"/>
          <w:lang w:val="zh-CN"/>
        </w:rPr>
        <w:t>。</w:t>
      </w:r>
    </w:p>
    <w:p>
      <w:pPr>
        <w:pStyle w:val="58"/>
        <w:rPr>
          <w:color w:val="auto"/>
        </w:rPr>
      </w:pPr>
    </w:p>
    <w:p>
      <w:pPr>
        <w:snapToGrid w:val="0"/>
        <w:spacing w:beforeLines="50" w:after="50"/>
        <w:jc w:val="center"/>
        <w:outlineLvl w:val="1"/>
        <w:rPr>
          <w:rFonts w:ascii="宋体" w:hAnsi="宋体" w:cs="宋体"/>
          <w:color w:val="auto"/>
        </w:rPr>
      </w:pPr>
    </w:p>
    <w:p>
      <w:pPr>
        <w:snapToGrid w:val="0"/>
        <w:spacing w:beforeLines="50" w:after="50"/>
        <w:jc w:val="center"/>
        <w:outlineLvl w:val="1"/>
        <w:rPr>
          <w:rFonts w:ascii="宋体" w:hAnsi="宋体" w:cs="宋体"/>
          <w:color w:val="auto"/>
        </w:rPr>
      </w:pPr>
    </w:p>
    <w:p>
      <w:pPr>
        <w:snapToGrid w:val="0"/>
        <w:spacing w:beforeLines="50" w:after="50"/>
        <w:jc w:val="center"/>
        <w:outlineLvl w:val="1"/>
        <w:rPr>
          <w:rFonts w:ascii="宋体" w:hAnsi="宋体" w:cs="宋体"/>
          <w:color w:val="auto"/>
        </w:rPr>
      </w:pPr>
    </w:p>
    <w:p>
      <w:pPr>
        <w:snapToGrid w:val="0"/>
        <w:spacing w:beforeLines="50" w:after="50"/>
        <w:jc w:val="center"/>
        <w:outlineLvl w:val="1"/>
        <w:rPr>
          <w:rFonts w:ascii="宋体" w:hAnsi="宋体" w:cs="宋体"/>
          <w:color w:val="auto"/>
        </w:rPr>
      </w:pPr>
    </w:p>
    <w:p>
      <w:pPr>
        <w:snapToGrid w:val="0"/>
        <w:spacing w:beforeLines="50" w:after="50"/>
        <w:jc w:val="center"/>
        <w:outlineLvl w:val="1"/>
        <w:rPr>
          <w:rFonts w:ascii="宋体" w:hAnsi="宋体" w:cs="宋体"/>
          <w:color w:val="auto"/>
        </w:rPr>
      </w:pPr>
    </w:p>
    <w:p>
      <w:pPr>
        <w:snapToGrid w:val="0"/>
        <w:spacing w:beforeLines="50" w:after="50"/>
        <w:jc w:val="center"/>
        <w:outlineLvl w:val="1"/>
        <w:rPr>
          <w:rFonts w:ascii="宋体" w:hAnsi="宋体" w:cs="宋体"/>
          <w:color w:val="auto"/>
        </w:rPr>
      </w:pPr>
    </w:p>
    <w:p>
      <w:pPr>
        <w:snapToGrid w:val="0"/>
        <w:spacing w:beforeLines="50" w:after="50"/>
        <w:jc w:val="center"/>
        <w:outlineLvl w:val="1"/>
        <w:rPr>
          <w:rFonts w:ascii="宋体" w:hAnsi="宋体" w:cs="宋体"/>
          <w:color w:val="auto"/>
        </w:rPr>
      </w:pPr>
    </w:p>
    <w:p>
      <w:pPr>
        <w:snapToGrid w:val="0"/>
        <w:spacing w:beforeLines="50" w:after="50"/>
        <w:jc w:val="center"/>
        <w:outlineLvl w:val="1"/>
        <w:rPr>
          <w:rFonts w:ascii="宋体" w:hAnsi="宋体" w:cs="宋体"/>
          <w:color w:val="auto"/>
        </w:rPr>
      </w:pPr>
    </w:p>
    <w:p>
      <w:pPr>
        <w:snapToGrid w:val="0"/>
        <w:spacing w:beforeLines="50" w:after="50"/>
        <w:jc w:val="center"/>
        <w:outlineLvl w:val="1"/>
        <w:rPr>
          <w:rFonts w:ascii="宋体" w:hAnsi="宋体" w:cs="宋体"/>
          <w:color w:val="auto"/>
        </w:rPr>
      </w:pPr>
    </w:p>
    <w:p>
      <w:pPr>
        <w:snapToGrid w:val="0"/>
        <w:spacing w:beforeLines="50" w:after="50"/>
        <w:jc w:val="center"/>
        <w:outlineLvl w:val="1"/>
        <w:rPr>
          <w:rFonts w:ascii="宋体" w:hAnsi="宋体" w:cs="宋体"/>
          <w:color w:val="auto"/>
        </w:rPr>
      </w:pPr>
    </w:p>
    <w:p>
      <w:pPr>
        <w:snapToGrid w:val="0"/>
        <w:spacing w:beforeLines="50" w:after="50"/>
        <w:jc w:val="center"/>
        <w:outlineLvl w:val="1"/>
        <w:rPr>
          <w:rFonts w:ascii="宋体" w:hAnsi="宋体" w:cs="宋体"/>
          <w:color w:val="auto"/>
        </w:rPr>
      </w:pPr>
    </w:p>
    <w:p>
      <w:pPr>
        <w:snapToGrid w:val="0"/>
        <w:spacing w:beforeLines="50" w:after="50"/>
        <w:jc w:val="center"/>
        <w:outlineLvl w:val="1"/>
        <w:rPr>
          <w:rFonts w:ascii="宋体" w:hAnsi="宋体" w:cs="宋体"/>
          <w:color w:val="auto"/>
        </w:rPr>
      </w:pPr>
    </w:p>
    <w:p>
      <w:pPr>
        <w:snapToGrid w:val="0"/>
        <w:spacing w:beforeLines="50" w:after="50"/>
        <w:jc w:val="center"/>
        <w:outlineLvl w:val="1"/>
        <w:rPr>
          <w:rFonts w:ascii="宋体" w:hAnsi="宋体" w:cs="宋体"/>
          <w:color w:val="auto"/>
        </w:rPr>
      </w:pPr>
    </w:p>
    <w:p>
      <w:pPr>
        <w:snapToGrid w:val="0"/>
        <w:spacing w:beforeLines="50" w:after="50"/>
        <w:jc w:val="center"/>
        <w:outlineLvl w:val="1"/>
        <w:rPr>
          <w:rFonts w:ascii="宋体" w:hAnsi="宋体" w:cs="宋体"/>
          <w:color w:val="auto"/>
        </w:rPr>
      </w:pPr>
    </w:p>
    <w:p>
      <w:pPr>
        <w:snapToGrid w:val="0"/>
        <w:spacing w:beforeLines="50" w:after="50"/>
        <w:jc w:val="center"/>
        <w:outlineLvl w:val="1"/>
        <w:rPr>
          <w:rFonts w:ascii="宋体" w:hAnsi="宋体" w:cs="宋体"/>
          <w:color w:val="auto"/>
        </w:rPr>
      </w:pPr>
    </w:p>
    <w:p>
      <w:pPr>
        <w:snapToGrid w:val="0"/>
        <w:spacing w:beforeLines="50" w:after="50"/>
        <w:outlineLvl w:val="1"/>
        <w:rPr>
          <w:rFonts w:ascii="宋体" w:hAnsi="宋体" w:cs="宋体"/>
          <w:color w:val="auto"/>
        </w:rPr>
      </w:pPr>
    </w:p>
    <w:p>
      <w:pPr>
        <w:rPr>
          <w:rFonts w:ascii="宋体" w:hAnsi="宋体" w:cs="宋体"/>
          <w:b/>
          <w:color w:val="auto"/>
        </w:rPr>
      </w:pPr>
      <w:r>
        <w:rPr>
          <w:rFonts w:hint="eastAsia" w:ascii="宋体" w:hAnsi="宋体" w:cs="宋体"/>
          <w:color w:val="auto"/>
        </w:rPr>
        <w:br w:type="page"/>
      </w:r>
      <w:r>
        <w:rPr>
          <w:rFonts w:hint="eastAsia" w:ascii="宋体" w:hAnsi="宋体" w:cs="宋体"/>
          <w:color w:val="auto"/>
        </w:rPr>
        <w:t>1、资格条件自查表；</w:t>
      </w:r>
    </w:p>
    <w:p>
      <w:pPr>
        <w:adjustRightInd w:val="0"/>
        <w:snapToGrid w:val="0"/>
        <w:jc w:val="center"/>
        <w:rPr>
          <w:rFonts w:ascii="宋体" w:hAnsi="宋体" w:cs="宋体"/>
          <w:b/>
          <w:color w:val="auto"/>
          <w:sz w:val="24"/>
        </w:rPr>
      </w:pPr>
      <w:r>
        <w:rPr>
          <w:rFonts w:hint="eastAsia" w:ascii="宋体" w:hAnsi="宋体" w:cs="宋体"/>
          <w:b/>
          <w:color w:val="auto"/>
          <w:sz w:val="24"/>
        </w:rPr>
        <w:t>资格条件自查表</w:t>
      </w:r>
    </w:p>
    <w:tbl>
      <w:tblPr>
        <w:tblStyle w:val="45"/>
        <w:tblW w:w="9037" w:type="dxa"/>
        <w:jc w:val="center"/>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Layout w:type="fixed"/>
        <w:tblCellMar>
          <w:top w:w="150" w:type="dxa"/>
          <w:left w:w="150" w:type="dxa"/>
          <w:bottom w:w="150" w:type="dxa"/>
          <w:right w:w="150" w:type="dxa"/>
        </w:tblCellMar>
      </w:tblPr>
      <w:tblGrid>
        <w:gridCol w:w="841"/>
        <w:gridCol w:w="4270"/>
        <w:gridCol w:w="1285"/>
        <w:gridCol w:w="2641"/>
      </w:tblGrid>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79" w:hRule="atLeast"/>
          <w:jc w:val="center"/>
        </w:trPr>
        <w:tc>
          <w:tcPr>
            <w:tcW w:w="841" w:type="dxa"/>
            <w:tcBorders>
              <w:top w:val="single" w:color="auto" w:sz="12" w:space="0"/>
              <w:left w:val="single" w:color="auto" w:sz="12" w:space="0"/>
              <w:bottom w:val="outset" w:color="111111" w:sz="6" w:space="0"/>
              <w:right w:val="outset" w:color="111111" w:sz="6" w:space="0"/>
            </w:tcBorders>
            <w:vAlign w:val="center"/>
          </w:tcPr>
          <w:p>
            <w:pPr>
              <w:adjustRightInd w:val="0"/>
              <w:snapToGrid w:val="0"/>
              <w:spacing w:line="240" w:lineRule="exact"/>
              <w:jc w:val="center"/>
              <w:rPr>
                <w:rFonts w:ascii="宋体" w:hAnsi="宋体" w:cs="宋体"/>
                <w:color w:val="auto"/>
                <w:szCs w:val="21"/>
              </w:rPr>
            </w:pPr>
            <w:r>
              <w:rPr>
                <w:rStyle w:val="48"/>
                <w:rFonts w:hint="eastAsia" w:ascii="宋体" w:hAnsi="宋体" w:cs="宋体"/>
                <w:color w:val="auto"/>
                <w:kern w:val="2"/>
                <w:sz w:val="21"/>
                <w:szCs w:val="21"/>
                <w:lang w:eastAsia="zh-CN"/>
              </w:rPr>
              <w:t>评审内容</w:t>
            </w:r>
          </w:p>
        </w:tc>
        <w:tc>
          <w:tcPr>
            <w:tcW w:w="4270" w:type="dxa"/>
            <w:tcBorders>
              <w:top w:val="single" w:color="auto" w:sz="12" w:space="0"/>
              <w:left w:val="outset" w:color="111111" w:sz="6" w:space="0"/>
              <w:bottom w:val="outset" w:color="111111" w:sz="6" w:space="0"/>
              <w:right w:val="outset" w:color="111111" w:sz="6" w:space="0"/>
            </w:tcBorders>
            <w:vAlign w:val="center"/>
          </w:tcPr>
          <w:p>
            <w:pPr>
              <w:adjustRightInd w:val="0"/>
              <w:snapToGrid w:val="0"/>
              <w:spacing w:line="240" w:lineRule="exact"/>
              <w:jc w:val="center"/>
              <w:rPr>
                <w:rFonts w:ascii="宋体" w:hAnsi="宋体" w:cs="宋体"/>
                <w:color w:val="auto"/>
                <w:szCs w:val="21"/>
              </w:rPr>
            </w:pPr>
            <w:r>
              <w:rPr>
                <w:rFonts w:hint="eastAsia" w:ascii="宋体" w:hAnsi="宋体" w:cs="宋体"/>
                <w:b/>
                <w:color w:val="auto"/>
                <w:szCs w:val="21"/>
              </w:rPr>
              <w:t>磋商采购文件要求</w:t>
            </w:r>
          </w:p>
        </w:tc>
        <w:tc>
          <w:tcPr>
            <w:tcW w:w="128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spacing w:line="240" w:lineRule="exact"/>
              <w:jc w:val="center"/>
              <w:rPr>
                <w:rFonts w:ascii="宋体" w:hAnsi="宋体" w:cs="宋体"/>
                <w:color w:val="auto"/>
                <w:szCs w:val="21"/>
              </w:rPr>
            </w:pPr>
            <w:r>
              <w:rPr>
                <w:rStyle w:val="48"/>
                <w:rFonts w:hint="eastAsia" w:ascii="宋体" w:hAnsi="宋体" w:cs="宋体"/>
                <w:color w:val="auto"/>
                <w:kern w:val="2"/>
                <w:sz w:val="21"/>
                <w:szCs w:val="21"/>
                <w:lang w:eastAsia="zh-CN"/>
              </w:rPr>
              <w:t>自查结论</w:t>
            </w:r>
          </w:p>
        </w:tc>
        <w:tc>
          <w:tcPr>
            <w:tcW w:w="2641" w:type="dxa"/>
            <w:tcBorders>
              <w:top w:val="single" w:color="auto" w:sz="12" w:space="0"/>
              <w:left w:val="outset" w:color="111111" w:sz="6" w:space="0"/>
              <w:bottom w:val="outset" w:color="111111" w:sz="6" w:space="0"/>
              <w:right w:val="single" w:color="auto" w:sz="12" w:space="0"/>
            </w:tcBorders>
            <w:vAlign w:val="center"/>
          </w:tcPr>
          <w:p>
            <w:pPr>
              <w:adjustRightInd w:val="0"/>
              <w:snapToGrid w:val="0"/>
              <w:spacing w:line="240" w:lineRule="exact"/>
              <w:jc w:val="center"/>
              <w:rPr>
                <w:rFonts w:ascii="宋体" w:hAnsi="宋体" w:cs="宋体"/>
                <w:color w:val="auto"/>
                <w:szCs w:val="21"/>
              </w:rPr>
            </w:pPr>
            <w:r>
              <w:rPr>
                <w:rStyle w:val="48"/>
                <w:rFonts w:hint="eastAsia" w:ascii="宋体" w:hAnsi="宋体" w:cs="宋体"/>
                <w:color w:val="auto"/>
                <w:kern w:val="2"/>
                <w:sz w:val="21"/>
                <w:szCs w:val="21"/>
                <w:lang w:eastAsia="zh-CN"/>
              </w:rPr>
              <w:t>证明资料</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286" w:hRule="atLeast"/>
          <w:jc w:val="center"/>
        </w:trPr>
        <w:tc>
          <w:tcPr>
            <w:tcW w:w="841" w:type="dxa"/>
            <w:vMerge w:val="restart"/>
            <w:tcBorders>
              <w:top w:val="outset" w:color="111111" w:sz="6" w:space="0"/>
              <w:left w:val="single" w:color="auto" w:sz="12" w:space="0"/>
              <w:bottom w:val="outset" w:color="111111" w:sz="6" w:space="0"/>
              <w:right w:val="outset" w:color="111111" w:sz="6" w:space="0"/>
            </w:tcBorders>
            <w:vAlign w:val="center"/>
          </w:tcPr>
          <w:p>
            <w:pPr>
              <w:pStyle w:val="83"/>
              <w:adjustRightInd w:val="0"/>
              <w:snapToGrid w:val="0"/>
              <w:spacing w:before="0" w:beforeAutospacing="0" w:after="0" w:afterAutospacing="0" w:line="240" w:lineRule="exact"/>
              <w:jc w:val="center"/>
              <w:rPr>
                <w:rFonts w:hint="default" w:cs="宋体"/>
                <w:b/>
                <w:color w:val="auto"/>
                <w:kern w:val="2"/>
                <w:sz w:val="21"/>
                <w:szCs w:val="21"/>
              </w:rPr>
            </w:pPr>
            <w:r>
              <w:rPr>
                <w:rFonts w:cs="宋体"/>
                <w:b/>
                <w:color w:val="auto"/>
                <w:kern w:val="2"/>
                <w:sz w:val="21"/>
                <w:szCs w:val="21"/>
              </w:rPr>
              <w:t>资</w:t>
            </w:r>
          </w:p>
          <w:p>
            <w:pPr>
              <w:pStyle w:val="83"/>
              <w:adjustRightInd w:val="0"/>
              <w:snapToGrid w:val="0"/>
              <w:spacing w:before="0" w:beforeAutospacing="0" w:after="0" w:afterAutospacing="0" w:line="240" w:lineRule="exact"/>
              <w:jc w:val="center"/>
              <w:rPr>
                <w:rFonts w:hint="default" w:cs="宋体"/>
                <w:b/>
                <w:color w:val="auto"/>
                <w:kern w:val="2"/>
                <w:sz w:val="21"/>
                <w:szCs w:val="21"/>
              </w:rPr>
            </w:pPr>
            <w:r>
              <w:rPr>
                <w:rFonts w:cs="宋体"/>
                <w:b/>
                <w:color w:val="auto"/>
                <w:kern w:val="2"/>
                <w:sz w:val="21"/>
                <w:szCs w:val="21"/>
              </w:rPr>
              <w:t>格</w:t>
            </w:r>
          </w:p>
          <w:p>
            <w:pPr>
              <w:pStyle w:val="83"/>
              <w:adjustRightInd w:val="0"/>
              <w:snapToGrid w:val="0"/>
              <w:spacing w:before="0" w:beforeAutospacing="0" w:after="0" w:afterAutospacing="0" w:line="240" w:lineRule="exact"/>
              <w:jc w:val="center"/>
              <w:rPr>
                <w:rFonts w:hint="default" w:cs="宋体"/>
                <w:b/>
                <w:color w:val="auto"/>
                <w:kern w:val="2"/>
                <w:sz w:val="21"/>
                <w:szCs w:val="21"/>
              </w:rPr>
            </w:pPr>
            <w:r>
              <w:rPr>
                <w:rFonts w:cs="宋体"/>
                <w:b/>
                <w:color w:val="auto"/>
                <w:kern w:val="2"/>
                <w:sz w:val="21"/>
                <w:szCs w:val="21"/>
              </w:rPr>
              <w:t>性</w:t>
            </w:r>
          </w:p>
          <w:p>
            <w:pPr>
              <w:pStyle w:val="83"/>
              <w:adjustRightInd w:val="0"/>
              <w:snapToGrid w:val="0"/>
              <w:spacing w:before="0" w:beforeAutospacing="0" w:after="0" w:afterAutospacing="0" w:line="240" w:lineRule="exact"/>
              <w:jc w:val="center"/>
              <w:rPr>
                <w:rFonts w:hint="default" w:cs="宋体"/>
                <w:b/>
                <w:color w:val="auto"/>
                <w:kern w:val="2"/>
                <w:sz w:val="21"/>
                <w:szCs w:val="21"/>
              </w:rPr>
            </w:pPr>
            <w:r>
              <w:rPr>
                <w:rFonts w:cs="宋体"/>
                <w:b/>
                <w:color w:val="auto"/>
                <w:kern w:val="2"/>
                <w:sz w:val="21"/>
                <w:szCs w:val="21"/>
              </w:rPr>
              <w:t>审</w:t>
            </w:r>
          </w:p>
          <w:p>
            <w:pPr>
              <w:pStyle w:val="83"/>
              <w:adjustRightInd w:val="0"/>
              <w:snapToGrid w:val="0"/>
              <w:spacing w:before="0" w:beforeAutospacing="0" w:after="0" w:afterAutospacing="0" w:line="240" w:lineRule="exact"/>
              <w:jc w:val="center"/>
              <w:rPr>
                <w:rFonts w:hint="default" w:cs="宋体"/>
                <w:b/>
                <w:color w:val="auto"/>
                <w:kern w:val="2"/>
                <w:sz w:val="21"/>
                <w:szCs w:val="21"/>
              </w:rPr>
            </w:pPr>
            <w:r>
              <w:rPr>
                <w:rFonts w:cs="宋体"/>
                <w:b/>
                <w:color w:val="auto"/>
                <w:kern w:val="2"/>
                <w:sz w:val="21"/>
                <w:szCs w:val="21"/>
              </w:rPr>
              <w:t>查</w:t>
            </w:r>
          </w:p>
        </w:tc>
        <w:tc>
          <w:tcPr>
            <w:tcW w:w="4270" w:type="dxa"/>
            <w:tcBorders>
              <w:top w:val="outset" w:color="111111" w:sz="6" w:space="0"/>
              <w:left w:val="outset" w:color="111111" w:sz="6" w:space="0"/>
              <w:bottom w:val="single" w:color="auto" w:sz="4" w:space="0"/>
              <w:right w:val="outset" w:color="111111" w:sz="6" w:space="0"/>
            </w:tcBorders>
            <w:vAlign w:val="center"/>
          </w:tcPr>
          <w:p>
            <w:pPr>
              <w:adjustRightInd w:val="0"/>
              <w:snapToGrid w:val="0"/>
              <w:spacing w:line="240" w:lineRule="exact"/>
              <w:rPr>
                <w:rFonts w:ascii="宋体" w:hAnsi="宋体" w:cs="宋体"/>
                <w:color w:val="auto"/>
                <w:szCs w:val="21"/>
              </w:rPr>
            </w:pPr>
            <w:r>
              <w:rPr>
                <w:rFonts w:hint="eastAsia" w:ascii="宋体" w:hAnsi="宋体" w:cs="宋体"/>
                <w:color w:val="auto"/>
                <w:szCs w:val="21"/>
              </w:rPr>
              <w:t>1.符合《中华人民共和国政府采购法》第二十二条规定的供应商资格条件</w:t>
            </w:r>
          </w:p>
        </w:tc>
        <w:tc>
          <w:tcPr>
            <w:tcW w:w="1285" w:type="dxa"/>
            <w:vMerge w:val="restart"/>
            <w:tcBorders>
              <w:top w:val="outset" w:color="111111" w:sz="6" w:space="0"/>
              <w:left w:val="outset" w:color="111111" w:sz="6" w:space="0"/>
              <w:bottom w:val="single" w:color="auto" w:sz="2" w:space="0"/>
              <w:right w:val="outset" w:color="111111" w:sz="6" w:space="0"/>
            </w:tcBorders>
            <w:vAlign w:val="center"/>
          </w:tcPr>
          <w:p>
            <w:pPr>
              <w:adjustRightInd w:val="0"/>
              <w:snapToGrid w:val="0"/>
              <w:spacing w:line="240" w:lineRule="exact"/>
              <w:rPr>
                <w:rFonts w:ascii="宋体" w:hAnsi="宋体" w:cs="宋体"/>
                <w:color w:val="auto"/>
                <w:szCs w:val="21"/>
              </w:rPr>
            </w:pPr>
            <w:r>
              <w:rPr>
                <w:rFonts w:hint="eastAsia" w:ascii="宋体" w:hAnsi="宋体" w:cs="宋体"/>
                <w:color w:val="auto"/>
                <w:szCs w:val="21"/>
              </w:rPr>
              <w:t xml:space="preserve">□通过 </w:t>
            </w:r>
          </w:p>
          <w:p>
            <w:pPr>
              <w:adjustRightInd w:val="0"/>
              <w:snapToGrid w:val="0"/>
              <w:spacing w:line="240" w:lineRule="exact"/>
              <w:rPr>
                <w:rFonts w:ascii="宋体" w:hAnsi="宋体" w:cs="宋体"/>
                <w:color w:val="auto"/>
                <w:szCs w:val="21"/>
              </w:rPr>
            </w:pPr>
            <w:r>
              <w:rPr>
                <w:rFonts w:hint="eastAsia" w:ascii="宋体" w:hAnsi="宋体" w:cs="宋体"/>
                <w:color w:val="auto"/>
                <w:szCs w:val="21"/>
              </w:rPr>
              <w:t>□不通过</w:t>
            </w:r>
          </w:p>
        </w:tc>
        <w:tc>
          <w:tcPr>
            <w:tcW w:w="2641" w:type="dxa"/>
            <w:tcBorders>
              <w:top w:val="outset" w:color="111111" w:sz="6" w:space="0"/>
              <w:left w:val="outset" w:color="111111" w:sz="6" w:space="0"/>
              <w:bottom w:val="single" w:color="auto" w:sz="4" w:space="0"/>
              <w:right w:val="single" w:color="auto" w:sz="12" w:space="0"/>
            </w:tcBorders>
            <w:vAlign w:val="center"/>
          </w:tcPr>
          <w:p>
            <w:pPr>
              <w:adjustRightInd w:val="0"/>
              <w:snapToGrid w:val="0"/>
              <w:spacing w:line="240" w:lineRule="exact"/>
              <w:jc w:val="center"/>
              <w:rPr>
                <w:rFonts w:ascii="宋体" w:hAnsi="宋体" w:cs="宋体"/>
                <w:color w:val="auto"/>
                <w:szCs w:val="21"/>
              </w:rPr>
            </w:pPr>
            <w:r>
              <w:rPr>
                <w:rFonts w:hint="eastAsia" w:ascii="宋体" w:hAnsi="宋体" w:cs="宋体"/>
                <w:color w:val="auto"/>
                <w:szCs w:val="21"/>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640"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vAlign w:val="center"/>
          </w:tcPr>
          <w:p>
            <w:pPr>
              <w:spacing w:line="240" w:lineRule="exact"/>
              <w:rPr>
                <w:rFonts w:ascii="宋体" w:hAnsi="宋体" w:cs="宋体"/>
                <w:color w:val="auto"/>
              </w:rPr>
            </w:pPr>
          </w:p>
        </w:tc>
        <w:tc>
          <w:tcPr>
            <w:tcW w:w="4270" w:type="dxa"/>
            <w:tcBorders>
              <w:top w:val="outset" w:color="111111" w:sz="6" w:space="0"/>
              <w:left w:val="outset" w:color="111111" w:sz="6" w:space="0"/>
              <w:bottom w:val="single" w:color="auto" w:sz="4" w:space="0"/>
              <w:right w:val="outset" w:color="111111" w:sz="6" w:space="0"/>
            </w:tcBorders>
            <w:vAlign w:val="center"/>
          </w:tcPr>
          <w:p>
            <w:pPr>
              <w:adjustRightInd w:val="0"/>
              <w:snapToGrid w:val="0"/>
              <w:spacing w:line="240" w:lineRule="exact"/>
              <w:rPr>
                <w:rFonts w:ascii="宋体" w:hAnsi="宋体" w:cs="宋体"/>
                <w:color w:val="auto"/>
                <w:szCs w:val="21"/>
              </w:rPr>
            </w:pPr>
            <w:r>
              <w:rPr>
                <w:rFonts w:hint="eastAsia" w:ascii="宋体" w:hAnsi="宋体" w:cs="宋体"/>
                <w:color w:val="auto"/>
                <w:szCs w:val="21"/>
              </w:rPr>
              <w:t xml:space="preserve">2. </w:t>
            </w:r>
            <w:r>
              <w:rPr>
                <w:rFonts w:hint="eastAsia" w:ascii="宋体" w:hAnsi="宋体" w:cs="宋体"/>
                <w:color w:val="auto"/>
              </w:rPr>
              <w:t>有效的营业执照（或事业法人登记证）、其他组织（个体工商户）的营业执照或者民办非企业单位登记证书复印件并加盖公章，供应商如果有名称变更的，应提供由行政主管部门出具的变更证明文件</w:t>
            </w:r>
            <w:r>
              <w:rPr>
                <w:rFonts w:hint="eastAsia" w:ascii="宋体" w:hAnsi="宋体" w:cs="宋体"/>
                <w:color w:val="auto"/>
                <w:szCs w:val="21"/>
              </w:rPr>
              <w:t>；</w:t>
            </w:r>
          </w:p>
        </w:tc>
        <w:tc>
          <w:tcPr>
            <w:tcW w:w="1285" w:type="dxa"/>
            <w:vMerge w:val="continue"/>
            <w:tcBorders>
              <w:top w:val="outset" w:color="111111" w:sz="6" w:space="0"/>
              <w:left w:val="outset" w:color="111111" w:sz="6" w:space="0"/>
              <w:bottom w:val="single" w:color="auto" w:sz="2" w:space="0"/>
              <w:right w:val="outset" w:color="111111" w:sz="6" w:space="0"/>
            </w:tcBorders>
            <w:vAlign w:val="center"/>
          </w:tcPr>
          <w:p>
            <w:pPr>
              <w:spacing w:line="240" w:lineRule="exact"/>
              <w:rPr>
                <w:rFonts w:ascii="宋体" w:hAnsi="宋体" w:cs="宋体"/>
                <w:color w:val="auto"/>
              </w:rPr>
            </w:pPr>
          </w:p>
        </w:tc>
        <w:tc>
          <w:tcPr>
            <w:tcW w:w="2641" w:type="dxa"/>
            <w:tcBorders>
              <w:top w:val="outset" w:color="111111" w:sz="6" w:space="0"/>
              <w:left w:val="outset" w:color="111111" w:sz="6" w:space="0"/>
              <w:bottom w:val="single" w:color="auto" w:sz="4" w:space="0"/>
              <w:right w:val="single" w:color="auto" w:sz="12" w:space="0"/>
            </w:tcBorders>
            <w:vAlign w:val="center"/>
          </w:tcPr>
          <w:p>
            <w:pPr>
              <w:adjustRightInd w:val="0"/>
              <w:snapToGrid w:val="0"/>
              <w:spacing w:line="240" w:lineRule="exact"/>
              <w:jc w:val="center"/>
              <w:rPr>
                <w:rFonts w:ascii="宋体" w:hAnsi="宋体" w:cs="宋体"/>
                <w:color w:val="auto"/>
                <w:szCs w:val="21"/>
              </w:rPr>
            </w:pPr>
            <w:r>
              <w:rPr>
                <w:rFonts w:hint="eastAsia" w:ascii="宋体" w:hAnsi="宋体" w:cs="宋体"/>
                <w:color w:val="auto"/>
                <w:szCs w:val="21"/>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79"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vAlign w:val="center"/>
          </w:tcPr>
          <w:p>
            <w:pPr>
              <w:spacing w:line="240" w:lineRule="exact"/>
              <w:rPr>
                <w:rFonts w:ascii="宋体" w:hAnsi="宋体" w:cs="宋体"/>
                <w:color w:val="auto"/>
              </w:rPr>
            </w:pPr>
          </w:p>
        </w:tc>
        <w:tc>
          <w:tcPr>
            <w:tcW w:w="4270" w:type="dxa"/>
            <w:tcBorders>
              <w:top w:val="outset" w:color="111111" w:sz="6" w:space="0"/>
              <w:left w:val="outset" w:color="111111" w:sz="6" w:space="0"/>
              <w:bottom w:val="single" w:color="auto" w:sz="4" w:space="0"/>
              <w:right w:val="outset" w:color="111111" w:sz="6" w:space="0"/>
            </w:tcBorders>
            <w:vAlign w:val="center"/>
          </w:tcPr>
          <w:p>
            <w:pPr>
              <w:adjustRightInd w:val="0"/>
              <w:snapToGrid w:val="0"/>
              <w:spacing w:line="240" w:lineRule="exact"/>
              <w:rPr>
                <w:rFonts w:ascii="宋体" w:hAnsi="宋体" w:cs="宋体"/>
                <w:color w:val="auto"/>
                <w:szCs w:val="21"/>
              </w:rPr>
            </w:pPr>
            <w:r>
              <w:rPr>
                <w:rFonts w:hint="eastAsia" w:ascii="宋体" w:hAnsi="宋体" w:cs="宋体"/>
                <w:color w:val="auto"/>
                <w:szCs w:val="21"/>
              </w:rPr>
              <w:t>3.供应商如果有名称变更的，应提供由行政主管部门出具的变更证明文件。</w:t>
            </w:r>
          </w:p>
        </w:tc>
        <w:tc>
          <w:tcPr>
            <w:tcW w:w="1285" w:type="dxa"/>
            <w:vMerge w:val="continue"/>
            <w:tcBorders>
              <w:top w:val="outset" w:color="111111" w:sz="6" w:space="0"/>
              <w:left w:val="outset" w:color="111111" w:sz="6" w:space="0"/>
              <w:bottom w:val="single" w:color="auto" w:sz="2" w:space="0"/>
              <w:right w:val="outset" w:color="111111" w:sz="6" w:space="0"/>
            </w:tcBorders>
            <w:vAlign w:val="center"/>
          </w:tcPr>
          <w:p>
            <w:pPr>
              <w:spacing w:line="240" w:lineRule="exact"/>
              <w:rPr>
                <w:rFonts w:ascii="宋体" w:hAnsi="宋体" w:cs="宋体"/>
                <w:color w:val="auto"/>
              </w:rPr>
            </w:pPr>
          </w:p>
        </w:tc>
        <w:tc>
          <w:tcPr>
            <w:tcW w:w="2641" w:type="dxa"/>
            <w:tcBorders>
              <w:top w:val="outset" w:color="111111" w:sz="6" w:space="0"/>
              <w:left w:val="outset" w:color="111111" w:sz="6" w:space="0"/>
              <w:bottom w:val="single" w:color="auto" w:sz="4" w:space="0"/>
              <w:right w:val="single" w:color="auto" w:sz="12" w:space="0"/>
            </w:tcBorders>
            <w:vAlign w:val="center"/>
          </w:tcPr>
          <w:p>
            <w:pPr>
              <w:adjustRightInd w:val="0"/>
              <w:snapToGrid w:val="0"/>
              <w:spacing w:line="240" w:lineRule="exact"/>
              <w:jc w:val="center"/>
              <w:rPr>
                <w:rFonts w:ascii="宋体" w:hAnsi="宋体" w:cs="宋体"/>
                <w:color w:val="auto"/>
                <w:szCs w:val="21"/>
              </w:rPr>
            </w:pPr>
            <w:r>
              <w:rPr>
                <w:rFonts w:hint="eastAsia" w:ascii="宋体" w:hAnsi="宋体" w:cs="宋体"/>
                <w:color w:val="auto"/>
                <w:szCs w:val="21"/>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79"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vAlign w:val="center"/>
          </w:tcPr>
          <w:p>
            <w:pPr>
              <w:spacing w:line="240" w:lineRule="exact"/>
              <w:rPr>
                <w:rFonts w:ascii="宋体" w:hAnsi="宋体" w:cs="宋体"/>
                <w:color w:val="auto"/>
              </w:rPr>
            </w:pPr>
          </w:p>
        </w:tc>
        <w:tc>
          <w:tcPr>
            <w:tcW w:w="4270" w:type="dxa"/>
            <w:tcBorders>
              <w:top w:val="single" w:color="auto" w:sz="4" w:space="0"/>
              <w:left w:val="outset" w:color="111111" w:sz="6" w:space="0"/>
              <w:bottom w:val="single" w:color="auto" w:sz="4" w:space="0"/>
              <w:right w:val="outset" w:color="111111" w:sz="6" w:space="0"/>
            </w:tcBorders>
            <w:vAlign w:val="center"/>
          </w:tcPr>
          <w:p>
            <w:pPr>
              <w:adjustRightInd w:val="0"/>
              <w:snapToGrid w:val="0"/>
              <w:spacing w:line="240" w:lineRule="exact"/>
              <w:rPr>
                <w:rFonts w:ascii="宋体" w:hAnsi="宋体" w:cs="宋体"/>
                <w:color w:val="auto"/>
                <w:szCs w:val="21"/>
              </w:rPr>
            </w:pPr>
            <w:r>
              <w:rPr>
                <w:rFonts w:hint="eastAsia" w:ascii="宋体" w:hAnsi="宋体" w:cs="宋体"/>
                <w:color w:val="auto"/>
              </w:rPr>
              <w:t>4.2019年12月财务状况报表复印件（至少包含资产负债表和利润表）；供应商新成立不足一年，提供银行出具的资信证明材料复印件；</w:t>
            </w:r>
          </w:p>
        </w:tc>
        <w:tc>
          <w:tcPr>
            <w:tcW w:w="1285" w:type="dxa"/>
            <w:vMerge w:val="continue"/>
            <w:tcBorders>
              <w:top w:val="outset" w:color="111111" w:sz="6" w:space="0"/>
              <w:left w:val="outset" w:color="111111" w:sz="6" w:space="0"/>
              <w:bottom w:val="single" w:color="auto" w:sz="2" w:space="0"/>
              <w:right w:val="outset" w:color="111111" w:sz="6" w:space="0"/>
            </w:tcBorders>
            <w:vAlign w:val="center"/>
          </w:tcPr>
          <w:p>
            <w:pPr>
              <w:spacing w:line="240" w:lineRule="exact"/>
              <w:rPr>
                <w:rFonts w:ascii="宋体" w:hAnsi="宋体" w:cs="宋体"/>
                <w:color w:val="auto"/>
              </w:rPr>
            </w:pPr>
          </w:p>
        </w:tc>
        <w:tc>
          <w:tcPr>
            <w:tcW w:w="2641" w:type="dxa"/>
            <w:tcBorders>
              <w:top w:val="single" w:color="auto" w:sz="4" w:space="0"/>
              <w:left w:val="outset" w:color="111111" w:sz="6" w:space="0"/>
              <w:bottom w:val="single" w:color="auto" w:sz="4" w:space="0"/>
              <w:right w:val="single" w:color="auto" w:sz="12" w:space="0"/>
            </w:tcBorders>
            <w:vAlign w:val="center"/>
          </w:tcPr>
          <w:p>
            <w:pPr>
              <w:adjustRightInd w:val="0"/>
              <w:snapToGrid w:val="0"/>
              <w:spacing w:line="240" w:lineRule="exact"/>
              <w:jc w:val="center"/>
              <w:rPr>
                <w:rFonts w:ascii="宋体" w:hAnsi="宋体" w:cs="宋体"/>
                <w:color w:val="auto"/>
                <w:szCs w:val="21"/>
              </w:rPr>
            </w:pPr>
            <w:r>
              <w:rPr>
                <w:rFonts w:hint="eastAsia" w:ascii="宋体" w:hAnsi="宋体" w:cs="宋体"/>
                <w:color w:val="auto"/>
                <w:szCs w:val="21"/>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79"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vAlign w:val="center"/>
          </w:tcPr>
          <w:p>
            <w:pPr>
              <w:spacing w:line="240" w:lineRule="exact"/>
              <w:rPr>
                <w:rFonts w:ascii="宋体" w:hAnsi="宋体" w:cs="宋体"/>
                <w:color w:val="auto"/>
              </w:rPr>
            </w:pPr>
          </w:p>
        </w:tc>
        <w:tc>
          <w:tcPr>
            <w:tcW w:w="4270" w:type="dxa"/>
            <w:tcBorders>
              <w:top w:val="single" w:color="auto" w:sz="4" w:space="0"/>
              <w:left w:val="outset" w:color="111111" w:sz="6" w:space="0"/>
              <w:bottom w:val="single" w:color="auto" w:sz="4" w:space="0"/>
              <w:right w:val="outset" w:color="111111" w:sz="6" w:space="0"/>
            </w:tcBorders>
            <w:vAlign w:val="center"/>
          </w:tcPr>
          <w:p>
            <w:pPr>
              <w:adjustRightInd w:val="0"/>
              <w:snapToGrid w:val="0"/>
              <w:spacing w:line="240" w:lineRule="exact"/>
              <w:rPr>
                <w:rFonts w:ascii="宋体" w:hAnsi="宋体" w:cs="宋体"/>
                <w:color w:val="auto"/>
              </w:rPr>
            </w:pPr>
            <w:r>
              <w:rPr>
                <w:rFonts w:hint="eastAsia" w:ascii="宋体" w:hAnsi="宋体" w:cs="宋体"/>
                <w:color w:val="auto"/>
              </w:rPr>
              <w:t>5、提交首次磋商响应文件截止日三个月内的任一月份的缴纳税收的凭据证明材料复印件并加盖公章；如依法免税的，应提供相应文件证明其依法免税)；</w:t>
            </w:r>
          </w:p>
        </w:tc>
        <w:tc>
          <w:tcPr>
            <w:tcW w:w="1285" w:type="dxa"/>
            <w:vMerge w:val="continue"/>
            <w:tcBorders>
              <w:top w:val="outset" w:color="111111" w:sz="6" w:space="0"/>
              <w:left w:val="outset" w:color="111111" w:sz="6" w:space="0"/>
              <w:bottom w:val="single" w:color="auto" w:sz="2" w:space="0"/>
              <w:right w:val="outset" w:color="111111" w:sz="6" w:space="0"/>
            </w:tcBorders>
            <w:vAlign w:val="center"/>
          </w:tcPr>
          <w:p>
            <w:pPr>
              <w:spacing w:line="240" w:lineRule="exact"/>
              <w:rPr>
                <w:rFonts w:ascii="宋体" w:hAnsi="宋体" w:cs="宋体"/>
                <w:color w:val="auto"/>
              </w:rPr>
            </w:pPr>
          </w:p>
        </w:tc>
        <w:tc>
          <w:tcPr>
            <w:tcW w:w="2641" w:type="dxa"/>
            <w:tcBorders>
              <w:top w:val="single" w:color="auto" w:sz="4" w:space="0"/>
              <w:left w:val="outset" w:color="111111" w:sz="6" w:space="0"/>
              <w:bottom w:val="single" w:color="auto" w:sz="4" w:space="0"/>
              <w:right w:val="single" w:color="auto" w:sz="12" w:space="0"/>
            </w:tcBorders>
            <w:vAlign w:val="center"/>
          </w:tcPr>
          <w:p>
            <w:pPr>
              <w:adjustRightInd w:val="0"/>
              <w:snapToGrid w:val="0"/>
              <w:spacing w:line="240" w:lineRule="exact"/>
              <w:jc w:val="center"/>
              <w:rPr>
                <w:rFonts w:ascii="宋体" w:hAnsi="宋体" w:cs="宋体"/>
                <w:color w:val="auto"/>
                <w:szCs w:val="21"/>
              </w:rPr>
            </w:pPr>
            <w:r>
              <w:rPr>
                <w:rFonts w:hint="eastAsia" w:ascii="宋体" w:hAnsi="宋体" w:cs="宋体"/>
                <w:color w:val="auto"/>
                <w:szCs w:val="21"/>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693"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vAlign w:val="center"/>
          </w:tcPr>
          <w:p>
            <w:pPr>
              <w:spacing w:line="240" w:lineRule="exact"/>
              <w:rPr>
                <w:rFonts w:ascii="宋体" w:hAnsi="宋体" w:cs="宋体"/>
                <w:color w:val="auto"/>
              </w:rPr>
            </w:pPr>
          </w:p>
        </w:tc>
        <w:tc>
          <w:tcPr>
            <w:tcW w:w="4270" w:type="dxa"/>
            <w:tcBorders>
              <w:top w:val="single" w:color="auto" w:sz="4" w:space="0"/>
              <w:left w:val="outset" w:color="111111" w:sz="6" w:space="0"/>
              <w:bottom w:val="single" w:color="auto" w:sz="4" w:space="0"/>
              <w:right w:val="outset" w:color="111111" w:sz="6" w:space="0"/>
            </w:tcBorders>
            <w:vAlign w:val="center"/>
          </w:tcPr>
          <w:p>
            <w:pPr>
              <w:adjustRightInd w:val="0"/>
              <w:snapToGrid w:val="0"/>
              <w:spacing w:line="240" w:lineRule="exact"/>
              <w:rPr>
                <w:rFonts w:ascii="宋体" w:hAnsi="宋体" w:cs="宋体"/>
                <w:color w:val="auto"/>
              </w:rPr>
            </w:pPr>
            <w:r>
              <w:rPr>
                <w:rFonts w:hint="eastAsia" w:ascii="宋体" w:hAnsi="宋体" w:cs="宋体"/>
                <w:color w:val="auto"/>
              </w:rPr>
              <w:t>6、提交首次磋商响应文件截止日三个月内的任一月份的缴纳社会保险的凭据证明材料复印件并加盖公章；如依法不需要缴纳社会保障资金的，应提供相应文件证明其依法不需要缴纳社会保障资金；</w:t>
            </w:r>
          </w:p>
        </w:tc>
        <w:tc>
          <w:tcPr>
            <w:tcW w:w="1285" w:type="dxa"/>
            <w:vMerge w:val="continue"/>
            <w:tcBorders>
              <w:top w:val="outset" w:color="111111" w:sz="6" w:space="0"/>
              <w:left w:val="outset" w:color="111111" w:sz="6" w:space="0"/>
              <w:bottom w:val="single" w:color="auto" w:sz="2" w:space="0"/>
              <w:right w:val="outset" w:color="111111" w:sz="6" w:space="0"/>
            </w:tcBorders>
            <w:vAlign w:val="center"/>
          </w:tcPr>
          <w:p>
            <w:pPr>
              <w:spacing w:line="240" w:lineRule="exact"/>
              <w:rPr>
                <w:rFonts w:ascii="宋体" w:hAnsi="宋体" w:cs="宋体"/>
                <w:color w:val="auto"/>
              </w:rPr>
            </w:pPr>
          </w:p>
        </w:tc>
        <w:tc>
          <w:tcPr>
            <w:tcW w:w="2641" w:type="dxa"/>
            <w:tcBorders>
              <w:top w:val="single" w:color="auto" w:sz="4" w:space="0"/>
              <w:left w:val="outset" w:color="111111" w:sz="6" w:space="0"/>
              <w:bottom w:val="single" w:color="auto" w:sz="4" w:space="0"/>
              <w:right w:val="single" w:color="auto" w:sz="12" w:space="0"/>
            </w:tcBorders>
            <w:vAlign w:val="center"/>
          </w:tcPr>
          <w:p>
            <w:pPr>
              <w:adjustRightInd w:val="0"/>
              <w:snapToGrid w:val="0"/>
              <w:spacing w:line="240" w:lineRule="exact"/>
              <w:jc w:val="center"/>
              <w:rPr>
                <w:rFonts w:ascii="宋体" w:hAnsi="宋体" w:cs="宋体"/>
                <w:color w:val="auto"/>
                <w:szCs w:val="21"/>
              </w:rPr>
            </w:pPr>
            <w:r>
              <w:rPr>
                <w:rFonts w:hint="eastAsia" w:ascii="宋体" w:hAnsi="宋体" w:cs="宋体"/>
                <w:color w:val="auto"/>
                <w:szCs w:val="21"/>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1166"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vAlign w:val="center"/>
          </w:tcPr>
          <w:p>
            <w:pPr>
              <w:spacing w:line="240" w:lineRule="exact"/>
              <w:rPr>
                <w:rFonts w:ascii="宋体" w:hAnsi="宋体" w:cs="宋体"/>
                <w:color w:val="auto"/>
              </w:rPr>
            </w:pPr>
          </w:p>
        </w:tc>
        <w:tc>
          <w:tcPr>
            <w:tcW w:w="4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color w:val="auto"/>
                <w:szCs w:val="21"/>
              </w:rPr>
            </w:pPr>
            <w:r>
              <w:rPr>
                <w:rFonts w:hint="eastAsia" w:ascii="宋体" w:hAnsi="宋体" w:cs="宋体"/>
                <w:color w:val="auto"/>
                <w:szCs w:val="20"/>
              </w:rPr>
              <w:t>7.</w:t>
            </w:r>
            <w:r>
              <w:rPr>
                <w:rFonts w:hint="eastAsia" w:ascii="宋体" w:hAnsi="宋体"/>
                <w:color w:val="auto"/>
              </w:rPr>
              <w:t>单位负责人为同一人或者存在直接控股、管理关系的不同供应商，不得参加同一合同项下的政府采购活动。为采购项目提供整体设计、规范编制或者项目管理、监理、检测等服务的供应商，</w:t>
            </w:r>
            <w:r>
              <w:rPr>
                <w:rFonts w:hint="eastAsia"/>
                <w:color w:val="auto"/>
              </w:rPr>
              <w:t>不得参加本项目磋商</w:t>
            </w:r>
            <w:r>
              <w:rPr>
                <w:rFonts w:hint="eastAsia" w:ascii="宋体" w:hAnsi="宋体" w:cs="宋体"/>
                <w:color w:val="auto"/>
                <w:szCs w:val="20"/>
              </w:rPr>
              <w:t>。</w:t>
            </w:r>
          </w:p>
        </w:tc>
        <w:tc>
          <w:tcPr>
            <w:tcW w:w="128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line="240" w:lineRule="exact"/>
              <w:rPr>
                <w:rFonts w:ascii="宋体" w:hAnsi="宋体" w:cs="宋体"/>
                <w:color w:val="auto"/>
                <w:szCs w:val="21"/>
              </w:rPr>
            </w:pPr>
            <w:r>
              <w:rPr>
                <w:rFonts w:hint="eastAsia" w:ascii="宋体" w:hAnsi="宋体" w:cs="宋体"/>
                <w:color w:val="auto"/>
                <w:szCs w:val="21"/>
              </w:rPr>
              <w:t xml:space="preserve">□通过 </w:t>
            </w:r>
          </w:p>
          <w:p>
            <w:pPr>
              <w:adjustRightInd w:val="0"/>
              <w:snapToGrid w:val="0"/>
              <w:spacing w:line="240" w:lineRule="exact"/>
              <w:rPr>
                <w:rFonts w:ascii="宋体" w:hAnsi="宋体" w:cs="宋体"/>
                <w:color w:val="auto"/>
                <w:szCs w:val="21"/>
              </w:rPr>
            </w:pPr>
            <w:r>
              <w:rPr>
                <w:rFonts w:hint="eastAsia" w:ascii="宋体" w:hAnsi="宋体" w:cs="宋体"/>
                <w:color w:val="auto"/>
                <w:szCs w:val="21"/>
              </w:rPr>
              <w:t>□不通过</w:t>
            </w:r>
          </w:p>
        </w:tc>
        <w:tc>
          <w:tcPr>
            <w:tcW w:w="264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spacing w:line="240" w:lineRule="exact"/>
              <w:jc w:val="center"/>
              <w:rPr>
                <w:rFonts w:ascii="宋体" w:hAnsi="宋体" w:cs="宋体"/>
                <w:color w:val="auto"/>
                <w:szCs w:val="21"/>
              </w:rPr>
            </w:pPr>
            <w:r>
              <w:rPr>
                <w:rFonts w:hint="eastAsia" w:ascii="宋体" w:hAnsi="宋体" w:cs="宋体"/>
                <w:color w:val="auto"/>
                <w:szCs w:val="21"/>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574"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vAlign w:val="center"/>
          </w:tcPr>
          <w:p>
            <w:pPr>
              <w:spacing w:line="240" w:lineRule="exact"/>
              <w:rPr>
                <w:rFonts w:ascii="宋体" w:hAnsi="宋体" w:cs="宋体"/>
                <w:color w:val="auto"/>
              </w:rPr>
            </w:pPr>
          </w:p>
        </w:tc>
        <w:tc>
          <w:tcPr>
            <w:tcW w:w="4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line="240" w:lineRule="exact"/>
              <w:rPr>
                <w:rFonts w:ascii="宋体" w:hAnsi="宋体" w:cs="宋体"/>
                <w:color w:val="auto"/>
                <w:szCs w:val="21"/>
              </w:rPr>
            </w:pPr>
            <w:r>
              <w:rPr>
                <w:rFonts w:hint="eastAsia" w:ascii="宋体" w:hAnsi="宋体" w:cs="宋体"/>
                <w:color w:val="auto"/>
                <w:szCs w:val="21"/>
              </w:rPr>
              <w:t>9.</w:t>
            </w:r>
            <w:r>
              <w:rPr>
                <w:rFonts w:hint="eastAsia" w:ascii="宋体" w:hAnsi="宋体" w:cs="宋体"/>
                <w:color w:val="auto"/>
                <w:kern w:val="0"/>
                <w:szCs w:val="21"/>
              </w:rPr>
              <w:t>本项目不接受联合体磋商</w:t>
            </w:r>
            <w:r>
              <w:rPr>
                <w:rFonts w:hint="eastAsia" w:ascii="宋体" w:hAnsi="宋体" w:cs="宋体"/>
                <w:color w:val="auto"/>
                <w:szCs w:val="21"/>
              </w:rPr>
              <w:t>。</w:t>
            </w:r>
          </w:p>
        </w:tc>
        <w:tc>
          <w:tcPr>
            <w:tcW w:w="128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line="240" w:lineRule="exact"/>
              <w:rPr>
                <w:rFonts w:ascii="宋体" w:hAnsi="宋体" w:cs="宋体"/>
                <w:color w:val="auto"/>
                <w:szCs w:val="21"/>
              </w:rPr>
            </w:pPr>
            <w:r>
              <w:rPr>
                <w:rFonts w:hint="eastAsia" w:ascii="宋体" w:hAnsi="宋体" w:cs="宋体"/>
                <w:color w:val="auto"/>
                <w:szCs w:val="21"/>
              </w:rPr>
              <w:t>□通过</w:t>
            </w:r>
          </w:p>
          <w:p>
            <w:pPr>
              <w:adjustRightInd w:val="0"/>
              <w:snapToGrid w:val="0"/>
              <w:spacing w:line="240" w:lineRule="exact"/>
              <w:rPr>
                <w:rFonts w:ascii="宋体" w:hAnsi="宋体" w:cs="宋体"/>
                <w:color w:val="auto"/>
                <w:szCs w:val="21"/>
              </w:rPr>
            </w:pPr>
            <w:r>
              <w:rPr>
                <w:rFonts w:hint="eastAsia" w:ascii="宋体" w:hAnsi="宋体" w:cs="宋体"/>
                <w:color w:val="auto"/>
                <w:szCs w:val="21"/>
              </w:rPr>
              <w:t>□不通过</w:t>
            </w:r>
          </w:p>
        </w:tc>
        <w:tc>
          <w:tcPr>
            <w:tcW w:w="264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spacing w:line="240" w:lineRule="exact"/>
              <w:jc w:val="center"/>
              <w:rPr>
                <w:rFonts w:ascii="宋体" w:hAnsi="宋体" w:cs="宋体"/>
                <w:color w:val="auto"/>
                <w:szCs w:val="21"/>
              </w:rPr>
            </w:pPr>
            <w:r>
              <w:rPr>
                <w:rFonts w:hint="eastAsia" w:ascii="宋体" w:hAnsi="宋体" w:cs="宋体"/>
                <w:color w:val="auto"/>
                <w:szCs w:val="21"/>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1500"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vAlign w:val="center"/>
          </w:tcPr>
          <w:p>
            <w:pPr>
              <w:spacing w:line="240" w:lineRule="exact"/>
              <w:rPr>
                <w:rFonts w:ascii="宋体" w:hAnsi="宋体" w:cs="宋体"/>
                <w:color w:val="auto"/>
              </w:rPr>
            </w:pPr>
          </w:p>
        </w:tc>
        <w:tc>
          <w:tcPr>
            <w:tcW w:w="4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line="240" w:lineRule="exact"/>
              <w:rPr>
                <w:rFonts w:ascii="宋体" w:hAnsi="宋体" w:cs="宋体"/>
                <w:color w:val="auto"/>
                <w:szCs w:val="21"/>
              </w:rPr>
            </w:pPr>
            <w:r>
              <w:rPr>
                <w:rFonts w:hint="eastAsia" w:ascii="宋体" w:hAnsi="宋体" w:cs="宋体"/>
                <w:color w:val="auto"/>
                <w:szCs w:val="21"/>
              </w:rPr>
              <w:t>10.</w:t>
            </w:r>
            <w:r>
              <w:rPr>
                <w:rFonts w:hint="eastAsia" w:ascii="宋体" w:hAnsi="宋体"/>
                <w:color w:val="auto"/>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磋商截止日当天</w:t>
            </w:r>
            <w:r>
              <w:rPr>
                <w:rFonts w:hint="eastAsia"/>
                <w:color w:val="auto"/>
              </w:rPr>
              <w:t>采购代理机构</w:t>
            </w:r>
            <w:r>
              <w:rPr>
                <w:rFonts w:hint="eastAsia" w:ascii="宋体" w:hAnsi="宋体"/>
                <w:color w:val="auto"/>
                <w:szCs w:val="21"/>
              </w:rPr>
              <w:t>在“信用中国”网站（www.creditchina.gov.cn）</w:t>
            </w:r>
            <w:r>
              <w:rPr>
                <w:rFonts w:hint="eastAsia" w:ascii="宋体" w:hAnsi="宋体"/>
                <w:color w:val="auto"/>
              </w:rPr>
              <w:t>及中国政府采购网</w:t>
            </w:r>
            <w:r>
              <w:rPr>
                <w:rFonts w:hint="eastAsia" w:ascii="宋体" w:hAnsi="宋体"/>
                <w:color w:val="auto"/>
                <w:szCs w:val="21"/>
              </w:rPr>
              <w:t>查询结果为准，如相关失信记录已失效，供应商需提供相关证明资料）</w:t>
            </w:r>
            <w:r>
              <w:rPr>
                <w:rFonts w:hint="eastAsia" w:ascii="宋体" w:hAnsi="宋体" w:cs="宋体"/>
                <w:color w:val="auto"/>
                <w:szCs w:val="21"/>
              </w:rPr>
              <w:t>。</w:t>
            </w:r>
          </w:p>
        </w:tc>
        <w:tc>
          <w:tcPr>
            <w:tcW w:w="128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spacing w:line="240" w:lineRule="exact"/>
              <w:rPr>
                <w:rFonts w:ascii="宋体" w:hAnsi="宋体" w:cs="宋体"/>
                <w:color w:val="auto"/>
                <w:szCs w:val="21"/>
              </w:rPr>
            </w:pPr>
            <w:r>
              <w:rPr>
                <w:rFonts w:hint="eastAsia" w:ascii="宋体" w:hAnsi="宋体" w:cs="宋体"/>
                <w:color w:val="auto"/>
                <w:szCs w:val="21"/>
              </w:rPr>
              <w:t xml:space="preserve">□通过 </w:t>
            </w:r>
          </w:p>
          <w:p>
            <w:pPr>
              <w:adjustRightInd w:val="0"/>
              <w:snapToGrid w:val="0"/>
              <w:spacing w:line="240" w:lineRule="exact"/>
              <w:rPr>
                <w:rFonts w:ascii="宋体" w:hAnsi="宋体" w:cs="宋体"/>
                <w:color w:val="auto"/>
                <w:szCs w:val="21"/>
              </w:rPr>
            </w:pPr>
            <w:r>
              <w:rPr>
                <w:rFonts w:hint="eastAsia" w:ascii="宋体" w:hAnsi="宋体" w:cs="宋体"/>
                <w:color w:val="auto"/>
                <w:szCs w:val="21"/>
              </w:rPr>
              <w:t>□不通过</w:t>
            </w:r>
          </w:p>
        </w:tc>
        <w:tc>
          <w:tcPr>
            <w:tcW w:w="264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spacing w:line="240" w:lineRule="exact"/>
              <w:jc w:val="center"/>
              <w:rPr>
                <w:rFonts w:ascii="宋体" w:hAnsi="宋体" w:cs="宋体"/>
                <w:color w:val="auto"/>
                <w:szCs w:val="21"/>
              </w:rPr>
            </w:pPr>
            <w:r>
              <w:rPr>
                <w:rFonts w:hint="eastAsia" w:ascii="宋体" w:hAnsi="宋体" w:cs="宋体"/>
                <w:color w:val="auto"/>
                <w:szCs w:val="21"/>
              </w:rPr>
              <w:t>第（ ）页</w:t>
            </w:r>
          </w:p>
        </w:tc>
      </w:tr>
    </w:tbl>
    <w:p>
      <w:pPr>
        <w:adjustRightInd w:val="0"/>
        <w:snapToGrid w:val="0"/>
        <w:spacing w:line="440" w:lineRule="exact"/>
        <w:jc w:val="right"/>
        <w:rPr>
          <w:rFonts w:ascii="宋体" w:hAnsi="宋体" w:cs="宋体"/>
          <w:color w:val="auto"/>
        </w:rPr>
      </w:pPr>
      <w:r>
        <w:rPr>
          <w:rFonts w:hint="eastAsia" w:ascii="宋体" w:hAnsi="宋体" w:cs="宋体"/>
          <w:color w:val="auto"/>
        </w:rPr>
        <w:t xml:space="preserve">供应商盖章（公章）：             </w:t>
      </w:r>
    </w:p>
    <w:p>
      <w:pPr>
        <w:adjustRightInd w:val="0"/>
        <w:snapToGrid w:val="0"/>
        <w:spacing w:line="440" w:lineRule="exact"/>
        <w:jc w:val="right"/>
        <w:rPr>
          <w:rFonts w:ascii="宋体" w:hAnsi="宋体" w:cs="宋体"/>
          <w:color w:val="auto"/>
        </w:rPr>
      </w:pPr>
      <w:r>
        <w:rPr>
          <w:rFonts w:hint="eastAsia" w:ascii="宋体" w:hAnsi="宋体" w:cs="宋体"/>
          <w:color w:val="auto"/>
        </w:rPr>
        <w:t xml:space="preserve">           法定代表人或其委托代理人（签字或盖章）：</w:t>
      </w:r>
    </w:p>
    <w:p>
      <w:pPr>
        <w:spacing w:line="360" w:lineRule="auto"/>
        <w:ind w:firstLine="420" w:firstLineChars="200"/>
        <w:rPr>
          <w:rFonts w:ascii="宋体" w:hAnsi="宋体" w:cs="宋体"/>
          <w:color w:val="auto"/>
        </w:rPr>
      </w:pPr>
      <w:r>
        <w:rPr>
          <w:rFonts w:hint="eastAsia" w:ascii="宋体" w:hAnsi="宋体" w:cs="宋体"/>
          <w:color w:val="auto"/>
        </w:rPr>
        <w:t xml:space="preserve">                                                           年  月  日</w:t>
      </w: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rPr>
          <w:rFonts w:ascii="宋体" w:hAnsi="宋体" w:cs="宋体"/>
          <w:b/>
          <w:color w:val="auto"/>
          <w:szCs w:val="21"/>
        </w:rPr>
        <w:sectPr>
          <w:pgSz w:w="11906" w:h="16838"/>
          <w:pgMar w:top="1474" w:right="1797" w:bottom="1247" w:left="1797" w:header="851" w:footer="851" w:gutter="0"/>
          <w:cols w:space="720" w:num="1"/>
          <w:titlePg/>
          <w:docGrid w:linePitch="312" w:charSpace="0"/>
        </w:sectPr>
      </w:pPr>
      <w:r>
        <w:rPr>
          <w:rFonts w:hint="eastAsia" w:ascii="宋体" w:hAnsi="宋体" w:cs="宋体"/>
          <w:b/>
          <w:color w:val="auto"/>
          <w:szCs w:val="21"/>
        </w:rPr>
        <w:t>备注：供应商自查表将作为供应商有效性审查的重要内容之一，供应商必须严格按照其内容及序列要求在磋商响应文件中对应如实提供，对资格性证明文件的任何缺漏和不符合项将会直接导致磋商无效</w:t>
      </w:r>
    </w:p>
    <w:p>
      <w:pPr>
        <w:spacing w:line="360" w:lineRule="auto"/>
        <w:rPr>
          <w:rFonts w:ascii="宋体" w:hAnsi="宋体" w:cs="宋体"/>
          <w:color w:val="auto"/>
        </w:rPr>
      </w:pPr>
      <w:r>
        <w:rPr>
          <w:rFonts w:hint="eastAsia" w:ascii="宋体" w:hAnsi="宋体" w:cs="宋体"/>
          <w:color w:val="auto"/>
        </w:rPr>
        <w:t>2、有效的营业执照（或事业法人登记证）、其他组织（个体工商户）的营业执照或者民办非企业单位登记证书复印件并加盖公章，供应商如果有名称变更的，应提供由行政主管部门出具的变更证明文件；</w:t>
      </w:r>
    </w:p>
    <w:p>
      <w:pPr>
        <w:spacing w:line="360" w:lineRule="auto"/>
        <w:rPr>
          <w:rFonts w:ascii="宋体" w:hAnsi="宋体" w:cs="宋体"/>
          <w:color w:val="auto"/>
        </w:rPr>
      </w:pPr>
      <w:r>
        <w:rPr>
          <w:rFonts w:hint="eastAsia" w:ascii="宋体" w:hAnsi="宋体" w:cs="宋体"/>
          <w:color w:val="auto"/>
        </w:rPr>
        <w:t>3、2019年12月财务状况报表复印件（至少包含资产负债表和利润表）；供应商新成立不足一年，提供银行出具的资信证明材料复印件；</w:t>
      </w:r>
    </w:p>
    <w:p>
      <w:pPr>
        <w:spacing w:line="360" w:lineRule="auto"/>
        <w:rPr>
          <w:rFonts w:ascii="宋体" w:hAnsi="宋体" w:cs="宋体"/>
          <w:color w:val="auto"/>
        </w:rPr>
      </w:pPr>
      <w:r>
        <w:rPr>
          <w:rFonts w:hint="eastAsia" w:ascii="宋体" w:hAnsi="宋体" w:cs="宋体"/>
          <w:color w:val="auto"/>
        </w:rPr>
        <w:t>4、提交首次磋商响应文件截止日三个月内的任一月份的缴纳税收的凭据证明材料复印件并加盖公章；如依法免税的，应提供相应文件证明其依法免税)；</w:t>
      </w:r>
    </w:p>
    <w:p>
      <w:pPr>
        <w:spacing w:line="360" w:lineRule="auto"/>
        <w:rPr>
          <w:rFonts w:ascii="宋体" w:hAnsi="宋体" w:cs="宋体"/>
          <w:color w:val="auto"/>
          <w:szCs w:val="21"/>
        </w:rPr>
      </w:pPr>
      <w:r>
        <w:rPr>
          <w:rFonts w:hint="eastAsia" w:ascii="宋体" w:hAnsi="宋体" w:cs="宋体"/>
          <w:color w:val="auto"/>
        </w:rPr>
        <w:t>5、提交首次磋商响应文件截止日三个月内的任一月份的缴纳社会保险的凭据证明材料复印件并加盖公章；如依法不需要缴纳社会保障资金的，应提供相应文件证明其依法不需要缴纳社会保障资金；</w:t>
      </w:r>
    </w:p>
    <w:p>
      <w:pPr>
        <w:spacing w:line="360" w:lineRule="auto"/>
        <w:jc w:val="left"/>
        <w:rPr>
          <w:rFonts w:ascii="宋体" w:hAnsi="宋体" w:cs="宋体"/>
          <w:color w:val="auto"/>
        </w:rPr>
      </w:pPr>
      <w:r>
        <w:rPr>
          <w:rFonts w:hint="eastAsia" w:ascii="宋体" w:hAnsi="宋体" w:cs="宋体"/>
          <w:color w:val="auto"/>
          <w:szCs w:val="21"/>
        </w:rPr>
        <w:t>6、</w:t>
      </w:r>
      <w:r>
        <w:rPr>
          <w:rFonts w:hint="eastAsia" w:ascii="宋体" w:hAnsi="宋体" w:cs="宋体"/>
          <w:color w:val="auto"/>
        </w:rPr>
        <w:t>提供具有履行合同所必需的设备和专业技术能力的书面声明</w:t>
      </w:r>
    </w:p>
    <w:p>
      <w:pPr>
        <w:pStyle w:val="57"/>
        <w:ind w:left="0" w:firstLine="0"/>
        <w:rPr>
          <w:color w:val="auto"/>
        </w:rPr>
      </w:pPr>
      <w:r>
        <w:rPr>
          <w:rFonts w:hint="eastAsia" w:hAnsi="宋体" w:cs="宋体"/>
          <w:color w:val="auto"/>
          <w:szCs w:val="21"/>
        </w:rPr>
        <w:t>7、</w:t>
      </w:r>
      <w:r>
        <w:rPr>
          <w:rFonts w:hint="eastAsia" w:hAnsi="宋体" w:cs="宋体"/>
          <w:color w:val="auto"/>
        </w:rPr>
        <w:t>提供参加政府采购活动前3年内在经营活动中没有重大违法记录的书面声明</w:t>
      </w:r>
      <w:r>
        <w:rPr>
          <w:rFonts w:hint="eastAsia" w:hAnsi="宋体" w:cs="宋体"/>
          <w:color w:val="auto"/>
          <w:szCs w:val="21"/>
        </w:rPr>
        <w:t>；</w:t>
      </w:r>
    </w:p>
    <w:p>
      <w:pPr>
        <w:jc w:val="center"/>
        <w:rPr>
          <w:rFonts w:ascii="宋体" w:hAnsi="宋体" w:cs="宋体"/>
          <w:b/>
          <w:color w:val="auto"/>
          <w:sz w:val="32"/>
          <w:szCs w:val="32"/>
        </w:rPr>
      </w:pPr>
    </w:p>
    <w:p>
      <w:pPr>
        <w:rPr>
          <w:rFonts w:ascii="宋体" w:hAnsi="宋体" w:cs="宋体"/>
          <w:b/>
          <w:color w:val="auto"/>
          <w:sz w:val="32"/>
          <w:szCs w:val="32"/>
        </w:rPr>
      </w:pPr>
      <w:r>
        <w:rPr>
          <w:rFonts w:hint="eastAsia" w:ascii="宋体" w:hAnsi="宋体" w:cs="宋体"/>
          <w:b/>
          <w:color w:val="auto"/>
          <w:sz w:val="32"/>
          <w:szCs w:val="32"/>
        </w:rPr>
        <w:br w:type="page"/>
      </w:r>
    </w:p>
    <w:p>
      <w:pPr>
        <w:jc w:val="center"/>
        <w:rPr>
          <w:rFonts w:ascii="宋体" w:hAnsi="宋体" w:cs="宋体"/>
          <w:b/>
          <w:color w:val="auto"/>
          <w:sz w:val="32"/>
          <w:szCs w:val="32"/>
        </w:rPr>
      </w:pPr>
      <w:r>
        <w:rPr>
          <w:rFonts w:hint="eastAsia" w:ascii="宋体" w:hAnsi="宋体" w:cs="宋体"/>
          <w:b/>
          <w:color w:val="auto"/>
          <w:sz w:val="32"/>
          <w:szCs w:val="32"/>
        </w:rPr>
        <w:t>具备履行合同所需的设备和专业技术能力的声明</w:t>
      </w:r>
    </w:p>
    <w:p>
      <w:pPr>
        <w:rPr>
          <w:rFonts w:ascii="宋体" w:hAnsi="宋体" w:cs="宋体"/>
          <w:color w:val="auto"/>
        </w:rPr>
      </w:pPr>
    </w:p>
    <w:p>
      <w:pPr>
        <w:spacing w:line="360" w:lineRule="auto"/>
        <w:rPr>
          <w:rFonts w:ascii="宋体" w:hAnsi="宋体" w:cs="宋体"/>
          <w:color w:val="auto"/>
        </w:rPr>
      </w:pPr>
      <w:r>
        <w:rPr>
          <w:rFonts w:hint="eastAsia" w:ascii="宋体" w:hAnsi="宋体" w:cs="宋体"/>
          <w:color w:val="auto"/>
        </w:rPr>
        <w:t xml:space="preserve"> </w:t>
      </w:r>
    </w:p>
    <w:p>
      <w:pPr>
        <w:spacing w:line="360" w:lineRule="auto"/>
        <w:ind w:firstLine="420" w:firstLineChars="200"/>
        <w:rPr>
          <w:rFonts w:ascii="宋体" w:hAnsi="宋体" w:cs="宋体"/>
          <w:color w:val="auto"/>
        </w:rPr>
      </w:pPr>
      <w:r>
        <w:rPr>
          <w:rFonts w:hint="eastAsia" w:ascii="宋体" w:hAnsi="宋体" w:cs="宋体"/>
          <w:color w:val="auto"/>
        </w:rPr>
        <w:t>我公司（单位）具备履行合同所需的设备和专业技术能力，具体情况介绍如下：</w:t>
      </w:r>
    </w:p>
    <w:p>
      <w:pPr>
        <w:spacing w:line="360" w:lineRule="auto"/>
        <w:rPr>
          <w:rFonts w:ascii="宋体" w:hAnsi="宋体" w:cs="宋体"/>
          <w:color w:val="auto"/>
        </w:rPr>
      </w:pPr>
      <w:r>
        <w:rPr>
          <w:rFonts w:hint="eastAsia" w:ascii="宋体" w:hAnsi="宋体" w:cs="宋体"/>
          <w:color w:val="auto"/>
        </w:rPr>
        <w:t xml:space="preserve">        （内容包括：主要设备、专业技术人员、公司资质等）                                          </w:t>
      </w:r>
    </w:p>
    <w:p>
      <w:pPr>
        <w:spacing w:line="360" w:lineRule="auto"/>
        <w:rPr>
          <w:rFonts w:ascii="宋体" w:hAnsi="宋体" w:cs="宋体"/>
          <w:color w:val="auto"/>
        </w:rPr>
      </w:pPr>
      <w:r>
        <w:rPr>
          <w:rFonts w:hint="eastAsia" w:ascii="宋体" w:hAnsi="宋体" w:cs="宋体"/>
          <w:color w:val="auto"/>
        </w:rPr>
        <w:t xml:space="preserve">                                                                            </w:t>
      </w:r>
    </w:p>
    <w:p>
      <w:pPr>
        <w:spacing w:line="360" w:lineRule="auto"/>
        <w:rPr>
          <w:rFonts w:ascii="宋体" w:hAnsi="宋体" w:cs="宋体"/>
          <w:color w:val="auto"/>
        </w:rPr>
      </w:pPr>
      <w:r>
        <w:rPr>
          <w:rFonts w:hint="eastAsia" w:ascii="宋体" w:hAnsi="宋体" w:cs="宋体"/>
          <w:color w:val="auto"/>
        </w:rPr>
        <w:t>……..</w:t>
      </w:r>
    </w:p>
    <w:p>
      <w:pPr>
        <w:widowControl/>
        <w:jc w:val="left"/>
        <w:rPr>
          <w:rFonts w:ascii="宋体" w:hAnsi="宋体" w:cs="宋体"/>
          <w:color w:val="auto"/>
        </w:rPr>
      </w:pPr>
      <w:r>
        <w:rPr>
          <w:rFonts w:hint="eastAsia" w:ascii="宋体" w:hAnsi="宋体" w:cs="宋体"/>
          <w:color w:val="auto"/>
        </w:rPr>
        <w:t xml:space="preserve">     特此承诺。</w:t>
      </w:r>
    </w:p>
    <w:p>
      <w:pPr>
        <w:widowControl/>
        <w:jc w:val="left"/>
        <w:rPr>
          <w:rFonts w:ascii="宋体" w:hAnsi="宋体" w:cs="宋体"/>
          <w:color w:val="auto"/>
        </w:rPr>
      </w:pPr>
    </w:p>
    <w:p>
      <w:pPr>
        <w:widowControl/>
        <w:jc w:val="left"/>
        <w:rPr>
          <w:rFonts w:ascii="宋体" w:hAnsi="宋体" w:cs="宋体"/>
          <w:color w:val="auto"/>
        </w:rPr>
      </w:pPr>
    </w:p>
    <w:p>
      <w:pPr>
        <w:adjustRightInd w:val="0"/>
        <w:snapToGrid w:val="0"/>
        <w:spacing w:line="440" w:lineRule="exact"/>
        <w:jc w:val="right"/>
        <w:rPr>
          <w:rFonts w:ascii="宋体" w:hAnsi="宋体" w:cs="宋体"/>
          <w:color w:val="auto"/>
        </w:rPr>
      </w:pPr>
      <w:r>
        <w:rPr>
          <w:rFonts w:hint="eastAsia" w:ascii="宋体" w:hAnsi="宋体" w:cs="宋体"/>
          <w:color w:val="auto"/>
          <w:sz w:val="24"/>
        </w:rPr>
        <w:t xml:space="preserve"> </w:t>
      </w:r>
      <w:r>
        <w:rPr>
          <w:rFonts w:hint="eastAsia" w:ascii="宋体" w:hAnsi="宋体" w:cs="宋体"/>
          <w:color w:val="auto"/>
        </w:rPr>
        <w:t xml:space="preserve">供应商盖章（公章）：             </w:t>
      </w:r>
    </w:p>
    <w:p>
      <w:pPr>
        <w:adjustRightInd w:val="0"/>
        <w:snapToGrid w:val="0"/>
        <w:spacing w:line="440" w:lineRule="exact"/>
        <w:jc w:val="right"/>
        <w:rPr>
          <w:rFonts w:ascii="宋体" w:hAnsi="宋体" w:cs="宋体"/>
          <w:color w:val="auto"/>
        </w:rPr>
      </w:pPr>
      <w:r>
        <w:rPr>
          <w:rFonts w:hint="eastAsia" w:ascii="宋体" w:hAnsi="宋体" w:cs="宋体"/>
          <w:color w:val="auto"/>
        </w:rPr>
        <w:t xml:space="preserve">           法定代表人或其委托代理人（签字或盖章）：</w:t>
      </w:r>
    </w:p>
    <w:p>
      <w:pPr>
        <w:adjustRightInd w:val="0"/>
        <w:snapToGrid w:val="0"/>
        <w:spacing w:line="440" w:lineRule="exact"/>
        <w:jc w:val="left"/>
        <w:rPr>
          <w:rFonts w:ascii="宋体" w:hAnsi="宋体" w:cs="宋体"/>
          <w:color w:val="auto"/>
          <w:szCs w:val="21"/>
        </w:rPr>
      </w:pPr>
      <w:r>
        <w:rPr>
          <w:rFonts w:hint="eastAsia" w:ascii="宋体" w:hAnsi="宋体" w:cs="宋体"/>
          <w:color w:val="auto"/>
        </w:rPr>
        <w:t xml:space="preserve">                                                                    年  月  日</w:t>
      </w:r>
    </w:p>
    <w:p>
      <w:pPr>
        <w:rPr>
          <w:rFonts w:ascii="宋体" w:hAnsi="宋体" w:cs="宋体"/>
          <w:color w:val="auto"/>
          <w:szCs w:val="20"/>
        </w:rPr>
      </w:pPr>
      <w:r>
        <w:rPr>
          <w:rFonts w:hint="eastAsia" w:ascii="宋体" w:hAnsi="宋体" w:cs="宋体"/>
          <w:color w:val="auto"/>
          <w:szCs w:val="21"/>
        </w:rPr>
        <w:br w:type="page"/>
      </w:r>
    </w:p>
    <w:p>
      <w:pPr>
        <w:jc w:val="center"/>
        <w:rPr>
          <w:rFonts w:ascii="宋体" w:hAnsi="宋体" w:cs="宋体"/>
          <w:b/>
          <w:color w:val="auto"/>
          <w:sz w:val="32"/>
          <w:szCs w:val="32"/>
        </w:rPr>
      </w:pPr>
    </w:p>
    <w:p>
      <w:pPr>
        <w:jc w:val="center"/>
        <w:rPr>
          <w:rFonts w:ascii="宋体" w:hAnsi="宋体" w:cs="宋体"/>
          <w:b/>
          <w:color w:val="auto"/>
          <w:sz w:val="32"/>
          <w:szCs w:val="32"/>
        </w:rPr>
      </w:pPr>
      <w:r>
        <w:rPr>
          <w:rFonts w:hint="eastAsia" w:ascii="宋体" w:hAnsi="宋体" w:cs="宋体"/>
          <w:b/>
          <w:color w:val="auto"/>
          <w:sz w:val="32"/>
          <w:szCs w:val="32"/>
        </w:rPr>
        <w:t>近三年在政府采购活动中无重大违法记录的声明</w:t>
      </w:r>
    </w:p>
    <w:p>
      <w:pPr>
        <w:rPr>
          <w:rFonts w:ascii="宋体" w:hAnsi="宋体" w:cs="宋体"/>
          <w:color w:val="auto"/>
        </w:rPr>
      </w:pPr>
    </w:p>
    <w:p>
      <w:pPr>
        <w:rPr>
          <w:rFonts w:ascii="宋体" w:hAnsi="宋体" w:cs="宋体"/>
          <w:color w:val="auto"/>
        </w:rPr>
      </w:pPr>
    </w:p>
    <w:p>
      <w:pPr>
        <w:snapToGrid w:val="0"/>
        <w:spacing w:line="360" w:lineRule="auto"/>
        <w:rPr>
          <w:rFonts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 xml:space="preserve">          </w:t>
      </w:r>
      <w:r>
        <w:rPr>
          <w:rFonts w:hint="eastAsia" w:ascii="宋体" w:hAnsi="宋体" w:cs="宋体"/>
          <w:color w:val="auto"/>
          <w:szCs w:val="21"/>
        </w:rPr>
        <w:t>（采购单位名称）：</w:t>
      </w:r>
    </w:p>
    <w:p>
      <w:pPr>
        <w:snapToGrid w:val="0"/>
        <w:spacing w:line="360" w:lineRule="auto"/>
        <w:ind w:firstLine="630" w:firstLineChars="300"/>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（供应商名称）系中华人民共和国合法企业，经营地址</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line="360" w:lineRule="auto"/>
        <w:ind w:firstLine="645"/>
        <w:rPr>
          <w:rFonts w:ascii="宋体" w:hAnsi="宋体" w:cs="宋体"/>
          <w:color w:val="auto"/>
          <w:szCs w:val="21"/>
        </w:rPr>
      </w:pPr>
      <w:r>
        <w:rPr>
          <w:rFonts w:hint="eastAsia" w:ascii="宋体" w:hAnsi="宋体" w:cs="宋体"/>
          <w:color w:val="auto"/>
          <w:szCs w:val="21"/>
        </w:rPr>
        <w:t>我</w:t>
      </w:r>
      <w:r>
        <w:rPr>
          <w:rFonts w:hint="eastAsia" w:ascii="宋体" w:hAnsi="宋体" w:cs="宋体"/>
          <w:color w:val="auto"/>
          <w:szCs w:val="21"/>
          <w:u w:val="single"/>
        </w:rPr>
        <w:t xml:space="preserve">         </w:t>
      </w:r>
      <w:r>
        <w:rPr>
          <w:rFonts w:hint="eastAsia" w:ascii="宋体" w:hAnsi="宋体" w:cs="宋体"/>
          <w:color w:val="auto"/>
          <w:szCs w:val="21"/>
        </w:rPr>
        <w:t>（姓名）系</w:t>
      </w:r>
      <w:r>
        <w:rPr>
          <w:rFonts w:hint="eastAsia" w:ascii="宋体" w:hAnsi="宋体" w:cs="宋体"/>
          <w:color w:val="auto"/>
          <w:szCs w:val="21"/>
          <w:u w:val="single"/>
        </w:rPr>
        <w:t xml:space="preserve">             </w:t>
      </w:r>
      <w:r>
        <w:rPr>
          <w:rFonts w:hint="eastAsia" w:ascii="宋体" w:hAnsi="宋体" w:cs="宋体"/>
          <w:color w:val="auto"/>
          <w:szCs w:val="21"/>
        </w:rPr>
        <w:t>（供应商名称）的法定代表人，我方愿意参加贵方组织的</w:t>
      </w:r>
      <w:r>
        <w:rPr>
          <w:rFonts w:hint="eastAsia" w:ascii="宋体" w:hAnsi="宋体" w:cs="宋体"/>
          <w:color w:val="auto"/>
          <w:szCs w:val="21"/>
          <w:u w:val="single"/>
        </w:rPr>
        <w:t xml:space="preserve">                               </w:t>
      </w:r>
      <w:r>
        <w:rPr>
          <w:rFonts w:hint="eastAsia" w:ascii="宋体" w:hAnsi="宋体" w:cs="宋体"/>
          <w:color w:val="auto"/>
          <w:szCs w:val="21"/>
        </w:rPr>
        <w:t>项目（标项:）的磋商，为便于贵方公正、择优地确定成交人及其磋商响应服务，我方就本次磋商有关事项郑重声明如下：</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1.我方向贵方提交的所有磋商响应文件、资料都是准确的和真实的。</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2.我方不是采购人的附属机构；在获知本项目采购信息后，与采购人聘请的为此项目提供咨询服务的公司及其附属机构没有任何联系。</w:t>
      </w:r>
    </w:p>
    <w:p>
      <w:pPr>
        <w:pStyle w:val="42"/>
        <w:widowControl w:val="0"/>
        <w:snapToGrid w:val="0"/>
        <w:spacing w:beforeAutospacing="0" w:afterAutospacing="0" w:line="360" w:lineRule="auto"/>
        <w:ind w:firstLine="420" w:firstLineChars="200"/>
        <w:jc w:val="both"/>
        <w:rPr>
          <w:rFonts w:ascii="宋体" w:hAnsi="宋体" w:cs="宋体"/>
          <w:color w:val="auto"/>
          <w:sz w:val="21"/>
          <w:szCs w:val="21"/>
        </w:rPr>
      </w:pPr>
      <w:r>
        <w:rPr>
          <w:rFonts w:hint="eastAsia" w:ascii="宋体" w:hAnsi="宋体" w:cs="宋体"/>
          <w:color w:val="auto"/>
          <w:kern w:val="2"/>
          <w:sz w:val="21"/>
          <w:szCs w:val="21"/>
        </w:rPr>
        <w:t>3.参加政府采购活动前三年内，在经营活动中没有重大违法记录，特此声明。</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4.以上事项如有虚假或隐瞒，我方愿意承担一切后果，并不再寻求任何旨在减轻或免除法律责任的辩解。</w:t>
      </w:r>
    </w:p>
    <w:p>
      <w:pPr>
        <w:pStyle w:val="42"/>
        <w:widowControl w:val="0"/>
        <w:tabs>
          <w:tab w:val="left" w:pos="939"/>
        </w:tabs>
        <w:snapToGrid w:val="0"/>
        <w:spacing w:beforeAutospacing="0" w:afterAutospacing="0" w:line="360" w:lineRule="auto"/>
        <w:ind w:left="716" w:leftChars="150" w:hanging="401" w:hangingChars="191"/>
        <w:jc w:val="both"/>
        <w:rPr>
          <w:rFonts w:ascii="宋体" w:hAnsi="宋体" w:cs="宋体"/>
          <w:color w:val="auto"/>
          <w:sz w:val="21"/>
          <w:szCs w:val="21"/>
        </w:rPr>
      </w:pPr>
    </w:p>
    <w:p>
      <w:pPr>
        <w:pStyle w:val="42"/>
        <w:widowControl w:val="0"/>
        <w:tabs>
          <w:tab w:val="left" w:pos="939"/>
        </w:tabs>
        <w:snapToGrid w:val="0"/>
        <w:spacing w:beforeAutospacing="0" w:afterAutospacing="0" w:line="360" w:lineRule="auto"/>
        <w:ind w:left="716" w:leftChars="150" w:hanging="401" w:hangingChars="191"/>
        <w:jc w:val="both"/>
        <w:rPr>
          <w:rFonts w:ascii="宋体" w:hAnsi="宋体" w:cs="宋体"/>
          <w:color w:val="auto"/>
          <w:sz w:val="21"/>
          <w:szCs w:val="21"/>
        </w:rPr>
      </w:pPr>
    </w:p>
    <w:p>
      <w:pPr>
        <w:pStyle w:val="42"/>
        <w:widowControl w:val="0"/>
        <w:tabs>
          <w:tab w:val="left" w:pos="939"/>
        </w:tabs>
        <w:snapToGrid w:val="0"/>
        <w:spacing w:beforeAutospacing="0" w:afterAutospacing="0" w:line="360" w:lineRule="auto"/>
        <w:ind w:left="716" w:leftChars="150" w:hanging="401" w:hangingChars="191"/>
        <w:jc w:val="both"/>
        <w:rPr>
          <w:rFonts w:ascii="宋体" w:hAnsi="宋体" w:cs="宋体"/>
          <w:color w:val="auto"/>
          <w:sz w:val="21"/>
          <w:szCs w:val="21"/>
        </w:rPr>
      </w:pPr>
    </w:p>
    <w:p>
      <w:pPr>
        <w:adjustRightInd w:val="0"/>
        <w:snapToGrid w:val="0"/>
        <w:spacing w:line="440" w:lineRule="exact"/>
        <w:jc w:val="right"/>
        <w:rPr>
          <w:rFonts w:ascii="宋体" w:hAnsi="宋体" w:cs="宋体"/>
          <w:color w:val="auto"/>
          <w:szCs w:val="21"/>
        </w:rPr>
      </w:pPr>
      <w:r>
        <w:rPr>
          <w:rFonts w:hint="eastAsia" w:ascii="宋体" w:hAnsi="宋体" w:cs="宋体"/>
          <w:color w:val="auto"/>
          <w:szCs w:val="21"/>
        </w:rPr>
        <w:t xml:space="preserve">供应商盖章（公章）：             </w:t>
      </w:r>
    </w:p>
    <w:p>
      <w:pPr>
        <w:adjustRightInd w:val="0"/>
        <w:snapToGrid w:val="0"/>
        <w:spacing w:line="440" w:lineRule="exact"/>
        <w:jc w:val="right"/>
        <w:rPr>
          <w:rFonts w:ascii="宋体" w:hAnsi="宋体" w:cs="宋体"/>
          <w:color w:val="auto"/>
          <w:szCs w:val="21"/>
        </w:rPr>
      </w:pPr>
      <w:r>
        <w:rPr>
          <w:rFonts w:hint="eastAsia" w:ascii="宋体" w:hAnsi="宋体" w:cs="宋体"/>
          <w:color w:val="auto"/>
          <w:szCs w:val="21"/>
        </w:rPr>
        <w:t xml:space="preserve">           法定代表人或其委托代理人（签字或盖章）：</w:t>
      </w:r>
    </w:p>
    <w:p>
      <w:pPr>
        <w:adjustRightInd w:val="0"/>
        <w:snapToGrid w:val="0"/>
        <w:spacing w:line="440" w:lineRule="exact"/>
        <w:jc w:val="left"/>
        <w:rPr>
          <w:rFonts w:ascii="宋体" w:hAnsi="宋体" w:cs="宋体"/>
          <w:color w:val="auto"/>
          <w:szCs w:val="21"/>
        </w:rPr>
      </w:pPr>
      <w:r>
        <w:rPr>
          <w:rFonts w:hint="eastAsia" w:ascii="宋体" w:hAnsi="宋体" w:cs="宋体"/>
          <w:color w:val="auto"/>
          <w:szCs w:val="21"/>
        </w:rPr>
        <w:t xml:space="preserve">                                                    年  月  日</w:t>
      </w:r>
    </w:p>
    <w:p>
      <w:pPr>
        <w:adjustRightInd w:val="0"/>
        <w:snapToGrid w:val="0"/>
        <w:spacing w:line="440" w:lineRule="exact"/>
        <w:jc w:val="left"/>
        <w:rPr>
          <w:rFonts w:ascii="宋体" w:hAnsi="宋体" w:cs="宋体"/>
          <w:color w:val="auto"/>
          <w:szCs w:val="21"/>
        </w:rPr>
      </w:pPr>
    </w:p>
    <w:p>
      <w:pPr>
        <w:adjustRightInd w:val="0"/>
        <w:snapToGrid w:val="0"/>
        <w:spacing w:line="440" w:lineRule="exact"/>
        <w:jc w:val="left"/>
        <w:rPr>
          <w:rFonts w:ascii="宋体" w:hAnsi="宋体" w:cs="宋体"/>
          <w:color w:val="auto"/>
          <w:szCs w:val="21"/>
        </w:rPr>
      </w:pPr>
    </w:p>
    <w:p>
      <w:pPr>
        <w:adjustRightInd w:val="0"/>
        <w:snapToGrid w:val="0"/>
        <w:spacing w:line="440" w:lineRule="exact"/>
        <w:jc w:val="left"/>
        <w:rPr>
          <w:rFonts w:ascii="宋体" w:hAnsi="宋体" w:cs="宋体"/>
          <w:color w:val="auto"/>
          <w:szCs w:val="21"/>
        </w:rPr>
      </w:pPr>
    </w:p>
    <w:p>
      <w:pPr>
        <w:adjustRightInd w:val="0"/>
        <w:snapToGrid w:val="0"/>
        <w:spacing w:line="440" w:lineRule="exact"/>
        <w:jc w:val="left"/>
        <w:rPr>
          <w:rFonts w:ascii="宋体" w:hAnsi="宋体" w:cs="宋体"/>
          <w:color w:val="auto"/>
          <w:szCs w:val="21"/>
        </w:rPr>
      </w:pPr>
    </w:p>
    <w:p>
      <w:pPr>
        <w:adjustRightInd w:val="0"/>
        <w:snapToGrid w:val="0"/>
        <w:spacing w:line="440" w:lineRule="exact"/>
        <w:jc w:val="left"/>
        <w:rPr>
          <w:rFonts w:ascii="宋体" w:hAnsi="宋体" w:cs="宋体"/>
          <w:color w:val="auto"/>
          <w:szCs w:val="21"/>
        </w:rPr>
      </w:pPr>
    </w:p>
    <w:p>
      <w:pPr>
        <w:adjustRightInd w:val="0"/>
        <w:snapToGrid w:val="0"/>
        <w:spacing w:line="440" w:lineRule="exact"/>
        <w:jc w:val="left"/>
        <w:rPr>
          <w:rFonts w:ascii="宋体" w:hAnsi="宋体" w:cs="宋体"/>
          <w:color w:val="auto"/>
          <w:szCs w:val="21"/>
        </w:rPr>
      </w:pPr>
    </w:p>
    <w:p>
      <w:pPr>
        <w:adjustRightInd w:val="0"/>
        <w:snapToGrid w:val="0"/>
        <w:spacing w:line="440" w:lineRule="exact"/>
        <w:jc w:val="left"/>
        <w:rPr>
          <w:rFonts w:ascii="宋体" w:hAnsi="宋体" w:cs="宋体"/>
          <w:color w:val="auto"/>
          <w:szCs w:val="21"/>
        </w:rPr>
      </w:pPr>
    </w:p>
    <w:p>
      <w:pPr>
        <w:adjustRightInd w:val="0"/>
        <w:snapToGrid w:val="0"/>
        <w:spacing w:line="440" w:lineRule="exact"/>
        <w:jc w:val="left"/>
        <w:rPr>
          <w:rFonts w:ascii="宋体" w:hAnsi="宋体" w:cs="宋体"/>
          <w:color w:val="auto"/>
          <w:szCs w:val="21"/>
        </w:rPr>
      </w:pPr>
    </w:p>
    <w:p>
      <w:pPr>
        <w:adjustRightInd w:val="0"/>
        <w:snapToGrid w:val="0"/>
        <w:spacing w:line="440" w:lineRule="exact"/>
        <w:jc w:val="left"/>
        <w:rPr>
          <w:rFonts w:ascii="宋体" w:hAnsi="宋体" w:cs="宋体"/>
          <w:color w:val="auto"/>
          <w:szCs w:val="21"/>
        </w:rPr>
      </w:pPr>
    </w:p>
    <w:p>
      <w:pPr>
        <w:adjustRightInd w:val="0"/>
        <w:snapToGrid w:val="0"/>
        <w:spacing w:line="440" w:lineRule="exact"/>
        <w:jc w:val="left"/>
        <w:rPr>
          <w:rFonts w:ascii="宋体" w:hAnsi="宋体" w:cs="宋体"/>
          <w:color w:val="auto"/>
          <w:szCs w:val="21"/>
        </w:rPr>
      </w:pPr>
    </w:p>
    <w:p>
      <w:pPr>
        <w:adjustRightInd w:val="0"/>
        <w:snapToGrid w:val="0"/>
        <w:spacing w:line="440" w:lineRule="exact"/>
        <w:jc w:val="left"/>
        <w:rPr>
          <w:rFonts w:ascii="宋体" w:hAnsi="宋体" w:cs="宋体"/>
          <w:color w:val="auto"/>
          <w:szCs w:val="21"/>
        </w:rPr>
      </w:pPr>
    </w:p>
    <w:p>
      <w:pPr>
        <w:adjustRightInd w:val="0"/>
        <w:snapToGrid w:val="0"/>
        <w:spacing w:line="440" w:lineRule="exact"/>
        <w:jc w:val="left"/>
        <w:rPr>
          <w:rFonts w:ascii="宋体" w:hAnsi="宋体" w:cs="宋体"/>
          <w:color w:val="auto"/>
          <w:szCs w:val="21"/>
        </w:rPr>
      </w:pPr>
    </w:p>
    <w:p>
      <w:pPr>
        <w:adjustRightInd w:val="0"/>
        <w:snapToGrid w:val="0"/>
        <w:spacing w:line="440" w:lineRule="exact"/>
        <w:jc w:val="left"/>
        <w:rPr>
          <w:rFonts w:ascii="宋体" w:hAnsi="宋体" w:cs="宋体"/>
          <w:color w:val="auto"/>
        </w:rPr>
      </w:pPr>
      <w:r>
        <w:rPr>
          <w:rFonts w:hint="eastAsia" w:ascii="宋体" w:hAnsi="宋体" w:cs="宋体"/>
          <w:color w:val="auto"/>
        </w:rPr>
        <w:t>二、商务技术文件的外包装封面格式：</w:t>
      </w:r>
    </w:p>
    <w:p>
      <w:pPr>
        <w:rPr>
          <w:rFonts w:ascii="宋体" w:hAnsi="宋体" w:cs="宋体"/>
          <w:color w:val="auto"/>
        </w:rPr>
      </w:pP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 xml:space="preserve"> </w:t>
      </w:r>
    </w:p>
    <w:p>
      <w:pPr>
        <w:jc w:val="center"/>
        <w:rPr>
          <w:rFonts w:ascii="宋体" w:hAnsi="宋体" w:cs="宋体"/>
          <w:color w:val="auto"/>
          <w:sz w:val="44"/>
          <w:szCs w:val="44"/>
        </w:rPr>
      </w:pPr>
      <w:r>
        <w:rPr>
          <w:rFonts w:hint="eastAsia" w:ascii="宋体" w:hAnsi="宋体" w:cs="宋体"/>
          <w:color w:val="auto"/>
          <w:sz w:val="44"/>
          <w:szCs w:val="44"/>
        </w:rPr>
        <w:t>商务技术文件</w:t>
      </w:r>
    </w:p>
    <w:p>
      <w:pPr>
        <w:rPr>
          <w:rFonts w:ascii="宋体" w:hAnsi="宋体" w:cs="宋体"/>
          <w:color w:val="auto"/>
          <w:szCs w:val="21"/>
        </w:rPr>
      </w:pPr>
      <w:r>
        <w:rPr>
          <w:rFonts w:hint="eastAsia" w:ascii="宋体" w:hAnsi="宋体" w:cs="宋体"/>
          <w:color w:val="auto"/>
        </w:rPr>
        <w:t xml:space="preserve"> </w:t>
      </w:r>
    </w:p>
    <w:p>
      <w:pPr>
        <w:spacing w:line="360" w:lineRule="auto"/>
        <w:rPr>
          <w:rFonts w:ascii="宋体" w:hAnsi="宋体" w:cs="宋体"/>
          <w:color w:val="auto"/>
        </w:rPr>
      </w:pPr>
      <w:r>
        <w:rPr>
          <w:rFonts w:hint="eastAsia" w:ascii="宋体" w:hAnsi="宋体" w:cs="宋体"/>
          <w:color w:val="auto"/>
        </w:rPr>
        <w:t>项目名称：                        项目</w:t>
      </w:r>
    </w:p>
    <w:p>
      <w:pPr>
        <w:spacing w:line="360" w:lineRule="auto"/>
        <w:rPr>
          <w:rFonts w:ascii="宋体" w:hAnsi="宋体" w:cs="宋体"/>
          <w:color w:val="auto"/>
        </w:rPr>
      </w:pPr>
      <w:r>
        <w:rPr>
          <w:rFonts w:hint="eastAsia" w:ascii="宋体" w:hAnsi="宋体" w:cs="宋体"/>
          <w:color w:val="auto"/>
        </w:rPr>
        <w:t>项目编号：</w:t>
      </w:r>
    </w:p>
    <w:p>
      <w:pPr>
        <w:spacing w:line="360" w:lineRule="auto"/>
        <w:rPr>
          <w:rFonts w:ascii="宋体" w:hAnsi="宋体" w:cs="宋体"/>
          <w:color w:val="auto"/>
        </w:rPr>
      </w:pPr>
      <w:r>
        <w:rPr>
          <w:rFonts w:hint="eastAsia" w:ascii="宋体" w:hAnsi="宋体" w:cs="宋体"/>
          <w:color w:val="auto"/>
        </w:rPr>
        <w:t xml:space="preserve">标项： </w:t>
      </w:r>
    </w:p>
    <w:p>
      <w:pPr>
        <w:spacing w:line="360" w:lineRule="auto"/>
        <w:rPr>
          <w:rFonts w:ascii="宋体" w:hAnsi="宋体" w:cs="宋体"/>
          <w:color w:val="auto"/>
        </w:rPr>
      </w:pPr>
      <w:r>
        <w:rPr>
          <w:rFonts w:hint="eastAsia" w:ascii="宋体" w:hAnsi="宋体" w:cs="宋体"/>
          <w:color w:val="auto"/>
        </w:rPr>
        <w:t>供应商名称：</w:t>
      </w:r>
    </w:p>
    <w:p>
      <w:pPr>
        <w:spacing w:line="360" w:lineRule="auto"/>
        <w:rPr>
          <w:rFonts w:ascii="宋体" w:hAnsi="宋体" w:cs="宋体"/>
          <w:color w:val="auto"/>
        </w:rPr>
      </w:pPr>
      <w:r>
        <w:rPr>
          <w:rFonts w:hint="eastAsia" w:ascii="宋体" w:hAnsi="宋体" w:cs="宋体"/>
          <w:color w:val="auto"/>
        </w:rPr>
        <w:t>供应商地址：</w:t>
      </w:r>
    </w:p>
    <w:p>
      <w:pPr>
        <w:spacing w:line="360" w:lineRule="auto"/>
        <w:rPr>
          <w:rFonts w:ascii="宋体" w:hAnsi="宋体" w:cs="宋体"/>
          <w:color w:val="auto"/>
        </w:rPr>
      </w:pPr>
      <w:r>
        <w:rPr>
          <w:rFonts w:hint="eastAsia" w:ascii="宋体" w:hAnsi="宋体" w:cs="宋体"/>
          <w:color w:val="auto"/>
        </w:rPr>
        <w:t>在  年  月  日  时  分之前不得启封</w:t>
      </w:r>
    </w:p>
    <w:p>
      <w:pPr>
        <w:spacing w:line="360" w:lineRule="auto"/>
        <w:rPr>
          <w:rFonts w:ascii="宋体" w:hAnsi="宋体" w:cs="宋体"/>
          <w:color w:val="auto"/>
        </w:rPr>
      </w:pPr>
      <w:r>
        <w:rPr>
          <w:rFonts w:hint="eastAsia" w:ascii="宋体" w:hAnsi="宋体" w:cs="宋体"/>
          <w:color w:val="auto"/>
        </w:rPr>
        <w:t xml:space="preserve">      </w:t>
      </w:r>
    </w:p>
    <w:p>
      <w:pPr>
        <w:spacing w:line="360" w:lineRule="auto"/>
        <w:rPr>
          <w:rFonts w:ascii="宋体" w:hAnsi="宋体" w:cs="宋体"/>
          <w:color w:val="auto"/>
        </w:rPr>
      </w:pPr>
      <w:r>
        <w:rPr>
          <w:rFonts w:hint="eastAsia" w:ascii="宋体" w:hAnsi="宋体" w:cs="宋体"/>
          <w:color w:val="auto"/>
        </w:rPr>
        <w:t xml:space="preserve">                                                    （供应商公章）</w:t>
      </w:r>
    </w:p>
    <w:p>
      <w:pPr>
        <w:spacing w:line="360" w:lineRule="auto"/>
        <w:rPr>
          <w:rFonts w:ascii="宋体" w:hAnsi="宋体" w:cs="宋体"/>
          <w:color w:val="auto"/>
        </w:rPr>
      </w:pPr>
      <w:r>
        <w:rPr>
          <w:rFonts w:hint="eastAsia" w:ascii="宋体" w:hAnsi="宋体" w:cs="宋体"/>
          <w:color w:val="auto"/>
        </w:rPr>
        <w:t xml:space="preserve">                                                      年  月  日</w:t>
      </w:r>
    </w:p>
    <w:p>
      <w:pPr>
        <w:rPr>
          <w:rFonts w:ascii="宋体" w:hAnsi="宋体" w:cs="宋体"/>
          <w:color w:val="auto"/>
        </w:rPr>
      </w:pP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 xml:space="preserve">二、商务技术文件封面格式： </w:t>
      </w:r>
    </w:p>
    <w:p>
      <w:pPr>
        <w:rPr>
          <w:rFonts w:ascii="宋体" w:hAnsi="宋体" w:cs="宋体"/>
          <w:color w:val="auto"/>
        </w:rPr>
      </w:pPr>
      <w:r>
        <w:rPr>
          <w:rFonts w:hint="eastAsia" w:ascii="宋体" w:hAnsi="宋体" w:cs="宋体"/>
          <w:color w:val="auto"/>
        </w:rPr>
        <w:t xml:space="preserve">                                                        正本/或副本</w:t>
      </w:r>
    </w:p>
    <w:p>
      <w:pPr>
        <w:rPr>
          <w:rFonts w:ascii="宋体" w:hAnsi="宋体" w:cs="宋体"/>
          <w:color w:val="auto"/>
        </w:rPr>
      </w:pP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 xml:space="preserve"> </w:t>
      </w:r>
    </w:p>
    <w:p>
      <w:pPr>
        <w:jc w:val="center"/>
        <w:rPr>
          <w:rFonts w:ascii="宋体" w:hAnsi="宋体" w:cs="宋体"/>
          <w:color w:val="auto"/>
          <w:sz w:val="44"/>
          <w:szCs w:val="44"/>
        </w:rPr>
      </w:pPr>
      <w:r>
        <w:rPr>
          <w:rFonts w:hint="eastAsia" w:ascii="宋体" w:hAnsi="宋体" w:cs="宋体"/>
          <w:color w:val="auto"/>
          <w:sz w:val="44"/>
          <w:szCs w:val="44"/>
        </w:rPr>
        <w:t>商务技术文件</w:t>
      </w:r>
    </w:p>
    <w:p>
      <w:pPr>
        <w:rPr>
          <w:rFonts w:ascii="宋体" w:hAnsi="宋体" w:cs="宋体"/>
          <w:color w:val="auto"/>
          <w:szCs w:val="21"/>
        </w:rPr>
      </w:pPr>
      <w:r>
        <w:rPr>
          <w:rFonts w:hint="eastAsia" w:ascii="宋体" w:hAnsi="宋体" w:cs="宋体"/>
          <w:color w:val="auto"/>
        </w:rPr>
        <w:t xml:space="preserve"> </w:t>
      </w:r>
    </w:p>
    <w:p>
      <w:pPr>
        <w:spacing w:line="360" w:lineRule="auto"/>
        <w:rPr>
          <w:rFonts w:ascii="宋体" w:hAnsi="宋体" w:cs="宋体"/>
          <w:color w:val="auto"/>
        </w:rPr>
      </w:pPr>
      <w:r>
        <w:rPr>
          <w:rFonts w:hint="eastAsia" w:ascii="宋体" w:hAnsi="宋体" w:cs="宋体"/>
          <w:color w:val="auto"/>
        </w:rPr>
        <w:t>项目名称：                        项目</w:t>
      </w:r>
    </w:p>
    <w:p>
      <w:pPr>
        <w:pStyle w:val="58"/>
        <w:ind w:left="0" w:firstLine="0"/>
        <w:rPr>
          <w:rFonts w:hAnsi="宋体" w:cs="宋体"/>
          <w:color w:val="auto"/>
        </w:rPr>
      </w:pPr>
      <w:r>
        <w:rPr>
          <w:rFonts w:hint="eastAsia" w:hAnsi="宋体" w:cs="宋体"/>
          <w:color w:val="auto"/>
        </w:rPr>
        <w:t>项目编号：</w:t>
      </w:r>
    </w:p>
    <w:p>
      <w:pPr>
        <w:pStyle w:val="58"/>
        <w:ind w:left="0" w:firstLine="0"/>
        <w:rPr>
          <w:color w:val="auto"/>
        </w:rPr>
      </w:pPr>
      <w:r>
        <w:rPr>
          <w:rFonts w:hint="eastAsia" w:hAnsi="宋体" w:cs="宋体"/>
          <w:color w:val="auto"/>
        </w:rPr>
        <w:t>标项：</w:t>
      </w:r>
    </w:p>
    <w:p>
      <w:pPr>
        <w:spacing w:line="360" w:lineRule="auto"/>
        <w:rPr>
          <w:rFonts w:ascii="宋体" w:hAnsi="宋体" w:cs="宋体"/>
          <w:color w:val="auto"/>
        </w:rPr>
      </w:pPr>
      <w:r>
        <w:rPr>
          <w:rFonts w:hint="eastAsia" w:ascii="宋体" w:hAnsi="宋体" w:cs="宋体"/>
          <w:color w:val="auto"/>
        </w:rPr>
        <w:t>供应商名称：</w:t>
      </w:r>
    </w:p>
    <w:p>
      <w:pPr>
        <w:spacing w:line="360" w:lineRule="auto"/>
        <w:rPr>
          <w:rFonts w:ascii="宋体" w:hAnsi="宋体" w:cs="宋体"/>
          <w:color w:val="auto"/>
        </w:rPr>
      </w:pPr>
      <w:r>
        <w:rPr>
          <w:rFonts w:hint="eastAsia" w:ascii="宋体" w:hAnsi="宋体" w:cs="宋体"/>
          <w:color w:val="auto"/>
        </w:rPr>
        <w:t>供应商地址：</w:t>
      </w:r>
    </w:p>
    <w:p>
      <w:pPr>
        <w:spacing w:line="360" w:lineRule="auto"/>
        <w:rPr>
          <w:rFonts w:ascii="宋体" w:hAnsi="宋体" w:cs="宋体"/>
          <w:color w:val="auto"/>
        </w:rPr>
      </w:pPr>
      <w:r>
        <w:rPr>
          <w:rFonts w:hint="eastAsia" w:ascii="宋体" w:hAnsi="宋体" w:cs="宋体"/>
          <w:color w:val="auto"/>
        </w:rPr>
        <w:t xml:space="preserve"> </w:t>
      </w:r>
    </w:p>
    <w:p>
      <w:pPr>
        <w:spacing w:line="360" w:lineRule="auto"/>
        <w:ind w:firstLine="5355" w:firstLineChars="2550"/>
        <w:rPr>
          <w:rFonts w:ascii="宋体" w:hAnsi="宋体" w:cs="宋体"/>
          <w:color w:val="auto"/>
        </w:rPr>
      </w:pPr>
      <w:r>
        <w:rPr>
          <w:rFonts w:hint="eastAsia" w:ascii="宋体" w:hAnsi="宋体" w:cs="宋体"/>
          <w:color w:val="auto"/>
        </w:rPr>
        <w:t>（供应商公章）</w:t>
      </w:r>
    </w:p>
    <w:p>
      <w:pPr>
        <w:widowControl/>
        <w:jc w:val="left"/>
        <w:rPr>
          <w:rFonts w:ascii="宋体" w:hAnsi="宋体" w:cs="宋体"/>
          <w:color w:val="auto"/>
        </w:rPr>
      </w:pPr>
      <w:r>
        <w:rPr>
          <w:rFonts w:hint="eastAsia" w:ascii="宋体" w:hAnsi="宋体" w:cs="宋体"/>
          <w:color w:val="auto"/>
        </w:rPr>
        <w:t xml:space="preserve">                                                       年  月  日</w:t>
      </w:r>
    </w:p>
    <w:p>
      <w:pPr>
        <w:widowControl/>
        <w:jc w:val="left"/>
        <w:rPr>
          <w:rFonts w:ascii="宋体" w:hAnsi="宋体" w:cs="宋体"/>
          <w:color w:val="auto"/>
        </w:rPr>
      </w:pPr>
      <w:r>
        <w:rPr>
          <w:rFonts w:hint="eastAsia" w:ascii="宋体" w:hAnsi="宋体" w:cs="宋体"/>
          <w:color w:val="auto"/>
        </w:rPr>
        <w:t xml:space="preserve"> </w:t>
      </w:r>
    </w:p>
    <w:p>
      <w:pPr>
        <w:widowControl/>
        <w:jc w:val="left"/>
        <w:rPr>
          <w:rFonts w:ascii="宋体" w:hAnsi="宋体" w:cs="宋体"/>
          <w:color w:val="auto"/>
        </w:rPr>
      </w:pPr>
      <w:r>
        <w:rPr>
          <w:rFonts w:hint="eastAsia" w:ascii="宋体" w:hAnsi="宋体" w:cs="宋体"/>
          <w:color w:val="auto"/>
        </w:rPr>
        <w:t xml:space="preserve"> </w:t>
      </w:r>
    </w:p>
    <w:p>
      <w:pPr>
        <w:widowControl/>
        <w:jc w:val="left"/>
        <w:rPr>
          <w:rFonts w:ascii="宋体" w:hAnsi="宋体" w:cs="宋体"/>
          <w:color w:val="auto"/>
        </w:rPr>
      </w:pPr>
      <w:r>
        <w:rPr>
          <w:rFonts w:hint="eastAsia" w:ascii="宋体" w:hAnsi="宋体" w:cs="宋体"/>
          <w:color w:val="auto"/>
        </w:rPr>
        <w:t xml:space="preserve"> </w:t>
      </w:r>
    </w:p>
    <w:p>
      <w:pPr>
        <w:widowControl/>
        <w:jc w:val="left"/>
        <w:rPr>
          <w:rFonts w:ascii="宋体" w:hAnsi="宋体" w:cs="宋体"/>
          <w:color w:val="auto"/>
        </w:rPr>
      </w:pPr>
      <w:r>
        <w:rPr>
          <w:rFonts w:hint="eastAsia" w:ascii="宋体" w:hAnsi="宋体" w:cs="宋体"/>
          <w:color w:val="auto"/>
        </w:rPr>
        <w:t xml:space="preserve"> </w:t>
      </w:r>
    </w:p>
    <w:p>
      <w:pPr>
        <w:widowControl/>
        <w:jc w:val="left"/>
        <w:rPr>
          <w:rFonts w:ascii="宋体" w:hAnsi="宋体" w:cs="宋体"/>
          <w:color w:val="auto"/>
        </w:rPr>
      </w:pPr>
      <w:r>
        <w:rPr>
          <w:rFonts w:hint="eastAsia" w:ascii="宋体" w:hAnsi="宋体" w:cs="宋体"/>
          <w:color w:val="auto"/>
        </w:rPr>
        <w:t xml:space="preserve"> </w:t>
      </w: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snapToGrid w:val="0"/>
        <w:spacing w:line="360" w:lineRule="auto"/>
        <w:ind w:firstLine="413" w:firstLineChars="196"/>
        <w:jc w:val="left"/>
        <w:rPr>
          <w:rFonts w:ascii="宋体" w:hAnsi="宋体" w:cs="宋体"/>
          <w:b/>
          <w:bCs/>
          <w:color w:val="auto"/>
          <w:szCs w:val="21"/>
        </w:rPr>
      </w:pPr>
      <w:r>
        <w:rPr>
          <w:rFonts w:hint="eastAsia" w:ascii="宋体" w:hAnsi="宋体" w:cs="宋体"/>
          <w:b/>
          <w:bCs/>
          <w:color w:val="auto"/>
          <w:szCs w:val="21"/>
        </w:rPr>
        <w:t>2、商务技术文件包括：</w:t>
      </w:r>
    </w:p>
    <w:p>
      <w:pPr>
        <w:tabs>
          <w:tab w:val="left" w:pos="518"/>
        </w:tabs>
        <w:adjustRightInd w:val="0"/>
        <w:snapToGrid w:val="0"/>
        <w:spacing w:line="360" w:lineRule="auto"/>
        <w:ind w:left="240" w:firstLine="210" w:firstLineChars="100"/>
        <w:rPr>
          <w:color w:val="auto"/>
        </w:rPr>
      </w:pPr>
      <w:r>
        <w:rPr>
          <w:rFonts w:hint="eastAsia" w:ascii="宋体" w:hAnsi="宋体"/>
          <w:color w:val="auto"/>
          <w:szCs w:val="21"/>
        </w:rPr>
        <w:t>2.1</w:t>
      </w:r>
      <w:r>
        <w:rPr>
          <w:rFonts w:hint="eastAsia"/>
          <w:color w:val="auto"/>
        </w:rPr>
        <w:t>供应商自查表</w:t>
      </w:r>
      <w:r>
        <w:rPr>
          <w:rFonts w:hint="eastAsia" w:ascii="宋体" w:hAnsi="宋体"/>
          <w:color w:val="auto"/>
          <w:szCs w:val="21"/>
        </w:rPr>
        <w:t>（格式见第六章）</w:t>
      </w:r>
      <w:r>
        <w:rPr>
          <w:rFonts w:hint="eastAsia"/>
          <w:color w:val="auto"/>
        </w:rPr>
        <w:t>；</w:t>
      </w:r>
    </w:p>
    <w:p>
      <w:pPr>
        <w:tabs>
          <w:tab w:val="left" w:pos="518"/>
        </w:tabs>
        <w:adjustRightInd w:val="0"/>
        <w:snapToGrid w:val="0"/>
        <w:spacing w:line="360" w:lineRule="auto"/>
        <w:ind w:left="240" w:firstLine="210" w:firstLineChars="100"/>
        <w:rPr>
          <w:color w:val="auto"/>
        </w:rPr>
      </w:pPr>
      <w:r>
        <w:rPr>
          <w:rFonts w:hint="eastAsia" w:ascii="宋体" w:hAnsi="宋体"/>
          <w:color w:val="auto"/>
          <w:szCs w:val="21"/>
        </w:rPr>
        <w:t>2.2</w:t>
      </w:r>
      <w:r>
        <w:rPr>
          <w:rFonts w:hint="eastAsia"/>
          <w:color w:val="auto"/>
        </w:rPr>
        <w:t>供应商响应表</w:t>
      </w:r>
      <w:r>
        <w:rPr>
          <w:rFonts w:hint="eastAsia" w:ascii="宋体" w:hAnsi="宋体"/>
          <w:color w:val="auto"/>
          <w:szCs w:val="21"/>
        </w:rPr>
        <w:t>（格式见第六章）</w:t>
      </w:r>
      <w:r>
        <w:rPr>
          <w:rFonts w:hint="eastAsia"/>
          <w:color w:val="auto"/>
        </w:rPr>
        <w:t>；</w:t>
      </w:r>
    </w:p>
    <w:p>
      <w:pPr>
        <w:tabs>
          <w:tab w:val="left" w:pos="518"/>
        </w:tabs>
        <w:adjustRightInd w:val="0"/>
        <w:snapToGrid w:val="0"/>
        <w:spacing w:line="360" w:lineRule="auto"/>
        <w:ind w:left="240" w:firstLine="210" w:firstLineChars="100"/>
        <w:rPr>
          <w:rFonts w:ascii="宋体" w:hAnsi="宋体"/>
          <w:color w:val="auto"/>
          <w:szCs w:val="21"/>
        </w:rPr>
      </w:pPr>
      <w:r>
        <w:rPr>
          <w:rFonts w:hint="eastAsia" w:ascii="宋体" w:hAnsi="宋体"/>
          <w:color w:val="auto"/>
          <w:szCs w:val="21"/>
        </w:rPr>
        <w:t>2.3</w:t>
      </w:r>
      <w:r>
        <w:rPr>
          <w:rFonts w:hint="eastAsia"/>
          <w:color w:val="auto"/>
        </w:rPr>
        <w:t>商务响应表</w:t>
      </w:r>
      <w:r>
        <w:rPr>
          <w:rFonts w:hint="eastAsia" w:ascii="宋体" w:hAnsi="宋体"/>
          <w:color w:val="auto"/>
          <w:szCs w:val="21"/>
        </w:rPr>
        <w:t>（格式见第六章）</w:t>
      </w:r>
      <w:r>
        <w:rPr>
          <w:rFonts w:hint="eastAsia"/>
          <w:color w:val="auto"/>
        </w:rPr>
        <w:t>；</w:t>
      </w:r>
    </w:p>
    <w:p>
      <w:pPr>
        <w:tabs>
          <w:tab w:val="left" w:pos="518"/>
        </w:tabs>
        <w:adjustRightInd w:val="0"/>
        <w:snapToGrid w:val="0"/>
        <w:spacing w:line="360" w:lineRule="auto"/>
        <w:ind w:left="240" w:firstLine="210" w:firstLineChars="100"/>
        <w:rPr>
          <w:rFonts w:ascii="宋体" w:hAnsi="宋体"/>
          <w:color w:val="auto"/>
          <w:szCs w:val="21"/>
        </w:rPr>
      </w:pPr>
      <w:r>
        <w:rPr>
          <w:rFonts w:hint="eastAsia" w:ascii="宋体" w:hAnsi="宋体"/>
          <w:color w:val="auto"/>
          <w:szCs w:val="21"/>
        </w:rPr>
        <w:t>2.4</w:t>
      </w:r>
      <w:r>
        <w:rPr>
          <w:rFonts w:hint="eastAsia"/>
          <w:color w:val="auto"/>
        </w:rPr>
        <w:t>法定代表人身份证明或法定代表人授权委托书（格式见附件）；</w:t>
      </w:r>
    </w:p>
    <w:p>
      <w:pPr>
        <w:tabs>
          <w:tab w:val="left" w:pos="518"/>
        </w:tabs>
        <w:adjustRightInd w:val="0"/>
        <w:snapToGrid w:val="0"/>
        <w:spacing w:line="360" w:lineRule="auto"/>
        <w:ind w:left="240" w:firstLine="210" w:firstLineChars="100"/>
        <w:rPr>
          <w:rFonts w:ascii="宋体" w:hAnsi="宋体"/>
          <w:color w:val="auto"/>
          <w:szCs w:val="21"/>
        </w:rPr>
      </w:pPr>
      <w:r>
        <w:rPr>
          <w:rFonts w:hint="eastAsia" w:ascii="宋体" w:hAnsi="宋体"/>
          <w:color w:val="auto"/>
          <w:szCs w:val="21"/>
        </w:rPr>
        <w:t>2.5</w:t>
      </w:r>
      <w:r>
        <w:rPr>
          <w:rFonts w:hint="eastAsia"/>
          <w:color w:val="auto"/>
        </w:rPr>
        <w:t>技术响应一览表</w:t>
      </w:r>
      <w:r>
        <w:rPr>
          <w:rFonts w:hint="eastAsia" w:ascii="宋体" w:hAnsi="宋体"/>
          <w:color w:val="auto"/>
          <w:szCs w:val="21"/>
        </w:rPr>
        <w:t>（格式见第六章）</w:t>
      </w:r>
      <w:r>
        <w:rPr>
          <w:rFonts w:hint="eastAsia"/>
          <w:color w:val="auto"/>
        </w:rPr>
        <w:t>；</w:t>
      </w:r>
    </w:p>
    <w:p>
      <w:pPr>
        <w:adjustRightInd w:val="0"/>
        <w:snapToGrid w:val="0"/>
        <w:spacing w:line="360" w:lineRule="auto"/>
        <w:ind w:left="239" w:leftChars="114" w:firstLine="210" w:firstLineChars="100"/>
        <w:rPr>
          <w:rFonts w:ascii="宋体" w:hAnsi="宋体"/>
          <w:color w:val="auto"/>
          <w:szCs w:val="21"/>
        </w:rPr>
      </w:pPr>
      <w:r>
        <w:rPr>
          <w:rFonts w:hint="eastAsia" w:ascii="宋体" w:hAnsi="宋体"/>
          <w:color w:val="auto"/>
          <w:szCs w:val="21"/>
        </w:rPr>
        <w:t>2.6</w:t>
      </w:r>
      <w:r>
        <w:rPr>
          <w:rFonts w:hint="eastAsia"/>
          <w:color w:val="auto"/>
        </w:rPr>
        <w:t>承诺函</w:t>
      </w:r>
      <w:r>
        <w:rPr>
          <w:rFonts w:hint="eastAsia" w:ascii="宋体" w:hAnsi="宋体"/>
          <w:color w:val="auto"/>
          <w:szCs w:val="21"/>
        </w:rPr>
        <w:t>（格式见第六章）</w:t>
      </w:r>
      <w:r>
        <w:rPr>
          <w:rFonts w:hint="eastAsia"/>
          <w:color w:val="auto"/>
        </w:rPr>
        <w:t>；</w:t>
      </w:r>
    </w:p>
    <w:p>
      <w:pPr>
        <w:tabs>
          <w:tab w:val="left" w:pos="518"/>
        </w:tabs>
        <w:adjustRightInd w:val="0"/>
        <w:snapToGrid w:val="0"/>
        <w:spacing w:line="360" w:lineRule="auto"/>
        <w:ind w:left="240" w:firstLine="210" w:firstLineChars="100"/>
        <w:rPr>
          <w:rFonts w:ascii="宋体" w:hAnsi="宋体"/>
          <w:color w:val="auto"/>
          <w:szCs w:val="21"/>
        </w:rPr>
      </w:pPr>
      <w:r>
        <w:rPr>
          <w:rFonts w:hint="eastAsia" w:ascii="宋体" w:hAnsi="宋体"/>
          <w:color w:val="auto"/>
          <w:szCs w:val="21"/>
        </w:rPr>
        <w:t>2.7</w:t>
      </w:r>
      <w:r>
        <w:rPr>
          <w:rFonts w:hint="eastAsia"/>
          <w:color w:val="auto"/>
        </w:rPr>
        <w:t>供应商基本情况表</w:t>
      </w:r>
      <w:r>
        <w:rPr>
          <w:rFonts w:hint="eastAsia" w:ascii="宋体" w:hAnsi="宋体"/>
          <w:color w:val="auto"/>
          <w:szCs w:val="21"/>
        </w:rPr>
        <w:t>（格式见第六章）</w:t>
      </w:r>
      <w:r>
        <w:rPr>
          <w:rFonts w:hint="eastAsia"/>
          <w:color w:val="auto"/>
        </w:rPr>
        <w:t>；</w:t>
      </w:r>
    </w:p>
    <w:p>
      <w:pPr>
        <w:tabs>
          <w:tab w:val="left" w:pos="420"/>
        </w:tabs>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2.8同类业绩情况一览表（格式见第六章）</w:t>
      </w:r>
      <w:r>
        <w:rPr>
          <w:rFonts w:hint="eastAsia"/>
          <w:color w:val="auto"/>
        </w:rPr>
        <w:t>；</w:t>
      </w:r>
    </w:p>
    <w:p>
      <w:pPr>
        <w:tabs>
          <w:tab w:val="left" w:pos="518"/>
        </w:tabs>
        <w:adjustRightInd w:val="0"/>
        <w:snapToGrid w:val="0"/>
        <w:spacing w:line="360" w:lineRule="auto"/>
        <w:ind w:left="240" w:firstLine="210" w:firstLineChars="100"/>
        <w:rPr>
          <w:color w:val="auto"/>
        </w:rPr>
      </w:pPr>
      <w:r>
        <w:rPr>
          <w:rFonts w:hint="eastAsia"/>
          <w:color w:val="auto"/>
        </w:rPr>
        <w:t>2.9</w:t>
      </w:r>
      <w:r>
        <w:rPr>
          <w:rFonts w:hint="eastAsia" w:ascii="宋体" w:hAnsi="宋体" w:cs="宋体"/>
          <w:color w:val="auto"/>
          <w:szCs w:val="21"/>
        </w:rPr>
        <w:t>系统架构、数据架构、功能结构设计</w:t>
      </w:r>
      <w:r>
        <w:rPr>
          <w:rFonts w:hint="eastAsia"/>
          <w:color w:val="auto"/>
        </w:rPr>
        <w:t>；</w:t>
      </w:r>
    </w:p>
    <w:p>
      <w:pPr>
        <w:tabs>
          <w:tab w:val="left" w:pos="518"/>
        </w:tabs>
        <w:adjustRightInd w:val="0"/>
        <w:snapToGrid w:val="0"/>
        <w:spacing w:line="360" w:lineRule="auto"/>
        <w:ind w:left="240" w:firstLine="210" w:firstLineChars="100"/>
        <w:rPr>
          <w:rFonts w:hint="eastAsia"/>
          <w:color w:val="auto"/>
        </w:rPr>
      </w:pPr>
      <w:r>
        <w:rPr>
          <w:rFonts w:hint="eastAsia"/>
          <w:color w:val="auto"/>
        </w:rPr>
        <w:t>2.10本项目的难点及关键点的应对方案；</w:t>
      </w:r>
    </w:p>
    <w:p>
      <w:pPr>
        <w:tabs>
          <w:tab w:val="left" w:pos="518"/>
        </w:tabs>
        <w:adjustRightInd w:val="0"/>
        <w:snapToGrid w:val="0"/>
        <w:spacing w:line="360" w:lineRule="auto"/>
        <w:ind w:left="240" w:firstLine="210" w:firstLineChars="100"/>
        <w:rPr>
          <w:rFonts w:hint="eastAsia"/>
          <w:color w:val="auto"/>
        </w:rPr>
      </w:pPr>
      <w:r>
        <w:rPr>
          <w:rFonts w:hint="eastAsia"/>
          <w:color w:val="auto"/>
        </w:rPr>
        <w:t>2.11施工方案；</w:t>
      </w:r>
    </w:p>
    <w:p>
      <w:pPr>
        <w:tabs>
          <w:tab w:val="left" w:pos="518"/>
        </w:tabs>
        <w:adjustRightInd w:val="0"/>
        <w:snapToGrid w:val="0"/>
        <w:spacing w:line="360" w:lineRule="auto"/>
        <w:ind w:left="240" w:firstLine="210" w:firstLineChars="100"/>
        <w:rPr>
          <w:rFonts w:hint="eastAsia"/>
          <w:color w:val="auto"/>
        </w:rPr>
      </w:pPr>
      <w:r>
        <w:rPr>
          <w:rFonts w:hint="eastAsia"/>
          <w:color w:val="auto"/>
        </w:rPr>
        <w:t>2.12售后服务方案；</w:t>
      </w:r>
    </w:p>
    <w:p>
      <w:pPr>
        <w:tabs>
          <w:tab w:val="left" w:pos="518"/>
        </w:tabs>
        <w:adjustRightInd w:val="0"/>
        <w:snapToGrid w:val="0"/>
        <w:spacing w:line="360" w:lineRule="auto"/>
        <w:ind w:left="240" w:firstLine="210" w:firstLineChars="100"/>
        <w:rPr>
          <w:rFonts w:hint="eastAsia"/>
          <w:color w:val="auto"/>
        </w:rPr>
      </w:pPr>
      <w:r>
        <w:rPr>
          <w:rFonts w:hint="eastAsia"/>
          <w:color w:val="auto"/>
        </w:rPr>
        <w:t>2.13</w:t>
      </w:r>
      <w:r>
        <w:rPr>
          <w:rFonts w:hint="eastAsia"/>
          <w:color w:val="auto"/>
          <w:lang w:val="en-US" w:eastAsia="zh-CN"/>
        </w:rPr>
        <w:t>合理化建议</w:t>
      </w:r>
      <w:r>
        <w:rPr>
          <w:rFonts w:hint="eastAsia"/>
          <w:color w:val="auto"/>
        </w:rPr>
        <w:t>；</w:t>
      </w:r>
    </w:p>
    <w:p>
      <w:pPr>
        <w:tabs>
          <w:tab w:val="left" w:pos="518"/>
        </w:tabs>
        <w:adjustRightInd w:val="0"/>
        <w:snapToGrid w:val="0"/>
        <w:spacing w:line="360" w:lineRule="auto"/>
        <w:ind w:left="240" w:firstLine="210" w:firstLineChars="100"/>
        <w:rPr>
          <w:rFonts w:hint="eastAsia"/>
          <w:color w:val="auto"/>
        </w:rPr>
      </w:pPr>
      <w:r>
        <w:rPr>
          <w:rFonts w:hint="eastAsia"/>
          <w:color w:val="auto"/>
        </w:rPr>
        <w:t>2.14人员配置情况表（格式见第六章）；</w:t>
      </w:r>
    </w:p>
    <w:p>
      <w:pPr>
        <w:tabs>
          <w:tab w:val="left" w:pos="518"/>
        </w:tabs>
        <w:adjustRightInd w:val="0"/>
        <w:snapToGrid w:val="0"/>
        <w:spacing w:line="360" w:lineRule="auto"/>
        <w:ind w:left="240" w:firstLine="210" w:firstLineChars="100"/>
        <w:rPr>
          <w:rFonts w:hint="eastAsia"/>
          <w:color w:val="auto"/>
        </w:rPr>
      </w:pPr>
      <w:r>
        <w:rPr>
          <w:rFonts w:hint="eastAsia"/>
          <w:color w:val="auto"/>
        </w:rPr>
        <w:t>2.15招标文件评分标准中要求提供的所有资料；</w:t>
      </w:r>
    </w:p>
    <w:p>
      <w:pPr>
        <w:tabs>
          <w:tab w:val="left" w:pos="518"/>
        </w:tabs>
        <w:adjustRightInd w:val="0"/>
        <w:snapToGrid w:val="0"/>
        <w:spacing w:line="360" w:lineRule="auto"/>
        <w:ind w:left="240" w:firstLine="210" w:firstLineChars="100"/>
        <w:rPr>
          <w:rFonts w:hint="eastAsia"/>
          <w:color w:val="auto"/>
        </w:rPr>
      </w:pPr>
      <w:r>
        <w:rPr>
          <w:rFonts w:hint="eastAsia"/>
          <w:color w:val="auto"/>
        </w:rPr>
        <w:t>2.16供应商认为需要提供的其它材料。</w:t>
      </w:r>
    </w:p>
    <w:p>
      <w:pPr>
        <w:snapToGrid w:val="0"/>
        <w:spacing w:line="360" w:lineRule="auto"/>
        <w:ind w:firstLine="420" w:firstLineChars="200"/>
        <w:jc w:val="left"/>
        <w:rPr>
          <w:rFonts w:ascii="宋体" w:hAnsi="宋体" w:cs="宋体"/>
          <w:color w:val="auto"/>
          <w:szCs w:val="21"/>
          <w:lang w:val="zh-CN"/>
        </w:rPr>
      </w:pPr>
    </w:p>
    <w:p>
      <w:pPr>
        <w:snapToGrid w:val="0"/>
        <w:spacing w:line="360" w:lineRule="auto"/>
        <w:ind w:firstLine="420" w:firstLineChars="200"/>
        <w:jc w:val="left"/>
        <w:rPr>
          <w:rFonts w:ascii="宋体" w:hAnsi="宋体" w:cs="宋体"/>
          <w:color w:val="auto"/>
          <w:szCs w:val="21"/>
          <w:lang w:val="zh-CN"/>
        </w:rPr>
      </w:pPr>
    </w:p>
    <w:p>
      <w:pPr>
        <w:snapToGrid w:val="0"/>
        <w:spacing w:line="360" w:lineRule="auto"/>
        <w:ind w:firstLine="411" w:firstLineChars="196"/>
        <w:jc w:val="left"/>
        <w:rPr>
          <w:rFonts w:ascii="宋体" w:hAnsi="宋体" w:cs="宋体"/>
          <w:color w:val="auto"/>
          <w:szCs w:val="21"/>
        </w:rPr>
      </w:pPr>
    </w:p>
    <w:p>
      <w:pPr>
        <w:snapToGrid w:val="0"/>
        <w:spacing w:line="360" w:lineRule="auto"/>
        <w:ind w:firstLine="411" w:firstLineChars="196"/>
        <w:jc w:val="left"/>
        <w:rPr>
          <w:rFonts w:ascii="宋体" w:hAnsi="宋体" w:cs="宋体"/>
          <w:color w:val="auto"/>
          <w:szCs w:val="21"/>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pStyle w:val="57"/>
        <w:rPr>
          <w:rFonts w:hAnsi="宋体" w:cs="宋体"/>
          <w:color w:val="auto"/>
        </w:rPr>
      </w:pPr>
    </w:p>
    <w:p>
      <w:pPr>
        <w:pStyle w:val="57"/>
        <w:rPr>
          <w:rFonts w:hAnsi="宋体" w:cs="宋体"/>
          <w:color w:val="auto"/>
        </w:rPr>
      </w:pPr>
    </w:p>
    <w:p>
      <w:pPr>
        <w:pStyle w:val="57"/>
        <w:rPr>
          <w:rFonts w:hAnsi="宋体" w:cs="宋体"/>
          <w:color w:val="auto"/>
        </w:rPr>
      </w:pPr>
    </w:p>
    <w:p>
      <w:pPr>
        <w:pStyle w:val="57"/>
        <w:rPr>
          <w:rFonts w:hAnsi="宋体" w:cs="宋体"/>
          <w:color w:val="auto"/>
        </w:rPr>
      </w:pPr>
    </w:p>
    <w:p>
      <w:pPr>
        <w:pStyle w:val="57"/>
        <w:rPr>
          <w:rFonts w:hAnsi="宋体" w:cs="宋体"/>
          <w:color w:val="auto"/>
        </w:rPr>
      </w:pPr>
    </w:p>
    <w:p>
      <w:pPr>
        <w:pStyle w:val="57"/>
        <w:rPr>
          <w:rFonts w:hAnsi="宋体" w:cs="宋体"/>
          <w:color w:val="auto"/>
        </w:rPr>
      </w:pPr>
    </w:p>
    <w:p>
      <w:pPr>
        <w:pStyle w:val="57"/>
        <w:rPr>
          <w:rFonts w:hAnsi="宋体" w:cs="宋体"/>
          <w:color w:val="auto"/>
        </w:rPr>
      </w:pPr>
    </w:p>
    <w:p>
      <w:pPr>
        <w:pStyle w:val="57"/>
        <w:rPr>
          <w:rFonts w:hAnsi="宋体" w:cs="宋体"/>
          <w:color w:val="auto"/>
        </w:rPr>
      </w:pPr>
    </w:p>
    <w:p>
      <w:pPr>
        <w:pStyle w:val="57"/>
        <w:rPr>
          <w:rFonts w:hAnsi="宋体" w:cs="宋体"/>
          <w:color w:val="auto"/>
        </w:rPr>
      </w:pPr>
    </w:p>
    <w:p>
      <w:pPr>
        <w:pStyle w:val="57"/>
        <w:rPr>
          <w:rFonts w:hAnsi="宋体" w:cs="宋体"/>
          <w:color w:val="auto"/>
        </w:rPr>
      </w:pPr>
    </w:p>
    <w:p>
      <w:pPr>
        <w:rPr>
          <w:rFonts w:ascii="宋体" w:hAnsi="宋体" w:cs="宋体"/>
          <w:color w:val="auto"/>
        </w:rPr>
      </w:pPr>
    </w:p>
    <w:p>
      <w:pPr>
        <w:snapToGrid w:val="0"/>
        <w:spacing w:line="360" w:lineRule="auto"/>
        <w:jc w:val="left"/>
        <w:rPr>
          <w:rFonts w:ascii="宋体" w:hAnsi="宋体" w:cs="宋体"/>
          <w:color w:val="auto"/>
          <w:szCs w:val="21"/>
        </w:rPr>
      </w:pPr>
      <w:r>
        <w:rPr>
          <w:rFonts w:hint="eastAsia" w:ascii="宋体" w:hAnsi="宋体" w:cs="宋体"/>
          <w:color w:val="auto"/>
        </w:rPr>
        <w:t>1</w:t>
      </w:r>
      <w:r>
        <w:rPr>
          <w:rFonts w:hint="eastAsia" w:ascii="宋体" w:hAnsi="宋体" w:cs="宋体"/>
          <w:color w:val="auto"/>
          <w:szCs w:val="21"/>
        </w:rPr>
        <w:t>、符合性自查表；</w:t>
      </w:r>
    </w:p>
    <w:p>
      <w:pPr>
        <w:jc w:val="center"/>
        <w:rPr>
          <w:rFonts w:ascii="宋体" w:hAnsi="宋体" w:cs="宋体"/>
          <w:b/>
          <w:color w:val="auto"/>
        </w:rPr>
      </w:pPr>
      <w:r>
        <w:rPr>
          <w:rFonts w:hint="eastAsia" w:ascii="宋体" w:hAnsi="宋体" w:cs="宋体"/>
          <w:b/>
          <w:color w:val="auto"/>
        </w:rPr>
        <w:t>符合性自查表</w:t>
      </w:r>
    </w:p>
    <w:p>
      <w:pPr>
        <w:jc w:val="center"/>
        <w:rPr>
          <w:rFonts w:ascii="宋体" w:hAnsi="宋体" w:cs="宋体"/>
          <w:b/>
          <w:color w:val="auto"/>
        </w:rPr>
      </w:pPr>
    </w:p>
    <w:tbl>
      <w:tblPr>
        <w:tblStyle w:val="45"/>
        <w:tblW w:w="8933" w:type="dxa"/>
        <w:jc w:val="center"/>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Layout w:type="fixed"/>
        <w:tblCellMar>
          <w:top w:w="150" w:type="dxa"/>
          <w:left w:w="150" w:type="dxa"/>
          <w:bottom w:w="150" w:type="dxa"/>
          <w:right w:w="150" w:type="dxa"/>
        </w:tblCellMar>
      </w:tblPr>
      <w:tblGrid>
        <w:gridCol w:w="1486"/>
        <w:gridCol w:w="3566"/>
        <w:gridCol w:w="1270"/>
        <w:gridCol w:w="2611"/>
      </w:tblGrid>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547" w:hRule="atLeast"/>
          <w:jc w:val="center"/>
        </w:trPr>
        <w:tc>
          <w:tcPr>
            <w:tcW w:w="1486" w:type="dxa"/>
            <w:tcBorders>
              <w:top w:val="single" w:color="auto" w:sz="12" w:space="0"/>
              <w:left w:val="single" w:color="auto" w:sz="12" w:space="0"/>
              <w:bottom w:val="outset" w:color="111111" w:sz="6" w:space="0"/>
              <w:right w:val="outset" w:color="111111" w:sz="6" w:space="0"/>
            </w:tcBorders>
            <w:vAlign w:val="center"/>
          </w:tcPr>
          <w:p>
            <w:pPr>
              <w:spacing w:line="240" w:lineRule="exact"/>
              <w:jc w:val="center"/>
              <w:rPr>
                <w:rFonts w:ascii="宋体" w:hAnsi="宋体" w:cs="宋体"/>
                <w:color w:val="auto"/>
              </w:rPr>
            </w:pPr>
            <w:r>
              <w:rPr>
                <w:rFonts w:hint="eastAsia" w:ascii="宋体" w:hAnsi="宋体" w:cs="宋体"/>
                <w:color w:val="auto"/>
              </w:rPr>
              <w:t>评审内容</w:t>
            </w:r>
          </w:p>
        </w:tc>
        <w:tc>
          <w:tcPr>
            <w:tcW w:w="3566"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rPr>
                <w:rFonts w:ascii="宋体" w:hAnsi="宋体" w:cs="宋体"/>
                <w:color w:val="auto"/>
              </w:rPr>
            </w:pPr>
            <w:r>
              <w:rPr>
                <w:rFonts w:hint="eastAsia" w:ascii="宋体" w:hAnsi="宋体" w:cs="宋体"/>
                <w:color w:val="auto"/>
                <w:szCs w:val="21"/>
              </w:rPr>
              <w:t>磋商采购</w:t>
            </w:r>
            <w:r>
              <w:rPr>
                <w:rFonts w:hint="eastAsia" w:ascii="宋体" w:hAnsi="宋体" w:cs="宋体"/>
                <w:color w:val="auto"/>
              </w:rPr>
              <w:t>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rPr>
                <w:rFonts w:ascii="宋体" w:hAnsi="宋体" w:cs="宋体"/>
                <w:color w:val="auto"/>
              </w:rPr>
            </w:pPr>
            <w:r>
              <w:rPr>
                <w:rFonts w:hint="eastAsia" w:ascii="宋体" w:hAnsi="宋体" w:cs="宋体"/>
                <w:color w:val="auto"/>
              </w:rPr>
              <w:t>自查结论</w:t>
            </w:r>
          </w:p>
        </w:tc>
        <w:tc>
          <w:tcPr>
            <w:tcW w:w="2611" w:type="dxa"/>
            <w:tcBorders>
              <w:top w:val="single" w:color="auto" w:sz="12" w:space="0"/>
              <w:left w:val="outset" w:color="111111" w:sz="6" w:space="0"/>
              <w:bottom w:val="outset" w:color="111111" w:sz="6" w:space="0"/>
              <w:right w:val="single" w:color="auto" w:sz="12" w:space="0"/>
            </w:tcBorders>
            <w:vAlign w:val="center"/>
          </w:tcPr>
          <w:p>
            <w:pPr>
              <w:spacing w:line="240" w:lineRule="exact"/>
              <w:jc w:val="center"/>
              <w:rPr>
                <w:rFonts w:ascii="宋体" w:hAnsi="宋体" w:cs="宋体"/>
                <w:color w:val="auto"/>
              </w:rPr>
            </w:pPr>
            <w:r>
              <w:rPr>
                <w:rFonts w:hint="eastAsia" w:ascii="宋体" w:hAnsi="宋体" w:cs="宋体"/>
                <w:color w:val="auto"/>
              </w:rPr>
              <w:t>证明资料</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669" w:hRule="atLeast"/>
          <w:jc w:val="center"/>
        </w:trPr>
        <w:tc>
          <w:tcPr>
            <w:tcW w:w="1486" w:type="dxa"/>
            <w:vMerge w:val="restart"/>
            <w:tcBorders>
              <w:top w:val="outset" w:color="111111" w:sz="6" w:space="0"/>
              <w:left w:val="single" w:color="auto" w:sz="12" w:space="0"/>
              <w:right w:val="outset" w:color="111111" w:sz="6" w:space="0"/>
            </w:tcBorders>
            <w:vAlign w:val="center"/>
          </w:tcPr>
          <w:p>
            <w:pPr>
              <w:pStyle w:val="83"/>
              <w:adjustRightInd w:val="0"/>
              <w:snapToGrid w:val="0"/>
              <w:spacing w:before="0" w:beforeAutospacing="0" w:after="0" w:afterAutospacing="0" w:line="240" w:lineRule="exact"/>
              <w:jc w:val="both"/>
              <w:rPr>
                <w:rFonts w:ascii="宋体" w:hAnsi="宋体" w:cs="宋体"/>
                <w:color w:val="auto"/>
              </w:rPr>
            </w:pPr>
            <w:r>
              <w:rPr>
                <w:rFonts w:cs="宋体"/>
                <w:b/>
                <w:color w:val="auto"/>
                <w:kern w:val="2"/>
                <w:sz w:val="21"/>
                <w:szCs w:val="21"/>
              </w:rPr>
              <w:t>符合性审</w:t>
            </w:r>
            <w:r>
              <w:rPr>
                <w:rFonts w:cs="宋体"/>
                <w:b/>
                <w:color w:val="auto"/>
                <w:szCs w:val="21"/>
              </w:rPr>
              <w:t>查</w:t>
            </w:r>
          </w:p>
        </w:tc>
        <w:tc>
          <w:tcPr>
            <w:tcW w:w="3566"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color w:val="auto"/>
              </w:rPr>
            </w:pPr>
            <w:r>
              <w:rPr>
                <w:rFonts w:hint="eastAsia" w:ascii="宋体" w:hAnsi="宋体" w:cs="宋体"/>
                <w:color w:val="auto"/>
              </w:rPr>
              <w:t>1、磋商响应文件完全满足磋商</w:t>
            </w:r>
            <w:r>
              <w:rPr>
                <w:rFonts w:hint="eastAsia" w:ascii="宋体" w:hAnsi="宋体" w:cs="宋体"/>
                <w:color w:val="auto"/>
                <w:szCs w:val="21"/>
              </w:rPr>
              <w:t>采购</w:t>
            </w:r>
            <w:r>
              <w:rPr>
                <w:rFonts w:hint="eastAsia" w:ascii="宋体" w:hAnsi="宋体" w:cs="宋体"/>
                <w:color w:val="auto"/>
              </w:rPr>
              <w:t>文件的实质性条款（即标注</w:t>
            </w:r>
            <w:r>
              <w:rPr>
                <w:rFonts w:hint="eastAsia" w:ascii="宋体" w:hAnsi="宋体" w:cs="宋体"/>
                <w:color w:val="auto"/>
                <w:szCs w:val="21"/>
              </w:rPr>
              <w:t>▲</w:t>
            </w:r>
            <w:r>
              <w:rPr>
                <w:rFonts w:hint="eastAsia" w:ascii="宋体" w:hAnsi="宋体" w:cs="宋体"/>
                <w:color w:val="auto"/>
              </w:rPr>
              <w:t>号条款）无负偏离的；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color w:val="auto"/>
              </w:rPr>
            </w:pPr>
            <w:r>
              <w:rPr>
                <w:rFonts w:hint="eastAsia" w:ascii="宋体" w:hAnsi="宋体" w:cs="宋体"/>
                <w:color w:val="auto"/>
              </w:rPr>
              <w:t xml:space="preserve">□通过 </w:t>
            </w:r>
          </w:p>
          <w:p>
            <w:pPr>
              <w:spacing w:line="240" w:lineRule="exact"/>
              <w:rPr>
                <w:rFonts w:ascii="宋体" w:hAnsi="宋体" w:cs="宋体"/>
                <w:color w:val="auto"/>
              </w:rPr>
            </w:pPr>
            <w:r>
              <w:rPr>
                <w:rFonts w:hint="eastAsia" w:ascii="宋体" w:hAnsi="宋体" w:cs="宋体"/>
                <w:color w:val="auto"/>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color w:val="auto"/>
              </w:rPr>
            </w:pPr>
            <w:r>
              <w:rPr>
                <w:rFonts w:hint="eastAsia" w:ascii="宋体" w:hAnsi="宋体" w:cs="宋体"/>
                <w:color w:val="auto"/>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1486" w:type="dxa"/>
            <w:vMerge w:val="continue"/>
            <w:tcBorders>
              <w:top w:val="outset" w:color="111111" w:sz="6" w:space="0"/>
              <w:left w:val="single" w:color="auto" w:sz="12" w:space="0"/>
              <w:bottom w:val="outset" w:color="111111" w:sz="6" w:space="0"/>
              <w:right w:val="outset" w:color="111111" w:sz="6" w:space="0"/>
            </w:tcBorders>
            <w:vAlign w:val="center"/>
          </w:tcPr>
          <w:p>
            <w:pPr>
              <w:rPr>
                <w:rFonts w:ascii="宋体" w:hAnsi="宋体" w:cs="宋体"/>
                <w:color w:val="auto"/>
              </w:rPr>
            </w:pPr>
          </w:p>
        </w:tc>
        <w:tc>
          <w:tcPr>
            <w:tcW w:w="3566"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color w:val="auto"/>
              </w:rPr>
            </w:pPr>
            <w:r>
              <w:rPr>
                <w:rFonts w:hint="eastAsia" w:ascii="宋体" w:hAnsi="宋体" w:cs="宋体"/>
                <w:color w:val="auto"/>
              </w:rPr>
              <w:t>2、法定代表人证明书/法定代表人授权委托书。</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color w:val="auto"/>
              </w:rPr>
            </w:pPr>
            <w:r>
              <w:rPr>
                <w:rFonts w:hint="eastAsia" w:ascii="宋体" w:hAnsi="宋体" w:cs="宋体"/>
                <w:color w:val="auto"/>
              </w:rPr>
              <w:t xml:space="preserve">□通过 </w:t>
            </w:r>
          </w:p>
          <w:p>
            <w:pPr>
              <w:spacing w:line="240" w:lineRule="exact"/>
              <w:rPr>
                <w:rFonts w:ascii="宋体" w:hAnsi="宋体" w:cs="宋体"/>
                <w:color w:val="auto"/>
              </w:rPr>
            </w:pPr>
            <w:r>
              <w:rPr>
                <w:rFonts w:hint="eastAsia" w:ascii="宋体" w:hAnsi="宋体" w:cs="宋体"/>
                <w:color w:val="auto"/>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color w:val="auto"/>
              </w:rPr>
            </w:pPr>
            <w:r>
              <w:rPr>
                <w:rFonts w:hint="eastAsia" w:ascii="宋体" w:hAnsi="宋体" w:cs="宋体"/>
                <w:color w:val="auto"/>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1486" w:type="dxa"/>
            <w:vMerge w:val="continue"/>
            <w:tcBorders>
              <w:top w:val="outset" w:color="111111" w:sz="6" w:space="0"/>
              <w:left w:val="single" w:color="auto" w:sz="12" w:space="0"/>
              <w:bottom w:val="outset" w:color="111111" w:sz="6" w:space="0"/>
              <w:right w:val="outset" w:color="111111" w:sz="6" w:space="0"/>
            </w:tcBorders>
            <w:vAlign w:val="center"/>
          </w:tcPr>
          <w:p>
            <w:pPr>
              <w:rPr>
                <w:rFonts w:ascii="宋体" w:hAnsi="宋体" w:cs="宋体"/>
                <w:color w:val="auto"/>
              </w:rPr>
            </w:pPr>
          </w:p>
        </w:tc>
        <w:tc>
          <w:tcPr>
            <w:tcW w:w="3566"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color w:val="auto"/>
              </w:rPr>
            </w:pPr>
            <w:r>
              <w:rPr>
                <w:rFonts w:hint="eastAsia" w:ascii="宋体" w:hAnsi="宋体" w:cs="宋体"/>
                <w:color w:val="auto"/>
              </w:rPr>
              <w:t>3、没有其他未实质性响应文件要求的。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color w:val="auto"/>
              </w:rPr>
            </w:pPr>
            <w:r>
              <w:rPr>
                <w:rFonts w:hint="eastAsia" w:ascii="宋体" w:hAnsi="宋体" w:cs="宋体"/>
                <w:color w:val="auto"/>
              </w:rPr>
              <w:t xml:space="preserve">□通过 </w:t>
            </w:r>
          </w:p>
          <w:p>
            <w:pPr>
              <w:spacing w:line="240" w:lineRule="exact"/>
              <w:rPr>
                <w:rFonts w:ascii="宋体" w:hAnsi="宋体" w:cs="宋体"/>
                <w:color w:val="auto"/>
              </w:rPr>
            </w:pPr>
            <w:r>
              <w:rPr>
                <w:rFonts w:hint="eastAsia" w:ascii="宋体" w:hAnsi="宋体" w:cs="宋体"/>
                <w:color w:val="auto"/>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color w:val="auto"/>
              </w:rPr>
            </w:pPr>
            <w:r>
              <w:rPr>
                <w:rFonts w:hint="eastAsia" w:ascii="宋体" w:hAnsi="宋体" w:cs="宋体"/>
                <w:color w:val="auto"/>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1486" w:type="dxa"/>
            <w:vMerge w:val="continue"/>
            <w:tcBorders>
              <w:top w:val="outset" w:color="111111" w:sz="6" w:space="0"/>
              <w:left w:val="single" w:color="auto" w:sz="12" w:space="0"/>
              <w:bottom w:val="outset" w:color="111111" w:sz="6" w:space="0"/>
              <w:right w:val="outset" w:color="111111" w:sz="6" w:space="0"/>
            </w:tcBorders>
            <w:vAlign w:val="center"/>
          </w:tcPr>
          <w:p>
            <w:pPr>
              <w:rPr>
                <w:rFonts w:ascii="宋体" w:hAnsi="宋体" w:cs="宋体"/>
                <w:color w:val="auto"/>
              </w:rPr>
            </w:pPr>
          </w:p>
        </w:tc>
        <w:tc>
          <w:tcPr>
            <w:tcW w:w="3566"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color w:val="auto"/>
              </w:rPr>
            </w:pPr>
            <w:r>
              <w:rPr>
                <w:rFonts w:hint="eastAsia" w:ascii="宋体" w:hAnsi="宋体" w:cs="宋体"/>
                <w:color w:val="auto"/>
              </w:rPr>
              <w:t>4、磋商响应文件没有磋商</w:t>
            </w:r>
            <w:r>
              <w:rPr>
                <w:rFonts w:hint="eastAsia" w:ascii="宋体" w:hAnsi="宋体" w:cs="宋体"/>
                <w:color w:val="auto"/>
                <w:szCs w:val="21"/>
              </w:rPr>
              <w:t>采购</w:t>
            </w:r>
            <w:r>
              <w:rPr>
                <w:rFonts w:hint="eastAsia" w:ascii="宋体" w:hAnsi="宋体" w:cs="宋体"/>
                <w:color w:val="auto"/>
              </w:rPr>
              <w:t>文件中规定的其它无效磋商条款的；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color w:val="auto"/>
              </w:rPr>
            </w:pPr>
            <w:r>
              <w:rPr>
                <w:rFonts w:hint="eastAsia" w:ascii="宋体" w:hAnsi="宋体" w:cs="宋体"/>
                <w:color w:val="auto"/>
              </w:rPr>
              <w:t xml:space="preserve">□通过 </w:t>
            </w:r>
          </w:p>
          <w:p>
            <w:pPr>
              <w:spacing w:line="240" w:lineRule="exact"/>
              <w:rPr>
                <w:rFonts w:ascii="宋体" w:hAnsi="宋体" w:cs="宋体"/>
                <w:color w:val="auto"/>
              </w:rPr>
            </w:pPr>
            <w:r>
              <w:rPr>
                <w:rFonts w:hint="eastAsia" w:ascii="宋体" w:hAnsi="宋体" w:cs="宋体"/>
                <w:color w:val="auto"/>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color w:val="auto"/>
              </w:rPr>
            </w:pPr>
            <w:r>
              <w:rPr>
                <w:rFonts w:hint="eastAsia" w:ascii="宋体" w:hAnsi="宋体" w:cs="宋体"/>
                <w:color w:val="auto"/>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1486" w:type="dxa"/>
            <w:vMerge w:val="continue"/>
            <w:tcBorders>
              <w:top w:val="outset" w:color="111111" w:sz="6" w:space="0"/>
              <w:left w:val="single" w:color="auto" w:sz="12" w:space="0"/>
              <w:bottom w:val="outset" w:color="111111" w:sz="6" w:space="0"/>
              <w:right w:val="outset" w:color="111111" w:sz="6" w:space="0"/>
            </w:tcBorders>
            <w:vAlign w:val="center"/>
          </w:tcPr>
          <w:p>
            <w:pPr>
              <w:rPr>
                <w:rFonts w:ascii="宋体" w:hAnsi="宋体" w:cs="宋体"/>
                <w:color w:val="auto"/>
              </w:rPr>
            </w:pPr>
          </w:p>
        </w:tc>
        <w:tc>
          <w:tcPr>
            <w:tcW w:w="3566"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color w:val="auto"/>
              </w:rPr>
            </w:pPr>
            <w:r>
              <w:rPr>
                <w:rFonts w:hint="eastAsia" w:ascii="宋体" w:hAnsi="宋体" w:cs="宋体"/>
                <w:color w:val="auto"/>
              </w:rPr>
              <w:t>5、按有关法律、法规、规章不属于磋商无效的。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color w:val="auto"/>
              </w:rPr>
            </w:pPr>
            <w:r>
              <w:rPr>
                <w:rFonts w:hint="eastAsia" w:ascii="宋体" w:hAnsi="宋体" w:cs="宋体"/>
                <w:color w:val="auto"/>
              </w:rPr>
              <w:t xml:space="preserve">□通过 </w:t>
            </w:r>
          </w:p>
          <w:p>
            <w:pPr>
              <w:spacing w:line="240" w:lineRule="exact"/>
              <w:rPr>
                <w:rFonts w:ascii="宋体" w:hAnsi="宋体" w:cs="宋体"/>
                <w:color w:val="auto"/>
              </w:rPr>
            </w:pPr>
            <w:r>
              <w:rPr>
                <w:rFonts w:hint="eastAsia" w:ascii="宋体" w:hAnsi="宋体" w:cs="宋体"/>
                <w:color w:val="auto"/>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color w:val="auto"/>
              </w:rPr>
            </w:pPr>
            <w:r>
              <w:rPr>
                <w:rFonts w:hint="eastAsia" w:ascii="宋体" w:hAnsi="宋体" w:cs="宋体"/>
                <w:color w:val="auto"/>
              </w:rPr>
              <w:t>第（ ）页</w:t>
            </w:r>
          </w:p>
        </w:tc>
      </w:tr>
    </w:tbl>
    <w:p>
      <w:pPr>
        <w:adjustRightInd w:val="0"/>
        <w:snapToGrid w:val="0"/>
        <w:spacing w:line="440" w:lineRule="exact"/>
        <w:jc w:val="right"/>
        <w:rPr>
          <w:rFonts w:ascii="宋体" w:hAnsi="宋体" w:cs="宋体"/>
          <w:color w:val="auto"/>
        </w:rPr>
      </w:pPr>
      <w:r>
        <w:rPr>
          <w:rFonts w:hint="eastAsia" w:ascii="宋体" w:hAnsi="宋体" w:cs="宋体"/>
          <w:color w:val="auto"/>
        </w:rPr>
        <w:t xml:space="preserve">供应商盖章（公章）：             </w:t>
      </w:r>
    </w:p>
    <w:p>
      <w:pPr>
        <w:adjustRightInd w:val="0"/>
        <w:snapToGrid w:val="0"/>
        <w:spacing w:line="440" w:lineRule="exact"/>
        <w:jc w:val="right"/>
        <w:rPr>
          <w:rFonts w:ascii="宋体" w:hAnsi="宋体" w:cs="宋体"/>
          <w:color w:val="auto"/>
        </w:rPr>
      </w:pPr>
      <w:r>
        <w:rPr>
          <w:rFonts w:hint="eastAsia" w:ascii="宋体" w:hAnsi="宋体" w:cs="宋体"/>
          <w:color w:val="auto"/>
        </w:rPr>
        <w:t xml:space="preserve">           法定代表人或其委托代理人（签字或盖章）：</w:t>
      </w:r>
    </w:p>
    <w:p>
      <w:pPr>
        <w:adjustRightInd w:val="0"/>
        <w:snapToGrid w:val="0"/>
        <w:spacing w:line="440" w:lineRule="exact"/>
        <w:jc w:val="right"/>
        <w:rPr>
          <w:rFonts w:ascii="宋体" w:hAnsi="宋体" w:cs="宋体"/>
          <w:color w:val="auto"/>
        </w:rPr>
      </w:pPr>
      <w:r>
        <w:rPr>
          <w:rFonts w:hint="eastAsia" w:ascii="宋体" w:hAnsi="宋体" w:cs="宋体"/>
          <w:color w:val="auto"/>
        </w:rPr>
        <w:t xml:space="preserve">                               年  月  日</w:t>
      </w:r>
    </w:p>
    <w:p>
      <w:pPr>
        <w:adjustRightInd w:val="0"/>
        <w:snapToGrid w:val="0"/>
        <w:spacing w:line="440" w:lineRule="exact"/>
        <w:jc w:val="center"/>
        <w:rPr>
          <w:rFonts w:ascii="宋体" w:hAnsi="宋体" w:cs="宋体"/>
          <w:color w:val="auto"/>
        </w:rPr>
      </w:pPr>
    </w:p>
    <w:p>
      <w:pPr>
        <w:rPr>
          <w:rFonts w:ascii="宋体" w:hAnsi="宋体" w:cs="宋体"/>
          <w:b/>
          <w:color w:val="auto"/>
          <w:szCs w:val="21"/>
        </w:rPr>
        <w:sectPr>
          <w:pgSz w:w="11906" w:h="16838"/>
          <w:pgMar w:top="1474" w:right="1797" w:bottom="1247" w:left="1797" w:header="851" w:footer="851" w:gutter="0"/>
          <w:cols w:space="720" w:num="1"/>
          <w:titlePg/>
          <w:docGrid w:linePitch="312" w:charSpace="0"/>
        </w:sectPr>
      </w:pPr>
      <w:r>
        <w:rPr>
          <w:rFonts w:hint="eastAsia" w:ascii="宋体" w:hAnsi="宋体" w:cs="宋体"/>
          <w:b/>
          <w:color w:val="auto"/>
          <w:szCs w:val="21"/>
        </w:rPr>
        <w:t>备注：供应商自查表将作为供应商有效性审查的重要内容之一，供应商必须严格按照其内容及序列要求在磋商响应文件中对应如实提供，对符合性证明文件的任何缺漏和不符合项将会直接导致磋商无效！</w:t>
      </w:r>
    </w:p>
    <w:p>
      <w:pPr>
        <w:snapToGrid w:val="0"/>
        <w:spacing w:line="360" w:lineRule="auto"/>
        <w:jc w:val="left"/>
        <w:rPr>
          <w:rFonts w:ascii="宋体" w:hAnsi="宋体" w:cs="宋体"/>
          <w:color w:val="auto"/>
          <w:szCs w:val="21"/>
        </w:rPr>
      </w:pPr>
      <w:r>
        <w:rPr>
          <w:rFonts w:hint="eastAsia" w:ascii="宋体" w:hAnsi="宋体" w:cs="宋体"/>
          <w:color w:val="auto"/>
          <w:szCs w:val="21"/>
        </w:rPr>
        <w:t>2、项目供应商响应表；</w:t>
      </w:r>
    </w:p>
    <w:p>
      <w:pPr>
        <w:jc w:val="center"/>
        <w:rPr>
          <w:rFonts w:ascii="宋体" w:hAnsi="宋体" w:cs="宋体"/>
          <w:b/>
          <w:color w:val="auto"/>
          <w:sz w:val="32"/>
          <w:szCs w:val="32"/>
        </w:rPr>
      </w:pPr>
      <w:r>
        <w:rPr>
          <w:rFonts w:hint="eastAsia" w:ascii="宋体" w:hAnsi="宋体" w:cs="宋体"/>
          <w:b/>
          <w:color w:val="auto"/>
          <w:sz w:val="32"/>
          <w:szCs w:val="32"/>
        </w:rPr>
        <w:t>项目供应商响应表</w:t>
      </w:r>
    </w:p>
    <w:p>
      <w:pPr>
        <w:rPr>
          <w:rFonts w:ascii="宋体" w:hAnsi="宋体" w:cs="宋体"/>
          <w:color w:val="auto"/>
        </w:rPr>
      </w:pPr>
    </w:p>
    <w:p>
      <w:pPr>
        <w:rPr>
          <w:rFonts w:ascii="宋体" w:hAnsi="宋体" w:cs="宋体"/>
          <w:color w:val="auto"/>
        </w:rPr>
      </w:pPr>
      <w:r>
        <w:rPr>
          <w:rFonts w:hint="eastAsia" w:ascii="宋体" w:hAnsi="宋体" w:cs="宋体"/>
          <w:color w:val="auto"/>
        </w:rPr>
        <w:t xml:space="preserve">项目编号：                      项目名称：     </w:t>
      </w:r>
    </w:p>
    <w:p>
      <w:pPr>
        <w:rPr>
          <w:rFonts w:ascii="宋体" w:hAnsi="宋体" w:cs="宋体"/>
          <w:color w:val="auto"/>
        </w:rPr>
      </w:pPr>
      <w:r>
        <w:rPr>
          <w:rFonts w:hint="eastAsia" w:ascii="宋体" w:hAnsi="宋体" w:cs="宋体"/>
          <w:color w:val="auto"/>
        </w:rPr>
        <w:t xml:space="preserve">标项：            </w:t>
      </w:r>
    </w:p>
    <w:tbl>
      <w:tblPr>
        <w:tblStyle w:val="45"/>
        <w:tblW w:w="9540" w:type="dxa"/>
        <w:tblInd w:w="-157" w:type="dxa"/>
        <w:tblLayout w:type="fixed"/>
        <w:tblCellMar>
          <w:top w:w="0" w:type="dxa"/>
          <w:left w:w="108" w:type="dxa"/>
          <w:bottom w:w="0" w:type="dxa"/>
          <w:right w:w="108" w:type="dxa"/>
        </w:tblCellMar>
      </w:tblPr>
      <w:tblGrid>
        <w:gridCol w:w="816"/>
        <w:gridCol w:w="4651"/>
        <w:gridCol w:w="1372"/>
        <w:gridCol w:w="1356"/>
        <w:gridCol w:w="1345"/>
      </w:tblGrid>
      <w:tr>
        <w:tblPrEx>
          <w:tblCellMar>
            <w:top w:w="0" w:type="dxa"/>
            <w:left w:w="108" w:type="dxa"/>
            <w:bottom w:w="0" w:type="dxa"/>
            <w:right w:w="108" w:type="dxa"/>
          </w:tblCellMar>
        </w:tblPrEx>
        <w:trPr>
          <w:trHeight w:val="606" w:hRule="atLeast"/>
        </w:trPr>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序号</w:t>
            </w:r>
          </w:p>
        </w:tc>
        <w:tc>
          <w:tcPr>
            <w:tcW w:w="4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评审内容</w:t>
            </w: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自评分</w:t>
            </w: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说明</w:t>
            </w: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证明文件</w:t>
            </w:r>
          </w:p>
        </w:tc>
      </w:tr>
      <w:tr>
        <w:tblPrEx>
          <w:tblCellMar>
            <w:top w:w="0" w:type="dxa"/>
            <w:left w:w="108" w:type="dxa"/>
            <w:bottom w:w="0" w:type="dxa"/>
            <w:right w:w="108" w:type="dxa"/>
          </w:tblCellMar>
        </w:tblPrEx>
        <w:trPr>
          <w:trHeight w:val="603" w:hRule="atLeast"/>
        </w:trPr>
        <w:tc>
          <w:tcPr>
            <w:tcW w:w="816" w:type="dxa"/>
            <w:tcBorders>
              <w:top w:val="nil"/>
              <w:left w:val="single" w:color="auto" w:sz="4" w:space="0"/>
              <w:bottom w:val="single" w:color="auto" w:sz="4" w:space="0"/>
              <w:right w:val="single" w:color="auto" w:sz="4" w:space="0"/>
            </w:tcBorders>
            <w:vAlign w:val="center"/>
          </w:tcPr>
          <w:p>
            <w:pPr>
              <w:rPr>
                <w:rFonts w:ascii="宋体" w:hAnsi="宋体" w:cs="宋体"/>
                <w:color w:val="auto"/>
              </w:rPr>
            </w:pPr>
          </w:p>
        </w:tc>
        <w:tc>
          <w:tcPr>
            <w:tcW w:w="4651" w:type="dxa"/>
            <w:tcBorders>
              <w:top w:val="nil"/>
              <w:left w:val="single" w:color="auto" w:sz="4" w:space="0"/>
              <w:bottom w:val="single" w:color="auto" w:sz="4" w:space="0"/>
              <w:right w:val="single" w:color="auto" w:sz="4" w:space="0"/>
            </w:tcBorders>
            <w:vAlign w:val="center"/>
          </w:tcPr>
          <w:p>
            <w:pPr>
              <w:rPr>
                <w:rFonts w:ascii="宋体" w:hAnsi="宋体" w:cs="宋体"/>
                <w:color w:val="auto"/>
              </w:rPr>
            </w:pPr>
          </w:p>
        </w:tc>
        <w:tc>
          <w:tcPr>
            <w:tcW w:w="1372" w:type="dxa"/>
            <w:tcBorders>
              <w:top w:val="nil"/>
              <w:left w:val="nil"/>
              <w:bottom w:val="single" w:color="auto" w:sz="4" w:space="0"/>
              <w:right w:val="single" w:color="auto" w:sz="4" w:space="0"/>
            </w:tcBorders>
            <w:vAlign w:val="center"/>
          </w:tcPr>
          <w:p>
            <w:pPr>
              <w:jc w:val="center"/>
              <w:rPr>
                <w:rFonts w:ascii="宋体" w:hAnsi="宋体" w:cs="宋体"/>
                <w:color w:val="auto"/>
              </w:rPr>
            </w:pPr>
          </w:p>
        </w:tc>
        <w:tc>
          <w:tcPr>
            <w:tcW w:w="1356" w:type="dxa"/>
            <w:tcBorders>
              <w:top w:val="nil"/>
              <w:left w:val="nil"/>
              <w:bottom w:val="single" w:color="auto" w:sz="4" w:space="0"/>
              <w:right w:val="single" w:color="auto" w:sz="4" w:space="0"/>
            </w:tcBorders>
            <w:vAlign w:val="center"/>
          </w:tcPr>
          <w:p>
            <w:pPr>
              <w:jc w:val="center"/>
              <w:rPr>
                <w:rFonts w:ascii="宋体" w:hAnsi="宋体" w:cs="宋体"/>
                <w:color w:val="auto"/>
              </w:rPr>
            </w:pPr>
          </w:p>
        </w:tc>
        <w:tc>
          <w:tcPr>
            <w:tcW w:w="1345" w:type="dxa"/>
            <w:tcBorders>
              <w:top w:val="nil"/>
              <w:left w:val="nil"/>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见（  ）页</w:t>
            </w:r>
          </w:p>
        </w:tc>
      </w:tr>
      <w:tr>
        <w:tblPrEx>
          <w:tblCellMar>
            <w:top w:w="0" w:type="dxa"/>
            <w:left w:w="108" w:type="dxa"/>
            <w:bottom w:w="0" w:type="dxa"/>
            <w:right w:w="108" w:type="dxa"/>
          </w:tblCellMar>
        </w:tblPrEx>
        <w:trPr>
          <w:trHeight w:val="622" w:hRule="atLeast"/>
        </w:trPr>
        <w:tc>
          <w:tcPr>
            <w:tcW w:w="816" w:type="dxa"/>
            <w:tcBorders>
              <w:top w:val="nil"/>
              <w:left w:val="single" w:color="auto" w:sz="4" w:space="0"/>
              <w:bottom w:val="single" w:color="auto" w:sz="4" w:space="0"/>
              <w:right w:val="single" w:color="auto" w:sz="4" w:space="0"/>
            </w:tcBorders>
            <w:vAlign w:val="center"/>
          </w:tcPr>
          <w:p>
            <w:pPr>
              <w:rPr>
                <w:rFonts w:ascii="宋体" w:hAnsi="宋体" w:cs="宋体"/>
                <w:color w:val="auto"/>
              </w:rPr>
            </w:pPr>
          </w:p>
        </w:tc>
        <w:tc>
          <w:tcPr>
            <w:tcW w:w="4651" w:type="dxa"/>
            <w:tcBorders>
              <w:top w:val="nil"/>
              <w:left w:val="single" w:color="auto" w:sz="4" w:space="0"/>
              <w:bottom w:val="single" w:color="auto" w:sz="4" w:space="0"/>
              <w:right w:val="single" w:color="auto" w:sz="4" w:space="0"/>
            </w:tcBorders>
            <w:vAlign w:val="center"/>
          </w:tcPr>
          <w:p>
            <w:pPr>
              <w:rPr>
                <w:rFonts w:ascii="宋体" w:hAnsi="宋体" w:cs="宋体"/>
                <w:color w:val="auto"/>
              </w:rPr>
            </w:pPr>
          </w:p>
        </w:tc>
        <w:tc>
          <w:tcPr>
            <w:tcW w:w="1372" w:type="dxa"/>
            <w:tcBorders>
              <w:top w:val="nil"/>
              <w:left w:val="nil"/>
              <w:bottom w:val="single" w:color="auto" w:sz="4" w:space="0"/>
              <w:right w:val="single" w:color="auto" w:sz="4" w:space="0"/>
            </w:tcBorders>
            <w:vAlign w:val="center"/>
          </w:tcPr>
          <w:p>
            <w:pPr>
              <w:jc w:val="center"/>
              <w:rPr>
                <w:rFonts w:ascii="宋体" w:hAnsi="宋体" w:cs="宋体"/>
                <w:color w:val="auto"/>
              </w:rPr>
            </w:pPr>
          </w:p>
        </w:tc>
        <w:tc>
          <w:tcPr>
            <w:tcW w:w="1356" w:type="dxa"/>
            <w:tcBorders>
              <w:top w:val="nil"/>
              <w:left w:val="nil"/>
              <w:bottom w:val="single" w:color="auto" w:sz="4" w:space="0"/>
              <w:right w:val="single" w:color="auto" w:sz="4" w:space="0"/>
            </w:tcBorders>
            <w:vAlign w:val="center"/>
          </w:tcPr>
          <w:p>
            <w:pPr>
              <w:jc w:val="center"/>
              <w:rPr>
                <w:rFonts w:ascii="宋体" w:hAnsi="宋体" w:cs="宋体"/>
                <w:color w:val="auto"/>
              </w:rPr>
            </w:pPr>
          </w:p>
        </w:tc>
        <w:tc>
          <w:tcPr>
            <w:tcW w:w="1345" w:type="dxa"/>
            <w:tcBorders>
              <w:top w:val="nil"/>
              <w:left w:val="nil"/>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见（  ）页</w:t>
            </w:r>
          </w:p>
        </w:tc>
      </w:tr>
      <w:tr>
        <w:tblPrEx>
          <w:tblCellMar>
            <w:top w:w="0" w:type="dxa"/>
            <w:left w:w="108" w:type="dxa"/>
            <w:bottom w:w="0" w:type="dxa"/>
            <w:right w:w="108" w:type="dxa"/>
          </w:tblCellMar>
        </w:tblPrEx>
        <w:trPr>
          <w:trHeight w:val="530" w:hRule="atLeast"/>
        </w:trPr>
        <w:tc>
          <w:tcPr>
            <w:tcW w:w="816" w:type="dxa"/>
            <w:tcBorders>
              <w:top w:val="nil"/>
              <w:left w:val="single" w:color="auto" w:sz="4" w:space="0"/>
              <w:bottom w:val="single" w:color="auto" w:sz="4" w:space="0"/>
              <w:right w:val="single" w:color="auto" w:sz="4" w:space="0"/>
            </w:tcBorders>
            <w:vAlign w:val="center"/>
          </w:tcPr>
          <w:p>
            <w:pPr>
              <w:rPr>
                <w:rFonts w:ascii="宋体" w:hAnsi="宋体" w:cs="宋体"/>
                <w:color w:val="auto"/>
              </w:rPr>
            </w:pPr>
          </w:p>
        </w:tc>
        <w:tc>
          <w:tcPr>
            <w:tcW w:w="4651" w:type="dxa"/>
            <w:tcBorders>
              <w:top w:val="nil"/>
              <w:left w:val="single" w:color="auto" w:sz="4" w:space="0"/>
              <w:bottom w:val="single" w:color="auto" w:sz="4" w:space="0"/>
              <w:right w:val="single" w:color="auto" w:sz="4" w:space="0"/>
            </w:tcBorders>
            <w:vAlign w:val="center"/>
          </w:tcPr>
          <w:p>
            <w:pPr>
              <w:rPr>
                <w:rFonts w:ascii="宋体" w:hAnsi="宋体" w:cs="宋体"/>
                <w:color w:val="auto"/>
              </w:rPr>
            </w:pPr>
          </w:p>
        </w:tc>
        <w:tc>
          <w:tcPr>
            <w:tcW w:w="1372" w:type="dxa"/>
            <w:tcBorders>
              <w:top w:val="nil"/>
              <w:left w:val="nil"/>
              <w:bottom w:val="single" w:color="auto" w:sz="4" w:space="0"/>
              <w:right w:val="single" w:color="auto" w:sz="4" w:space="0"/>
            </w:tcBorders>
            <w:vAlign w:val="center"/>
          </w:tcPr>
          <w:p>
            <w:pPr>
              <w:jc w:val="center"/>
              <w:rPr>
                <w:rFonts w:ascii="宋体" w:hAnsi="宋体" w:cs="宋体"/>
                <w:color w:val="auto"/>
              </w:rPr>
            </w:pPr>
          </w:p>
        </w:tc>
        <w:tc>
          <w:tcPr>
            <w:tcW w:w="1356" w:type="dxa"/>
            <w:tcBorders>
              <w:top w:val="nil"/>
              <w:left w:val="nil"/>
              <w:bottom w:val="single" w:color="auto" w:sz="4" w:space="0"/>
              <w:right w:val="single" w:color="auto" w:sz="4" w:space="0"/>
            </w:tcBorders>
            <w:vAlign w:val="center"/>
          </w:tcPr>
          <w:p>
            <w:pPr>
              <w:jc w:val="center"/>
              <w:rPr>
                <w:rFonts w:ascii="宋体" w:hAnsi="宋体" w:cs="宋体"/>
                <w:color w:val="auto"/>
              </w:rPr>
            </w:pPr>
          </w:p>
        </w:tc>
        <w:tc>
          <w:tcPr>
            <w:tcW w:w="1345" w:type="dxa"/>
            <w:tcBorders>
              <w:top w:val="nil"/>
              <w:left w:val="nil"/>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见（  ）页</w:t>
            </w:r>
          </w:p>
        </w:tc>
      </w:tr>
      <w:tr>
        <w:tblPrEx>
          <w:tblCellMar>
            <w:top w:w="0" w:type="dxa"/>
            <w:left w:w="108" w:type="dxa"/>
            <w:bottom w:w="0" w:type="dxa"/>
            <w:right w:w="108" w:type="dxa"/>
          </w:tblCellMar>
        </w:tblPrEx>
        <w:trPr>
          <w:trHeight w:val="541" w:hRule="atLeast"/>
        </w:trPr>
        <w:tc>
          <w:tcPr>
            <w:tcW w:w="816" w:type="dxa"/>
            <w:tcBorders>
              <w:top w:val="nil"/>
              <w:left w:val="single" w:color="auto" w:sz="4" w:space="0"/>
              <w:bottom w:val="single" w:color="auto" w:sz="4" w:space="0"/>
              <w:right w:val="single" w:color="auto" w:sz="4" w:space="0"/>
            </w:tcBorders>
            <w:vAlign w:val="center"/>
          </w:tcPr>
          <w:p>
            <w:pPr>
              <w:rPr>
                <w:rFonts w:ascii="宋体" w:hAnsi="宋体" w:cs="宋体"/>
                <w:color w:val="auto"/>
              </w:rPr>
            </w:pPr>
          </w:p>
        </w:tc>
        <w:tc>
          <w:tcPr>
            <w:tcW w:w="4651" w:type="dxa"/>
            <w:tcBorders>
              <w:top w:val="nil"/>
              <w:left w:val="single" w:color="auto" w:sz="4" w:space="0"/>
              <w:bottom w:val="single" w:color="auto" w:sz="4" w:space="0"/>
              <w:right w:val="single" w:color="auto" w:sz="4" w:space="0"/>
            </w:tcBorders>
            <w:vAlign w:val="center"/>
          </w:tcPr>
          <w:p>
            <w:pPr>
              <w:rPr>
                <w:rFonts w:ascii="宋体" w:hAnsi="宋体" w:cs="宋体"/>
                <w:color w:val="auto"/>
              </w:rPr>
            </w:pPr>
          </w:p>
        </w:tc>
        <w:tc>
          <w:tcPr>
            <w:tcW w:w="1372" w:type="dxa"/>
            <w:tcBorders>
              <w:top w:val="nil"/>
              <w:left w:val="nil"/>
              <w:bottom w:val="single" w:color="auto" w:sz="4" w:space="0"/>
              <w:right w:val="single" w:color="auto" w:sz="4" w:space="0"/>
            </w:tcBorders>
            <w:vAlign w:val="center"/>
          </w:tcPr>
          <w:p>
            <w:pPr>
              <w:jc w:val="center"/>
              <w:rPr>
                <w:rFonts w:ascii="宋体" w:hAnsi="宋体" w:cs="宋体"/>
                <w:color w:val="auto"/>
              </w:rPr>
            </w:pPr>
          </w:p>
        </w:tc>
        <w:tc>
          <w:tcPr>
            <w:tcW w:w="1356" w:type="dxa"/>
            <w:tcBorders>
              <w:top w:val="nil"/>
              <w:left w:val="nil"/>
              <w:bottom w:val="single" w:color="auto" w:sz="4" w:space="0"/>
              <w:right w:val="single" w:color="auto" w:sz="4" w:space="0"/>
            </w:tcBorders>
            <w:vAlign w:val="center"/>
          </w:tcPr>
          <w:p>
            <w:pPr>
              <w:jc w:val="center"/>
              <w:rPr>
                <w:rFonts w:ascii="宋体" w:hAnsi="宋体" w:cs="宋体"/>
                <w:color w:val="auto"/>
              </w:rPr>
            </w:pPr>
          </w:p>
        </w:tc>
        <w:tc>
          <w:tcPr>
            <w:tcW w:w="1345" w:type="dxa"/>
            <w:tcBorders>
              <w:top w:val="nil"/>
              <w:left w:val="nil"/>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见（  ）页</w:t>
            </w:r>
          </w:p>
        </w:tc>
      </w:tr>
      <w:tr>
        <w:tblPrEx>
          <w:tblCellMar>
            <w:top w:w="0" w:type="dxa"/>
            <w:left w:w="108" w:type="dxa"/>
            <w:bottom w:w="0" w:type="dxa"/>
            <w:right w:w="108" w:type="dxa"/>
          </w:tblCellMar>
        </w:tblPrEx>
        <w:trPr>
          <w:trHeight w:val="617"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p>
        </w:tc>
        <w:tc>
          <w:tcPr>
            <w:tcW w:w="4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p>
        </w:tc>
        <w:tc>
          <w:tcPr>
            <w:tcW w:w="4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p>
        </w:tc>
        <w:tc>
          <w:tcPr>
            <w:tcW w:w="4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p>
        </w:tc>
        <w:tc>
          <w:tcPr>
            <w:tcW w:w="4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p>
        </w:tc>
        <w:tc>
          <w:tcPr>
            <w:tcW w:w="4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p>
        </w:tc>
        <w:tc>
          <w:tcPr>
            <w:tcW w:w="4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见（  ）页</w:t>
            </w:r>
          </w:p>
        </w:tc>
      </w:tr>
      <w:tr>
        <w:tblPrEx>
          <w:tblCellMar>
            <w:top w:w="0" w:type="dxa"/>
            <w:left w:w="108" w:type="dxa"/>
            <w:bottom w:w="0" w:type="dxa"/>
            <w:right w:w="108" w:type="dxa"/>
          </w:tblCellMar>
        </w:tblPrEx>
        <w:trPr>
          <w:trHeight w:val="617"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p>
        </w:tc>
        <w:tc>
          <w:tcPr>
            <w:tcW w:w="4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见（  ）页</w:t>
            </w:r>
          </w:p>
        </w:tc>
      </w:tr>
      <w:tr>
        <w:tblPrEx>
          <w:tblCellMar>
            <w:top w:w="0" w:type="dxa"/>
            <w:left w:w="108" w:type="dxa"/>
            <w:bottom w:w="0" w:type="dxa"/>
            <w:right w:w="108" w:type="dxa"/>
          </w:tblCellMar>
        </w:tblPrEx>
        <w:trPr>
          <w:trHeight w:val="769" w:hRule="atLeast"/>
        </w:trPr>
        <w:tc>
          <w:tcPr>
            <w:tcW w:w="8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p>
        </w:tc>
        <w:tc>
          <w:tcPr>
            <w:tcW w:w="465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rPr>
            </w:pPr>
          </w:p>
        </w:tc>
        <w:tc>
          <w:tcPr>
            <w:tcW w:w="137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p>
        </w:tc>
        <w:tc>
          <w:tcPr>
            <w:tcW w:w="135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p>
        </w:tc>
        <w:tc>
          <w:tcPr>
            <w:tcW w:w="134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rPr>
            </w:pPr>
            <w:r>
              <w:rPr>
                <w:rFonts w:hint="eastAsia" w:ascii="宋体" w:hAnsi="宋体" w:cs="宋体"/>
                <w:color w:val="auto"/>
              </w:rPr>
              <w:t>见（  ）页</w:t>
            </w:r>
          </w:p>
        </w:tc>
      </w:tr>
    </w:tbl>
    <w:p>
      <w:pPr>
        <w:spacing w:line="400" w:lineRule="exact"/>
        <w:rPr>
          <w:rFonts w:ascii="宋体" w:hAnsi="宋体" w:cs="宋体"/>
          <w:b/>
          <w:color w:val="auto"/>
        </w:rPr>
      </w:pPr>
      <w:r>
        <w:rPr>
          <w:rFonts w:hint="eastAsia" w:ascii="宋体" w:hAnsi="宋体" w:cs="宋体"/>
          <w:b/>
          <w:color w:val="auto"/>
        </w:rPr>
        <w:t>根据评分标准逐条填写（</w:t>
      </w:r>
      <w:r>
        <w:rPr>
          <w:rFonts w:hint="eastAsia" w:ascii="宋体" w:hAnsi="宋体" w:cs="宋体"/>
          <w:b/>
          <w:color w:val="auto"/>
          <w:szCs w:val="21"/>
        </w:rPr>
        <w:t>价格部分除外</w:t>
      </w:r>
      <w:r>
        <w:rPr>
          <w:rFonts w:hint="eastAsia" w:ascii="宋体" w:hAnsi="宋体" w:cs="宋体"/>
          <w:b/>
          <w:color w:val="auto"/>
        </w:rPr>
        <w:t>）</w:t>
      </w:r>
    </w:p>
    <w:p>
      <w:pPr>
        <w:spacing w:line="400" w:lineRule="exact"/>
        <w:rPr>
          <w:rFonts w:ascii="宋体" w:hAnsi="宋体" w:cs="宋体"/>
          <w:b/>
          <w:color w:val="auto"/>
        </w:rPr>
      </w:pPr>
    </w:p>
    <w:p>
      <w:pPr>
        <w:spacing w:line="400" w:lineRule="exact"/>
        <w:ind w:firstLine="3150" w:firstLineChars="1500"/>
        <w:jc w:val="right"/>
        <w:rPr>
          <w:rFonts w:ascii="宋体" w:hAnsi="宋体" w:cs="宋体"/>
          <w:color w:val="auto"/>
          <w:szCs w:val="21"/>
        </w:rPr>
      </w:pPr>
      <w:r>
        <w:rPr>
          <w:rFonts w:hint="eastAsia" w:ascii="宋体" w:hAnsi="宋体" w:cs="宋体"/>
          <w:color w:val="auto"/>
          <w:szCs w:val="21"/>
        </w:rPr>
        <w:t xml:space="preserve">供应商盖章（公章）：             </w:t>
      </w:r>
    </w:p>
    <w:p>
      <w:pPr>
        <w:spacing w:line="360" w:lineRule="auto"/>
        <w:rPr>
          <w:rFonts w:ascii="宋体" w:hAnsi="宋体" w:cs="宋体"/>
          <w:color w:val="auto"/>
          <w:szCs w:val="21"/>
        </w:rPr>
      </w:pPr>
    </w:p>
    <w:p>
      <w:pPr>
        <w:spacing w:line="360" w:lineRule="auto"/>
        <w:ind w:firstLine="3255" w:firstLineChars="1550"/>
        <w:jc w:val="right"/>
        <w:rPr>
          <w:rFonts w:ascii="宋体" w:hAnsi="宋体" w:cs="宋体"/>
          <w:color w:val="auto"/>
          <w:szCs w:val="21"/>
        </w:rPr>
      </w:pPr>
      <w:r>
        <w:rPr>
          <w:rFonts w:hint="eastAsia" w:ascii="宋体" w:hAnsi="宋体" w:cs="宋体"/>
          <w:color w:val="auto"/>
          <w:szCs w:val="21"/>
        </w:rPr>
        <w:t xml:space="preserve">           法定代表人或其委托代理人（签字或盖章）：</w:t>
      </w:r>
    </w:p>
    <w:p>
      <w:pPr>
        <w:spacing w:line="400" w:lineRule="exact"/>
        <w:ind w:left="525" w:leftChars="250" w:firstLine="1470" w:firstLineChars="700"/>
        <w:rPr>
          <w:rFonts w:ascii="宋体" w:hAnsi="宋体" w:cs="宋体"/>
          <w:color w:val="auto"/>
          <w:szCs w:val="21"/>
        </w:rPr>
      </w:pPr>
    </w:p>
    <w:p>
      <w:pPr>
        <w:rPr>
          <w:rFonts w:ascii="宋体" w:hAnsi="宋体" w:cs="宋体"/>
          <w:color w:val="auto"/>
          <w:szCs w:val="21"/>
        </w:rPr>
        <w:sectPr>
          <w:pgSz w:w="11906" w:h="16838"/>
          <w:pgMar w:top="1474" w:right="1797" w:bottom="1247" w:left="1797" w:header="851" w:footer="851" w:gutter="0"/>
          <w:cols w:space="720" w:num="1"/>
          <w:titlePg/>
          <w:docGrid w:linePitch="312" w:charSpace="0"/>
        </w:sectPr>
      </w:pP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rPr>
          <w:rFonts w:ascii="宋体" w:hAnsi="宋体" w:cs="宋体"/>
          <w:color w:val="auto"/>
          <w:szCs w:val="21"/>
        </w:rPr>
      </w:pPr>
      <w:r>
        <w:rPr>
          <w:rFonts w:hint="eastAsia" w:ascii="宋体" w:hAnsi="宋体" w:cs="宋体"/>
          <w:color w:val="auto"/>
        </w:rPr>
        <w:t>3、</w:t>
      </w:r>
      <w:r>
        <w:rPr>
          <w:rFonts w:hint="eastAsia" w:ascii="宋体" w:hAnsi="宋体" w:cs="宋体"/>
          <w:color w:val="auto"/>
          <w:szCs w:val="21"/>
        </w:rPr>
        <w:t>磋商声明书；</w:t>
      </w:r>
    </w:p>
    <w:p>
      <w:pPr>
        <w:snapToGrid w:val="0"/>
        <w:spacing w:beforeLines="50" w:after="50"/>
        <w:jc w:val="center"/>
        <w:rPr>
          <w:rFonts w:ascii="宋体" w:hAnsi="宋体" w:cs="宋体"/>
          <w:color w:val="auto"/>
          <w:sz w:val="28"/>
          <w:szCs w:val="28"/>
        </w:rPr>
      </w:pPr>
      <w:r>
        <w:rPr>
          <w:rFonts w:hint="eastAsia" w:ascii="宋体" w:hAnsi="宋体" w:cs="宋体"/>
          <w:color w:val="auto"/>
          <w:sz w:val="28"/>
          <w:szCs w:val="28"/>
        </w:rPr>
        <w:t>磋商声明书</w:t>
      </w:r>
    </w:p>
    <w:p>
      <w:pPr>
        <w:snapToGrid w:val="0"/>
        <w:spacing w:beforeLines="50" w:after="50"/>
        <w:rPr>
          <w:rFonts w:ascii="宋体" w:hAnsi="宋体" w:cs="宋体"/>
          <w:color w:val="auto"/>
          <w:szCs w:val="21"/>
        </w:rPr>
      </w:pPr>
    </w:p>
    <w:p>
      <w:pPr>
        <w:snapToGrid w:val="0"/>
        <w:spacing w:beforeLines="50" w:after="50"/>
        <w:rPr>
          <w:rFonts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 xml:space="preserve">               </w:t>
      </w:r>
      <w:r>
        <w:rPr>
          <w:rFonts w:hint="eastAsia" w:ascii="宋体" w:hAnsi="宋体" w:cs="宋体"/>
          <w:color w:val="auto"/>
          <w:szCs w:val="21"/>
        </w:rPr>
        <w:t>（采购单位名称）：</w:t>
      </w:r>
    </w:p>
    <w:p>
      <w:pPr>
        <w:snapToGrid w:val="0"/>
        <w:spacing w:beforeLines="50" w:after="50"/>
        <w:rPr>
          <w:rFonts w:ascii="宋体" w:hAnsi="宋体" w:cs="宋体"/>
          <w:color w:val="auto"/>
          <w:szCs w:val="21"/>
        </w:rPr>
      </w:pPr>
    </w:p>
    <w:p>
      <w:pPr>
        <w:snapToGrid w:val="0"/>
        <w:spacing w:beforeLines="50" w:after="50" w:line="360" w:lineRule="auto"/>
        <w:ind w:firstLine="630" w:firstLineChars="300"/>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 xml:space="preserve"> （供应商名称）系中华人民共和国合法单位，经营地址</w:t>
      </w:r>
      <w:r>
        <w:rPr>
          <w:rFonts w:hint="eastAsia" w:ascii="宋体" w:hAnsi="宋体" w:cs="宋体"/>
          <w:color w:val="auto"/>
          <w:szCs w:val="21"/>
          <w:u w:val="single"/>
        </w:rPr>
        <w:t xml:space="preserve">                               </w:t>
      </w:r>
      <w:r>
        <w:rPr>
          <w:rFonts w:hint="eastAsia" w:ascii="宋体" w:hAnsi="宋体" w:cs="宋体"/>
          <w:color w:val="auto"/>
          <w:szCs w:val="21"/>
        </w:rPr>
        <w:t>。</w:t>
      </w:r>
    </w:p>
    <w:p>
      <w:pPr>
        <w:snapToGrid w:val="0"/>
        <w:spacing w:beforeLines="50" w:after="50" w:line="360" w:lineRule="auto"/>
        <w:ind w:firstLine="645"/>
        <w:rPr>
          <w:rFonts w:ascii="宋体" w:hAnsi="宋体" w:cs="宋体"/>
          <w:color w:val="auto"/>
          <w:szCs w:val="21"/>
        </w:rPr>
      </w:pPr>
      <w:r>
        <w:rPr>
          <w:rFonts w:hint="eastAsia" w:ascii="宋体" w:hAnsi="宋体" w:cs="宋体"/>
          <w:color w:val="auto"/>
          <w:szCs w:val="21"/>
        </w:rPr>
        <w:t xml:space="preserve">我 </w:t>
      </w:r>
      <w:r>
        <w:rPr>
          <w:rFonts w:hint="eastAsia" w:ascii="宋体" w:hAnsi="宋体" w:cs="宋体"/>
          <w:color w:val="auto"/>
          <w:szCs w:val="21"/>
          <w:u w:val="single"/>
        </w:rPr>
        <w:t xml:space="preserve">         </w:t>
      </w:r>
      <w:r>
        <w:rPr>
          <w:rFonts w:hint="eastAsia" w:ascii="宋体" w:hAnsi="宋体" w:cs="宋体"/>
          <w:color w:val="auto"/>
          <w:szCs w:val="21"/>
        </w:rPr>
        <w:t>（姓名）系</w:t>
      </w:r>
      <w:r>
        <w:rPr>
          <w:rFonts w:hint="eastAsia" w:ascii="宋体" w:hAnsi="宋体" w:cs="宋体"/>
          <w:color w:val="auto"/>
          <w:szCs w:val="21"/>
          <w:u w:val="single"/>
        </w:rPr>
        <w:t xml:space="preserve">             </w:t>
      </w:r>
      <w:r>
        <w:rPr>
          <w:rFonts w:hint="eastAsia" w:ascii="宋体" w:hAnsi="宋体" w:cs="宋体"/>
          <w:color w:val="auto"/>
          <w:szCs w:val="21"/>
        </w:rPr>
        <w:t>（供应商名称）的法定代表人，我方愿意参加贵方组织的</w:t>
      </w:r>
      <w:r>
        <w:rPr>
          <w:rFonts w:hint="eastAsia" w:ascii="宋体" w:hAnsi="宋体" w:cs="宋体"/>
          <w:color w:val="auto"/>
          <w:szCs w:val="21"/>
          <w:u w:val="single"/>
        </w:rPr>
        <w:t xml:space="preserve">                              </w:t>
      </w:r>
      <w:r>
        <w:rPr>
          <w:rFonts w:hint="eastAsia" w:ascii="宋体" w:hAnsi="宋体" w:cs="宋体"/>
          <w:color w:val="auto"/>
          <w:szCs w:val="21"/>
        </w:rPr>
        <w:t>项目（标项：）的磋商，为便于贵方公正、择优地确定成交供应商及其服务，我方就本次磋商有关事项郑重声明如下：</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1.我方向贵方提交的所有响应文件、资料都是准确的和真实的。</w:t>
      </w:r>
    </w:p>
    <w:p>
      <w:pPr>
        <w:snapToGrid w:val="0"/>
        <w:spacing w:beforeLines="50" w:line="360" w:lineRule="auto"/>
        <w:ind w:firstLine="420" w:firstLineChars="200"/>
        <w:rPr>
          <w:rFonts w:ascii="宋体" w:hAnsi="宋体" w:cs="宋体"/>
          <w:color w:val="auto"/>
          <w:szCs w:val="21"/>
        </w:rPr>
      </w:pPr>
      <w:r>
        <w:rPr>
          <w:rFonts w:hint="eastAsia" w:ascii="宋体" w:hAnsi="宋体" w:cs="宋体"/>
          <w:color w:val="auto"/>
          <w:szCs w:val="21"/>
        </w:rPr>
        <w:t>2.我方不是采购人的附属机构；在获知本项目采购信息后，与采购人聘请的为此项目提供咨询服务的公司及其附属机构没有任何联系。</w:t>
      </w:r>
    </w:p>
    <w:p>
      <w:pPr>
        <w:snapToGrid w:val="0"/>
        <w:spacing w:beforeLines="50" w:line="360" w:lineRule="auto"/>
        <w:ind w:firstLine="420" w:firstLineChars="200"/>
        <w:rPr>
          <w:rFonts w:ascii="宋体" w:hAnsi="宋体" w:cs="宋体"/>
          <w:color w:val="auto"/>
          <w:szCs w:val="21"/>
        </w:rPr>
      </w:pPr>
      <w:r>
        <w:rPr>
          <w:rFonts w:hint="eastAsia" w:ascii="宋体" w:hAnsi="宋体" w:cs="宋体"/>
          <w:color w:val="auto"/>
          <w:szCs w:val="21"/>
        </w:rPr>
        <w:t>3.我方</w:t>
      </w:r>
      <w:r>
        <w:rPr>
          <w:rFonts w:hint="eastAsia" w:ascii="宋体" w:hAnsi="宋体" w:cs="宋体"/>
          <w:color w:val="auto"/>
        </w:rPr>
        <w:t>符合《中华人民共和国政府采购法》第二十二条规定的供应商资格条件；</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4.以上事项如有虚假或隐瞒，我方愿意承担一切后果，并不再寻求任何旨在减轻或免除法律责任的辩解。</w:t>
      </w:r>
    </w:p>
    <w:p>
      <w:pPr>
        <w:pStyle w:val="22"/>
        <w:tabs>
          <w:tab w:val="left" w:pos="939"/>
        </w:tabs>
        <w:snapToGrid w:val="0"/>
        <w:spacing w:line="360" w:lineRule="auto"/>
        <w:ind w:left="716" w:leftChars="150" w:hanging="401" w:hangingChars="191"/>
        <w:rPr>
          <w:rFonts w:ascii="宋体" w:hAnsi="宋体" w:cs="宋体"/>
          <w:color w:val="auto"/>
          <w:sz w:val="21"/>
          <w:szCs w:val="21"/>
        </w:rPr>
      </w:pPr>
    </w:p>
    <w:p>
      <w:pPr>
        <w:pStyle w:val="80"/>
        <w:snapToGrid w:val="0"/>
        <w:spacing w:beforeLines="50"/>
        <w:ind w:firstLine="200"/>
        <w:rPr>
          <w:rFonts w:ascii="宋体" w:hAnsi="宋体" w:cs="宋体"/>
          <w:color w:val="auto"/>
          <w:sz w:val="21"/>
          <w:szCs w:val="21"/>
        </w:rPr>
      </w:pPr>
    </w:p>
    <w:p>
      <w:pPr>
        <w:pStyle w:val="80"/>
        <w:snapToGrid w:val="0"/>
        <w:spacing w:beforeLines="50"/>
        <w:ind w:firstLine="200"/>
        <w:rPr>
          <w:rFonts w:ascii="宋体" w:hAnsi="宋体" w:cs="宋体"/>
          <w:color w:val="auto"/>
          <w:sz w:val="21"/>
          <w:szCs w:val="21"/>
        </w:rPr>
      </w:pPr>
    </w:p>
    <w:p>
      <w:pPr>
        <w:adjustRightInd w:val="0"/>
        <w:snapToGrid w:val="0"/>
        <w:spacing w:line="440" w:lineRule="exact"/>
        <w:jc w:val="right"/>
        <w:rPr>
          <w:rFonts w:ascii="宋体" w:hAnsi="宋体" w:cs="宋体"/>
          <w:color w:val="auto"/>
        </w:rPr>
      </w:pPr>
      <w:r>
        <w:rPr>
          <w:rFonts w:hint="eastAsia" w:ascii="宋体" w:hAnsi="宋体" w:cs="宋体"/>
          <w:color w:val="auto"/>
        </w:rPr>
        <w:t xml:space="preserve">供应商盖章（公章）：             </w:t>
      </w:r>
    </w:p>
    <w:p>
      <w:pPr>
        <w:adjustRightInd w:val="0"/>
        <w:snapToGrid w:val="0"/>
        <w:spacing w:line="440" w:lineRule="exact"/>
        <w:jc w:val="right"/>
        <w:rPr>
          <w:rFonts w:ascii="宋体" w:hAnsi="宋体" w:cs="宋体"/>
          <w:color w:val="auto"/>
        </w:rPr>
      </w:pPr>
      <w:r>
        <w:rPr>
          <w:rFonts w:hint="eastAsia" w:ascii="宋体" w:hAnsi="宋体" w:cs="宋体"/>
          <w:color w:val="auto"/>
        </w:rPr>
        <w:t xml:space="preserve">           法定代表人或其委托代理人（签字或盖章）：</w:t>
      </w:r>
    </w:p>
    <w:p>
      <w:pPr>
        <w:adjustRightInd w:val="0"/>
        <w:snapToGrid w:val="0"/>
        <w:spacing w:line="440" w:lineRule="exact"/>
        <w:jc w:val="right"/>
        <w:rPr>
          <w:rFonts w:ascii="宋体" w:hAnsi="宋体" w:cs="宋体"/>
          <w:color w:val="auto"/>
        </w:rPr>
      </w:pPr>
      <w:r>
        <w:rPr>
          <w:rFonts w:hint="eastAsia" w:ascii="宋体" w:hAnsi="宋体" w:cs="宋体"/>
          <w:color w:val="auto"/>
        </w:rPr>
        <w:t xml:space="preserve">                                                              年  月  日</w:t>
      </w:r>
    </w:p>
    <w:p>
      <w:pPr>
        <w:snapToGrid w:val="0"/>
        <w:spacing w:line="360" w:lineRule="auto"/>
        <w:jc w:val="left"/>
        <w:rPr>
          <w:rFonts w:ascii="宋体" w:hAnsi="宋体" w:cs="宋体"/>
          <w:color w:val="auto"/>
          <w:szCs w:val="21"/>
        </w:rPr>
        <w:sectPr>
          <w:pgSz w:w="11906" w:h="16838"/>
          <w:pgMar w:top="1474" w:right="1797" w:bottom="1247" w:left="1797" w:header="851" w:footer="851" w:gutter="0"/>
          <w:cols w:space="720" w:num="1"/>
          <w:titlePg/>
          <w:docGrid w:linePitch="312" w:charSpace="0"/>
        </w:sectPr>
      </w:pPr>
    </w:p>
    <w:p>
      <w:pPr>
        <w:snapToGrid w:val="0"/>
        <w:spacing w:line="360" w:lineRule="auto"/>
        <w:jc w:val="left"/>
        <w:rPr>
          <w:rFonts w:ascii="宋体" w:hAnsi="宋体" w:cs="宋体"/>
          <w:color w:val="auto"/>
          <w:szCs w:val="21"/>
        </w:rPr>
      </w:pPr>
      <w:r>
        <w:rPr>
          <w:rFonts w:hint="eastAsia" w:ascii="宋体" w:hAnsi="宋体" w:cs="宋体"/>
          <w:color w:val="auto"/>
          <w:szCs w:val="21"/>
        </w:rPr>
        <w:t>4、供应商一般情况；</w:t>
      </w:r>
    </w:p>
    <w:p>
      <w:pPr>
        <w:snapToGrid w:val="0"/>
        <w:spacing w:before="50" w:afterLines="50"/>
        <w:jc w:val="center"/>
        <w:rPr>
          <w:rFonts w:ascii="宋体" w:hAnsi="宋体" w:cs="宋体"/>
          <w:color w:val="auto"/>
          <w:sz w:val="28"/>
          <w:szCs w:val="28"/>
        </w:rPr>
      </w:pPr>
      <w:r>
        <w:rPr>
          <w:rFonts w:hint="eastAsia" w:ascii="宋体" w:hAnsi="宋体" w:cs="宋体"/>
          <w:color w:val="auto"/>
          <w:sz w:val="28"/>
          <w:szCs w:val="28"/>
        </w:rPr>
        <w:t>供应商基本情况表</w:t>
      </w:r>
    </w:p>
    <w:tbl>
      <w:tblPr>
        <w:tblStyle w:val="45"/>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974"/>
        <w:gridCol w:w="309"/>
        <w:gridCol w:w="1352"/>
        <w:gridCol w:w="1012"/>
        <w:gridCol w:w="349"/>
        <w:gridCol w:w="1074"/>
        <w:gridCol w:w="179"/>
        <w:gridCol w:w="352"/>
        <w:gridCol w:w="285"/>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供应商名称</w:t>
            </w:r>
          </w:p>
        </w:tc>
        <w:tc>
          <w:tcPr>
            <w:tcW w:w="7302" w:type="dxa"/>
            <w:gridSpan w:val="10"/>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注册地址</w:t>
            </w:r>
          </w:p>
        </w:tc>
        <w:tc>
          <w:tcPr>
            <w:tcW w:w="3647" w:type="dxa"/>
            <w:gridSpan w:val="4"/>
            <w:vAlign w:val="center"/>
          </w:tcPr>
          <w:p>
            <w:pPr>
              <w:spacing w:line="360" w:lineRule="auto"/>
              <w:jc w:val="center"/>
              <w:rPr>
                <w:rFonts w:ascii="宋体" w:hAnsi="宋体" w:cs="宋体"/>
                <w:color w:val="auto"/>
                <w:szCs w:val="21"/>
              </w:rPr>
            </w:pPr>
          </w:p>
        </w:tc>
        <w:tc>
          <w:tcPr>
            <w:tcW w:w="1602" w:type="dxa"/>
            <w:gridSpan w:val="3"/>
            <w:vAlign w:val="center"/>
          </w:tcPr>
          <w:p>
            <w:pPr>
              <w:spacing w:line="360" w:lineRule="auto"/>
              <w:jc w:val="center"/>
              <w:rPr>
                <w:rFonts w:ascii="宋体" w:hAnsi="宋体" w:cs="宋体"/>
                <w:color w:val="auto"/>
                <w:szCs w:val="21"/>
              </w:rPr>
            </w:pPr>
            <w:r>
              <w:rPr>
                <w:rFonts w:hint="eastAsia" w:ascii="宋体" w:hAnsi="宋体" w:cs="宋体"/>
                <w:color w:val="auto"/>
                <w:szCs w:val="21"/>
              </w:rPr>
              <w:t>邮政编码</w:t>
            </w:r>
          </w:p>
        </w:tc>
        <w:tc>
          <w:tcPr>
            <w:tcW w:w="2053" w:type="dxa"/>
            <w:gridSpan w:val="3"/>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Merge w:val="restart"/>
            <w:vAlign w:val="center"/>
          </w:tcPr>
          <w:p>
            <w:pPr>
              <w:spacing w:line="360" w:lineRule="auto"/>
              <w:jc w:val="center"/>
              <w:rPr>
                <w:rFonts w:ascii="宋体" w:hAnsi="宋体" w:cs="宋体"/>
                <w:color w:val="auto"/>
                <w:szCs w:val="21"/>
              </w:rPr>
            </w:pPr>
            <w:r>
              <w:rPr>
                <w:rFonts w:hint="eastAsia" w:ascii="宋体" w:hAnsi="宋体" w:cs="宋体"/>
                <w:color w:val="auto"/>
                <w:szCs w:val="21"/>
              </w:rPr>
              <w:t>联系方式</w:t>
            </w:r>
          </w:p>
        </w:tc>
        <w:tc>
          <w:tcPr>
            <w:tcW w:w="1283" w:type="dxa"/>
            <w:gridSpan w:val="2"/>
            <w:vAlign w:val="center"/>
          </w:tcPr>
          <w:p>
            <w:pPr>
              <w:spacing w:line="360" w:lineRule="auto"/>
              <w:jc w:val="center"/>
              <w:rPr>
                <w:rFonts w:ascii="宋体" w:hAnsi="宋体" w:cs="宋体"/>
                <w:color w:val="auto"/>
                <w:szCs w:val="21"/>
              </w:rPr>
            </w:pPr>
            <w:r>
              <w:rPr>
                <w:rFonts w:hint="eastAsia" w:ascii="宋体" w:hAnsi="宋体" w:cs="宋体"/>
                <w:color w:val="auto"/>
                <w:szCs w:val="21"/>
              </w:rPr>
              <w:t>联系人</w:t>
            </w:r>
          </w:p>
        </w:tc>
        <w:tc>
          <w:tcPr>
            <w:tcW w:w="2364" w:type="dxa"/>
            <w:gridSpan w:val="2"/>
            <w:vAlign w:val="center"/>
          </w:tcPr>
          <w:p>
            <w:pPr>
              <w:spacing w:line="360" w:lineRule="auto"/>
              <w:jc w:val="center"/>
              <w:rPr>
                <w:rFonts w:ascii="宋体" w:hAnsi="宋体" w:cs="宋体"/>
                <w:color w:val="auto"/>
                <w:szCs w:val="21"/>
              </w:rPr>
            </w:pPr>
          </w:p>
        </w:tc>
        <w:tc>
          <w:tcPr>
            <w:tcW w:w="1602" w:type="dxa"/>
            <w:gridSpan w:val="3"/>
            <w:vAlign w:val="center"/>
          </w:tcPr>
          <w:p>
            <w:pPr>
              <w:spacing w:line="360" w:lineRule="auto"/>
              <w:jc w:val="center"/>
              <w:rPr>
                <w:rFonts w:ascii="宋体" w:hAnsi="宋体" w:cs="宋体"/>
                <w:color w:val="auto"/>
                <w:szCs w:val="21"/>
              </w:rPr>
            </w:pPr>
            <w:r>
              <w:rPr>
                <w:rFonts w:hint="eastAsia" w:ascii="宋体" w:hAnsi="宋体" w:cs="宋体"/>
                <w:color w:val="auto"/>
                <w:szCs w:val="21"/>
              </w:rPr>
              <w:t>电话</w:t>
            </w:r>
          </w:p>
        </w:tc>
        <w:tc>
          <w:tcPr>
            <w:tcW w:w="2053" w:type="dxa"/>
            <w:gridSpan w:val="3"/>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Merge w:val="continue"/>
            <w:vAlign w:val="center"/>
          </w:tcPr>
          <w:p>
            <w:pPr>
              <w:spacing w:line="360" w:lineRule="auto"/>
              <w:jc w:val="center"/>
              <w:rPr>
                <w:rFonts w:ascii="宋体" w:hAnsi="宋体" w:cs="宋体"/>
                <w:color w:val="auto"/>
                <w:szCs w:val="21"/>
              </w:rPr>
            </w:pPr>
          </w:p>
        </w:tc>
        <w:tc>
          <w:tcPr>
            <w:tcW w:w="1283" w:type="dxa"/>
            <w:gridSpan w:val="2"/>
            <w:vAlign w:val="center"/>
          </w:tcPr>
          <w:p>
            <w:pPr>
              <w:spacing w:line="360" w:lineRule="auto"/>
              <w:jc w:val="center"/>
              <w:rPr>
                <w:rFonts w:ascii="宋体" w:hAnsi="宋体" w:cs="宋体"/>
                <w:color w:val="auto"/>
                <w:szCs w:val="21"/>
              </w:rPr>
            </w:pPr>
            <w:r>
              <w:rPr>
                <w:rFonts w:hint="eastAsia" w:ascii="宋体" w:hAnsi="宋体" w:cs="宋体"/>
                <w:color w:val="auto"/>
                <w:szCs w:val="21"/>
              </w:rPr>
              <w:t>传真</w:t>
            </w:r>
          </w:p>
        </w:tc>
        <w:tc>
          <w:tcPr>
            <w:tcW w:w="2364" w:type="dxa"/>
            <w:gridSpan w:val="2"/>
            <w:vAlign w:val="center"/>
          </w:tcPr>
          <w:p>
            <w:pPr>
              <w:spacing w:line="360" w:lineRule="auto"/>
              <w:jc w:val="center"/>
              <w:rPr>
                <w:rFonts w:ascii="宋体" w:hAnsi="宋体" w:cs="宋体"/>
                <w:color w:val="auto"/>
                <w:szCs w:val="21"/>
              </w:rPr>
            </w:pPr>
          </w:p>
        </w:tc>
        <w:tc>
          <w:tcPr>
            <w:tcW w:w="1602" w:type="dxa"/>
            <w:gridSpan w:val="3"/>
            <w:vAlign w:val="center"/>
          </w:tcPr>
          <w:p>
            <w:pPr>
              <w:spacing w:line="360" w:lineRule="auto"/>
              <w:jc w:val="center"/>
              <w:rPr>
                <w:rFonts w:ascii="宋体" w:hAnsi="宋体" w:cs="宋体"/>
                <w:color w:val="auto"/>
                <w:szCs w:val="21"/>
              </w:rPr>
            </w:pPr>
            <w:r>
              <w:rPr>
                <w:rFonts w:hint="eastAsia" w:ascii="宋体" w:hAnsi="宋体" w:cs="宋体"/>
                <w:color w:val="auto"/>
                <w:szCs w:val="21"/>
              </w:rPr>
              <w:t>网址</w:t>
            </w:r>
          </w:p>
        </w:tc>
        <w:tc>
          <w:tcPr>
            <w:tcW w:w="2053" w:type="dxa"/>
            <w:gridSpan w:val="3"/>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组织结构</w:t>
            </w:r>
          </w:p>
        </w:tc>
        <w:tc>
          <w:tcPr>
            <w:tcW w:w="7302" w:type="dxa"/>
            <w:gridSpan w:val="10"/>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法定代表人</w:t>
            </w:r>
          </w:p>
        </w:tc>
        <w:tc>
          <w:tcPr>
            <w:tcW w:w="974"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姓名</w:t>
            </w:r>
          </w:p>
        </w:tc>
        <w:tc>
          <w:tcPr>
            <w:tcW w:w="1661" w:type="dxa"/>
            <w:gridSpan w:val="2"/>
            <w:vAlign w:val="center"/>
          </w:tcPr>
          <w:p>
            <w:pPr>
              <w:spacing w:line="360" w:lineRule="auto"/>
              <w:jc w:val="center"/>
              <w:rPr>
                <w:rFonts w:ascii="宋体" w:hAnsi="宋体" w:cs="宋体"/>
                <w:color w:val="auto"/>
                <w:szCs w:val="21"/>
              </w:rPr>
            </w:pPr>
          </w:p>
        </w:tc>
        <w:tc>
          <w:tcPr>
            <w:tcW w:w="1361" w:type="dxa"/>
            <w:gridSpan w:val="2"/>
            <w:vAlign w:val="center"/>
          </w:tcPr>
          <w:p>
            <w:pPr>
              <w:spacing w:line="360" w:lineRule="auto"/>
              <w:jc w:val="center"/>
              <w:rPr>
                <w:rFonts w:ascii="宋体" w:hAnsi="宋体" w:cs="宋体"/>
                <w:color w:val="auto"/>
                <w:szCs w:val="21"/>
              </w:rPr>
            </w:pPr>
            <w:r>
              <w:rPr>
                <w:rFonts w:hint="eastAsia" w:ascii="宋体" w:hAnsi="宋体" w:cs="宋体"/>
                <w:color w:val="auto"/>
                <w:szCs w:val="21"/>
              </w:rPr>
              <w:t>技术职称</w:t>
            </w:r>
          </w:p>
        </w:tc>
        <w:tc>
          <w:tcPr>
            <w:tcW w:w="1074" w:type="dxa"/>
            <w:vAlign w:val="center"/>
          </w:tcPr>
          <w:p>
            <w:pPr>
              <w:spacing w:line="360" w:lineRule="auto"/>
              <w:jc w:val="center"/>
              <w:rPr>
                <w:rFonts w:ascii="宋体" w:hAnsi="宋体" w:cs="宋体"/>
                <w:color w:val="auto"/>
                <w:szCs w:val="21"/>
              </w:rPr>
            </w:pPr>
          </w:p>
        </w:tc>
        <w:tc>
          <w:tcPr>
            <w:tcW w:w="816" w:type="dxa"/>
            <w:gridSpan w:val="3"/>
            <w:vAlign w:val="center"/>
          </w:tcPr>
          <w:p>
            <w:pPr>
              <w:spacing w:line="360" w:lineRule="auto"/>
              <w:jc w:val="center"/>
              <w:rPr>
                <w:rFonts w:ascii="宋体" w:hAnsi="宋体" w:cs="宋体"/>
                <w:color w:val="auto"/>
                <w:szCs w:val="21"/>
              </w:rPr>
            </w:pPr>
            <w:r>
              <w:rPr>
                <w:rFonts w:hint="eastAsia" w:ascii="宋体" w:hAnsi="宋体" w:cs="宋体"/>
                <w:color w:val="auto"/>
                <w:szCs w:val="21"/>
              </w:rPr>
              <w:t>电话</w:t>
            </w:r>
          </w:p>
        </w:tc>
        <w:tc>
          <w:tcPr>
            <w:tcW w:w="1416"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技术负责人</w:t>
            </w:r>
          </w:p>
        </w:tc>
        <w:tc>
          <w:tcPr>
            <w:tcW w:w="974"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姓名</w:t>
            </w:r>
          </w:p>
        </w:tc>
        <w:tc>
          <w:tcPr>
            <w:tcW w:w="1661" w:type="dxa"/>
            <w:gridSpan w:val="2"/>
            <w:vAlign w:val="center"/>
          </w:tcPr>
          <w:p>
            <w:pPr>
              <w:spacing w:line="360" w:lineRule="auto"/>
              <w:jc w:val="center"/>
              <w:rPr>
                <w:rFonts w:ascii="宋体" w:hAnsi="宋体" w:cs="宋体"/>
                <w:color w:val="auto"/>
                <w:szCs w:val="21"/>
              </w:rPr>
            </w:pPr>
          </w:p>
        </w:tc>
        <w:tc>
          <w:tcPr>
            <w:tcW w:w="1361" w:type="dxa"/>
            <w:gridSpan w:val="2"/>
            <w:vAlign w:val="center"/>
          </w:tcPr>
          <w:p>
            <w:pPr>
              <w:spacing w:line="360" w:lineRule="auto"/>
              <w:jc w:val="center"/>
              <w:rPr>
                <w:rFonts w:ascii="宋体" w:hAnsi="宋体" w:cs="宋体"/>
                <w:color w:val="auto"/>
                <w:szCs w:val="21"/>
              </w:rPr>
            </w:pPr>
            <w:r>
              <w:rPr>
                <w:rFonts w:hint="eastAsia" w:ascii="宋体" w:hAnsi="宋体" w:cs="宋体"/>
                <w:color w:val="auto"/>
                <w:szCs w:val="21"/>
              </w:rPr>
              <w:t>技术职称</w:t>
            </w:r>
          </w:p>
        </w:tc>
        <w:tc>
          <w:tcPr>
            <w:tcW w:w="1074" w:type="dxa"/>
            <w:vAlign w:val="center"/>
          </w:tcPr>
          <w:p>
            <w:pPr>
              <w:spacing w:line="360" w:lineRule="auto"/>
              <w:jc w:val="center"/>
              <w:rPr>
                <w:rFonts w:ascii="宋体" w:hAnsi="宋体" w:cs="宋体"/>
                <w:color w:val="auto"/>
                <w:szCs w:val="21"/>
              </w:rPr>
            </w:pPr>
          </w:p>
        </w:tc>
        <w:tc>
          <w:tcPr>
            <w:tcW w:w="816" w:type="dxa"/>
            <w:gridSpan w:val="3"/>
            <w:vAlign w:val="center"/>
          </w:tcPr>
          <w:p>
            <w:pPr>
              <w:spacing w:line="360" w:lineRule="auto"/>
              <w:jc w:val="center"/>
              <w:rPr>
                <w:rFonts w:ascii="宋体" w:hAnsi="宋体" w:cs="宋体"/>
                <w:color w:val="auto"/>
                <w:szCs w:val="21"/>
              </w:rPr>
            </w:pPr>
            <w:r>
              <w:rPr>
                <w:rFonts w:hint="eastAsia" w:ascii="宋体" w:hAnsi="宋体" w:cs="宋体"/>
                <w:color w:val="auto"/>
                <w:szCs w:val="21"/>
              </w:rPr>
              <w:t>电话</w:t>
            </w:r>
          </w:p>
        </w:tc>
        <w:tc>
          <w:tcPr>
            <w:tcW w:w="1416" w:type="dxa"/>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成立时间</w:t>
            </w:r>
          </w:p>
        </w:tc>
        <w:tc>
          <w:tcPr>
            <w:tcW w:w="2635" w:type="dxa"/>
            <w:gridSpan w:val="3"/>
            <w:vAlign w:val="center"/>
          </w:tcPr>
          <w:p>
            <w:pPr>
              <w:spacing w:line="360" w:lineRule="auto"/>
              <w:jc w:val="center"/>
              <w:rPr>
                <w:rFonts w:ascii="宋体" w:hAnsi="宋体" w:cs="宋体"/>
                <w:color w:val="auto"/>
                <w:szCs w:val="21"/>
              </w:rPr>
            </w:pPr>
          </w:p>
        </w:tc>
        <w:tc>
          <w:tcPr>
            <w:tcW w:w="4667" w:type="dxa"/>
            <w:gridSpan w:val="7"/>
            <w:vAlign w:val="center"/>
          </w:tcPr>
          <w:p>
            <w:pPr>
              <w:spacing w:line="360" w:lineRule="auto"/>
              <w:jc w:val="center"/>
              <w:rPr>
                <w:rFonts w:ascii="宋体" w:hAnsi="宋体" w:cs="宋体"/>
                <w:color w:val="auto"/>
                <w:szCs w:val="21"/>
              </w:rPr>
            </w:pPr>
            <w:r>
              <w:rPr>
                <w:rFonts w:hint="eastAsia" w:ascii="宋体" w:hAnsi="宋体" w:cs="宋体"/>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企业资质等级</w:t>
            </w:r>
          </w:p>
        </w:tc>
        <w:tc>
          <w:tcPr>
            <w:tcW w:w="2635" w:type="dxa"/>
            <w:gridSpan w:val="3"/>
            <w:vAlign w:val="center"/>
          </w:tcPr>
          <w:p>
            <w:pPr>
              <w:spacing w:line="360" w:lineRule="auto"/>
              <w:jc w:val="center"/>
              <w:rPr>
                <w:rFonts w:ascii="宋体" w:hAnsi="宋体" w:cs="宋体"/>
                <w:color w:val="auto"/>
                <w:szCs w:val="21"/>
              </w:rPr>
            </w:pPr>
          </w:p>
        </w:tc>
        <w:tc>
          <w:tcPr>
            <w:tcW w:w="1012" w:type="dxa"/>
            <w:vMerge w:val="restart"/>
            <w:vAlign w:val="center"/>
          </w:tcPr>
          <w:p>
            <w:pPr>
              <w:spacing w:line="360" w:lineRule="auto"/>
              <w:jc w:val="center"/>
              <w:rPr>
                <w:rFonts w:ascii="宋体" w:hAnsi="宋体" w:cs="宋体"/>
                <w:color w:val="auto"/>
                <w:szCs w:val="21"/>
              </w:rPr>
            </w:pPr>
            <w:r>
              <w:rPr>
                <w:rFonts w:hint="eastAsia" w:ascii="宋体" w:hAnsi="宋体" w:cs="宋体"/>
                <w:color w:val="auto"/>
                <w:szCs w:val="21"/>
              </w:rPr>
              <w:t>其中</w:t>
            </w:r>
          </w:p>
        </w:tc>
        <w:tc>
          <w:tcPr>
            <w:tcW w:w="1954" w:type="dxa"/>
            <w:gridSpan w:val="4"/>
            <w:vAlign w:val="center"/>
          </w:tcPr>
          <w:p>
            <w:pPr>
              <w:spacing w:line="360" w:lineRule="auto"/>
              <w:jc w:val="center"/>
              <w:rPr>
                <w:rFonts w:ascii="宋体" w:hAnsi="宋体" w:cs="宋体"/>
                <w:color w:val="auto"/>
                <w:szCs w:val="21"/>
              </w:rPr>
            </w:pPr>
            <w:r>
              <w:rPr>
                <w:rFonts w:hint="eastAsia" w:ascii="宋体" w:hAnsi="宋体" w:cs="宋体"/>
                <w:color w:val="auto"/>
                <w:szCs w:val="21"/>
              </w:rPr>
              <w:t>高级职称人员</w:t>
            </w:r>
          </w:p>
        </w:tc>
        <w:tc>
          <w:tcPr>
            <w:tcW w:w="1701" w:type="dxa"/>
            <w:gridSpan w:val="2"/>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营业执照号</w:t>
            </w:r>
          </w:p>
        </w:tc>
        <w:tc>
          <w:tcPr>
            <w:tcW w:w="2635" w:type="dxa"/>
            <w:gridSpan w:val="3"/>
            <w:vAlign w:val="center"/>
          </w:tcPr>
          <w:p>
            <w:pPr>
              <w:spacing w:line="360" w:lineRule="auto"/>
              <w:jc w:val="center"/>
              <w:rPr>
                <w:rFonts w:ascii="宋体" w:hAnsi="宋体" w:cs="宋体"/>
                <w:color w:val="auto"/>
                <w:szCs w:val="21"/>
              </w:rPr>
            </w:pPr>
          </w:p>
        </w:tc>
        <w:tc>
          <w:tcPr>
            <w:tcW w:w="1012" w:type="dxa"/>
            <w:vMerge w:val="continue"/>
            <w:vAlign w:val="center"/>
          </w:tcPr>
          <w:p>
            <w:pPr>
              <w:spacing w:line="360" w:lineRule="auto"/>
              <w:jc w:val="center"/>
              <w:rPr>
                <w:rFonts w:ascii="宋体" w:hAnsi="宋体" w:cs="宋体"/>
                <w:color w:val="auto"/>
                <w:szCs w:val="21"/>
              </w:rPr>
            </w:pPr>
          </w:p>
        </w:tc>
        <w:tc>
          <w:tcPr>
            <w:tcW w:w="1954" w:type="dxa"/>
            <w:gridSpan w:val="4"/>
            <w:vAlign w:val="center"/>
          </w:tcPr>
          <w:p>
            <w:pPr>
              <w:spacing w:line="360" w:lineRule="auto"/>
              <w:jc w:val="center"/>
              <w:rPr>
                <w:rFonts w:ascii="宋体" w:hAnsi="宋体" w:cs="宋体"/>
                <w:color w:val="auto"/>
                <w:szCs w:val="21"/>
              </w:rPr>
            </w:pPr>
            <w:r>
              <w:rPr>
                <w:rFonts w:hint="eastAsia" w:ascii="宋体" w:hAnsi="宋体" w:cs="宋体"/>
                <w:color w:val="auto"/>
                <w:szCs w:val="21"/>
              </w:rPr>
              <w:t>中级职称人员</w:t>
            </w:r>
          </w:p>
        </w:tc>
        <w:tc>
          <w:tcPr>
            <w:tcW w:w="1701" w:type="dxa"/>
            <w:gridSpan w:val="2"/>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注册资金</w:t>
            </w:r>
          </w:p>
        </w:tc>
        <w:tc>
          <w:tcPr>
            <w:tcW w:w="2635" w:type="dxa"/>
            <w:gridSpan w:val="3"/>
            <w:vAlign w:val="center"/>
          </w:tcPr>
          <w:p>
            <w:pPr>
              <w:spacing w:line="360" w:lineRule="auto"/>
              <w:jc w:val="center"/>
              <w:rPr>
                <w:rFonts w:ascii="宋体" w:hAnsi="宋体" w:cs="宋体"/>
                <w:color w:val="auto"/>
                <w:szCs w:val="21"/>
              </w:rPr>
            </w:pPr>
          </w:p>
        </w:tc>
        <w:tc>
          <w:tcPr>
            <w:tcW w:w="1012" w:type="dxa"/>
            <w:vMerge w:val="continue"/>
            <w:vAlign w:val="center"/>
          </w:tcPr>
          <w:p>
            <w:pPr>
              <w:spacing w:line="360" w:lineRule="auto"/>
              <w:jc w:val="center"/>
              <w:rPr>
                <w:rFonts w:ascii="宋体" w:hAnsi="宋体" w:cs="宋体"/>
                <w:color w:val="auto"/>
                <w:szCs w:val="21"/>
              </w:rPr>
            </w:pPr>
          </w:p>
        </w:tc>
        <w:tc>
          <w:tcPr>
            <w:tcW w:w="1954" w:type="dxa"/>
            <w:gridSpan w:val="4"/>
            <w:vAlign w:val="center"/>
          </w:tcPr>
          <w:p>
            <w:pPr>
              <w:spacing w:line="360" w:lineRule="auto"/>
              <w:jc w:val="center"/>
              <w:rPr>
                <w:rFonts w:ascii="宋体" w:hAnsi="宋体" w:cs="宋体"/>
                <w:color w:val="auto"/>
                <w:szCs w:val="21"/>
              </w:rPr>
            </w:pPr>
            <w:r>
              <w:rPr>
                <w:rFonts w:hint="eastAsia" w:ascii="宋体" w:hAnsi="宋体" w:cs="宋体"/>
                <w:color w:val="auto"/>
                <w:szCs w:val="21"/>
              </w:rPr>
              <w:t>初级职称人员</w:t>
            </w:r>
          </w:p>
        </w:tc>
        <w:tc>
          <w:tcPr>
            <w:tcW w:w="1701" w:type="dxa"/>
            <w:gridSpan w:val="2"/>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开户银行</w:t>
            </w:r>
          </w:p>
        </w:tc>
        <w:tc>
          <w:tcPr>
            <w:tcW w:w="2635" w:type="dxa"/>
            <w:gridSpan w:val="3"/>
            <w:vAlign w:val="center"/>
          </w:tcPr>
          <w:p>
            <w:pPr>
              <w:spacing w:line="360" w:lineRule="auto"/>
              <w:jc w:val="center"/>
              <w:rPr>
                <w:rFonts w:ascii="宋体" w:hAnsi="宋体" w:cs="宋体"/>
                <w:color w:val="auto"/>
                <w:szCs w:val="21"/>
              </w:rPr>
            </w:pPr>
          </w:p>
        </w:tc>
        <w:tc>
          <w:tcPr>
            <w:tcW w:w="1012" w:type="dxa"/>
            <w:vMerge w:val="continue"/>
            <w:vAlign w:val="center"/>
          </w:tcPr>
          <w:p>
            <w:pPr>
              <w:spacing w:line="360" w:lineRule="auto"/>
              <w:jc w:val="center"/>
              <w:rPr>
                <w:rFonts w:ascii="宋体" w:hAnsi="宋体" w:cs="宋体"/>
                <w:color w:val="auto"/>
                <w:szCs w:val="21"/>
              </w:rPr>
            </w:pPr>
          </w:p>
        </w:tc>
        <w:tc>
          <w:tcPr>
            <w:tcW w:w="1954" w:type="dxa"/>
            <w:gridSpan w:val="4"/>
            <w:vAlign w:val="center"/>
          </w:tcPr>
          <w:p>
            <w:pPr>
              <w:spacing w:line="360" w:lineRule="auto"/>
              <w:jc w:val="center"/>
              <w:rPr>
                <w:rFonts w:ascii="宋体" w:hAnsi="宋体" w:cs="宋体"/>
                <w:color w:val="auto"/>
                <w:szCs w:val="21"/>
              </w:rPr>
            </w:pPr>
          </w:p>
        </w:tc>
        <w:tc>
          <w:tcPr>
            <w:tcW w:w="1701" w:type="dxa"/>
            <w:gridSpan w:val="2"/>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账号</w:t>
            </w:r>
          </w:p>
        </w:tc>
        <w:tc>
          <w:tcPr>
            <w:tcW w:w="2635" w:type="dxa"/>
            <w:gridSpan w:val="3"/>
            <w:vAlign w:val="center"/>
          </w:tcPr>
          <w:p>
            <w:pPr>
              <w:spacing w:line="360" w:lineRule="auto"/>
              <w:jc w:val="center"/>
              <w:rPr>
                <w:rFonts w:ascii="宋体" w:hAnsi="宋体" w:cs="宋体"/>
                <w:color w:val="auto"/>
                <w:szCs w:val="21"/>
              </w:rPr>
            </w:pPr>
          </w:p>
        </w:tc>
        <w:tc>
          <w:tcPr>
            <w:tcW w:w="1012" w:type="dxa"/>
            <w:vMerge w:val="continue"/>
            <w:vAlign w:val="center"/>
          </w:tcPr>
          <w:p>
            <w:pPr>
              <w:spacing w:line="360" w:lineRule="auto"/>
              <w:jc w:val="center"/>
              <w:rPr>
                <w:rFonts w:ascii="宋体" w:hAnsi="宋体" w:cs="宋体"/>
                <w:color w:val="auto"/>
                <w:szCs w:val="21"/>
              </w:rPr>
            </w:pPr>
          </w:p>
        </w:tc>
        <w:tc>
          <w:tcPr>
            <w:tcW w:w="1954" w:type="dxa"/>
            <w:gridSpan w:val="4"/>
            <w:vAlign w:val="center"/>
          </w:tcPr>
          <w:p>
            <w:pPr>
              <w:spacing w:line="360" w:lineRule="auto"/>
              <w:jc w:val="center"/>
              <w:rPr>
                <w:rFonts w:ascii="宋体" w:hAnsi="宋体" w:cs="宋体"/>
                <w:color w:val="auto"/>
                <w:szCs w:val="21"/>
              </w:rPr>
            </w:pPr>
          </w:p>
        </w:tc>
        <w:tc>
          <w:tcPr>
            <w:tcW w:w="1701" w:type="dxa"/>
            <w:gridSpan w:val="2"/>
            <w:vAlign w:val="center"/>
          </w:tcPr>
          <w:p>
            <w:pPr>
              <w:spacing w:line="360" w:lineRule="auto"/>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9" w:hRule="atLeast"/>
        </w:trPr>
        <w:tc>
          <w:tcPr>
            <w:tcW w:w="1771"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经营范围</w:t>
            </w:r>
          </w:p>
        </w:tc>
        <w:tc>
          <w:tcPr>
            <w:tcW w:w="7302" w:type="dxa"/>
            <w:gridSpan w:val="10"/>
            <w:vAlign w:val="center"/>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771"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备注</w:t>
            </w:r>
          </w:p>
        </w:tc>
        <w:tc>
          <w:tcPr>
            <w:tcW w:w="7302" w:type="dxa"/>
            <w:gridSpan w:val="10"/>
            <w:vAlign w:val="center"/>
          </w:tcPr>
          <w:p>
            <w:pPr>
              <w:spacing w:line="360" w:lineRule="auto"/>
              <w:jc w:val="center"/>
              <w:rPr>
                <w:rFonts w:ascii="宋体" w:hAnsi="宋体" w:cs="宋体"/>
                <w:color w:val="auto"/>
                <w:szCs w:val="21"/>
              </w:rPr>
            </w:pPr>
          </w:p>
        </w:tc>
      </w:tr>
    </w:tbl>
    <w:p>
      <w:pPr>
        <w:spacing w:line="400" w:lineRule="exact"/>
        <w:ind w:firstLine="3150" w:firstLineChars="1500"/>
        <w:jc w:val="right"/>
        <w:rPr>
          <w:rFonts w:ascii="宋体" w:hAnsi="宋体" w:cs="宋体"/>
          <w:color w:val="auto"/>
          <w:szCs w:val="21"/>
        </w:rPr>
      </w:pPr>
      <w:r>
        <w:rPr>
          <w:rFonts w:hint="eastAsia" w:ascii="宋体" w:hAnsi="宋体" w:cs="宋体"/>
          <w:color w:val="auto"/>
          <w:szCs w:val="21"/>
        </w:rPr>
        <w:t xml:space="preserve">供应商盖章（公章）：             </w:t>
      </w:r>
    </w:p>
    <w:p>
      <w:pPr>
        <w:spacing w:line="360" w:lineRule="auto"/>
        <w:rPr>
          <w:rFonts w:ascii="宋体" w:hAnsi="宋体" w:cs="宋体"/>
          <w:color w:val="auto"/>
          <w:szCs w:val="21"/>
        </w:rPr>
      </w:pPr>
    </w:p>
    <w:p>
      <w:pPr>
        <w:spacing w:line="360" w:lineRule="auto"/>
        <w:ind w:firstLine="3255" w:firstLineChars="1550"/>
        <w:jc w:val="right"/>
        <w:rPr>
          <w:rFonts w:ascii="宋体" w:hAnsi="宋体" w:cs="宋体"/>
          <w:color w:val="auto"/>
          <w:szCs w:val="21"/>
        </w:rPr>
      </w:pPr>
      <w:r>
        <w:rPr>
          <w:rFonts w:hint="eastAsia" w:ascii="宋体" w:hAnsi="宋体" w:cs="宋体"/>
          <w:color w:val="auto"/>
          <w:szCs w:val="21"/>
        </w:rPr>
        <w:t xml:space="preserve">           法定代表人或其委托代理人（签字或盖章）：</w:t>
      </w:r>
    </w:p>
    <w:p>
      <w:pPr>
        <w:spacing w:line="400" w:lineRule="exact"/>
        <w:ind w:left="525" w:leftChars="250" w:firstLine="1470" w:firstLineChars="700"/>
        <w:rPr>
          <w:rFonts w:ascii="宋体" w:hAnsi="宋体" w:cs="宋体"/>
          <w:color w:val="auto"/>
          <w:szCs w:val="21"/>
        </w:rPr>
      </w:pPr>
    </w:p>
    <w:p>
      <w:pPr>
        <w:snapToGrid w:val="0"/>
        <w:spacing w:line="360" w:lineRule="auto"/>
        <w:jc w:val="left"/>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napToGrid w:val="0"/>
        <w:spacing w:line="360" w:lineRule="auto"/>
        <w:jc w:val="left"/>
        <w:rPr>
          <w:rFonts w:ascii="宋体" w:hAnsi="宋体" w:cs="宋体"/>
          <w:color w:val="auto"/>
          <w:szCs w:val="21"/>
        </w:rPr>
      </w:pPr>
      <w:r>
        <w:rPr>
          <w:rFonts w:hint="eastAsia" w:ascii="宋体" w:hAnsi="宋体" w:cs="宋体"/>
          <w:color w:val="auto"/>
          <w:szCs w:val="21"/>
        </w:rPr>
        <w:br w:type="page"/>
      </w:r>
      <w:r>
        <w:rPr>
          <w:rFonts w:hint="eastAsia" w:ascii="宋体" w:hAnsi="宋体" w:cs="宋体"/>
          <w:color w:val="auto"/>
          <w:szCs w:val="21"/>
        </w:rPr>
        <w:t>5、法定代表人身份证明或法定代表人授权书和被授权代表身份证复印件（供应商代表为法定代表人的提供法定代表人身份证明，供应商的代表若为非法定代表人的，须提交法定代表人授权书及被授权代表在提交首次磋商响应文件截止日前二个月内任一月）</w:t>
      </w:r>
    </w:p>
    <w:p>
      <w:pPr>
        <w:snapToGrid w:val="0"/>
        <w:spacing w:beforeLines="50" w:after="50" w:line="360" w:lineRule="auto"/>
        <w:jc w:val="center"/>
        <w:rPr>
          <w:rFonts w:ascii="宋体" w:hAnsi="宋体" w:cs="宋体"/>
          <w:b/>
          <w:color w:val="auto"/>
          <w:sz w:val="28"/>
          <w:szCs w:val="28"/>
        </w:rPr>
      </w:pPr>
      <w:r>
        <w:rPr>
          <w:rFonts w:hint="eastAsia" w:ascii="宋体" w:hAnsi="宋体" w:cs="宋体"/>
          <w:b/>
          <w:color w:val="auto"/>
          <w:sz w:val="28"/>
          <w:szCs w:val="28"/>
        </w:rPr>
        <w:t>法定代表人授权委托书</w:t>
      </w:r>
    </w:p>
    <w:p>
      <w:pPr>
        <w:spacing w:line="360" w:lineRule="auto"/>
        <w:jc w:val="center"/>
        <w:rPr>
          <w:rFonts w:ascii="宋体" w:hAnsi="宋体" w:cs="宋体"/>
          <w:b/>
          <w:color w:val="auto"/>
          <w:sz w:val="32"/>
          <w:szCs w:val="32"/>
        </w:rPr>
      </w:pPr>
      <w:r>
        <w:rPr>
          <w:rFonts w:hint="eastAsia" w:ascii="宋体" w:hAnsi="宋体" w:cs="宋体"/>
          <w:bCs/>
          <w:color w:val="auto"/>
          <w:sz w:val="24"/>
        </w:rPr>
        <w:t>（法定代表人来磋商的，此表不用）</w:t>
      </w:r>
    </w:p>
    <w:p>
      <w:pPr>
        <w:snapToGrid w:val="0"/>
        <w:spacing w:beforeLines="50" w:after="50"/>
        <w:jc w:val="center"/>
        <w:rPr>
          <w:rFonts w:ascii="宋体" w:hAnsi="宋体" w:cs="宋体"/>
          <w:b/>
          <w:color w:val="auto"/>
          <w:sz w:val="28"/>
          <w:szCs w:val="28"/>
        </w:rPr>
      </w:pPr>
    </w:p>
    <w:p>
      <w:pPr>
        <w:snapToGrid w:val="0"/>
        <w:spacing w:beforeLines="50" w:after="50"/>
        <w:rPr>
          <w:rFonts w:ascii="宋体" w:hAnsi="宋体" w:cs="宋体"/>
          <w:b/>
          <w:bCs/>
          <w:color w:val="auto"/>
          <w:szCs w:val="21"/>
        </w:rPr>
      </w:pPr>
      <w:r>
        <w:rPr>
          <w:rFonts w:hint="eastAsia" w:ascii="宋体" w:hAnsi="宋体" w:cs="宋体"/>
          <w:bCs/>
          <w:color w:val="auto"/>
          <w:szCs w:val="21"/>
        </w:rPr>
        <w:t>致：</w:t>
      </w:r>
      <w:r>
        <w:rPr>
          <w:rFonts w:hint="eastAsia" w:ascii="宋体" w:hAnsi="宋体" w:cs="宋体"/>
          <w:color w:val="auto"/>
          <w:szCs w:val="21"/>
          <w:u w:val="single"/>
        </w:rPr>
        <w:t xml:space="preserve">                 </w:t>
      </w:r>
      <w:r>
        <w:rPr>
          <w:rFonts w:hint="eastAsia" w:ascii="宋体" w:hAnsi="宋体" w:cs="宋体"/>
          <w:color w:val="auto"/>
          <w:szCs w:val="21"/>
        </w:rPr>
        <w:t>（采购单位名称）</w:t>
      </w:r>
      <w:r>
        <w:rPr>
          <w:rFonts w:hint="eastAsia" w:ascii="宋体" w:hAnsi="宋体" w:cs="宋体"/>
          <w:b/>
          <w:bCs/>
          <w:color w:val="auto"/>
          <w:szCs w:val="21"/>
        </w:rPr>
        <w:t xml:space="preserve"> </w:t>
      </w:r>
      <w:r>
        <w:rPr>
          <w:rFonts w:hint="eastAsia" w:ascii="宋体" w:hAnsi="宋体" w:cs="宋体"/>
          <w:color w:val="auto"/>
          <w:szCs w:val="21"/>
        </w:rPr>
        <w:t>：</w:t>
      </w:r>
    </w:p>
    <w:p>
      <w:pPr>
        <w:snapToGrid w:val="0"/>
        <w:spacing w:beforeLines="50" w:after="50" w:line="360" w:lineRule="auto"/>
        <w:ind w:firstLine="630" w:firstLineChars="300"/>
        <w:rPr>
          <w:rFonts w:ascii="宋体" w:hAnsi="宋体" w:cs="宋体"/>
          <w:color w:val="auto"/>
          <w:szCs w:val="21"/>
        </w:rPr>
      </w:pPr>
    </w:p>
    <w:p>
      <w:pPr>
        <w:snapToGrid w:val="0"/>
        <w:spacing w:beforeLines="50" w:after="50" w:line="360" w:lineRule="auto"/>
        <w:ind w:firstLine="420" w:firstLineChars="200"/>
        <w:rPr>
          <w:rFonts w:ascii="宋体" w:hAnsi="宋体" w:cs="宋体"/>
          <w:color w:val="auto"/>
          <w:szCs w:val="21"/>
        </w:rPr>
      </w:pPr>
      <w:r>
        <w:rPr>
          <w:rFonts w:hint="eastAsia" w:ascii="宋体" w:hAnsi="宋体" w:cs="宋体"/>
          <w:color w:val="auto"/>
          <w:szCs w:val="21"/>
        </w:rPr>
        <w:t>我</w:t>
      </w:r>
      <w:r>
        <w:rPr>
          <w:rFonts w:hint="eastAsia" w:ascii="宋体" w:hAnsi="宋体" w:cs="宋体"/>
          <w:color w:val="auto"/>
          <w:szCs w:val="21"/>
          <w:u w:val="single"/>
        </w:rPr>
        <w:t xml:space="preserve">             </w:t>
      </w:r>
      <w:r>
        <w:rPr>
          <w:rFonts w:hint="eastAsia" w:ascii="宋体" w:hAnsi="宋体" w:cs="宋体"/>
          <w:color w:val="auto"/>
          <w:szCs w:val="21"/>
        </w:rPr>
        <w:t>（姓名）系</w:t>
      </w:r>
      <w:r>
        <w:rPr>
          <w:rFonts w:hint="eastAsia" w:ascii="宋体" w:hAnsi="宋体" w:cs="宋体"/>
          <w:color w:val="auto"/>
          <w:szCs w:val="21"/>
          <w:u w:val="single"/>
        </w:rPr>
        <w:t xml:space="preserve">                 </w:t>
      </w:r>
      <w:r>
        <w:rPr>
          <w:rFonts w:hint="eastAsia" w:ascii="宋体" w:hAnsi="宋体" w:cs="宋体"/>
          <w:color w:val="auto"/>
          <w:szCs w:val="21"/>
        </w:rPr>
        <w:t xml:space="preserve">（供应商名称）的法定代表人，现授权委托本单位在职职工 </w:t>
      </w:r>
      <w:r>
        <w:rPr>
          <w:rFonts w:hint="eastAsia" w:ascii="宋体" w:hAnsi="宋体" w:cs="宋体"/>
          <w:color w:val="auto"/>
          <w:szCs w:val="21"/>
          <w:u w:val="single"/>
        </w:rPr>
        <w:t xml:space="preserve">              </w:t>
      </w:r>
      <w:r>
        <w:rPr>
          <w:rFonts w:hint="eastAsia" w:ascii="宋体" w:hAnsi="宋体" w:cs="宋体"/>
          <w:color w:val="auto"/>
          <w:szCs w:val="21"/>
        </w:rPr>
        <w:t>（姓名）以我方的名义参加</w:t>
      </w:r>
      <w:r>
        <w:rPr>
          <w:rFonts w:hint="eastAsia" w:ascii="宋体" w:hAnsi="宋体" w:cs="宋体"/>
          <w:color w:val="auto"/>
          <w:szCs w:val="21"/>
          <w:u w:val="single"/>
        </w:rPr>
        <w:t xml:space="preserve">               </w:t>
      </w:r>
      <w:r>
        <w:rPr>
          <w:rFonts w:hint="eastAsia" w:ascii="宋体" w:hAnsi="宋体" w:cs="宋体"/>
          <w:color w:val="auto"/>
          <w:szCs w:val="21"/>
        </w:rPr>
        <w:t>项目的磋商活动，并代表我方全权办理针对上述项目的磋商、评审、签约等具体事务和签署相关文件。</w:t>
      </w:r>
    </w:p>
    <w:p>
      <w:pPr>
        <w:snapToGrid w:val="0"/>
        <w:spacing w:beforeLines="50" w:after="50" w:line="360" w:lineRule="auto"/>
        <w:rPr>
          <w:rFonts w:ascii="宋体" w:hAnsi="宋体" w:cs="宋体"/>
          <w:color w:val="auto"/>
          <w:szCs w:val="21"/>
        </w:rPr>
      </w:pPr>
      <w:r>
        <w:rPr>
          <w:rFonts w:hint="eastAsia" w:ascii="宋体" w:hAnsi="宋体" w:cs="宋体"/>
          <w:color w:val="auto"/>
          <w:szCs w:val="21"/>
        </w:rPr>
        <w:t xml:space="preserve">    我方对被授权人的签名事项负全部责任。</w:t>
      </w:r>
    </w:p>
    <w:p>
      <w:pPr>
        <w:snapToGrid w:val="0"/>
        <w:spacing w:beforeLines="50" w:after="50" w:line="360" w:lineRule="auto"/>
        <w:ind w:firstLine="420" w:firstLineChars="200"/>
        <w:rPr>
          <w:rFonts w:ascii="宋体" w:hAnsi="宋体" w:cs="宋体"/>
          <w:color w:val="auto"/>
          <w:szCs w:val="21"/>
        </w:rPr>
      </w:pPr>
      <w:r>
        <w:rPr>
          <w:rFonts w:hint="eastAsia" w:ascii="宋体" w:hAnsi="宋体" w:cs="宋体"/>
          <w:color w:val="auto"/>
          <w:szCs w:val="21"/>
          <w:u w:val="single"/>
        </w:rPr>
        <w:t>在撤销授权的书面通知以前，本授权书一直有效。</w:t>
      </w:r>
      <w:r>
        <w:rPr>
          <w:rFonts w:hint="eastAsia" w:ascii="宋体" w:hAnsi="宋体" w:cs="宋体"/>
          <w:color w:val="auto"/>
          <w:szCs w:val="21"/>
        </w:rPr>
        <w:t>被授权人在授权书有效期内签署的所有文件不因授权的撤销而失效。</w:t>
      </w:r>
    </w:p>
    <w:p>
      <w:pPr>
        <w:snapToGrid w:val="0"/>
        <w:spacing w:beforeLines="50" w:after="50" w:line="360" w:lineRule="auto"/>
        <w:ind w:firstLine="420" w:firstLineChars="200"/>
        <w:rPr>
          <w:rFonts w:ascii="宋体" w:hAnsi="宋体" w:cs="宋体"/>
          <w:color w:val="auto"/>
          <w:szCs w:val="21"/>
        </w:rPr>
      </w:pPr>
      <w:r>
        <w:rPr>
          <w:rFonts w:hint="eastAsia" w:ascii="宋体" w:hAnsi="宋体" w:cs="宋体"/>
          <w:color w:val="auto"/>
          <w:szCs w:val="21"/>
        </w:rPr>
        <w:t>被授权人无转委托权，特此委托。</w:t>
      </w:r>
    </w:p>
    <w:p>
      <w:pPr>
        <w:snapToGrid w:val="0"/>
        <w:spacing w:beforeLines="50" w:after="50"/>
        <w:rPr>
          <w:rFonts w:ascii="宋体" w:hAnsi="宋体" w:cs="宋体"/>
          <w:color w:val="auto"/>
          <w:szCs w:val="21"/>
        </w:rPr>
      </w:pPr>
    </w:p>
    <w:p>
      <w:pPr>
        <w:snapToGrid w:val="0"/>
        <w:spacing w:beforeLines="50" w:after="50"/>
        <w:rPr>
          <w:rFonts w:ascii="宋体" w:hAnsi="宋体" w:cs="宋体"/>
          <w:color w:val="auto"/>
          <w:szCs w:val="21"/>
        </w:rPr>
      </w:pPr>
    </w:p>
    <w:p>
      <w:pPr>
        <w:snapToGrid w:val="0"/>
        <w:spacing w:beforeLines="50" w:after="50"/>
        <w:rPr>
          <w:rFonts w:ascii="宋体" w:hAnsi="宋体" w:cs="宋体"/>
          <w:color w:val="auto"/>
          <w:szCs w:val="21"/>
        </w:rPr>
      </w:pPr>
    </w:p>
    <w:p>
      <w:pPr>
        <w:snapToGrid w:val="0"/>
        <w:spacing w:beforeLines="50" w:after="50"/>
        <w:rPr>
          <w:rFonts w:ascii="宋体" w:hAnsi="宋体" w:cs="宋体"/>
          <w:color w:val="auto"/>
          <w:szCs w:val="21"/>
          <w:u w:val="single"/>
        </w:rPr>
      </w:pPr>
      <w:r>
        <w:rPr>
          <w:rFonts w:hint="eastAsia" w:ascii="宋体" w:hAnsi="宋体" w:cs="宋体"/>
          <w:color w:val="auto"/>
          <w:szCs w:val="21"/>
        </w:rPr>
        <w:t>被授权人签名：</w:t>
      </w:r>
      <w:r>
        <w:rPr>
          <w:rFonts w:hint="eastAsia" w:ascii="宋体" w:hAnsi="宋体" w:cs="宋体"/>
          <w:color w:val="auto"/>
          <w:szCs w:val="21"/>
          <w:u w:val="single"/>
        </w:rPr>
        <w:t xml:space="preserve">          </w:t>
      </w:r>
      <w:r>
        <w:rPr>
          <w:rFonts w:hint="eastAsia" w:ascii="宋体" w:hAnsi="宋体" w:cs="宋体"/>
          <w:color w:val="auto"/>
          <w:szCs w:val="21"/>
        </w:rPr>
        <w:t xml:space="preserve">                 法定代表人签名：</w:t>
      </w:r>
      <w:r>
        <w:rPr>
          <w:rFonts w:hint="eastAsia" w:ascii="宋体" w:hAnsi="宋体" w:cs="宋体"/>
          <w:color w:val="auto"/>
          <w:szCs w:val="21"/>
          <w:u w:val="single"/>
        </w:rPr>
        <w:t xml:space="preserve">          </w:t>
      </w:r>
    </w:p>
    <w:p>
      <w:pPr>
        <w:snapToGrid w:val="0"/>
        <w:spacing w:beforeLines="50" w:after="50"/>
        <w:ind w:firstLine="840" w:firstLineChars="400"/>
        <w:rPr>
          <w:rFonts w:ascii="宋体" w:hAnsi="宋体" w:cs="宋体"/>
          <w:color w:val="auto"/>
          <w:szCs w:val="21"/>
        </w:rPr>
      </w:pPr>
      <w:r>
        <w:rPr>
          <w:rFonts w:hint="eastAsia" w:ascii="宋体" w:hAnsi="宋体" w:cs="宋体"/>
          <w:color w:val="auto"/>
          <w:szCs w:val="21"/>
        </w:rPr>
        <w:t>职务：</w:t>
      </w:r>
      <w:r>
        <w:rPr>
          <w:rFonts w:hint="eastAsia" w:ascii="宋体" w:hAnsi="宋体" w:cs="宋体"/>
          <w:color w:val="auto"/>
          <w:szCs w:val="21"/>
          <w:u w:val="single"/>
        </w:rPr>
        <w:t xml:space="preserve">           </w:t>
      </w:r>
      <w:r>
        <w:rPr>
          <w:rFonts w:hint="eastAsia" w:ascii="宋体" w:hAnsi="宋体" w:cs="宋体"/>
          <w:color w:val="auto"/>
          <w:szCs w:val="21"/>
        </w:rPr>
        <w:t xml:space="preserve">                          职务：</w:t>
      </w:r>
      <w:r>
        <w:rPr>
          <w:rFonts w:hint="eastAsia" w:ascii="宋体" w:hAnsi="宋体" w:cs="宋体"/>
          <w:color w:val="auto"/>
          <w:szCs w:val="21"/>
          <w:u w:val="single"/>
        </w:rPr>
        <w:t xml:space="preserve">           </w:t>
      </w:r>
    </w:p>
    <w:p>
      <w:pPr>
        <w:snapToGrid w:val="0"/>
        <w:spacing w:beforeLines="50" w:after="50"/>
        <w:rPr>
          <w:rFonts w:ascii="宋体" w:hAnsi="宋体" w:cs="宋体"/>
          <w:color w:val="auto"/>
          <w:szCs w:val="21"/>
        </w:rPr>
      </w:pPr>
      <w:r>
        <w:rPr>
          <w:rFonts w:hint="eastAsia" w:ascii="宋体" w:hAnsi="宋体" w:cs="宋体"/>
          <w:color w:val="auto"/>
          <w:szCs w:val="21"/>
        </w:rPr>
        <w:t>被授权人身份证号码：</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napToGrid w:val="0"/>
        <w:spacing w:beforeLines="50" w:after="50"/>
        <w:rPr>
          <w:rFonts w:ascii="宋体" w:hAnsi="宋体" w:cs="宋体"/>
          <w:color w:val="auto"/>
          <w:szCs w:val="21"/>
        </w:rPr>
      </w:pPr>
      <w:r>
        <w:rPr>
          <w:rFonts w:hint="eastAsia" w:ascii="宋体" w:hAnsi="宋体" w:cs="宋体"/>
          <w:color w:val="auto"/>
          <w:szCs w:val="21"/>
        </w:rPr>
        <w:t xml:space="preserve">                                   </w:t>
      </w:r>
    </w:p>
    <w:p>
      <w:pPr>
        <w:snapToGrid w:val="0"/>
        <w:spacing w:beforeLines="50" w:after="50"/>
        <w:ind w:firstLine="5460" w:firstLineChars="2600"/>
        <w:rPr>
          <w:rFonts w:ascii="宋体" w:hAnsi="宋体" w:cs="宋体"/>
          <w:color w:val="auto"/>
          <w:szCs w:val="21"/>
        </w:rPr>
      </w:pPr>
      <w:r>
        <w:rPr>
          <w:rFonts w:hint="eastAsia" w:ascii="宋体" w:hAnsi="宋体" w:cs="宋体"/>
          <w:color w:val="auto"/>
          <w:szCs w:val="21"/>
        </w:rPr>
        <w:t xml:space="preserve">  供应商盖章（公章）：</w:t>
      </w:r>
    </w:p>
    <w:p>
      <w:pPr>
        <w:snapToGrid w:val="0"/>
        <w:spacing w:beforeLines="50" w:after="50"/>
        <w:jc w:val="center"/>
        <w:rPr>
          <w:rFonts w:ascii="宋体" w:hAnsi="宋体" w:cs="宋体"/>
          <w:color w:val="auto"/>
          <w:szCs w:val="21"/>
        </w:rPr>
      </w:pPr>
      <w:r>
        <w:rPr>
          <w:rFonts w:hint="eastAsia" w:ascii="宋体" w:hAnsi="宋体" w:cs="宋体"/>
          <w:color w:val="auto"/>
          <w:szCs w:val="21"/>
        </w:rPr>
        <w:t xml:space="preserve">                                        年    月    日</w:t>
      </w:r>
    </w:p>
    <w:p>
      <w:pPr>
        <w:snapToGrid w:val="0"/>
        <w:spacing w:beforeLines="50" w:after="50"/>
        <w:ind w:firstLine="3150" w:firstLineChars="1500"/>
        <w:rPr>
          <w:rFonts w:ascii="宋体" w:hAnsi="宋体" w:cs="宋体"/>
          <w:color w:val="auto"/>
          <w:szCs w:val="21"/>
        </w:rPr>
      </w:pPr>
    </w:p>
    <w:p>
      <w:pPr>
        <w:snapToGrid w:val="0"/>
        <w:spacing w:before="50" w:afterLines="50"/>
        <w:jc w:val="left"/>
        <w:rPr>
          <w:rFonts w:ascii="宋体" w:hAnsi="宋体" w:cs="宋体"/>
          <w:color w:val="auto"/>
          <w:szCs w:val="21"/>
        </w:rPr>
      </w:pPr>
    </w:p>
    <w:p>
      <w:pPr>
        <w:snapToGrid w:val="0"/>
        <w:spacing w:before="50" w:afterLines="50"/>
        <w:jc w:val="left"/>
        <w:rPr>
          <w:rFonts w:ascii="宋体" w:hAnsi="宋体" w:cs="宋体"/>
          <w:color w:val="auto"/>
          <w:szCs w:val="21"/>
        </w:rPr>
      </w:pPr>
    </w:p>
    <w:p>
      <w:pPr>
        <w:rPr>
          <w:rFonts w:ascii="宋体" w:hAnsi="宋体" w:cs="宋体"/>
          <w:color w:val="auto"/>
        </w:rPr>
      </w:pPr>
      <w:r>
        <w:rPr>
          <w:rFonts w:hint="eastAsia" w:ascii="宋体" w:hAnsi="宋体" w:cs="宋体"/>
          <w:b/>
          <w:bCs/>
          <w:color w:val="auto"/>
        </w:rPr>
        <w:t>附被授权代表身份证复印件（正反面）及被授权代表在开标前二个月内任一月的养老保险缴纳证明资料</w:t>
      </w:r>
    </w:p>
    <w:p>
      <w:pPr>
        <w:snapToGrid w:val="0"/>
        <w:spacing w:before="50" w:afterLines="50"/>
        <w:jc w:val="left"/>
        <w:rPr>
          <w:rFonts w:ascii="宋体" w:hAnsi="宋体" w:cs="宋体"/>
          <w:color w:val="auto"/>
          <w:szCs w:val="21"/>
        </w:rPr>
      </w:pPr>
    </w:p>
    <w:p>
      <w:pPr>
        <w:snapToGrid w:val="0"/>
        <w:spacing w:before="50" w:afterLines="50"/>
        <w:jc w:val="left"/>
        <w:rPr>
          <w:rFonts w:ascii="宋体" w:hAnsi="宋体" w:cs="宋体"/>
          <w:color w:val="auto"/>
          <w:szCs w:val="21"/>
        </w:rPr>
      </w:pPr>
    </w:p>
    <w:p>
      <w:pPr>
        <w:snapToGrid w:val="0"/>
        <w:spacing w:before="50" w:afterLines="50"/>
        <w:jc w:val="left"/>
        <w:rPr>
          <w:rFonts w:ascii="宋体" w:hAnsi="宋体" w:cs="宋体"/>
          <w:color w:val="auto"/>
          <w:szCs w:val="21"/>
        </w:rPr>
      </w:pPr>
    </w:p>
    <w:p>
      <w:pPr>
        <w:spacing w:line="480" w:lineRule="exact"/>
        <w:jc w:val="center"/>
        <w:rPr>
          <w:rFonts w:ascii="宋体" w:hAnsi="宋体" w:cs="宋体"/>
          <w:b/>
          <w:color w:val="auto"/>
          <w:sz w:val="30"/>
        </w:rPr>
      </w:pPr>
      <w:r>
        <w:rPr>
          <w:rFonts w:hint="eastAsia" w:ascii="宋体" w:hAnsi="宋体" w:cs="宋体"/>
          <w:b/>
          <w:color w:val="auto"/>
          <w:sz w:val="30"/>
        </w:rPr>
        <w:t>法定代表人身份证明书</w:t>
      </w:r>
    </w:p>
    <w:p>
      <w:pPr>
        <w:spacing w:line="480" w:lineRule="exact"/>
        <w:jc w:val="center"/>
        <w:rPr>
          <w:rFonts w:ascii="宋体" w:hAnsi="宋体" w:cs="宋体"/>
          <w:b/>
          <w:color w:val="auto"/>
          <w:sz w:val="28"/>
        </w:rPr>
      </w:pPr>
    </w:p>
    <w:p>
      <w:pPr>
        <w:spacing w:line="960" w:lineRule="exact"/>
        <w:rPr>
          <w:rFonts w:ascii="宋体" w:hAnsi="宋体" w:cs="宋体"/>
          <w:color w:val="auto"/>
          <w:sz w:val="24"/>
          <w:u w:val="single"/>
        </w:rPr>
      </w:pPr>
      <w:r>
        <w:rPr>
          <w:rFonts w:hint="eastAsia" w:ascii="宋体" w:hAnsi="宋体" w:cs="宋体"/>
          <w:color w:val="auto"/>
          <w:sz w:val="24"/>
        </w:rPr>
        <w:t>单位名称：</w:t>
      </w:r>
      <w:r>
        <w:rPr>
          <w:rFonts w:hint="eastAsia" w:ascii="宋体" w:hAnsi="宋体" w:cs="宋体"/>
          <w:color w:val="auto"/>
          <w:sz w:val="24"/>
          <w:u w:val="single"/>
        </w:rPr>
        <w:t xml:space="preserve">                                                              </w:t>
      </w:r>
    </w:p>
    <w:p>
      <w:pPr>
        <w:spacing w:line="960" w:lineRule="exact"/>
        <w:rPr>
          <w:rFonts w:ascii="宋体" w:hAnsi="宋体" w:cs="宋体"/>
          <w:color w:val="auto"/>
          <w:sz w:val="24"/>
          <w:u w:val="single"/>
        </w:rPr>
      </w:pPr>
      <w:r>
        <w:rPr>
          <w:rFonts w:hint="eastAsia" w:ascii="宋体" w:hAnsi="宋体" w:cs="宋体"/>
          <w:color w:val="auto"/>
          <w:sz w:val="24"/>
        </w:rPr>
        <w:t>单位性质：</w:t>
      </w:r>
      <w:r>
        <w:rPr>
          <w:rFonts w:hint="eastAsia" w:ascii="宋体" w:hAnsi="宋体" w:cs="宋体"/>
          <w:color w:val="auto"/>
          <w:sz w:val="24"/>
          <w:u w:val="single"/>
        </w:rPr>
        <w:t xml:space="preserve">                                                              </w:t>
      </w:r>
    </w:p>
    <w:p>
      <w:pPr>
        <w:spacing w:line="960" w:lineRule="exact"/>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single"/>
        </w:rPr>
        <w:t xml:space="preserve">                                                              </w:t>
      </w:r>
    </w:p>
    <w:p>
      <w:pPr>
        <w:spacing w:line="960" w:lineRule="exact"/>
        <w:rPr>
          <w:rFonts w:ascii="宋体" w:hAnsi="宋体" w:cs="宋体"/>
          <w:color w:val="auto"/>
          <w:sz w:val="24"/>
        </w:rPr>
      </w:pPr>
      <w:r>
        <w:rPr>
          <w:rFonts w:hint="eastAsia" w:ascii="宋体" w:hAnsi="宋体" w:cs="宋体"/>
          <w:color w:val="auto"/>
          <w:sz w:val="24"/>
        </w:rPr>
        <w:t>成立时间：</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960" w:lineRule="exact"/>
        <w:rPr>
          <w:rFonts w:ascii="宋体" w:hAnsi="宋体" w:cs="宋体"/>
          <w:color w:val="auto"/>
          <w:sz w:val="24"/>
          <w:u w:val="single"/>
        </w:rPr>
      </w:pPr>
      <w:r>
        <w:rPr>
          <w:rFonts w:hint="eastAsia" w:ascii="宋体" w:hAnsi="宋体" w:cs="宋体"/>
          <w:color w:val="auto"/>
          <w:sz w:val="24"/>
        </w:rPr>
        <w:t>经营期限：</w:t>
      </w:r>
      <w:r>
        <w:rPr>
          <w:rFonts w:hint="eastAsia" w:ascii="宋体" w:hAnsi="宋体" w:cs="宋体"/>
          <w:color w:val="auto"/>
          <w:sz w:val="24"/>
          <w:u w:val="single"/>
        </w:rPr>
        <w:t xml:space="preserve">                                                             </w:t>
      </w:r>
    </w:p>
    <w:p>
      <w:pPr>
        <w:spacing w:line="960" w:lineRule="exact"/>
        <w:rPr>
          <w:rFonts w:ascii="宋体" w:hAnsi="宋体" w:cs="宋体"/>
          <w:color w:val="auto"/>
          <w:sz w:val="24"/>
          <w:u w:val="single"/>
        </w:rPr>
      </w:pPr>
      <w:r>
        <w:rPr>
          <w:rFonts w:hint="eastAsia" w:ascii="宋体" w:hAnsi="宋体" w:cs="宋体"/>
          <w:color w:val="auto"/>
          <w:sz w:val="24"/>
        </w:rPr>
        <w:t>姓    名：</w:t>
      </w:r>
      <w:r>
        <w:rPr>
          <w:rFonts w:hint="eastAsia" w:ascii="宋体" w:hAnsi="宋体" w:cs="宋体"/>
          <w:color w:val="auto"/>
          <w:sz w:val="24"/>
          <w:u w:val="single"/>
        </w:rPr>
        <w:t xml:space="preserve">            </w:t>
      </w:r>
      <w:r>
        <w:rPr>
          <w:rFonts w:hint="eastAsia" w:ascii="宋体" w:hAnsi="宋体" w:cs="宋体"/>
          <w:color w:val="auto"/>
          <w:sz w:val="24"/>
        </w:rPr>
        <w:t xml:space="preserve">  性别：</w:t>
      </w:r>
      <w:r>
        <w:rPr>
          <w:rFonts w:hint="eastAsia" w:ascii="宋体" w:hAnsi="宋体" w:cs="宋体"/>
          <w:color w:val="auto"/>
          <w:sz w:val="24"/>
          <w:u w:val="single"/>
        </w:rPr>
        <w:t xml:space="preserve">         </w:t>
      </w:r>
      <w:r>
        <w:rPr>
          <w:rFonts w:hint="eastAsia" w:ascii="宋体" w:hAnsi="宋体" w:cs="宋体"/>
          <w:color w:val="auto"/>
          <w:sz w:val="24"/>
        </w:rPr>
        <w:t xml:space="preserve"> 年龄：</w:t>
      </w:r>
      <w:r>
        <w:rPr>
          <w:rFonts w:hint="eastAsia" w:ascii="宋体" w:hAnsi="宋体" w:cs="宋体"/>
          <w:color w:val="auto"/>
          <w:sz w:val="24"/>
          <w:u w:val="single"/>
        </w:rPr>
        <w:t xml:space="preserve">          </w:t>
      </w:r>
      <w:r>
        <w:rPr>
          <w:rFonts w:hint="eastAsia" w:ascii="宋体" w:hAnsi="宋体" w:cs="宋体"/>
          <w:color w:val="auto"/>
          <w:sz w:val="24"/>
        </w:rPr>
        <w:t xml:space="preserve"> 职务：</w:t>
      </w:r>
      <w:r>
        <w:rPr>
          <w:rFonts w:hint="eastAsia" w:ascii="宋体" w:hAnsi="宋体" w:cs="宋体"/>
          <w:color w:val="auto"/>
          <w:sz w:val="24"/>
          <w:u w:val="single"/>
        </w:rPr>
        <w:t xml:space="preserve">         </w:t>
      </w:r>
    </w:p>
    <w:p>
      <w:pPr>
        <w:spacing w:line="960" w:lineRule="exact"/>
        <w:rPr>
          <w:rFonts w:ascii="宋体" w:hAnsi="宋体" w:cs="宋体"/>
          <w:color w:val="auto"/>
          <w:sz w:val="24"/>
        </w:rPr>
      </w:pPr>
      <w:r>
        <w:rPr>
          <w:rFonts w:hint="eastAsia" w:ascii="宋体" w:hAnsi="宋体" w:cs="宋体"/>
          <w:color w:val="auto"/>
          <w:sz w:val="24"/>
        </w:rPr>
        <w:t xml:space="preserve">系 </w:t>
      </w:r>
      <w:r>
        <w:rPr>
          <w:rFonts w:hint="eastAsia" w:ascii="宋体" w:hAnsi="宋体" w:cs="宋体"/>
          <w:color w:val="auto"/>
          <w:sz w:val="24"/>
          <w:u w:val="single"/>
        </w:rPr>
        <w:t xml:space="preserve">           (报价单位名称)                     </w:t>
      </w:r>
      <w:r>
        <w:rPr>
          <w:rFonts w:hint="eastAsia" w:ascii="宋体" w:hAnsi="宋体" w:cs="宋体"/>
          <w:color w:val="auto"/>
          <w:sz w:val="24"/>
        </w:rPr>
        <w:t>的法定代表人。</w:t>
      </w:r>
    </w:p>
    <w:p>
      <w:pPr>
        <w:spacing w:line="960" w:lineRule="exact"/>
        <w:rPr>
          <w:rFonts w:ascii="宋体" w:hAnsi="宋体" w:cs="宋体"/>
          <w:color w:val="auto"/>
          <w:sz w:val="24"/>
        </w:rPr>
      </w:pPr>
    </w:p>
    <w:p>
      <w:pPr>
        <w:spacing w:line="960" w:lineRule="exact"/>
        <w:rPr>
          <w:rFonts w:ascii="宋体" w:hAnsi="宋体" w:cs="宋体"/>
          <w:color w:val="auto"/>
          <w:sz w:val="24"/>
        </w:rPr>
      </w:pPr>
      <w:r>
        <w:rPr>
          <w:rFonts w:hint="eastAsia" w:ascii="宋体" w:hAnsi="宋体" w:cs="宋体"/>
          <w:color w:val="auto"/>
          <w:sz w:val="24"/>
        </w:rPr>
        <w:t>特此证明。</w:t>
      </w:r>
    </w:p>
    <w:p>
      <w:pPr>
        <w:spacing w:line="960" w:lineRule="exact"/>
        <w:rPr>
          <w:rFonts w:ascii="宋体" w:hAnsi="宋体" w:cs="宋体"/>
          <w:color w:val="auto"/>
          <w:sz w:val="24"/>
          <w:u w:val="single"/>
        </w:rPr>
      </w:pPr>
      <w:r>
        <w:rPr>
          <w:rFonts w:hint="eastAsia" w:ascii="宋体" w:hAnsi="宋体" w:cs="宋体"/>
          <w:color w:val="auto"/>
          <w:sz w:val="24"/>
        </w:rPr>
        <w:t xml:space="preserve">                            供应商盖章：</w:t>
      </w:r>
      <w:r>
        <w:rPr>
          <w:rFonts w:hint="eastAsia" w:ascii="宋体" w:hAnsi="宋体" w:cs="宋体"/>
          <w:color w:val="auto"/>
          <w:sz w:val="24"/>
          <w:u w:val="single"/>
        </w:rPr>
        <w:t xml:space="preserve">               (公章)             </w:t>
      </w:r>
    </w:p>
    <w:p>
      <w:pPr>
        <w:widowControl/>
        <w:jc w:val="left"/>
        <w:rPr>
          <w:rFonts w:ascii="宋体" w:hAnsi="宋体" w:cs="宋体"/>
          <w:color w:val="auto"/>
        </w:rPr>
      </w:pPr>
      <w:r>
        <w:rPr>
          <w:rFonts w:hint="eastAsia" w:ascii="宋体" w:hAnsi="宋体" w:cs="宋体"/>
          <w:color w:val="auto"/>
          <w:sz w:val="24"/>
        </w:rPr>
        <w:t xml:space="preserve">                            日  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napToGrid w:val="0"/>
        <w:spacing w:before="50" w:afterLines="50"/>
        <w:jc w:val="left"/>
        <w:rPr>
          <w:rFonts w:ascii="宋体" w:hAnsi="宋体" w:cs="宋体"/>
          <w:b/>
          <w:bCs/>
          <w:color w:val="auto"/>
          <w:sz w:val="30"/>
          <w:szCs w:val="30"/>
        </w:rPr>
      </w:pPr>
    </w:p>
    <w:p>
      <w:pPr>
        <w:snapToGrid w:val="0"/>
        <w:spacing w:line="360" w:lineRule="auto"/>
        <w:jc w:val="left"/>
        <w:rPr>
          <w:rFonts w:ascii="宋体" w:hAnsi="宋体" w:cs="宋体"/>
          <w:color w:val="auto"/>
          <w:szCs w:val="21"/>
        </w:rPr>
      </w:pPr>
      <w:r>
        <w:rPr>
          <w:rFonts w:hint="eastAsia" w:ascii="宋体" w:hAnsi="宋体" w:cs="宋体"/>
          <w:b/>
          <w:color w:val="auto"/>
          <w:szCs w:val="21"/>
        </w:rPr>
        <w:t>附法定代表人身份证复印件（正反面）：</w:t>
      </w:r>
    </w:p>
    <w:p>
      <w:pPr>
        <w:snapToGrid w:val="0"/>
        <w:spacing w:line="360" w:lineRule="auto"/>
        <w:jc w:val="left"/>
        <w:rPr>
          <w:rFonts w:ascii="宋体" w:hAnsi="宋体" w:cs="宋体"/>
          <w:color w:val="auto"/>
          <w:szCs w:val="21"/>
        </w:rPr>
      </w:pPr>
      <w:r>
        <w:rPr>
          <w:rFonts w:hint="eastAsia" w:ascii="宋体" w:hAnsi="宋体" w:cs="宋体"/>
          <w:color w:val="auto"/>
          <w:szCs w:val="21"/>
        </w:rPr>
        <w:br w:type="page"/>
      </w:r>
      <w:r>
        <w:rPr>
          <w:rFonts w:hint="eastAsia" w:ascii="宋体" w:hAnsi="宋体" w:cs="宋体"/>
          <w:color w:val="auto"/>
          <w:szCs w:val="21"/>
        </w:rPr>
        <w:t>6、主要商务条款响应表；</w:t>
      </w:r>
    </w:p>
    <w:p>
      <w:pPr>
        <w:spacing w:line="360" w:lineRule="auto"/>
        <w:jc w:val="center"/>
        <w:rPr>
          <w:rFonts w:ascii="宋体" w:hAnsi="宋体" w:cs="宋体"/>
          <w:b/>
          <w:color w:val="auto"/>
          <w:spacing w:val="20"/>
          <w:sz w:val="28"/>
          <w:szCs w:val="32"/>
        </w:rPr>
      </w:pPr>
      <w:r>
        <w:rPr>
          <w:rFonts w:hint="eastAsia" w:ascii="宋体" w:hAnsi="宋体" w:cs="宋体"/>
          <w:b/>
          <w:color w:val="auto"/>
          <w:spacing w:val="20"/>
          <w:sz w:val="28"/>
          <w:szCs w:val="32"/>
        </w:rPr>
        <w:t>商务条款响应（偏离）表</w:t>
      </w:r>
    </w:p>
    <w:p>
      <w:pPr>
        <w:spacing w:line="360" w:lineRule="auto"/>
        <w:ind w:left="540"/>
        <w:jc w:val="center"/>
        <w:rPr>
          <w:rFonts w:ascii="宋体" w:hAnsi="宋体" w:cs="宋体"/>
          <w:b/>
          <w:color w:val="auto"/>
          <w:sz w:val="28"/>
          <w:szCs w:val="30"/>
        </w:rPr>
      </w:pPr>
    </w:p>
    <w:p>
      <w:pPr>
        <w:snapToGrid w:val="0"/>
        <w:spacing w:before="50" w:after="50"/>
        <w:ind w:firstLine="210" w:firstLineChars="100"/>
        <w:rPr>
          <w:rFonts w:ascii="宋体" w:hAnsi="宋体" w:cs="宋体"/>
          <w:color w:val="auto"/>
          <w:szCs w:val="21"/>
          <w:u w:val="single"/>
        </w:rPr>
      </w:pPr>
      <w:r>
        <w:rPr>
          <w:rFonts w:hint="eastAsia" w:ascii="宋体" w:hAnsi="宋体" w:cs="宋体"/>
          <w:color w:val="auto"/>
          <w:szCs w:val="21"/>
        </w:rPr>
        <w:t>项目编号：</w:t>
      </w:r>
      <w:r>
        <w:rPr>
          <w:rFonts w:hint="eastAsia" w:ascii="宋体" w:hAnsi="宋体" w:cs="宋体"/>
          <w:color w:val="auto"/>
          <w:szCs w:val="21"/>
          <w:u w:val="single"/>
        </w:rPr>
        <w:t xml:space="preserve">         </w:t>
      </w:r>
      <w:r>
        <w:rPr>
          <w:rFonts w:hint="eastAsia" w:ascii="宋体" w:hAnsi="宋体" w:cs="宋体"/>
          <w:color w:val="auto"/>
          <w:szCs w:val="21"/>
        </w:rPr>
        <w:t>项目名称：</w:t>
      </w:r>
      <w:r>
        <w:rPr>
          <w:rFonts w:hint="eastAsia" w:ascii="宋体" w:hAnsi="宋体" w:cs="宋体"/>
          <w:color w:val="auto"/>
          <w:szCs w:val="21"/>
          <w:u w:val="single"/>
        </w:rPr>
        <w:t xml:space="preserve">                   </w:t>
      </w:r>
    </w:p>
    <w:p>
      <w:pPr>
        <w:pStyle w:val="58"/>
        <w:ind w:left="0" w:firstLine="210" w:firstLineChars="100"/>
        <w:rPr>
          <w:color w:val="auto"/>
        </w:rPr>
      </w:pPr>
      <w:r>
        <w:rPr>
          <w:rFonts w:hint="eastAsia" w:hAnsi="宋体" w:cs="宋体"/>
          <w:color w:val="auto"/>
          <w:szCs w:val="21"/>
        </w:rPr>
        <w:t>标项：</w:t>
      </w:r>
    </w:p>
    <w:tbl>
      <w:tblPr>
        <w:tblStyle w:val="45"/>
        <w:tblpPr w:leftFromText="180" w:rightFromText="180" w:vertAnchor="text" w:horzAnchor="page" w:tblpX="1517" w:tblpY="354"/>
        <w:tblW w:w="902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1638"/>
        <w:gridCol w:w="2322"/>
        <w:gridCol w:w="2700"/>
        <w:gridCol w:w="13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jc w:val="center"/>
              <w:rPr>
                <w:rFonts w:ascii="宋体" w:hAnsi="宋体" w:cs="宋体"/>
                <w:color w:val="auto"/>
                <w:spacing w:val="20"/>
                <w:szCs w:val="21"/>
              </w:rPr>
            </w:pPr>
            <w:r>
              <w:rPr>
                <w:rFonts w:hint="eastAsia" w:ascii="宋体" w:hAnsi="宋体" w:cs="宋体"/>
                <w:color w:val="auto"/>
                <w:spacing w:val="20"/>
                <w:szCs w:val="21"/>
              </w:rPr>
              <w:t>序号</w:t>
            </w:r>
          </w:p>
        </w:tc>
        <w:tc>
          <w:tcPr>
            <w:tcW w:w="1638" w:type="dxa"/>
            <w:vAlign w:val="center"/>
          </w:tcPr>
          <w:p>
            <w:pPr>
              <w:adjustRightInd w:val="0"/>
              <w:snapToGrid w:val="0"/>
              <w:jc w:val="center"/>
              <w:rPr>
                <w:rFonts w:ascii="宋体" w:hAnsi="宋体" w:cs="宋体"/>
                <w:color w:val="auto"/>
                <w:spacing w:val="20"/>
                <w:szCs w:val="21"/>
              </w:rPr>
            </w:pPr>
            <w:r>
              <w:rPr>
                <w:rFonts w:hint="eastAsia" w:ascii="宋体" w:hAnsi="宋体" w:cs="宋体"/>
                <w:color w:val="auto"/>
                <w:spacing w:val="20"/>
                <w:szCs w:val="21"/>
              </w:rPr>
              <w:t>内 容</w:t>
            </w:r>
          </w:p>
        </w:tc>
        <w:tc>
          <w:tcPr>
            <w:tcW w:w="2322" w:type="dxa"/>
            <w:vAlign w:val="center"/>
          </w:tcPr>
          <w:p>
            <w:pPr>
              <w:adjustRightInd w:val="0"/>
              <w:snapToGrid w:val="0"/>
              <w:jc w:val="center"/>
              <w:rPr>
                <w:rFonts w:ascii="宋体" w:hAnsi="宋体" w:cs="宋体"/>
                <w:color w:val="auto"/>
                <w:spacing w:val="20"/>
                <w:szCs w:val="21"/>
              </w:rPr>
            </w:pPr>
            <w:r>
              <w:rPr>
                <w:rFonts w:hint="eastAsia" w:ascii="宋体" w:hAnsi="宋体" w:cs="宋体"/>
                <w:color w:val="auto"/>
                <w:spacing w:val="20"/>
                <w:szCs w:val="21"/>
              </w:rPr>
              <w:t>磋商采购文件要求</w:t>
            </w:r>
          </w:p>
        </w:tc>
        <w:tc>
          <w:tcPr>
            <w:tcW w:w="2700" w:type="dxa"/>
            <w:vAlign w:val="center"/>
          </w:tcPr>
          <w:p>
            <w:pPr>
              <w:adjustRightInd w:val="0"/>
              <w:snapToGrid w:val="0"/>
              <w:jc w:val="center"/>
              <w:rPr>
                <w:rFonts w:ascii="宋体" w:hAnsi="宋体" w:cs="宋体"/>
                <w:color w:val="auto"/>
                <w:spacing w:val="20"/>
                <w:szCs w:val="21"/>
              </w:rPr>
            </w:pPr>
            <w:r>
              <w:rPr>
                <w:rFonts w:hint="eastAsia" w:ascii="宋体" w:hAnsi="宋体" w:cs="宋体"/>
                <w:color w:val="auto"/>
                <w:spacing w:val="20"/>
                <w:szCs w:val="21"/>
              </w:rPr>
              <w:t>响应内容</w:t>
            </w:r>
          </w:p>
        </w:tc>
        <w:tc>
          <w:tcPr>
            <w:tcW w:w="1356" w:type="dxa"/>
            <w:vAlign w:val="center"/>
          </w:tcPr>
          <w:p>
            <w:pPr>
              <w:adjustRightInd w:val="0"/>
              <w:snapToGrid w:val="0"/>
              <w:jc w:val="center"/>
              <w:rPr>
                <w:rFonts w:ascii="宋体" w:hAnsi="宋体" w:cs="宋体"/>
                <w:color w:val="auto"/>
                <w:spacing w:val="20"/>
                <w:szCs w:val="21"/>
              </w:rPr>
            </w:pPr>
            <w:r>
              <w:rPr>
                <w:rFonts w:hint="eastAsia" w:ascii="宋体" w:hAnsi="宋体" w:cs="宋体"/>
                <w:color w:val="auto"/>
                <w:spacing w:val="2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spacing w:line="360" w:lineRule="auto"/>
              <w:jc w:val="center"/>
              <w:rPr>
                <w:rFonts w:ascii="宋体" w:hAnsi="宋体" w:cs="宋体"/>
                <w:color w:val="auto"/>
                <w:spacing w:val="20"/>
                <w:szCs w:val="21"/>
              </w:rPr>
            </w:pPr>
            <w:r>
              <w:rPr>
                <w:rFonts w:hint="eastAsia" w:ascii="宋体" w:hAnsi="宋体" w:cs="宋体"/>
                <w:color w:val="auto"/>
                <w:spacing w:val="20"/>
                <w:szCs w:val="21"/>
              </w:rPr>
              <w:t>1</w:t>
            </w:r>
          </w:p>
        </w:tc>
        <w:tc>
          <w:tcPr>
            <w:tcW w:w="1638" w:type="dxa"/>
            <w:vAlign w:val="center"/>
          </w:tcPr>
          <w:p>
            <w:pPr>
              <w:adjustRightInd w:val="0"/>
              <w:snapToGrid w:val="0"/>
              <w:spacing w:line="360" w:lineRule="auto"/>
              <w:jc w:val="center"/>
              <w:rPr>
                <w:rFonts w:ascii="宋体" w:hAnsi="宋体" w:cs="宋体"/>
                <w:color w:val="auto"/>
                <w:spacing w:val="20"/>
                <w:szCs w:val="21"/>
              </w:rPr>
            </w:pPr>
          </w:p>
        </w:tc>
        <w:tc>
          <w:tcPr>
            <w:tcW w:w="2322" w:type="dxa"/>
            <w:vAlign w:val="center"/>
          </w:tcPr>
          <w:p>
            <w:pPr>
              <w:adjustRightInd w:val="0"/>
              <w:snapToGrid w:val="0"/>
              <w:spacing w:line="360" w:lineRule="auto"/>
              <w:jc w:val="center"/>
              <w:rPr>
                <w:rFonts w:ascii="宋体" w:hAnsi="宋体" w:cs="宋体"/>
                <w:color w:val="auto"/>
                <w:spacing w:val="20"/>
                <w:szCs w:val="21"/>
              </w:rPr>
            </w:pPr>
          </w:p>
        </w:tc>
        <w:tc>
          <w:tcPr>
            <w:tcW w:w="2700" w:type="dxa"/>
            <w:vAlign w:val="center"/>
          </w:tcPr>
          <w:p>
            <w:pPr>
              <w:adjustRightInd w:val="0"/>
              <w:snapToGrid w:val="0"/>
              <w:jc w:val="center"/>
              <w:rPr>
                <w:rFonts w:ascii="宋体" w:hAnsi="宋体" w:cs="宋体"/>
                <w:color w:val="auto"/>
                <w:spacing w:val="20"/>
                <w:szCs w:val="21"/>
              </w:rPr>
            </w:pPr>
          </w:p>
        </w:tc>
        <w:tc>
          <w:tcPr>
            <w:tcW w:w="1356" w:type="dxa"/>
            <w:vAlign w:val="center"/>
          </w:tcPr>
          <w:p>
            <w:pPr>
              <w:adjustRightInd w:val="0"/>
              <w:snapToGrid w:val="0"/>
              <w:jc w:val="center"/>
              <w:rPr>
                <w:rFonts w:ascii="宋体" w:hAnsi="宋体" w:cs="宋体"/>
                <w:color w:val="auto"/>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spacing w:line="360" w:lineRule="auto"/>
              <w:jc w:val="center"/>
              <w:rPr>
                <w:rFonts w:ascii="宋体" w:hAnsi="宋体" w:cs="宋体"/>
                <w:color w:val="auto"/>
                <w:spacing w:val="20"/>
                <w:szCs w:val="21"/>
              </w:rPr>
            </w:pPr>
            <w:r>
              <w:rPr>
                <w:rFonts w:hint="eastAsia" w:ascii="宋体" w:hAnsi="宋体" w:cs="宋体"/>
                <w:color w:val="auto"/>
                <w:spacing w:val="20"/>
                <w:szCs w:val="21"/>
              </w:rPr>
              <w:t>2</w:t>
            </w:r>
          </w:p>
        </w:tc>
        <w:tc>
          <w:tcPr>
            <w:tcW w:w="1638" w:type="dxa"/>
            <w:vAlign w:val="center"/>
          </w:tcPr>
          <w:p>
            <w:pPr>
              <w:adjustRightInd w:val="0"/>
              <w:snapToGrid w:val="0"/>
              <w:spacing w:line="360" w:lineRule="auto"/>
              <w:jc w:val="center"/>
              <w:rPr>
                <w:rFonts w:ascii="宋体" w:hAnsi="宋体" w:cs="宋体"/>
                <w:color w:val="auto"/>
                <w:spacing w:val="20"/>
                <w:szCs w:val="21"/>
              </w:rPr>
            </w:pPr>
          </w:p>
        </w:tc>
        <w:tc>
          <w:tcPr>
            <w:tcW w:w="2322" w:type="dxa"/>
            <w:vAlign w:val="center"/>
          </w:tcPr>
          <w:p>
            <w:pPr>
              <w:adjustRightInd w:val="0"/>
              <w:snapToGrid w:val="0"/>
              <w:spacing w:line="360" w:lineRule="auto"/>
              <w:jc w:val="center"/>
              <w:rPr>
                <w:rFonts w:ascii="宋体" w:hAnsi="宋体" w:cs="宋体"/>
                <w:color w:val="auto"/>
                <w:spacing w:val="20"/>
                <w:szCs w:val="21"/>
              </w:rPr>
            </w:pPr>
          </w:p>
        </w:tc>
        <w:tc>
          <w:tcPr>
            <w:tcW w:w="2700" w:type="dxa"/>
            <w:vAlign w:val="center"/>
          </w:tcPr>
          <w:p>
            <w:pPr>
              <w:adjustRightInd w:val="0"/>
              <w:snapToGrid w:val="0"/>
              <w:jc w:val="center"/>
              <w:rPr>
                <w:rFonts w:ascii="宋体" w:hAnsi="宋体" w:cs="宋体"/>
                <w:color w:val="auto"/>
                <w:spacing w:val="20"/>
                <w:szCs w:val="21"/>
              </w:rPr>
            </w:pPr>
          </w:p>
        </w:tc>
        <w:tc>
          <w:tcPr>
            <w:tcW w:w="1356" w:type="dxa"/>
            <w:vAlign w:val="center"/>
          </w:tcPr>
          <w:p>
            <w:pPr>
              <w:adjustRightInd w:val="0"/>
              <w:snapToGrid w:val="0"/>
              <w:jc w:val="center"/>
              <w:rPr>
                <w:rFonts w:ascii="宋体" w:hAnsi="宋体" w:cs="宋体"/>
                <w:color w:val="auto"/>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spacing w:line="360" w:lineRule="auto"/>
              <w:jc w:val="center"/>
              <w:rPr>
                <w:rFonts w:ascii="宋体" w:hAnsi="宋体" w:cs="宋体"/>
                <w:color w:val="auto"/>
                <w:spacing w:val="20"/>
                <w:szCs w:val="21"/>
              </w:rPr>
            </w:pPr>
            <w:r>
              <w:rPr>
                <w:rFonts w:hint="eastAsia" w:ascii="宋体" w:hAnsi="宋体" w:cs="宋体"/>
                <w:color w:val="auto"/>
                <w:spacing w:val="20"/>
                <w:szCs w:val="21"/>
              </w:rPr>
              <w:t>3</w:t>
            </w:r>
          </w:p>
        </w:tc>
        <w:tc>
          <w:tcPr>
            <w:tcW w:w="1638" w:type="dxa"/>
            <w:vAlign w:val="center"/>
          </w:tcPr>
          <w:p>
            <w:pPr>
              <w:adjustRightInd w:val="0"/>
              <w:snapToGrid w:val="0"/>
              <w:spacing w:line="360" w:lineRule="auto"/>
              <w:jc w:val="center"/>
              <w:rPr>
                <w:rFonts w:ascii="宋体" w:hAnsi="宋体" w:cs="宋体"/>
                <w:color w:val="auto"/>
                <w:spacing w:val="20"/>
                <w:szCs w:val="21"/>
              </w:rPr>
            </w:pPr>
          </w:p>
        </w:tc>
        <w:tc>
          <w:tcPr>
            <w:tcW w:w="2322" w:type="dxa"/>
            <w:vAlign w:val="center"/>
          </w:tcPr>
          <w:p>
            <w:pPr>
              <w:adjustRightInd w:val="0"/>
              <w:snapToGrid w:val="0"/>
              <w:spacing w:line="360" w:lineRule="auto"/>
              <w:jc w:val="center"/>
              <w:rPr>
                <w:rFonts w:ascii="宋体" w:hAnsi="宋体" w:cs="宋体"/>
                <w:color w:val="auto"/>
                <w:spacing w:val="20"/>
                <w:szCs w:val="21"/>
              </w:rPr>
            </w:pPr>
          </w:p>
        </w:tc>
        <w:tc>
          <w:tcPr>
            <w:tcW w:w="2700" w:type="dxa"/>
            <w:vAlign w:val="center"/>
          </w:tcPr>
          <w:p>
            <w:pPr>
              <w:adjustRightInd w:val="0"/>
              <w:snapToGrid w:val="0"/>
              <w:jc w:val="center"/>
              <w:rPr>
                <w:rFonts w:ascii="宋体" w:hAnsi="宋体" w:cs="宋体"/>
                <w:color w:val="auto"/>
                <w:spacing w:val="20"/>
                <w:szCs w:val="21"/>
              </w:rPr>
            </w:pPr>
          </w:p>
        </w:tc>
        <w:tc>
          <w:tcPr>
            <w:tcW w:w="1356" w:type="dxa"/>
            <w:vAlign w:val="center"/>
          </w:tcPr>
          <w:p>
            <w:pPr>
              <w:adjustRightInd w:val="0"/>
              <w:snapToGrid w:val="0"/>
              <w:jc w:val="center"/>
              <w:rPr>
                <w:rFonts w:ascii="宋体" w:hAnsi="宋体" w:cs="宋体"/>
                <w:color w:val="auto"/>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spacing w:line="360" w:lineRule="auto"/>
              <w:jc w:val="center"/>
              <w:rPr>
                <w:rFonts w:ascii="宋体" w:hAnsi="宋体" w:cs="宋体"/>
                <w:color w:val="auto"/>
                <w:spacing w:val="20"/>
                <w:szCs w:val="21"/>
              </w:rPr>
            </w:pPr>
            <w:r>
              <w:rPr>
                <w:rFonts w:hint="eastAsia" w:ascii="宋体" w:hAnsi="宋体" w:cs="宋体"/>
                <w:color w:val="auto"/>
                <w:spacing w:val="20"/>
                <w:szCs w:val="21"/>
              </w:rPr>
              <w:t>4</w:t>
            </w:r>
          </w:p>
        </w:tc>
        <w:tc>
          <w:tcPr>
            <w:tcW w:w="1638" w:type="dxa"/>
            <w:vAlign w:val="center"/>
          </w:tcPr>
          <w:p>
            <w:pPr>
              <w:adjustRightInd w:val="0"/>
              <w:snapToGrid w:val="0"/>
              <w:spacing w:line="360" w:lineRule="auto"/>
              <w:jc w:val="center"/>
              <w:rPr>
                <w:rFonts w:ascii="宋体" w:hAnsi="宋体" w:cs="宋体"/>
                <w:color w:val="auto"/>
                <w:spacing w:val="20"/>
                <w:szCs w:val="21"/>
              </w:rPr>
            </w:pPr>
            <w:r>
              <w:rPr>
                <w:rFonts w:hint="eastAsia" w:ascii="宋体" w:hAnsi="宋体" w:cs="宋体"/>
                <w:color w:val="auto"/>
                <w:szCs w:val="21"/>
              </w:rPr>
              <w:t>....</w:t>
            </w:r>
          </w:p>
        </w:tc>
        <w:tc>
          <w:tcPr>
            <w:tcW w:w="2322" w:type="dxa"/>
            <w:vAlign w:val="center"/>
          </w:tcPr>
          <w:p>
            <w:pPr>
              <w:spacing w:line="360" w:lineRule="auto"/>
              <w:rPr>
                <w:rFonts w:ascii="宋体" w:hAnsi="宋体" w:cs="宋体"/>
                <w:color w:val="auto"/>
                <w:spacing w:val="20"/>
                <w:szCs w:val="21"/>
              </w:rPr>
            </w:pPr>
          </w:p>
        </w:tc>
        <w:tc>
          <w:tcPr>
            <w:tcW w:w="2700" w:type="dxa"/>
            <w:vAlign w:val="center"/>
          </w:tcPr>
          <w:p>
            <w:pPr>
              <w:adjustRightInd w:val="0"/>
              <w:snapToGrid w:val="0"/>
              <w:jc w:val="center"/>
              <w:rPr>
                <w:rFonts w:ascii="宋体" w:hAnsi="宋体" w:cs="宋体"/>
                <w:color w:val="auto"/>
                <w:spacing w:val="20"/>
                <w:szCs w:val="21"/>
              </w:rPr>
            </w:pPr>
          </w:p>
        </w:tc>
        <w:tc>
          <w:tcPr>
            <w:tcW w:w="1356" w:type="dxa"/>
            <w:vAlign w:val="center"/>
          </w:tcPr>
          <w:p>
            <w:pPr>
              <w:adjustRightInd w:val="0"/>
              <w:snapToGrid w:val="0"/>
              <w:jc w:val="center"/>
              <w:rPr>
                <w:rFonts w:ascii="宋体" w:hAnsi="宋体" w:cs="宋体"/>
                <w:color w:val="auto"/>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jc w:val="center"/>
              <w:rPr>
                <w:rFonts w:ascii="宋体" w:hAnsi="宋体" w:cs="宋体"/>
                <w:color w:val="auto"/>
                <w:spacing w:val="20"/>
                <w:szCs w:val="21"/>
              </w:rPr>
            </w:pPr>
          </w:p>
        </w:tc>
        <w:tc>
          <w:tcPr>
            <w:tcW w:w="1638" w:type="dxa"/>
            <w:vAlign w:val="center"/>
          </w:tcPr>
          <w:p>
            <w:pPr>
              <w:adjustRightInd w:val="0"/>
              <w:snapToGrid w:val="0"/>
              <w:jc w:val="center"/>
              <w:rPr>
                <w:rFonts w:ascii="宋体" w:hAnsi="宋体" w:cs="宋体"/>
                <w:color w:val="auto"/>
                <w:spacing w:val="20"/>
                <w:szCs w:val="21"/>
              </w:rPr>
            </w:pPr>
          </w:p>
        </w:tc>
        <w:tc>
          <w:tcPr>
            <w:tcW w:w="2322" w:type="dxa"/>
            <w:vAlign w:val="center"/>
          </w:tcPr>
          <w:p>
            <w:pPr>
              <w:adjustRightInd w:val="0"/>
              <w:snapToGrid w:val="0"/>
              <w:jc w:val="center"/>
              <w:rPr>
                <w:rFonts w:ascii="宋体" w:hAnsi="宋体" w:cs="宋体"/>
                <w:color w:val="auto"/>
                <w:spacing w:val="20"/>
                <w:szCs w:val="21"/>
              </w:rPr>
            </w:pPr>
          </w:p>
        </w:tc>
        <w:tc>
          <w:tcPr>
            <w:tcW w:w="2700" w:type="dxa"/>
            <w:vAlign w:val="center"/>
          </w:tcPr>
          <w:p>
            <w:pPr>
              <w:adjustRightInd w:val="0"/>
              <w:snapToGrid w:val="0"/>
              <w:jc w:val="center"/>
              <w:rPr>
                <w:rFonts w:ascii="宋体" w:hAnsi="宋体" w:cs="宋体"/>
                <w:color w:val="auto"/>
                <w:spacing w:val="20"/>
                <w:szCs w:val="21"/>
              </w:rPr>
            </w:pPr>
          </w:p>
        </w:tc>
        <w:tc>
          <w:tcPr>
            <w:tcW w:w="1356" w:type="dxa"/>
            <w:vAlign w:val="center"/>
          </w:tcPr>
          <w:p>
            <w:pPr>
              <w:adjustRightInd w:val="0"/>
              <w:snapToGrid w:val="0"/>
              <w:jc w:val="center"/>
              <w:rPr>
                <w:rFonts w:ascii="宋体" w:hAnsi="宋体" w:cs="宋体"/>
                <w:color w:val="auto"/>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vAlign w:val="center"/>
          </w:tcPr>
          <w:p>
            <w:pPr>
              <w:adjustRightInd w:val="0"/>
              <w:snapToGrid w:val="0"/>
              <w:jc w:val="center"/>
              <w:rPr>
                <w:rFonts w:ascii="宋体" w:hAnsi="宋体" w:cs="宋体"/>
                <w:color w:val="auto"/>
                <w:spacing w:val="20"/>
                <w:szCs w:val="21"/>
              </w:rPr>
            </w:pPr>
          </w:p>
        </w:tc>
        <w:tc>
          <w:tcPr>
            <w:tcW w:w="1638" w:type="dxa"/>
            <w:vAlign w:val="center"/>
          </w:tcPr>
          <w:p>
            <w:pPr>
              <w:adjustRightInd w:val="0"/>
              <w:snapToGrid w:val="0"/>
              <w:jc w:val="center"/>
              <w:rPr>
                <w:rFonts w:ascii="宋体" w:hAnsi="宋体" w:cs="宋体"/>
                <w:color w:val="auto"/>
                <w:spacing w:val="20"/>
                <w:szCs w:val="21"/>
              </w:rPr>
            </w:pPr>
          </w:p>
        </w:tc>
        <w:tc>
          <w:tcPr>
            <w:tcW w:w="2322" w:type="dxa"/>
            <w:vAlign w:val="center"/>
          </w:tcPr>
          <w:p>
            <w:pPr>
              <w:adjustRightInd w:val="0"/>
              <w:snapToGrid w:val="0"/>
              <w:jc w:val="center"/>
              <w:rPr>
                <w:rFonts w:ascii="宋体" w:hAnsi="宋体" w:cs="宋体"/>
                <w:color w:val="auto"/>
                <w:spacing w:val="20"/>
                <w:szCs w:val="21"/>
              </w:rPr>
            </w:pPr>
          </w:p>
        </w:tc>
        <w:tc>
          <w:tcPr>
            <w:tcW w:w="2700" w:type="dxa"/>
            <w:vAlign w:val="center"/>
          </w:tcPr>
          <w:p>
            <w:pPr>
              <w:adjustRightInd w:val="0"/>
              <w:snapToGrid w:val="0"/>
              <w:jc w:val="center"/>
              <w:rPr>
                <w:rFonts w:ascii="宋体" w:hAnsi="宋体" w:cs="宋体"/>
                <w:color w:val="auto"/>
                <w:spacing w:val="20"/>
                <w:szCs w:val="21"/>
              </w:rPr>
            </w:pPr>
          </w:p>
        </w:tc>
        <w:tc>
          <w:tcPr>
            <w:tcW w:w="1356" w:type="dxa"/>
            <w:vAlign w:val="center"/>
          </w:tcPr>
          <w:p>
            <w:pPr>
              <w:adjustRightInd w:val="0"/>
              <w:snapToGrid w:val="0"/>
              <w:jc w:val="center"/>
              <w:rPr>
                <w:rFonts w:ascii="宋体" w:hAnsi="宋体" w:cs="宋体"/>
                <w:color w:val="auto"/>
                <w:spacing w:val="20"/>
                <w:szCs w:val="21"/>
              </w:rPr>
            </w:pPr>
          </w:p>
        </w:tc>
      </w:tr>
    </w:tbl>
    <w:p>
      <w:pPr>
        <w:snapToGrid w:val="0"/>
        <w:spacing w:before="50" w:after="50"/>
        <w:ind w:right="-817" w:rightChars="-389"/>
        <w:rPr>
          <w:rFonts w:ascii="宋体" w:hAnsi="宋体" w:cs="宋体"/>
          <w:color w:val="auto"/>
          <w:szCs w:val="21"/>
        </w:rPr>
      </w:pPr>
    </w:p>
    <w:p>
      <w:pPr>
        <w:snapToGrid w:val="0"/>
        <w:spacing w:before="50" w:after="50"/>
        <w:ind w:left="-23" w:leftChars="-22" w:right="-817" w:rightChars="-389" w:hanging="23" w:hangingChars="11"/>
        <w:rPr>
          <w:rFonts w:ascii="宋体" w:hAnsi="宋体" w:cs="宋体"/>
          <w:color w:val="auto"/>
          <w:szCs w:val="21"/>
        </w:rPr>
      </w:pPr>
    </w:p>
    <w:p>
      <w:pPr>
        <w:adjustRightInd w:val="0"/>
        <w:snapToGrid w:val="0"/>
        <w:spacing w:line="440" w:lineRule="exact"/>
        <w:jc w:val="right"/>
        <w:rPr>
          <w:rFonts w:ascii="宋体" w:hAnsi="宋体" w:cs="宋体"/>
          <w:color w:val="auto"/>
        </w:rPr>
      </w:pPr>
      <w:r>
        <w:rPr>
          <w:rFonts w:hint="eastAsia" w:ascii="宋体" w:hAnsi="宋体" w:cs="宋体"/>
          <w:color w:val="auto"/>
        </w:rPr>
        <w:t xml:space="preserve">供应商盖章（公章）：             </w:t>
      </w:r>
    </w:p>
    <w:p>
      <w:pPr>
        <w:adjustRightInd w:val="0"/>
        <w:snapToGrid w:val="0"/>
        <w:spacing w:line="440" w:lineRule="exact"/>
        <w:jc w:val="right"/>
        <w:rPr>
          <w:rFonts w:ascii="宋体" w:hAnsi="宋体" w:cs="宋体"/>
          <w:color w:val="auto"/>
        </w:rPr>
      </w:pPr>
      <w:r>
        <w:rPr>
          <w:rFonts w:hint="eastAsia" w:ascii="宋体" w:hAnsi="宋体" w:cs="宋体"/>
          <w:color w:val="auto"/>
        </w:rPr>
        <w:t xml:space="preserve">           法定代表人或其委托代理人（签字或盖章）：</w:t>
      </w:r>
    </w:p>
    <w:p>
      <w:pPr>
        <w:spacing w:line="360" w:lineRule="auto"/>
        <w:jc w:val="left"/>
        <w:rPr>
          <w:rFonts w:ascii="宋体" w:hAnsi="宋体" w:cs="宋体"/>
          <w:color w:val="auto"/>
          <w:szCs w:val="21"/>
        </w:rPr>
      </w:pPr>
      <w:r>
        <w:rPr>
          <w:rFonts w:hint="eastAsia" w:ascii="宋体" w:hAnsi="宋体" w:cs="宋体"/>
          <w:color w:val="auto"/>
        </w:rPr>
        <w:t xml:space="preserve">                                                                   年  月  日</w:t>
      </w: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snapToGrid w:val="0"/>
        <w:spacing w:line="360" w:lineRule="auto"/>
        <w:jc w:val="left"/>
        <w:rPr>
          <w:rFonts w:ascii="宋体" w:hAnsi="宋体" w:cs="宋体"/>
          <w:color w:val="auto"/>
          <w:szCs w:val="21"/>
        </w:rPr>
      </w:pPr>
      <w:r>
        <w:rPr>
          <w:rFonts w:hint="eastAsia" w:ascii="宋体" w:hAnsi="宋体" w:cs="宋体"/>
          <w:color w:val="auto"/>
          <w:szCs w:val="21"/>
        </w:rPr>
        <w:t>7、</w:t>
      </w:r>
      <w:r>
        <w:rPr>
          <w:rFonts w:hint="eastAsia"/>
          <w:color w:val="auto"/>
        </w:rPr>
        <w:t>技术响应一览表</w:t>
      </w:r>
      <w:r>
        <w:rPr>
          <w:rFonts w:hint="eastAsia" w:ascii="宋体" w:hAnsi="宋体" w:cs="宋体"/>
          <w:color w:val="auto"/>
          <w:szCs w:val="21"/>
        </w:rPr>
        <w:t>；</w:t>
      </w:r>
    </w:p>
    <w:p>
      <w:pPr>
        <w:spacing w:line="360" w:lineRule="auto"/>
        <w:jc w:val="center"/>
        <w:rPr>
          <w:rFonts w:ascii="宋体" w:hAnsi="宋体" w:cs="宋体"/>
          <w:b/>
          <w:color w:val="auto"/>
          <w:spacing w:val="20"/>
          <w:sz w:val="28"/>
          <w:szCs w:val="32"/>
        </w:rPr>
      </w:pPr>
      <w:r>
        <w:rPr>
          <w:rFonts w:hint="eastAsia" w:ascii="宋体" w:hAnsi="宋体" w:cs="宋体"/>
          <w:b/>
          <w:color w:val="auto"/>
          <w:spacing w:val="20"/>
          <w:sz w:val="28"/>
          <w:szCs w:val="32"/>
        </w:rPr>
        <w:t>技术响应一览表</w:t>
      </w:r>
    </w:p>
    <w:p>
      <w:pPr>
        <w:spacing w:line="360" w:lineRule="auto"/>
        <w:jc w:val="center"/>
        <w:rPr>
          <w:rFonts w:ascii="宋体" w:hAnsi="宋体" w:cs="宋体"/>
          <w:b/>
          <w:color w:val="auto"/>
          <w:spacing w:val="20"/>
          <w:sz w:val="28"/>
          <w:szCs w:val="32"/>
        </w:rPr>
      </w:pPr>
    </w:p>
    <w:p>
      <w:pPr>
        <w:snapToGrid w:val="0"/>
        <w:spacing w:before="50" w:after="50"/>
        <w:ind w:firstLine="210" w:firstLineChars="100"/>
        <w:rPr>
          <w:rFonts w:ascii="宋体" w:hAnsi="宋体" w:cs="宋体"/>
          <w:color w:val="auto"/>
          <w:spacing w:val="20"/>
          <w:sz w:val="24"/>
        </w:rPr>
      </w:pPr>
      <w:r>
        <w:rPr>
          <w:rFonts w:hint="eastAsia" w:ascii="宋体" w:hAnsi="宋体" w:cs="宋体"/>
          <w:color w:val="auto"/>
          <w:szCs w:val="21"/>
        </w:rPr>
        <w:t>项目编号：</w:t>
      </w:r>
      <w:r>
        <w:rPr>
          <w:rFonts w:hint="eastAsia" w:ascii="宋体" w:hAnsi="宋体" w:cs="宋体"/>
          <w:color w:val="auto"/>
          <w:szCs w:val="21"/>
          <w:u w:val="single"/>
        </w:rPr>
        <w:t xml:space="preserve">         </w:t>
      </w:r>
      <w:r>
        <w:rPr>
          <w:rFonts w:hint="eastAsia" w:ascii="宋体" w:hAnsi="宋体" w:cs="宋体"/>
          <w:color w:val="auto"/>
          <w:szCs w:val="21"/>
        </w:rPr>
        <w:t>项目名称：</w:t>
      </w:r>
      <w:r>
        <w:rPr>
          <w:rFonts w:hint="eastAsia" w:ascii="宋体" w:hAnsi="宋体" w:cs="宋体"/>
          <w:color w:val="auto"/>
          <w:szCs w:val="21"/>
          <w:u w:val="single"/>
        </w:rPr>
        <w:t xml:space="preserve">                   </w:t>
      </w:r>
    </w:p>
    <w:p>
      <w:pPr>
        <w:snapToGrid w:val="0"/>
        <w:spacing w:before="50" w:after="50"/>
        <w:ind w:right="-817" w:rightChars="-389" w:firstLine="210" w:firstLineChars="100"/>
        <w:rPr>
          <w:rFonts w:ascii="宋体" w:hAnsi="宋体" w:cs="宋体"/>
          <w:color w:val="auto"/>
          <w:szCs w:val="21"/>
        </w:rPr>
      </w:pPr>
      <w:r>
        <w:rPr>
          <w:rFonts w:hint="eastAsia" w:ascii="宋体" w:hAnsi="宋体" w:cs="宋体"/>
          <w:color w:val="auto"/>
          <w:szCs w:val="21"/>
        </w:rPr>
        <w:t>标项：</w:t>
      </w:r>
    </w:p>
    <w:tbl>
      <w:tblPr>
        <w:tblStyle w:val="45"/>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4751"/>
        <w:gridCol w:w="2749"/>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vAlign w:val="center"/>
          </w:tcPr>
          <w:p>
            <w:pPr>
              <w:adjustRightInd w:val="0"/>
              <w:snapToGrid w:val="0"/>
              <w:jc w:val="center"/>
              <w:rPr>
                <w:rFonts w:ascii="宋体" w:hAnsi="宋体" w:cs="宋体"/>
                <w:color w:val="auto"/>
                <w:spacing w:val="20"/>
                <w:szCs w:val="21"/>
              </w:rPr>
            </w:pPr>
            <w:r>
              <w:rPr>
                <w:rFonts w:hint="eastAsia" w:ascii="宋体" w:hAnsi="宋体" w:cs="宋体"/>
                <w:color w:val="auto"/>
                <w:spacing w:val="20"/>
                <w:szCs w:val="21"/>
              </w:rPr>
              <w:t>序号</w:t>
            </w:r>
          </w:p>
        </w:tc>
        <w:tc>
          <w:tcPr>
            <w:tcW w:w="4751" w:type="dxa"/>
            <w:vAlign w:val="center"/>
          </w:tcPr>
          <w:p>
            <w:pPr>
              <w:adjustRightInd w:val="0"/>
              <w:snapToGrid w:val="0"/>
              <w:jc w:val="center"/>
              <w:rPr>
                <w:rFonts w:ascii="宋体" w:hAnsi="宋体" w:cs="宋体"/>
                <w:color w:val="auto"/>
                <w:spacing w:val="20"/>
                <w:szCs w:val="21"/>
              </w:rPr>
            </w:pPr>
            <w:r>
              <w:rPr>
                <w:rFonts w:hint="eastAsia" w:ascii="宋体" w:hAnsi="宋体" w:cs="宋体"/>
                <w:color w:val="auto"/>
                <w:spacing w:val="20"/>
                <w:szCs w:val="21"/>
              </w:rPr>
              <w:t>磋商采购文件要求</w:t>
            </w:r>
          </w:p>
        </w:tc>
        <w:tc>
          <w:tcPr>
            <w:tcW w:w="2749" w:type="dxa"/>
            <w:vAlign w:val="center"/>
          </w:tcPr>
          <w:p>
            <w:pPr>
              <w:adjustRightInd w:val="0"/>
              <w:snapToGrid w:val="0"/>
              <w:jc w:val="center"/>
              <w:rPr>
                <w:rFonts w:ascii="宋体" w:hAnsi="宋体" w:cs="宋体"/>
                <w:color w:val="auto"/>
                <w:spacing w:val="20"/>
                <w:szCs w:val="21"/>
              </w:rPr>
            </w:pPr>
            <w:r>
              <w:rPr>
                <w:rFonts w:hint="eastAsia" w:ascii="宋体" w:hAnsi="宋体" w:cs="宋体"/>
                <w:color w:val="auto"/>
                <w:spacing w:val="20"/>
                <w:szCs w:val="21"/>
              </w:rPr>
              <w:t>供应商响应描述</w:t>
            </w:r>
          </w:p>
        </w:tc>
        <w:tc>
          <w:tcPr>
            <w:tcW w:w="1704" w:type="dxa"/>
            <w:vAlign w:val="center"/>
          </w:tcPr>
          <w:p>
            <w:pPr>
              <w:adjustRightInd w:val="0"/>
              <w:snapToGrid w:val="0"/>
              <w:jc w:val="center"/>
              <w:rPr>
                <w:rFonts w:ascii="宋体" w:hAnsi="宋体" w:cs="宋体"/>
                <w:color w:val="auto"/>
                <w:spacing w:val="20"/>
                <w:szCs w:val="21"/>
              </w:rPr>
            </w:pPr>
            <w:r>
              <w:rPr>
                <w:rFonts w:hint="eastAsia" w:ascii="宋体" w:hAnsi="宋体" w:cs="宋体"/>
                <w:color w:val="auto"/>
                <w:spacing w:val="20"/>
                <w:szCs w:val="21"/>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vAlign w:val="center"/>
          </w:tcPr>
          <w:p>
            <w:pPr>
              <w:jc w:val="center"/>
              <w:rPr>
                <w:rFonts w:ascii="宋体" w:hAnsi="宋体"/>
                <w:color w:val="auto"/>
              </w:rPr>
            </w:pPr>
            <w:r>
              <w:rPr>
                <w:rFonts w:hint="eastAsia" w:ascii="宋体" w:hAnsi="宋体"/>
                <w:color w:val="auto"/>
              </w:rPr>
              <w:t>1、</w:t>
            </w:r>
          </w:p>
        </w:tc>
        <w:tc>
          <w:tcPr>
            <w:tcW w:w="4751" w:type="dxa"/>
          </w:tcPr>
          <w:p>
            <w:pPr>
              <w:ind w:firstLine="210" w:firstLineChars="100"/>
              <w:jc w:val="center"/>
              <w:rPr>
                <w:rFonts w:ascii="宋体" w:hAnsi="宋体"/>
                <w:color w:val="auto"/>
              </w:rPr>
            </w:pPr>
          </w:p>
        </w:tc>
        <w:tc>
          <w:tcPr>
            <w:tcW w:w="2749" w:type="dxa"/>
          </w:tcPr>
          <w:p>
            <w:pPr>
              <w:rPr>
                <w:rFonts w:ascii="宋体" w:hAnsi="宋体"/>
                <w:color w:val="auto"/>
              </w:rPr>
            </w:pPr>
          </w:p>
        </w:tc>
        <w:tc>
          <w:tcPr>
            <w:tcW w:w="1704" w:type="dxa"/>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vAlign w:val="center"/>
          </w:tcPr>
          <w:p>
            <w:pPr>
              <w:jc w:val="center"/>
              <w:rPr>
                <w:rFonts w:ascii="宋体" w:hAnsi="宋体"/>
                <w:color w:val="auto"/>
              </w:rPr>
            </w:pPr>
            <w:r>
              <w:rPr>
                <w:rFonts w:hint="eastAsia" w:ascii="宋体" w:hAnsi="宋体"/>
                <w:color w:val="auto"/>
              </w:rPr>
              <w:t>2、</w:t>
            </w:r>
          </w:p>
        </w:tc>
        <w:tc>
          <w:tcPr>
            <w:tcW w:w="4751" w:type="dxa"/>
          </w:tcPr>
          <w:p>
            <w:pPr>
              <w:ind w:firstLine="210" w:firstLineChars="100"/>
              <w:jc w:val="center"/>
              <w:rPr>
                <w:rFonts w:ascii="宋体" w:hAnsi="宋体"/>
                <w:color w:val="auto"/>
              </w:rPr>
            </w:pPr>
          </w:p>
        </w:tc>
        <w:tc>
          <w:tcPr>
            <w:tcW w:w="2749" w:type="dxa"/>
          </w:tcPr>
          <w:p>
            <w:pPr>
              <w:rPr>
                <w:rFonts w:ascii="宋体" w:hAnsi="宋体"/>
                <w:color w:val="auto"/>
              </w:rPr>
            </w:pPr>
          </w:p>
        </w:tc>
        <w:tc>
          <w:tcPr>
            <w:tcW w:w="1704" w:type="dxa"/>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vAlign w:val="center"/>
          </w:tcPr>
          <w:p>
            <w:pPr>
              <w:jc w:val="center"/>
              <w:rPr>
                <w:rFonts w:ascii="宋体" w:hAnsi="宋体"/>
                <w:color w:val="auto"/>
              </w:rPr>
            </w:pPr>
            <w:r>
              <w:rPr>
                <w:rFonts w:hint="eastAsia" w:ascii="宋体" w:hAnsi="宋体"/>
                <w:color w:val="auto"/>
              </w:rPr>
              <w:t>3、</w:t>
            </w:r>
          </w:p>
        </w:tc>
        <w:tc>
          <w:tcPr>
            <w:tcW w:w="4751" w:type="dxa"/>
          </w:tcPr>
          <w:p>
            <w:pPr>
              <w:ind w:firstLine="210" w:firstLineChars="100"/>
              <w:jc w:val="center"/>
              <w:rPr>
                <w:rFonts w:ascii="宋体" w:hAnsi="宋体"/>
                <w:color w:val="auto"/>
              </w:rPr>
            </w:pPr>
          </w:p>
        </w:tc>
        <w:tc>
          <w:tcPr>
            <w:tcW w:w="2749" w:type="dxa"/>
          </w:tcPr>
          <w:p>
            <w:pPr>
              <w:rPr>
                <w:rFonts w:ascii="宋体" w:hAnsi="宋体"/>
                <w:color w:val="auto"/>
              </w:rPr>
            </w:pPr>
          </w:p>
        </w:tc>
        <w:tc>
          <w:tcPr>
            <w:tcW w:w="1704" w:type="dxa"/>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vAlign w:val="center"/>
          </w:tcPr>
          <w:p>
            <w:pPr>
              <w:jc w:val="center"/>
              <w:rPr>
                <w:rFonts w:ascii="宋体" w:hAnsi="宋体"/>
                <w:color w:val="auto"/>
              </w:rPr>
            </w:pPr>
            <w:r>
              <w:rPr>
                <w:rFonts w:hint="eastAsia" w:ascii="宋体" w:hAnsi="宋体"/>
                <w:color w:val="auto"/>
              </w:rPr>
              <w:t>4、</w:t>
            </w:r>
          </w:p>
        </w:tc>
        <w:tc>
          <w:tcPr>
            <w:tcW w:w="4751" w:type="dxa"/>
          </w:tcPr>
          <w:p>
            <w:pPr>
              <w:ind w:firstLine="210" w:firstLineChars="100"/>
              <w:jc w:val="center"/>
              <w:rPr>
                <w:rFonts w:ascii="宋体" w:hAnsi="宋体"/>
                <w:color w:val="auto"/>
              </w:rPr>
            </w:pPr>
          </w:p>
        </w:tc>
        <w:tc>
          <w:tcPr>
            <w:tcW w:w="2749" w:type="dxa"/>
          </w:tcPr>
          <w:p>
            <w:pPr>
              <w:rPr>
                <w:rFonts w:ascii="宋体" w:hAnsi="宋体"/>
                <w:color w:val="auto"/>
              </w:rPr>
            </w:pPr>
          </w:p>
        </w:tc>
        <w:tc>
          <w:tcPr>
            <w:tcW w:w="1704" w:type="dxa"/>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vAlign w:val="center"/>
          </w:tcPr>
          <w:p>
            <w:pPr>
              <w:jc w:val="center"/>
              <w:rPr>
                <w:rFonts w:ascii="宋体" w:hAnsi="宋体"/>
                <w:color w:val="auto"/>
              </w:rPr>
            </w:pPr>
            <w:r>
              <w:rPr>
                <w:rFonts w:hint="eastAsia" w:ascii="宋体" w:hAnsi="宋体"/>
                <w:color w:val="auto"/>
              </w:rPr>
              <w:t>5、</w:t>
            </w:r>
          </w:p>
        </w:tc>
        <w:tc>
          <w:tcPr>
            <w:tcW w:w="4751" w:type="dxa"/>
          </w:tcPr>
          <w:p>
            <w:pPr>
              <w:ind w:firstLine="210" w:firstLineChars="100"/>
              <w:jc w:val="center"/>
              <w:rPr>
                <w:rFonts w:ascii="宋体" w:hAnsi="宋体"/>
                <w:color w:val="auto"/>
              </w:rPr>
            </w:pPr>
          </w:p>
        </w:tc>
        <w:tc>
          <w:tcPr>
            <w:tcW w:w="2749" w:type="dxa"/>
          </w:tcPr>
          <w:p>
            <w:pPr>
              <w:rPr>
                <w:rFonts w:ascii="宋体" w:hAnsi="宋体"/>
                <w:color w:val="auto"/>
              </w:rPr>
            </w:pPr>
          </w:p>
        </w:tc>
        <w:tc>
          <w:tcPr>
            <w:tcW w:w="1704" w:type="dxa"/>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vAlign w:val="center"/>
          </w:tcPr>
          <w:p>
            <w:pPr>
              <w:jc w:val="center"/>
              <w:rPr>
                <w:rFonts w:ascii="宋体" w:hAnsi="宋体"/>
                <w:color w:val="auto"/>
              </w:rPr>
            </w:pPr>
            <w:r>
              <w:rPr>
                <w:rFonts w:hint="eastAsia" w:ascii="宋体" w:hAnsi="宋体"/>
                <w:color w:val="auto"/>
              </w:rPr>
              <w:t>6、</w:t>
            </w:r>
          </w:p>
        </w:tc>
        <w:tc>
          <w:tcPr>
            <w:tcW w:w="4751" w:type="dxa"/>
          </w:tcPr>
          <w:p>
            <w:pPr>
              <w:ind w:firstLine="210" w:firstLineChars="100"/>
              <w:jc w:val="center"/>
              <w:rPr>
                <w:rFonts w:ascii="宋体" w:hAnsi="宋体"/>
                <w:color w:val="auto"/>
              </w:rPr>
            </w:pPr>
          </w:p>
        </w:tc>
        <w:tc>
          <w:tcPr>
            <w:tcW w:w="2749" w:type="dxa"/>
          </w:tcPr>
          <w:p>
            <w:pPr>
              <w:rPr>
                <w:rFonts w:ascii="宋体" w:hAnsi="宋体"/>
                <w:color w:val="auto"/>
              </w:rPr>
            </w:pPr>
          </w:p>
        </w:tc>
        <w:tc>
          <w:tcPr>
            <w:tcW w:w="1704" w:type="dxa"/>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vAlign w:val="center"/>
          </w:tcPr>
          <w:p>
            <w:pPr>
              <w:jc w:val="center"/>
              <w:rPr>
                <w:rFonts w:ascii="宋体" w:hAnsi="宋体"/>
                <w:color w:val="auto"/>
              </w:rPr>
            </w:pPr>
            <w:r>
              <w:rPr>
                <w:rFonts w:hint="eastAsia" w:ascii="宋体" w:hAnsi="宋体"/>
                <w:color w:val="auto"/>
              </w:rPr>
              <w:t>7、</w:t>
            </w:r>
          </w:p>
        </w:tc>
        <w:tc>
          <w:tcPr>
            <w:tcW w:w="4751" w:type="dxa"/>
          </w:tcPr>
          <w:p>
            <w:pPr>
              <w:ind w:firstLine="210" w:firstLineChars="100"/>
              <w:jc w:val="center"/>
              <w:rPr>
                <w:rFonts w:ascii="宋体" w:hAnsi="宋体"/>
                <w:color w:val="auto"/>
              </w:rPr>
            </w:pPr>
          </w:p>
        </w:tc>
        <w:tc>
          <w:tcPr>
            <w:tcW w:w="2749" w:type="dxa"/>
          </w:tcPr>
          <w:p>
            <w:pPr>
              <w:rPr>
                <w:rFonts w:ascii="宋体" w:hAnsi="宋体"/>
                <w:color w:val="auto"/>
              </w:rPr>
            </w:pPr>
          </w:p>
        </w:tc>
        <w:tc>
          <w:tcPr>
            <w:tcW w:w="1704" w:type="dxa"/>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vAlign w:val="center"/>
          </w:tcPr>
          <w:p>
            <w:pPr>
              <w:jc w:val="center"/>
              <w:rPr>
                <w:rFonts w:ascii="宋体" w:hAnsi="宋体"/>
                <w:color w:val="auto"/>
              </w:rPr>
            </w:pPr>
            <w:r>
              <w:rPr>
                <w:rFonts w:hint="eastAsia" w:ascii="宋体" w:hAnsi="宋体"/>
                <w:color w:val="auto"/>
              </w:rPr>
              <w:t>8、</w:t>
            </w:r>
          </w:p>
        </w:tc>
        <w:tc>
          <w:tcPr>
            <w:tcW w:w="4751" w:type="dxa"/>
          </w:tcPr>
          <w:p>
            <w:pPr>
              <w:ind w:firstLine="210" w:firstLineChars="100"/>
              <w:jc w:val="center"/>
              <w:rPr>
                <w:rFonts w:ascii="宋体" w:hAnsi="宋体"/>
                <w:color w:val="auto"/>
              </w:rPr>
            </w:pPr>
          </w:p>
        </w:tc>
        <w:tc>
          <w:tcPr>
            <w:tcW w:w="2749" w:type="dxa"/>
          </w:tcPr>
          <w:p>
            <w:pPr>
              <w:rPr>
                <w:rFonts w:ascii="宋体" w:hAnsi="宋体"/>
                <w:color w:val="auto"/>
              </w:rPr>
            </w:pPr>
          </w:p>
        </w:tc>
        <w:tc>
          <w:tcPr>
            <w:tcW w:w="1704" w:type="dxa"/>
          </w:tcPr>
          <w:p>
            <w:pPr>
              <w:rPr>
                <w:rFonts w:ascii="宋体" w:hAnsi="宋体"/>
                <w:color w:val="auto"/>
              </w:rPr>
            </w:pPr>
          </w:p>
        </w:tc>
      </w:tr>
    </w:tbl>
    <w:p>
      <w:pPr>
        <w:adjustRightInd w:val="0"/>
        <w:snapToGrid w:val="0"/>
        <w:spacing w:line="440" w:lineRule="exact"/>
        <w:jc w:val="right"/>
        <w:rPr>
          <w:rFonts w:ascii="宋体" w:hAnsi="宋体" w:cs="宋体"/>
          <w:color w:val="auto"/>
        </w:rPr>
      </w:pPr>
    </w:p>
    <w:p>
      <w:pPr>
        <w:adjustRightInd w:val="0"/>
        <w:snapToGrid w:val="0"/>
        <w:spacing w:line="440" w:lineRule="exact"/>
        <w:jc w:val="right"/>
        <w:rPr>
          <w:rFonts w:ascii="宋体" w:hAnsi="宋体" w:cs="宋体"/>
          <w:color w:val="auto"/>
        </w:rPr>
      </w:pPr>
    </w:p>
    <w:p>
      <w:pPr>
        <w:adjustRightInd w:val="0"/>
        <w:snapToGrid w:val="0"/>
        <w:spacing w:line="440" w:lineRule="exact"/>
        <w:jc w:val="right"/>
        <w:rPr>
          <w:rFonts w:ascii="宋体" w:hAnsi="宋体" w:cs="宋体"/>
          <w:color w:val="auto"/>
        </w:rPr>
      </w:pPr>
    </w:p>
    <w:p>
      <w:pPr>
        <w:adjustRightInd w:val="0"/>
        <w:snapToGrid w:val="0"/>
        <w:spacing w:line="440" w:lineRule="exact"/>
        <w:jc w:val="right"/>
        <w:rPr>
          <w:rFonts w:ascii="宋体" w:hAnsi="宋体" w:cs="宋体"/>
          <w:color w:val="auto"/>
        </w:rPr>
      </w:pPr>
      <w:r>
        <w:rPr>
          <w:rFonts w:hint="eastAsia" w:ascii="宋体" w:hAnsi="宋体" w:cs="宋体"/>
          <w:color w:val="auto"/>
        </w:rPr>
        <w:t xml:space="preserve">供应商盖章（公章）：             </w:t>
      </w:r>
    </w:p>
    <w:p>
      <w:pPr>
        <w:adjustRightInd w:val="0"/>
        <w:snapToGrid w:val="0"/>
        <w:spacing w:line="440" w:lineRule="exact"/>
        <w:jc w:val="right"/>
        <w:rPr>
          <w:rFonts w:ascii="宋体" w:hAnsi="宋体" w:cs="宋体"/>
          <w:color w:val="auto"/>
        </w:rPr>
      </w:pPr>
      <w:r>
        <w:rPr>
          <w:rFonts w:hint="eastAsia" w:ascii="宋体" w:hAnsi="宋体" w:cs="宋体"/>
          <w:color w:val="auto"/>
        </w:rPr>
        <w:t xml:space="preserve">           法定代表人或其委托代理人（签字或盖章）：</w:t>
      </w:r>
    </w:p>
    <w:p>
      <w:pPr>
        <w:spacing w:line="360" w:lineRule="auto"/>
        <w:jc w:val="left"/>
        <w:rPr>
          <w:rFonts w:ascii="宋体" w:hAnsi="宋体" w:cs="宋体"/>
          <w:color w:val="auto"/>
          <w:szCs w:val="21"/>
        </w:rPr>
      </w:pPr>
      <w:r>
        <w:rPr>
          <w:rFonts w:hint="eastAsia" w:ascii="宋体" w:hAnsi="宋体" w:cs="宋体"/>
          <w:color w:val="auto"/>
        </w:rPr>
        <w:t xml:space="preserve">                                                                   年  月  日</w:t>
      </w: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pStyle w:val="58"/>
        <w:ind w:left="0" w:firstLine="0"/>
        <w:rPr>
          <w:rFonts w:hAnsi="宋体" w:cs="宋体"/>
          <w:color w:val="auto"/>
          <w:szCs w:val="21"/>
        </w:rPr>
        <w:sectPr>
          <w:pgSz w:w="11906" w:h="16838"/>
          <w:pgMar w:top="1474" w:right="1797" w:bottom="1247" w:left="1797" w:header="851" w:footer="851" w:gutter="0"/>
          <w:cols w:space="720" w:num="1"/>
          <w:titlePg/>
          <w:docGrid w:linePitch="312" w:charSpace="0"/>
        </w:sectPr>
      </w:pPr>
      <w:r>
        <w:rPr>
          <w:rFonts w:hint="eastAsia" w:hAnsi="宋体" w:cs="宋体"/>
          <w:color w:val="auto"/>
          <w:szCs w:val="21"/>
        </w:rPr>
        <w:br w:type="page"/>
      </w:r>
    </w:p>
    <w:p>
      <w:pPr>
        <w:numPr>
          <w:ilvl w:val="0"/>
          <w:numId w:val="9"/>
        </w:numPr>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lang w:val="en-US" w:eastAsia="zh-CN"/>
        </w:rPr>
        <w:t>人员配置</w:t>
      </w:r>
      <w:r>
        <w:rPr>
          <w:rFonts w:hint="eastAsia" w:ascii="宋体" w:hAnsi="宋体" w:cs="宋体"/>
          <w:color w:val="auto"/>
          <w:szCs w:val="21"/>
        </w:rPr>
        <w:t>情况表</w:t>
      </w:r>
    </w:p>
    <w:p>
      <w:pPr>
        <w:spacing w:line="360" w:lineRule="auto"/>
        <w:ind w:right="481" w:rightChars="229"/>
        <w:jc w:val="center"/>
        <w:rPr>
          <w:rFonts w:hint="eastAsia" w:ascii="宋体" w:hAnsi="宋体"/>
          <w:b/>
          <w:color w:val="auto"/>
          <w:sz w:val="28"/>
          <w:szCs w:val="28"/>
          <w:lang w:val="en-US" w:eastAsia="zh-CN"/>
        </w:rPr>
      </w:pPr>
      <w:r>
        <w:rPr>
          <w:rFonts w:hint="eastAsia" w:ascii="宋体" w:hAnsi="宋体"/>
          <w:b/>
          <w:color w:val="auto"/>
          <w:sz w:val="28"/>
          <w:szCs w:val="28"/>
          <w:lang w:val="en-US" w:eastAsia="zh-CN"/>
        </w:rPr>
        <w:t>人员配置情况表</w:t>
      </w:r>
    </w:p>
    <w:p>
      <w:pPr>
        <w:spacing w:line="360" w:lineRule="auto"/>
        <w:ind w:right="481" w:rightChars="229"/>
        <w:rPr>
          <w:rFonts w:hint="eastAsia" w:ascii="宋体" w:hAnsi="宋体"/>
          <w:color w:val="auto"/>
          <w:szCs w:val="21"/>
        </w:rPr>
      </w:pPr>
      <w:r>
        <w:rPr>
          <w:rFonts w:hint="eastAsia" w:ascii="宋体" w:hAnsi="宋体"/>
          <w:color w:val="auto"/>
          <w:szCs w:val="21"/>
        </w:rPr>
        <w:t xml:space="preserve">招标编号：                         招标项目名称：                   </w:t>
      </w:r>
    </w:p>
    <w:tbl>
      <w:tblPr>
        <w:tblStyle w:val="45"/>
        <w:tblW w:w="916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260"/>
        <w:gridCol w:w="1440"/>
        <w:gridCol w:w="1745"/>
        <w:gridCol w:w="1332"/>
        <w:gridCol w:w="1605"/>
        <w:gridCol w:w="1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ascii="宋体" w:hAnsi="宋体"/>
                <w:color w:val="auto"/>
                <w:szCs w:val="21"/>
                <w:lang w:val="zh-CN"/>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ascii="宋体" w:hAnsi="宋体"/>
                <w:color w:val="auto"/>
                <w:szCs w:val="21"/>
                <w:lang w:val="zh-CN"/>
              </w:rPr>
              <w:t>姓名</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ascii="宋体" w:hAnsi="宋体"/>
                <w:color w:val="auto"/>
                <w:szCs w:val="21"/>
                <w:lang w:val="zh-CN"/>
              </w:rPr>
              <w:t>职位</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ascii="宋体" w:hAnsi="宋体"/>
                <w:color w:val="auto"/>
                <w:szCs w:val="21"/>
                <w:lang w:val="zh-CN"/>
              </w:rPr>
              <w:t>负责工作任务</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资质证书</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ascii="宋体" w:hAnsi="宋体"/>
                <w:color w:val="auto"/>
                <w:szCs w:val="21"/>
                <w:lang w:val="zh-CN"/>
              </w:rPr>
              <w:t>同类项目工作经历</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20"/>
              <w:jc w:val="center"/>
              <w:rPr>
                <w:rFonts w:ascii="宋体" w:hAnsi="宋体"/>
                <w:color w:val="auto"/>
                <w:szCs w:val="21"/>
              </w:rPr>
            </w:pPr>
            <w:r>
              <w:rPr>
                <w:rFonts w:ascii="宋体" w:hAnsi="宋体"/>
                <w:color w:val="auto"/>
                <w:szCs w:val="21"/>
                <w:lang w:val="zh-CN"/>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ascii="宋体" w:hAnsi="宋体"/>
                <w:color w:val="auto"/>
                <w:szCs w:val="21"/>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ascii="宋体" w:hAnsi="宋体"/>
                <w:color w:val="auto"/>
                <w:szCs w:val="21"/>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ascii="宋体" w:hAnsi="宋体"/>
                <w:color w:val="auto"/>
                <w:szCs w:val="21"/>
              </w:rPr>
              <w:t>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ascii="宋体" w:hAnsi="宋体"/>
                <w:color w:val="auto"/>
                <w:szCs w:val="21"/>
              </w:rPr>
              <w:t>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ascii="宋体" w:hAnsi="宋体"/>
                <w:color w:val="auto"/>
                <w:szCs w:val="21"/>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ascii="宋体" w:hAnsi="宋体"/>
                <w:color w:val="auto"/>
                <w:szCs w:val="21"/>
              </w:rPr>
              <w:t>6</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ascii="宋体" w:hAnsi="宋体"/>
                <w:color w:val="auto"/>
                <w:szCs w:val="21"/>
              </w:rPr>
              <w:t>7</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ascii="宋体" w:hAnsi="宋体"/>
                <w:color w:val="auto"/>
                <w:szCs w:val="21"/>
              </w:rPr>
              <w:t>8</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ascii="宋体" w:hAnsi="宋体"/>
                <w:color w:val="auto"/>
                <w:szCs w:val="21"/>
              </w:rPr>
              <w:t>9</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p>
        </w:tc>
      </w:tr>
    </w:tbl>
    <w:p>
      <w:pPr>
        <w:pStyle w:val="20"/>
        <w:spacing w:line="360" w:lineRule="auto"/>
        <w:rPr>
          <w:rFonts w:hint="eastAsia" w:ascii="宋体" w:hAnsi="宋体" w:eastAsia="宋体" w:cs="宋体"/>
          <w:b/>
          <w:bCs/>
          <w:color w:val="auto"/>
          <w:sz w:val="21"/>
          <w:szCs w:val="21"/>
        </w:rPr>
      </w:pPr>
    </w:p>
    <w:p>
      <w:pPr>
        <w:pStyle w:val="20"/>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注：表后附社保部门出具的由</w:t>
      </w:r>
      <w:r>
        <w:rPr>
          <w:rFonts w:hint="eastAsia" w:ascii="宋体" w:hAnsi="宋体" w:cs="宋体"/>
          <w:b/>
          <w:bCs/>
          <w:color w:val="auto"/>
          <w:sz w:val="21"/>
          <w:szCs w:val="21"/>
          <w:lang w:val="en-US" w:eastAsia="zh-CN"/>
        </w:rPr>
        <w:t>响应单位</w:t>
      </w:r>
      <w:r>
        <w:rPr>
          <w:rFonts w:hint="eastAsia" w:ascii="宋体" w:hAnsi="宋体" w:eastAsia="宋体" w:cs="宋体"/>
          <w:b/>
          <w:bCs/>
          <w:color w:val="auto"/>
          <w:sz w:val="21"/>
          <w:szCs w:val="21"/>
        </w:rPr>
        <w:t>为其缴纳的开标前三个月</w:t>
      </w:r>
      <w:r>
        <w:rPr>
          <w:rFonts w:hint="eastAsia" w:ascii="宋体" w:hAnsi="宋体" w:cs="宋体"/>
          <w:b/>
          <w:bCs/>
          <w:color w:val="auto"/>
          <w:sz w:val="21"/>
          <w:szCs w:val="21"/>
          <w:lang w:val="en-US" w:eastAsia="zh-CN" w:bidi="ar"/>
        </w:rPr>
        <w:t>内任一个月</w:t>
      </w:r>
      <w:r>
        <w:rPr>
          <w:rFonts w:hint="eastAsia" w:ascii="宋体" w:hAnsi="宋体" w:eastAsia="宋体" w:cs="宋体"/>
          <w:b/>
          <w:bCs/>
          <w:color w:val="auto"/>
          <w:sz w:val="21"/>
          <w:szCs w:val="21"/>
          <w:lang w:bidi="ar"/>
        </w:rPr>
        <w:t>的</w:t>
      </w:r>
      <w:r>
        <w:rPr>
          <w:rFonts w:hint="eastAsia" w:ascii="宋体" w:hAnsi="宋体" w:eastAsia="宋体" w:cs="宋体"/>
          <w:b/>
          <w:bCs/>
          <w:color w:val="auto"/>
          <w:sz w:val="21"/>
          <w:szCs w:val="21"/>
        </w:rPr>
        <w:t>社会保险缴费证明材料</w:t>
      </w:r>
      <w:r>
        <w:rPr>
          <w:rFonts w:hint="eastAsia" w:ascii="宋体" w:hAnsi="宋体" w:eastAsia="宋体" w:cs="宋体"/>
          <w:b/>
          <w:bCs/>
          <w:color w:val="auto"/>
          <w:sz w:val="21"/>
          <w:szCs w:val="21"/>
          <w:lang w:bidi="ar"/>
        </w:rPr>
        <w:t>复印件加盖公章</w:t>
      </w:r>
    </w:p>
    <w:p>
      <w:pPr>
        <w:adjustRightInd w:val="0"/>
        <w:snapToGrid w:val="0"/>
        <w:spacing w:line="440" w:lineRule="exact"/>
        <w:jc w:val="right"/>
        <w:rPr>
          <w:rFonts w:ascii="宋体" w:hAnsi="宋体" w:cs="宋体"/>
          <w:color w:val="auto"/>
        </w:rPr>
      </w:pPr>
      <w:r>
        <w:rPr>
          <w:rFonts w:hint="eastAsia" w:ascii="宋体" w:hAnsi="宋体" w:cs="宋体"/>
          <w:color w:val="auto"/>
        </w:rPr>
        <w:t xml:space="preserve">供应商盖章（公章）：             </w:t>
      </w:r>
    </w:p>
    <w:p>
      <w:pPr>
        <w:adjustRightInd w:val="0"/>
        <w:snapToGrid w:val="0"/>
        <w:spacing w:line="440" w:lineRule="exact"/>
        <w:jc w:val="right"/>
        <w:rPr>
          <w:rFonts w:ascii="宋体" w:hAnsi="宋体" w:cs="宋体"/>
          <w:color w:val="auto"/>
        </w:rPr>
      </w:pPr>
      <w:r>
        <w:rPr>
          <w:rFonts w:hint="eastAsia" w:ascii="宋体" w:hAnsi="宋体" w:cs="宋体"/>
          <w:color w:val="auto"/>
        </w:rPr>
        <w:t xml:space="preserve">           法定代表人或其委托代理人（签字或盖章）：</w:t>
      </w:r>
    </w:p>
    <w:p>
      <w:pPr>
        <w:spacing w:line="360" w:lineRule="auto"/>
        <w:jc w:val="left"/>
        <w:rPr>
          <w:rFonts w:ascii="宋体" w:hAnsi="宋体" w:cs="宋体"/>
          <w:color w:val="auto"/>
        </w:rPr>
      </w:pPr>
      <w:r>
        <w:rPr>
          <w:rFonts w:hint="eastAsia" w:ascii="宋体" w:hAnsi="宋体" w:cs="宋体"/>
          <w:color w:val="auto"/>
        </w:rPr>
        <w:t xml:space="preserve">                                                                   年  月  日</w:t>
      </w:r>
    </w:p>
    <w:p>
      <w:pPr>
        <w:rPr>
          <w:rFonts w:ascii="宋体" w:hAnsi="宋体" w:cs="宋体"/>
          <w:color w:val="auto"/>
        </w:rPr>
      </w:pPr>
      <w:r>
        <w:rPr>
          <w:rFonts w:hint="eastAsia" w:ascii="宋体" w:hAnsi="宋体" w:cs="宋体"/>
          <w:color w:val="auto"/>
        </w:rPr>
        <w:br w:type="page"/>
      </w:r>
    </w:p>
    <w:p>
      <w:pPr>
        <w:spacing w:line="360" w:lineRule="auto"/>
        <w:rPr>
          <w:b/>
          <w:color w:val="auto"/>
        </w:rPr>
      </w:pPr>
      <w:bookmarkStart w:id="6" w:name="_Toc275865617"/>
      <w:bookmarkStart w:id="7" w:name="_Toc50737333"/>
      <w:bookmarkStart w:id="8" w:name="_Toc50736481"/>
      <w:bookmarkStart w:id="9" w:name="_Toc50737301"/>
      <w:bookmarkStart w:id="10" w:name="_Toc50691044"/>
      <w:bookmarkStart w:id="11" w:name="_Toc52165085"/>
      <w:r>
        <w:rPr>
          <w:rFonts w:hint="eastAsia"/>
          <w:b/>
          <w:color w:val="auto"/>
        </w:rPr>
        <w:t>8、同类业绩情况一览表</w:t>
      </w:r>
      <w:bookmarkEnd w:id="6"/>
      <w:bookmarkEnd w:id="7"/>
      <w:bookmarkEnd w:id="8"/>
      <w:bookmarkEnd w:id="9"/>
      <w:bookmarkEnd w:id="10"/>
      <w:bookmarkEnd w:id="11"/>
    </w:p>
    <w:p>
      <w:pPr>
        <w:ind w:firstLine="210" w:firstLineChars="100"/>
        <w:rPr>
          <w:rFonts w:ascii="宋体" w:hAnsi="宋体"/>
          <w:b/>
          <w:bCs/>
          <w:color w:val="auto"/>
          <w:u w:val="single"/>
        </w:rPr>
      </w:pPr>
      <w:r>
        <w:rPr>
          <w:rFonts w:hint="eastAsia" w:ascii="宋体" w:hAnsi="宋体"/>
          <w:color w:val="auto"/>
        </w:rPr>
        <w:t xml:space="preserve">                           </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280"/>
        <w:gridCol w:w="1670"/>
        <w:gridCol w:w="1515"/>
        <w:gridCol w:w="18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序号</w:t>
            </w:r>
          </w:p>
        </w:tc>
        <w:tc>
          <w:tcPr>
            <w:tcW w:w="170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业主名称</w:t>
            </w:r>
          </w:p>
        </w:tc>
        <w:tc>
          <w:tcPr>
            <w:tcW w:w="128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项目名称</w:t>
            </w:r>
          </w:p>
        </w:tc>
        <w:tc>
          <w:tcPr>
            <w:tcW w:w="167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设备名称/</w:t>
            </w:r>
          </w:p>
          <w:p>
            <w:pPr>
              <w:adjustRightInd w:val="0"/>
              <w:snapToGrid w:val="0"/>
              <w:ind w:left="-84" w:leftChars="-40" w:right="-107" w:rightChars="-51"/>
              <w:jc w:val="center"/>
              <w:rPr>
                <w:rFonts w:ascii="宋体" w:hAnsi="宋体"/>
                <w:color w:val="auto"/>
              </w:rPr>
            </w:pPr>
            <w:r>
              <w:rPr>
                <w:rFonts w:hint="eastAsia" w:ascii="宋体" w:hAnsi="宋体"/>
                <w:color w:val="auto"/>
              </w:rPr>
              <w:t>服务内容</w:t>
            </w:r>
          </w:p>
        </w:tc>
        <w:tc>
          <w:tcPr>
            <w:tcW w:w="151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合同总价</w:t>
            </w:r>
          </w:p>
        </w:tc>
        <w:tc>
          <w:tcPr>
            <w:tcW w:w="182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color w:val="auto"/>
              </w:rPr>
            </w:pPr>
            <w:r>
              <w:rPr>
                <w:rFonts w:hint="eastAsia" w:ascii="宋体" w:hAnsi="宋体"/>
                <w:color w:val="auto"/>
              </w:rPr>
              <w:t>单位联系人及电话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17" w:type="dxa"/>
            <w:vAlign w:val="center"/>
          </w:tcPr>
          <w:p>
            <w:pPr>
              <w:jc w:val="center"/>
              <w:rPr>
                <w:rFonts w:ascii="宋体" w:hAnsi="宋体"/>
                <w:color w:val="auto"/>
              </w:rPr>
            </w:pPr>
            <w:r>
              <w:rPr>
                <w:rFonts w:hint="eastAsia" w:ascii="宋体" w:hAnsi="宋体"/>
                <w:color w:val="auto"/>
              </w:rPr>
              <w:t>1</w:t>
            </w:r>
          </w:p>
        </w:tc>
        <w:tc>
          <w:tcPr>
            <w:tcW w:w="1701" w:type="dxa"/>
            <w:vAlign w:val="center"/>
          </w:tcPr>
          <w:p>
            <w:pPr>
              <w:jc w:val="center"/>
              <w:rPr>
                <w:rFonts w:ascii="宋体" w:hAnsi="宋体"/>
                <w:color w:val="auto"/>
              </w:rPr>
            </w:pPr>
          </w:p>
        </w:tc>
        <w:tc>
          <w:tcPr>
            <w:tcW w:w="1280" w:type="dxa"/>
            <w:vAlign w:val="center"/>
          </w:tcPr>
          <w:p>
            <w:pPr>
              <w:jc w:val="center"/>
              <w:rPr>
                <w:rFonts w:ascii="宋体" w:hAnsi="宋体"/>
                <w:color w:val="auto"/>
              </w:rPr>
            </w:pPr>
          </w:p>
        </w:tc>
        <w:tc>
          <w:tcPr>
            <w:tcW w:w="1670" w:type="dxa"/>
            <w:vAlign w:val="center"/>
          </w:tcPr>
          <w:p>
            <w:pPr>
              <w:jc w:val="center"/>
              <w:rPr>
                <w:rFonts w:ascii="宋体" w:hAnsi="宋体"/>
                <w:color w:val="auto"/>
              </w:rPr>
            </w:pPr>
          </w:p>
        </w:tc>
        <w:tc>
          <w:tcPr>
            <w:tcW w:w="1515" w:type="dxa"/>
            <w:vAlign w:val="center"/>
          </w:tcPr>
          <w:p>
            <w:pPr>
              <w:jc w:val="center"/>
              <w:rPr>
                <w:rFonts w:ascii="宋体" w:hAnsi="宋体"/>
                <w:color w:val="auto"/>
              </w:rPr>
            </w:pPr>
          </w:p>
        </w:tc>
        <w:tc>
          <w:tcPr>
            <w:tcW w:w="1824" w:type="dxa"/>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17" w:type="dxa"/>
            <w:vAlign w:val="center"/>
          </w:tcPr>
          <w:p>
            <w:pPr>
              <w:jc w:val="center"/>
              <w:rPr>
                <w:rFonts w:ascii="宋体" w:hAnsi="宋体"/>
                <w:color w:val="auto"/>
              </w:rPr>
            </w:pPr>
            <w:r>
              <w:rPr>
                <w:rFonts w:hint="eastAsia" w:ascii="宋体" w:hAnsi="宋体"/>
                <w:color w:val="auto"/>
              </w:rPr>
              <w:t>2</w:t>
            </w:r>
          </w:p>
        </w:tc>
        <w:tc>
          <w:tcPr>
            <w:tcW w:w="1701" w:type="dxa"/>
            <w:vAlign w:val="center"/>
          </w:tcPr>
          <w:p>
            <w:pPr>
              <w:jc w:val="center"/>
              <w:rPr>
                <w:rFonts w:ascii="宋体" w:hAnsi="宋体"/>
                <w:color w:val="auto"/>
              </w:rPr>
            </w:pPr>
          </w:p>
        </w:tc>
        <w:tc>
          <w:tcPr>
            <w:tcW w:w="1280" w:type="dxa"/>
            <w:vAlign w:val="center"/>
          </w:tcPr>
          <w:p>
            <w:pPr>
              <w:jc w:val="center"/>
              <w:rPr>
                <w:rFonts w:ascii="宋体" w:hAnsi="宋体"/>
                <w:color w:val="auto"/>
              </w:rPr>
            </w:pPr>
          </w:p>
        </w:tc>
        <w:tc>
          <w:tcPr>
            <w:tcW w:w="1670" w:type="dxa"/>
            <w:vAlign w:val="center"/>
          </w:tcPr>
          <w:p>
            <w:pPr>
              <w:jc w:val="center"/>
              <w:rPr>
                <w:rFonts w:ascii="宋体" w:hAnsi="宋体"/>
                <w:color w:val="auto"/>
              </w:rPr>
            </w:pPr>
          </w:p>
        </w:tc>
        <w:tc>
          <w:tcPr>
            <w:tcW w:w="1515" w:type="dxa"/>
            <w:vAlign w:val="center"/>
          </w:tcPr>
          <w:p>
            <w:pPr>
              <w:jc w:val="center"/>
              <w:rPr>
                <w:rFonts w:ascii="宋体" w:hAnsi="宋体"/>
                <w:color w:val="auto"/>
              </w:rPr>
            </w:pPr>
          </w:p>
        </w:tc>
        <w:tc>
          <w:tcPr>
            <w:tcW w:w="1824" w:type="dxa"/>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17" w:type="dxa"/>
            <w:vAlign w:val="center"/>
          </w:tcPr>
          <w:p>
            <w:pPr>
              <w:rPr>
                <w:rFonts w:ascii="宋体" w:hAnsi="宋体"/>
                <w:color w:val="auto"/>
              </w:rPr>
            </w:pPr>
            <w:r>
              <w:rPr>
                <w:rFonts w:ascii="宋体" w:hAnsi="宋体"/>
                <w:color w:val="auto"/>
              </w:rPr>
              <w:t>…</w:t>
            </w:r>
          </w:p>
        </w:tc>
        <w:tc>
          <w:tcPr>
            <w:tcW w:w="1701" w:type="dxa"/>
            <w:vAlign w:val="center"/>
          </w:tcPr>
          <w:p>
            <w:pPr>
              <w:jc w:val="center"/>
              <w:rPr>
                <w:rFonts w:ascii="宋体" w:hAnsi="宋体"/>
                <w:color w:val="auto"/>
              </w:rPr>
            </w:pPr>
          </w:p>
        </w:tc>
        <w:tc>
          <w:tcPr>
            <w:tcW w:w="1280" w:type="dxa"/>
            <w:vAlign w:val="center"/>
          </w:tcPr>
          <w:p>
            <w:pPr>
              <w:jc w:val="center"/>
              <w:rPr>
                <w:rFonts w:ascii="宋体" w:hAnsi="宋体"/>
                <w:color w:val="auto"/>
              </w:rPr>
            </w:pPr>
          </w:p>
        </w:tc>
        <w:tc>
          <w:tcPr>
            <w:tcW w:w="1670" w:type="dxa"/>
            <w:vAlign w:val="center"/>
          </w:tcPr>
          <w:p>
            <w:pPr>
              <w:jc w:val="center"/>
              <w:rPr>
                <w:rFonts w:ascii="宋体" w:hAnsi="宋体"/>
                <w:color w:val="auto"/>
              </w:rPr>
            </w:pPr>
          </w:p>
        </w:tc>
        <w:tc>
          <w:tcPr>
            <w:tcW w:w="1515" w:type="dxa"/>
            <w:vAlign w:val="center"/>
          </w:tcPr>
          <w:p>
            <w:pPr>
              <w:jc w:val="center"/>
              <w:rPr>
                <w:rFonts w:ascii="宋体" w:hAnsi="宋体"/>
                <w:color w:val="auto"/>
              </w:rPr>
            </w:pPr>
          </w:p>
        </w:tc>
        <w:tc>
          <w:tcPr>
            <w:tcW w:w="1824" w:type="dxa"/>
            <w:vAlign w:val="center"/>
          </w:tcPr>
          <w:p>
            <w:pPr>
              <w:jc w:val="center"/>
              <w:rPr>
                <w:rFonts w:ascii="宋体" w:hAnsi="宋体"/>
                <w:color w:val="auto"/>
              </w:rPr>
            </w:pPr>
          </w:p>
        </w:tc>
      </w:tr>
    </w:tbl>
    <w:p>
      <w:pPr>
        <w:adjustRightInd w:val="0"/>
        <w:snapToGrid w:val="0"/>
        <w:spacing w:line="360" w:lineRule="auto"/>
        <w:ind w:left="-141" w:leftChars="-67"/>
        <w:rPr>
          <w:rFonts w:ascii="宋体" w:hAnsi="宋体"/>
          <w:color w:val="auto"/>
          <w:szCs w:val="21"/>
        </w:rPr>
      </w:pPr>
      <w:r>
        <w:rPr>
          <w:rFonts w:hint="eastAsia" w:ascii="宋体" w:hAnsi="宋体"/>
          <w:bCs/>
          <w:color w:val="auto"/>
        </w:rPr>
        <w:t>备注：</w:t>
      </w:r>
      <w:r>
        <w:rPr>
          <w:rFonts w:hint="eastAsia" w:ascii="宋体" w:hAnsi="宋体"/>
          <w:color w:val="auto"/>
          <w:spacing w:val="4"/>
        </w:rPr>
        <w:t>根据</w:t>
      </w:r>
      <w:r>
        <w:rPr>
          <w:rFonts w:hint="eastAsia" w:ascii="宋体" w:hAnsi="宋体"/>
          <w:color w:val="auto"/>
          <w:szCs w:val="21"/>
        </w:rPr>
        <w:t>评分标准的要求提交相应资料。</w:t>
      </w:r>
    </w:p>
    <w:p>
      <w:pPr>
        <w:pStyle w:val="57"/>
        <w:rPr>
          <w:color w:val="auto"/>
        </w:rPr>
      </w:pPr>
    </w:p>
    <w:p>
      <w:pPr>
        <w:pStyle w:val="58"/>
        <w:rPr>
          <w:rFonts w:hAnsi="宋体" w:cs="宋体"/>
          <w:color w:val="auto"/>
          <w:szCs w:val="21"/>
        </w:rPr>
      </w:pPr>
    </w:p>
    <w:p>
      <w:pPr>
        <w:snapToGrid w:val="0"/>
        <w:spacing w:line="360" w:lineRule="auto"/>
        <w:jc w:val="left"/>
        <w:rPr>
          <w:rFonts w:ascii="宋体" w:hAnsi="宋体" w:cs="宋体"/>
          <w:color w:val="auto"/>
          <w:szCs w:val="21"/>
        </w:rPr>
        <w:sectPr>
          <w:pgSz w:w="11906" w:h="16838"/>
          <w:pgMar w:top="1474" w:right="1797" w:bottom="1247" w:left="1797" w:header="851" w:footer="851" w:gutter="0"/>
          <w:cols w:space="720" w:num="1"/>
          <w:titlePg/>
          <w:docGrid w:linePitch="312" w:charSpace="0"/>
        </w:sectPr>
      </w:pPr>
    </w:p>
    <w:p>
      <w:pPr>
        <w:rPr>
          <w:rFonts w:ascii="宋体" w:hAnsi="宋体" w:cs="宋体"/>
          <w:color w:val="auto"/>
        </w:rPr>
      </w:pPr>
      <w:r>
        <w:rPr>
          <w:rFonts w:hint="eastAsia" w:ascii="宋体" w:hAnsi="宋体" w:cs="宋体"/>
          <w:color w:val="auto"/>
        </w:rPr>
        <w:t>三、报价文件的外包装封面格式：</w:t>
      </w:r>
    </w:p>
    <w:p>
      <w:pPr>
        <w:rPr>
          <w:rFonts w:ascii="宋体" w:hAnsi="宋体" w:cs="宋体"/>
          <w:color w:val="auto"/>
        </w:rPr>
      </w:pP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 xml:space="preserve"> </w:t>
      </w:r>
    </w:p>
    <w:p>
      <w:pPr>
        <w:jc w:val="center"/>
        <w:rPr>
          <w:rFonts w:ascii="宋体" w:hAnsi="宋体" w:cs="宋体"/>
          <w:b/>
          <w:bCs/>
          <w:color w:val="auto"/>
          <w:sz w:val="32"/>
          <w:szCs w:val="32"/>
        </w:rPr>
      </w:pPr>
      <w:r>
        <w:rPr>
          <w:rFonts w:hint="eastAsia" w:ascii="宋体" w:hAnsi="宋体" w:cs="宋体"/>
          <w:b/>
          <w:bCs/>
          <w:color w:val="auto"/>
          <w:sz w:val="32"/>
          <w:szCs w:val="32"/>
        </w:rPr>
        <w:t>报价文件</w:t>
      </w:r>
    </w:p>
    <w:p>
      <w:pPr>
        <w:rPr>
          <w:rFonts w:ascii="宋体" w:hAnsi="宋体" w:cs="宋体"/>
          <w:color w:val="auto"/>
          <w:szCs w:val="21"/>
        </w:rPr>
      </w:pP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项目名称：                        项目</w:t>
      </w:r>
    </w:p>
    <w:p>
      <w:pPr>
        <w:rPr>
          <w:rFonts w:ascii="宋体" w:hAnsi="宋体" w:cs="宋体"/>
          <w:color w:val="auto"/>
        </w:rPr>
      </w:pPr>
      <w:r>
        <w:rPr>
          <w:rFonts w:hint="eastAsia" w:ascii="宋体" w:hAnsi="宋体" w:cs="宋体"/>
          <w:color w:val="auto"/>
        </w:rPr>
        <w:t xml:space="preserve">项目编号： </w:t>
      </w:r>
    </w:p>
    <w:p>
      <w:pPr>
        <w:rPr>
          <w:rFonts w:ascii="宋体" w:hAnsi="宋体" w:cs="宋体"/>
          <w:color w:val="auto"/>
        </w:rPr>
      </w:pPr>
      <w:r>
        <w:rPr>
          <w:rFonts w:hint="eastAsia" w:ascii="宋体" w:hAnsi="宋体" w:cs="宋体"/>
          <w:color w:val="auto"/>
        </w:rPr>
        <w:t>标项：</w:t>
      </w:r>
    </w:p>
    <w:p>
      <w:pPr>
        <w:rPr>
          <w:rFonts w:ascii="宋体" w:hAnsi="宋体" w:cs="宋体"/>
          <w:color w:val="auto"/>
        </w:rPr>
      </w:pPr>
      <w:r>
        <w:rPr>
          <w:rFonts w:hint="eastAsia" w:ascii="宋体" w:hAnsi="宋体" w:cs="宋体"/>
          <w:color w:val="auto"/>
        </w:rPr>
        <w:t>供应商名称：</w:t>
      </w:r>
    </w:p>
    <w:p>
      <w:pPr>
        <w:rPr>
          <w:rFonts w:ascii="宋体" w:hAnsi="宋体" w:cs="宋体"/>
          <w:color w:val="auto"/>
        </w:rPr>
      </w:pPr>
      <w:r>
        <w:rPr>
          <w:rFonts w:hint="eastAsia" w:ascii="宋体" w:hAnsi="宋体" w:cs="宋体"/>
          <w:color w:val="auto"/>
        </w:rPr>
        <w:t>供应商地址：</w:t>
      </w:r>
    </w:p>
    <w:p>
      <w:pPr>
        <w:pStyle w:val="58"/>
        <w:rPr>
          <w:color w:val="auto"/>
        </w:rPr>
      </w:pPr>
    </w:p>
    <w:p>
      <w:pPr>
        <w:rPr>
          <w:rFonts w:ascii="宋体" w:hAnsi="宋体" w:cs="宋体"/>
          <w:color w:val="auto"/>
        </w:rPr>
      </w:pPr>
      <w:r>
        <w:rPr>
          <w:rFonts w:hint="eastAsia" w:ascii="宋体" w:hAnsi="宋体" w:cs="宋体"/>
          <w:color w:val="auto"/>
        </w:rPr>
        <w:t>在  年  月  日  时  分之前不得启封</w:t>
      </w:r>
    </w:p>
    <w:p>
      <w:pPr>
        <w:rPr>
          <w:rFonts w:ascii="宋体" w:hAnsi="宋体" w:cs="宋体"/>
          <w:color w:val="auto"/>
        </w:rPr>
      </w:pPr>
      <w:r>
        <w:rPr>
          <w:rFonts w:hint="eastAsia" w:ascii="宋体" w:hAnsi="宋体" w:cs="宋体"/>
          <w:color w:val="auto"/>
        </w:rPr>
        <w:t xml:space="preserve"> </w:t>
      </w:r>
    </w:p>
    <w:p>
      <w:pPr>
        <w:ind w:firstLine="5460" w:firstLineChars="2600"/>
        <w:rPr>
          <w:rFonts w:ascii="宋体" w:hAnsi="宋体" w:cs="宋体"/>
          <w:color w:val="auto"/>
        </w:rPr>
      </w:pPr>
      <w:r>
        <w:rPr>
          <w:rFonts w:hint="eastAsia" w:ascii="宋体" w:hAnsi="宋体" w:cs="宋体"/>
          <w:color w:val="auto"/>
        </w:rPr>
        <w:t>（供应商公章）</w:t>
      </w:r>
    </w:p>
    <w:p>
      <w:pPr>
        <w:rPr>
          <w:rFonts w:ascii="宋体" w:hAnsi="宋体" w:cs="宋体"/>
          <w:color w:val="auto"/>
        </w:rPr>
      </w:pP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 xml:space="preserve">                                                       年  月  日</w:t>
      </w:r>
    </w:p>
    <w:p>
      <w:pPr>
        <w:rPr>
          <w:rFonts w:ascii="宋体" w:hAnsi="宋体" w:cs="宋体"/>
          <w:color w:val="auto"/>
        </w:rPr>
      </w:pP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 xml:space="preserve">三、报价文件封面格式： </w:t>
      </w:r>
    </w:p>
    <w:p>
      <w:pPr>
        <w:rPr>
          <w:rFonts w:ascii="宋体" w:hAnsi="宋体" w:cs="宋体"/>
          <w:color w:val="auto"/>
        </w:rPr>
      </w:pPr>
      <w:r>
        <w:rPr>
          <w:rFonts w:hint="eastAsia" w:ascii="宋体" w:hAnsi="宋体" w:cs="宋体"/>
          <w:color w:val="auto"/>
        </w:rPr>
        <w:t xml:space="preserve">                                                    </w:t>
      </w:r>
    </w:p>
    <w:p>
      <w:pPr>
        <w:jc w:val="right"/>
        <w:rPr>
          <w:rFonts w:ascii="宋体" w:hAnsi="宋体" w:cs="宋体"/>
          <w:color w:val="auto"/>
        </w:rPr>
      </w:pPr>
      <w:r>
        <w:rPr>
          <w:rFonts w:hint="eastAsia" w:ascii="宋体" w:hAnsi="宋体" w:cs="宋体"/>
          <w:color w:val="auto"/>
        </w:rPr>
        <w:t>正本/或副本</w:t>
      </w:r>
    </w:p>
    <w:p>
      <w:pPr>
        <w:rPr>
          <w:rFonts w:ascii="宋体" w:hAnsi="宋体" w:cs="宋体"/>
          <w:color w:val="auto"/>
        </w:rPr>
      </w:pP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报价文件</w:t>
      </w:r>
    </w:p>
    <w:p>
      <w:pPr>
        <w:rPr>
          <w:rFonts w:ascii="宋体" w:hAnsi="宋体" w:cs="宋体"/>
          <w:color w:val="auto"/>
        </w:rPr>
      </w:pP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项目名称：                   项目</w:t>
      </w:r>
    </w:p>
    <w:p>
      <w:pPr>
        <w:rPr>
          <w:rFonts w:ascii="宋体" w:hAnsi="宋体" w:cs="宋体"/>
          <w:color w:val="auto"/>
        </w:rPr>
      </w:pPr>
      <w:r>
        <w:rPr>
          <w:rFonts w:hint="eastAsia" w:ascii="宋体" w:hAnsi="宋体" w:cs="宋体"/>
          <w:color w:val="auto"/>
        </w:rPr>
        <w:t>项目编号：</w:t>
      </w:r>
    </w:p>
    <w:p>
      <w:pPr>
        <w:rPr>
          <w:rFonts w:ascii="宋体" w:hAnsi="宋体" w:cs="宋体"/>
          <w:color w:val="auto"/>
        </w:rPr>
      </w:pPr>
      <w:r>
        <w:rPr>
          <w:rFonts w:hint="eastAsia" w:ascii="宋体" w:hAnsi="宋体" w:cs="宋体"/>
          <w:color w:val="auto"/>
        </w:rPr>
        <w:t xml:space="preserve">标项： </w:t>
      </w:r>
    </w:p>
    <w:p>
      <w:pPr>
        <w:rPr>
          <w:rFonts w:ascii="宋体" w:hAnsi="宋体" w:cs="宋体"/>
          <w:color w:val="auto"/>
        </w:rPr>
      </w:pPr>
      <w:r>
        <w:rPr>
          <w:rFonts w:hint="eastAsia" w:ascii="宋体" w:hAnsi="宋体" w:cs="宋体"/>
          <w:color w:val="auto"/>
        </w:rPr>
        <w:t>供应商名称：</w:t>
      </w:r>
    </w:p>
    <w:p>
      <w:pPr>
        <w:rPr>
          <w:rFonts w:ascii="宋体" w:hAnsi="宋体" w:cs="宋体"/>
          <w:color w:val="auto"/>
        </w:rPr>
      </w:pPr>
      <w:r>
        <w:rPr>
          <w:rFonts w:hint="eastAsia" w:ascii="宋体" w:hAnsi="宋体" w:cs="宋体"/>
          <w:color w:val="auto"/>
        </w:rPr>
        <w:t>供应商地址：</w:t>
      </w:r>
    </w:p>
    <w:p>
      <w:pPr>
        <w:rPr>
          <w:rFonts w:ascii="宋体" w:hAnsi="宋体" w:cs="宋体"/>
          <w:color w:val="auto"/>
        </w:rPr>
      </w:pP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 xml:space="preserve"> </w:t>
      </w:r>
    </w:p>
    <w:p>
      <w:pPr>
        <w:ind w:firstLine="5670" w:firstLineChars="2700"/>
        <w:rPr>
          <w:rFonts w:ascii="宋体" w:hAnsi="宋体" w:cs="宋体"/>
          <w:color w:val="auto"/>
        </w:rPr>
      </w:pPr>
      <w:r>
        <w:rPr>
          <w:rFonts w:hint="eastAsia" w:ascii="宋体" w:hAnsi="宋体" w:cs="宋体"/>
          <w:color w:val="auto"/>
        </w:rPr>
        <w:t>（供应商公章）</w:t>
      </w:r>
    </w:p>
    <w:p>
      <w:pPr>
        <w:rPr>
          <w:rFonts w:ascii="宋体" w:hAnsi="宋体" w:cs="宋体"/>
          <w:color w:val="auto"/>
        </w:rPr>
      </w:pP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 xml:space="preserve">                                                          年  月  日</w:t>
      </w:r>
    </w:p>
    <w:p>
      <w:pPr>
        <w:pStyle w:val="27"/>
        <w:spacing w:line="360" w:lineRule="auto"/>
        <w:ind w:left="101" w:leftChars="48" w:firstLine="2560" w:firstLineChars="800"/>
        <w:jc w:val="left"/>
        <w:rPr>
          <w:rFonts w:ascii="宋体" w:hAnsi="宋体" w:eastAsia="宋体" w:cs="宋体"/>
          <w:color w:val="auto"/>
          <w:szCs w:val="36"/>
        </w:rPr>
      </w:pPr>
    </w:p>
    <w:p>
      <w:pPr>
        <w:rPr>
          <w:rFonts w:ascii="宋体" w:hAnsi="宋体" w:cs="宋体"/>
          <w:color w:val="auto"/>
          <w:szCs w:val="36"/>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snapToGrid w:val="0"/>
        <w:spacing w:line="360" w:lineRule="auto"/>
        <w:ind w:firstLine="413" w:firstLineChars="196"/>
        <w:jc w:val="left"/>
        <w:rPr>
          <w:rFonts w:ascii="宋体" w:hAnsi="宋体" w:cs="宋体"/>
          <w:b/>
          <w:bCs/>
          <w:color w:val="auto"/>
          <w:szCs w:val="21"/>
        </w:rPr>
      </w:pPr>
      <w:r>
        <w:rPr>
          <w:rFonts w:hint="eastAsia" w:ascii="宋体" w:hAnsi="宋体" w:cs="宋体"/>
          <w:b/>
          <w:bCs/>
          <w:color w:val="auto"/>
          <w:szCs w:val="21"/>
        </w:rPr>
        <w:t>3、报价文件包括：</w:t>
      </w:r>
    </w:p>
    <w:p>
      <w:pPr>
        <w:snapToGrid w:val="0"/>
        <w:spacing w:line="360" w:lineRule="auto"/>
        <w:ind w:firstLine="420" w:firstLineChars="200"/>
        <w:jc w:val="left"/>
        <w:rPr>
          <w:rFonts w:ascii="宋体" w:hAnsi="宋体" w:cs="宋体"/>
          <w:b/>
          <w:color w:val="auto"/>
          <w:szCs w:val="21"/>
        </w:rPr>
      </w:pPr>
      <w:r>
        <w:rPr>
          <w:rFonts w:hint="eastAsia" w:ascii="宋体" w:hAnsi="宋体" w:cs="宋体"/>
          <w:color w:val="auto"/>
          <w:szCs w:val="21"/>
        </w:rPr>
        <w:t>3.1、磋商响应书（格式附后）；</w:t>
      </w:r>
    </w:p>
    <w:p>
      <w:pPr>
        <w:snapToGrid w:val="0"/>
        <w:spacing w:line="360" w:lineRule="auto"/>
        <w:ind w:firstLine="420"/>
        <w:jc w:val="left"/>
        <w:rPr>
          <w:rFonts w:ascii="宋体" w:hAnsi="宋体" w:cs="宋体"/>
          <w:color w:val="auto"/>
          <w:szCs w:val="21"/>
        </w:rPr>
      </w:pPr>
      <w:r>
        <w:rPr>
          <w:rFonts w:hint="eastAsia" w:ascii="宋体" w:hAnsi="宋体" w:cs="宋体"/>
          <w:color w:val="auto"/>
          <w:szCs w:val="21"/>
        </w:rPr>
        <w:t>3.2、初次报价表（格式附后）；</w:t>
      </w:r>
    </w:p>
    <w:p>
      <w:pPr>
        <w:snapToGrid w:val="0"/>
        <w:spacing w:line="360" w:lineRule="auto"/>
        <w:ind w:firstLine="420"/>
        <w:jc w:val="left"/>
        <w:rPr>
          <w:rFonts w:ascii="宋体" w:hAnsi="宋体" w:cs="宋体"/>
          <w:color w:val="auto"/>
          <w:szCs w:val="21"/>
        </w:rPr>
      </w:pPr>
      <w:r>
        <w:rPr>
          <w:rFonts w:hint="eastAsia" w:ascii="宋体" w:hAnsi="宋体" w:cs="宋体"/>
          <w:color w:val="auto"/>
          <w:szCs w:val="21"/>
        </w:rPr>
        <w:t>3.3、中小企业声明函（格式附后）；</w:t>
      </w:r>
    </w:p>
    <w:p>
      <w:pPr>
        <w:spacing w:line="360" w:lineRule="auto"/>
        <w:ind w:firstLine="420" w:firstLineChars="200"/>
        <w:rPr>
          <w:rFonts w:ascii="宋体" w:hAnsi="宋体" w:cs="宋体"/>
          <w:color w:val="auto"/>
        </w:rPr>
      </w:pPr>
      <w:r>
        <w:rPr>
          <w:rFonts w:hint="eastAsia" w:ascii="宋体" w:hAnsi="宋体" w:cs="宋体"/>
          <w:color w:val="auto"/>
          <w:szCs w:val="21"/>
        </w:rPr>
        <w:t>3.4、</w:t>
      </w:r>
      <w:r>
        <w:rPr>
          <w:rFonts w:hint="eastAsia" w:ascii="宋体" w:hAnsi="宋体" w:cs="宋体"/>
          <w:color w:val="auto"/>
        </w:rPr>
        <w:t>残疾人福利性单位声明函，如是提供</w:t>
      </w:r>
      <w:r>
        <w:rPr>
          <w:rFonts w:hint="eastAsia" w:ascii="宋体" w:hAnsi="宋体" w:cs="宋体"/>
          <w:color w:val="auto"/>
          <w:szCs w:val="21"/>
        </w:rPr>
        <w:t>（格式附后）</w:t>
      </w:r>
      <w:r>
        <w:rPr>
          <w:rFonts w:hint="eastAsia" w:ascii="宋体" w:hAnsi="宋体" w:cs="宋体"/>
          <w:color w:val="auto"/>
        </w:rPr>
        <w:t>；</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3.5、其它本磋商文件要求提供的报价部分材料；</w:t>
      </w:r>
    </w:p>
    <w:p>
      <w:pPr>
        <w:pStyle w:val="58"/>
        <w:ind w:left="0" w:firstLine="0"/>
        <w:rPr>
          <w:color w:val="auto"/>
        </w:rPr>
      </w:pPr>
      <w:r>
        <w:rPr>
          <w:rFonts w:hint="eastAsia" w:hAnsi="宋体" w:cs="宋体"/>
          <w:color w:val="auto"/>
          <w:szCs w:val="21"/>
        </w:rPr>
        <w:t xml:space="preserve">    3.6、确定成交服务费支付承诺函（格式附后）。</w:t>
      </w:r>
    </w:p>
    <w:p>
      <w:pPr>
        <w:rPr>
          <w:color w:val="auto"/>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ind w:firstLine="420" w:firstLineChars="200"/>
        <w:rPr>
          <w:rFonts w:ascii="宋体" w:hAnsi="宋体" w:cs="宋体"/>
          <w:color w:val="auto"/>
          <w:szCs w:val="21"/>
        </w:rPr>
      </w:pPr>
    </w:p>
    <w:p>
      <w:pPr>
        <w:rPr>
          <w:rFonts w:ascii="宋体" w:hAnsi="宋体" w:cs="宋体"/>
          <w:b/>
          <w:color w:val="auto"/>
        </w:rPr>
      </w:pPr>
    </w:p>
    <w:p>
      <w:pPr>
        <w:spacing w:line="360" w:lineRule="auto"/>
        <w:jc w:val="left"/>
        <w:rPr>
          <w:rFonts w:ascii="宋体" w:hAnsi="宋体" w:cs="宋体"/>
          <w:color w:val="auto"/>
          <w:szCs w:val="21"/>
        </w:rPr>
        <w:sectPr>
          <w:pgSz w:w="11906" w:h="16838"/>
          <w:pgMar w:top="1474" w:right="1797" w:bottom="1247" w:left="1797" w:header="851" w:footer="851" w:gutter="0"/>
          <w:cols w:space="720" w:num="1"/>
          <w:titlePg/>
          <w:docGrid w:linePitch="312" w:charSpace="0"/>
        </w:sectPr>
      </w:pPr>
    </w:p>
    <w:p>
      <w:pPr>
        <w:spacing w:line="360" w:lineRule="auto"/>
        <w:jc w:val="left"/>
        <w:rPr>
          <w:rFonts w:ascii="宋体" w:hAnsi="宋体" w:cs="宋体"/>
          <w:color w:val="auto"/>
          <w:szCs w:val="21"/>
        </w:rPr>
      </w:pPr>
      <w:r>
        <w:rPr>
          <w:rFonts w:hint="eastAsia" w:ascii="宋体" w:hAnsi="宋体" w:cs="宋体"/>
          <w:color w:val="auto"/>
          <w:szCs w:val="21"/>
        </w:rPr>
        <w:t>1、磋商响应书；</w:t>
      </w:r>
    </w:p>
    <w:p>
      <w:pPr>
        <w:snapToGrid w:val="0"/>
        <w:spacing w:beforeLines="50" w:after="50"/>
        <w:jc w:val="center"/>
        <w:rPr>
          <w:rFonts w:ascii="宋体" w:hAnsi="宋体" w:cs="宋体"/>
          <w:b/>
          <w:color w:val="auto"/>
          <w:szCs w:val="21"/>
        </w:rPr>
      </w:pPr>
      <w:r>
        <w:rPr>
          <w:rFonts w:hint="eastAsia" w:ascii="宋体" w:hAnsi="宋体" w:cs="宋体"/>
          <w:b/>
          <w:color w:val="auto"/>
          <w:sz w:val="28"/>
          <w:szCs w:val="28"/>
        </w:rPr>
        <w:t>磋商响应书</w:t>
      </w:r>
    </w:p>
    <w:p>
      <w:pPr>
        <w:spacing w:line="540" w:lineRule="exact"/>
        <w:jc w:val="left"/>
        <w:rPr>
          <w:rFonts w:ascii="宋体" w:hAnsi="宋体" w:cs="宋体"/>
          <w:color w:val="auto"/>
          <w:szCs w:val="21"/>
        </w:rPr>
      </w:pPr>
      <w:r>
        <w:rPr>
          <w:rFonts w:hint="eastAsia" w:ascii="宋体" w:hAnsi="宋体" w:cs="宋体"/>
          <w:color w:val="auto"/>
          <w:szCs w:val="21"/>
        </w:rPr>
        <w:t>致：宁波中基国际招标有限公司：</w:t>
      </w:r>
    </w:p>
    <w:p>
      <w:pPr>
        <w:spacing w:line="540" w:lineRule="exact"/>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u w:val="single"/>
        </w:rPr>
        <w:t xml:space="preserve">                      </w:t>
      </w:r>
      <w:r>
        <w:rPr>
          <w:rFonts w:hint="eastAsia" w:ascii="宋体" w:hAnsi="宋体" w:cs="宋体"/>
          <w:color w:val="auto"/>
          <w:szCs w:val="21"/>
        </w:rPr>
        <w:t>(磋商响应方全称)授权</w:t>
      </w:r>
      <w:r>
        <w:rPr>
          <w:rFonts w:hint="eastAsia" w:ascii="宋体" w:hAnsi="宋体" w:cs="宋体"/>
          <w:color w:val="auto"/>
          <w:szCs w:val="21"/>
          <w:u w:val="single"/>
        </w:rPr>
        <w:t xml:space="preserve">       </w:t>
      </w:r>
      <w:r>
        <w:rPr>
          <w:rFonts w:hint="eastAsia" w:ascii="宋体" w:hAnsi="宋体" w:cs="宋体"/>
          <w:color w:val="auto"/>
          <w:szCs w:val="21"/>
        </w:rPr>
        <w:t>（全名、职务）为全权代表，参加贵方组织的</w:t>
      </w:r>
      <w:r>
        <w:rPr>
          <w:rFonts w:hint="eastAsia" w:ascii="宋体" w:hAnsi="宋体" w:cs="宋体"/>
          <w:color w:val="auto"/>
          <w:szCs w:val="21"/>
          <w:u w:val="single"/>
        </w:rPr>
        <w:t xml:space="preserve">               </w:t>
      </w:r>
      <w:r>
        <w:rPr>
          <w:rFonts w:hint="eastAsia" w:ascii="宋体" w:hAnsi="宋体" w:cs="宋体"/>
          <w:color w:val="auto"/>
          <w:szCs w:val="21"/>
        </w:rPr>
        <w:t>（竞争性磋商采购项目名称）（编号为             ）（标项：）竞争性磋商有关活动，并进行磋商。为此：</w:t>
      </w:r>
    </w:p>
    <w:p>
      <w:pPr>
        <w:spacing w:line="540" w:lineRule="exact"/>
        <w:ind w:firstLine="420" w:firstLineChars="200"/>
        <w:jc w:val="left"/>
        <w:rPr>
          <w:rFonts w:ascii="宋体" w:hAnsi="宋体" w:cs="宋体"/>
          <w:color w:val="auto"/>
          <w:szCs w:val="21"/>
        </w:rPr>
      </w:pPr>
      <w:r>
        <w:rPr>
          <w:rFonts w:hint="eastAsia" w:ascii="宋体" w:hAnsi="宋体" w:cs="宋体"/>
          <w:color w:val="auto"/>
          <w:szCs w:val="21"/>
        </w:rPr>
        <w:t>1、提供磋商须知规定的全部磋商响应文件。</w:t>
      </w:r>
    </w:p>
    <w:p>
      <w:pPr>
        <w:spacing w:line="540" w:lineRule="exact"/>
        <w:ind w:firstLine="420" w:firstLineChars="200"/>
        <w:jc w:val="left"/>
        <w:rPr>
          <w:rFonts w:ascii="宋体" w:hAnsi="宋体" w:cs="宋体"/>
          <w:color w:val="auto"/>
          <w:szCs w:val="21"/>
        </w:rPr>
      </w:pPr>
      <w:r>
        <w:rPr>
          <w:rFonts w:hint="eastAsia" w:ascii="宋体" w:hAnsi="宋体" w:cs="宋体"/>
          <w:color w:val="auto"/>
          <w:szCs w:val="21"/>
        </w:rPr>
        <w:t>2、磋商响应方承诺承担所发生的所有费用。</w:t>
      </w:r>
    </w:p>
    <w:p>
      <w:pPr>
        <w:spacing w:line="540" w:lineRule="exact"/>
        <w:ind w:firstLine="436" w:firstLineChars="208"/>
        <w:jc w:val="left"/>
        <w:rPr>
          <w:rFonts w:ascii="宋体" w:hAnsi="宋体" w:cs="宋体"/>
          <w:color w:val="auto"/>
          <w:szCs w:val="21"/>
        </w:rPr>
      </w:pPr>
      <w:r>
        <w:rPr>
          <w:rFonts w:hint="eastAsia" w:ascii="宋体" w:hAnsi="宋体" w:cs="宋体"/>
          <w:color w:val="auto"/>
          <w:szCs w:val="21"/>
        </w:rPr>
        <w:t>3、磋商响应方已详细审查全部竞争性磋商采购文件，同意磋商响应须知的各项要求。</w:t>
      </w:r>
    </w:p>
    <w:p>
      <w:pPr>
        <w:spacing w:line="540" w:lineRule="exact"/>
        <w:ind w:firstLine="436" w:firstLineChars="208"/>
        <w:jc w:val="left"/>
        <w:rPr>
          <w:rFonts w:ascii="宋体" w:hAnsi="宋体" w:cs="宋体"/>
          <w:color w:val="auto"/>
          <w:szCs w:val="21"/>
        </w:rPr>
      </w:pPr>
      <w:r>
        <w:rPr>
          <w:rFonts w:hint="eastAsia" w:ascii="宋体" w:hAnsi="宋体" w:cs="宋体"/>
          <w:color w:val="auto"/>
          <w:szCs w:val="21"/>
        </w:rPr>
        <w:t>4、若成交，磋商响应方将按竞争性磋商采购文件规定履行合同责任和义务。</w:t>
      </w:r>
    </w:p>
    <w:p>
      <w:pPr>
        <w:spacing w:line="540" w:lineRule="exact"/>
        <w:ind w:firstLine="420" w:firstLineChars="200"/>
        <w:jc w:val="left"/>
        <w:rPr>
          <w:rFonts w:ascii="宋体" w:hAnsi="宋体" w:cs="宋体"/>
          <w:color w:val="auto"/>
          <w:szCs w:val="21"/>
        </w:rPr>
      </w:pPr>
      <w:r>
        <w:rPr>
          <w:rFonts w:hint="eastAsia" w:ascii="宋体" w:hAnsi="宋体" w:cs="宋体"/>
          <w:color w:val="auto"/>
          <w:szCs w:val="21"/>
        </w:rPr>
        <w:t>5、磋商响应文件自磋商日起有效期为90天。</w:t>
      </w:r>
    </w:p>
    <w:p>
      <w:pPr>
        <w:spacing w:line="540" w:lineRule="exact"/>
        <w:ind w:firstLine="436" w:firstLineChars="208"/>
        <w:jc w:val="left"/>
        <w:rPr>
          <w:rFonts w:ascii="宋体" w:hAnsi="宋体" w:cs="宋体"/>
          <w:color w:val="auto"/>
          <w:szCs w:val="21"/>
        </w:rPr>
      </w:pPr>
      <w:r>
        <w:rPr>
          <w:rFonts w:hint="eastAsia" w:ascii="宋体" w:hAnsi="宋体" w:cs="宋体"/>
          <w:color w:val="auto"/>
          <w:szCs w:val="21"/>
        </w:rPr>
        <w:t>6、磋商响应方同意提供按照贵方可能要求的与其磋商响应有关的一切数据或资料，并保证其真实性、合法性。</w:t>
      </w:r>
    </w:p>
    <w:p>
      <w:pPr>
        <w:spacing w:line="540" w:lineRule="exact"/>
        <w:jc w:val="left"/>
        <w:rPr>
          <w:rFonts w:ascii="宋体" w:hAnsi="宋体" w:cs="宋体"/>
          <w:color w:val="auto"/>
          <w:szCs w:val="21"/>
        </w:rPr>
      </w:pPr>
      <w:r>
        <w:rPr>
          <w:rFonts w:hint="eastAsia" w:ascii="宋体" w:hAnsi="宋体" w:cs="宋体"/>
          <w:color w:val="auto"/>
          <w:szCs w:val="21"/>
        </w:rPr>
        <w:t xml:space="preserve">    7、我方与本竞争性磋商有关的一切正式来往通讯请寄：</w:t>
      </w:r>
    </w:p>
    <w:p>
      <w:pPr>
        <w:spacing w:line="540" w:lineRule="exact"/>
        <w:ind w:left="540" w:firstLine="30"/>
        <w:jc w:val="left"/>
        <w:rPr>
          <w:rFonts w:ascii="宋体" w:hAnsi="宋体" w:cs="宋体"/>
          <w:color w:val="auto"/>
          <w:szCs w:val="21"/>
        </w:rPr>
      </w:pPr>
      <w:r>
        <w:rPr>
          <w:rFonts w:hint="eastAsia" w:ascii="宋体" w:hAnsi="宋体" w:cs="宋体"/>
          <w:color w:val="auto"/>
          <w:szCs w:val="21"/>
        </w:rPr>
        <w:t xml:space="preserve">       地址：</w:t>
      </w:r>
      <w:r>
        <w:rPr>
          <w:rFonts w:hint="eastAsia" w:ascii="宋体" w:hAnsi="宋体" w:cs="宋体"/>
          <w:color w:val="auto"/>
          <w:szCs w:val="21"/>
          <w:u w:val="single"/>
        </w:rPr>
        <w:t xml:space="preserve">                  </w:t>
      </w:r>
      <w:r>
        <w:rPr>
          <w:rFonts w:hint="eastAsia" w:ascii="宋体" w:hAnsi="宋体" w:cs="宋体"/>
          <w:color w:val="auto"/>
          <w:szCs w:val="21"/>
        </w:rPr>
        <w:t>电话：</w:t>
      </w:r>
      <w:r>
        <w:rPr>
          <w:rFonts w:hint="eastAsia" w:ascii="宋体" w:hAnsi="宋体" w:cs="宋体"/>
          <w:color w:val="auto"/>
          <w:szCs w:val="21"/>
          <w:u w:val="single"/>
        </w:rPr>
        <w:t xml:space="preserve">               </w:t>
      </w:r>
    </w:p>
    <w:p>
      <w:pPr>
        <w:spacing w:line="540" w:lineRule="exact"/>
        <w:ind w:left="540" w:firstLine="30"/>
        <w:jc w:val="left"/>
        <w:rPr>
          <w:rFonts w:ascii="宋体" w:hAnsi="宋体" w:cs="宋体"/>
          <w:color w:val="auto"/>
          <w:szCs w:val="21"/>
        </w:rPr>
      </w:pPr>
      <w:r>
        <w:rPr>
          <w:rFonts w:hint="eastAsia" w:ascii="宋体" w:hAnsi="宋体" w:cs="宋体"/>
          <w:color w:val="auto"/>
          <w:szCs w:val="21"/>
        </w:rPr>
        <w:t xml:space="preserve">       磋商响应方名称：</w:t>
      </w:r>
      <w:r>
        <w:rPr>
          <w:rFonts w:hint="eastAsia" w:ascii="宋体" w:hAnsi="宋体" w:cs="宋体"/>
          <w:color w:val="auto"/>
          <w:szCs w:val="21"/>
          <w:u w:val="single"/>
        </w:rPr>
        <w:t xml:space="preserve">                             </w:t>
      </w:r>
      <w:r>
        <w:rPr>
          <w:rFonts w:hint="eastAsia" w:ascii="宋体" w:hAnsi="宋体" w:cs="宋体"/>
          <w:color w:val="auto"/>
          <w:szCs w:val="21"/>
        </w:rPr>
        <w:t>（公章）</w:t>
      </w:r>
    </w:p>
    <w:p>
      <w:pPr>
        <w:spacing w:line="540" w:lineRule="exact"/>
        <w:ind w:left="540" w:leftChars="257" w:firstLine="760" w:firstLineChars="362"/>
        <w:jc w:val="left"/>
        <w:rPr>
          <w:rFonts w:ascii="宋体" w:hAnsi="宋体" w:cs="宋体"/>
          <w:color w:val="auto"/>
          <w:szCs w:val="21"/>
        </w:rPr>
      </w:pPr>
      <w:r>
        <w:rPr>
          <w:rFonts w:hint="eastAsia" w:ascii="宋体" w:hAnsi="宋体" w:cs="宋体"/>
          <w:color w:val="auto"/>
          <w:szCs w:val="21"/>
        </w:rPr>
        <w:t>法定代表人</w:t>
      </w:r>
      <w:r>
        <w:rPr>
          <w:rFonts w:hint="eastAsia" w:ascii="宋体" w:hAnsi="宋体" w:cs="宋体"/>
          <w:color w:val="auto"/>
          <w:spacing w:val="20"/>
          <w:szCs w:val="21"/>
        </w:rPr>
        <w:t>或授权代表</w:t>
      </w:r>
      <w:r>
        <w:rPr>
          <w:rFonts w:hint="eastAsia" w:ascii="宋体" w:hAnsi="宋体" w:cs="宋体"/>
          <w:color w:val="auto"/>
          <w:szCs w:val="21"/>
        </w:rPr>
        <w:t>签字或盖章：</w:t>
      </w:r>
      <w:r>
        <w:rPr>
          <w:rFonts w:hint="eastAsia" w:ascii="宋体" w:hAnsi="宋体" w:cs="宋体"/>
          <w:color w:val="auto"/>
          <w:szCs w:val="21"/>
          <w:u w:val="single"/>
        </w:rPr>
        <w:t xml:space="preserve">                  </w:t>
      </w:r>
    </w:p>
    <w:p>
      <w:pPr>
        <w:spacing w:line="360" w:lineRule="auto"/>
        <w:jc w:val="left"/>
        <w:rPr>
          <w:rFonts w:ascii="宋体" w:hAnsi="宋体" w:cs="宋体"/>
          <w:color w:val="auto"/>
          <w:szCs w:val="21"/>
        </w:rPr>
      </w:pPr>
      <w:r>
        <w:rPr>
          <w:rFonts w:hint="eastAsia" w:ascii="宋体" w:hAnsi="宋体" w:cs="宋体"/>
          <w:color w:val="auto"/>
          <w:szCs w:val="21"/>
        </w:rPr>
        <w:t xml:space="preserve">             磋商日期：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360" w:lineRule="auto"/>
        <w:jc w:val="left"/>
        <w:rPr>
          <w:rFonts w:ascii="宋体" w:hAnsi="宋体" w:cs="宋体"/>
          <w:color w:val="auto"/>
          <w:szCs w:val="21"/>
        </w:rPr>
      </w:pPr>
      <w:r>
        <w:rPr>
          <w:rFonts w:hint="eastAsia" w:ascii="宋体" w:hAnsi="宋体" w:cs="宋体"/>
          <w:color w:val="auto"/>
          <w:szCs w:val="21"/>
        </w:rPr>
        <w:br w:type="page"/>
      </w:r>
      <w:r>
        <w:rPr>
          <w:rFonts w:hint="eastAsia" w:ascii="宋体" w:hAnsi="宋体" w:cs="宋体"/>
          <w:color w:val="auto"/>
          <w:szCs w:val="21"/>
        </w:rPr>
        <w:t>2、初次报价表；</w:t>
      </w:r>
    </w:p>
    <w:p>
      <w:pPr>
        <w:snapToGrid w:val="0"/>
        <w:spacing w:before="50" w:after="50"/>
        <w:jc w:val="center"/>
        <w:rPr>
          <w:rFonts w:ascii="宋体" w:hAnsi="宋体" w:cs="宋体"/>
          <w:b/>
          <w:color w:val="auto"/>
          <w:szCs w:val="21"/>
        </w:rPr>
      </w:pPr>
    </w:p>
    <w:p>
      <w:pPr>
        <w:snapToGrid w:val="0"/>
        <w:spacing w:before="50" w:after="50"/>
        <w:jc w:val="center"/>
        <w:rPr>
          <w:rFonts w:ascii="宋体" w:hAnsi="宋体" w:cs="宋体"/>
          <w:b/>
          <w:color w:val="auto"/>
          <w:sz w:val="28"/>
          <w:szCs w:val="28"/>
        </w:rPr>
      </w:pPr>
      <w:r>
        <w:rPr>
          <w:rFonts w:hint="eastAsia" w:ascii="宋体" w:hAnsi="宋体" w:cs="宋体"/>
          <w:b/>
          <w:color w:val="auto"/>
          <w:sz w:val="28"/>
          <w:szCs w:val="28"/>
        </w:rPr>
        <w:t>初次报价表</w:t>
      </w:r>
    </w:p>
    <w:p>
      <w:pPr>
        <w:pStyle w:val="58"/>
        <w:rPr>
          <w:color w:val="auto"/>
        </w:rPr>
      </w:pPr>
    </w:p>
    <w:p>
      <w:pPr>
        <w:snapToGrid w:val="0"/>
        <w:spacing w:before="50" w:after="50"/>
        <w:ind w:firstLine="210" w:firstLineChars="100"/>
        <w:rPr>
          <w:rFonts w:ascii="宋体" w:hAnsi="宋体" w:cs="宋体"/>
          <w:color w:val="auto"/>
          <w:szCs w:val="21"/>
          <w:u w:val="single"/>
        </w:rPr>
      </w:pPr>
      <w:r>
        <w:rPr>
          <w:rFonts w:hint="eastAsia" w:ascii="宋体" w:hAnsi="宋体" w:cs="宋体"/>
          <w:color w:val="auto"/>
          <w:szCs w:val="21"/>
        </w:rPr>
        <w:t>项目编号：</w:t>
      </w:r>
      <w:r>
        <w:rPr>
          <w:rFonts w:hint="eastAsia" w:ascii="宋体" w:hAnsi="宋体" w:cs="宋体"/>
          <w:color w:val="auto"/>
          <w:szCs w:val="21"/>
          <w:u w:val="single"/>
        </w:rPr>
        <w:t xml:space="preserve">         </w:t>
      </w:r>
      <w:r>
        <w:rPr>
          <w:rFonts w:hint="eastAsia" w:ascii="宋体" w:hAnsi="宋体" w:cs="宋体"/>
          <w:color w:val="auto"/>
          <w:szCs w:val="21"/>
        </w:rPr>
        <w:t>项目名称：</w:t>
      </w:r>
      <w:r>
        <w:rPr>
          <w:rFonts w:hint="eastAsia" w:ascii="宋体" w:hAnsi="宋体" w:cs="宋体"/>
          <w:color w:val="auto"/>
          <w:szCs w:val="21"/>
          <w:u w:val="single"/>
        </w:rPr>
        <w:t xml:space="preserve">                    </w:t>
      </w:r>
    </w:p>
    <w:p>
      <w:pPr>
        <w:snapToGrid w:val="0"/>
        <w:spacing w:before="50" w:after="50"/>
        <w:ind w:firstLine="210" w:firstLineChars="100"/>
        <w:rPr>
          <w:rFonts w:ascii="宋体" w:hAnsi="宋体" w:cs="宋体"/>
          <w:color w:val="auto"/>
          <w:szCs w:val="21"/>
        </w:rPr>
      </w:pPr>
      <w:r>
        <w:rPr>
          <w:rFonts w:hint="eastAsia" w:ascii="宋体" w:hAnsi="宋体" w:cs="宋体"/>
          <w:color w:val="auto"/>
          <w:szCs w:val="21"/>
        </w:rPr>
        <w:t>标项：</w:t>
      </w:r>
    </w:p>
    <w:p>
      <w:pPr>
        <w:snapToGrid w:val="0"/>
        <w:spacing w:before="50" w:after="50"/>
        <w:jc w:val="left"/>
        <w:rPr>
          <w:rFonts w:ascii="宋体" w:hAnsi="宋体" w:cs="宋体"/>
          <w:color w:val="auto"/>
          <w:szCs w:val="21"/>
        </w:rPr>
      </w:pPr>
    </w:p>
    <w:tbl>
      <w:tblPr>
        <w:tblStyle w:val="45"/>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3744"/>
        <w:gridCol w:w="2758"/>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698" w:type="dxa"/>
            <w:vAlign w:val="center"/>
          </w:tcPr>
          <w:p>
            <w:pPr>
              <w:spacing w:line="460" w:lineRule="exact"/>
              <w:jc w:val="center"/>
              <w:rPr>
                <w:rFonts w:ascii="宋体" w:hAnsi="宋体"/>
                <w:color w:val="auto"/>
                <w:szCs w:val="21"/>
              </w:rPr>
            </w:pPr>
            <w:r>
              <w:rPr>
                <w:rFonts w:ascii="宋体" w:hAnsi="宋体"/>
                <w:color w:val="auto"/>
                <w:szCs w:val="21"/>
              </w:rPr>
              <w:t>序号</w:t>
            </w:r>
          </w:p>
        </w:tc>
        <w:tc>
          <w:tcPr>
            <w:tcW w:w="3744" w:type="dxa"/>
            <w:vAlign w:val="center"/>
          </w:tcPr>
          <w:p>
            <w:pPr>
              <w:spacing w:line="460" w:lineRule="exact"/>
              <w:jc w:val="center"/>
              <w:rPr>
                <w:rFonts w:ascii="宋体" w:hAnsi="宋体"/>
                <w:color w:val="auto"/>
                <w:szCs w:val="21"/>
              </w:rPr>
            </w:pPr>
            <w:r>
              <w:rPr>
                <w:rFonts w:hint="eastAsia" w:ascii="宋体" w:hAnsi="宋体"/>
                <w:color w:val="auto"/>
                <w:szCs w:val="21"/>
              </w:rPr>
              <w:t>项目名称</w:t>
            </w:r>
          </w:p>
        </w:tc>
        <w:tc>
          <w:tcPr>
            <w:tcW w:w="2758" w:type="dxa"/>
            <w:vAlign w:val="center"/>
          </w:tcPr>
          <w:p>
            <w:pPr>
              <w:spacing w:line="460" w:lineRule="exact"/>
              <w:jc w:val="center"/>
              <w:rPr>
                <w:rFonts w:ascii="宋体" w:hAnsi="宋体"/>
                <w:color w:val="auto"/>
                <w:szCs w:val="21"/>
              </w:rPr>
            </w:pPr>
            <w:r>
              <w:rPr>
                <w:rFonts w:hint="eastAsia" w:ascii="宋体" w:hAnsi="宋体"/>
                <w:color w:val="auto"/>
                <w:szCs w:val="21"/>
              </w:rPr>
              <w:t>报价</w:t>
            </w:r>
            <w:r>
              <w:rPr>
                <w:rFonts w:hint="eastAsia" w:ascii="宋体" w:hAnsi="宋体" w:cs="宋体"/>
                <w:color w:val="auto"/>
                <w:szCs w:val="21"/>
              </w:rPr>
              <w:t>（元）</w:t>
            </w:r>
          </w:p>
        </w:tc>
        <w:tc>
          <w:tcPr>
            <w:tcW w:w="1858" w:type="dxa"/>
            <w:vAlign w:val="center"/>
          </w:tcPr>
          <w:p>
            <w:pPr>
              <w:spacing w:line="460" w:lineRule="exact"/>
              <w:jc w:val="center"/>
              <w:rPr>
                <w:rFonts w:ascii="宋体" w:hAnsi="宋体"/>
                <w:color w:val="auto"/>
                <w:szCs w:val="21"/>
              </w:rPr>
            </w:pPr>
            <w:r>
              <w:rPr>
                <w:rFonts w:hint="eastAsia" w:ascii="宋体" w:hAnsi="宋体"/>
                <w:color w:val="auto"/>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trPr>
        <w:tc>
          <w:tcPr>
            <w:tcW w:w="698" w:type="dxa"/>
            <w:vAlign w:val="center"/>
          </w:tcPr>
          <w:p>
            <w:pPr>
              <w:spacing w:line="460" w:lineRule="exact"/>
              <w:jc w:val="center"/>
              <w:rPr>
                <w:rFonts w:ascii="宋体" w:hAnsi="宋体"/>
                <w:color w:val="auto"/>
                <w:szCs w:val="21"/>
              </w:rPr>
            </w:pPr>
          </w:p>
        </w:tc>
        <w:tc>
          <w:tcPr>
            <w:tcW w:w="3744" w:type="dxa"/>
            <w:vAlign w:val="center"/>
          </w:tcPr>
          <w:p>
            <w:pPr>
              <w:spacing w:line="460" w:lineRule="exact"/>
              <w:jc w:val="center"/>
              <w:rPr>
                <w:rFonts w:ascii="宋体" w:hAnsi="宋体"/>
                <w:color w:val="auto"/>
                <w:szCs w:val="21"/>
              </w:rPr>
            </w:pPr>
          </w:p>
        </w:tc>
        <w:tc>
          <w:tcPr>
            <w:tcW w:w="2758" w:type="dxa"/>
            <w:vAlign w:val="center"/>
          </w:tcPr>
          <w:p>
            <w:pPr>
              <w:spacing w:line="460" w:lineRule="exact"/>
              <w:jc w:val="center"/>
              <w:rPr>
                <w:rFonts w:ascii="宋体" w:hAnsi="宋体"/>
                <w:color w:val="auto"/>
                <w:szCs w:val="21"/>
              </w:rPr>
            </w:pPr>
          </w:p>
        </w:tc>
        <w:tc>
          <w:tcPr>
            <w:tcW w:w="1858" w:type="dxa"/>
            <w:vMerge w:val="restart"/>
            <w:vAlign w:val="center"/>
          </w:tcPr>
          <w:p>
            <w:pPr>
              <w:spacing w:line="46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trPr>
        <w:tc>
          <w:tcPr>
            <w:tcW w:w="4442" w:type="dxa"/>
            <w:gridSpan w:val="2"/>
            <w:vAlign w:val="center"/>
          </w:tcPr>
          <w:p>
            <w:pPr>
              <w:adjustRightInd w:val="0"/>
              <w:snapToGrid w:val="0"/>
              <w:jc w:val="center"/>
              <w:rPr>
                <w:rFonts w:ascii="宋体" w:hAnsi="宋体"/>
                <w:color w:val="auto"/>
                <w:szCs w:val="21"/>
              </w:rPr>
            </w:pPr>
            <w:r>
              <w:rPr>
                <w:rFonts w:hint="eastAsia" w:ascii="宋体" w:hAnsi="宋体"/>
                <w:color w:val="auto"/>
                <w:szCs w:val="21"/>
              </w:rPr>
              <w:t>报价（大写）</w:t>
            </w:r>
          </w:p>
        </w:tc>
        <w:tc>
          <w:tcPr>
            <w:tcW w:w="2758" w:type="dxa"/>
          </w:tcPr>
          <w:p>
            <w:pPr>
              <w:spacing w:line="460" w:lineRule="exact"/>
              <w:jc w:val="center"/>
              <w:rPr>
                <w:rFonts w:ascii="宋体" w:hAnsi="宋体"/>
                <w:color w:val="auto"/>
                <w:szCs w:val="21"/>
              </w:rPr>
            </w:pPr>
          </w:p>
        </w:tc>
        <w:tc>
          <w:tcPr>
            <w:tcW w:w="1858" w:type="dxa"/>
            <w:vMerge w:val="continue"/>
          </w:tcPr>
          <w:p>
            <w:pPr>
              <w:spacing w:line="460" w:lineRule="exact"/>
              <w:jc w:val="center"/>
              <w:rPr>
                <w:rFonts w:ascii="宋体" w:hAnsi="宋体"/>
                <w:color w:val="auto"/>
                <w:szCs w:val="21"/>
              </w:rPr>
            </w:pPr>
          </w:p>
        </w:tc>
      </w:tr>
    </w:tbl>
    <w:p>
      <w:pPr>
        <w:snapToGrid w:val="0"/>
        <w:spacing w:before="50" w:after="50"/>
        <w:jc w:val="left"/>
        <w:rPr>
          <w:rFonts w:ascii="宋体" w:hAnsi="宋体" w:cs="宋体"/>
          <w:color w:val="auto"/>
          <w:szCs w:val="21"/>
        </w:rPr>
      </w:pPr>
    </w:p>
    <w:p>
      <w:pPr>
        <w:snapToGrid w:val="0"/>
        <w:spacing w:before="50" w:after="50"/>
        <w:jc w:val="left"/>
        <w:rPr>
          <w:rFonts w:ascii="宋体" w:hAnsi="宋体" w:cs="宋体"/>
          <w:color w:val="auto"/>
          <w:szCs w:val="21"/>
        </w:rPr>
      </w:pPr>
      <w:r>
        <w:rPr>
          <w:rFonts w:hint="eastAsia" w:ascii="宋体" w:hAnsi="宋体" w:cs="宋体"/>
          <w:color w:val="auto"/>
          <w:szCs w:val="21"/>
        </w:rPr>
        <w:t>注: 报价一经涂改，应在涂改处加盖单位公章或者由法定代表人或授权委托人签字或盖章，否则其报作无效处理。</w:t>
      </w:r>
    </w:p>
    <w:p>
      <w:pPr>
        <w:snapToGrid w:val="0"/>
        <w:spacing w:before="50" w:after="50"/>
        <w:ind w:left="-21" w:leftChars="-72" w:right="-817" w:rightChars="-389" w:hanging="130" w:hangingChars="62"/>
        <w:rPr>
          <w:rFonts w:ascii="宋体" w:hAnsi="宋体" w:cs="宋体"/>
          <w:color w:val="auto"/>
          <w:szCs w:val="21"/>
        </w:rPr>
      </w:pPr>
    </w:p>
    <w:p>
      <w:pPr>
        <w:adjustRightInd w:val="0"/>
        <w:snapToGrid w:val="0"/>
        <w:spacing w:line="440" w:lineRule="exact"/>
        <w:jc w:val="right"/>
        <w:rPr>
          <w:rFonts w:ascii="宋体" w:hAnsi="宋体" w:cs="宋体"/>
          <w:color w:val="auto"/>
        </w:rPr>
      </w:pPr>
      <w:r>
        <w:rPr>
          <w:rFonts w:hint="eastAsia" w:ascii="宋体" w:hAnsi="宋体" w:cs="宋体"/>
          <w:color w:val="auto"/>
        </w:rPr>
        <w:t xml:space="preserve">供应商盖章（公章）：             </w:t>
      </w:r>
    </w:p>
    <w:p>
      <w:pPr>
        <w:adjustRightInd w:val="0"/>
        <w:snapToGrid w:val="0"/>
        <w:spacing w:line="440" w:lineRule="exact"/>
        <w:jc w:val="right"/>
        <w:rPr>
          <w:rFonts w:ascii="宋体" w:hAnsi="宋体" w:cs="宋体"/>
          <w:color w:val="auto"/>
        </w:rPr>
      </w:pPr>
      <w:r>
        <w:rPr>
          <w:rFonts w:hint="eastAsia" w:ascii="宋体" w:hAnsi="宋体" w:cs="宋体"/>
          <w:color w:val="auto"/>
        </w:rPr>
        <w:t xml:space="preserve">           法定代表人或其委托代理人（签字或盖章）：</w:t>
      </w:r>
    </w:p>
    <w:p>
      <w:pPr>
        <w:spacing w:line="360" w:lineRule="auto"/>
        <w:jc w:val="left"/>
        <w:rPr>
          <w:rFonts w:ascii="宋体" w:hAnsi="宋体" w:cs="宋体"/>
          <w:color w:val="auto"/>
          <w:szCs w:val="21"/>
        </w:rPr>
      </w:pPr>
      <w:r>
        <w:rPr>
          <w:rFonts w:hint="eastAsia" w:ascii="宋体" w:hAnsi="宋体" w:cs="宋体"/>
          <w:color w:val="auto"/>
        </w:rPr>
        <w:t xml:space="preserve">                                                                   年  月  日</w:t>
      </w:r>
      <w:r>
        <w:rPr>
          <w:rFonts w:hint="eastAsia" w:ascii="宋体" w:hAnsi="宋体" w:cs="宋体"/>
          <w:color w:val="auto"/>
          <w:szCs w:val="21"/>
        </w:rPr>
        <w:br w:type="page"/>
      </w:r>
      <w:r>
        <w:rPr>
          <w:rFonts w:hint="eastAsia" w:ascii="宋体" w:hAnsi="宋体" w:cs="宋体"/>
          <w:color w:val="auto"/>
          <w:szCs w:val="21"/>
        </w:rPr>
        <w:t>3、中小企业声明函；</w:t>
      </w:r>
    </w:p>
    <w:p>
      <w:pPr>
        <w:pStyle w:val="42"/>
        <w:widowControl w:val="0"/>
        <w:spacing w:beforeAutospacing="0" w:after="120" w:afterAutospacing="0" w:line="520" w:lineRule="exact"/>
        <w:ind w:left="420" w:leftChars="200"/>
        <w:jc w:val="center"/>
        <w:rPr>
          <w:rFonts w:ascii="宋体" w:hAnsi="宋体" w:cs="宋体"/>
          <w:b/>
          <w:color w:val="auto"/>
          <w:sz w:val="28"/>
          <w:szCs w:val="20"/>
        </w:rPr>
      </w:pPr>
      <w:r>
        <w:rPr>
          <w:rFonts w:hint="eastAsia" w:ascii="宋体" w:hAnsi="宋体" w:cs="宋体"/>
          <w:b/>
          <w:color w:val="auto"/>
          <w:kern w:val="2"/>
          <w:sz w:val="28"/>
          <w:szCs w:val="20"/>
        </w:rPr>
        <w:t>中小企业声明函</w:t>
      </w:r>
    </w:p>
    <w:p>
      <w:pPr>
        <w:spacing w:line="588" w:lineRule="exact"/>
        <w:rPr>
          <w:rFonts w:ascii="宋体" w:hAnsi="宋体" w:cs="宋体"/>
          <w:b/>
          <w:color w:val="auto"/>
          <w:spacing w:val="6"/>
          <w:sz w:val="30"/>
          <w:szCs w:val="30"/>
        </w:rPr>
      </w:pPr>
    </w:p>
    <w:p>
      <w:pPr>
        <w:spacing w:line="360" w:lineRule="auto"/>
        <w:ind w:firstLine="301"/>
        <w:jc w:val="left"/>
        <w:rPr>
          <w:rFonts w:ascii="宋体" w:hAnsi="宋体" w:cs="宋体"/>
          <w:color w:val="auto"/>
        </w:rPr>
      </w:pPr>
      <w:r>
        <w:rPr>
          <w:rFonts w:hint="eastAsia" w:ascii="宋体" w:hAnsi="宋体" w:cs="宋体"/>
          <w:color w:val="auto"/>
        </w:rPr>
        <w:t>根据财政部《政府采购促进中小企业发展暂行办法》（财库[2011]181号）和宁波市财政局《关于政府采购促进中小企业发展若干问题的通知》（甬采购办[2012]1427号）的规定，本单位郑重声明：</w:t>
      </w:r>
    </w:p>
    <w:p>
      <w:pPr>
        <w:spacing w:line="360" w:lineRule="auto"/>
        <w:jc w:val="left"/>
        <w:rPr>
          <w:rFonts w:ascii="宋体" w:hAnsi="宋体" w:cs="宋体"/>
          <w:color w:val="auto"/>
        </w:rPr>
      </w:pPr>
      <w:r>
        <w:rPr>
          <w:rFonts w:hint="eastAsia" w:ascii="宋体" w:hAnsi="宋体" w:cs="宋体"/>
          <w:color w:val="auto"/>
        </w:rPr>
        <w:t xml:space="preserve">    1.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spacing w:line="360" w:lineRule="auto"/>
        <w:jc w:val="left"/>
        <w:rPr>
          <w:rFonts w:ascii="宋体" w:hAnsi="宋体" w:cs="宋体"/>
          <w:color w:val="auto"/>
        </w:rPr>
      </w:pPr>
      <w:r>
        <w:rPr>
          <w:rFonts w:hint="eastAsia" w:ascii="宋体" w:hAnsi="宋体" w:cs="宋体"/>
          <w:color w:val="auto"/>
        </w:rPr>
        <w:t xml:space="preserve">    2.本单位参加______项目（招标编号______品目号______）采购活动，项目的市场价格为_____万元，本次磋商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widowControl/>
        <w:spacing w:line="360" w:lineRule="auto"/>
        <w:rPr>
          <w:rFonts w:ascii="宋体" w:hAnsi="宋体" w:cs="宋体"/>
          <w:color w:val="auto"/>
          <w:spacing w:val="6"/>
          <w:szCs w:val="21"/>
        </w:rPr>
      </w:pPr>
      <w:r>
        <w:rPr>
          <w:rFonts w:hint="eastAsia" w:ascii="宋体" w:hAnsi="宋体" w:cs="宋体"/>
          <w:color w:val="auto"/>
        </w:rPr>
        <w:t xml:space="preserve">    3.本单位对上述声明的真实性负责。如有虚假，将依法承担相应责任。</w:t>
      </w:r>
    </w:p>
    <w:p>
      <w:pPr>
        <w:widowControl/>
        <w:spacing w:line="360" w:lineRule="auto"/>
        <w:rPr>
          <w:rFonts w:ascii="宋体" w:hAnsi="宋体" w:cs="宋体"/>
          <w:color w:val="auto"/>
          <w:szCs w:val="21"/>
        </w:rPr>
      </w:pPr>
    </w:p>
    <w:p>
      <w:pPr>
        <w:widowControl/>
        <w:spacing w:line="360" w:lineRule="auto"/>
        <w:rPr>
          <w:rFonts w:ascii="宋体" w:hAnsi="宋体" w:cs="宋体"/>
          <w:color w:val="auto"/>
          <w:szCs w:val="21"/>
        </w:rPr>
      </w:pPr>
    </w:p>
    <w:p>
      <w:pPr>
        <w:pStyle w:val="42"/>
        <w:spacing w:beforeAutospacing="0" w:afterAutospacing="0" w:line="360" w:lineRule="auto"/>
        <w:ind w:firstLine="420"/>
        <w:rPr>
          <w:rFonts w:ascii="宋体" w:hAnsi="宋体" w:cs="宋体"/>
          <w:color w:val="auto"/>
          <w:szCs w:val="21"/>
        </w:rPr>
      </w:pPr>
    </w:p>
    <w:p>
      <w:pPr>
        <w:spacing w:line="360" w:lineRule="auto"/>
        <w:rPr>
          <w:rFonts w:ascii="宋体" w:hAnsi="宋体" w:cs="宋体"/>
          <w:color w:val="auto"/>
        </w:rPr>
      </w:pPr>
      <w:r>
        <w:rPr>
          <w:rFonts w:hint="eastAsia" w:ascii="宋体" w:hAnsi="宋体" w:cs="宋体"/>
          <w:color w:val="auto"/>
        </w:rPr>
        <w:t>供应商名称（公章）：</w:t>
      </w:r>
    </w:p>
    <w:p>
      <w:pPr>
        <w:spacing w:line="360" w:lineRule="auto"/>
        <w:rPr>
          <w:rFonts w:ascii="宋体" w:hAnsi="宋体" w:cs="宋体"/>
          <w:color w:val="auto"/>
        </w:rPr>
      </w:pPr>
      <w:r>
        <w:rPr>
          <w:rFonts w:hint="eastAsia" w:ascii="宋体" w:hAnsi="宋体" w:cs="宋体"/>
          <w:color w:val="auto"/>
          <w:szCs w:val="21"/>
        </w:rPr>
        <w:t>法定代表人或其委托代理人（签字或盖章）</w:t>
      </w:r>
      <w:r>
        <w:rPr>
          <w:rFonts w:hint="eastAsia" w:ascii="宋体" w:hAnsi="宋体" w:cs="宋体"/>
          <w:color w:val="auto"/>
        </w:rPr>
        <w:t>：</w:t>
      </w:r>
    </w:p>
    <w:p>
      <w:pPr>
        <w:pStyle w:val="42"/>
        <w:widowControl w:val="0"/>
        <w:tabs>
          <w:tab w:val="left" w:pos="2472"/>
        </w:tabs>
        <w:snapToGrid w:val="0"/>
        <w:spacing w:beforeLines="50" w:beforeAutospacing="0" w:afterAutospacing="0" w:line="360" w:lineRule="auto"/>
        <w:rPr>
          <w:rFonts w:ascii="宋体" w:hAnsi="宋体" w:cs="宋体"/>
          <w:color w:val="auto"/>
          <w:sz w:val="21"/>
          <w:szCs w:val="21"/>
        </w:rPr>
      </w:pPr>
      <w:r>
        <w:rPr>
          <w:rFonts w:hint="eastAsia" w:ascii="宋体" w:hAnsi="宋体" w:cs="宋体"/>
          <w:color w:val="auto"/>
          <w:sz w:val="20"/>
          <w:szCs w:val="21"/>
        </w:rPr>
        <w:t>日    期：</w:t>
      </w: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pStyle w:val="58"/>
        <w:rPr>
          <w:rFonts w:hAnsi="宋体" w:cs="宋体"/>
          <w:color w:val="auto"/>
          <w:szCs w:val="21"/>
        </w:rPr>
      </w:pPr>
    </w:p>
    <w:p>
      <w:pPr>
        <w:spacing w:line="360" w:lineRule="auto"/>
        <w:rPr>
          <w:rFonts w:ascii="宋体" w:hAnsi="宋体" w:cs="宋体"/>
          <w:color w:val="auto"/>
          <w:szCs w:val="21"/>
        </w:rPr>
      </w:pPr>
    </w:p>
    <w:p>
      <w:pPr>
        <w:widowControl/>
        <w:spacing w:line="360" w:lineRule="auto"/>
        <w:jc w:val="left"/>
        <w:rPr>
          <w:rFonts w:ascii="宋体" w:hAnsi="宋体" w:cs="宋体"/>
          <w:color w:val="auto"/>
          <w:szCs w:val="21"/>
        </w:rPr>
      </w:pPr>
      <w:r>
        <w:rPr>
          <w:rFonts w:hint="eastAsia" w:ascii="宋体" w:hAnsi="宋体" w:cs="宋体"/>
          <w:color w:val="auto"/>
          <w:szCs w:val="21"/>
        </w:rPr>
        <w:t>填写说明：</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2、第1条宁波政府采购网（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3、第2条有多个标包的，须按每个标包分别填写，无此分类货物金额的应填“零”。</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4、联合体磋商的，由联合体主办方提供本表。</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5、资格入围式项目（一个标包由多家中标入围）：采购人公布项目预算的，第2条有关金额按市场预估总价、磋商预估总价除以入围数量填写；未公布预算的或入围数量的，供应商无需填写。</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6、磋商价格为费率的项目、中标价格按单价执行的项目：采购人公布项目预算的，第2条有关金额按市场预估总价、磋商预估总价填写；未公布预算的，供应商无需填写。</w:t>
      </w:r>
    </w:p>
    <w:p>
      <w:pPr>
        <w:widowControl/>
        <w:spacing w:line="360" w:lineRule="auto"/>
        <w:jc w:val="left"/>
        <w:rPr>
          <w:rFonts w:ascii="宋体" w:hAnsi="宋体" w:cs="宋体"/>
          <w:color w:val="auto"/>
        </w:rPr>
      </w:pPr>
      <w:r>
        <w:rPr>
          <w:rFonts w:hint="eastAsia" w:ascii="宋体" w:hAnsi="宋体" w:cs="宋体"/>
          <w:color w:val="auto"/>
          <w:szCs w:val="21"/>
        </w:rPr>
        <w:t xml:space="preserve">    7、列入国家节能产品清单、环保产品清单的产品以中国政府采购网(www.ccgp.gov.cn)上财政部发布的文件为准</w:t>
      </w:r>
    </w:p>
    <w:p>
      <w:pPr>
        <w:snapToGrid w:val="0"/>
        <w:spacing w:beforeLines="50" w:after="50"/>
        <w:jc w:val="left"/>
        <w:rPr>
          <w:rFonts w:ascii="宋体" w:hAnsi="宋体" w:cs="宋体"/>
          <w:b/>
          <w:bCs/>
          <w:color w:val="auto"/>
          <w:sz w:val="30"/>
          <w:szCs w:val="30"/>
        </w:rPr>
      </w:pPr>
    </w:p>
    <w:p>
      <w:pPr>
        <w:spacing w:line="360" w:lineRule="auto"/>
        <w:ind w:firstLine="420" w:firstLineChars="200"/>
        <w:jc w:val="left"/>
        <w:rPr>
          <w:rFonts w:ascii="宋体" w:hAnsi="宋体" w:cs="宋体"/>
          <w:color w:val="auto"/>
          <w:szCs w:val="21"/>
        </w:rPr>
      </w:pPr>
    </w:p>
    <w:p>
      <w:pPr>
        <w:spacing w:line="360" w:lineRule="auto"/>
        <w:jc w:val="left"/>
        <w:rPr>
          <w:rFonts w:ascii="宋体" w:hAnsi="宋体" w:cs="宋体"/>
          <w:color w:val="auto"/>
          <w:szCs w:val="21"/>
        </w:rPr>
      </w:pPr>
      <w:r>
        <w:rPr>
          <w:rFonts w:hint="eastAsia" w:ascii="宋体" w:hAnsi="宋体" w:cs="宋体"/>
          <w:color w:val="auto"/>
          <w:szCs w:val="21"/>
        </w:rPr>
        <w:br w:type="page"/>
      </w:r>
      <w:r>
        <w:rPr>
          <w:rFonts w:hint="eastAsia" w:ascii="宋体" w:hAnsi="宋体" w:cs="宋体"/>
          <w:color w:val="auto"/>
          <w:szCs w:val="21"/>
        </w:rPr>
        <w:t>4、残疾人福利性单位声明函，如是请提供；</w:t>
      </w:r>
    </w:p>
    <w:p>
      <w:pPr>
        <w:spacing w:line="480" w:lineRule="auto"/>
        <w:jc w:val="center"/>
        <w:rPr>
          <w:rFonts w:ascii="宋体" w:hAnsi="宋体" w:cs="宋体"/>
          <w:b/>
          <w:bCs/>
          <w:color w:val="auto"/>
          <w:sz w:val="24"/>
        </w:rPr>
      </w:pPr>
    </w:p>
    <w:p>
      <w:pPr>
        <w:spacing w:line="480" w:lineRule="auto"/>
        <w:jc w:val="center"/>
        <w:rPr>
          <w:rFonts w:ascii="宋体" w:hAnsi="宋体" w:cs="宋体"/>
          <w:b/>
          <w:bCs/>
          <w:color w:val="auto"/>
          <w:sz w:val="24"/>
        </w:rPr>
      </w:pPr>
      <w:r>
        <w:rPr>
          <w:rFonts w:hint="eastAsia" w:ascii="宋体" w:hAnsi="宋体" w:cs="宋体"/>
          <w:b/>
          <w:bCs/>
          <w:color w:val="auto"/>
          <w:sz w:val="24"/>
        </w:rPr>
        <w:t>残疾人福利性单位声明函</w:t>
      </w:r>
    </w:p>
    <w:p>
      <w:pPr>
        <w:spacing w:line="480" w:lineRule="auto"/>
        <w:ind w:firstLine="504" w:firstLineChars="200"/>
        <w:rPr>
          <w:rFonts w:ascii="宋体" w:hAnsi="宋体" w:cs="宋体"/>
          <w:color w:val="auto"/>
          <w:spacing w:val="6"/>
          <w:sz w:val="24"/>
        </w:rPr>
      </w:pPr>
      <w:r>
        <w:rPr>
          <w:rFonts w:hint="eastAsia" w:ascii="宋体" w:hAnsi="宋体" w:cs="宋体"/>
          <w:color w:val="auto"/>
          <w:spacing w:val="6"/>
          <w:sz w:val="24"/>
        </w:rPr>
        <w:t>本单位郑重声明，根据《财政部 民政部 中国残疾人联合会关于促进残疾人就业政府采购政策的通知》（财库</w:t>
      </w:r>
      <w:r>
        <w:rPr>
          <w:rFonts w:hint="eastAsia" w:ascii="宋体" w:hAnsi="宋体" w:cs="宋体"/>
          <w:color w:val="auto"/>
          <w:sz w:val="24"/>
        </w:rPr>
        <w:t>〔2017〕 141</w:t>
      </w:r>
      <w:r>
        <w:rPr>
          <w:rFonts w:hint="eastAsia" w:ascii="宋体" w:hAnsi="宋体" w:cs="宋体"/>
          <w:color w:val="auto"/>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504" w:firstLineChars="200"/>
        <w:rPr>
          <w:rFonts w:ascii="宋体" w:hAnsi="宋体" w:cs="宋体"/>
          <w:color w:val="auto"/>
          <w:sz w:val="24"/>
        </w:rPr>
      </w:pPr>
      <w:r>
        <w:rPr>
          <w:rFonts w:hint="eastAsia" w:ascii="宋体" w:hAnsi="宋体" w:cs="宋体"/>
          <w:color w:val="auto"/>
          <w:spacing w:val="6"/>
          <w:sz w:val="24"/>
        </w:rPr>
        <w:t>本单位对上述声明的真实性负责。如有虚假，将依法承担相应责任。</w:t>
      </w:r>
    </w:p>
    <w:p>
      <w:pPr>
        <w:spacing w:line="360" w:lineRule="auto"/>
        <w:rPr>
          <w:rFonts w:ascii="宋体" w:hAnsi="宋体" w:cs="宋体"/>
          <w:color w:val="auto"/>
          <w:sz w:val="28"/>
        </w:rPr>
      </w:pPr>
    </w:p>
    <w:p>
      <w:pPr>
        <w:spacing w:line="360" w:lineRule="auto"/>
        <w:rPr>
          <w:rFonts w:ascii="宋体" w:hAnsi="宋体" w:cs="宋体"/>
          <w:color w:val="auto"/>
          <w:sz w:val="28"/>
        </w:rPr>
      </w:pPr>
    </w:p>
    <w:p>
      <w:pPr>
        <w:spacing w:line="360" w:lineRule="auto"/>
        <w:rPr>
          <w:rFonts w:ascii="宋体" w:hAnsi="宋体" w:cs="宋体"/>
          <w:color w:val="auto"/>
          <w:sz w:val="28"/>
        </w:rPr>
      </w:pPr>
    </w:p>
    <w:p>
      <w:pPr>
        <w:spacing w:line="360" w:lineRule="auto"/>
        <w:rPr>
          <w:rFonts w:ascii="宋体" w:hAnsi="宋体" w:cs="宋体"/>
          <w:color w:val="auto"/>
          <w:sz w:val="28"/>
        </w:rPr>
      </w:pPr>
    </w:p>
    <w:p>
      <w:pPr>
        <w:spacing w:line="360" w:lineRule="auto"/>
        <w:rPr>
          <w:rFonts w:ascii="宋体" w:hAnsi="宋体" w:cs="宋体"/>
          <w:color w:val="auto"/>
          <w:sz w:val="28"/>
        </w:rPr>
      </w:pPr>
    </w:p>
    <w:p>
      <w:pPr>
        <w:pStyle w:val="42"/>
        <w:spacing w:beforeAutospacing="0" w:afterAutospacing="0" w:line="360" w:lineRule="auto"/>
        <w:ind w:firstLine="420"/>
        <w:rPr>
          <w:rFonts w:ascii="宋体" w:hAnsi="宋体" w:cs="宋体"/>
          <w:color w:val="auto"/>
          <w:szCs w:val="21"/>
        </w:rPr>
      </w:pPr>
    </w:p>
    <w:p>
      <w:pPr>
        <w:spacing w:line="360" w:lineRule="auto"/>
        <w:rPr>
          <w:rFonts w:ascii="宋体" w:hAnsi="宋体" w:cs="宋体"/>
          <w:color w:val="auto"/>
        </w:rPr>
      </w:pPr>
      <w:r>
        <w:rPr>
          <w:rFonts w:hint="eastAsia" w:ascii="宋体" w:hAnsi="宋体" w:cs="宋体"/>
          <w:color w:val="auto"/>
        </w:rPr>
        <w:t>供应商名称（公章）：</w:t>
      </w:r>
    </w:p>
    <w:p>
      <w:pPr>
        <w:spacing w:line="360" w:lineRule="auto"/>
        <w:rPr>
          <w:rFonts w:ascii="宋体" w:hAnsi="宋体" w:cs="宋体"/>
          <w:color w:val="auto"/>
        </w:rPr>
      </w:pPr>
      <w:r>
        <w:rPr>
          <w:rFonts w:hint="eastAsia" w:ascii="宋体" w:hAnsi="宋体" w:cs="宋体"/>
          <w:color w:val="auto"/>
          <w:szCs w:val="21"/>
        </w:rPr>
        <w:t>法定代表人或其委托代理人（签字或盖章）</w:t>
      </w:r>
      <w:r>
        <w:rPr>
          <w:rFonts w:hint="eastAsia" w:ascii="宋体" w:hAnsi="宋体" w:cs="宋体"/>
          <w:color w:val="auto"/>
        </w:rPr>
        <w:t>：</w:t>
      </w:r>
    </w:p>
    <w:p>
      <w:pPr>
        <w:pStyle w:val="42"/>
        <w:widowControl w:val="0"/>
        <w:tabs>
          <w:tab w:val="left" w:pos="2472"/>
        </w:tabs>
        <w:snapToGrid w:val="0"/>
        <w:spacing w:beforeLines="50" w:beforeAutospacing="0" w:afterAutospacing="0" w:line="360" w:lineRule="auto"/>
        <w:rPr>
          <w:rFonts w:ascii="宋体" w:hAnsi="宋体" w:cs="宋体"/>
          <w:color w:val="auto"/>
          <w:sz w:val="21"/>
          <w:szCs w:val="21"/>
        </w:rPr>
      </w:pPr>
      <w:r>
        <w:rPr>
          <w:rFonts w:hint="eastAsia" w:ascii="宋体" w:hAnsi="宋体" w:cs="宋体"/>
          <w:color w:val="auto"/>
          <w:sz w:val="20"/>
          <w:szCs w:val="21"/>
        </w:rPr>
        <w:t>日    期：</w:t>
      </w:r>
    </w:p>
    <w:p>
      <w:pPr>
        <w:spacing w:line="360" w:lineRule="auto"/>
        <w:ind w:firstLine="420" w:firstLineChars="200"/>
        <w:jc w:val="left"/>
        <w:rPr>
          <w:rFonts w:ascii="宋体" w:hAnsi="宋体" w:cs="宋体"/>
          <w:color w:val="auto"/>
          <w:szCs w:val="21"/>
        </w:rPr>
      </w:pPr>
    </w:p>
    <w:p>
      <w:pPr>
        <w:spacing w:line="360" w:lineRule="auto"/>
        <w:jc w:val="left"/>
        <w:rPr>
          <w:rFonts w:ascii="宋体" w:hAnsi="宋体" w:cs="宋体"/>
          <w:color w:val="auto"/>
          <w:szCs w:val="21"/>
        </w:rPr>
      </w:pPr>
      <w:r>
        <w:rPr>
          <w:rFonts w:hint="eastAsia" w:ascii="宋体" w:hAnsi="宋体" w:cs="宋体"/>
          <w:color w:val="auto"/>
          <w:szCs w:val="21"/>
        </w:rPr>
        <w:br w:type="page"/>
      </w:r>
      <w:r>
        <w:rPr>
          <w:rFonts w:hint="eastAsia" w:ascii="宋体" w:hAnsi="宋体" w:cs="宋体"/>
          <w:color w:val="auto"/>
          <w:szCs w:val="21"/>
        </w:rPr>
        <w:t>5、其它本磋商采购文件要求提供的报价部分材料。</w:t>
      </w:r>
    </w:p>
    <w:p>
      <w:pPr>
        <w:spacing w:line="360" w:lineRule="auto"/>
        <w:jc w:val="left"/>
        <w:rPr>
          <w:rFonts w:ascii="宋体" w:hAnsi="宋体" w:cs="宋体"/>
          <w:color w:val="auto"/>
          <w:szCs w:val="21"/>
        </w:rPr>
      </w:pPr>
      <w:r>
        <w:rPr>
          <w:rFonts w:hint="eastAsia" w:ascii="宋体" w:hAnsi="宋体" w:cs="宋体"/>
          <w:color w:val="auto"/>
          <w:szCs w:val="21"/>
        </w:rPr>
        <w:t>6、确定成交服务费支付承诺函</w:t>
      </w:r>
    </w:p>
    <w:p>
      <w:pPr>
        <w:pStyle w:val="2"/>
        <w:rPr>
          <w:rFonts w:ascii="宋体" w:hAnsi="宋体" w:cs="宋体"/>
          <w:color w:val="auto"/>
          <w:szCs w:val="21"/>
          <w:lang w:val="en-US"/>
        </w:rPr>
      </w:pPr>
    </w:p>
    <w:p>
      <w:pPr>
        <w:spacing w:line="360" w:lineRule="auto"/>
        <w:jc w:val="center"/>
        <w:rPr>
          <w:rFonts w:ascii="宋体" w:hAnsi="宋体" w:cs="宋体"/>
          <w:b/>
          <w:color w:val="auto"/>
          <w:spacing w:val="20"/>
          <w:sz w:val="28"/>
          <w:szCs w:val="32"/>
        </w:rPr>
      </w:pPr>
      <w:r>
        <w:rPr>
          <w:rFonts w:hint="eastAsia" w:ascii="宋体" w:hAnsi="宋体" w:cs="宋体"/>
          <w:b/>
          <w:color w:val="auto"/>
          <w:spacing w:val="20"/>
          <w:sz w:val="28"/>
          <w:szCs w:val="32"/>
        </w:rPr>
        <w:t>确定成交服务费支付承诺函</w:t>
      </w:r>
    </w:p>
    <w:p>
      <w:pPr>
        <w:spacing w:line="360" w:lineRule="auto"/>
        <w:ind w:left="540"/>
        <w:jc w:val="center"/>
        <w:rPr>
          <w:rFonts w:ascii="宋体" w:hAnsi="宋体" w:cs="宋体"/>
          <w:b/>
          <w:color w:val="auto"/>
          <w:sz w:val="28"/>
          <w:szCs w:val="30"/>
        </w:rPr>
      </w:pPr>
    </w:p>
    <w:p>
      <w:pPr>
        <w:widowControl/>
        <w:spacing w:line="360" w:lineRule="auto"/>
        <w:rPr>
          <w:rFonts w:ascii="宋体" w:hAnsi="宋体" w:cs="宋体"/>
          <w:b/>
          <w:color w:val="auto"/>
          <w:spacing w:val="-4"/>
          <w:szCs w:val="21"/>
        </w:rPr>
      </w:pPr>
      <w:r>
        <w:rPr>
          <w:rFonts w:hint="eastAsia" w:ascii="宋体" w:hAnsi="宋体" w:cs="宋体"/>
          <w:b/>
          <w:color w:val="auto"/>
          <w:spacing w:val="-4"/>
          <w:szCs w:val="21"/>
        </w:rPr>
        <w:t>致：宁波中基国际招标有限公司</w:t>
      </w:r>
    </w:p>
    <w:p>
      <w:pPr>
        <w:widowControl/>
        <w:spacing w:line="360" w:lineRule="auto"/>
        <w:ind w:firstLine="404" w:firstLineChars="200"/>
        <w:rPr>
          <w:rFonts w:ascii="宋体" w:hAnsi="宋体" w:cs="宋体"/>
          <w:bCs/>
          <w:color w:val="auto"/>
          <w:spacing w:val="-4"/>
          <w:szCs w:val="21"/>
        </w:rPr>
      </w:pPr>
      <w:r>
        <w:rPr>
          <w:rFonts w:hint="eastAsia" w:ascii="宋体" w:hAnsi="宋体" w:cs="宋体"/>
          <w:bCs/>
          <w:i/>
          <w:iCs/>
          <w:color w:val="auto"/>
          <w:spacing w:val="-4"/>
          <w:szCs w:val="21"/>
          <w:u w:val="single"/>
        </w:rPr>
        <w:t>供应商单位名称（</w:t>
      </w:r>
      <w:r>
        <w:rPr>
          <w:rFonts w:hint="eastAsia" w:ascii="宋体" w:hAnsi="宋体" w:cs="宋体"/>
          <w:bCs/>
          <w:color w:val="auto"/>
          <w:spacing w:val="-4"/>
          <w:szCs w:val="21"/>
        </w:rPr>
        <w:t>郑重承诺：</w:t>
      </w:r>
    </w:p>
    <w:p>
      <w:pPr>
        <w:widowControl/>
        <w:spacing w:line="360" w:lineRule="auto"/>
        <w:ind w:firstLine="404" w:firstLineChars="200"/>
        <w:rPr>
          <w:rFonts w:ascii="宋体" w:hAnsi="宋体" w:cs="宋体"/>
          <w:color w:val="auto"/>
          <w:szCs w:val="21"/>
        </w:rPr>
      </w:pPr>
      <w:r>
        <w:rPr>
          <w:rFonts w:hint="eastAsia" w:ascii="宋体" w:hAnsi="宋体" w:cs="宋体"/>
          <w:bCs/>
          <w:color w:val="auto"/>
          <w:spacing w:val="-4"/>
          <w:szCs w:val="21"/>
        </w:rPr>
        <w:t>若我司在</w:t>
      </w:r>
      <w:r>
        <w:rPr>
          <w:rFonts w:hint="eastAsia" w:ascii="宋体" w:hAnsi="宋体" w:cs="宋体"/>
          <w:bCs/>
          <w:color w:val="auto"/>
          <w:spacing w:val="-4"/>
          <w:szCs w:val="21"/>
          <w:u w:val="single"/>
        </w:rPr>
        <w:t xml:space="preserve">                </w:t>
      </w:r>
      <w:r>
        <w:rPr>
          <w:rFonts w:hint="eastAsia" w:ascii="宋体" w:hAnsi="宋体" w:cs="宋体"/>
          <w:bCs/>
          <w:color w:val="auto"/>
          <w:spacing w:val="-4"/>
          <w:szCs w:val="21"/>
        </w:rPr>
        <w:t>项目（以下简称“本项目”）中有幸中标，我司将严格按照本项目</w:t>
      </w:r>
      <w:r>
        <w:rPr>
          <w:rFonts w:hint="eastAsia" w:ascii="宋体" w:hAnsi="宋体" w:cs="宋体"/>
          <w:color w:val="auto"/>
          <w:szCs w:val="21"/>
        </w:rPr>
        <w:t>成交服务费的规定，在本项目结果公示期满后5个工作日内</w:t>
      </w:r>
      <w:r>
        <w:rPr>
          <w:rFonts w:hint="eastAsia" w:ascii="宋体" w:hAnsi="宋体" w:cs="宋体"/>
          <w:color w:val="auto"/>
        </w:rPr>
        <w:t>向本代理机构支付</w:t>
      </w:r>
      <w:r>
        <w:rPr>
          <w:rFonts w:hint="eastAsia" w:hAnsi="宋体" w:cs="宋体"/>
          <w:color w:val="auto"/>
        </w:rPr>
        <w:t>成交</w:t>
      </w:r>
      <w:r>
        <w:rPr>
          <w:rFonts w:hint="eastAsia" w:ascii="宋体" w:hAnsi="宋体" w:cs="宋体"/>
          <w:color w:val="auto"/>
        </w:rPr>
        <w:t>服务费</w:t>
      </w:r>
      <w:r>
        <w:rPr>
          <w:rFonts w:hint="eastAsia" w:ascii="宋体" w:hAnsi="宋体" w:cs="宋体"/>
          <w:color w:val="auto"/>
          <w:szCs w:val="21"/>
        </w:rPr>
        <w:t>。</w:t>
      </w:r>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若我司未按上述承诺内容执行，我司自愿承担本项目成交服务费200%的违约金，且在结果公示期满后5个工作日内支付上述违约金，否则由此引起的一切法律责任和经济责任由我司承担。</w:t>
      </w:r>
    </w:p>
    <w:p>
      <w:pPr>
        <w:snapToGrid w:val="0"/>
        <w:spacing w:before="50" w:after="50"/>
        <w:ind w:left="-24" w:leftChars="-22" w:right="-817" w:rightChars="-389" w:hanging="22" w:hangingChars="11"/>
        <w:rPr>
          <w:rFonts w:ascii="宋体" w:hAnsi="宋体" w:cs="宋体"/>
          <w:b/>
          <w:color w:val="auto"/>
          <w:spacing w:val="-4"/>
          <w:szCs w:val="21"/>
        </w:rPr>
      </w:pPr>
    </w:p>
    <w:p>
      <w:pPr>
        <w:snapToGrid w:val="0"/>
        <w:spacing w:before="50" w:after="50"/>
        <w:ind w:left="-24" w:leftChars="-22" w:right="-817" w:rightChars="-389" w:hanging="22" w:hangingChars="11"/>
        <w:rPr>
          <w:rFonts w:ascii="宋体" w:hAnsi="宋体" w:cs="宋体"/>
          <w:color w:val="auto"/>
          <w:szCs w:val="21"/>
        </w:rPr>
      </w:pPr>
      <w:r>
        <w:rPr>
          <w:rFonts w:hint="eastAsia" w:ascii="宋体" w:hAnsi="宋体" w:cs="宋体"/>
          <w:b/>
          <w:color w:val="auto"/>
          <w:spacing w:val="-4"/>
          <w:szCs w:val="21"/>
        </w:rPr>
        <w:t>特此承诺！</w:t>
      </w:r>
    </w:p>
    <w:p>
      <w:pPr>
        <w:snapToGrid w:val="0"/>
        <w:spacing w:before="50" w:after="50"/>
        <w:ind w:left="-23" w:leftChars="-22" w:right="-817" w:rightChars="-389" w:hanging="23" w:hangingChars="11"/>
        <w:rPr>
          <w:rFonts w:ascii="宋体" w:hAnsi="宋体" w:cs="宋体"/>
          <w:color w:val="auto"/>
          <w:szCs w:val="21"/>
        </w:rPr>
      </w:pPr>
    </w:p>
    <w:p>
      <w:pPr>
        <w:snapToGrid w:val="0"/>
        <w:spacing w:before="50" w:after="50" w:line="360" w:lineRule="auto"/>
        <w:ind w:left="-23" w:leftChars="-22" w:right="-817" w:rightChars="-389" w:hanging="23" w:hangingChars="11"/>
        <w:rPr>
          <w:rFonts w:ascii="宋体" w:hAnsi="宋体" w:cs="宋体"/>
          <w:color w:val="auto"/>
          <w:szCs w:val="21"/>
        </w:rPr>
      </w:pPr>
    </w:p>
    <w:p>
      <w:pPr>
        <w:snapToGrid w:val="0"/>
        <w:spacing w:before="50" w:after="50" w:line="360" w:lineRule="auto"/>
        <w:ind w:left="-23" w:leftChars="-22" w:right="-817" w:rightChars="-389" w:hanging="23" w:hangingChars="11"/>
        <w:rPr>
          <w:rFonts w:ascii="宋体" w:hAnsi="宋体" w:cs="宋体"/>
          <w:color w:val="auto"/>
          <w:szCs w:val="21"/>
        </w:rPr>
      </w:pPr>
    </w:p>
    <w:p>
      <w:pPr>
        <w:snapToGrid w:val="0"/>
        <w:spacing w:before="50" w:after="50" w:line="360" w:lineRule="auto"/>
        <w:ind w:left="-23" w:leftChars="-22" w:right="-817" w:rightChars="-389" w:hanging="23" w:hangingChars="11"/>
        <w:rPr>
          <w:rFonts w:ascii="宋体" w:hAnsi="宋体" w:cs="宋体"/>
          <w:color w:val="auto"/>
          <w:szCs w:val="21"/>
        </w:rPr>
      </w:pPr>
      <w:r>
        <w:rPr>
          <w:rFonts w:hint="eastAsia" w:ascii="宋体" w:hAnsi="宋体" w:cs="宋体"/>
          <w:color w:val="auto"/>
          <w:szCs w:val="21"/>
        </w:rPr>
        <w:t xml:space="preserve">法定代表人或授权代表（签字或盖章）：                    </w:t>
      </w:r>
    </w:p>
    <w:p>
      <w:pPr>
        <w:tabs>
          <w:tab w:val="left" w:pos="606"/>
        </w:tabs>
        <w:rPr>
          <w:rFonts w:ascii="宋体" w:hAnsi="宋体" w:cs="宋体"/>
          <w:b/>
          <w:bCs/>
          <w:color w:val="auto"/>
          <w:sz w:val="30"/>
          <w:szCs w:val="30"/>
        </w:rPr>
      </w:pPr>
      <w:r>
        <w:rPr>
          <w:rFonts w:hint="eastAsia" w:ascii="宋体" w:hAnsi="宋体" w:cs="宋体"/>
          <w:color w:val="auto"/>
          <w:szCs w:val="21"/>
        </w:rPr>
        <w:t>供应商（公章）：                                     日期：    年   月   日</w:t>
      </w:r>
    </w:p>
    <w:p>
      <w:pPr>
        <w:tabs>
          <w:tab w:val="left" w:pos="606"/>
        </w:tabs>
        <w:rPr>
          <w:rFonts w:ascii="宋体" w:hAnsi="宋体" w:cs="宋体"/>
          <w:b/>
          <w:bCs/>
          <w:color w:val="auto"/>
          <w:sz w:val="30"/>
          <w:szCs w:val="30"/>
        </w:rPr>
      </w:pPr>
    </w:p>
    <w:p>
      <w:pPr>
        <w:pStyle w:val="2"/>
        <w:rPr>
          <w:rFonts w:ascii="宋体" w:hAnsi="宋体" w:cs="宋体"/>
          <w:color w:val="auto"/>
          <w:szCs w:val="21"/>
          <w:lang w:val="en-US"/>
        </w:rPr>
      </w:pP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p>
    <w:p>
      <w:pPr>
        <w:snapToGrid w:val="0"/>
        <w:spacing w:before="50" w:after="50"/>
        <w:jc w:val="left"/>
        <w:rPr>
          <w:rFonts w:ascii="宋体" w:hAnsi="宋体" w:cs="宋体"/>
          <w:b/>
          <w:bCs/>
          <w:color w:val="auto"/>
          <w:sz w:val="28"/>
          <w:szCs w:val="28"/>
        </w:rPr>
      </w:pPr>
    </w:p>
    <w:sectPr>
      <w:pgSz w:w="11906" w:h="16838"/>
      <w:pgMar w:top="1474" w:right="1797" w:bottom="1247" w:left="1797"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Monaco">
    <w:altName w:val="Courier New"/>
    <w:panose1 w:val="020B0509030404040204"/>
    <w:charset w:val="00"/>
    <w:family w:val="moder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0"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汉鼎简细圆">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1"/>
                          </w:pPr>
                          <w:r>
                            <w:fldChar w:fldCharType="begin"/>
                          </w:r>
                          <w:r>
                            <w:rPr>
                              <w:rStyle w:val="49"/>
                            </w:rPr>
                            <w:instrText xml:space="preserve"> PAGE  </w:instrText>
                          </w:r>
                          <w:r>
                            <w:fldChar w:fldCharType="separate"/>
                          </w:r>
                          <w:r>
                            <w:rPr>
                              <w:rStyle w:val="49"/>
                            </w:rPr>
                            <w:t>2</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height:144pt;width:144pt;mso-position-horizontal:center;mso-position-horizontal-relative:margin;mso-position-vertical:top;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4YNtkBAACzAwAADgAAAGRycy9lMm9Eb2MueG1srVNLbtswEN0X6B0I&#10;7mvJAhK4guWghZGiQNEUSHMAmiItAvyBQ1vyBdobZNVN9z2Xz9EhJTlBusmiG2l+fDPvcbi+GYwm&#10;RxFAOdvQ5aKkRFjuWmX3DX34fvtuRQlEZlumnRUNPQmgN5u3b9a9r0XlOqdbEQiCWKh739AuRl8X&#10;BfBOGAYL54XFpHTBsIhu2BdtYD2iG11UZXld9C60PjguADC6HZN0QgyvAXRSKi62jh+MsHFEDUKz&#10;iJSgUx7oJk8rpeDxTkoQkeiGItOYv9gE7V36Fps1q/eB+U7xaQT2mhFecDJMWWx6gdqyyMghqH+g&#10;jOLBgZNxwZ0pRiJZEWSxLF9oc98xLzIXlBr8RXT4f7D86/FbIKrFTaDEMoMXfn78ef715/z7B1mW&#10;1XVSqPdQY+G9x9I4fHRDqp7igMFEfJDBpD9SIphHfU8XfcUQCU+HVtVqVWKKY252EKd4Ou4DxE/C&#10;GZKMhga8wKwrO36BOJbOJambdbdKa4yzWlvSN/T9VXWVD1wyCK5tKhB5HSaYRGkcPVlx2A0Tn51r&#10;T0izx5VoqMUXQIn+bFHxtD2zEWZjNxsHH9S+y+uVeoH/cIg4Wx45dRhhkWpy8C4z6Wnv0rI893PV&#10;01vb/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jD4YNtkBAACzAwAADgAAAAAAAAABACAA&#10;AAAeAQAAZHJzL2Uyb0RvYy54bWxQSwUGAAAAAAYABgBZAQAAaQUAAAAA&#10;">
              <v:fill on="f" focussize="0,0"/>
              <v:stroke on="f"/>
              <v:imagedata o:title=""/>
              <o:lock v:ext="edit" aspectratio="f"/>
              <v:textbox inset="0mm,0mm,0mm,0mm" style="mso-fit-shape-to-text:t;">
                <w:txbxContent>
                  <w:p>
                    <w:pPr>
                      <w:pStyle w:val="31"/>
                    </w:pPr>
                    <w:r>
                      <w:fldChar w:fldCharType="begin"/>
                    </w:r>
                    <w:r>
                      <w:rPr>
                        <w:rStyle w:val="49"/>
                      </w:rPr>
                      <w:instrText xml:space="preserve"> PAGE  </w:instrText>
                    </w:r>
                    <w:r>
                      <w:fldChar w:fldCharType="separate"/>
                    </w:r>
                    <w:r>
                      <w:rPr>
                        <w:rStyle w:val="49"/>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49"/>
      </w:rPr>
    </w:pPr>
    <w:r>
      <w:fldChar w:fldCharType="begin"/>
    </w:r>
    <w:r>
      <w:rPr>
        <w:rStyle w:val="49"/>
      </w:rPr>
      <w:instrText xml:space="preserve">PAGE  </w:instrText>
    </w:r>
    <w:r>
      <w:fldChar w:fldCharType="separate"/>
    </w:r>
    <w:r>
      <w:rPr>
        <w:rStyle w:val="49"/>
      </w:rPr>
      <w:t>1</w:t>
    </w:r>
    <w:r>
      <w:fldChar w:fldCharType="end"/>
    </w:r>
  </w:p>
  <w:p>
    <w:pPr>
      <w:pStyle w:val="3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align>top</wp:align>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height:144pt;width:144pt;mso-position-horizontal:center;mso-position-horizontal-relative:margin;mso-position-vertical:top;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wJstgBAACzAwAADgAAAGRycy9lMm9Eb2MueG1srVNLbtswEN0XyB0I&#10;7mPJRlO4gumghZEgQNEWSHoAmqIsAvyBQ1vyBdobdNVN9z2Xz9EhJTlNssmiG2l+fDPvcbi67o0m&#10;BxlAOcvofFZSIq1wtbI7Rr893FwuKYHIbc21s5LRowR6vb54s+p8JReudbqWgSCIharzjLYx+qoo&#10;QLTScJg5Ly0mGxcMj+iGXVEH3iG60cWiLN8VnQu1D05IAIxuhiQdEcNrAF3TKCE3TuyNtHFADVLz&#10;iJSgVR7oOk/bNFLEL00DMhLNKDKN+YtN0N6mb7Fe8WoXuG+VGEfgrxnhGSfDlcWmZ6gNj5zsg3oB&#10;ZZQIDlwTZ8KZYiCSFUEW8/KZNvct9zJzQanBn0WH/wcrPh++BqJqRt9SYrnBCz/9/HH69ef0+zuZ&#10;l4urpFDnocLCe4+lsf/oetybKQ4YTMT7Jpj0R0oE86jv8ayv7CMR6dBysVyWmBKYmxzELx6P+wDx&#10;VjpDksFowAvMuvLDJ4hD6VSSull3o7TOl6gt6Rh9f4UjP8kguLYpIvM6jDCJ0jB6smK/7UeeW1cf&#10;kWaHK8GoxRdAib6zqHjanskIk7GdjL0Patfm9Uq9wH/YR5wtj5w6DLBINTl4l5n0uHdpWf71c9Xj&#10;W1v/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C2vAmy2AEAALMDAAAOAAAAAAAAAAEAIAAA&#10;AB4BAABkcnMvZTJvRG9jLnhtbFBLBQYAAAAABgAGAFkBAABo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p>
    <w:pPr>
      <w:pStyle w:val="31"/>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tabs>
        <w:tab w:val="clear" w:pos="4153"/>
        <w:tab w:val="clear" w:pos="8306"/>
      </w:tabs>
      <w:rPr>
        <w:rStyle w:val="49"/>
      </w:rPr>
    </w:pPr>
    <w:r>
      <w:fldChar w:fldCharType="begin"/>
    </w:r>
    <w:r>
      <w:rPr>
        <w:rStyle w:val="49"/>
      </w:rPr>
      <w:instrText xml:space="preserve">PAGE  </w:instrText>
    </w:r>
    <w:r>
      <w:fldChar w:fldCharType="separate"/>
    </w:r>
    <w:r>
      <w:rPr>
        <w:rStyle w:val="49"/>
      </w:rPr>
      <w:t>6</w:t>
    </w:r>
    <w:r>
      <w:fldChar w:fldCharType="end"/>
    </w:r>
  </w:p>
  <w:p>
    <w:pPr>
      <w:pStyle w:val="31"/>
      <w:tabs>
        <w:tab w:val="clear" w:pos="4153"/>
        <w:tab w:val="clear" w:pos="8306"/>
      </w:tabs>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1"/>
                            <w:jc w:val="center"/>
                          </w:pPr>
                          <w:r>
                            <w:fldChar w:fldCharType="begin"/>
                          </w:r>
                          <w:r>
                            <w:instrText xml:space="preserve"> PAGE   \* MERGEFORMAT </w:instrText>
                          </w:r>
                          <w:r>
                            <w:fldChar w:fldCharType="separate"/>
                          </w:r>
                          <w:r>
                            <w:t>13</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height:144pt;width:144pt;mso-position-horizontal:center;mso-position-horizontal-relative:margin;mso-position-vertical:top;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h5IdkBAACzAwAADgAAAGRycy9lMm9Eb2MueG1srVPNjtMwEL4j8Q6W&#10;7zRp0KIQ1V2BqkVICJAWHsB1nMaS/+Rxm/QF4A04ceHOc/U5GDtJFy2XPXBJZjzjb+b7Zry5HY0m&#10;JxlAOcvoelVSIq1wrbIHRr9+uXtRUwKR25ZrZyWjZwn0dvv82Wbwjaxc73QrA0EQC83gGe1j9E1R&#10;gOil4bByXloMdi4YHtENh6INfEB0o4uqLF8VgwutD05IADzdTUE6I4anALquU0LunDgaaeOEGqTm&#10;ESlBrzzQbe6266SIn7oOZCSaUWQa8xeLoL1P32K74c0hcN8rMbfAn9LCI06GK4tFr1A7Hjk5BvUP&#10;lFEiOHBdXAlniolIVgRZrMtH2tz33MvMBaUGfxUd/h+s+Hj6HIhqGX1JieUGB3758f3y8/fl1zey&#10;Lqs6KTR4aDDx3mNqHN+6EfdmOQc8TMTHLpj0R0oE46jv+aqvHCMR6VJd1XWJIYGxxUH84uG6DxDf&#10;SWdIMhgNOMCsKz99gDilLimpmnV3Sus8RG3JwOjrm+omX7hGEFzblCvzOswwidLUerLiuB9nnnvX&#10;npHmgCvBqMUXQIl+b1HxtD2LERZjvxhHH9Shz+uVaoF/c4zYW245VZhgkWpycJaZ9Lx3aVn+9nPW&#10;w1vb/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aHh5IdkBAACzAwAADgAAAAAAAAABACAA&#10;AAAeAQAAZHJzL2Uyb0RvYy54bWxQSwUGAAAAAAYABgBZAQAAaQUAAAAA&#10;">
              <v:fill on="f" focussize="0,0"/>
              <v:stroke on="f"/>
              <v:imagedata o:title=""/>
              <o:lock v:ext="edit" aspectratio="f"/>
              <v:textbox inset="0mm,0mm,0mm,0mm" style="mso-fit-shape-to-text:t;">
                <w:txbxContent>
                  <w:p>
                    <w:pPr>
                      <w:pStyle w:val="31"/>
                      <w:jc w:val="center"/>
                    </w:pPr>
                    <w:r>
                      <w:fldChar w:fldCharType="begin"/>
                    </w:r>
                    <w:r>
                      <w:instrText xml:space="preserve"> PAGE   \* MERGEFORMAT </w:instrText>
                    </w:r>
                    <w:r>
                      <w:fldChar w:fldCharType="separate"/>
                    </w:r>
                    <w:r>
                      <w:t>13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E802A"/>
    <w:multiLevelType w:val="singleLevel"/>
    <w:tmpl w:val="93CE802A"/>
    <w:lvl w:ilvl="0" w:tentative="0">
      <w:start w:val="1"/>
      <w:numFmt w:val="decimal"/>
      <w:suff w:val="nothing"/>
      <w:lvlText w:val="%1、"/>
      <w:lvlJc w:val="left"/>
    </w:lvl>
  </w:abstractNum>
  <w:abstractNum w:abstractNumId="1">
    <w:nsid w:val="B847551E"/>
    <w:multiLevelType w:val="singleLevel"/>
    <w:tmpl w:val="B847551E"/>
    <w:lvl w:ilvl="0" w:tentative="0">
      <w:start w:val="1"/>
      <w:numFmt w:val="decimal"/>
      <w:suff w:val="nothing"/>
      <w:lvlText w:val="%1、"/>
      <w:lvlJc w:val="left"/>
    </w:lvl>
  </w:abstractNum>
  <w:abstractNum w:abstractNumId="2">
    <w:nsid w:val="BDE945F1"/>
    <w:multiLevelType w:val="singleLevel"/>
    <w:tmpl w:val="BDE945F1"/>
    <w:lvl w:ilvl="0" w:tentative="0">
      <w:start w:val="3"/>
      <w:numFmt w:val="chineseCounting"/>
      <w:suff w:val="nothing"/>
      <w:lvlText w:val="%1、"/>
      <w:lvlJc w:val="left"/>
      <w:rPr>
        <w:rFonts w:hint="eastAsia"/>
      </w:rPr>
    </w:lvl>
  </w:abstractNum>
  <w:abstractNum w:abstractNumId="3">
    <w:nsid w:val="C3AF05D6"/>
    <w:multiLevelType w:val="singleLevel"/>
    <w:tmpl w:val="C3AF05D6"/>
    <w:lvl w:ilvl="0" w:tentative="0">
      <w:start w:val="1"/>
      <w:numFmt w:val="decimal"/>
      <w:lvlText w:val="%1."/>
      <w:lvlJc w:val="left"/>
      <w:pPr>
        <w:tabs>
          <w:tab w:val="left" w:pos="312"/>
        </w:tabs>
      </w:pPr>
    </w:lvl>
  </w:abstractNum>
  <w:abstractNum w:abstractNumId="4">
    <w:nsid w:val="C943D475"/>
    <w:multiLevelType w:val="singleLevel"/>
    <w:tmpl w:val="C943D475"/>
    <w:lvl w:ilvl="0" w:tentative="0">
      <w:start w:val="7"/>
      <w:numFmt w:val="decimal"/>
      <w:suff w:val="nothing"/>
      <w:lvlText w:val="%1、"/>
      <w:lvlJc w:val="left"/>
    </w:lvl>
  </w:abstractNum>
  <w:abstractNum w:abstractNumId="5">
    <w:nsid w:val="CCDC82DC"/>
    <w:multiLevelType w:val="singleLevel"/>
    <w:tmpl w:val="CCDC82DC"/>
    <w:lvl w:ilvl="0" w:tentative="0">
      <w:start w:val="1"/>
      <w:numFmt w:val="decimal"/>
      <w:suff w:val="nothing"/>
      <w:lvlText w:val="（%1）"/>
      <w:lvlJc w:val="left"/>
    </w:lvl>
  </w:abstractNum>
  <w:abstractNum w:abstractNumId="6">
    <w:nsid w:val="FF4D3C28"/>
    <w:multiLevelType w:val="singleLevel"/>
    <w:tmpl w:val="FF4D3C28"/>
    <w:lvl w:ilvl="0" w:tentative="0">
      <w:start w:val="1"/>
      <w:numFmt w:val="decimal"/>
      <w:suff w:val="nothing"/>
      <w:lvlText w:val="（%1）"/>
      <w:lvlJc w:val="left"/>
    </w:lvl>
  </w:abstractNum>
  <w:abstractNum w:abstractNumId="7">
    <w:nsid w:val="00000004"/>
    <w:multiLevelType w:val="singleLevel"/>
    <w:tmpl w:val="00000004"/>
    <w:lvl w:ilvl="0" w:tentative="0">
      <w:start w:val="1"/>
      <w:numFmt w:val="decimal"/>
      <w:suff w:val="nothing"/>
      <w:lvlText w:val="%1."/>
      <w:lvlJc w:val="left"/>
    </w:lvl>
  </w:abstractNum>
  <w:abstractNum w:abstractNumId="8">
    <w:nsid w:val="5D59CEAB"/>
    <w:multiLevelType w:val="singleLevel"/>
    <w:tmpl w:val="5D59CEAB"/>
    <w:lvl w:ilvl="0" w:tentative="0">
      <w:start w:val="1"/>
      <w:numFmt w:val="decimal"/>
      <w:suff w:val="nothing"/>
      <w:lvlText w:val="（%1）"/>
      <w:lvlJc w:val="left"/>
    </w:lvl>
  </w:abstractNum>
  <w:num w:numId="1">
    <w:abstractNumId w:val="8"/>
  </w:num>
  <w:num w:numId="2">
    <w:abstractNumId w:val="0"/>
  </w:num>
  <w:num w:numId="3">
    <w:abstractNumId w:val="1"/>
  </w:num>
  <w:num w:numId="4">
    <w:abstractNumId w:val="6"/>
  </w:num>
  <w:num w:numId="5">
    <w:abstractNumId w:val="2"/>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3729"/>
    <w:rsid w:val="00034874"/>
    <w:rsid w:val="00042B93"/>
    <w:rsid w:val="0005086F"/>
    <w:rsid w:val="000565F3"/>
    <w:rsid w:val="000607AB"/>
    <w:rsid w:val="00073F51"/>
    <w:rsid w:val="00081874"/>
    <w:rsid w:val="000978F2"/>
    <w:rsid w:val="000E299C"/>
    <w:rsid w:val="000E6422"/>
    <w:rsid w:val="001017FB"/>
    <w:rsid w:val="001153A2"/>
    <w:rsid w:val="00132E6B"/>
    <w:rsid w:val="00133348"/>
    <w:rsid w:val="00141DD3"/>
    <w:rsid w:val="001562EE"/>
    <w:rsid w:val="001622DF"/>
    <w:rsid w:val="00172A27"/>
    <w:rsid w:val="00176B49"/>
    <w:rsid w:val="00181FB8"/>
    <w:rsid w:val="00183EAB"/>
    <w:rsid w:val="001930B9"/>
    <w:rsid w:val="00196F1D"/>
    <w:rsid w:val="001B6E27"/>
    <w:rsid w:val="001B7B67"/>
    <w:rsid w:val="001C7E22"/>
    <w:rsid w:val="001E27CF"/>
    <w:rsid w:val="001E5ECD"/>
    <w:rsid w:val="00213100"/>
    <w:rsid w:val="00221CF2"/>
    <w:rsid w:val="002265DA"/>
    <w:rsid w:val="0024524B"/>
    <w:rsid w:val="00255D48"/>
    <w:rsid w:val="0026234F"/>
    <w:rsid w:val="002802D3"/>
    <w:rsid w:val="00294282"/>
    <w:rsid w:val="00295392"/>
    <w:rsid w:val="002A0DB7"/>
    <w:rsid w:val="002B12A3"/>
    <w:rsid w:val="002B4957"/>
    <w:rsid w:val="002D409E"/>
    <w:rsid w:val="0030635A"/>
    <w:rsid w:val="00307A3F"/>
    <w:rsid w:val="003223DA"/>
    <w:rsid w:val="00340F4E"/>
    <w:rsid w:val="00360140"/>
    <w:rsid w:val="00363FDC"/>
    <w:rsid w:val="0036734A"/>
    <w:rsid w:val="003917A6"/>
    <w:rsid w:val="00396FDF"/>
    <w:rsid w:val="003A1EDA"/>
    <w:rsid w:val="003E5456"/>
    <w:rsid w:val="003F3554"/>
    <w:rsid w:val="003F71D5"/>
    <w:rsid w:val="00426631"/>
    <w:rsid w:val="004354CA"/>
    <w:rsid w:val="00466506"/>
    <w:rsid w:val="004A0DD6"/>
    <w:rsid w:val="004A38EC"/>
    <w:rsid w:val="004E056B"/>
    <w:rsid w:val="004E538E"/>
    <w:rsid w:val="005060B0"/>
    <w:rsid w:val="0058089C"/>
    <w:rsid w:val="00595B81"/>
    <w:rsid w:val="005C37EE"/>
    <w:rsid w:val="005C398D"/>
    <w:rsid w:val="005E0217"/>
    <w:rsid w:val="005E36F1"/>
    <w:rsid w:val="005F20F0"/>
    <w:rsid w:val="0060501F"/>
    <w:rsid w:val="00612103"/>
    <w:rsid w:val="006324FE"/>
    <w:rsid w:val="00632C6C"/>
    <w:rsid w:val="00646903"/>
    <w:rsid w:val="00663051"/>
    <w:rsid w:val="006706F8"/>
    <w:rsid w:val="00674989"/>
    <w:rsid w:val="006828B1"/>
    <w:rsid w:val="006C1676"/>
    <w:rsid w:val="006D2415"/>
    <w:rsid w:val="006D3CED"/>
    <w:rsid w:val="006F153C"/>
    <w:rsid w:val="006F7F1D"/>
    <w:rsid w:val="007021E9"/>
    <w:rsid w:val="00745E6E"/>
    <w:rsid w:val="007535AD"/>
    <w:rsid w:val="00753959"/>
    <w:rsid w:val="00754196"/>
    <w:rsid w:val="00761883"/>
    <w:rsid w:val="0078328F"/>
    <w:rsid w:val="007855B6"/>
    <w:rsid w:val="007873F4"/>
    <w:rsid w:val="007876C8"/>
    <w:rsid w:val="007D1EEB"/>
    <w:rsid w:val="00836D1B"/>
    <w:rsid w:val="0085421E"/>
    <w:rsid w:val="00857DAC"/>
    <w:rsid w:val="00867938"/>
    <w:rsid w:val="0088046F"/>
    <w:rsid w:val="00886A28"/>
    <w:rsid w:val="0089331F"/>
    <w:rsid w:val="008A4A5E"/>
    <w:rsid w:val="008D2667"/>
    <w:rsid w:val="00922EAE"/>
    <w:rsid w:val="00941F87"/>
    <w:rsid w:val="0095145B"/>
    <w:rsid w:val="0095385A"/>
    <w:rsid w:val="009748BB"/>
    <w:rsid w:val="00977202"/>
    <w:rsid w:val="009C63F8"/>
    <w:rsid w:val="009D05D1"/>
    <w:rsid w:val="009D438C"/>
    <w:rsid w:val="00A026AF"/>
    <w:rsid w:val="00A16618"/>
    <w:rsid w:val="00A238A8"/>
    <w:rsid w:val="00A25A36"/>
    <w:rsid w:val="00A43BD8"/>
    <w:rsid w:val="00A43F2E"/>
    <w:rsid w:val="00A92A1A"/>
    <w:rsid w:val="00AA2BC6"/>
    <w:rsid w:val="00AB1DF4"/>
    <w:rsid w:val="00AC1214"/>
    <w:rsid w:val="00AF4C8B"/>
    <w:rsid w:val="00AF734F"/>
    <w:rsid w:val="00B72A31"/>
    <w:rsid w:val="00B84E8D"/>
    <w:rsid w:val="00BA7F3D"/>
    <w:rsid w:val="00BB2364"/>
    <w:rsid w:val="00BC14DD"/>
    <w:rsid w:val="00BF45DE"/>
    <w:rsid w:val="00BF49E8"/>
    <w:rsid w:val="00C16677"/>
    <w:rsid w:val="00C250A9"/>
    <w:rsid w:val="00C50749"/>
    <w:rsid w:val="00C91E26"/>
    <w:rsid w:val="00CC6E54"/>
    <w:rsid w:val="00CF54EC"/>
    <w:rsid w:val="00CF721B"/>
    <w:rsid w:val="00CF7D2C"/>
    <w:rsid w:val="00D11129"/>
    <w:rsid w:val="00D12086"/>
    <w:rsid w:val="00D12C0A"/>
    <w:rsid w:val="00D2020D"/>
    <w:rsid w:val="00D272EA"/>
    <w:rsid w:val="00D54744"/>
    <w:rsid w:val="00D60942"/>
    <w:rsid w:val="00D7344E"/>
    <w:rsid w:val="00D738DD"/>
    <w:rsid w:val="00D842E3"/>
    <w:rsid w:val="00DA6CEF"/>
    <w:rsid w:val="00DC4202"/>
    <w:rsid w:val="00DD27F6"/>
    <w:rsid w:val="00DD5B2B"/>
    <w:rsid w:val="00DE3512"/>
    <w:rsid w:val="00DE686E"/>
    <w:rsid w:val="00DF0603"/>
    <w:rsid w:val="00DF602B"/>
    <w:rsid w:val="00E42854"/>
    <w:rsid w:val="00E456DA"/>
    <w:rsid w:val="00E63787"/>
    <w:rsid w:val="00E655CE"/>
    <w:rsid w:val="00E677E8"/>
    <w:rsid w:val="00E87E93"/>
    <w:rsid w:val="00EA597D"/>
    <w:rsid w:val="00EB1159"/>
    <w:rsid w:val="00EC75B9"/>
    <w:rsid w:val="00F10207"/>
    <w:rsid w:val="00F20F04"/>
    <w:rsid w:val="00F71896"/>
    <w:rsid w:val="00FA178C"/>
    <w:rsid w:val="00FA5B3F"/>
    <w:rsid w:val="00FD51BE"/>
    <w:rsid w:val="00FE39F3"/>
    <w:rsid w:val="013D0551"/>
    <w:rsid w:val="01403DD5"/>
    <w:rsid w:val="014922A8"/>
    <w:rsid w:val="016638E5"/>
    <w:rsid w:val="018C4316"/>
    <w:rsid w:val="01AE692A"/>
    <w:rsid w:val="01C14B70"/>
    <w:rsid w:val="01EB595B"/>
    <w:rsid w:val="01F9274C"/>
    <w:rsid w:val="01FB23CB"/>
    <w:rsid w:val="021B2746"/>
    <w:rsid w:val="023006A7"/>
    <w:rsid w:val="0239483A"/>
    <w:rsid w:val="0255183C"/>
    <w:rsid w:val="026268F8"/>
    <w:rsid w:val="027A460B"/>
    <w:rsid w:val="027D4F23"/>
    <w:rsid w:val="02BB280A"/>
    <w:rsid w:val="02C14B55"/>
    <w:rsid w:val="02C37C16"/>
    <w:rsid w:val="02C85C6E"/>
    <w:rsid w:val="03001C79"/>
    <w:rsid w:val="036851B0"/>
    <w:rsid w:val="03811D99"/>
    <w:rsid w:val="038A08A0"/>
    <w:rsid w:val="03926FEA"/>
    <w:rsid w:val="03B84CAB"/>
    <w:rsid w:val="03D4133A"/>
    <w:rsid w:val="03D512B8"/>
    <w:rsid w:val="03E06D69"/>
    <w:rsid w:val="03E11169"/>
    <w:rsid w:val="03FD7EEE"/>
    <w:rsid w:val="041A4E47"/>
    <w:rsid w:val="046E3ED2"/>
    <w:rsid w:val="047240D9"/>
    <w:rsid w:val="048B67F2"/>
    <w:rsid w:val="04937E91"/>
    <w:rsid w:val="04D40DD7"/>
    <w:rsid w:val="04E10040"/>
    <w:rsid w:val="04FE3CBD"/>
    <w:rsid w:val="05360DAA"/>
    <w:rsid w:val="0539061F"/>
    <w:rsid w:val="05447FEA"/>
    <w:rsid w:val="056D0BAD"/>
    <w:rsid w:val="0570657B"/>
    <w:rsid w:val="059B3FE2"/>
    <w:rsid w:val="05AA08B9"/>
    <w:rsid w:val="05AE4B27"/>
    <w:rsid w:val="05C631B5"/>
    <w:rsid w:val="05CA2975"/>
    <w:rsid w:val="05F07436"/>
    <w:rsid w:val="05F73ED5"/>
    <w:rsid w:val="05FB28DB"/>
    <w:rsid w:val="06175C5C"/>
    <w:rsid w:val="061A4B16"/>
    <w:rsid w:val="062D43AF"/>
    <w:rsid w:val="0647337D"/>
    <w:rsid w:val="06603905"/>
    <w:rsid w:val="067D5101"/>
    <w:rsid w:val="069408DC"/>
    <w:rsid w:val="06A5364A"/>
    <w:rsid w:val="06BA1A15"/>
    <w:rsid w:val="06D303C0"/>
    <w:rsid w:val="06DD39BC"/>
    <w:rsid w:val="06F44178"/>
    <w:rsid w:val="07357DC5"/>
    <w:rsid w:val="073F033F"/>
    <w:rsid w:val="073F6197"/>
    <w:rsid w:val="07502D39"/>
    <w:rsid w:val="07557695"/>
    <w:rsid w:val="075A3B1D"/>
    <w:rsid w:val="079176BC"/>
    <w:rsid w:val="079362CC"/>
    <w:rsid w:val="0795509E"/>
    <w:rsid w:val="079B47D6"/>
    <w:rsid w:val="079F4AF8"/>
    <w:rsid w:val="07AF7441"/>
    <w:rsid w:val="07E33757"/>
    <w:rsid w:val="07E61182"/>
    <w:rsid w:val="07EA37C0"/>
    <w:rsid w:val="0805741E"/>
    <w:rsid w:val="081D0F7A"/>
    <w:rsid w:val="08344B05"/>
    <w:rsid w:val="083A0258"/>
    <w:rsid w:val="08492802"/>
    <w:rsid w:val="084B6B2C"/>
    <w:rsid w:val="08A34DB8"/>
    <w:rsid w:val="08A453C3"/>
    <w:rsid w:val="08F12939"/>
    <w:rsid w:val="08F559EF"/>
    <w:rsid w:val="091D6C80"/>
    <w:rsid w:val="09224EDB"/>
    <w:rsid w:val="092B1819"/>
    <w:rsid w:val="0930416B"/>
    <w:rsid w:val="09603FDF"/>
    <w:rsid w:val="09A97404"/>
    <w:rsid w:val="09B86E7F"/>
    <w:rsid w:val="09D11FA7"/>
    <w:rsid w:val="09EF6FD9"/>
    <w:rsid w:val="0A056F7E"/>
    <w:rsid w:val="0A261FCD"/>
    <w:rsid w:val="0A3E0B69"/>
    <w:rsid w:val="0A5115FC"/>
    <w:rsid w:val="0A88027D"/>
    <w:rsid w:val="0A937FFC"/>
    <w:rsid w:val="0A9877F2"/>
    <w:rsid w:val="0AA97A8C"/>
    <w:rsid w:val="0AAC0A11"/>
    <w:rsid w:val="0AAD3F32"/>
    <w:rsid w:val="0AB8292C"/>
    <w:rsid w:val="0AC959B0"/>
    <w:rsid w:val="0B002699"/>
    <w:rsid w:val="0B0F4EB2"/>
    <w:rsid w:val="0B356498"/>
    <w:rsid w:val="0B45790A"/>
    <w:rsid w:val="0B4F55D7"/>
    <w:rsid w:val="0BBB537E"/>
    <w:rsid w:val="0C0449AF"/>
    <w:rsid w:val="0C062446"/>
    <w:rsid w:val="0C0F2856"/>
    <w:rsid w:val="0C5806CC"/>
    <w:rsid w:val="0C5C000F"/>
    <w:rsid w:val="0C882C2F"/>
    <w:rsid w:val="0CAE6EDD"/>
    <w:rsid w:val="0CAF5F52"/>
    <w:rsid w:val="0CB023E0"/>
    <w:rsid w:val="0CB17E61"/>
    <w:rsid w:val="0CB5115D"/>
    <w:rsid w:val="0CBC03F1"/>
    <w:rsid w:val="0CC12F6C"/>
    <w:rsid w:val="0CE95A3D"/>
    <w:rsid w:val="0CF674D7"/>
    <w:rsid w:val="0D2036CC"/>
    <w:rsid w:val="0D3835BD"/>
    <w:rsid w:val="0D544DED"/>
    <w:rsid w:val="0D5F188B"/>
    <w:rsid w:val="0DA64B5E"/>
    <w:rsid w:val="0DEC5927"/>
    <w:rsid w:val="0E09339B"/>
    <w:rsid w:val="0E104561"/>
    <w:rsid w:val="0E233471"/>
    <w:rsid w:val="0E53523E"/>
    <w:rsid w:val="0E5F7F76"/>
    <w:rsid w:val="0EC82A4F"/>
    <w:rsid w:val="0ECF103B"/>
    <w:rsid w:val="0EFA142A"/>
    <w:rsid w:val="0F02074E"/>
    <w:rsid w:val="0F220B5F"/>
    <w:rsid w:val="0F2A39ED"/>
    <w:rsid w:val="0F8745AE"/>
    <w:rsid w:val="0FA04CB1"/>
    <w:rsid w:val="0FBE4261"/>
    <w:rsid w:val="0FDA030E"/>
    <w:rsid w:val="0FFC1B47"/>
    <w:rsid w:val="103A342F"/>
    <w:rsid w:val="103A5325"/>
    <w:rsid w:val="10401E6C"/>
    <w:rsid w:val="1076268B"/>
    <w:rsid w:val="108846C8"/>
    <w:rsid w:val="10946843"/>
    <w:rsid w:val="10A2368F"/>
    <w:rsid w:val="10C1524F"/>
    <w:rsid w:val="10DA460D"/>
    <w:rsid w:val="110A6481"/>
    <w:rsid w:val="112E5DD8"/>
    <w:rsid w:val="11313225"/>
    <w:rsid w:val="116936BC"/>
    <w:rsid w:val="116B57B4"/>
    <w:rsid w:val="11A60E3B"/>
    <w:rsid w:val="11A631C5"/>
    <w:rsid w:val="11B67C1F"/>
    <w:rsid w:val="11BD17A8"/>
    <w:rsid w:val="11CE6759"/>
    <w:rsid w:val="11FA3C58"/>
    <w:rsid w:val="123136DA"/>
    <w:rsid w:val="1249683B"/>
    <w:rsid w:val="126A263B"/>
    <w:rsid w:val="127C3928"/>
    <w:rsid w:val="12817F90"/>
    <w:rsid w:val="128C30FA"/>
    <w:rsid w:val="12B1333A"/>
    <w:rsid w:val="12B40F35"/>
    <w:rsid w:val="12BD714C"/>
    <w:rsid w:val="12BE6DCC"/>
    <w:rsid w:val="12C67A5C"/>
    <w:rsid w:val="12F560D3"/>
    <w:rsid w:val="12F93618"/>
    <w:rsid w:val="13116BD7"/>
    <w:rsid w:val="13215AA1"/>
    <w:rsid w:val="13403EA3"/>
    <w:rsid w:val="13616DE6"/>
    <w:rsid w:val="136E42FE"/>
    <w:rsid w:val="13755637"/>
    <w:rsid w:val="13CB4C46"/>
    <w:rsid w:val="13DC3D21"/>
    <w:rsid w:val="13E70CA6"/>
    <w:rsid w:val="13EF5201"/>
    <w:rsid w:val="140164DF"/>
    <w:rsid w:val="1455273B"/>
    <w:rsid w:val="146B5B8E"/>
    <w:rsid w:val="146D5CB2"/>
    <w:rsid w:val="14831037"/>
    <w:rsid w:val="149A54DE"/>
    <w:rsid w:val="14A37A27"/>
    <w:rsid w:val="14A779A2"/>
    <w:rsid w:val="14AF0520"/>
    <w:rsid w:val="14BD2115"/>
    <w:rsid w:val="15051A6F"/>
    <w:rsid w:val="15490BFB"/>
    <w:rsid w:val="155C20A7"/>
    <w:rsid w:val="157D368F"/>
    <w:rsid w:val="15987458"/>
    <w:rsid w:val="159D274F"/>
    <w:rsid w:val="15A4110E"/>
    <w:rsid w:val="15A549E6"/>
    <w:rsid w:val="15CD1422"/>
    <w:rsid w:val="15DC4AEB"/>
    <w:rsid w:val="15EE2487"/>
    <w:rsid w:val="15F3690F"/>
    <w:rsid w:val="15F65679"/>
    <w:rsid w:val="16281367"/>
    <w:rsid w:val="16294BEB"/>
    <w:rsid w:val="163A1680"/>
    <w:rsid w:val="166C6BAA"/>
    <w:rsid w:val="166F3635"/>
    <w:rsid w:val="16BE2337"/>
    <w:rsid w:val="16C005E1"/>
    <w:rsid w:val="16C16063"/>
    <w:rsid w:val="16C8346F"/>
    <w:rsid w:val="16CD4FED"/>
    <w:rsid w:val="16F4327F"/>
    <w:rsid w:val="17232884"/>
    <w:rsid w:val="1753596F"/>
    <w:rsid w:val="17580AD1"/>
    <w:rsid w:val="17756E0B"/>
    <w:rsid w:val="17B435B8"/>
    <w:rsid w:val="17C00667"/>
    <w:rsid w:val="17D230D4"/>
    <w:rsid w:val="17E93546"/>
    <w:rsid w:val="18014470"/>
    <w:rsid w:val="18286A71"/>
    <w:rsid w:val="185C1CA8"/>
    <w:rsid w:val="18713E11"/>
    <w:rsid w:val="187D0BB4"/>
    <w:rsid w:val="18815E05"/>
    <w:rsid w:val="188E5359"/>
    <w:rsid w:val="18A54F7E"/>
    <w:rsid w:val="18B22F8F"/>
    <w:rsid w:val="18DD095C"/>
    <w:rsid w:val="191B713B"/>
    <w:rsid w:val="1940022E"/>
    <w:rsid w:val="197106FD"/>
    <w:rsid w:val="19BC6971"/>
    <w:rsid w:val="19C85459"/>
    <w:rsid w:val="19CB4D61"/>
    <w:rsid w:val="1A06346A"/>
    <w:rsid w:val="1A135155"/>
    <w:rsid w:val="1A153D8B"/>
    <w:rsid w:val="1A4A6A53"/>
    <w:rsid w:val="1A532241"/>
    <w:rsid w:val="1A61013B"/>
    <w:rsid w:val="1A947059"/>
    <w:rsid w:val="1A9F030B"/>
    <w:rsid w:val="1AA603B6"/>
    <w:rsid w:val="1AD118AD"/>
    <w:rsid w:val="1AE16AA7"/>
    <w:rsid w:val="1AFC50D3"/>
    <w:rsid w:val="1B020FE2"/>
    <w:rsid w:val="1B325C0B"/>
    <w:rsid w:val="1B6816C5"/>
    <w:rsid w:val="1B783F28"/>
    <w:rsid w:val="1B9F67D4"/>
    <w:rsid w:val="1BBD32C4"/>
    <w:rsid w:val="1BBD479F"/>
    <w:rsid w:val="1BC225A9"/>
    <w:rsid w:val="1BE608D3"/>
    <w:rsid w:val="1C024980"/>
    <w:rsid w:val="1C3D34E0"/>
    <w:rsid w:val="1C515FF8"/>
    <w:rsid w:val="1C8152B0"/>
    <w:rsid w:val="1C855C26"/>
    <w:rsid w:val="1CB0381F"/>
    <w:rsid w:val="1CB07F9C"/>
    <w:rsid w:val="1CBA5CE0"/>
    <w:rsid w:val="1CD501DC"/>
    <w:rsid w:val="1CF27B0C"/>
    <w:rsid w:val="1CF63F94"/>
    <w:rsid w:val="1D1A544D"/>
    <w:rsid w:val="1D214C55"/>
    <w:rsid w:val="1D40568D"/>
    <w:rsid w:val="1D5752B2"/>
    <w:rsid w:val="1D955020"/>
    <w:rsid w:val="1D965D9A"/>
    <w:rsid w:val="1DB765D0"/>
    <w:rsid w:val="1E1D17F8"/>
    <w:rsid w:val="1E30136E"/>
    <w:rsid w:val="1E310498"/>
    <w:rsid w:val="1E4A4132"/>
    <w:rsid w:val="1E5E47E0"/>
    <w:rsid w:val="1E75718F"/>
    <w:rsid w:val="1E7E0A43"/>
    <w:rsid w:val="1EA2166E"/>
    <w:rsid w:val="1EA44F54"/>
    <w:rsid w:val="1EB31F6D"/>
    <w:rsid w:val="1EB94E31"/>
    <w:rsid w:val="1ED16D1D"/>
    <w:rsid w:val="1EDD1612"/>
    <w:rsid w:val="1EEA63E7"/>
    <w:rsid w:val="1EEF4083"/>
    <w:rsid w:val="1EF1200F"/>
    <w:rsid w:val="1F135208"/>
    <w:rsid w:val="1F295474"/>
    <w:rsid w:val="1F3C0AC6"/>
    <w:rsid w:val="1F4202D5"/>
    <w:rsid w:val="1F4B0BE5"/>
    <w:rsid w:val="1F6D241E"/>
    <w:rsid w:val="1F7A702C"/>
    <w:rsid w:val="1FAC1F03"/>
    <w:rsid w:val="1FAC644F"/>
    <w:rsid w:val="1FBF00CD"/>
    <w:rsid w:val="1FF30BE6"/>
    <w:rsid w:val="1FF448B8"/>
    <w:rsid w:val="2063321F"/>
    <w:rsid w:val="207D1F99"/>
    <w:rsid w:val="208366E3"/>
    <w:rsid w:val="20887A0E"/>
    <w:rsid w:val="20A07C46"/>
    <w:rsid w:val="20B117B1"/>
    <w:rsid w:val="20FE7517"/>
    <w:rsid w:val="2131404A"/>
    <w:rsid w:val="21380790"/>
    <w:rsid w:val="21561723"/>
    <w:rsid w:val="215D13F0"/>
    <w:rsid w:val="216072BD"/>
    <w:rsid w:val="219F5BB6"/>
    <w:rsid w:val="21A73C7F"/>
    <w:rsid w:val="21AC4ECC"/>
    <w:rsid w:val="21AF5E51"/>
    <w:rsid w:val="21C03222"/>
    <w:rsid w:val="22087046"/>
    <w:rsid w:val="22181FFD"/>
    <w:rsid w:val="22680897"/>
    <w:rsid w:val="227A1C48"/>
    <w:rsid w:val="22BC1649"/>
    <w:rsid w:val="22D1722D"/>
    <w:rsid w:val="22FB0071"/>
    <w:rsid w:val="22FE6DF7"/>
    <w:rsid w:val="23073FD8"/>
    <w:rsid w:val="230A011E"/>
    <w:rsid w:val="231C43BD"/>
    <w:rsid w:val="232A34BF"/>
    <w:rsid w:val="23352B9A"/>
    <w:rsid w:val="23393FB0"/>
    <w:rsid w:val="23424069"/>
    <w:rsid w:val="236427ED"/>
    <w:rsid w:val="237A41C3"/>
    <w:rsid w:val="23A60BF2"/>
    <w:rsid w:val="23AE5916"/>
    <w:rsid w:val="23B21D9E"/>
    <w:rsid w:val="23B35750"/>
    <w:rsid w:val="23E3036F"/>
    <w:rsid w:val="23F10C79"/>
    <w:rsid w:val="23FA1A88"/>
    <w:rsid w:val="23FA7F94"/>
    <w:rsid w:val="241F5EC5"/>
    <w:rsid w:val="24237CFE"/>
    <w:rsid w:val="24404E85"/>
    <w:rsid w:val="24537C79"/>
    <w:rsid w:val="24602299"/>
    <w:rsid w:val="24665F7B"/>
    <w:rsid w:val="24A061A3"/>
    <w:rsid w:val="24A41DF3"/>
    <w:rsid w:val="24B74DFE"/>
    <w:rsid w:val="24F15715"/>
    <w:rsid w:val="25170A64"/>
    <w:rsid w:val="25251422"/>
    <w:rsid w:val="25446CB1"/>
    <w:rsid w:val="25702FF9"/>
    <w:rsid w:val="258A70DA"/>
    <w:rsid w:val="25963238"/>
    <w:rsid w:val="25E22033"/>
    <w:rsid w:val="2621539B"/>
    <w:rsid w:val="26683591"/>
    <w:rsid w:val="26936133"/>
    <w:rsid w:val="26C772B3"/>
    <w:rsid w:val="26D67448"/>
    <w:rsid w:val="26E044D4"/>
    <w:rsid w:val="26E85164"/>
    <w:rsid w:val="26FA47EA"/>
    <w:rsid w:val="271201A6"/>
    <w:rsid w:val="272A364F"/>
    <w:rsid w:val="274D3CA1"/>
    <w:rsid w:val="277E69C6"/>
    <w:rsid w:val="279852CA"/>
    <w:rsid w:val="27B70802"/>
    <w:rsid w:val="27C10CEA"/>
    <w:rsid w:val="27C943FB"/>
    <w:rsid w:val="27DB7BEF"/>
    <w:rsid w:val="27E221A8"/>
    <w:rsid w:val="27FD39DF"/>
    <w:rsid w:val="28017E2F"/>
    <w:rsid w:val="28061D38"/>
    <w:rsid w:val="2820795C"/>
    <w:rsid w:val="282E338D"/>
    <w:rsid w:val="2830097E"/>
    <w:rsid w:val="28760B41"/>
    <w:rsid w:val="287A7B7E"/>
    <w:rsid w:val="288E14D1"/>
    <w:rsid w:val="28A31FFD"/>
    <w:rsid w:val="28D11361"/>
    <w:rsid w:val="291E1C96"/>
    <w:rsid w:val="29610CF0"/>
    <w:rsid w:val="29833FBD"/>
    <w:rsid w:val="29BE6DF9"/>
    <w:rsid w:val="2A000BF9"/>
    <w:rsid w:val="2A002723"/>
    <w:rsid w:val="2A1C1423"/>
    <w:rsid w:val="2A252C8B"/>
    <w:rsid w:val="2A3A09D3"/>
    <w:rsid w:val="2A49340C"/>
    <w:rsid w:val="2A5E4419"/>
    <w:rsid w:val="2A791C06"/>
    <w:rsid w:val="2A8E62A1"/>
    <w:rsid w:val="2AB276F7"/>
    <w:rsid w:val="2ABD0F93"/>
    <w:rsid w:val="2AC014CC"/>
    <w:rsid w:val="2AC40937"/>
    <w:rsid w:val="2AE06A07"/>
    <w:rsid w:val="2AE25969"/>
    <w:rsid w:val="2AF8590E"/>
    <w:rsid w:val="2B3C09F7"/>
    <w:rsid w:val="2B444997"/>
    <w:rsid w:val="2B754ED7"/>
    <w:rsid w:val="2B836ED3"/>
    <w:rsid w:val="2BA91EAE"/>
    <w:rsid w:val="2BB01839"/>
    <w:rsid w:val="2BCA0C9E"/>
    <w:rsid w:val="2BE13CC5"/>
    <w:rsid w:val="2C08574B"/>
    <w:rsid w:val="2C111AF3"/>
    <w:rsid w:val="2C194DCC"/>
    <w:rsid w:val="2C32711B"/>
    <w:rsid w:val="2C4A0B21"/>
    <w:rsid w:val="2C6C1A11"/>
    <w:rsid w:val="2C9337E9"/>
    <w:rsid w:val="2CA47A57"/>
    <w:rsid w:val="2CC04EFA"/>
    <w:rsid w:val="2CD02151"/>
    <w:rsid w:val="2CDD22AB"/>
    <w:rsid w:val="2CF14158"/>
    <w:rsid w:val="2D542AD1"/>
    <w:rsid w:val="2D6A1E95"/>
    <w:rsid w:val="2D8C1AD6"/>
    <w:rsid w:val="2DCE3DB2"/>
    <w:rsid w:val="2E0073EB"/>
    <w:rsid w:val="2E0F1B2C"/>
    <w:rsid w:val="2E275C40"/>
    <w:rsid w:val="2E434587"/>
    <w:rsid w:val="2E4C7F04"/>
    <w:rsid w:val="2E8A6421"/>
    <w:rsid w:val="2EF7039C"/>
    <w:rsid w:val="2F2161E0"/>
    <w:rsid w:val="2F634B73"/>
    <w:rsid w:val="2F6915D5"/>
    <w:rsid w:val="2F8C3F11"/>
    <w:rsid w:val="2F9A24B4"/>
    <w:rsid w:val="2F9D2A4F"/>
    <w:rsid w:val="2FA24459"/>
    <w:rsid w:val="2FC1267E"/>
    <w:rsid w:val="2FDB060F"/>
    <w:rsid w:val="2FDF0C54"/>
    <w:rsid w:val="2FE010F2"/>
    <w:rsid w:val="30180109"/>
    <w:rsid w:val="302946D5"/>
    <w:rsid w:val="302A1CB4"/>
    <w:rsid w:val="302D5757"/>
    <w:rsid w:val="303423C1"/>
    <w:rsid w:val="30B04AEF"/>
    <w:rsid w:val="30F545DF"/>
    <w:rsid w:val="30FA3519"/>
    <w:rsid w:val="31335F48"/>
    <w:rsid w:val="313C03FF"/>
    <w:rsid w:val="31630A2A"/>
    <w:rsid w:val="317239AF"/>
    <w:rsid w:val="31850D6A"/>
    <w:rsid w:val="31923564"/>
    <w:rsid w:val="319779EB"/>
    <w:rsid w:val="319971A1"/>
    <w:rsid w:val="319D7376"/>
    <w:rsid w:val="31A017C2"/>
    <w:rsid w:val="31A77C86"/>
    <w:rsid w:val="31B23231"/>
    <w:rsid w:val="31B54A1D"/>
    <w:rsid w:val="31C44360"/>
    <w:rsid w:val="31F445DA"/>
    <w:rsid w:val="320D07C4"/>
    <w:rsid w:val="321F7E2B"/>
    <w:rsid w:val="324167FF"/>
    <w:rsid w:val="325C699F"/>
    <w:rsid w:val="32696EA6"/>
    <w:rsid w:val="3271734E"/>
    <w:rsid w:val="32943DE2"/>
    <w:rsid w:val="32994C8F"/>
    <w:rsid w:val="32AF4C35"/>
    <w:rsid w:val="32C75B5F"/>
    <w:rsid w:val="32F15CEB"/>
    <w:rsid w:val="32F456AC"/>
    <w:rsid w:val="32F826CF"/>
    <w:rsid w:val="33110AF0"/>
    <w:rsid w:val="33196863"/>
    <w:rsid w:val="33463B9E"/>
    <w:rsid w:val="334E0377"/>
    <w:rsid w:val="33866E96"/>
    <w:rsid w:val="33B33968"/>
    <w:rsid w:val="33DA4730"/>
    <w:rsid w:val="33E67A6E"/>
    <w:rsid w:val="33FE2795"/>
    <w:rsid w:val="33FE365D"/>
    <w:rsid w:val="34010D5F"/>
    <w:rsid w:val="34022063"/>
    <w:rsid w:val="34290C6D"/>
    <w:rsid w:val="343018AE"/>
    <w:rsid w:val="344711FE"/>
    <w:rsid w:val="347702B5"/>
    <w:rsid w:val="34B4557D"/>
    <w:rsid w:val="34E65B59"/>
    <w:rsid w:val="352B0CD0"/>
    <w:rsid w:val="352E30B0"/>
    <w:rsid w:val="35370DDB"/>
    <w:rsid w:val="356C34D3"/>
    <w:rsid w:val="35765D79"/>
    <w:rsid w:val="358974D0"/>
    <w:rsid w:val="359E1A84"/>
    <w:rsid w:val="35BD2339"/>
    <w:rsid w:val="35D56E72"/>
    <w:rsid w:val="35E21691"/>
    <w:rsid w:val="361F4DDC"/>
    <w:rsid w:val="3638534C"/>
    <w:rsid w:val="36622AC7"/>
    <w:rsid w:val="366F41AC"/>
    <w:rsid w:val="36867804"/>
    <w:rsid w:val="368B3A58"/>
    <w:rsid w:val="369231D1"/>
    <w:rsid w:val="369F5966"/>
    <w:rsid w:val="36AF3AB9"/>
    <w:rsid w:val="36B46F23"/>
    <w:rsid w:val="36B77FD3"/>
    <w:rsid w:val="36D306DB"/>
    <w:rsid w:val="36DD498F"/>
    <w:rsid w:val="36EA273A"/>
    <w:rsid w:val="37126EBE"/>
    <w:rsid w:val="3728393C"/>
    <w:rsid w:val="374444CB"/>
    <w:rsid w:val="375F3C64"/>
    <w:rsid w:val="376D62BC"/>
    <w:rsid w:val="37AC75E6"/>
    <w:rsid w:val="37B023BA"/>
    <w:rsid w:val="37B81356"/>
    <w:rsid w:val="37BC510A"/>
    <w:rsid w:val="37C91115"/>
    <w:rsid w:val="38186403"/>
    <w:rsid w:val="38196915"/>
    <w:rsid w:val="382D0007"/>
    <w:rsid w:val="383D1327"/>
    <w:rsid w:val="384C1DD6"/>
    <w:rsid w:val="385071B8"/>
    <w:rsid w:val="385B2454"/>
    <w:rsid w:val="388E4794"/>
    <w:rsid w:val="38D44E43"/>
    <w:rsid w:val="38EE3B16"/>
    <w:rsid w:val="39266E53"/>
    <w:rsid w:val="394B3B1F"/>
    <w:rsid w:val="396C04C1"/>
    <w:rsid w:val="39A00D1B"/>
    <w:rsid w:val="39A62C24"/>
    <w:rsid w:val="39C83836"/>
    <w:rsid w:val="39CB75E0"/>
    <w:rsid w:val="3A2172DA"/>
    <w:rsid w:val="3A282E30"/>
    <w:rsid w:val="3A3A78D9"/>
    <w:rsid w:val="3A45533A"/>
    <w:rsid w:val="3A5345B0"/>
    <w:rsid w:val="3A7837E2"/>
    <w:rsid w:val="3A8418D9"/>
    <w:rsid w:val="3A856A0F"/>
    <w:rsid w:val="3A9E53BA"/>
    <w:rsid w:val="3AAE6C17"/>
    <w:rsid w:val="3AC02961"/>
    <w:rsid w:val="3AEB57BA"/>
    <w:rsid w:val="3AED09BD"/>
    <w:rsid w:val="3B21788B"/>
    <w:rsid w:val="3B3C235E"/>
    <w:rsid w:val="3B3E24F7"/>
    <w:rsid w:val="3B591BE6"/>
    <w:rsid w:val="3B5B0FF1"/>
    <w:rsid w:val="3B9802A1"/>
    <w:rsid w:val="3BAE5135"/>
    <w:rsid w:val="3C022A83"/>
    <w:rsid w:val="3C1A5F11"/>
    <w:rsid w:val="3C6B6C2F"/>
    <w:rsid w:val="3C6F6A2C"/>
    <w:rsid w:val="3C73403C"/>
    <w:rsid w:val="3C7419FF"/>
    <w:rsid w:val="3C7B6ECA"/>
    <w:rsid w:val="3C8B38E1"/>
    <w:rsid w:val="3C963C27"/>
    <w:rsid w:val="3CC23BE0"/>
    <w:rsid w:val="3CDC2A56"/>
    <w:rsid w:val="3D2457CE"/>
    <w:rsid w:val="3D633FBB"/>
    <w:rsid w:val="3D8B4F9F"/>
    <w:rsid w:val="3DAA1B3A"/>
    <w:rsid w:val="3DC73669"/>
    <w:rsid w:val="3DDC574A"/>
    <w:rsid w:val="3DDF6FE4"/>
    <w:rsid w:val="3DE14212"/>
    <w:rsid w:val="3E013EFC"/>
    <w:rsid w:val="3E1666D0"/>
    <w:rsid w:val="3E166C6B"/>
    <w:rsid w:val="3E191DEE"/>
    <w:rsid w:val="3E367781"/>
    <w:rsid w:val="3E3A4820"/>
    <w:rsid w:val="3E55799F"/>
    <w:rsid w:val="3E57465D"/>
    <w:rsid w:val="3E5776D4"/>
    <w:rsid w:val="3EA55255"/>
    <w:rsid w:val="3EB97133"/>
    <w:rsid w:val="3EC559CD"/>
    <w:rsid w:val="3ECD0998"/>
    <w:rsid w:val="3ED34AA0"/>
    <w:rsid w:val="3ED767A2"/>
    <w:rsid w:val="3ED90E36"/>
    <w:rsid w:val="3EDC512F"/>
    <w:rsid w:val="3EE65CBF"/>
    <w:rsid w:val="3EF75F59"/>
    <w:rsid w:val="3EFB01E2"/>
    <w:rsid w:val="3F040AF2"/>
    <w:rsid w:val="3F4A0117"/>
    <w:rsid w:val="3F575D4F"/>
    <w:rsid w:val="3F703EC7"/>
    <w:rsid w:val="3F7755AE"/>
    <w:rsid w:val="3F784362"/>
    <w:rsid w:val="3FA97081"/>
    <w:rsid w:val="3FAC0006"/>
    <w:rsid w:val="3FD7450D"/>
    <w:rsid w:val="3FEE1BB9"/>
    <w:rsid w:val="4000558C"/>
    <w:rsid w:val="4004476C"/>
    <w:rsid w:val="401A79C2"/>
    <w:rsid w:val="402506D4"/>
    <w:rsid w:val="40265029"/>
    <w:rsid w:val="40616830"/>
    <w:rsid w:val="409666BC"/>
    <w:rsid w:val="40985685"/>
    <w:rsid w:val="41143736"/>
    <w:rsid w:val="41533F32"/>
    <w:rsid w:val="417B15DD"/>
    <w:rsid w:val="41A31EFF"/>
    <w:rsid w:val="41B6005B"/>
    <w:rsid w:val="41BB7D66"/>
    <w:rsid w:val="42017F70"/>
    <w:rsid w:val="420F5C03"/>
    <w:rsid w:val="42153A51"/>
    <w:rsid w:val="421A3390"/>
    <w:rsid w:val="421A3603"/>
    <w:rsid w:val="427D79FA"/>
    <w:rsid w:val="42C924A2"/>
    <w:rsid w:val="42D53AD6"/>
    <w:rsid w:val="42EE35DB"/>
    <w:rsid w:val="42FD02BB"/>
    <w:rsid w:val="433957F4"/>
    <w:rsid w:val="433F20E0"/>
    <w:rsid w:val="43675C5E"/>
    <w:rsid w:val="43707299"/>
    <w:rsid w:val="438C7FE1"/>
    <w:rsid w:val="43944CC8"/>
    <w:rsid w:val="43E64F48"/>
    <w:rsid w:val="43EE4803"/>
    <w:rsid w:val="440321DA"/>
    <w:rsid w:val="44037154"/>
    <w:rsid w:val="44197845"/>
    <w:rsid w:val="441E3CCD"/>
    <w:rsid w:val="446E00EA"/>
    <w:rsid w:val="447D0175"/>
    <w:rsid w:val="44900788"/>
    <w:rsid w:val="44935D5F"/>
    <w:rsid w:val="44B70143"/>
    <w:rsid w:val="44B717E2"/>
    <w:rsid w:val="44B94F10"/>
    <w:rsid w:val="44C531E1"/>
    <w:rsid w:val="44E55C94"/>
    <w:rsid w:val="452804B4"/>
    <w:rsid w:val="453A1779"/>
    <w:rsid w:val="453D477F"/>
    <w:rsid w:val="454318B1"/>
    <w:rsid w:val="455F3D5E"/>
    <w:rsid w:val="458225E9"/>
    <w:rsid w:val="45A560D2"/>
    <w:rsid w:val="45A63B54"/>
    <w:rsid w:val="45B70821"/>
    <w:rsid w:val="45C36249"/>
    <w:rsid w:val="45C9178A"/>
    <w:rsid w:val="46325936"/>
    <w:rsid w:val="463E7D26"/>
    <w:rsid w:val="467416DD"/>
    <w:rsid w:val="46887E14"/>
    <w:rsid w:val="46C971CF"/>
    <w:rsid w:val="47087F18"/>
    <w:rsid w:val="47144258"/>
    <w:rsid w:val="47192AFF"/>
    <w:rsid w:val="472D26D6"/>
    <w:rsid w:val="473C746D"/>
    <w:rsid w:val="473F25F0"/>
    <w:rsid w:val="475F2255"/>
    <w:rsid w:val="478665E8"/>
    <w:rsid w:val="47A57696"/>
    <w:rsid w:val="47A67D79"/>
    <w:rsid w:val="47E330FE"/>
    <w:rsid w:val="47EA53B3"/>
    <w:rsid w:val="480239B3"/>
    <w:rsid w:val="48046FCD"/>
    <w:rsid w:val="480838CB"/>
    <w:rsid w:val="484216B4"/>
    <w:rsid w:val="48427697"/>
    <w:rsid w:val="48441751"/>
    <w:rsid w:val="484C4515"/>
    <w:rsid w:val="48515DDD"/>
    <w:rsid w:val="48586940"/>
    <w:rsid w:val="485A61B3"/>
    <w:rsid w:val="48690DD9"/>
    <w:rsid w:val="486F32A8"/>
    <w:rsid w:val="4888168E"/>
    <w:rsid w:val="488E5795"/>
    <w:rsid w:val="489C032E"/>
    <w:rsid w:val="48D05305"/>
    <w:rsid w:val="48D2609A"/>
    <w:rsid w:val="48E776D1"/>
    <w:rsid w:val="491A2C39"/>
    <w:rsid w:val="49286DF6"/>
    <w:rsid w:val="4945685B"/>
    <w:rsid w:val="497256FA"/>
    <w:rsid w:val="49851E4A"/>
    <w:rsid w:val="49A21DDA"/>
    <w:rsid w:val="49A44193"/>
    <w:rsid w:val="49AC016B"/>
    <w:rsid w:val="49AC1756"/>
    <w:rsid w:val="49F40F6F"/>
    <w:rsid w:val="49F46361"/>
    <w:rsid w:val="4A066F4F"/>
    <w:rsid w:val="4A115D91"/>
    <w:rsid w:val="4A270CB6"/>
    <w:rsid w:val="4A2E5F33"/>
    <w:rsid w:val="4A35264E"/>
    <w:rsid w:val="4A6D7D34"/>
    <w:rsid w:val="4A706FB0"/>
    <w:rsid w:val="4AA474C5"/>
    <w:rsid w:val="4AB94E26"/>
    <w:rsid w:val="4ABC69FE"/>
    <w:rsid w:val="4AFE065C"/>
    <w:rsid w:val="4AFE4718"/>
    <w:rsid w:val="4B061FAD"/>
    <w:rsid w:val="4B1059F7"/>
    <w:rsid w:val="4B1113E4"/>
    <w:rsid w:val="4B9530DE"/>
    <w:rsid w:val="4BBC34AF"/>
    <w:rsid w:val="4BC230D9"/>
    <w:rsid w:val="4BCA4BBB"/>
    <w:rsid w:val="4BE64593"/>
    <w:rsid w:val="4BE80E60"/>
    <w:rsid w:val="4BF61673"/>
    <w:rsid w:val="4C0A1600"/>
    <w:rsid w:val="4C5111AC"/>
    <w:rsid w:val="4C5565E1"/>
    <w:rsid w:val="4C7D493E"/>
    <w:rsid w:val="4CBF6115"/>
    <w:rsid w:val="4D525661"/>
    <w:rsid w:val="4D600F69"/>
    <w:rsid w:val="4D6413F9"/>
    <w:rsid w:val="4D643629"/>
    <w:rsid w:val="4D697F34"/>
    <w:rsid w:val="4DB87D11"/>
    <w:rsid w:val="4DBE1787"/>
    <w:rsid w:val="4DDE3629"/>
    <w:rsid w:val="4E0D6108"/>
    <w:rsid w:val="4E202BB9"/>
    <w:rsid w:val="4E3C3369"/>
    <w:rsid w:val="4E584C0B"/>
    <w:rsid w:val="4E7B0A2C"/>
    <w:rsid w:val="4E811958"/>
    <w:rsid w:val="4EA0220D"/>
    <w:rsid w:val="4EA657E6"/>
    <w:rsid w:val="4F047EFD"/>
    <w:rsid w:val="4F0A3E3B"/>
    <w:rsid w:val="4F166157"/>
    <w:rsid w:val="4F1A6654"/>
    <w:rsid w:val="4F1C1B57"/>
    <w:rsid w:val="4F2D7781"/>
    <w:rsid w:val="4F3B240C"/>
    <w:rsid w:val="4F953922"/>
    <w:rsid w:val="4FA76CEB"/>
    <w:rsid w:val="4FA914C2"/>
    <w:rsid w:val="4FB61D55"/>
    <w:rsid w:val="4FDF43BB"/>
    <w:rsid w:val="4FED6580"/>
    <w:rsid w:val="500873D1"/>
    <w:rsid w:val="502B3F12"/>
    <w:rsid w:val="505A2284"/>
    <w:rsid w:val="505C4880"/>
    <w:rsid w:val="50782A1B"/>
    <w:rsid w:val="509D165D"/>
    <w:rsid w:val="509D4BB0"/>
    <w:rsid w:val="509E1383"/>
    <w:rsid w:val="50B04E26"/>
    <w:rsid w:val="50BB6871"/>
    <w:rsid w:val="50BD483E"/>
    <w:rsid w:val="50F2458B"/>
    <w:rsid w:val="510F1693"/>
    <w:rsid w:val="51A14D79"/>
    <w:rsid w:val="51AA348A"/>
    <w:rsid w:val="51D4692E"/>
    <w:rsid w:val="51EC51F8"/>
    <w:rsid w:val="51F0037B"/>
    <w:rsid w:val="52054A9D"/>
    <w:rsid w:val="520646F0"/>
    <w:rsid w:val="521A11BF"/>
    <w:rsid w:val="526A1EE4"/>
    <w:rsid w:val="526A7283"/>
    <w:rsid w:val="526F1F4E"/>
    <w:rsid w:val="527139ED"/>
    <w:rsid w:val="528043E7"/>
    <w:rsid w:val="52866EC7"/>
    <w:rsid w:val="52D809BA"/>
    <w:rsid w:val="52E175ED"/>
    <w:rsid w:val="531B2C88"/>
    <w:rsid w:val="532B0DEF"/>
    <w:rsid w:val="53547C42"/>
    <w:rsid w:val="535B51A9"/>
    <w:rsid w:val="536072D8"/>
    <w:rsid w:val="53785545"/>
    <w:rsid w:val="537E326C"/>
    <w:rsid w:val="53987432"/>
    <w:rsid w:val="53DC64C3"/>
    <w:rsid w:val="53E920CE"/>
    <w:rsid w:val="549B322B"/>
    <w:rsid w:val="54B062A7"/>
    <w:rsid w:val="54B7788A"/>
    <w:rsid w:val="54C51B6D"/>
    <w:rsid w:val="54C73F25"/>
    <w:rsid w:val="54CD1A2D"/>
    <w:rsid w:val="54F43371"/>
    <w:rsid w:val="55375EF3"/>
    <w:rsid w:val="55487179"/>
    <w:rsid w:val="558B549E"/>
    <w:rsid w:val="55D36D5C"/>
    <w:rsid w:val="55DB02D6"/>
    <w:rsid w:val="55DF2B6F"/>
    <w:rsid w:val="55EF668D"/>
    <w:rsid w:val="560A7956"/>
    <w:rsid w:val="56356DBD"/>
    <w:rsid w:val="56476221"/>
    <w:rsid w:val="56685052"/>
    <w:rsid w:val="567A44AF"/>
    <w:rsid w:val="56D42AE2"/>
    <w:rsid w:val="572B11E4"/>
    <w:rsid w:val="576A00F7"/>
    <w:rsid w:val="576B69C8"/>
    <w:rsid w:val="577B34F9"/>
    <w:rsid w:val="579933D8"/>
    <w:rsid w:val="57A747BD"/>
    <w:rsid w:val="57D15354"/>
    <w:rsid w:val="58235328"/>
    <w:rsid w:val="582B6DC2"/>
    <w:rsid w:val="582C0A2F"/>
    <w:rsid w:val="5843585C"/>
    <w:rsid w:val="588F2444"/>
    <w:rsid w:val="58CC6AFE"/>
    <w:rsid w:val="59223939"/>
    <w:rsid w:val="59473E05"/>
    <w:rsid w:val="596E090A"/>
    <w:rsid w:val="598A5B73"/>
    <w:rsid w:val="59A809A7"/>
    <w:rsid w:val="59B879B0"/>
    <w:rsid w:val="59BF03EB"/>
    <w:rsid w:val="59C82455"/>
    <w:rsid w:val="59D33DFF"/>
    <w:rsid w:val="59DB7EFC"/>
    <w:rsid w:val="59EA4212"/>
    <w:rsid w:val="59EE2AE2"/>
    <w:rsid w:val="59F37BA6"/>
    <w:rsid w:val="5A10384E"/>
    <w:rsid w:val="5A27234F"/>
    <w:rsid w:val="5A284778"/>
    <w:rsid w:val="5A3144EA"/>
    <w:rsid w:val="5A490530"/>
    <w:rsid w:val="5A5C174F"/>
    <w:rsid w:val="5A6C0056"/>
    <w:rsid w:val="5A7857FC"/>
    <w:rsid w:val="5A854212"/>
    <w:rsid w:val="5AE625AD"/>
    <w:rsid w:val="5B033ECE"/>
    <w:rsid w:val="5B15423B"/>
    <w:rsid w:val="5B276899"/>
    <w:rsid w:val="5B2A045C"/>
    <w:rsid w:val="5B4D0EAE"/>
    <w:rsid w:val="5B686B41"/>
    <w:rsid w:val="5B8A47F8"/>
    <w:rsid w:val="5B8E5344"/>
    <w:rsid w:val="5B97241C"/>
    <w:rsid w:val="5BD42235"/>
    <w:rsid w:val="5BE80ED6"/>
    <w:rsid w:val="5C05386A"/>
    <w:rsid w:val="5C140AA0"/>
    <w:rsid w:val="5C2D2BAB"/>
    <w:rsid w:val="5C502A5B"/>
    <w:rsid w:val="5C5F40AD"/>
    <w:rsid w:val="5C6B224A"/>
    <w:rsid w:val="5CC2663A"/>
    <w:rsid w:val="5CD97C20"/>
    <w:rsid w:val="5CE51A8C"/>
    <w:rsid w:val="5CEA77FF"/>
    <w:rsid w:val="5CEC15E8"/>
    <w:rsid w:val="5CFF3F21"/>
    <w:rsid w:val="5D0B7D34"/>
    <w:rsid w:val="5D0D495D"/>
    <w:rsid w:val="5D3A7EBB"/>
    <w:rsid w:val="5D4C25BD"/>
    <w:rsid w:val="5D6B014C"/>
    <w:rsid w:val="5D757882"/>
    <w:rsid w:val="5D7C6386"/>
    <w:rsid w:val="5D7F682B"/>
    <w:rsid w:val="5D926143"/>
    <w:rsid w:val="5D9C7F1A"/>
    <w:rsid w:val="5DA14214"/>
    <w:rsid w:val="5DAD630F"/>
    <w:rsid w:val="5DC9596C"/>
    <w:rsid w:val="5DE211DC"/>
    <w:rsid w:val="5DEA53CE"/>
    <w:rsid w:val="5DFC166B"/>
    <w:rsid w:val="5E4938BC"/>
    <w:rsid w:val="5E6D1F03"/>
    <w:rsid w:val="5E7F335C"/>
    <w:rsid w:val="5E8F172D"/>
    <w:rsid w:val="5EBF3F02"/>
    <w:rsid w:val="5EDE56B0"/>
    <w:rsid w:val="5EED3899"/>
    <w:rsid w:val="5F0458F0"/>
    <w:rsid w:val="5F0E1A83"/>
    <w:rsid w:val="5F28400E"/>
    <w:rsid w:val="5F327452"/>
    <w:rsid w:val="5F445F4A"/>
    <w:rsid w:val="5F5C2110"/>
    <w:rsid w:val="5F94195C"/>
    <w:rsid w:val="5F97719F"/>
    <w:rsid w:val="5FAE5324"/>
    <w:rsid w:val="5FB431E7"/>
    <w:rsid w:val="5FEC0DCE"/>
    <w:rsid w:val="603E0222"/>
    <w:rsid w:val="6043627C"/>
    <w:rsid w:val="604900C7"/>
    <w:rsid w:val="60930C08"/>
    <w:rsid w:val="60A7051F"/>
    <w:rsid w:val="60FF2451"/>
    <w:rsid w:val="61107BAD"/>
    <w:rsid w:val="61111374"/>
    <w:rsid w:val="61146189"/>
    <w:rsid w:val="613C4296"/>
    <w:rsid w:val="616E403C"/>
    <w:rsid w:val="618D5D4E"/>
    <w:rsid w:val="61DF7322"/>
    <w:rsid w:val="61F61766"/>
    <w:rsid w:val="61F749C9"/>
    <w:rsid w:val="62064D89"/>
    <w:rsid w:val="622B5F71"/>
    <w:rsid w:val="627359C1"/>
    <w:rsid w:val="627D6E20"/>
    <w:rsid w:val="628F116F"/>
    <w:rsid w:val="62EE123C"/>
    <w:rsid w:val="638A3729"/>
    <w:rsid w:val="638E2319"/>
    <w:rsid w:val="63934F84"/>
    <w:rsid w:val="63A13700"/>
    <w:rsid w:val="63B9462A"/>
    <w:rsid w:val="64231CC8"/>
    <w:rsid w:val="64406494"/>
    <w:rsid w:val="649446B1"/>
    <w:rsid w:val="64C115D9"/>
    <w:rsid w:val="64C76CCC"/>
    <w:rsid w:val="653C4DA1"/>
    <w:rsid w:val="65E85E2F"/>
    <w:rsid w:val="65EF204B"/>
    <w:rsid w:val="6608772D"/>
    <w:rsid w:val="660A5C65"/>
    <w:rsid w:val="663E564D"/>
    <w:rsid w:val="66800936"/>
    <w:rsid w:val="668A6147"/>
    <w:rsid w:val="66987326"/>
    <w:rsid w:val="66EF44E1"/>
    <w:rsid w:val="66FA5A00"/>
    <w:rsid w:val="67084D16"/>
    <w:rsid w:val="67124C2F"/>
    <w:rsid w:val="673022C4"/>
    <w:rsid w:val="676550B0"/>
    <w:rsid w:val="67745208"/>
    <w:rsid w:val="6775314C"/>
    <w:rsid w:val="67854D44"/>
    <w:rsid w:val="67A55162"/>
    <w:rsid w:val="67B01CAC"/>
    <w:rsid w:val="67D2194D"/>
    <w:rsid w:val="67E05F87"/>
    <w:rsid w:val="67E9310A"/>
    <w:rsid w:val="67F5111B"/>
    <w:rsid w:val="67F569EA"/>
    <w:rsid w:val="67F82A5A"/>
    <w:rsid w:val="682441E9"/>
    <w:rsid w:val="68477BF4"/>
    <w:rsid w:val="684D75AC"/>
    <w:rsid w:val="6857334A"/>
    <w:rsid w:val="68DE6E9B"/>
    <w:rsid w:val="68FF2C52"/>
    <w:rsid w:val="692C4A1B"/>
    <w:rsid w:val="6958185A"/>
    <w:rsid w:val="69982163"/>
    <w:rsid w:val="69B45BF9"/>
    <w:rsid w:val="69B87035"/>
    <w:rsid w:val="69BD38FA"/>
    <w:rsid w:val="69BF12F3"/>
    <w:rsid w:val="69D75323"/>
    <w:rsid w:val="69D9099A"/>
    <w:rsid w:val="69DC71AB"/>
    <w:rsid w:val="6A0E00B0"/>
    <w:rsid w:val="6A5B0C1A"/>
    <w:rsid w:val="6A6F052B"/>
    <w:rsid w:val="6A7A68BC"/>
    <w:rsid w:val="6A831A33"/>
    <w:rsid w:val="6A8A3D15"/>
    <w:rsid w:val="6A9361D5"/>
    <w:rsid w:val="6AA81989"/>
    <w:rsid w:val="6AAA5826"/>
    <w:rsid w:val="6AAE101D"/>
    <w:rsid w:val="6AC93222"/>
    <w:rsid w:val="6ADE393A"/>
    <w:rsid w:val="6B1000B4"/>
    <w:rsid w:val="6B4673B3"/>
    <w:rsid w:val="6B693FC6"/>
    <w:rsid w:val="6B876452"/>
    <w:rsid w:val="6B9B2216"/>
    <w:rsid w:val="6BA42B26"/>
    <w:rsid w:val="6BC932CD"/>
    <w:rsid w:val="6C3B5CD1"/>
    <w:rsid w:val="6CB40765"/>
    <w:rsid w:val="6CF47014"/>
    <w:rsid w:val="6D1316A6"/>
    <w:rsid w:val="6D195CC5"/>
    <w:rsid w:val="6D1A398C"/>
    <w:rsid w:val="6D2B3C26"/>
    <w:rsid w:val="6D2F59DD"/>
    <w:rsid w:val="6D3135B1"/>
    <w:rsid w:val="6D3B593A"/>
    <w:rsid w:val="6D850EE5"/>
    <w:rsid w:val="6D955854"/>
    <w:rsid w:val="6D9A270D"/>
    <w:rsid w:val="6DAF1C81"/>
    <w:rsid w:val="6DE13755"/>
    <w:rsid w:val="6E4934CC"/>
    <w:rsid w:val="6E542DBE"/>
    <w:rsid w:val="6E805505"/>
    <w:rsid w:val="6E87570E"/>
    <w:rsid w:val="6E9049FF"/>
    <w:rsid w:val="6EA34C1E"/>
    <w:rsid w:val="6EAF44DA"/>
    <w:rsid w:val="6EB64A32"/>
    <w:rsid w:val="6EBA5637"/>
    <w:rsid w:val="6EC07254"/>
    <w:rsid w:val="6EC45F46"/>
    <w:rsid w:val="6EC7136F"/>
    <w:rsid w:val="6EE840AB"/>
    <w:rsid w:val="6EEF260E"/>
    <w:rsid w:val="6F003B11"/>
    <w:rsid w:val="6F085736"/>
    <w:rsid w:val="6F300247"/>
    <w:rsid w:val="6F426814"/>
    <w:rsid w:val="6F44006E"/>
    <w:rsid w:val="6F470155"/>
    <w:rsid w:val="6F796B1B"/>
    <w:rsid w:val="6F7C0057"/>
    <w:rsid w:val="6F8A2C0B"/>
    <w:rsid w:val="6FA604A6"/>
    <w:rsid w:val="6FE728C9"/>
    <w:rsid w:val="6FF34751"/>
    <w:rsid w:val="6FFB1846"/>
    <w:rsid w:val="702A141D"/>
    <w:rsid w:val="703C22B0"/>
    <w:rsid w:val="704C034C"/>
    <w:rsid w:val="706246EE"/>
    <w:rsid w:val="70757086"/>
    <w:rsid w:val="7086130D"/>
    <w:rsid w:val="708A5A8C"/>
    <w:rsid w:val="70A17A56"/>
    <w:rsid w:val="70E32AAB"/>
    <w:rsid w:val="713118C3"/>
    <w:rsid w:val="71392AA6"/>
    <w:rsid w:val="71614610"/>
    <w:rsid w:val="71702574"/>
    <w:rsid w:val="71743396"/>
    <w:rsid w:val="71927B0D"/>
    <w:rsid w:val="719748DD"/>
    <w:rsid w:val="71A3637F"/>
    <w:rsid w:val="71B167F3"/>
    <w:rsid w:val="71B72ABB"/>
    <w:rsid w:val="71C16E84"/>
    <w:rsid w:val="71D310CC"/>
    <w:rsid w:val="71D758D4"/>
    <w:rsid w:val="71E41366"/>
    <w:rsid w:val="72260ED8"/>
    <w:rsid w:val="722F5F60"/>
    <w:rsid w:val="723039E4"/>
    <w:rsid w:val="723F3FFF"/>
    <w:rsid w:val="72445F08"/>
    <w:rsid w:val="7278765C"/>
    <w:rsid w:val="72A80534"/>
    <w:rsid w:val="72BD5542"/>
    <w:rsid w:val="72C806E0"/>
    <w:rsid w:val="72CA6864"/>
    <w:rsid w:val="72D466F0"/>
    <w:rsid w:val="73120676"/>
    <w:rsid w:val="731E659E"/>
    <w:rsid w:val="734C61FF"/>
    <w:rsid w:val="7359474B"/>
    <w:rsid w:val="736A2CDA"/>
    <w:rsid w:val="73985535"/>
    <w:rsid w:val="73C95D04"/>
    <w:rsid w:val="73F74B3B"/>
    <w:rsid w:val="740D54F4"/>
    <w:rsid w:val="74127549"/>
    <w:rsid w:val="74212E84"/>
    <w:rsid w:val="743A06D7"/>
    <w:rsid w:val="74707796"/>
    <w:rsid w:val="74890257"/>
    <w:rsid w:val="74B526BE"/>
    <w:rsid w:val="74B7598C"/>
    <w:rsid w:val="74F80689"/>
    <w:rsid w:val="75180EA9"/>
    <w:rsid w:val="75635D7A"/>
    <w:rsid w:val="756A0989"/>
    <w:rsid w:val="759140E8"/>
    <w:rsid w:val="75CA6E32"/>
    <w:rsid w:val="75E21BF7"/>
    <w:rsid w:val="75EA1201"/>
    <w:rsid w:val="76024D10"/>
    <w:rsid w:val="76130306"/>
    <w:rsid w:val="76485F7A"/>
    <w:rsid w:val="76882384"/>
    <w:rsid w:val="76921367"/>
    <w:rsid w:val="76954F1D"/>
    <w:rsid w:val="76B13F39"/>
    <w:rsid w:val="76BD2295"/>
    <w:rsid w:val="76D22047"/>
    <w:rsid w:val="7732281D"/>
    <w:rsid w:val="77334A1B"/>
    <w:rsid w:val="77575A53"/>
    <w:rsid w:val="775D04A1"/>
    <w:rsid w:val="7772721A"/>
    <w:rsid w:val="77831323"/>
    <w:rsid w:val="778F5A1E"/>
    <w:rsid w:val="77A85FDD"/>
    <w:rsid w:val="77C265CA"/>
    <w:rsid w:val="77F42135"/>
    <w:rsid w:val="780465FD"/>
    <w:rsid w:val="7820798D"/>
    <w:rsid w:val="78497DE7"/>
    <w:rsid w:val="78761BB0"/>
    <w:rsid w:val="787743D0"/>
    <w:rsid w:val="78C17335"/>
    <w:rsid w:val="78D16A46"/>
    <w:rsid w:val="78FB1E09"/>
    <w:rsid w:val="79081F04"/>
    <w:rsid w:val="79263F52"/>
    <w:rsid w:val="79466A05"/>
    <w:rsid w:val="794D28FE"/>
    <w:rsid w:val="79CC4128"/>
    <w:rsid w:val="79DB0C71"/>
    <w:rsid w:val="79E200E0"/>
    <w:rsid w:val="79F46BBE"/>
    <w:rsid w:val="79F53325"/>
    <w:rsid w:val="79F70E93"/>
    <w:rsid w:val="79F91D2C"/>
    <w:rsid w:val="7A1D2104"/>
    <w:rsid w:val="7A280B01"/>
    <w:rsid w:val="7A446928"/>
    <w:rsid w:val="7A5E03EF"/>
    <w:rsid w:val="7A7909AF"/>
    <w:rsid w:val="7A870CEA"/>
    <w:rsid w:val="7AAB2815"/>
    <w:rsid w:val="7AB03846"/>
    <w:rsid w:val="7AC107B9"/>
    <w:rsid w:val="7AE9671A"/>
    <w:rsid w:val="7B183BCB"/>
    <w:rsid w:val="7B1A5686"/>
    <w:rsid w:val="7B1B6723"/>
    <w:rsid w:val="7B311C35"/>
    <w:rsid w:val="7B4464CB"/>
    <w:rsid w:val="7BBA0B8A"/>
    <w:rsid w:val="7BBE2398"/>
    <w:rsid w:val="7BC5229C"/>
    <w:rsid w:val="7BDA2241"/>
    <w:rsid w:val="7BEF5236"/>
    <w:rsid w:val="7BF278E8"/>
    <w:rsid w:val="7C3073CD"/>
    <w:rsid w:val="7C401BE6"/>
    <w:rsid w:val="7CD7355D"/>
    <w:rsid w:val="7CE71C3B"/>
    <w:rsid w:val="7D226D62"/>
    <w:rsid w:val="7D420265"/>
    <w:rsid w:val="7D585F36"/>
    <w:rsid w:val="7D805DF5"/>
    <w:rsid w:val="7DB6653B"/>
    <w:rsid w:val="7DE50560"/>
    <w:rsid w:val="7E581CA6"/>
    <w:rsid w:val="7EA448D3"/>
    <w:rsid w:val="7EC7304C"/>
    <w:rsid w:val="7ECE5EAA"/>
    <w:rsid w:val="7EDC02B0"/>
    <w:rsid w:val="7EDF27CE"/>
    <w:rsid w:val="7EE060CE"/>
    <w:rsid w:val="7EEB50D9"/>
    <w:rsid w:val="7EF30172"/>
    <w:rsid w:val="7F0055F5"/>
    <w:rsid w:val="7F290FE6"/>
    <w:rsid w:val="7F2E06FD"/>
    <w:rsid w:val="7F392BC8"/>
    <w:rsid w:val="7F3D16DA"/>
    <w:rsid w:val="7F7E65A7"/>
    <w:rsid w:val="7F876E0D"/>
    <w:rsid w:val="7F990663"/>
    <w:rsid w:val="7FAD611E"/>
    <w:rsid w:val="7FAF2411"/>
    <w:rsid w:val="7FB0287D"/>
    <w:rsid w:val="7FBA65FC"/>
    <w:rsid w:val="7FC42854"/>
    <w:rsid w:val="7FCB71D5"/>
    <w:rsid w:val="7FD40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4"/>
    <w:qFormat/>
    <w:uiPriority w:val="0"/>
    <w:pPr>
      <w:keepNext/>
      <w:keepLines/>
      <w:spacing w:line="576" w:lineRule="auto"/>
      <w:jc w:val="center"/>
      <w:outlineLvl w:val="0"/>
    </w:pPr>
    <w:rPr>
      <w:b/>
      <w:bCs/>
      <w:kern w:val="44"/>
      <w:sz w:val="30"/>
      <w:szCs w:val="44"/>
    </w:rPr>
  </w:style>
  <w:style w:type="paragraph" w:styleId="4">
    <w:name w:val="heading 2"/>
    <w:basedOn w:val="1"/>
    <w:next w:val="5"/>
    <w:link w:val="161"/>
    <w:qFormat/>
    <w:uiPriority w:val="0"/>
    <w:pPr>
      <w:keepNext/>
      <w:keepLines/>
      <w:spacing w:line="413" w:lineRule="auto"/>
      <w:outlineLvl w:val="1"/>
    </w:pPr>
    <w:rPr>
      <w:rFonts w:ascii="Arial" w:hAnsi="Arial" w:eastAsia="黑体"/>
      <w:b/>
      <w:bCs/>
      <w:sz w:val="32"/>
      <w:szCs w:val="32"/>
    </w:rPr>
  </w:style>
  <w:style w:type="paragraph" w:styleId="6">
    <w:name w:val="heading 3"/>
    <w:basedOn w:val="1"/>
    <w:next w:val="1"/>
    <w:link w:val="99"/>
    <w:qFormat/>
    <w:uiPriority w:val="0"/>
    <w:pPr>
      <w:keepNext/>
      <w:keepLines/>
      <w:spacing w:line="415" w:lineRule="auto"/>
      <w:jc w:val="center"/>
      <w:outlineLvl w:val="2"/>
    </w:pPr>
    <w:rPr>
      <w:rFonts w:ascii="Calibri" w:hAnsi="Calibri"/>
      <w:b/>
      <w:bCs/>
      <w:sz w:val="28"/>
      <w:szCs w:val="32"/>
    </w:rPr>
  </w:style>
  <w:style w:type="paragraph" w:styleId="7">
    <w:name w:val="heading 4"/>
    <w:basedOn w:val="1"/>
    <w:next w:val="1"/>
    <w:link w:val="116"/>
    <w:qFormat/>
    <w:uiPriority w:val="0"/>
    <w:pPr>
      <w:keepNext/>
      <w:keepLines/>
      <w:spacing w:line="372" w:lineRule="auto"/>
      <w:outlineLvl w:val="3"/>
    </w:pPr>
    <w:rPr>
      <w:rFonts w:ascii="Arial" w:hAnsi="Arial" w:eastAsia="黑体"/>
      <w:b/>
      <w:bCs/>
      <w:sz w:val="28"/>
      <w:szCs w:val="28"/>
    </w:rPr>
  </w:style>
  <w:style w:type="paragraph" w:styleId="8">
    <w:name w:val="heading 5"/>
    <w:basedOn w:val="1"/>
    <w:next w:val="1"/>
    <w:link w:val="127"/>
    <w:qFormat/>
    <w:uiPriority w:val="0"/>
    <w:pPr>
      <w:keepNext/>
      <w:keepLines/>
      <w:tabs>
        <w:tab w:val="left" w:pos="1800"/>
      </w:tabs>
      <w:spacing w:line="374" w:lineRule="auto"/>
      <w:ind w:left="1800" w:hanging="1800"/>
      <w:outlineLvl w:val="4"/>
    </w:pPr>
    <w:rPr>
      <w:b/>
      <w:bCs/>
      <w:sz w:val="28"/>
      <w:szCs w:val="28"/>
    </w:rPr>
  </w:style>
  <w:style w:type="paragraph" w:styleId="9">
    <w:name w:val="heading 6"/>
    <w:basedOn w:val="1"/>
    <w:next w:val="1"/>
    <w:link w:val="159"/>
    <w:qFormat/>
    <w:uiPriority w:val="0"/>
    <w:pPr>
      <w:keepNext/>
      <w:keepLines/>
      <w:adjustRightInd w:val="0"/>
      <w:spacing w:line="319" w:lineRule="auto"/>
      <w:textAlignment w:val="baseline"/>
      <w:outlineLvl w:val="5"/>
    </w:pPr>
    <w:rPr>
      <w:rFonts w:ascii="Arial" w:hAnsi="Arial" w:eastAsia="黑体"/>
      <w:b/>
      <w:szCs w:val="20"/>
    </w:rPr>
  </w:style>
  <w:style w:type="paragraph" w:styleId="10">
    <w:name w:val="heading 7"/>
    <w:basedOn w:val="1"/>
    <w:next w:val="1"/>
    <w:link w:val="111"/>
    <w:qFormat/>
    <w:uiPriority w:val="0"/>
    <w:pPr>
      <w:keepNext/>
      <w:keepLines/>
      <w:adjustRightInd w:val="0"/>
      <w:spacing w:line="319" w:lineRule="auto"/>
      <w:textAlignment w:val="baseline"/>
      <w:outlineLvl w:val="6"/>
    </w:pPr>
    <w:rPr>
      <w:b/>
      <w:szCs w:val="20"/>
    </w:rPr>
  </w:style>
  <w:style w:type="paragraph" w:styleId="11">
    <w:name w:val="heading 8"/>
    <w:basedOn w:val="1"/>
    <w:next w:val="1"/>
    <w:link w:val="113"/>
    <w:qFormat/>
    <w:uiPriority w:val="0"/>
    <w:pPr>
      <w:keepNext/>
      <w:keepLines/>
      <w:adjustRightInd w:val="0"/>
      <w:spacing w:line="319" w:lineRule="auto"/>
      <w:textAlignment w:val="baseline"/>
      <w:outlineLvl w:val="7"/>
    </w:pPr>
    <w:rPr>
      <w:rFonts w:ascii="Arial" w:hAnsi="Arial" w:eastAsia="黑体"/>
      <w:szCs w:val="20"/>
    </w:rPr>
  </w:style>
  <w:style w:type="paragraph" w:styleId="12">
    <w:name w:val="heading 9"/>
    <w:basedOn w:val="1"/>
    <w:next w:val="1"/>
    <w:link w:val="155"/>
    <w:qFormat/>
    <w:uiPriority w:val="0"/>
    <w:pPr>
      <w:keepNext/>
      <w:keepLines/>
      <w:adjustRightInd w:val="0"/>
      <w:spacing w:line="319" w:lineRule="auto"/>
      <w:textAlignment w:val="baseline"/>
      <w:outlineLvl w:val="8"/>
    </w:pPr>
    <w:rPr>
      <w:rFonts w:ascii="Arial" w:hAnsi="Arial" w:eastAsia="黑体"/>
      <w:szCs w:val="2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rPr>
      <w:lang w:val="zh-CN"/>
    </w:rPr>
  </w:style>
  <w:style w:type="paragraph" w:styleId="5">
    <w:name w:val="Normal Indent"/>
    <w:basedOn w:val="1"/>
    <w:qFormat/>
    <w:uiPriority w:val="0"/>
    <w:pPr>
      <w:ind w:firstLine="420"/>
    </w:pPr>
    <w:rPr>
      <w:szCs w:val="20"/>
    </w:rPr>
  </w:style>
  <w:style w:type="paragraph" w:styleId="13">
    <w:name w:val="toc 7"/>
    <w:basedOn w:val="1"/>
    <w:next w:val="1"/>
    <w:qFormat/>
    <w:uiPriority w:val="0"/>
    <w:pPr>
      <w:ind w:left="1260"/>
      <w:jc w:val="left"/>
    </w:pPr>
    <w:rPr>
      <w:rFonts w:ascii="Calibri" w:hAnsi="Calibri" w:cs="Calibri"/>
      <w:sz w:val="18"/>
      <w:szCs w:val="18"/>
    </w:rPr>
  </w:style>
  <w:style w:type="paragraph" w:styleId="14">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5">
    <w:name w:val="caption"/>
    <w:basedOn w:val="1"/>
    <w:next w:val="1"/>
    <w:qFormat/>
    <w:uiPriority w:val="0"/>
    <w:rPr>
      <w:rFonts w:ascii="Arial" w:hAnsi="Arial" w:eastAsia="黑体" w:cs="Arial"/>
      <w:sz w:val="20"/>
      <w:szCs w:val="20"/>
    </w:rPr>
  </w:style>
  <w:style w:type="paragraph" w:styleId="16">
    <w:name w:val="Document Map"/>
    <w:basedOn w:val="1"/>
    <w:qFormat/>
    <w:uiPriority w:val="0"/>
    <w:pPr>
      <w:shd w:val="clear" w:color="auto" w:fill="000080"/>
    </w:pPr>
  </w:style>
  <w:style w:type="paragraph" w:styleId="17">
    <w:name w:val="annotation text"/>
    <w:basedOn w:val="1"/>
    <w:link w:val="114"/>
    <w:qFormat/>
    <w:uiPriority w:val="0"/>
    <w:pPr>
      <w:jc w:val="left"/>
    </w:pPr>
  </w:style>
  <w:style w:type="paragraph" w:styleId="18">
    <w:name w:val="Body Text 3"/>
    <w:basedOn w:val="1"/>
    <w:link w:val="138"/>
    <w:qFormat/>
    <w:uiPriority w:val="0"/>
    <w:pPr>
      <w:snapToGrid w:val="0"/>
    </w:pPr>
    <w:rPr>
      <w:rFonts w:hAnsi="宋体" w:eastAsia="仿宋_GB2312"/>
      <w:b/>
      <w:bCs/>
      <w:sz w:val="24"/>
      <w:szCs w:val="20"/>
    </w:rPr>
  </w:style>
  <w:style w:type="paragraph" w:styleId="19">
    <w:name w:val="Body Text"/>
    <w:basedOn w:val="1"/>
    <w:link w:val="131"/>
    <w:qFormat/>
    <w:uiPriority w:val="0"/>
    <w:rPr>
      <w:sz w:val="28"/>
    </w:rPr>
  </w:style>
  <w:style w:type="paragraph" w:styleId="20">
    <w:name w:val="Body Text Indent"/>
    <w:basedOn w:val="1"/>
    <w:link w:val="139"/>
    <w:qFormat/>
    <w:uiPriority w:val="0"/>
    <w:pPr>
      <w:spacing w:line="200" w:lineRule="exact"/>
      <w:ind w:firstLine="301"/>
    </w:pPr>
  </w:style>
  <w:style w:type="paragraph" w:styleId="21">
    <w:name w:val="List Number 3"/>
    <w:basedOn w:val="1"/>
    <w:qFormat/>
    <w:uiPriority w:val="0"/>
    <w:pPr>
      <w:tabs>
        <w:tab w:val="left" w:pos="1200"/>
      </w:tabs>
      <w:ind w:left="1200" w:hanging="360"/>
    </w:pPr>
  </w:style>
  <w:style w:type="paragraph" w:styleId="22">
    <w:name w:val="List 2"/>
    <w:basedOn w:val="1"/>
    <w:qFormat/>
    <w:uiPriority w:val="0"/>
    <w:pPr>
      <w:ind w:left="100" w:leftChars="200" w:hanging="200" w:hangingChars="200"/>
    </w:pPr>
    <w:rPr>
      <w:sz w:val="28"/>
    </w:rPr>
  </w:style>
  <w:style w:type="paragraph" w:styleId="23">
    <w:name w:val="toc 5"/>
    <w:basedOn w:val="1"/>
    <w:next w:val="1"/>
    <w:qFormat/>
    <w:uiPriority w:val="0"/>
    <w:pPr>
      <w:ind w:left="840"/>
      <w:jc w:val="left"/>
    </w:pPr>
    <w:rPr>
      <w:rFonts w:ascii="Calibri" w:hAnsi="Calibri" w:cs="Calibri"/>
      <w:sz w:val="18"/>
      <w:szCs w:val="18"/>
    </w:rPr>
  </w:style>
  <w:style w:type="paragraph" w:styleId="24">
    <w:name w:val="toc 3"/>
    <w:basedOn w:val="1"/>
    <w:next w:val="1"/>
    <w:qFormat/>
    <w:uiPriority w:val="0"/>
    <w:pPr>
      <w:ind w:left="840" w:leftChars="400"/>
    </w:pPr>
  </w:style>
  <w:style w:type="paragraph" w:styleId="25">
    <w:name w:val="Plain Text"/>
    <w:basedOn w:val="1"/>
    <w:link w:val="122"/>
    <w:qFormat/>
    <w:uiPriority w:val="0"/>
    <w:pPr>
      <w:spacing w:beforeLines="50" w:afterLines="50" w:line="400" w:lineRule="exact"/>
    </w:pPr>
    <w:rPr>
      <w:rFonts w:hint="eastAsia" w:ascii="宋体" w:hAnsi="Courier New"/>
      <w:kern w:val="0"/>
      <w:szCs w:val="20"/>
    </w:rPr>
  </w:style>
  <w:style w:type="paragraph" w:styleId="26">
    <w:name w:val="toc 8"/>
    <w:basedOn w:val="1"/>
    <w:next w:val="1"/>
    <w:qFormat/>
    <w:uiPriority w:val="0"/>
    <w:pPr>
      <w:ind w:left="1470"/>
      <w:jc w:val="left"/>
    </w:pPr>
    <w:rPr>
      <w:rFonts w:ascii="Calibri" w:hAnsi="Calibri" w:cs="Calibri"/>
      <w:sz w:val="18"/>
      <w:szCs w:val="18"/>
    </w:rPr>
  </w:style>
  <w:style w:type="paragraph" w:styleId="27">
    <w:name w:val="Date"/>
    <w:basedOn w:val="1"/>
    <w:next w:val="1"/>
    <w:link w:val="147"/>
    <w:qFormat/>
    <w:uiPriority w:val="0"/>
    <w:pPr>
      <w:ind w:left="2500" w:leftChars="2500"/>
    </w:pPr>
    <w:rPr>
      <w:rFonts w:eastAsia="楷体_GB2312"/>
      <w:sz w:val="32"/>
      <w:szCs w:val="20"/>
    </w:rPr>
  </w:style>
  <w:style w:type="paragraph" w:styleId="28">
    <w:name w:val="Body Text Indent 2"/>
    <w:basedOn w:val="1"/>
    <w:link w:val="151"/>
    <w:qFormat/>
    <w:uiPriority w:val="0"/>
    <w:pPr>
      <w:snapToGrid w:val="0"/>
      <w:ind w:firstLine="542" w:firstLineChars="225"/>
    </w:pPr>
    <w:rPr>
      <w:rFonts w:hint="eastAsia" w:ascii="仿宋_GB2312" w:hAnsi="宋体" w:eastAsia="仿宋_GB2312"/>
      <w:b/>
      <w:color w:val="000000"/>
      <w:sz w:val="24"/>
    </w:rPr>
  </w:style>
  <w:style w:type="paragraph" w:styleId="29">
    <w:name w:val="endnote text"/>
    <w:basedOn w:val="1"/>
    <w:link w:val="104"/>
    <w:qFormat/>
    <w:uiPriority w:val="0"/>
    <w:pPr>
      <w:snapToGrid w:val="0"/>
      <w:jc w:val="left"/>
    </w:pPr>
  </w:style>
  <w:style w:type="paragraph" w:styleId="30">
    <w:name w:val="Balloon Text"/>
    <w:basedOn w:val="1"/>
    <w:link w:val="145"/>
    <w:qFormat/>
    <w:uiPriority w:val="0"/>
    <w:rPr>
      <w:sz w:val="18"/>
      <w:szCs w:val="18"/>
    </w:rPr>
  </w:style>
  <w:style w:type="paragraph" w:styleId="31">
    <w:name w:val="footer"/>
    <w:basedOn w:val="1"/>
    <w:link w:val="141"/>
    <w:qFormat/>
    <w:uiPriority w:val="0"/>
    <w:pPr>
      <w:tabs>
        <w:tab w:val="center" w:pos="4153"/>
        <w:tab w:val="right" w:pos="8306"/>
      </w:tabs>
      <w:snapToGrid w:val="0"/>
      <w:jc w:val="left"/>
    </w:pPr>
    <w:rPr>
      <w:rFonts w:eastAsia="黑体"/>
      <w:snapToGrid w:val="0"/>
      <w:kern w:val="0"/>
      <w:sz w:val="18"/>
      <w:szCs w:val="18"/>
    </w:rPr>
  </w:style>
  <w:style w:type="paragraph" w:styleId="32">
    <w:name w:val="header"/>
    <w:basedOn w:val="1"/>
    <w:link w:val="166"/>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3">
    <w:name w:val="toc 1"/>
    <w:basedOn w:val="1"/>
    <w:next w:val="1"/>
    <w:qFormat/>
    <w:uiPriority w:val="0"/>
    <w:rPr>
      <w:b/>
      <w:sz w:val="32"/>
    </w:rPr>
  </w:style>
  <w:style w:type="paragraph" w:styleId="34">
    <w:name w:val="toc 4"/>
    <w:basedOn w:val="1"/>
    <w:next w:val="1"/>
    <w:qFormat/>
    <w:uiPriority w:val="0"/>
    <w:pPr>
      <w:ind w:left="630"/>
      <w:jc w:val="left"/>
    </w:pPr>
    <w:rPr>
      <w:rFonts w:ascii="Calibri" w:hAnsi="Calibri" w:cs="Calibri"/>
      <w:sz w:val="18"/>
      <w:szCs w:val="18"/>
    </w:rPr>
  </w:style>
  <w:style w:type="paragraph" w:styleId="35">
    <w:name w:val="List"/>
    <w:basedOn w:val="1"/>
    <w:qFormat/>
    <w:uiPriority w:val="0"/>
    <w:pPr>
      <w:ind w:left="200" w:hanging="200" w:hangingChars="200"/>
    </w:pPr>
    <w:rPr>
      <w:sz w:val="28"/>
    </w:rPr>
  </w:style>
  <w:style w:type="paragraph" w:styleId="36">
    <w:name w:val="footnote text"/>
    <w:basedOn w:val="1"/>
    <w:link w:val="148"/>
    <w:qFormat/>
    <w:uiPriority w:val="0"/>
    <w:pPr>
      <w:snapToGrid w:val="0"/>
      <w:jc w:val="left"/>
    </w:pPr>
    <w:rPr>
      <w:sz w:val="18"/>
      <w:szCs w:val="18"/>
    </w:rPr>
  </w:style>
  <w:style w:type="paragraph" w:styleId="37">
    <w:name w:val="toc 6"/>
    <w:basedOn w:val="1"/>
    <w:next w:val="1"/>
    <w:qFormat/>
    <w:uiPriority w:val="0"/>
    <w:pPr>
      <w:ind w:left="1050"/>
      <w:jc w:val="left"/>
    </w:pPr>
    <w:rPr>
      <w:rFonts w:ascii="Calibri" w:hAnsi="Calibri" w:cs="Calibri"/>
      <w:sz w:val="18"/>
      <w:szCs w:val="18"/>
    </w:rPr>
  </w:style>
  <w:style w:type="paragraph" w:styleId="38">
    <w:name w:val="Body Text Indent 3"/>
    <w:basedOn w:val="1"/>
    <w:link w:val="149"/>
    <w:qFormat/>
    <w:uiPriority w:val="0"/>
    <w:pPr>
      <w:snapToGrid w:val="0"/>
      <w:ind w:firstLine="480" w:firstLineChars="200"/>
      <w:jc w:val="left"/>
    </w:pPr>
    <w:rPr>
      <w:rFonts w:ascii="仿宋_GB2312" w:hAnsi="宋体" w:eastAsia="仿宋_GB2312"/>
      <w:color w:val="000000"/>
      <w:sz w:val="24"/>
    </w:rPr>
  </w:style>
  <w:style w:type="paragraph" w:styleId="39">
    <w:name w:val="toc 2"/>
    <w:basedOn w:val="1"/>
    <w:next w:val="1"/>
    <w:qFormat/>
    <w:uiPriority w:val="0"/>
    <w:pPr>
      <w:ind w:left="420" w:leftChars="200"/>
    </w:pPr>
  </w:style>
  <w:style w:type="paragraph" w:styleId="40">
    <w:name w:val="toc 9"/>
    <w:basedOn w:val="1"/>
    <w:next w:val="1"/>
    <w:qFormat/>
    <w:uiPriority w:val="0"/>
    <w:pPr>
      <w:ind w:left="1680"/>
      <w:jc w:val="left"/>
    </w:pPr>
    <w:rPr>
      <w:rFonts w:ascii="Calibri" w:hAnsi="Calibri" w:cs="Calibri"/>
      <w:sz w:val="18"/>
      <w:szCs w:val="18"/>
    </w:rPr>
  </w:style>
  <w:style w:type="paragraph" w:styleId="41">
    <w:name w:val="Body Text 2"/>
    <w:basedOn w:val="1"/>
    <w:link w:val="121"/>
    <w:qFormat/>
    <w:uiPriority w:val="0"/>
    <w:pPr>
      <w:widowControl/>
      <w:snapToGrid w:val="0"/>
      <w:spacing w:afterLines="50" w:line="400" w:lineRule="exact"/>
      <w:jc w:val="left"/>
    </w:pPr>
    <w:rPr>
      <w:rFonts w:ascii="宋体" w:hAnsi="宋体"/>
      <w:color w:val="000000"/>
      <w:sz w:val="24"/>
    </w:rPr>
  </w:style>
  <w:style w:type="paragraph" w:styleId="42">
    <w:name w:val="Normal (Web)"/>
    <w:basedOn w:val="1"/>
    <w:qFormat/>
    <w:uiPriority w:val="0"/>
    <w:pPr>
      <w:widowControl/>
      <w:spacing w:beforeAutospacing="1" w:afterAutospacing="1"/>
      <w:jc w:val="left"/>
    </w:pPr>
    <w:rPr>
      <w:kern w:val="0"/>
      <w:sz w:val="24"/>
    </w:rPr>
  </w:style>
  <w:style w:type="paragraph" w:styleId="43">
    <w:name w:val="Title"/>
    <w:basedOn w:val="1"/>
    <w:next w:val="1"/>
    <w:qFormat/>
    <w:uiPriority w:val="10"/>
    <w:pPr>
      <w:spacing w:before="240" w:after="60"/>
      <w:jc w:val="center"/>
      <w:outlineLvl w:val="0"/>
    </w:pPr>
    <w:rPr>
      <w:rFonts w:ascii="Cambria" w:hAnsi="Cambria"/>
      <w:b/>
      <w:bCs/>
      <w:sz w:val="32"/>
      <w:szCs w:val="32"/>
    </w:rPr>
  </w:style>
  <w:style w:type="paragraph" w:styleId="44">
    <w:name w:val="annotation subject"/>
    <w:basedOn w:val="17"/>
    <w:next w:val="17"/>
    <w:link w:val="160"/>
    <w:unhideWhenUsed/>
    <w:qFormat/>
    <w:uiPriority w:val="99"/>
    <w:rPr>
      <w:b/>
      <w:bCs/>
    </w:rPr>
  </w:style>
  <w:style w:type="table" w:styleId="46">
    <w:name w:val="Table Grid"/>
    <w:basedOn w:val="4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rFonts w:ascii="Verdana" w:hAnsi="Verdana"/>
      <w:b/>
      <w:kern w:val="0"/>
      <w:sz w:val="20"/>
      <w:szCs w:val="20"/>
      <w:lang w:eastAsia="en-US"/>
    </w:rPr>
  </w:style>
  <w:style w:type="character" w:styleId="49">
    <w:name w:val="page number"/>
    <w:basedOn w:val="47"/>
    <w:qFormat/>
    <w:uiPriority w:val="0"/>
  </w:style>
  <w:style w:type="character" w:styleId="50">
    <w:name w:val="FollowedHyperlink"/>
    <w:basedOn w:val="47"/>
    <w:qFormat/>
    <w:uiPriority w:val="0"/>
    <w:rPr>
      <w:color w:val="2687D0"/>
      <w:u w:val="single"/>
    </w:rPr>
  </w:style>
  <w:style w:type="character" w:styleId="51">
    <w:name w:val="HTML Definition"/>
    <w:basedOn w:val="47"/>
    <w:unhideWhenUsed/>
    <w:qFormat/>
    <w:uiPriority w:val="99"/>
    <w:rPr>
      <w:i/>
    </w:rPr>
  </w:style>
  <w:style w:type="character" w:styleId="52">
    <w:name w:val="Hyperlink"/>
    <w:basedOn w:val="47"/>
    <w:qFormat/>
    <w:uiPriority w:val="0"/>
    <w:rPr>
      <w:color w:val="2687D0"/>
      <w:u w:val="single"/>
    </w:rPr>
  </w:style>
  <w:style w:type="character" w:styleId="53">
    <w:name w:val="HTML Code"/>
    <w:basedOn w:val="47"/>
    <w:unhideWhenUsed/>
    <w:qFormat/>
    <w:uiPriority w:val="99"/>
    <w:rPr>
      <w:rFonts w:ascii="Monaco" w:hAnsi="Monaco" w:eastAsia="Monaco" w:cs="Monaco"/>
      <w:sz w:val="21"/>
      <w:szCs w:val="21"/>
    </w:rPr>
  </w:style>
  <w:style w:type="character" w:styleId="54">
    <w:name w:val="annotation reference"/>
    <w:qFormat/>
    <w:uiPriority w:val="0"/>
    <w:rPr>
      <w:sz w:val="21"/>
      <w:szCs w:val="21"/>
    </w:rPr>
  </w:style>
  <w:style w:type="character" w:styleId="55">
    <w:name w:val="HTML Keyboard"/>
    <w:basedOn w:val="47"/>
    <w:unhideWhenUsed/>
    <w:qFormat/>
    <w:uiPriority w:val="99"/>
    <w:rPr>
      <w:rFonts w:hint="default" w:ascii="Monaco" w:hAnsi="Monaco" w:eastAsia="Monaco" w:cs="Monaco"/>
      <w:sz w:val="21"/>
      <w:szCs w:val="21"/>
    </w:rPr>
  </w:style>
  <w:style w:type="character" w:styleId="56">
    <w:name w:val="HTML Sample"/>
    <w:basedOn w:val="47"/>
    <w:unhideWhenUsed/>
    <w:qFormat/>
    <w:uiPriority w:val="99"/>
    <w:rPr>
      <w:rFonts w:hint="default" w:ascii="Monaco" w:hAnsi="Monaco" w:eastAsia="Monaco" w:cs="Monaco"/>
      <w:sz w:val="21"/>
      <w:szCs w:val="21"/>
    </w:rPr>
  </w:style>
  <w:style w:type="paragraph" w:customStyle="1" w:styleId="57">
    <w:name w:val="正文1"/>
    <w:basedOn w:val="1"/>
    <w:qFormat/>
    <w:uiPriority w:val="0"/>
    <w:pPr>
      <w:adjustRightInd w:val="0"/>
      <w:spacing w:line="318" w:lineRule="atLeast"/>
      <w:ind w:left="369" w:firstLine="369"/>
      <w:textAlignment w:val="baseline"/>
    </w:pPr>
    <w:rPr>
      <w:rFonts w:ascii="宋体"/>
      <w:szCs w:val="20"/>
    </w:rPr>
  </w:style>
  <w:style w:type="paragraph" w:customStyle="1" w:styleId="58">
    <w:name w:val="正文2"/>
    <w:basedOn w:val="1"/>
    <w:qFormat/>
    <w:uiPriority w:val="0"/>
    <w:pPr>
      <w:adjustRightInd w:val="0"/>
      <w:spacing w:line="318" w:lineRule="atLeast"/>
      <w:ind w:left="369" w:firstLine="369"/>
      <w:textAlignment w:val="baseline"/>
    </w:pPr>
    <w:rPr>
      <w:rFonts w:ascii="宋体"/>
      <w:szCs w:val="20"/>
    </w:rPr>
  </w:style>
  <w:style w:type="paragraph" w:customStyle="1" w:styleId="59">
    <w:name w:val="样式 标题 3 +"/>
    <w:basedOn w:val="6"/>
    <w:qFormat/>
    <w:uiPriority w:val="0"/>
    <w:rPr>
      <w:kern w:val="0"/>
    </w:rPr>
  </w:style>
  <w:style w:type="paragraph" w:customStyle="1" w:styleId="60">
    <w:name w:val="正文段"/>
    <w:basedOn w:val="1"/>
    <w:qFormat/>
    <w:uiPriority w:val="0"/>
    <w:pPr>
      <w:widowControl/>
      <w:snapToGrid w:val="0"/>
      <w:spacing w:afterLines="50"/>
      <w:ind w:firstLine="200" w:firstLineChars="200"/>
    </w:pPr>
    <w:rPr>
      <w:kern w:val="0"/>
      <w:sz w:val="24"/>
      <w:szCs w:val="20"/>
    </w:rPr>
  </w:style>
  <w:style w:type="paragraph" w:customStyle="1" w:styleId="61">
    <w:name w:val="自由格式 A"/>
    <w:qFormat/>
    <w:uiPriority w:val="0"/>
    <w:rPr>
      <w:rFonts w:ascii="Helvetica" w:hAnsi="Helvetica" w:eastAsia="ヒラギノ角ゴ Pro W3" w:cs="Times New Roman"/>
      <w:color w:val="000000"/>
      <w:sz w:val="24"/>
      <w:lang w:val="en-US" w:eastAsia="zh-CN" w:bidi="ar-SA"/>
    </w:rPr>
  </w:style>
  <w:style w:type="paragraph" w:customStyle="1" w:styleId="62">
    <w:name w:val="Y_段"/>
    <w:basedOn w:val="1"/>
    <w:link w:val="105"/>
    <w:qFormat/>
    <w:uiPriority w:val="0"/>
    <w:pPr>
      <w:widowControl/>
      <w:spacing w:line="300" w:lineRule="auto"/>
      <w:ind w:firstLine="200" w:firstLineChars="200"/>
    </w:pPr>
    <w:rPr>
      <w:rFonts w:hint="eastAsia" w:ascii="宋体" w:hAnsi="Calibri" w:eastAsia="仿宋_GB2312"/>
      <w:kern w:val="0"/>
      <w:sz w:val="24"/>
      <w:szCs w:val="21"/>
    </w:rPr>
  </w:style>
  <w:style w:type="paragraph" w:customStyle="1" w:styleId="63">
    <w:name w:val="msolistparagraph"/>
    <w:basedOn w:val="1"/>
    <w:qFormat/>
    <w:uiPriority w:val="0"/>
    <w:pPr>
      <w:ind w:firstLine="420" w:firstLineChars="200"/>
    </w:pPr>
    <w:rPr>
      <w:rFonts w:ascii="Calibri" w:hAnsi="Calibri"/>
      <w:szCs w:val="22"/>
    </w:rPr>
  </w:style>
  <w:style w:type="paragraph" w:customStyle="1" w:styleId="64">
    <w:name w:val="Char"/>
    <w:basedOn w:val="1"/>
    <w:qFormat/>
    <w:uiPriority w:val="0"/>
    <w:pPr>
      <w:widowControl/>
      <w:spacing w:line="240" w:lineRule="exact"/>
      <w:jc w:val="left"/>
    </w:pPr>
    <w:rPr>
      <w:szCs w:val="20"/>
    </w:rPr>
  </w:style>
  <w:style w:type="paragraph" w:customStyle="1" w:styleId="6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6">
    <w:name w:val="列出段落1"/>
    <w:basedOn w:val="1"/>
    <w:qFormat/>
    <w:uiPriority w:val="0"/>
    <w:pPr>
      <w:ind w:firstLine="420" w:firstLineChars="200"/>
    </w:pPr>
    <w:rPr>
      <w:rFonts w:ascii="Calibri" w:hAnsi="Calibri"/>
      <w:szCs w:val="22"/>
    </w:rPr>
  </w:style>
  <w:style w:type="paragraph" w:customStyle="1" w:styleId="67">
    <w:name w:val="p17"/>
    <w:basedOn w:val="1"/>
    <w:qFormat/>
    <w:uiPriority w:val="0"/>
    <w:pPr>
      <w:widowControl/>
      <w:snapToGrid w:val="0"/>
      <w:spacing w:line="315" w:lineRule="atLeast"/>
      <w:ind w:firstLine="420"/>
      <w:jc w:val="left"/>
    </w:pPr>
    <w:rPr>
      <w:rFonts w:ascii="宋体" w:hAnsi="宋体" w:cs="宋体"/>
      <w:kern w:val="0"/>
      <w:szCs w:val="21"/>
    </w:rPr>
  </w:style>
  <w:style w:type="paragraph" w:customStyle="1" w:styleId="68">
    <w:name w:val="Char1"/>
    <w:basedOn w:val="1"/>
    <w:qFormat/>
    <w:uiPriority w:val="0"/>
    <w:rPr>
      <w:rFonts w:ascii="Tahoma" w:hAnsi="Tahoma"/>
      <w:sz w:val="24"/>
      <w:szCs w:val="20"/>
    </w:rPr>
  </w:style>
  <w:style w:type="paragraph" w:customStyle="1" w:styleId="69">
    <w:name w:val="Y_一级条标题"/>
    <w:basedOn w:val="1"/>
    <w:next w:val="62"/>
    <w:link w:val="97"/>
    <w:qFormat/>
    <w:uiPriority w:val="0"/>
    <w:pPr>
      <w:widowControl/>
      <w:tabs>
        <w:tab w:val="left" w:pos="360"/>
      </w:tabs>
      <w:spacing w:beforeLines="50" w:afterLines="50" w:line="300" w:lineRule="auto"/>
      <w:outlineLvl w:val="1"/>
    </w:pPr>
    <w:rPr>
      <w:rFonts w:hint="eastAsia" w:ascii="黑体" w:hAnsi="Calibri" w:eastAsia="黑体"/>
      <w:kern w:val="0"/>
      <w:sz w:val="24"/>
      <w:szCs w:val="21"/>
    </w:rPr>
  </w:style>
  <w:style w:type="paragraph" w:customStyle="1" w:styleId="70">
    <w:name w:val="Char2"/>
    <w:basedOn w:val="1"/>
    <w:qFormat/>
    <w:uiPriority w:val="0"/>
    <w:rPr>
      <w:rFonts w:ascii="仿宋_GB2312" w:eastAsia="仿宋_GB2312"/>
      <w:b/>
      <w:sz w:val="32"/>
      <w:szCs w:val="32"/>
    </w:rPr>
  </w:style>
  <w:style w:type="paragraph" w:customStyle="1" w:styleId="71">
    <w:name w:val="_Style 67"/>
    <w:unhideWhenUsed/>
    <w:qFormat/>
    <w:uiPriority w:val="99"/>
    <w:rPr>
      <w:rFonts w:ascii="Times New Roman" w:hAnsi="Times New Roman" w:eastAsia="宋体" w:cs="Times New Roman"/>
      <w:kern w:val="2"/>
      <w:sz w:val="21"/>
      <w:szCs w:val="24"/>
      <w:lang w:val="en-US" w:eastAsia="zh-CN" w:bidi="ar-SA"/>
    </w:rPr>
  </w:style>
  <w:style w:type="paragraph" w:customStyle="1" w:styleId="72">
    <w:name w:val="样式 标题 1 + 两端对齐"/>
    <w:basedOn w:val="4"/>
    <w:next w:val="4"/>
    <w:qFormat/>
    <w:uiPriority w:val="0"/>
    <w:pPr>
      <w:autoSpaceDE w:val="0"/>
      <w:autoSpaceDN w:val="0"/>
      <w:adjustRightInd w:val="0"/>
      <w:spacing w:line="240" w:lineRule="auto"/>
      <w:jc w:val="center"/>
    </w:pPr>
    <w:rPr>
      <w:rFonts w:ascii="汉鼎简细圆" w:hAnsi="Times New Roman" w:eastAsia="宋体" w:cs="宋体"/>
      <w:kern w:val="44"/>
      <w:sz w:val="28"/>
      <w:szCs w:val="20"/>
    </w:rPr>
  </w:style>
  <w:style w:type="paragraph" w:customStyle="1" w:styleId="73">
    <w:name w:val="Char Char Char Char Char Char Char Char Char Char Char Char1 Char"/>
    <w:basedOn w:val="16"/>
    <w:qFormat/>
    <w:uiPriority w:val="0"/>
    <w:rPr>
      <w:rFonts w:ascii="Tahoma" w:hAnsi="Tahoma"/>
      <w:sz w:val="24"/>
    </w:rPr>
  </w:style>
  <w:style w:type="paragraph" w:styleId="74">
    <w:name w:val="List Paragraph"/>
    <w:basedOn w:val="1"/>
    <w:qFormat/>
    <w:uiPriority w:val="0"/>
    <w:pPr>
      <w:ind w:firstLine="420" w:firstLineChars="200"/>
    </w:pPr>
    <w:rPr>
      <w:rFonts w:ascii="Calibri" w:hAnsi="Calibri"/>
      <w:szCs w:val="22"/>
    </w:rPr>
  </w:style>
  <w:style w:type="paragraph" w:customStyle="1" w:styleId="7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76">
    <w:name w:val="xl24"/>
    <w:basedOn w:val="1"/>
    <w:qFormat/>
    <w:uiPriority w:val="0"/>
    <w:pPr>
      <w:widowControl/>
      <w:spacing w:beforeAutospacing="1" w:afterAutospacing="1"/>
      <w:jc w:val="center"/>
      <w:textAlignment w:val="center"/>
    </w:pPr>
    <w:rPr>
      <w:rFonts w:ascii="宋体" w:hAnsi="宋体"/>
      <w:kern w:val="0"/>
      <w:sz w:val="24"/>
    </w:rPr>
  </w:style>
  <w:style w:type="paragraph" w:customStyle="1" w:styleId="77">
    <w:name w:val="List Paragraph1"/>
    <w:basedOn w:val="1"/>
    <w:qFormat/>
    <w:uiPriority w:val="0"/>
    <w:pPr>
      <w:ind w:firstLine="420" w:firstLineChars="200"/>
    </w:pPr>
    <w:rPr>
      <w:rFonts w:ascii="Calibri" w:hAnsi="Calibri" w:cs="Calibri"/>
    </w:rPr>
  </w:style>
  <w:style w:type="paragraph" w:customStyle="1" w:styleId="78">
    <w:name w:val="_Style 74"/>
    <w:basedOn w:val="3"/>
    <w:next w:val="1"/>
    <w:qFormat/>
    <w:uiPriority w:val="0"/>
    <w:pPr>
      <w:widowControl/>
      <w:spacing w:line="276" w:lineRule="auto"/>
      <w:jc w:val="left"/>
      <w:outlineLvl w:val="9"/>
    </w:pPr>
    <w:rPr>
      <w:rFonts w:ascii="Cambria" w:hAnsi="Cambria"/>
      <w:color w:val="365F91"/>
      <w:kern w:val="0"/>
      <w:sz w:val="28"/>
      <w:szCs w:val="28"/>
    </w:rPr>
  </w:style>
  <w:style w:type="paragraph" w:customStyle="1" w:styleId="79">
    <w:name w:val="xl66"/>
    <w:basedOn w:val="1"/>
    <w:qFormat/>
    <w:uiPriority w:val="0"/>
    <w:pPr>
      <w:widowControl/>
      <w:pBdr>
        <w:left w:val="single" w:color="auto" w:sz="4" w:space="0"/>
        <w:bottom w:val="single" w:color="auto" w:sz="4" w:space="0"/>
      </w:pBdr>
      <w:spacing w:beforeAutospacing="1" w:afterAutospacing="1"/>
      <w:jc w:val="center"/>
    </w:pPr>
    <w:rPr>
      <w:rFonts w:ascii="宋体" w:hAnsi="宋体"/>
      <w:kern w:val="0"/>
      <w:sz w:val="24"/>
    </w:rPr>
  </w:style>
  <w:style w:type="paragraph" w:customStyle="1" w:styleId="80">
    <w:name w:val="默认段落字体 Para Char Char Char Char Char Char Char Char Char1 Char Char Char Char"/>
    <w:basedOn w:val="1"/>
    <w:qFormat/>
    <w:uiPriority w:val="0"/>
    <w:rPr>
      <w:rFonts w:ascii="Tahoma" w:hAnsi="Tahoma"/>
      <w:sz w:val="24"/>
      <w:szCs w:val="20"/>
    </w:rPr>
  </w:style>
  <w:style w:type="paragraph" w:customStyle="1" w:styleId="81">
    <w:name w:val="Y_正文图标题"/>
    <w:basedOn w:val="1"/>
    <w:next w:val="62"/>
    <w:link w:val="133"/>
    <w:qFormat/>
    <w:uiPriority w:val="0"/>
    <w:pPr>
      <w:widowControl/>
      <w:spacing w:line="300" w:lineRule="auto"/>
      <w:jc w:val="center"/>
    </w:pPr>
    <w:rPr>
      <w:rFonts w:hint="eastAsia" w:ascii="黑体" w:hAnsi="Calibri" w:eastAsia="黑体"/>
      <w:kern w:val="0"/>
      <w:sz w:val="24"/>
      <w:szCs w:val="21"/>
    </w:rPr>
  </w:style>
  <w:style w:type="paragraph" w:customStyle="1" w:styleId="82">
    <w:name w:val="Char11"/>
    <w:basedOn w:val="1"/>
    <w:qFormat/>
    <w:uiPriority w:val="0"/>
    <w:rPr>
      <w:rFonts w:ascii="Tahoma" w:hAnsi="Tahoma"/>
      <w:sz w:val="24"/>
      <w:szCs w:val="20"/>
    </w:rPr>
  </w:style>
  <w:style w:type="paragraph" w:customStyle="1" w:styleId="83">
    <w:name w:val="普通(网站)1"/>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84">
    <w:name w:val="p0"/>
    <w:basedOn w:val="1"/>
    <w:qFormat/>
    <w:uiPriority w:val="0"/>
    <w:pPr>
      <w:widowControl/>
    </w:pPr>
    <w:rPr>
      <w:kern w:val="0"/>
      <w:szCs w:val="21"/>
    </w:rPr>
  </w:style>
  <w:style w:type="paragraph" w:customStyle="1" w:styleId="85">
    <w:name w:val="_Style 81"/>
    <w:basedOn w:val="1"/>
    <w:next w:val="1"/>
    <w:qFormat/>
    <w:uiPriority w:val="0"/>
    <w:pPr>
      <w:pBdr>
        <w:bottom w:val="single" w:color="auto" w:sz="6" w:space="1"/>
      </w:pBdr>
      <w:jc w:val="center"/>
    </w:pPr>
    <w:rPr>
      <w:rFonts w:ascii="Arial"/>
      <w:vanish/>
      <w:sz w:val="16"/>
    </w:rPr>
  </w:style>
  <w:style w:type="paragraph" w:customStyle="1" w:styleId="86">
    <w:name w:val="样式1"/>
    <w:basedOn w:val="7"/>
    <w:qFormat/>
    <w:uiPriority w:val="0"/>
  </w:style>
  <w:style w:type="paragraph" w:customStyle="1" w:styleId="87">
    <w:name w:val="地址内"/>
    <w:basedOn w:val="1"/>
    <w:qFormat/>
    <w:uiPriority w:val="0"/>
    <w:rPr>
      <w:szCs w:val="20"/>
    </w:rPr>
  </w:style>
  <w:style w:type="paragraph" w:customStyle="1" w:styleId="88">
    <w:name w:val="f1"/>
    <w:basedOn w:val="1"/>
    <w:qFormat/>
    <w:uiPriority w:val="0"/>
    <w:pPr>
      <w:widowControl/>
      <w:spacing w:beforeAutospacing="1" w:afterAutospacing="1"/>
      <w:jc w:val="center"/>
    </w:pPr>
    <w:rPr>
      <w:rFonts w:ascii="Helvetica" w:hAnsi="Helvetica" w:cs="Helvetica"/>
      <w:b/>
      <w:bCs/>
      <w:color w:val="FF8080"/>
      <w:spacing w:val="160"/>
      <w:kern w:val="0"/>
      <w:sz w:val="80"/>
      <w:szCs w:val="80"/>
    </w:rPr>
  </w:style>
  <w:style w:type="paragraph" w:customStyle="1" w:styleId="89">
    <w:name w:val="样式 标题 3 +1"/>
    <w:basedOn w:val="6"/>
    <w:qFormat/>
    <w:uiPriority w:val="0"/>
    <w:rPr>
      <w:kern w:val="0"/>
    </w:rPr>
  </w:style>
  <w:style w:type="paragraph" w:customStyle="1" w:styleId="90">
    <w:name w:val="big"/>
    <w:basedOn w:val="1"/>
    <w:qFormat/>
    <w:uiPriority w:val="0"/>
    <w:pPr>
      <w:widowControl/>
      <w:spacing w:beforeAutospacing="1" w:afterAutospacing="1"/>
      <w:jc w:val="left"/>
    </w:pPr>
    <w:rPr>
      <w:rFonts w:ascii="宋体" w:hAnsi="宋体"/>
      <w:kern w:val="0"/>
      <w:sz w:val="24"/>
    </w:rPr>
  </w:style>
  <w:style w:type="paragraph" w:customStyle="1" w:styleId="91">
    <w:name w:val="_Style 87"/>
    <w:basedOn w:val="1"/>
    <w:next w:val="1"/>
    <w:qFormat/>
    <w:uiPriority w:val="0"/>
    <w:pPr>
      <w:pBdr>
        <w:top w:val="single" w:color="auto" w:sz="6" w:space="1"/>
      </w:pBdr>
      <w:jc w:val="center"/>
    </w:pPr>
    <w:rPr>
      <w:rFonts w:ascii="Arial"/>
      <w:vanish/>
      <w:sz w:val="16"/>
    </w:rPr>
  </w:style>
  <w:style w:type="paragraph" w:customStyle="1" w:styleId="92">
    <w:name w:val="Y_二级条标题"/>
    <w:basedOn w:val="69"/>
    <w:next w:val="62"/>
    <w:qFormat/>
    <w:uiPriority w:val="0"/>
    <w:pPr>
      <w:outlineLvl w:val="2"/>
    </w:pPr>
  </w:style>
  <w:style w:type="paragraph" w:customStyle="1" w:styleId="93">
    <w:name w:val="此正文"/>
    <w:basedOn w:val="1"/>
    <w:qFormat/>
    <w:uiPriority w:val="0"/>
    <w:pPr>
      <w:spacing w:line="360" w:lineRule="auto"/>
      <w:ind w:firstLine="200" w:firstLineChars="200"/>
    </w:pPr>
    <w:rPr>
      <w:sz w:val="24"/>
    </w:rPr>
  </w:style>
  <w:style w:type="paragraph" w:customStyle="1" w:styleId="94">
    <w:name w:val="证文"/>
    <w:basedOn w:val="1"/>
    <w:qFormat/>
    <w:uiPriority w:val="0"/>
    <w:pPr>
      <w:spacing w:line="360" w:lineRule="auto"/>
    </w:pPr>
    <w:rPr>
      <w:sz w:val="24"/>
      <w:szCs w:val="20"/>
    </w:rPr>
  </w:style>
  <w:style w:type="character" w:customStyle="1" w:styleId="95">
    <w:name w:val="m_461"/>
    <w:qFormat/>
    <w:uiPriority w:val="0"/>
  </w:style>
  <w:style w:type="character" w:customStyle="1" w:styleId="96">
    <w:name w:val="m_491"/>
    <w:qFormat/>
    <w:uiPriority w:val="0"/>
  </w:style>
  <w:style w:type="character" w:customStyle="1" w:styleId="97">
    <w:name w:val="Y_一级条标题 Char Char"/>
    <w:link w:val="69"/>
    <w:qFormat/>
    <w:uiPriority w:val="0"/>
    <w:rPr>
      <w:rFonts w:hint="eastAsia" w:ascii="黑体" w:hAnsi="Calibri" w:eastAsia="黑体" w:cs="黑体"/>
      <w:sz w:val="24"/>
      <w:szCs w:val="21"/>
    </w:rPr>
  </w:style>
  <w:style w:type="character" w:customStyle="1" w:styleId="98">
    <w:name w:val="desc"/>
    <w:basedOn w:val="47"/>
    <w:qFormat/>
    <w:uiPriority w:val="0"/>
  </w:style>
  <w:style w:type="character" w:customStyle="1" w:styleId="99">
    <w:name w:val="标题 3 Char"/>
    <w:link w:val="6"/>
    <w:qFormat/>
    <w:uiPriority w:val="0"/>
    <w:rPr>
      <w:rFonts w:ascii="Calibri" w:hAnsi="Calibri"/>
      <w:b/>
      <w:bCs/>
      <w:kern w:val="2"/>
      <w:sz w:val="28"/>
      <w:szCs w:val="32"/>
    </w:rPr>
  </w:style>
  <w:style w:type="character" w:customStyle="1" w:styleId="100">
    <w:name w:val="ant-tree-switcher"/>
    <w:basedOn w:val="47"/>
    <w:qFormat/>
    <w:uiPriority w:val="0"/>
  </w:style>
  <w:style w:type="character" w:customStyle="1" w:styleId="101">
    <w:name w:val="select"/>
    <w:basedOn w:val="47"/>
    <w:qFormat/>
    <w:uiPriority w:val="0"/>
    <w:rPr>
      <w:color w:val="FFFFFF"/>
      <w:shd w:val="clear" w:color="auto" w:fill="3595F8"/>
    </w:rPr>
  </w:style>
  <w:style w:type="character" w:customStyle="1" w:styleId="102">
    <w:name w:val="ant-tree-icon_loading"/>
    <w:basedOn w:val="47"/>
    <w:qFormat/>
    <w:uiPriority w:val="0"/>
    <w:rPr>
      <w:shd w:val="clear" w:color="auto" w:fill="FFFFFF"/>
    </w:rPr>
  </w:style>
  <w:style w:type="character" w:customStyle="1" w:styleId="103">
    <w:name w:val="href-title"/>
    <w:basedOn w:val="47"/>
    <w:qFormat/>
    <w:uiPriority w:val="0"/>
  </w:style>
  <w:style w:type="character" w:customStyle="1" w:styleId="104">
    <w:name w:val="尾注文本 Char"/>
    <w:link w:val="29"/>
    <w:qFormat/>
    <w:uiPriority w:val="0"/>
    <w:rPr>
      <w:kern w:val="2"/>
      <w:sz w:val="21"/>
      <w:szCs w:val="24"/>
    </w:rPr>
  </w:style>
  <w:style w:type="character" w:customStyle="1" w:styleId="105">
    <w:name w:val="Y_段 Char Char"/>
    <w:link w:val="62"/>
    <w:qFormat/>
    <w:uiPriority w:val="0"/>
    <w:rPr>
      <w:rFonts w:hint="eastAsia" w:ascii="宋体" w:hAnsi="Calibri" w:eastAsia="仿宋_GB2312" w:cs="宋体"/>
      <w:sz w:val="24"/>
      <w:szCs w:val="21"/>
    </w:rPr>
  </w:style>
  <w:style w:type="character" w:customStyle="1" w:styleId="106">
    <w:name w:val="current"/>
    <w:basedOn w:val="47"/>
    <w:qFormat/>
    <w:uiPriority w:val="0"/>
    <w:rPr>
      <w:color w:val="FFFFFF"/>
      <w:bdr w:val="single" w:color="197AFF" w:sz="6" w:space="0"/>
      <w:shd w:val="clear" w:color="auto" w:fill="197AFF"/>
    </w:rPr>
  </w:style>
  <w:style w:type="character" w:customStyle="1" w:styleId="107">
    <w:name w:val="success"/>
    <w:basedOn w:val="47"/>
    <w:qFormat/>
    <w:uiPriority w:val="0"/>
    <w:rPr>
      <w:color w:val="2DC12D"/>
    </w:rPr>
  </w:style>
  <w:style w:type="character" w:customStyle="1" w:styleId="108">
    <w:name w:val="mistake1"/>
    <w:basedOn w:val="47"/>
    <w:qFormat/>
    <w:uiPriority w:val="0"/>
    <w:rPr>
      <w:color w:val="CCCCCC"/>
      <w:sz w:val="24"/>
      <w:szCs w:val="24"/>
    </w:rPr>
  </w:style>
  <w:style w:type="character" w:customStyle="1" w:styleId="109">
    <w:name w:val="next-item"/>
    <w:basedOn w:val="47"/>
    <w:qFormat/>
    <w:uiPriority w:val="0"/>
    <w:rPr>
      <w:color w:val="333333"/>
      <w:bdr w:val="single" w:color="CCD0D6" w:sz="6" w:space="0"/>
    </w:rPr>
  </w:style>
  <w:style w:type="character" w:customStyle="1" w:styleId="110">
    <w:name w:val="正文文本缩进 Char"/>
    <w:qFormat/>
    <w:uiPriority w:val="0"/>
    <w:rPr>
      <w:rFonts w:ascii="宋体" w:hAnsi="Courier New"/>
      <w:spacing w:val="-4"/>
      <w:kern w:val="2"/>
      <w:sz w:val="18"/>
    </w:rPr>
  </w:style>
  <w:style w:type="character" w:customStyle="1" w:styleId="111">
    <w:name w:val="标题 7 Char"/>
    <w:link w:val="10"/>
    <w:qFormat/>
    <w:uiPriority w:val="0"/>
    <w:rPr>
      <w:b/>
      <w:kern w:val="2"/>
      <w:sz w:val="21"/>
    </w:rPr>
  </w:style>
  <w:style w:type="character" w:customStyle="1" w:styleId="112">
    <w:name w:val="small2"/>
    <w:basedOn w:val="47"/>
    <w:qFormat/>
    <w:uiPriority w:val="0"/>
    <w:rPr>
      <w:sz w:val="21"/>
      <w:szCs w:val="21"/>
    </w:rPr>
  </w:style>
  <w:style w:type="character" w:customStyle="1" w:styleId="113">
    <w:name w:val="标题 8 Char"/>
    <w:link w:val="11"/>
    <w:qFormat/>
    <w:uiPriority w:val="0"/>
    <w:rPr>
      <w:rFonts w:ascii="Arial" w:hAnsi="Arial" w:eastAsia="黑体"/>
      <w:kern w:val="2"/>
      <w:sz w:val="21"/>
    </w:rPr>
  </w:style>
  <w:style w:type="character" w:customStyle="1" w:styleId="114">
    <w:name w:val="批注文字 Char1"/>
    <w:link w:val="17"/>
    <w:qFormat/>
    <w:uiPriority w:val="0"/>
    <w:rPr>
      <w:kern w:val="2"/>
      <w:sz w:val="21"/>
      <w:szCs w:val="24"/>
    </w:rPr>
  </w:style>
  <w:style w:type="character" w:customStyle="1" w:styleId="115">
    <w:name w:val="纯文本 Char1"/>
    <w:qFormat/>
    <w:uiPriority w:val="0"/>
    <w:rPr>
      <w:rFonts w:hint="eastAsia" w:ascii="宋体" w:hAnsi="Courier New" w:eastAsia="宋体" w:cs="Courier New"/>
      <w:kern w:val="2"/>
      <w:sz w:val="21"/>
      <w:szCs w:val="21"/>
    </w:rPr>
  </w:style>
  <w:style w:type="character" w:customStyle="1" w:styleId="116">
    <w:name w:val="标题 4 Char"/>
    <w:link w:val="7"/>
    <w:qFormat/>
    <w:uiPriority w:val="0"/>
    <w:rPr>
      <w:rFonts w:ascii="Arial" w:hAnsi="Arial" w:eastAsia="黑体"/>
      <w:b/>
      <w:bCs/>
      <w:kern w:val="2"/>
      <w:sz w:val="28"/>
      <w:szCs w:val="28"/>
    </w:rPr>
  </w:style>
  <w:style w:type="character" w:customStyle="1" w:styleId="117">
    <w:name w:val="large"/>
    <w:basedOn w:val="47"/>
    <w:qFormat/>
    <w:uiPriority w:val="0"/>
    <w:rPr>
      <w:color w:val="197AFF"/>
      <w:sz w:val="24"/>
      <w:szCs w:val="24"/>
    </w:rPr>
  </w:style>
  <w:style w:type="character" w:customStyle="1" w:styleId="118">
    <w:name w:val="right"/>
    <w:basedOn w:val="47"/>
    <w:qFormat/>
    <w:uiPriority w:val="0"/>
  </w:style>
  <w:style w:type="character" w:customStyle="1" w:styleId="119">
    <w:name w:val="small"/>
    <w:basedOn w:val="47"/>
    <w:qFormat/>
    <w:uiPriority w:val="0"/>
    <w:rPr>
      <w:color w:val="197AFF"/>
      <w:sz w:val="18"/>
      <w:szCs w:val="18"/>
    </w:rPr>
  </w:style>
  <w:style w:type="character" w:customStyle="1" w:styleId="120">
    <w:name w:val="checker-icon"/>
    <w:basedOn w:val="47"/>
    <w:qFormat/>
    <w:uiPriority w:val="0"/>
  </w:style>
  <w:style w:type="character" w:customStyle="1" w:styleId="121">
    <w:name w:val="正文文本 2 Char"/>
    <w:link w:val="41"/>
    <w:qFormat/>
    <w:uiPriority w:val="0"/>
    <w:rPr>
      <w:rFonts w:ascii="宋体" w:hAnsi="宋体"/>
      <w:color w:val="000000"/>
      <w:kern w:val="2"/>
      <w:sz w:val="24"/>
      <w:szCs w:val="24"/>
    </w:rPr>
  </w:style>
  <w:style w:type="character" w:customStyle="1" w:styleId="122">
    <w:name w:val="纯文本 Char2"/>
    <w:link w:val="25"/>
    <w:qFormat/>
    <w:uiPriority w:val="0"/>
    <w:rPr>
      <w:rFonts w:hint="eastAsia" w:ascii="宋体" w:hAnsi="Courier New" w:eastAsia="宋体" w:cs="宋体"/>
      <w:sz w:val="21"/>
    </w:rPr>
  </w:style>
  <w:style w:type="character" w:customStyle="1" w:styleId="123">
    <w:name w:val="ant-tree-iconele"/>
    <w:basedOn w:val="47"/>
    <w:qFormat/>
    <w:uiPriority w:val="0"/>
  </w:style>
  <w:style w:type="character" w:customStyle="1" w:styleId="124">
    <w:name w:val="标题 1 Char"/>
    <w:basedOn w:val="47"/>
    <w:link w:val="3"/>
    <w:qFormat/>
    <w:uiPriority w:val="0"/>
    <w:rPr>
      <w:b/>
      <w:bCs/>
      <w:kern w:val="44"/>
      <w:sz w:val="30"/>
      <w:szCs w:val="44"/>
    </w:rPr>
  </w:style>
  <w:style w:type="character" w:customStyle="1" w:styleId="125">
    <w:name w:val="m_391"/>
    <w:qFormat/>
    <w:uiPriority w:val="0"/>
  </w:style>
  <w:style w:type="character" w:customStyle="1" w:styleId="126">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127">
    <w:name w:val="标题 5 Char"/>
    <w:link w:val="8"/>
    <w:qFormat/>
    <w:uiPriority w:val="0"/>
    <w:rPr>
      <w:b/>
      <w:bCs/>
      <w:kern w:val="2"/>
      <w:sz w:val="28"/>
      <w:szCs w:val="28"/>
    </w:rPr>
  </w:style>
  <w:style w:type="character" w:customStyle="1" w:styleId="128">
    <w:name w:val="ant-tree-checkbox"/>
    <w:basedOn w:val="47"/>
    <w:qFormat/>
    <w:uiPriority w:val="0"/>
  </w:style>
  <w:style w:type="character" w:customStyle="1" w:styleId="129">
    <w:name w:val="edui-clickable"/>
    <w:basedOn w:val="47"/>
    <w:qFormat/>
    <w:uiPriority w:val="0"/>
    <w:rPr>
      <w:color w:val="0000FF"/>
      <w:u w:val="single"/>
    </w:rPr>
  </w:style>
  <w:style w:type="character" w:customStyle="1" w:styleId="130">
    <w:name w:val="正文文本缩进 2 Char"/>
    <w:qFormat/>
    <w:uiPriority w:val="0"/>
    <w:rPr>
      <w:rFonts w:ascii="仿宋_GB2312" w:hAnsi="宋体" w:cs="Arial"/>
      <w:b/>
      <w:bCs/>
      <w:color w:val="000000"/>
      <w:kern w:val="2"/>
      <w:sz w:val="24"/>
      <w:szCs w:val="24"/>
    </w:rPr>
  </w:style>
  <w:style w:type="character" w:customStyle="1" w:styleId="131">
    <w:name w:val="正文文本 Char"/>
    <w:link w:val="19"/>
    <w:qFormat/>
    <w:uiPriority w:val="0"/>
    <w:rPr>
      <w:kern w:val="2"/>
      <w:sz w:val="28"/>
      <w:szCs w:val="24"/>
    </w:rPr>
  </w:style>
  <w:style w:type="character" w:customStyle="1" w:styleId="132">
    <w:name w:val="z-窗体底端 Char"/>
    <w:qFormat/>
    <w:uiPriority w:val="0"/>
    <w:rPr>
      <w:rFonts w:ascii="Arial" w:hAnsi="Arial" w:cs="Arial"/>
      <w:vanish/>
      <w:kern w:val="2"/>
      <w:sz w:val="16"/>
    </w:rPr>
  </w:style>
  <w:style w:type="character" w:customStyle="1" w:styleId="133">
    <w:name w:val="Y_正文图标题 Char Char"/>
    <w:link w:val="81"/>
    <w:qFormat/>
    <w:uiPriority w:val="0"/>
    <w:rPr>
      <w:rFonts w:hint="eastAsia" w:ascii="黑体" w:hAnsi="Calibri" w:eastAsia="黑体" w:cs="黑体"/>
      <w:sz w:val="24"/>
      <w:szCs w:val="21"/>
    </w:rPr>
  </w:style>
  <w:style w:type="character" w:customStyle="1" w:styleId="134">
    <w:name w:val="m_51"/>
    <w:qFormat/>
    <w:uiPriority w:val="0"/>
  </w:style>
  <w:style w:type="character" w:customStyle="1" w:styleId="135">
    <w:name w:val="纯文本 Char"/>
    <w:qFormat/>
    <w:uiPriority w:val="0"/>
    <w:rPr>
      <w:rFonts w:ascii="宋体" w:hAnsi="Courier New" w:eastAsia="宋体"/>
      <w:kern w:val="2"/>
      <w:sz w:val="24"/>
      <w:szCs w:val="24"/>
      <w:lang w:val="en-US" w:eastAsia="zh-CN" w:bidi="ar-SA"/>
    </w:rPr>
  </w:style>
  <w:style w:type="character" w:customStyle="1" w:styleId="136">
    <w:name w:val="mistake"/>
    <w:basedOn w:val="47"/>
    <w:qFormat/>
    <w:uiPriority w:val="0"/>
    <w:rPr>
      <w:color w:val="CCCCCC"/>
      <w:sz w:val="24"/>
      <w:szCs w:val="24"/>
    </w:rPr>
  </w:style>
  <w:style w:type="character" w:customStyle="1" w:styleId="137">
    <w:name w:val="批注文字 Char"/>
    <w:qFormat/>
    <w:uiPriority w:val="0"/>
    <w:rPr>
      <w:kern w:val="2"/>
      <w:sz w:val="21"/>
      <w:szCs w:val="24"/>
    </w:rPr>
  </w:style>
  <w:style w:type="character" w:customStyle="1" w:styleId="138">
    <w:name w:val="正文文本 3 Char"/>
    <w:link w:val="18"/>
    <w:qFormat/>
    <w:uiPriority w:val="0"/>
    <w:rPr>
      <w:rFonts w:hAnsi="宋体" w:eastAsia="仿宋_GB2312"/>
      <w:b/>
      <w:bCs/>
      <w:kern w:val="2"/>
      <w:sz w:val="24"/>
    </w:rPr>
  </w:style>
  <w:style w:type="character" w:customStyle="1" w:styleId="139">
    <w:name w:val="正文文本缩进 Char1"/>
    <w:link w:val="20"/>
    <w:qFormat/>
    <w:uiPriority w:val="0"/>
    <w:rPr>
      <w:kern w:val="2"/>
      <w:sz w:val="21"/>
      <w:szCs w:val="24"/>
    </w:rPr>
  </w:style>
  <w:style w:type="character" w:customStyle="1" w:styleId="140">
    <w:name w:val="edui-unclickable"/>
    <w:basedOn w:val="47"/>
    <w:qFormat/>
    <w:uiPriority w:val="0"/>
    <w:rPr>
      <w:color w:val="808080"/>
    </w:rPr>
  </w:style>
  <w:style w:type="character" w:customStyle="1" w:styleId="141">
    <w:name w:val="页脚 Char"/>
    <w:link w:val="31"/>
    <w:qFormat/>
    <w:uiPriority w:val="0"/>
    <w:rPr>
      <w:rFonts w:eastAsia="黑体"/>
      <w:snapToGrid w:val="0"/>
      <w:sz w:val="18"/>
      <w:szCs w:val="18"/>
      <w:lang w:val="en-US" w:eastAsia="zh-CN" w:bidi="ar-SA"/>
    </w:rPr>
  </w:style>
  <w:style w:type="character" w:customStyle="1" w:styleId="142">
    <w:name w:val="ant-select-tree-iconele"/>
    <w:basedOn w:val="47"/>
    <w:qFormat/>
    <w:uiPriority w:val="0"/>
  </w:style>
  <w:style w:type="character" w:customStyle="1" w:styleId="143">
    <w:name w:val="ant-select-tree-switcher"/>
    <w:basedOn w:val="47"/>
    <w:qFormat/>
    <w:uiPriority w:val="0"/>
  </w:style>
  <w:style w:type="character" w:customStyle="1" w:styleId="144">
    <w:name w:val="supplier-tips"/>
    <w:basedOn w:val="47"/>
    <w:qFormat/>
    <w:uiPriority w:val="0"/>
    <w:rPr>
      <w:color w:val="FE0322"/>
    </w:rPr>
  </w:style>
  <w:style w:type="character" w:customStyle="1" w:styleId="145">
    <w:name w:val="批注框文本 Char"/>
    <w:link w:val="30"/>
    <w:qFormat/>
    <w:uiPriority w:val="0"/>
    <w:rPr>
      <w:kern w:val="2"/>
      <w:sz w:val="18"/>
      <w:szCs w:val="18"/>
    </w:rPr>
  </w:style>
  <w:style w:type="character" w:customStyle="1" w:styleId="146">
    <w:name w:val="ant-form-item-children1"/>
    <w:basedOn w:val="47"/>
    <w:qFormat/>
    <w:uiPriority w:val="0"/>
  </w:style>
  <w:style w:type="character" w:customStyle="1" w:styleId="147">
    <w:name w:val="日期 Char"/>
    <w:link w:val="27"/>
    <w:qFormat/>
    <w:uiPriority w:val="0"/>
    <w:rPr>
      <w:rFonts w:eastAsia="楷体_GB2312"/>
      <w:kern w:val="2"/>
      <w:sz w:val="32"/>
    </w:rPr>
  </w:style>
  <w:style w:type="character" w:customStyle="1" w:styleId="148">
    <w:name w:val="脚注文本 Char"/>
    <w:link w:val="36"/>
    <w:qFormat/>
    <w:uiPriority w:val="0"/>
    <w:rPr>
      <w:kern w:val="2"/>
      <w:sz w:val="18"/>
      <w:szCs w:val="18"/>
    </w:rPr>
  </w:style>
  <w:style w:type="character" w:customStyle="1" w:styleId="149">
    <w:name w:val="正文文本缩进 3 Char"/>
    <w:link w:val="38"/>
    <w:qFormat/>
    <w:uiPriority w:val="0"/>
    <w:rPr>
      <w:rFonts w:ascii="仿宋_GB2312" w:hAnsi="宋体" w:eastAsia="仿宋_GB2312"/>
      <w:color w:val="000000"/>
      <w:kern w:val="2"/>
      <w:sz w:val="24"/>
      <w:szCs w:val="24"/>
    </w:rPr>
  </w:style>
  <w:style w:type="character" w:customStyle="1" w:styleId="150">
    <w:name w:val="z-窗体顶端 Char"/>
    <w:qFormat/>
    <w:uiPriority w:val="0"/>
    <w:rPr>
      <w:rFonts w:hint="default" w:ascii="Arial" w:hAnsi="Arial" w:cs="Arial"/>
      <w:vanish/>
      <w:kern w:val="2"/>
      <w:sz w:val="16"/>
    </w:rPr>
  </w:style>
  <w:style w:type="character" w:customStyle="1" w:styleId="151">
    <w:name w:val="正文文本缩进 2 Char1"/>
    <w:link w:val="28"/>
    <w:qFormat/>
    <w:uiPriority w:val="0"/>
    <w:rPr>
      <w:rFonts w:hint="eastAsia" w:ascii="仿宋_GB2312" w:hAnsi="宋体" w:eastAsia="仿宋_GB2312" w:cs="Arial"/>
      <w:b/>
      <w:color w:val="000000"/>
      <w:kern w:val="2"/>
      <w:sz w:val="24"/>
      <w:szCs w:val="24"/>
    </w:rPr>
  </w:style>
  <w:style w:type="character" w:customStyle="1" w:styleId="152">
    <w:name w:val="danger"/>
    <w:basedOn w:val="47"/>
    <w:qFormat/>
    <w:uiPriority w:val="0"/>
    <w:rPr>
      <w:color w:val="FF2200"/>
    </w:rPr>
  </w:style>
  <w:style w:type="character" w:customStyle="1" w:styleId="153">
    <w:name w:val="mistske"/>
    <w:basedOn w:val="47"/>
    <w:qFormat/>
    <w:uiPriority w:val="0"/>
    <w:rPr>
      <w:color w:val="CCCCCC"/>
      <w:sz w:val="21"/>
      <w:szCs w:val="21"/>
    </w:rPr>
  </w:style>
  <w:style w:type="character" w:customStyle="1" w:styleId="154">
    <w:name w:val="search"/>
    <w:basedOn w:val="47"/>
    <w:qFormat/>
    <w:uiPriority w:val="0"/>
  </w:style>
  <w:style w:type="character" w:customStyle="1" w:styleId="155">
    <w:name w:val="标题 9 Char"/>
    <w:link w:val="12"/>
    <w:qFormat/>
    <w:uiPriority w:val="0"/>
    <w:rPr>
      <w:rFonts w:ascii="Arial" w:hAnsi="Arial" w:eastAsia="黑体"/>
      <w:kern w:val="2"/>
      <w:sz w:val="21"/>
    </w:rPr>
  </w:style>
  <w:style w:type="character" w:customStyle="1" w:styleId="156">
    <w:name w:val="font14zd"/>
    <w:basedOn w:val="47"/>
    <w:qFormat/>
    <w:uiPriority w:val="0"/>
  </w:style>
  <w:style w:type="character" w:customStyle="1" w:styleId="157">
    <w:name w:val="m_171"/>
    <w:qFormat/>
    <w:uiPriority w:val="0"/>
  </w:style>
  <w:style w:type="character" w:customStyle="1" w:styleId="158">
    <w:name w:val="small1"/>
    <w:basedOn w:val="47"/>
    <w:qFormat/>
    <w:uiPriority w:val="0"/>
    <w:rPr>
      <w:sz w:val="18"/>
      <w:szCs w:val="18"/>
    </w:rPr>
  </w:style>
  <w:style w:type="character" w:customStyle="1" w:styleId="159">
    <w:name w:val="标题 6 Char"/>
    <w:link w:val="9"/>
    <w:qFormat/>
    <w:uiPriority w:val="0"/>
    <w:rPr>
      <w:rFonts w:ascii="Arial" w:hAnsi="Arial" w:eastAsia="黑体"/>
      <w:b/>
      <w:kern w:val="2"/>
      <w:sz w:val="21"/>
    </w:rPr>
  </w:style>
  <w:style w:type="character" w:customStyle="1" w:styleId="160">
    <w:name w:val="批注主题 Char"/>
    <w:link w:val="44"/>
    <w:semiHidden/>
    <w:qFormat/>
    <w:uiPriority w:val="99"/>
    <w:rPr>
      <w:b/>
      <w:bCs/>
      <w:kern w:val="2"/>
      <w:sz w:val="21"/>
      <w:szCs w:val="24"/>
    </w:rPr>
  </w:style>
  <w:style w:type="character" w:customStyle="1" w:styleId="161">
    <w:name w:val="标题 2 Char"/>
    <w:link w:val="4"/>
    <w:qFormat/>
    <w:uiPriority w:val="0"/>
    <w:rPr>
      <w:rFonts w:ascii="Arial" w:hAnsi="Arial" w:eastAsia="黑体"/>
      <w:b/>
      <w:bCs/>
      <w:kern w:val="2"/>
      <w:sz w:val="32"/>
      <w:szCs w:val="32"/>
    </w:rPr>
  </w:style>
  <w:style w:type="character" w:customStyle="1" w:styleId="162">
    <w:name w:val="search1"/>
    <w:basedOn w:val="47"/>
    <w:qFormat/>
    <w:uiPriority w:val="0"/>
  </w:style>
  <w:style w:type="character" w:customStyle="1" w:styleId="163">
    <w:name w:val="纯文本 字符1"/>
    <w:qFormat/>
    <w:uiPriority w:val="0"/>
    <w:rPr>
      <w:rFonts w:ascii="等线" w:hAnsi="Courier New" w:eastAsia="等线" w:cs="Courier New"/>
      <w:kern w:val="2"/>
      <w:sz w:val="21"/>
    </w:rPr>
  </w:style>
  <w:style w:type="character" w:customStyle="1" w:styleId="164">
    <w:name w:val="ant-select-tree-checkbox2"/>
    <w:basedOn w:val="47"/>
    <w:qFormat/>
    <w:uiPriority w:val="0"/>
  </w:style>
  <w:style w:type="character" w:customStyle="1" w:styleId="165">
    <w:name w:val="m_01"/>
    <w:qFormat/>
    <w:uiPriority w:val="0"/>
  </w:style>
  <w:style w:type="character" w:customStyle="1" w:styleId="166">
    <w:name w:val="页眉 Char"/>
    <w:link w:val="32"/>
    <w:qFormat/>
    <w:uiPriority w:val="0"/>
    <w:rPr>
      <w:rFonts w:eastAsia="仿宋_GB2312"/>
      <w:kern w:val="2"/>
      <w:sz w:val="18"/>
    </w:rPr>
  </w:style>
  <w:style w:type="character" w:customStyle="1" w:styleId="167">
    <w:name w:val="caret"/>
    <w:basedOn w:val="4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青鸟杭办</Company>
  <Pages>60</Pages>
  <Words>5567</Words>
  <Characters>31732</Characters>
  <Lines>264</Lines>
  <Paragraphs>74</Paragraphs>
  <TotalTime>83</TotalTime>
  <ScaleCrop>false</ScaleCrop>
  <LinksUpToDate>false</LinksUpToDate>
  <CharactersWithSpaces>37225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2018-12-12T11:49:00Z</dcterms:created>
  <dc:creator>黄旭明</dc:creator>
  <cp:lastModifiedBy>S&amp;W</cp:lastModifiedBy>
  <cp:lastPrinted>2020-06-08T05:57:00Z</cp:lastPrinted>
  <dcterms:modified xsi:type="dcterms:W3CDTF">2020-11-04T08:38:09Z</dcterms:modified>
  <dc:title>宁波市鄞州区城区内河管理处工程项目设计单位年度资格入围</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