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eastAsia="宋体" w:cs="宋体"/>
          <w:b/>
          <w:sz w:val="48"/>
          <w:szCs w:val="48"/>
        </w:rPr>
      </w:pPr>
    </w:p>
    <w:p>
      <w:pPr>
        <w:spacing w:line="360" w:lineRule="auto"/>
        <w:jc w:val="center"/>
        <w:rPr>
          <w:rFonts w:hint="eastAsia" w:ascii="宋体" w:hAnsi="宋体" w:eastAsia="宋体" w:cs="宋体"/>
          <w:b/>
          <w:color w:val="auto"/>
          <w:sz w:val="48"/>
          <w:szCs w:val="48"/>
          <w:shd w:val="clear" w:color="auto" w:fill="auto"/>
        </w:rPr>
      </w:pPr>
      <w:r>
        <w:rPr>
          <w:rFonts w:hint="eastAsia" w:ascii="宋体" w:hAnsi="宋体" w:eastAsia="宋体" w:cs="宋体"/>
          <w:b/>
          <w:color w:val="auto"/>
          <w:sz w:val="48"/>
          <w:szCs w:val="48"/>
          <w:shd w:val="clear" w:color="auto" w:fill="auto"/>
          <w:lang w:eastAsia="zh-CN"/>
        </w:rPr>
        <w:t>象山县中医医院医疗健康集团三院院区改扩建工程厨房设备采购项目</w:t>
      </w:r>
    </w:p>
    <w:p>
      <w:pPr>
        <w:spacing w:line="360" w:lineRule="auto"/>
        <w:jc w:val="center"/>
        <w:rPr>
          <w:rFonts w:hint="eastAsia" w:ascii="宋体" w:hAnsi="宋体" w:eastAsia="宋体" w:cs="宋体"/>
          <w:b/>
          <w:sz w:val="72"/>
          <w:szCs w:val="72"/>
        </w:rPr>
      </w:pPr>
    </w:p>
    <w:p>
      <w:pPr>
        <w:spacing w:line="360" w:lineRule="auto"/>
        <w:jc w:val="center"/>
        <w:rPr>
          <w:rFonts w:hint="eastAsia" w:ascii="宋体" w:hAnsi="宋体" w:eastAsia="宋体" w:cs="宋体"/>
          <w:b/>
          <w:sz w:val="52"/>
          <w:szCs w:val="52"/>
        </w:rPr>
      </w:pPr>
      <w:r>
        <w:rPr>
          <w:rFonts w:hint="eastAsia" w:ascii="宋体" w:hAnsi="宋体" w:eastAsia="宋体" w:cs="宋体"/>
          <w:b/>
          <w:sz w:val="52"/>
          <w:szCs w:val="52"/>
          <w:lang w:val="en-US" w:eastAsia="zh-CN"/>
        </w:rPr>
        <w:t>政府</w:t>
      </w:r>
      <w:r>
        <w:rPr>
          <w:rFonts w:hint="eastAsia" w:ascii="宋体" w:hAnsi="宋体" w:eastAsia="宋体" w:cs="宋体"/>
          <w:b/>
          <w:sz w:val="52"/>
          <w:szCs w:val="52"/>
        </w:rPr>
        <w:t>采购招标文件</w:t>
      </w:r>
    </w:p>
    <w:p>
      <w:pPr>
        <w:spacing w:line="360" w:lineRule="auto"/>
        <w:jc w:val="center"/>
        <w:rPr>
          <w:rFonts w:hint="eastAsia" w:ascii="宋体" w:hAnsi="宋体" w:eastAsia="宋体" w:cs="宋体"/>
          <w:b/>
          <w:sz w:val="24"/>
        </w:rPr>
      </w:pPr>
      <w:r>
        <w:rPr>
          <w:rFonts w:hint="eastAsia" w:ascii="宋体" w:hAnsi="宋体" w:eastAsia="宋体" w:cs="宋体"/>
          <w:sz w:val="24"/>
        </w:rPr>
        <w:t>采购编号：</w:t>
      </w:r>
      <w:r>
        <w:rPr>
          <w:rFonts w:hint="eastAsia" w:ascii="宋体" w:hAnsi="宋体" w:cs="宋体"/>
          <w:sz w:val="24"/>
          <w:u w:val="single"/>
          <w:lang w:eastAsia="zh-CN"/>
        </w:rPr>
        <w:t>KXZJ-XS2023-028-2</w:t>
      </w:r>
      <w:r>
        <w:rPr>
          <w:rFonts w:hint="eastAsia" w:ascii="宋体" w:hAnsi="宋体" w:eastAsia="宋体" w:cs="宋体"/>
          <w:sz w:val="24"/>
          <w:u w:val="single"/>
        </w:rPr>
        <w:t xml:space="preserve"> </w:t>
      </w:r>
    </w:p>
    <w:p>
      <w:pPr>
        <w:spacing w:after="120" w:line="560" w:lineRule="exact"/>
        <w:jc w:val="center"/>
        <w:rPr>
          <w:rFonts w:hint="eastAsia" w:ascii="宋体" w:hAnsi="宋体" w:eastAsia="宋体" w:cs="宋体"/>
          <w:b/>
          <w:sz w:val="32"/>
          <w:szCs w:val="32"/>
        </w:rPr>
      </w:pPr>
    </w:p>
    <w:p>
      <w:pPr>
        <w:spacing w:after="120" w:line="560" w:lineRule="exact"/>
        <w:jc w:val="center"/>
        <w:rPr>
          <w:rFonts w:hint="eastAsia" w:ascii="宋体" w:hAnsi="宋体" w:eastAsia="宋体" w:cs="宋体"/>
          <w:b/>
          <w:sz w:val="32"/>
          <w:szCs w:val="32"/>
        </w:rPr>
      </w:pPr>
    </w:p>
    <w:p>
      <w:pPr>
        <w:spacing w:line="560" w:lineRule="exact"/>
        <w:jc w:val="center"/>
        <w:rPr>
          <w:rFonts w:hint="eastAsia" w:ascii="宋体" w:hAnsi="宋体" w:eastAsia="宋体" w:cs="宋体"/>
          <w:b/>
          <w:sz w:val="36"/>
          <w:szCs w:val="36"/>
        </w:rPr>
      </w:pPr>
    </w:p>
    <w:p>
      <w:pPr>
        <w:spacing w:line="560" w:lineRule="exact"/>
        <w:jc w:val="center"/>
        <w:rPr>
          <w:rFonts w:hint="eastAsia" w:ascii="宋体" w:hAnsi="宋体" w:eastAsia="宋体" w:cs="宋体"/>
          <w:b/>
          <w:sz w:val="36"/>
          <w:szCs w:val="36"/>
        </w:rPr>
      </w:pPr>
    </w:p>
    <w:p>
      <w:pPr>
        <w:spacing w:line="560" w:lineRule="exact"/>
        <w:jc w:val="center"/>
        <w:rPr>
          <w:rFonts w:hint="eastAsia" w:ascii="宋体" w:hAnsi="宋体" w:eastAsia="宋体" w:cs="宋体"/>
          <w:b/>
          <w:sz w:val="36"/>
          <w:szCs w:val="36"/>
        </w:rPr>
      </w:pPr>
    </w:p>
    <w:p>
      <w:pPr>
        <w:spacing w:line="560" w:lineRule="exact"/>
        <w:jc w:val="center"/>
        <w:rPr>
          <w:rFonts w:hint="eastAsia" w:ascii="宋体" w:hAnsi="宋体" w:eastAsia="宋体" w:cs="宋体"/>
          <w:b/>
          <w:sz w:val="36"/>
          <w:szCs w:val="36"/>
        </w:rPr>
      </w:pPr>
    </w:p>
    <w:p>
      <w:pPr>
        <w:spacing w:line="560" w:lineRule="exact"/>
        <w:jc w:val="center"/>
        <w:rPr>
          <w:rFonts w:hint="eastAsia" w:ascii="宋体" w:hAnsi="宋体" w:eastAsia="宋体" w:cs="宋体"/>
          <w:b/>
          <w:sz w:val="36"/>
          <w:szCs w:val="36"/>
        </w:rPr>
      </w:pPr>
    </w:p>
    <w:p>
      <w:pPr>
        <w:spacing w:line="560" w:lineRule="exact"/>
        <w:jc w:val="center"/>
        <w:rPr>
          <w:rFonts w:hint="eastAsia" w:ascii="宋体" w:hAnsi="宋体" w:eastAsia="宋体" w:cs="宋体"/>
          <w:b/>
          <w:sz w:val="36"/>
          <w:szCs w:val="36"/>
        </w:rPr>
      </w:pPr>
    </w:p>
    <w:p>
      <w:pPr>
        <w:ind w:firstLine="1205" w:firstLineChars="400"/>
        <w:rPr>
          <w:rFonts w:hint="eastAsia" w:ascii="宋体" w:hAnsi="宋体" w:eastAsia="宋体" w:cs="宋体"/>
          <w:b/>
          <w:bCs/>
          <w:sz w:val="30"/>
          <w:szCs w:val="30"/>
          <w:lang w:eastAsia="zh-CN"/>
        </w:rPr>
      </w:pPr>
      <w:r>
        <w:rPr>
          <w:rFonts w:hint="eastAsia" w:ascii="宋体" w:hAnsi="宋体" w:eastAsia="宋体" w:cs="宋体"/>
          <w:b/>
          <w:bCs/>
          <w:sz w:val="30"/>
          <w:szCs w:val="30"/>
        </w:rPr>
        <w:t>采 购 人：</w:t>
      </w:r>
      <w:r>
        <w:rPr>
          <w:rFonts w:hint="eastAsia" w:ascii="宋体" w:hAnsi="宋体" w:eastAsia="宋体" w:cs="宋体"/>
          <w:b/>
          <w:bCs/>
          <w:sz w:val="30"/>
          <w:szCs w:val="30"/>
          <w:lang w:eastAsia="zh-CN"/>
        </w:rPr>
        <w:t>象山县中医医院医疗健康集团</w:t>
      </w:r>
    </w:p>
    <w:p>
      <w:pPr>
        <w:pStyle w:val="68"/>
        <w:rPr>
          <w:rFonts w:hint="eastAsia" w:ascii="宋体" w:hAnsi="宋体" w:eastAsia="宋体" w:cs="宋体"/>
          <w:lang w:eastAsia="zh-CN"/>
        </w:rPr>
      </w:pPr>
    </w:p>
    <w:p>
      <w:pPr>
        <w:ind w:firstLine="1205" w:firstLineChars="400"/>
        <w:rPr>
          <w:rFonts w:hint="eastAsia" w:ascii="宋体" w:hAnsi="宋体" w:eastAsia="宋体" w:cs="宋体"/>
          <w:b/>
          <w:bCs/>
          <w:sz w:val="30"/>
          <w:szCs w:val="30"/>
        </w:rPr>
      </w:pPr>
      <w:r>
        <w:rPr>
          <w:rFonts w:hint="eastAsia" w:ascii="宋体" w:hAnsi="宋体" w:eastAsia="宋体" w:cs="宋体"/>
          <w:b/>
          <w:bCs/>
          <w:sz w:val="30"/>
          <w:szCs w:val="30"/>
        </w:rPr>
        <w:t>招标代理：浙江凯翔工程咨询管理有限公司</w:t>
      </w:r>
    </w:p>
    <w:p>
      <w:pPr>
        <w:spacing w:line="560" w:lineRule="exact"/>
        <w:rPr>
          <w:rFonts w:hint="eastAsia" w:ascii="宋体" w:hAnsi="宋体" w:eastAsia="宋体" w:cs="宋体"/>
          <w:b/>
          <w:sz w:val="24"/>
        </w:rPr>
      </w:pPr>
    </w:p>
    <w:p>
      <w:pPr>
        <w:spacing w:line="560" w:lineRule="exact"/>
        <w:jc w:val="center"/>
        <w:rPr>
          <w:rFonts w:hint="eastAsia" w:ascii="宋体" w:hAnsi="宋体" w:eastAsia="宋体" w:cs="宋体"/>
          <w:b/>
          <w:sz w:val="30"/>
          <w:szCs w:val="30"/>
        </w:rPr>
        <w:sectPr>
          <w:headerReference r:id="rId5" w:type="first"/>
          <w:headerReference r:id="rId3" w:type="default"/>
          <w:footerReference r:id="rId6" w:type="default"/>
          <w:headerReference r:id="rId4" w:type="even"/>
          <w:footerReference r:id="rId7" w:type="even"/>
          <w:pgSz w:w="11907" w:h="16840"/>
          <w:pgMar w:top="1134" w:right="1474" w:bottom="1134" w:left="1474" w:header="1134" w:footer="1134" w:gutter="0"/>
          <w:pgBorders w:offsetFrom="page">
            <w:top w:val="none" w:sz="0" w:space="0"/>
            <w:left w:val="none" w:sz="0" w:space="0"/>
            <w:bottom w:val="none" w:sz="0" w:space="0"/>
            <w:right w:val="none" w:sz="0" w:space="0"/>
          </w:pgBorders>
          <w:pgNumType w:start="1"/>
          <w:cols w:space="720" w:num="1"/>
          <w:docGrid w:linePitch="285" w:charSpace="0"/>
        </w:sectPr>
      </w:pPr>
      <w:r>
        <w:rPr>
          <w:rFonts w:hint="eastAsia" w:ascii="宋体" w:hAnsi="宋体" w:eastAsia="宋体" w:cs="宋体"/>
          <w:b/>
          <w:sz w:val="30"/>
          <w:szCs w:val="30"/>
        </w:rPr>
        <w:t>二〇二</w:t>
      </w:r>
      <w:r>
        <w:rPr>
          <w:rFonts w:hint="eastAsia" w:ascii="宋体" w:hAnsi="宋体" w:eastAsia="宋体" w:cs="宋体"/>
          <w:b/>
          <w:sz w:val="30"/>
          <w:szCs w:val="30"/>
          <w:lang w:val="en-US" w:eastAsia="zh-CN"/>
        </w:rPr>
        <w:t>三</w:t>
      </w:r>
      <w:r>
        <w:rPr>
          <w:rFonts w:hint="eastAsia" w:ascii="宋体" w:hAnsi="宋体" w:eastAsia="宋体" w:cs="宋体"/>
          <w:b/>
          <w:sz w:val="30"/>
          <w:szCs w:val="30"/>
        </w:rPr>
        <w:t>年</w:t>
      </w:r>
      <w:r>
        <w:rPr>
          <w:rFonts w:hint="eastAsia" w:ascii="宋体" w:hAnsi="宋体" w:eastAsia="宋体" w:cs="宋体"/>
          <w:b/>
          <w:sz w:val="30"/>
          <w:szCs w:val="30"/>
          <w:lang w:val="en-US" w:eastAsia="zh-CN"/>
        </w:rPr>
        <w:t>十</w:t>
      </w:r>
      <w:r>
        <w:rPr>
          <w:rFonts w:hint="eastAsia" w:ascii="宋体" w:hAnsi="宋体" w:cs="宋体"/>
          <w:b/>
          <w:sz w:val="30"/>
          <w:szCs w:val="30"/>
          <w:lang w:val="en-US" w:eastAsia="zh-CN"/>
        </w:rPr>
        <w:t>二</w:t>
      </w:r>
      <w:r>
        <w:rPr>
          <w:rFonts w:hint="eastAsia" w:ascii="宋体" w:hAnsi="宋体" w:eastAsia="宋体" w:cs="宋体"/>
          <w:b/>
          <w:sz w:val="30"/>
          <w:szCs w:val="30"/>
        </w:rPr>
        <w:t>月</w:t>
      </w:r>
    </w:p>
    <w:p>
      <w:pPr>
        <w:spacing w:line="360" w:lineRule="auto"/>
        <w:jc w:val="center"/>
        <w:rPr>
          <w:rFonts w:hint="eastAsia" w:ascii="宋体" w:hAnsi="宋体" w:eastAsia="宋体" w:cs="宋体"/>
          <w:sz w:val="28"/>
          <w:szCs w:val="28"/>
        </w:rPr>
      </w:pPr>
      <w:r>
        <w:rPr>
          <w:rFonts w:hint="eastAsia" w:ascii="宋体" w:hAnsi="宋体" w:eastAsia="宋体" w:cs="宋体"/>
          <w:b/>
          <w:bCs/>
          <w:sz w:val="48"/>
          <w:szCs w:val="48"/>
        </w:rPr>
        <w:t>目    录</w:t>
      </w:r>
    </w:p>
    <w:p>
      <w:pPr>
        <w:pStyle w:val="84"/>
        <w:spacing w:line="360" w:lineRule="auto"/>
        <w:ind w:firstLine="0" w:firstLineChars="0"/>
        <w:rPr>
          <w:rFonts w:hint="eastAsia" w:ascii="宋体" w:hAnsi="宋体" w:eastAsia="宋体" w:cs="宋体"/>
          <w:sz w:val="24"/>
          <w:szCs w:val="24"/>
        </w:rPr>
      </w:pPr>
      <w:bookmarkStart w:id="0" w:name="_Toc132730015"/>
      <w:bookmarkEnd w:id="0"/>
      <w:r>
        <w:rPr>
          <w:rFonts w:hint="eastAsia" w:ascii="宋体" w:hAnsi="宋体" w:eastAsia="宋体" w:cs="宋体"/>
          <w:sz w:val="24"/>
          <w:szCs w:val="24"/>
        </w:rPr>
        <w:t xml:space="preserve"> </w:t>
      </w:r>
    </w:p>
    <w:p>
      <w:pPr>
        <w:pStyle w:val="19"/>
        <w:tabs>
          <w:tab w:val="right" w:leader="dot" w:pos="9646"/>
        </w:tabs>
        <w:spacing w:before="142" w:after="285"/>
        <w:ind w:firstLine="0" w:firstLineChars="0"/>
        <w:rPr>
          <w:rStyle w:val="38"/>
          <w:rFonts w:hint="eastAsia" w:ascii="宋体" w:hAnsi="宋体" w:eastAsia="宋体" w:cs="宋体"/>
          <w:color w:val="auto"/>
          <w:sz w:val="28"/>
          <w:szCs w:val="28"/>
        </w:rPr>
      </w:pPr>
      <w:bookmarkStart w:id="1" w:name="_Toc10225_WPSOffice_Type1"/>
      <w:bookmarkEnd w:id="1"/>
      <w:r>
        <w:rPr>
          <w:rFonts w:hint="eastAsia" w:ascii="宋体" w:hAnsi="宋体" w:eastAsia="宋体" w:cs="宋体"/>
          <w:sz w:val="28"/>
          <w:szCs w:val="28"/>
        </w:rPr>
        <w:fldChar w:fldCharType="begin"/>
      </w:r>
      <w:r>
        <w:rPr>
          <w:rStyle w:val="38"/>
          <w:rFonts w:hint="eastAsia" w:ascii="宋体" w:hAnsi="宋体" w:eastAsia="宋体" w:cs="宋体"/>
          <w:color w:val="auto"/>
          <w:sz w:val="28"/>
          <w:szCs w:val="28"/>
        </w:rPr>
        <w:instrText xml:space="preserve"> TOC \o "1-3" \h \z \u </w:instrText>
      </w:r>
      <w:r>
        <w:rPr>
          <w:rFonts w:hint="eastAsia" w:ascii="宋体" w:hAnsi="宋体" w:eastAsia="宋体" w:cs="宋体"/>
          <w:sz w:val="28"/>
          <w:szCs w:val="28"/>
        </w:rPr>
        <w:fldChar w:fldCharType="separate"/>
      </w:r>
      <w:r>
        <w:rPr>
          <w:rFonts w:hint="eastAsia" w:ascii="宋体" w:hAnsi="宋体" w:eastAsia="宋体" w:cs="宋体"/>
          <w:sz w:val="28"/>
          <w:szCs w:val="28"/>
        </w:rPr>
        <w:fldChar w:fldCharType="begin"/>
      </w:r>
      <w:r>
        <w:rPr>
          <w:rStyle w:val="38"/>
          <w:rFonts w:hint="eastAsia" w:ascii="宋体" w:hAnsi="宋体" w:eastAsia="宋体" w:cs="宋体"/>
          <w:color w:val="auto"/>
          <w:sz w:val="28"/>
          <w:szCs w:val="28"/>
        </w:rPr>
        <w:instrText xml:space="preserve"> HYPERLINK \l "_Toc486867960" </w:instrText>
      </w:r>
      <w:r>
        <w:rPr>
          <w:rFonts w:hint="eastAsia" w:ascii="宋体" w:hAnsi="宋体" w:eastAsia="宋体" w:cs="宋体"/>
          <w:sz w:val="28"/>
          <w:szCs w:val="28"/>
        </w:rPr>
        <w:fldChar w:fldCharType="separate"/>
      </w:r>
      <w:r>
        <w:rPr>
          <w:rStyle w:val="38"/>
          <w:rFonts w:hint="eastAsia" w:ascii="宋体" w:hAnsi="宋体" w:eastAsia="宋体" w:cs="宋体"/>
          <w:color w:val="auto"/>
          <w:sz w:val="28"/>
          <w:szCs w:val="28"/>
        </w:rPr>
        <w:t>第一章  采购公告</w:t>
      </w:r>
      <w:r>
        <w:rPr>
          <w:rStyle w:val="38"/>
          <w:rFonts w:hint="eastAsia" w:ascii="宋体" w:hAnsi="宋体" w:cs="宋体"/>
          <w:color w:val="auto"/>
          <w:sz w:val="28"/>
          <w:szCs w:val="28"/>
          <w:lang w:eastAsia="zh-CN"/>
        </w:rPr>
        <w:t>（</w:t>
      </w:r>
      <w:r>
        <w:rPr>
          <w:rStyle w:val="38"/>
          <w:rFonts w:hint="eastAsia" w:ascii="宋体" w:hAnsi="宋体" w:cs="宋体"/>
          <w:color w:val="auto"/>
          <w:sz w:val="28"/>
          <w:szCs w:val="28"/>
          <w:lang w:val="en-US" w:eastAsia="zh-CN"/>
        </w:rPr>
        <w:t>重发</w:t>
      </w:r>
      <w:r>
        <w:rPr>
          <w:rStyle w:val="38"/>
          <w:rFonts w:hint="eastAsia" w:ascii="宋体" w:hAnsi="宋体" w:cs="宋体"/>
          <w:color w:val="auto"/>
          <w:sz w:val="28"/>
          <w:szCs w:val="28"/>
          <w:lang w:eastAsia="zh-CN"/>
        </w:rPr>
        <w:t>）</w:t>
      </w:r>
      <w:r>
        <w:rPr>
          <w:rFonts w:hint="eastAsia" w:ascii="宋体" w:hAnsi="宋体" w:eastAsia="宋体" w:cs="宋体"/>
          <w:sz w:val="28"/>
          <w:szCs w:val="28"/>
        </w:rPr>
        <w:t>…………………………………………</w:t>
      </w:r>
      <w:r>
        <w:rPr>
          <w:rStyle w:val="38"/>
          <w:rFonts w:hint="eastAsia" w:ascii="宋体" w:hAnsi="宋体" w:eastAsia="宋体" w:cs="宋体"/>
          <w:color w:val="auto"/>
          <w:sz w:val="28"/>
          <w:szCs w:val="28"/>
        </w:rPr>
        <w:t>3</w:t>
      </w:r>
      <w:r>
        <w:rPr>
          <w:rFonts w:hint="eastAsia" w:ascii="宋体" w:hAnsi="宋体" w:eastAsia="宋体" w:cs="宋体"/>
          <w:sz w:val="28"/>
          <w:szCs w:val="28"/>
        </w:rPr>
        <w:fldChar w:fldCharType="end"/>
      </w:r>
    </w:p>
    <w:p>
      <w:pPr>
        <w:pStyle w:val="19"/>
        <w:tabs>
          <w:tab w:val="right" w:leader="dot" w:pos="9646"/>
        </w:tabs>
        <w:spacing w:before="142" w:after="285"/>
        <w:ind w:firstLine="0" w:firstLineChars="0"/>
        <w:rPr>
          <w:rStyle w:val="38"/>
          <w:rFonts w:hint="eastAsia" w:ascii="宋体" w:hAnsi="宋体" w:eastAsia="宋体" w:cs="宋体"/>
          <w:color w:val="auto"/>
          <w:sz w:val="28"/>
          <w:szCs w:val="28"/>
        </w:rPr>
      </w:pPr>
      <w:r>
        <w:rPr>
          <w:rFonts w:hint="eastAsia" w:ascii="宋体" w:hAnsi="宋体" w:eastAsia="宋体" w:cs="宋体"/>
          <w:sz w:val="28"/>
          <w:szCs w:val="28"/>
        </w:rPr>
        <w:fldChar w:fldCharType="begin"/>
      </w:r>
      <w:r>
        <w:rPr>
          <w:rStyle w:val="38"/>
          <w:rFonts w:hint="eastAsia" w:ascii="宋体" w:hAnsi="宋体" w:eastAsia="宋体" w:cs="宋体"/>
          <w:color w:val="auto"/>
          <w:sz w:val="28"/>
          <w:szCs w:val="28"/>
        </w:rPr>
        <w:instrText xml:space="preserve"> HYPERLINK \l "_Toc486867961" </w:instrText>
      </w:r>
      <w:r>
        <w:rPr>
          <w:rFonts w:hint="eastAsia" w:ascii="宋体" w:hAnsi="宋体" w:eastAsia="宋体" w:cs="宋体"/>
          <w:sz w:val="28"/>
          <w:szCs w:val="28"/>
        </w:rPr>
        <w:fldChar w:fldCharType="separate"/>
      </w:r>
      <w:r>
        <w:rPr>
          <w:rStyle w:val="38"/>
          <w:rFonts w:hint="eastAsia" w:ascii="宋体" w:hAnsi="宋体" w:eastAsia="宋体" w:cs="宋体"/>
          <w:color w:val="auto"/>
          <w:sz w:val="28"/>
          <w:szCs w:val="28"/>
        </w:rPr>
        <w:t>第二章  采购需求</w:t>
      </w:r>
      <w:r>
        <w:rPr>
          <w:rFonts w:hint="eastAsia" w:ascii="宋体" w:hAnsi="宋体" w:eastAsia="宋体" w:cs="宋体"/>
          <w:sz w:val="28"/>
          <w:szCs w:val="28"/>
        </w:rPr>
        <w:t>……………………………………………………</w:t>
      </w:r>
      <w:r>
        <w:rPr>
          <w:rStyle w:val="38"/>
          <w:rFonts w:hint="eastAsia" w:ascii="宋体" w:hAnsi="宋体" w:eastAsia="宋体" w:cs="宋体"/>
          <w:color w:val="auto"/>
          <w:sz w:val="28"/>
          <w:szCs w:val="28"/>
          <w:lang w:val="en-US" w:eastAsia="zh-CN"/>
        </w:rPr>
        <w:t>6</w:t>
      </w:r>
      <w:r>
        <w:rPr>
          <w:rFonts w:hint="eastAsia" w:ascii="宋体" w:hAnsi="宋体" w:eastAsia="宋体" w:cs="宋体"/>
          <w:sz w:val="28"/>
          <w:szCs w:val="28"/>
        </w:rPr>
        <w:fldChar w:fldCharType="end"/>
      </w:r>
    </w:p>
    <w:p>
      <w:pPr>
        <w:pStyle w:val="19"/>
        <w:tabs>
          <w:tab w:val="right" w:leader="dot" w:pos="9646"/>
        </w:tabs>
        <w:spacing w:before="142" w:after="285"/>
        <w:ind w:firstLine="0" w:firstLineChars="0"/>
        <w:rPr>
          <w:rStyle w:val="38"/>
          <w:rFonts w:hint="eastAsia" w:ascii="宋体" w:hAnsi="宋体" w:eastAsia="宋体" w:cs="宋体"/>
          <w:color w:val="auto"/>
          <w:sz w:val="28"/>
          <w:szCs w:val="28"/>
          <w:lang w:val="en-US" w:eastAsia="zh-CN"/>
        </w:rPr>
      </w:pPr>
      <w:r>
        <w:rPr>
          <w:rFonts w:hint="eastAsia" w:ascii="宋体" w:hAnsi="宋体" w:eastAsia="宋体" w:cs="宋体"/>
          <w:sz w:val="28"/>
          <w:szCs w:val="28"/>
        </w:rPr>
        <w:fldChar w:fldCharType="begin"/>
      </w:r>
      <w:r>
        <w:rPr>
          <w:rStyle w:val="38"/>
          <w:rFonts w:hint="eastAsia" w:ascii="宋体" w:hAnsi="宋体" w:eastAsia="宋体" w:cs="宋体"/>
          <w:color w:val="auto"/>
          <w:sz w:val="28"/>
          <w:szCs w:val="28"/>
        </w:rPr>
        <w:instrText xml:space="preserve"> HYPERLINK \l "_Toc486867962" </w:instrText>
      </w:r>
      <w:r>
        <w:rPr>
          <w:rFonts w:hint="eastAsia" w:ascii="宋体" w:hAnsi="宋体" w:eastAsia="宋体" w:cs="宋体"/>
          <w:sz w:val="28"/>
          <w:szCs w:val="28"/>
        </w:rPr>
        <w:fldChar w:fldCharType="separate"/>
      </w:r>
      <w:r>
        <w:rPr>
          <w:rStyle w:val="38"/>
          <w:rFonts w:hint="eastAsia" w:ascii="宋体" w:hAnsi="宋体" w:eastAsia="宋体" w:cs="宋体"/>
          <w:color w:val="auto"/>
          <w:sz w:val="28"/>
          <w:szCs w:val="28"/>
        </w:rPr>
        <w:t>第三章  供应商须知</w:t>
      </w:r>
      <w:r>
        <w:rPr>
          <w:rFonts w:hint="eastAsia" w:ascii="宋体" w:hAnsi="宋体" w:eastAsia="宋体" w:cs="宋体"/>
          <w:sz w:val="28"/>
          <w:szCs w:val="28"/>
        </w:rPr>
        <w:t>…………………………………………………</w:t>
      </w:r>
      <w:r>
        <w:rPr>
          <w:rStyle w:val="38"/>
          <w:rFonts w:hint="eastAsia" w:ascii="宋体" w:hAnsi="宋体" w:eastAsia="宋体" w:cs="宋体"/>
          <w:color w:val="auto"/>
          <w:sz w:val="28"/>
          <w:szCs w:val="28"/>
          <w:lang w:val="en-US" w:eastAsia="zh-CN"/>
        </w:rPr>
        <w:t>1</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7</w:t>
      </w:r>
    </w:p>
    <w:p>
      <w:pPr>
        <w:pStyle w:val="19"/>
        <w:tabs>
          <w:tab w:val="right" w:leader="dot" w:pos="9646"/>
        </w:tabs>
        <w:spacing w:before="142" w:after="285"/>
        <w:ind w:firstLine="0" w:firstLineChars="0"/>
        <w:rPr>
          <w:rStyle w:val="38"/>
          <w:rFonts w:hint="eastAsia" w:ascii="宋体" w:hAnsi="宋体" w:eastAsia="宋体" w:cs="宋体"/>
          <w:color w:val="auto"/>
          <w:sz w:val="28"/>
          <w:szCs w:val="28"/>
          <w:lang w:eastAsia="zh-CN"/>
        </w:rPr>
      </w:pPr>
      <w:r>
        <w:rPr>
          <w:rFonts w:hint="eastAsia" w:ascii="宋体" w:hAnsi="宋体" w:eastAsia="宋体" w:cs="宋体"/>
          <w:sz w:val="28"/>
          <w:szCs w:val="28"/>
        </w:rPr>
        <w:fldChar w:fldCharType="begin"/>
      </w:r>
      <w:r>
        <w:rPr>
          <w:rStyle w:val="38"/>
          <w:rFonts w:hint="eastAsia" w:ascii="宋体" w:hAnsi="宋体" w:eastAsia="宋体" w:cs="宋体"/>
          <w:color w:val="auto"/>
          <w:sz w:val="28"/>
          <w:szCs w:val="28"/>
        </w:rPr>
        <w:instrText xml:space="preserve"> HYPERLINK \l "_Toc486867992" </w:instrText>
      </w:r>
      <w:r>
        <w:rPr>
          <w:rFonts w:hint="eastAsia" w:ascii="宋体" w:hAnsi="宋体" w:eastAsia="宋体" w:cs="宋体"/>
          <w:sz w:val="28"/>
          <w:szCs w:val="28"/>
        </w:rPr>
        <w:fldChar w:fldCharType="separate"/>
      </w:r>
      <w:r>
        <w:rPr>
          <w:rStyle w:val="38"/>
          <w:rFonts w:hint="eastAsia" w:ascii="宋体" w:hAnsi="宋体" w:eastAsia="宋体" w:cs="宋体"/>
          <w:color w:val="auto"/>
          <w:sz w:val="28"/>
          <w:szCs w:val="28"/>
        </w:rPr>
        <w:t>第四章  评标办法及标准</w:t>
      </w:r>
      <w:r>
        <w:rPr>
          <w:rFonts w:hint="eastAsia" w:ascii="宋体" w:hAnsi="宋体" w:eastAsia="宋体" w:cs="宋体"/>
          <w:sz w:val="28"/>
          <w:szCs w:val="28"/>
        </w:rPr>
        <w:t>……………………………………………</w:t>
      </w:r>
      <w:r>
        <w:rPr>
          <w:rStyle w:val="38"/>
          <w:rFonts w:hint="eastAsia" w:ascii="宋体" w:hAnsi="宋体" w:eastAsia="宋体" w:cs="宋体"/>
          <w:color w:val="auto"/>
          <w:sz w:val="28"/>
          <w:szCs w:val="28"/>
          <w:lang w:val="en-US" w:eastAsia="zh-CN"/>
        </w:rPr>
        <w:t>3</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0</w:t>
      </w:r>
    </w:p>
    <w:p>
      <w:pPr>
        <w:pStyle w:val="19"/>
        <w:tabs>
          <w:tab w:val="right" w:leader="dot" w:pos="9646"/>
        </w:tabs>
        <w:spacing w:before="142" w:after="285"/>
        <w:ind w:firstLine="0" w:firstLineChars="0"/>
        <w:rPr>
          <w:rStyle w:val="38"/>
          <w:rFonts w:hint="eastAsia" w:ascii="宋体" w:hAnsi="宋体" w:eastAsia="宋体" w:cs="宋体"/>
          <w:color w:val="auto"/>
          <w:sz w:val="28"/>
          <w:szCs w:val="28"/>
          <w:lang w:eastAsia="zh-CN"/>
        </w:rPr>
      </w:pPr>
      <w:r>
        <w:rPr>
          <w:rFonts w:hint="eastAsia" w:ascii="宋体" w:hAnsi="宋体" w:eastAsia="宋体" w:cs="宋体"/>
          <w:sz w:val="28"/>
          <w:szCs w:val="28"/>
        </w:rPr>
        <w:fldChar w:fldCharType="begin"/>
      </w:r>
      <w:r>
        <w:rPr>
          <w:rStyle w:val="38"/>
          <w:rFonts w:hint="eastAsia" w:ascii="宋体" w:hAnsi="宋体" w:eastAsia="宋体" w:cs="宋体"/>
          <w:color w:val="auto"/>
          <w:sz w:val="28"/>
          <w:szCs w:val="28"/>
        </w:rPr>
        <w:instrText xml:space="preserve"> HYPERLINK \l "_Toc486867993" </w:instrText>
      </w:r>
      <w:r>
        <w:rPr>
          <w:rFonts w:hint="eastAsia" w:ascii="宋体" w:hAnsi="宋体" w:eastAsia="宋体" w:cs="宋体"/>
          <w:sz w:val="28"/>
          <w:szCs w:val="28"/>
        </w:rPr>
        <w:fldChar w:fldCharType="separate"/>
      </w:r>
      <w:r>
        <w:rPr>
          <w:rStyle w:val="38"/>
          <w:rFonts w:hint="eastAsia" w:ascii="宋体" w:hAnsi="宋体" w:eastAsia="宋体" w:cs="宋体"/>
          <w:color w:val="auto"/>
          <w:sz w:val="28"/>
          <w:szCs w:val="28"/>
        </w:rPr>
        <w:t>第五章  合同主要条款</w:t>
      </w:r>
      <w:r>
        <w:rPr>
          <w:rFonts w:hint="eastAsia" w:ascii="宋体" w:hAnsi="宋体" w:eastAsia="宋体" w:cs="宋体"/>
          <w:sz w:val="28"/>
          <w:szCs w:val="28"/>
        </w:rPr>
        <w:t>………………………………………………</w:t>
      </w:r>
      <w:r>
        <w:rPr>
          <w:rStyle w:val="38"/>
          <w:rFonts w:hint="eastAsia" w:ascii="宋体" w:hAnsi="宋体" w:eastAsia="宋体" w:cs="宋体"/>
          <w:color w:val="auto"/>
          <w:sz w:val="28"/>
          <w:szCs w:val="28"/>
          <w:lang w:val="en-US" w:eastAsia="zh-CN"/>
        </w:rPr>
        <w:t>3</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9</w:t>
      </w:r>
    </w:p>
    <w:p>
      <w:pPr>
        <w:pStyle w:val="19"/>
        <w:tabs>
          <w:tab w:val="right" w:leader="dot" w:pos="9646"/>
        </w:tabs>
        <w:spacing w:before="142" w:after="285"/>
        <w:ind w:firstLine="0" w:firstLineChars="0"/>
        <w:rPr>
          <w:rStyle w:val="38"/>
          <w:rFonts w:hint="eastAsia" w:ascii="宋体" w:hAnsi="宋体" w:eastAsia="宋体" w:cs="宋体"/>
          <w:color w:val="auto"/>
          <w:sz w:val="28"/>
          <w:szCs w:val="28"/>
          <w:lang w:eastAsia="zh-CN"/>
        </w:rPr>
      </w:pPr>
      <w:r>
        <w:rPr>
          <w:rFonts w:hint="eastAsia" w:ascii="宋体" w:hAnsi="宋体" w:eastAsia="宋体" w:cs="宋体"/>
          <w:sz w:val="28"/>
          <w:szCs w:val="28"/>
        </w:rPr>
        <w:fldChar w:fldCharType="begin"/>
      </w:r>
      <w:r>
        <w:rPr>
          <w:rStyle w:val="38"/>
          <w:rFonts w:hint="eastAsia" w:ascii="宋体" w:hAnsi="宋体" w:eastAsia="宋体" w:cs="宋体"/>
          <w:color w:val="auto"/>
          <w:sz w:val="28"/>
          <w:szCs w:val="28"/>
        </w:rPr>
        <w:instrText xml:space="preserve"> HYPERLINK \l "_Toc486867994" </w:instrText>
      </w:r>
      <w:r>
        <w:rPr>
          <w:rFonts w:hint="eastAsia" w:ascii="宋体" w:hAnsi="宋体" w:eastAsia="宋体" w:cs="宋体"/>
          <w:sz w:val="28"/>
          <w:szCs w:val="28"/>
        </w:rPr>
        <w:fldChar w:fldCharType="separate"/>
      </w:r>
      <w:r>
        <w:rPr>
          <w:rStyle w:val="38"/>
          <w:rFonts w:hint="eastAsia" w:ascii="宋体" w:hAnsi="宋体" w:eastAsia="宋体" w:cs="宋体"/>
          <w:color w:val="auto"/>
          <w:sz w:val="28"/>
          <w:szCs w:val="28"/>
        </w:rPr>
        <w:t>第六章  投标文件格式</w:t>
      </w:r>
      <w:r>
        <w:rPr>
          <w:rFonts w:hint="eastAsia" w:ascii="宋体" w:hAnsi="宋体" w:eastAsia="宋体" w:cs="宋体"/>
          <w:sz w:val="28"/>
          <w:szCs w:val="28"/>
        </w:rPr>
        <w:t>………………………………………………</w:t>
      </w:r>
      <w:r>
        <w:rPr>
          <w:rFonts w:hint="eastAsia" w:ascii="宋体" w:hAnsi="宋体" w:eastAsia="宋体" w:cs="宋体"/>
          <w:sz w:val="28"/>
          <w:szCs w:val="28"/>
          <w:lang w:val="en-US" w:eastAsia="zh-CN"/>
        </w:rPr>
        <w:t>4</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3</w:t>
      </w:r>
    </w:p>
    <w:p>
      <w:pPr>
        <w:widowControl/>
        <w:spacing w:line="720" w:lineRule="auto"/>
        <w:jc w:val="left"/>
        <w:rPr>
          <w:rFonts w:hint="eastAsia" w:ascii="宋体" w:hAnsi="宋体" w:eastAsia="宋体" w:cs="宋体"/>
          <w:b/>
          <w:bCs/>
          <w:sz w:val="30"/>
          <w:szCs w:val="30"/>
        </w:rPr>
        <w:sectPr>
          <w:headerReference r:id="rId10" w:type="first"/>
          <w:footerReference r:id="rId13" w:type="first"/>
          <w:headerReference r:id="rId8" w:type="default"/>
          <w:footerReference r:id="rId11" w:type="default"/>
          <w:headerReference r:id="rId9" w:type="even"/>
          <w:footerReference r:id="rId12" w:type="even"/>
          <w:pgSz w:w="11907" w:h="16840"/>
          <w:pgMar w:top="1134" w:right="1474" w:bottom="1134" w:left="1474" w:header="1134" w:footer="1134" w:gutter="0"/>
          <w:pgBorders w:offsetFrom="page">
            <w:top w:val="none" w:sz="0" w:space="0"/>
            <w:left w:val="none" w:sz="0" w:space="0"/>
            <w:bottom w:val="none" w:sz="0" w:space="0"/>
            <w:right w:val="none" w:sz="0" w:space="0"/>
          </w:pgBorders>
          <w:cols w:space="720" w:num="1"/>
          <w:docGrid w:type="lines" w:linePitch="285" w:charSpace="0"/>
        </w:sectPr>
      </w:pPr>
      <w:r>
        <w:rPr>
          <w:rFonts w:hint="eastAsia" w:ascii="宋体" w:hAnsi="宋体" w:eastAsia="宋体" w:cs="宋体"/>
          <w:sz w:val="28"/>
          <w:szCs w:val="28"/>
        </w:rPr>
        <w:fldChar w:fldCharType="end"/>
      </w:r>
    </w:p>
    <w:p>
      <w:pPr>
        <w:spacing w:line="440" w:lineRule="exact"/>
        <w:jc w:val="center"/>
        <w:outlineLvl w:val="0"/>
        <w:rPr>
          <w:rStyle w:val="48"/>
          <w:rFonts w:hint="eastAsia" w:ascii="宋体" w:hAnsi="宋体" w:eastAsia="宋体" w:cs="宋体"/>
          <w:sz w:val="30"/>
          <w:szCs w:val="30"/>
          <w:lang w:eastAsia="zh-CN"/>
        </w:rPr>
      </w:pPr>
      <w:r>
        <w:rPr>
          <w:rFonts w:hint="eastAsia" w:ascii="宋体" w:hAnsi="宋体" w:eastAsia="宋体" w:cs="宋体"/>
          <w:b/>
          <w:bCs/>
          <w:sz w:val="30"/>
          <w:szCs w:val="30"/>
        </w:rPr>
        <w:t>第一章   采购公告</w:t>
      </w:r>
      <w:r>
        <w:rPr>
          <w:rFonts w:hint="eastAsia" w:ascii="宋体" w:hAnsi="宋体" w:cs="宋体"/>
          <w:b/>
          <w:bCs/>
          <w:sz w:val="30"/>
          <w:szCs w:val="30"/>
          <w:lang w:eastAsia="zh-CN"/>
        </w:rPr>
        <w:t>（</w:t>
      </w:r>
      <w:r>
        <w:rPr>
          <w:rFonts w:hint="eastAsia" w:ascii="宋体" w:hAnsi="宋体" w:cs="宋体"/>
          <w:b/>
          <w:bCs/>
          <w:sz w:val="30"/>
          <w:szCs w:val="30"/>
          <w:lang w:val="en-US" w:eastAsia="zh-CN"/>
        </w:rPr>
        <w:t>重发</w:t>
      </w:r>
      <w:bookmarkStart w:id="63" w:name="_GoBack"/>
      <w:bookmarkEnd w:id="63"/>
      <w:r>
        <w:rPr>
          <w:rFonts w:hint="eastAsia" w:ascii="宋体" w:hAnsi="宋体" w:cs="宋体"/>
          <w:b/>
          <w:bCs/>
          <w:sz w:val="30"/>
          <w:szCs w:val="30"/>
          <w:lang w:eastAsia="zh-CN"/>
        </w:rPr>
        <w:t>）</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val="0"/>
        <w:spacing w:line="400" w:lineRule="exact"/>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项目概况：</w:t>
      </w:r>
      <w:r>
        <w:rPr>
          <w:rFonts w:hint="eastAsia" w:ascii="宋体" w:hAnsi="宋体" w:eastAsia="宋体" w:cs="宋体"/>
          <w:snapToGrid w:val="0"/>
          <w:kern w:val="0"/>
          <w:sz w:val="21"/>
          <w:szCs w:val="21"/>
          <w:u w:val="single"/>
          <w:lang w:eastAsia="zh-CN"/>
        </w:rPr>
        <w:t>象山县中医医院医疗健康集团三院院区改扩建工程厨房设备采购项目</w:t>
      </w:r>
      <w:r>
        <w:rPr>
          <w:rFonts w:hint="eastAsia" w:ascii="宋体" w:hAnsi="宋体" w:eastAsia="宋体" w:cs="宋体"/>
          <w:snapToGrid w:val="0"/>
          <w:kern w:val="0"/>
          <w:sz w:val="21"/>
          <w:szCs w:val="21"/>
          <w:u w:val="single"/>
          <w:lang w:val="en-US" w:eastAsia="zh-CN"/>
        </w:rPr>
        <w:t xml:space="preserve"> </w:t>
      </w:r>
      <w:r>
        <w:rPr>
          <w:rFonts w:hint="eastAsia" w:ascii="宋体" w:hAnsi="宋体" w:eastAsia="宋体" w:cs="宋体"/>
          <w:snapToGrid w:val="0"/>
          <w:kern w:val="0"/>
          <w:sz w:val="21"/>
          <w:szCs w:val="21"/>
        </w:rPr>
        <w:t>的潜在</w:t>
      </w:r>
      <w:r>
        <w:rPr>
          <w:rFonts w:hint="eastAsia" w:ascii="宋体" w:hAnsi="宋体" w:eastAsia="宋体" w:cs="宋体"/>
          <w:snapToGrid w:val="0"/>
          <w:kern w:val="0"/>
          <w:sz w:val="21"/>
          <w:szCs w:val="21"/>
          <w:lang w:eastAsia="zh-CN"/>
        </w:rPr>
        <w:t>投标供应商</w:t>
      </w:r>
      <w:r>
        <w:rPr>
          <w:rFonts w:hint="eastAsia" w:ascii="宋体" w:hAnsi="宋体" w:eastAsia="宋体" w:cs="宋体"/>
          <w:snapToGrid w:val="0"/>
          <w:kern w:val="0"/>
          <w:sz w:val="21"/>
          <w:szCs w:val="21"/>
        </w:rPr>
        <w:t>应在政采云平台线上获取获取（下载）招标文件，并于</w:t>
      </w:r>
      <w:r>
        <w:rPr>
          <w:rFonts w:hint="eastAsia" w:ascii="宋体" w:hAnsi="宋体" w:eastAsia="宋体" w:cs="宋体"/>
          <w:snapToGrid w:val="0"/>
          <w:color w:val="FF0000"/>
          <w:kern w:val="0"/>
          <w:sz w:val="21"/>
          <w:szCs w:val="21"/>
        </w:rPr>
        <w:t>2023年</w:t>
      </w:r>
      <w:r>
        <w:rPr>
          <w:rFonts w:hint="eastAsia" w:ascii="宋体" w:hAnsi="宋体" w:eastAsia="宋体" w:cs="宋体"/>
          <w:snapToGrid w:val="0"/>
          <w:color w:val="FF0000"/>
          <w:kern w:val="0"/>
          <w:sz w:val="21"/>
          <w:szCs w:val="21"/>
          <w:lang w:val="en-US" w:eastAsia="zh-CN"/>
        </w:rPr>
        <w:t xml:space="preserve"> </w:t>
      </w:r>
      <w:r>
        <w:rPr>
          <w:rFonts w:hint="eastAsia" w:ascii="宋体" w:hAnsi="宋体" w:cs="宋体"/>
          <w:snapToGrid w:val="0"/>
          <w:color w:val="FF0000"/>
          <w:kern w:val="0"/>
          <w:sz w:val="21"/>
          <w:szCs w:val="21"/>
          <w:lang w:val="en-US" w:eastAsia="zh-CN"/>
        </w:rPr>
        <w:t>12</w:t>
      </w:r>
      <w:r>
        <w:rPr>
          <w:rFonts w:hint="eastAsia" w:ascii="宋体" w:hAnsi="宋体" w:eastAsia="宋体" w:cs="宋体"/>
          <w:snapToGrid w:val="0"/>
          <w:color w:val="FF0000"/>
          <w:kern w:val="0"/>
          <w:sz w:val="21"/>
          <w:szCs w:val="21"/>
          <w:lang w:val="en-US" w:eastAsia="zh-CN"/>
        </w:rPr>
        <w:t xml:space="preserve"> </w:t>
      </w:r>
      <w:r>
        <w:rPr>
          <w:rFonts w:hint="eastAsia" w:ascii="宋体" w:hAnsi="宋体" w:eastAsia="宋体" w:cs="宋体"/>
          <w:snapToGrid w:val="0"/>
          <w:color w:val="FF0000"/>
          <w:kern w:val="0"/>
          <w:sz w:val="21"/>
          <w:szCs w:val="21"/>
        </w:rPr>
        <w:t>月</w:t>
      </w:r>
      <w:r>
        <w:rPr>
          <w:rFonts w:hint="eastAsia" w:ascii="宋体" w:hAnsi="宋体" w:eastAsia="宋体" w:cs="宋体"/>
          <w:snapToGrid w:val="0"/>
          <w:color w:val="FF0000"/>
          <w:kern w:val="0"/>
          <w:sz w:val="21"/>
          <w:szCs w:val="21"/>
          <w:lang w:val="en-US" w:eastAsia="zh-CN"/>
        </w:rPr>
        <w:t xml:space="preserve"> </w:t>
      </w:r>
      <w:r>
        <w:rPr>
          <w:rFonts w:hint="eastAsia" w:ascii="宋体" w:hAnsi="宋体" w:cs="宋体"/>
          <w:snapToGrid w:val="0"/>
          <w:color w:val="FF0000"/>
          <w:kern w:val="0"/>
          <w:sz w:val="21"/>
          <w:szCs w:val="21"/>
          <w:lang w:val="en-US" w:eastAsia="zh-CN"/>
        </w:rPr>
        <w:t>29</w:t>
      </w:r>
      <w:r>
        <w:rPr>
          <w:rFonts w:hint="eastAsia" w:ascii="宋体" w:hAnsi="宋体" w:eastAsia="宋体" w:cs="宋体"/>
          <w:snapToGrid w:val="0"/>
          <w:color w:val="FF0000"/>
          <w:kern w:val="0"/>
          <w:sz w:val="21"/>
          <w:szCs w:val="21"/>
          <w:lang w:val="en-US" w:eastAsia="zh-CN"/>
        </w:rPr>
        <w:t xml:space="preserve"> </w:t>
      </w:r>
      <w:r>
        <w:rPr>
          <w:rFonts w:hint="eastAsia" w:ascii="宋体" w:hAnsi="宋体" w:eastAsia="宋体" w:cs="宋体"/>
          <w:snapToGrid w:val="0"/>
          <w:color w:val="FF0000"/>
          <w:kern w:val="0"/>
          <w:sz w:val="21"/>
          <w:szCs w:val="21"/>
        </w:rPr>
        <w:t xml:space="preserve">日 </w:t>
      </w:r>
      <w:r>
        <w:rPr>
          <w:rFonts w:hint="eastAsia" w:ascii="宋体" w:hAnsi="宋体" w:eastAsia="宋体" w:cs="宋体"/>
          <w:snapToGrid w:val="0"/>
          <w:color w:val="FF0000"/>
          <w:kern w:val="0"/>
          <w:sz w:val="21"/>
          <w:szCs w:val="21"/>
          <w:lang w:val="en-US" w:eastAsia="zh-CN"/>
        </w:rPr>
        <w:t>14</w:t>
      </w:r>
      <w:r>
        <w:rPr>
          <w:rFonts w:hint="eastAsia" w:ascii="宋体" w:hAnsi="宋体" w:eastAsia="宋体" w:cs="宋体"/>
          <w:snapToGrid w:val="0"/>
          <w:color w:val="FF0000"/>
          <w:kern w:val="0"/>
          <w:sz w:val="21"/>
          <w:szCs w:val="21"/>
        </w:rPr>
        <w:t>:</w:t>
      </w:r>
      <w:r>
        <w:rPr>
          <w:rFonts w:hint="eastAsia" w:ascii="宋体" w:hAnsi="宋体" w:eastAsia="宋体" w:cs="宋体"/>
          <w:snapToGrid w:val="0"/>
          <w:color w:val="FF0000"/>
          <w:kern w:val="0"/>
          <w:sz w:val="21"/>
          <w:szCs w:val="21"/>
          <w:lang w:val="en-US" w:eastAsia="zh-CN"/>
        </w:rPr>
        <w:t>0</w:t>
      </w:r>
      <w:r>
        <w:rPr>
          <w:rFonts w:hint="eastAsia" w:ascii="宋体" w:hAnsi="宋体" w:eastAsia="宋体" w:cs="宋体"/>
          <w:snapToGrid w:val="0"/>
          <w:color w:val="FF0000"/>
          <w:kern w:val="0"/>
          <w:sz w:val="21"/>
          <w:szCs w:val="21"/>
        </w:rPr>
        <w:t>0（</w:t>
      </w:r>
      <w:r>
        <w:rPr>
          <w:rFonts w:hint="eastAsia" w:ascii="宋体" w:hAnsi="宋体" w:eastAsia="宋体" w:cs="宋体"/>
          <w:snapToGrid w:val="0"/>
          <w:kern w:val="0"/>
          <w:sz w:val="21"/>
          <w:szCs w:val="21"/>
        </w:rPr>
        <w:t>北京时间）前递交（上传）投标文件。</w:t>
      </w:r>
    </w:p>
    <w:p>
      <w:pPr>
        <w:keepNext w:val="0"/>
        <w:keepLines w:val="0"/>
        <w:pageBreakBefore w:val="0"/>
        <w:widowControl w:val="0"/>
        <w:kinsoku/>
        <w:wordWrap/>
        <w:overflowPunct/>
        <w:topLinePunct w:val="0"/>
        <w:autoSpaceDE/>
        <w:autoSpaceDN/>
        <w:bidi w:val="0"/>
        <w:adjustRightInd/>
        <w:snapToGrid w:val="0"/>
        <w:spacing w:before="120" w:beforeLines="50" w:line="390" w:lineRule="exact"/>
        <w:textAlignment w:val="auto"/>
        <w:rPr>
          <w:rFonts w:hint="eastAsia" w:ascii="宋体" w:hAnsi="宋体" w:eastAsia="宋体" w:cs="宋体"/>
          <w:b/>
          <w:bCs/>
          <w:snapToGrid w:val="0"/>
          <w:sz w:val="21"/>
          <w:szCs w:val="21"/>
        </w:rPr>
      </w:pPr>
      <w:bookmarkStart w:id="2" w:name="_Toc28359079"/>
      <w:bookmarkStart w:id="3" w:name="_Toc28359002"/>
      <w:bookmarkStart w:id="4" w:name="_Toc35393621"/>
      <w:bookmarkStart w:id="5" w:name="_Toc35393790"/>
      <w:bookmarkStart w:id="6" w:name="_Hlk24379207"/>
      <w:r>
        <w:rPr>
          <w:rFonts w:hint="eastAsia" w:ascii="宋体" w:hAnsi="宋体" w:eastAsia="宋体" w:cs="宋体"/>
          <w:b/>
          <w:bCs/>
          <w:snapToGrid w:val="0"/>
          <w:sz w:val="21"/>
          <w:szCs w:val="21"/>
        </w:rPr>
        <w:t>一、项目基本情况</w:t>
      </w:r>
      <w:bookmarkEnd w:id="2"/>
      <w:bookmarkEnd w:id="3"/>
      <w:bookmarkEnd w:id="4"/>
      <w:bookmarkEnd w:id="5"/>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采购编号：</w:t>
      </w:r>
      <w:r>
        <w:rPr>
          <w:rFonts w:hint="eastAsia" w:ascii="宋体" w:hAnsi="宋体" w:cs="宋体"/>
          <w:snapToGrid w:val="0"/>
          <w:kern w:val="0"/>
          <w:sz w:val="21"/>
          <w:szCs w:val="21"/>
          <w:lang w:eastAsia="zh-CN"/>
        </w:rPr>
        <w:t>KXZJ-XS2023-028-2</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lang w:eastAsia="zh-CN"/>
        </w:rPr>
      </w:pPr>
      <w:r>
        <w:rPr>
          <w:rFonts w:hint="eastAsia" w:ascii="宋体" w:hAnsi="宋体" w:eastAsia="宋体" w:cs="宋体"/>
          <w:snapToGrid w:val="0"/>
          <w:kern w:val="0"/>
          <w:sz w:val="21"/>
          <w:szCs w:val="21"/>
        </w:rPr>
        <w:t>项目名称：</w:t>
      </w:r>
      <w:r>
        <w:rPr>
          <w:rFonts w:hint="eastAsia" w:ascii="宋体" w:hAnsi="宋体" w:eastAsia="宋体" w:cs="宋体"/>
          <w:snapToGrid w:val="0"/>
          <w:kern w:val="0"/>
          <w:sz w:val="21"/>
          <w:szCs w:val="21"/>
          <w:lang w:eastAsia="zh-CN"/>
        </w:rPr>
        <w:t>象山县中医医院医疗健康集团三院院区改扩建工程厨房设备采购项目</w:t>
      </w:r>
    </w:p>
    <w:bookmarkEnd w:id="6"/>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default" w:ascii="宋体" w:hAnsi="宋体" w:eastAsia="宋体" w:cs="宋体"/>
          <w:snapToGrid w:val="0"/>
          <w:color w:val="auto"/>
          <w:kern w:val="0"/>
          <w:sz w:val="21"/>
          <w:szCs w:val="21"/>
          <w:shd w:val="clear" w:color="auto" w:fill="auto"/>
          <w:lang w:val="en-US" w:eastAsia="zh-CN"/>
        </w:rPr>
      </w:pPr>
      <w:r>
        <w:rPr>
          <w:rFonts w:hint="eastAsia" w:ascii="宋体" w:hAnsi="宋体" w:eastAsia="宋体" w:cs="宋体"/>
          <w:snapToGrid w:val="0"/>
          <w:color w:val="auto"/>
          <w:kern w:val="0"/>
          <w:sz w:val="21"/>
          <w:szCs w:val="21"/>
          <w:shd w:val="clear" w:color="auto" w:fill="auto"/>
        </w:rPr>
        <w:t>预算金额（元）：</w:t>
      </w:r>
      <w:r>
        <w:rPr>
          <w:rFonts w:hint="eastAsia" w:ascii="宋体" w:hAnsi="宋体" w:eastAsia="宋体" w:cs="宋体"/>
          <w:snapToGrid w:val="0"/>
          <w:color w:val="auto"/>
          <w:kern w:val="0"/>
          <w:sz w:val="21"/>
          <w:szCs w:val="21"/>
          <w:shd w:val="clear" w:color="auto" w:fill="auto"/>
          <w:lang w:val="en-US" w:eastAsia="zh-CN"/>
        </w:rPr>
        <w:t>580000</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default" w:ascii="宋体" w:hAnsi="宋体" w:eastAsia="宋体" w:cs="宋体"/>
          <w:snapToGrid w:val="0"/>
          <w:color w:val="auto"/>
          <w:kern w:val="0"/>
          <w:sz w:val="21"/>
          <w:szCs w:val="21"/>
          <w:shd w:val="clear" w:color="auto" w:fill="auto"/>
          <w:lang w:val="en-US" w:eastAsia="zh-CN"/>
        </w:rPr>
      </w:pPr>
      <w:r>
        <w:rPr>
          <w:rFonts w:hint="eastAsia" w:ascii="宋体" w:hAnsi="宋体" w:eastAsia="宋体" w:cs="宋体"/>
          <w:snapToGrid w:val="0"/>
          <w:color w:val="auto"/>
          <w:kern w:val="0"/>
          <w:sz w:val="21"/>
          <w:szCs w:val="21"/>
          <w:shd w:val="clear" w:color="auto" w:fill="auto"/>
        </w:rPr>
        <w:t>最高限价（元）：</w:t>
      </w:r>
      <w:r>
        <w:rPr>
          <w:rFonts w:hint="eastAsia" w:ascii="宋体" w:hAnsi="宋体" w:eastAsia="宋体" w:cs="宋体"/>
          <w:snapToGrid w:val="0"/>
          <w:color w:val="auto"/>
          <w:kern w:val="0"/>
          <w:sz w:val="21"/>
          <w:szCs w:val="21"/>
          <w:shd w:val="clear" w:color="auto" w:fill="auto"/>
          <w:lang w:val="en-US" w:eastAsia="zh-CN"/>
        </w:rPr>
        <w:t>580000</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采购需求：</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标项名称：</w:t>
      </w:r>
      <w:r>
        <w:rPr>
          <w:rFonts w:hint="eastAsia" w:ascii="宋体" w:hAnsi="宋体" w:eastAsia="宋体" w:cs="宋体"/>
          <w:snapToGrid w:val="0"/>
          <w:kern w:val="0"/>
          <w:sz w:val="21"/>
          <w:szCs w:val="21"/>
          <w:lang w:eastAsia="zh-CN"/>
        </w:rPr>
        <w:t>象山县中医医院医疗健康集团三院院区改扩建工程厨房设备采购项目</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数量：1</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default"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预算金额（元）：</w:t>
      </w:r>
      <w:r>
        <w:rPr>
          <w:rFonts w:hint="eastAsia" w:ascii="宋体" w:hAnsi="宋体" w:eastAsia="宋体" w:cs="宋体"/>
          <w:snapToGrid w:val="0"/>
          <w:color w:val="auto"/>
          <w:kern w:val="0"/>
          <w:sz w:val="21"/>
          <w:szCs w:val="21"/>
          <w:lang w:val="en-US" w:eastAsia="zh-CN"/>
        </w:rPr>
        <w:t>580000</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简要规格描述或项目基本概况介绍、用途</w:t>
      </w:r>
      <w:r>
        <w:rPr>
          <w:rFonts w:hint="eastAsia" w:ascii="宋体" w:hAnsi="宋体" w:eastAsia="宋体" w:cs="宋体"/>
          <w:snapToGrid w:val="0"/>
          <w:color w:val="auto"/>
          <w:kern w:val="0"/>
          <w:sz w:val="21"/>
          <w:szCs w:val="21"/>
        </w:rPr>
        <w:t>：</w:t>
      </w:r>
      <w:r>
        <w:rPr>
          <w:rFonts w:hint="eastAsia" w:ascii="宋体" w:hAnsi="宋体" w:eastAsia="宋体" w:cs="宋体"/>
          <w:snapToGrid w:val="0"/>
          <w:color w:val="auto"/>
          <w:kern w:val="0"/>
          <w:sz w:val="21"/>
          <w:szCs w:val="21"/>
          <w:lang w:val="en-US" w:eastAsia="zh-CN"/>
        </w:rPr>
        <w:t>新建院区厨房设备</w:t>
      </w:r>
      <w:r>
        <w:rPr>
          <w:rFonts w:hint="eastAsia" w:ascii="宋体" w:hAnsi="宋体" w:eastAsia="宋体" w:cs="宋体"/>
          <w:snapToGrid w:val="0"/>
          <w:color w:val="auto"/>
          <w:kern w:val="0"/>
          <w:sz w:val="21"/>
          <w:szCs w:val="21"/>
          <w:lang w:eastAsia="zh-CN"/>
        </w:rPr>
        <w:t>的</w:t>
      </w:r>
      <w:r>
        <w:rPr>
          <w:rFonts w:hint="eastAsia" w:ascii="宋体" w:hAnsi="宋体" w:eastAsia="宋体" w:cs="宋体"/>
          <w:snapToGrid w:val="0"/>
          <w:color w:val="auto"/>
          <w:kern w:val="0"/>
          <w:sz w:val="21"/>
          <w:szCs w:val="21"/>
          <w:lang w:val="en-US" w:eastAsia="zh-CN"/>
        </w:rPr>
        <w:t>供货及安装</w:t>
      </w:r>
      <w:r>
        <w:rPr>
          <w:rFonts w:hint="eastAsia" w:ascii="宋体" w:hAnsi="宋体" w:eastAsia="宋体" w:cs="宋体"/>
          <w:color w:val="auto"/>
          <w:sz w:val="21"/>
          <w:szCs w:val="21"/>
        </w:rPr>
        <w:t xml:space="preserve">；具体详见第二章 </w:t>
      </w:r>
      <w:r>
        <w:rPr>
          <w:rFonts w:hint="eastAsia" w:ascii="宋体" w:hAnsi="宋体" w:eastAsia="宋体" w:cs="宋体"/>
          <w:color w:val="auto"/>
          <w:sz w:val="21"/>
          <w:szCs w:val="21"/>
          <w:lang w:eastAsia="zh-CN"/>
        </w:rPr>
        <w:t>采购需求</w:t>
      </w:r>
      <w:r>
        <w:rPr>
          <w:rFonts w:hint="eastAsia" w:ascii="宋体" w:hAnsi="宋体" w:eastAsia="宋体" w:cs="宋体"/>
          <w:color w:val="auto"/>
          <w:sz w:val="21"/>
          <w:szCs w:val="21"/>
        </w:rPr>
        <w:t>。</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备注：</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color w:val="auto"/>
          <w:kern w:val="0"/>
          <w:sz w:val="21"/>
          <w:szCs w:val="21"/>
          <w:shd w:val="clear" w:color="auto" w:fill="auto"/>
        </w:rPr>
      </w:pPr>
      <w:r>
        <w:rPr>
          <w:rFonts w:hint="eastAsia" w:ascii="宋体" w:hAnsi="宋体" w:eastAsia="宋体" w:cs="宋体"/>
          <w:snapToGrid w:val="0"/>
          <w:color w:val="auto"/>
          <w:kern w:val="0"/>
          <w:sz w:val="21"/>
          <w:szCs w:val="21"/>
          <w:shd w:val="clear" w:color="auto" w:fill="auto"/>
        </w:rPr>
        <w:t>合同履行期限：标项1，</w:t>
      </w:r>
      <w:r>
        <w:rPr>
          <w:rFonts w:hint="eastAsia" w:ascii="宋体" w:hAnsi="宋体" w:eastAsia="宋体" w:cs="宋体"/>
          <w:snapToGrid w:val="0"/>
          <w:color w:val="auto"/>
          <w:kern w:val="0"/>
          <w:sz w:val="21"/>
          <w:szCs w:val="21"/>
          <w:shd w:val="clear" w:color="auto" w:fill="auto"/>
          <w:lang w:eastAsia="zh-CN"/>
        </w:rPr>
        <w:t>合同签订接到采购人通知后30天内货到现场，</w:t>
      </w:r>
      <w:r>
        <w:rPr>
          <w:rFonts w:hint="eastAsia" w:ascii="宋体" w:hAnsi="宋体" w:cs="宋体"/>
          <w:snapToGrid w:val="0"/>
          <w:color w:val="auto"/>
          <w:kern w:val="0"/>
          <w:sz w:val="21"/>
          <w:szCs w:val="21"/>
          <w:shd w:val="clear" w:color="auto" w:fill="auto"/>
          <w:lang w:val="en-US" w:eastAsia="zh-CN"/>
        </w:rPr>
        <w:t>到货后</w:t>
      </w:r>
      <w:r>
        <w:rPr>
          <w:rFonts w:hint="eastAsia" w:ascii="宋体" w:hAnsi="宋体" w:eastAsia="宋体" w:cs="宋体"/>
          <w:snapToGrid w:val="0"/>
          <w:color w:val="auto"/>
          <w:kern w:val="0"/>
          <w:sz w:val="21"/>
          <w:szCs w:val="21"/>
          <w:shd w:val="clear" w:color="auto" w:fill="auto"/>
          <w:lang w:eastAsia="zh-CN"/>
        </w:rPr>
        <w:t>30日历天内完成安装，且必须符合工程整体进度计划要求</w:t>
      </w:r>
      <w:r>
        <w:rPr>
          <w:rFonts w:hint="eastAsia" w:ascii="宋体" w:hAnsi="宋体" w:eastAsia="宋体" w:cs="宋体"/>
          <w:snapToGrid w:val="0"/>
          <w:color w:val="auto"/>
          <w:kern w:val="0"/>
          <w:sz w:val="21"/>
          <w:szCs w:val="21"/>
          <w:shd w:val="clear" w:color="auto" w:fill="auto"/>
        </w:rPr>
        <w:t>。</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color w:val="auto"/>
          <w:kern w:val="0"/>
          <w:sz w:val="21"/>
          <w:szCs w:val="21"/>
        </w:rPr>
      </w:pPr>
      <w:r>
        <w:rPr>
          <w:rFonts w:hint="eastAsia" w:ascii="宋体" w:hAnsi="宋体" w:eastAsia="宋体" w:cs="宋体"/>
          <w:bCs/>
          <w:color w:val="auto"/>
          <w:sz w:val="21"/>
          <w:szCs w:val="21"/>
        </w:rPr>
        <w:t>本项目（否）接受联合体投标。</w:t>
      </w:r>
    </w:p>
    <w:p>
      <w:pPr>
        <w:keepNext w:val="0"/>
        <w:keepLines w:val="0"/>
        <w:pageBreakBefore w:val="0"/>
        <w:widowControl w:val="0"/>
        <w:kinsoku/>
        <w:wordWrap/>
        <w:overflowPunct/>
        <w:topLinePunct w:val="0"/>
        <w:autoSpaceDE/>
        <w:autoSpaceDN/>
        <w:bidi w:val="0"/>
        <w:adjustRightInd/>
        <w:snapToGrid w:val="0"/>
        <w:spacing w:line="390" w:lineRule="exact"/>
        <w:textAlignment w:val="auto"/>
        <w:rPr>
          <w:rFonts w:hint="eastAsia" w:ascii="宋体" w:hAnsi="宋体" w:eastAsia="宋体" w:cs="宋体"/>
          <w:b/>
          <w:bCs/>
          <w:snapToGrid w:val="0"/>
          <w:color w:val="auto"/>
          <w:sz w:val="21"/>
          <w:szCs w:val="21"/>
        </w:rPr>
      </w:pPr>
      <w:bookmarkStart w:id="7" w:name="_Toc35393791"/>
      <w:bookmarkStart w:id="8" w:name="_Toc28359080"/>
      <w:bookmarkStart w:id="9" w:name="_Toc28359003"/>
      <w:bookmarkStart w:id="10" w:name="_Toc35393622"/>
      <w:r>
        <w:rPr>
          <w:rFonts w:hint="eastAsia" w:ascii="宋体" w:hAnsi="宋体" w:eastAsia="宋体" w:cs="宋体"/>
          <w:b/>
          <w:bCs/>
          <w:snapToGrid w:val="0"/>
          <w:color w:val="auto"/>
          <w:sz w:val="21"/>
          <w:szCs w:val="21"/>
        </w:rPr>
        <w:t>二、申请人的资格要求</w:t>
      </w:r>
      <w:bookmarkEnd w:id="7"/>
      <w:bookmarkEnd w:id="8"/>
      <w:bookmarkEnd w:id="9"/>
      <w:bookmarkEnd w:id="10"/>
    </w:p>
    <w:p>
      <w:pPr>
        <w:keepNext w:val="0"/>
        <w:keepLines w:val="0"/>
        <w:pageBreakBefore w:val="0"/>
        <w:widowControl w:val="0"/>
        <w:numPr>
          <w:ilvl w:val="0"/>
          <w:numId w:val="2"/>
        </w:numPr>
        <w:kinsoku/>
        <w:wordWrap/>
        <w:overflowPunct/>
        <w:topLinePunct w:val="0"/>
        <w:autoSpaceDE/>
        <w:autoSpaceDN/>
        <w:bidi w:val="0"/>
        <w:adjustRightInd/>
        <w:snapToGrid w:val="0"/>
        <w:spacing w:line="390" w:lineRule="exact"/>
        <w:textAlignment w:val="auto"/>
        <w:rPr>
          <w:rFonts w:hint="eastAsia" w:ascii="宋体" w:hAnsi="宋体" w:eastAsia="宋体" w:cs="宋体"/>
          <w:color w:val="auto"/>
          <w:sz w:val="21"/>
          <w:szCs w:val="21"/>
        </w:rPr>
      </w:pPr>
      <w:bookmarkStart w:id="11" w:name="_Toc28359004"/>
      <w:bookmarkStart w:id="12" w:name="_Toc28359081"/>
      <w:bookmarkStart w:id="13" w:name="_Toc35393792"/>
      <w:bookmarkStart w:id="14" w:name="_Toc35393623"/>
      <w:r>
        <w:rPr>
          <w:rFonts w:hint="eastAsia" w:ascii="宋体" w:hAnsi="宋体" w:eastAsia="宋体" w:cs="宋体"/>
          <w:color w:val="auto"/>
          <w:sz w:val="21"/>
          <w:szCs w:val="21"/>
        </w:rPr>
        <w:t>满足《中华人民共和国政府采购法》第二十二条规定；未被“信用中国”（www.creditchina.gov.cn)、中国政府采购网（www.ccgp.gov.cn）列入失信被执行人、重大税收违法失信主体、政府采购严重违法失信行为记录名单</w:t>
      </w:r>
      <w:r>
        <w:rPr>
          <w:rFonts w:hint="eastAsia" w:ascii="宋体" w:hAnsi="宋体" w:eastAsia="宋体" w:cs="宋体"/>
          <w:color w:val="auto"/>
          <w:sz w:val="21"/>
          <w:szCs w:val="21"/>
          <w:lang w:eastAsia="zh-CN"/>
        </w:rPr>
        <w:t>。</w:t>
      </w:r>
    </w:p>
    <w:p>
      <w:pPr>
        <w:keepNext w:val="0"/>
        <w:keepLines w:val="0"/>
        <w:pageBreakBefore w:val="0"/>
        <w:widowControl w:val="0"/>
        <w:numPr>
          <w:ilvl w:val="0"/>
          <w:numId w:val="2"/>
        </w:numPr>
        <w:kinsoku/>
        <w:wordWrap/>
        <w:overflowPunct/>
        <w:topLinePunct w:val="0"/>
        <w:autoSpaceDE/>
        <w:autoSpaceDN/>
        <w:bidi w:val="0"/>
        <w:adjustRightInd/>
        <w:snapToGrid w:val="0"/>
        <w:spacing w:line="390" w:lineRule="exact"/>
        <w:textAlignment w:val="auto"/>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落实政府采购政策需满足的资格要求：根据《政府采购促进中小企业发展管理办法》（财库〔2020〕46号）规定，本项目为专门面向中小企业采购。</w:t>
      </w:r>
    </w:p>
    <w:p>
      <w:pPr>
        <w:keepNext w:val="0"/>
        <w:keepLines w:val="0"/>
        <w:pageBreakBefore w:val="0"/>
        <w:widowControl w:val="0"/>
        <w:numPr>
          <w:ilvl w:val="0"/>
          <w:numId w:val="2"/>
        </w:numPr>
        <w:kinsoku/>
        <w:wordWrap/>
        <w:overflowPunct/>
        <w:topLinePunct w:val="0"/>
        <w:autoSpaceDE/>
        <w:autoSpaceDN/>
        <w:bidi w:val="0"/>
        <w:adjustRightInd/>
        <w:snapToGrid w:val="0"/>
        <w:spacing w:line="390" w:lineRule="exact"/>
        <w:textAlignment w:val="auto"/>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本项目的特定资格要求：</w:t>
      </w:r>
      <w:r>
        <w:rPr>
          <w:rFonts w:hint="eastAsia" w:ascii="宋体" w:hAnsi="宋体" w:eastAsia="宋体" w:cs="宋体"/>
          <w:color w:val="auto"/>
          <w:sz w:val="21"/>
          <w:szCs w:val="21"/>
          <w:shd w:val="clear" w:color="auto" w:fill="auto"/>
          <w:lang w:val="en-US" w:eastAsia="zh-CN"/>
        </w:rPr>
        <w:t>/</w:t>
      </w:r>
      <w:r>
        <w:rPr>
          <w:rFonts w:hint="eastAsia" w:ascii="宋体" w:hAnsi="宋体" w:eastAsia="宋体" w:cs="宋体"/>
          <w:color w:val="auto"/>
          <w:sz w:val="21"/>
          <w:szCs w:val="21"/>
          <w:shd w:val="clear" w:color="auto" w:fill="auto"/>
          <w:lang w:eastAsia="zh-CN"/>
        </w:rPr>
        <w:t>。</w:t>
      </w:r>
    </w:p>
    <w:p>
      <w:pPr>
        <w:keepNext w:val="0"/>
        <w:keepLines w:val="0"/>
        <w:pageBreakBefore w:val="0"/>
        <w:widowControl w:val="0"/>
        <w:numPr>
          <w:ilvl w:val="0"/>
          <w:numId w:val="2"/>
        </w:numPr>
        <w:kinsoku/>
        <w:wordWrap/>
        <w:overflowPunct/>
        <w:topLinePunct w:val="0"/>
        <w:autoSpaceDE/>
        <w:autoSpaceDN/>
        <w:bidi w:val="0"/>
        <w:adjustRightInd/>
        <w:snapToGrid w:val="0"/>
        <w:spacing w:line="390" w:lineRule="exact"/>
        <w:textAlignment w:val="auto"/>
        <w:rPr>
          <w:rFonts w:hint="eastAsia" w:ascii="宋体" w:hAnsi="宋体" w:eastAsia="宋体" w:cs="宋体"/>
          <w:sz w:val="21"/>
          <w:szCs w:val="21"/>
        </w:rPr>
      </w:pPr>
      <w:r>
        <w:rPr>
          <w:rFonts w:hint="eastAsia" w:ascii="宋体" w:hAnsi="宋体" w:eastAsia="宋体" w:cs="宋体"/>
          <w:snapToGrid w:val="0"/>
          <w:color w:val="auto"/>
          <w:kern w:val="0"/>
          <w:sz w:val="21"/>
          <w:szCs w:val="21"/>
        </w:rPr>
        <w:t>单位负责人为同一人或者存在直接控股、管理关系的不同</w:t>
      </w:r>
      <w:r>
        <w:rPr>
          <w:rFonts w:hint="eastAsia" w:ascii="宋体" w:hAnsi="宋体" w:eastAsia="宋体" w:cs="宋体"/>
          <w:snapToGrid w:val="0"/>
          <w:color w:val="auto"/>
          <w:kern w:val="0"/>
          <w:sz w:val="21"/>
          <w:szCs w:val="21"/>
          <w:lang w:eastAsia="zh-CN"/>
        </w:rPr>
        <w:t>投标供应商</w:t>
      </w:r>
      <w:r>
        <w:rPr>
          <w:rFonts w:hint="eastAsia" w:ascii="宋体" w:hAnsi="宋体" w:eastAsia="宋体" w:cs="宋体"/>
          <w:snapToGrid w:val="0"/>
          <w:color w:val="auto"/>
          <w:kern w:val="0"/>
          <w:sz w:val="21"/>
          <w:szCs w:val="21"/>
        </w:rPr>
        <w:t>，不得参加同一合同项下</w:t>
      </w:r>
      <w:r>
        <w:rPr>
          <w:rFonts w:hint="eastAsia" w:ascii="宋体" w:hAnsi="宋体" w:eastAsia="宋体" w:cs="宋体"/>
          <w:snapToGrid w:val="0"/>
          <w:kern w:val="0"/>
          <w:sz w:val="21"/>
          <w:szCs w:val="21"/>
        </w:rPr>
        <w:t>的政府采购活动。除单一来源采购项目外，为采购项目提供整体设计、规范编制或者项目管理、监理、检测等服务的</w:t>
      </w:r>
      <w:r>
        <w:rPr>
          <w:rFonts w:hint="eastAsia" w:ascii="宋体" w:hAnsi="宋体" w:eastAsia="宋体" w:cs="宋体"/>
          <w:snapToGrid w:val="0"/>
          <w:kern w:val="0"/>
          <w:sz w:val="21"/>
          <w:szCs w:val="21"/>
          <w:lang w:eastAsia="zh-CN"/>
        </w:rPr>
        <w:t>投标供应商</w:t>
      </w:r>
      <w:r>
        <w:rPr>
          <w:rFonts w:hint="eastAsia" w:ascii="宋体" w:hAnsi="宋体" w:eastAsia="宋体" w:cs="宋体"/>
          <w:snapToGrid w:val="0"/>
          <w:kern w:val="0"/>
          <w:sz w:val="21"/>
          <w:szCs w:val="21"/>
        </w:rPr>
        <w:t>，不得再参加该采购项目的其他采购活动</w:t>
      </w:r>
      <w:r>
        <w:rPr>
          <w:rFonts w:hint="eastAsia" w:ascii="宋体" w:hAnsi="宋体" w:eastAsia="宋体" w:cs="宋体"/>
          <w:snapToGrid w:val="0"/>
          <w:kern w:val="0"/>
          <w:sz w:val="21"/>
          <w:szCs w:val="21"/>
          <w:lang w:eastAsia="zh-CN"/>
        </w:rPr>
        <w:t>。</w:t>
      </w:r>
    </w:p>
    <w:p>
      <w:pPr>
        <w:keepNext w:val="0"/>
        <w:keepLines w:val="0"/>
        <w:pageBreakBefore w:val="0"/>
        <w:widowControl w:val="0"/>
        <w:kinsoku/>
        <w:wordWrap/>
        <w:overflowPunct/>
        <w:topLinePunct w:val="0"/>
        <w:autoSpaceDE/>
        <w:autoSpaceDN/>
        <w:bidi w:val="0"/>
        <w:adjustRightInd/>
        <w:snapToGrid w:val="0"/>
        <w:spacing w:line="390" w:lineRule="exact"/>
        <w:textAlignment w:val="auto"/>
        <w:rPr>
          <w:rFonts w:hint="eastAsia" w:ascii="宋体" w:hAnsi="宋体" w:eastAsia="宋体" w:cs="宋体"/>
          <w:b/>
          <w:bCs/>
          <w:snapToGrid w:val="0"/>
          <w:sz w:val="21"/>
          <w:szCs w:val="21"/>
        </w:rPr>
      </w:pPr>
      <w:r>
        <w:rPr>
          <w:rFonts w:hint="eastAsia" w:ascii="宋体" w:hAnsi="宋体" w:eastAsia="宋体" w:cs="宋体"/>
          <w:b/>
          <w:bCs/>
          <w:snapToGrid w:val="0"/>
          <w:sz w:val="21"/>
          <w:szCs w:val="21"/>
        </w:rPr>
        <w:t>三、获取招标文件</w:t>
      </w:r>
      <w:bookmarkEnd w:id="11"/>
      <w:bookmarkEnd w:id="12"/>
      <w:bookmarkEnd w:id="13"/>
      <w:bookmarkEnd w:id="14"/>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1.时间：/至</w:t>
      </w:r>
      <w:r>
        <w:rPr>
          <w:rFonts w:hint="eastAsia" w:ascii="宋体" w:hAnsi="宋体" w:eastAsia="宋体" w:cs="宋体"/>
          <w:snapToGrid w:val="0"/>
          <w:color w:val="FF0000"/>
          <w:kern w:val="0"/>
          <w:sz w:val="21"/>
          <w:szCs w:val="21"/>
          <w:shd w:val="clear" w:color="auto" w:fill="auto"/>
          <w:lang w:eastAsia="zh-CN"/>
        </w:rPr>
        <w:t>2023</w:t>
      </w:r>
      <w:r>
        <w:rPr>
          <w:rFonts w:hint="eastAsia" w:ascii="宋体" w:hAnsi="宋体" w:eastAsia="宋体" w:cs="宋体"/>
          <w:snapToGrid w:val="0"/>
          <w:color w:val="FF0000"/>
          <w:kern w:val="0"/>
          <w:sz w:val="21"/>
          <w:szCs w:val="21"/>
          <w:shd w:val="clear" w:color="auto" w:fill="auto"/>
        </w:rPr>
        <w:t>年</w:t>
      </w:r>
      <w:r>
        <w:rPr>
          <w:rFonts w:hint="eastAsia" w:ascii="宋体" w:hAnsi="宋体" w:eastAsia="宋体" w:cs="宋体"/>
          <w:snapToGrid w:val="0"/>
          <w:color w:val="FF0000"/>
          <w:kern w:val="0"/>
          <w:sz w:val="21"/>
          <w:szCs w:val="21"/>
          <w:shd w:val="clear" w:color="auto" w:fill="auto"/>
          <w:lang w:val="en-US" w:eastAsia="zh-CN"/>
        </w:rPr>
        <w:t xml:space="preserve"> </w:t>
      </w:r>
      <w:r>
        <w:rPr>
          <w:rFonts w:hint="eastAsia" w:ascii="宋体" w:hAnsi="宋体" w:cs="宋体"/>
          <w:snapToGrid w:val="0"/>
          <w:color w:val="FF0000"/>
          <w:kern w:val="0"/>
          <w:sz w:val="21"/>
          <w:szCs w:val="21"/>
          <w:shd w:val="clear" w:color="auto" w:fill="auto"/>
          <w:lang w:val="en-US" w:eastAsia="zh-CN"/>
        </w:rPr>
        <w:t>12</w:t>
      </w:r>
      <w:r>
        <w:rPr>
          <w:rFonts w:hint="eastAsia" w:ascii="宋体" w:hAnsi="宋体" w:eastAsia="宋体" w:cs="宋体"/>
          <w:snapToGrid w:val="0"/>
          <w:color w:val="FF0000"/>
          <w:kern w:val="0"/>
          <w:sz w:val="21"/>
          <w:szCs w:val="21"/>
          <w:shd w:val="clear" w:color="auto" w:fill="auto"/>
          <w:lang w:val="en-US" w:eastAsia="zh-CN"/>
        </w:rPr>
        <w:t xml:space="preserve"> </w:t>
      </w:r>
      <w:r>
        <w:rPr>
          <w:rFonts w:hint="eastAsia" w:ascii="宋体" w:hAnsi="宋体" w:eastAsia="宋体" w:cs="宋体"/>
          <w:snapToGrid w:val="0"/>
          <w:color w:val="FF0000"/>
          <w:kern w:val="0"/>
          <w:sz w:val="21"/>
          <w:szCs w:val="21"/>
          <w:shd w:val="clear" w:color="auto" w:fill="auto"/>
        </w:rPr>
        <w:t>月</w:t>
      </w:r>
      <w:r>
        <w:rPr>
          <w:rFonts w:hint="eastAsia" w:ascii="宋体" w:hAnsi="宋体" w:eastAsia="宋体" w:cs="宋体"/>
          <w:snapToGrid w:val="0"/>
          <w:color w:val="FF0000"/>
          <w:kern w:val="0"/>
          <w:sz w:val="21"/>
          <w:szCs w:val="21"/>
          <w:shd w:val="clear" w:color="auto" w:fill="auto"/>
          <w:lang w:val="en-US" w:eastAsia="zh-CN"/>
        </w:rPr>
        <w:t xml:space="preserve"> </w:t>
      </w:r>
      <w:r>
        <w:rPr>
          <w:rFonts w:hint="eastAsia" w:ascii="宋体" w:hAnsi="宋体" w:cs="宋体"/>
          <w:snapToGrid w:val="0"/>
          <w:color w:val="FF0000"/>
          <w:kern w:val="0"/>
          <w:sz w:val="21"/>
          <w:szCs w:val="21"/>
          <w:shd w:val="clear" w:color="auto" w:fill="auto"/>
          <w:lang w:val="en-US" w:eastAsia="zh-CN"/>
        </w:rPr>
        <w:t>18</w:t>
      </w:r>
      <w:r>
        <w:rPr>
          <w:rFonts w:hint="eastAsia" w:ascii="宋体" w:hAnsi="宋体" w:eastAsia="宋体" w:cs="宋体"/>
          <w:snapToGrid w:val="0"/>
          <w:color w:val="FF0000"/>
          <w:kern w:val="0"/>
          <w:sz w:val="21"/>
          <w:szCs w:val="21"/>
          <w:shd w:val="clear" w:color="auto" w:fill="auto"/>
          <w:lang w:val="en-US" w:eastAsia="zh-CN"/>
        </w:rPr>
        <w:t xml:space="preserve"> </w:t>
      </w:r>
      <w:r>
        <w:rPr>
          <w:rFonts w:hint="eastAsia" w:ascii="宋体" w:hAnsi="宋体" w:eastAsia="宋体" w:cs="宋体"/>
          <w:snapToGrid w:val="0"/>
          <w:color w:val="FF0000"/>
          <w:kern w:val="0"/>
          <w:sz w:val="21"/>
          <w:szCs w:val="21"/>
          <w:shd w:val="clear" w:color="auto" w:fill="auto"/>
        </w:rPr>
        <w:t>日</w:t>
      </w:r>
      <w:r>
        <w:rPr>
          <w:rFonts w:hint="eastAsia" w:ascii="宋体" w:hAnsi="宋体" w:eastAsia="宋体" w:cs="宋体"/>
          <w:snapToGrid w:val="0"/>
          <w:kern w:val="0"/>
          <w:sz w:val="21"/>
          <w:szCs w:val="21"/>
        </w:rPr>
        <w:t>，每天上午00:00至12:00，下午12:00至23:59（北京时间，法定节假日除外）</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u w:val="single"/>
        </w:rPr>
      </w:pPr>
      <w:r>
        <w:rPr>
          <w:rFonts w:hint="eastAsia" w:ascii="宋体" w:hAnsi="宋体" w:eastAsia="宋体" w:cs="宋体"/>
          <w:snapToGrid w:val="0"/>
          <w:kern w:val="0"/>
          <w:sz w:val="21"/>
          <w:szCs w:val="21"/>
        </w:rPr>
        <w:t>2.地点：浙江政府采购网（</w:t>
      </w:r>
      <w:r>
        <w:rPr>
          <w:rFonts w:hint="eastAsia" w:ascii="宋体" w:hAnsi="宋体" w:eastAsia="宋体" w:cs="宋体"/>
          <w:snapToGrid w:val="0"/>
          <w:kern w:val="0"/>
          <w:sz w:val="21"/>
          <w:szCs w:val="21"/>
        </w:rPr>
        <w:fldChar w:fldCharType="begin"/>
      </w:r>
      <w:r>
        <w:rPr>
          <w:rFonts w:hint="eastAsia" w:ascii="宋体" w:hAnsi="宋体" w:eastAsia="宋体" w:cs="宋体"/>
          <w:snapToGrid w:val="0"/>
          <w:kern w:val="0"/>
          <w:sz w:val="21"/>
          <w:szCs w:val="21"/>
        </w:rPr>
        <w:instrText xml:space="preserve"> HYPERLINK "http://zfcg.czt.zj.gov.cn/" \h </w:instrText>
      </w:r>
      <w:r>
        <w:rPr>
          <w:rFonts w:hint="eastAsia" w:ascii="宋体" w:hAnsi="宋体" w:eastAsia="宋体" w:cs="宋体"/>
          <w:snapToGrid w:val="0"/>
          <w:kern w:val="0"/>
          <w:sz w:val="21"/>
          <w:szCs w:val="21"/>
        </w:rPr>
        <w:fldChar w:fldCharType="separate"/>
      </w:r>
      <w:r>
        <w:rPr>
          <w:rFonts w:hint="eastAsia" w:ascii="宋体" w:hAnsi="宋体" w:eastAsia="宋体" w:cs="宋体"/>
          <w:snapToGrid w:val="0"/>
          <w:kern w:val="0"/>
          <w:sz w:val="21"/>
          <w:szCs w:val="21"/>
        </w:rPr>
        <w:t>http://zfcg.czt.zj.gov.cn/</w:t>
      </w:r>
      <w:r>
        <w:rPr>
          <w:rFonts w:hint="eastAsia" w:ascii="宋体" w:hAnsi="宋体" w:eastAsia="宋体" w:cs="宋体"/>
          <w:snapToGrid w:val="0"/>
          <w:kern w:val="0"/>
          <w:sz w:val="21"/>
          <w:szCs w:val="21"/>
        </w:rPr>
        <w:fldChar w:fldCharType="end"/>
      </w:r>
      <w:r>
        <w:rPr>
          <w:rFonts w:hint="eastAsia" w:ascii="宋体" w:hAnsi="宋体" w:eastAsia="宋体" w:cs="宋体"/>
          <w:snapToGrid w:val="0"/>
          <w:kern w:val="0"/>
          <w:sz w:val="21"/>
          <w:szCs w:val="21"/>
        </w:rPr>
        <w:t>）政采云</w:t>
      </w:r>
      <w:r>
        <w:rPr>
          <w:rFonts w:hint="eastAsia" w:ascii="宋体" w:hAnsi="宋体" w:eastAsia="宋体" w:cs="宋体"/>
          <w:snapToGrid w:val="0"/>
          <w:kern w:val="0"/>
          <w:sz w:val="21"/>
          <w:szCs w:val="21"/>
          <w:lang w:eastAsia="zh-CN"/>
        </w:rPr>
        <w:t>平台</w:t>
      </w:r>
      <w:r>
        <w:rPr>
          <w:rFonts w:hint="eastAsia" w:ascii="宋体" w:hAnsi="宋体" w:eastAsia="宋体" w:cs="宋体"/>
          <w:sz w:val="21"/>
          <w:szCs w:val="21"/>
        </w:rPr>
        <w:t>。</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u w:val="single"/>
        </w:rPr>
      </w:pPr>
      <w:r>
        <w:rPr>
          <w:rFonts w:hint="eastAsia" w:ascii="宋体" w:hAnsi="宋体" w:eastAsia="宋体" w:cs="宋体"/>
          <w:snapToGrid w:val="0"/>
          <w:kern w:val="0"/>
          <w:sz w:val="21"/>
          <w:szCs w:val="21"/>
        </w:rPr>
        <w:t>3.方式：（1）供应商登录政采云平台https://www.zcygov.cn/在线申请获取采购文件（进入“项目采购”应用，在获取采购文件菜单中选择项目，申请获取采购文件）。（2）</w:t>
      </w:r>
      <w:r>
        <w:rPr>
          <w:rFonts w:hint="eastAsia" w:ascii="宋体" w:hAnsi="宋体" w:eastAsia="宋体" w:cs="宋体"/>
          <w:sz w:val="21"/>
          <w:szCs w:val="21"/>
        </w:rPr>
        <w:t>通过本公告下方“游客，浏览招标文件”下载的招标文件仅供浏览，不视作依法获取招标文件，不得就招标文件提出质疑投诉,未按规定获取招标文件者的投标将被拒绝。（3）招标文件及更正补充公告请自行登录浙江政府采购网，在招标公告及更正公告页面中下载。</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4.售价：0元。</w:t>
      </w:r>
      <w:bookmarkStart w:id="15" w:name="_Toc28359082"/>
      <w:bookmarkStart w:id="16" w:name="_Toc28359005"/>
      <w:bookmarkStart w:id="17" w:name="_Toc35393624"/>
      <w:bookmarkStart w:id="18" w:name="_Toc35393793"/>
    </w:p>
    <w:p>
      <w:pPr>
        <w:keepNext w:val="0"/>
        <w:keepLines w:val="0"/>
        <w:pageBreakBefore w:val="0"/>
        <w:widowControl w:val="0"/>
        <w:kinsoku/>
        <w:wordWrap/>
        <w:overflowPunct/>
        <w:topLinePunct w:val="0"/>
        <w:autoSpaceDE/>
        <w:autoSpaceDN/>
        <w:bidi w:val="0"/>
        <w:adjustRightInd/>
        <w:snapToGrid w:val="0"/>
        <w:spacing w:line="390" w:lineRule="exact"/>
        <w:textAlignment w:val="auto"/>
        <w:rPr>
          <w:rFonts w:hint="eastAsia" w:ascii="宋体" w:hAnsi="宋体" w:eastAsia="宋体" w:cs="宋体"/>
          <w:b/>
          <w:bCs/>
          <w:snapToGrid w:val="0"/>
          <w:sz w:val="21"/>
          <w:szCs w:val="21"/>
        </w:rPr>
      </w:pPr>
      <w:r>
        <w:rPr>
          <w:rFonts w:hint="eastAsia" w:ascii="宋体" w:hAnsi="宋体" w:eastAsia="宋体" w:cs="宋体"/>
          <w:b/>
          <w:bCs/>
          <w:snapToGrid w:val="0"/>
          <w:sz w:val="21"/>
          <w:szCs w:val="21"/>
        </w:rPr>
        <w:t>四、</w:t>
      </w:r>
      <w:bookmarkEnd w:id="15"/>
      <w:bookmarkEnd w:id="16"/>
      <w:bookmarkEnd w:id="17"/>
      <w:bookmarkEnd w:id="18"/>
      <w:r>
        <w:rPr>
          <w:rFonts w:hint="eastAsia" w:ascii="宋体" w:hAnsi="宋体" w:eastAsia="宋体" w:cs="宋体"/>
          <w:b/>
          <w:bCs/>
          <w:snapToGrid w:val="0"/>
          <w:sz w:val="21"/>
          <w:szCs w:val="21"/>
        </w:rPr>
        <w:t>提交投标文件截止时间、开标时间和地点</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提交投标文件截止时间：2023年</w:t>
      </w:r>
      <w:r>
        <w:rPr>
          <w:rFonts w:hint="eastAsia" w:ascii="宋体" w:hAnsi="宋体" w:eastAsia="宋体" w:cs="宋体"/>
          <w:snapToGrid w:val="0"/>
          <w:kern w:val="0"/>
          <w:sz w:val="21"/>
          <w:szCs w:val="21"/>
          <w:lang w:val="en-US" w:eastAsia="zh-CN"/>
        </w:rPr>
        <w:t xml:space="preserve"> </w:t>
      </w:r>
      <w:r>
        <w:rPr>
          <w:rFonts w:hint="eastAsia" w:ascii="宋体" w:hAnsi="宋体" w:cs="宋体"/>
          <w:snapToGrid w:val="0"/>
          <w:kern w:val="0"/>
          <w:sz w:val="21"/>
          <w:szCs w:val="21"/>
          <w:lang w:val="en-US" w:eastAsia="zh-CN"/>
        </w:rPr>
        <w:t>12</w:t>
      </w:r>
      <w:r>
        <w:rPr>
          <w:rFonts w:hint="eastAsia" w:ascii="宋体" w:hAnsi="宋体" w:eastAsia="宋体" w:cs="宋体"/>
          <w:snapToGrid w:val="0"/>
          <w:kern w:val="0"/>
          <w:sz w:val="21"/>
          <w:szCs w:val="21"/>
          <w:lang w:val="en-US" w:eastAsia="zh-CN"/>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lang w:val="en-US" w:eastAsia="zh-CN"/>
        </w:rPr>
        <w:t xml:space="preserve"> </w:t>
      </w:r>
      <w:r>
        <w:rPr>
          <w:rFonts w:hint="eastAsia" w:ascii="宋体" w:hAnsi="宋体" w:cs="宋体"/>
          <w:snapToGrid w:val="0"/>
          <w:kern w:val="0"/>
          <w:sz w:val="21"/>
          <w:szCs w:val="21"/>
          <w:lang w:val="en-US" w:eastAsia="zh-CN"/>
        </w:rPr>
        <w:t>29</w:t>
      </w:r>
      <w:r>
        <w:rPr>
          <w:rFonts w:hint="eastAsia" w:ascii="宋体" w:hAnsi="宋体" w:eastAsia="宋体" w:cs="宋体"/>
          <w:snapToGrid w:val="0"/>
          <w:kern w:val="0"/>
          <w:sz w:val="21"/>
          <w:szCs w:val="21"/>
          <w:lang w:val="en-US" w:eastAsia="zh-CN"/>
        </w:rPr>
        <w:t xml:space="preserve"> </w:t>
      </w:r>
      <w:r>
        <w:rPr>
          <w:rFonts w:hint="eastAsia" w:ascii="宋体" w:hAnsi="宋体" w:eastAsia="宋体" w:cs="宋体"/>
          <w:snapToGrid w:val="0"/>
          <w:kern w:val="0"/>
          <w:sz w:val="21"/>
          <w:szCs w:val="21"/>
        </w:rPr>
        <w:t xml:space="preserve">日 </w:t>
      </w:r>
      <w:r>
        <w:rPr>
          <w:rFonts w:hint="eastAsia" w:ascii="宋体" w:hAnsi="宋体" w:eastAsia="宋体" w:cs="宋体"/>
          <w:snapToGrid w:val="0"/>
          <w:kern w:val="0"/>
          <w:sz w:val="21"/>
          <w:szCs w:val="21"/>
          <w:lang w:val="en-US" w:eastAsia="zh-CN"/>
        </w:rPr>
        <w:t>14</w:t>
      </w:r>
      <w:r>
        <w:rPr>
          <w:rFonts w:hint="eastAsia" w:ascii="宋体" w:hAnsi="宋体" w:eastAsia="宋体" w:cs="宋体"/>
          <w:snapToGrid w:val="0"/>
          <w:kern w:val="0"/>
          <w:sz w:val="21"/>
          <w:szCs w:val="21"/>
        </w:rPr>
        <w:t>:</w:t>
      </w:r>
      <w:r>
        <w:rPr>
          <w:rFonts w:hint="eastAsia" w:ascii="宋体" w:hAnsi="宋体" w:eastAsia="宋体" w:cs="宋体"/>
          <w:snapToGrid w:val="0"/>
          <w:kern w:val="0"/>
          <w:sz w:val="21"/>
          <w:szCs w:val="21"/>
          <w:lang w:val="en-US" w:eastAsia="zh-CN"/>
        </w:rPr>
        <w:t>0</w:t>
      </w:r>
      <w:r>
        <w:rPr>
          <w:rFonts w:hint="eastAsia" w:ascii="宋体" w:hAnsi="宋体" w:eastAsia="宋体" w:cs="宋体"/>
          <w:snapToGrid w:val="0"/>
          <w:kern w:val="0"/>
          <w:sz w:val="21"/>
          <w:szCs w:val="21"/>
        </w:rPr>
        <w:t>0（北京时间）</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投标地点（网址）：政采云平台（https://www.zcygov.cn/） </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开标时间：2023年</w:t>
      </w:r>
      <w:r>
        <w:rPr>
          <w:rFonts w:hint="eastAsia" w:ascii="宋体" w:hAnsi="宋体" w:eastAsia="宋体" w:cs="宋体"/>
          <w:snapToGrid w:val="0"/>
          <w:kern w:val="0"/>
          <w:sz w:val="21"/>
          <w:szCs w:val="21"/>
          <w:lang w:val="en-US" w:eastAsia="zh-CN"/>
        </w:rPr>
        <w:t xml:space="preserve"> </w:t>
      </w:r>
      <w:r>
        <w:rPr>
          <w:rFonts w:hint="eastAsia" w:ascii="宋体" w:hAnsi="宋体" w:cs="宋体"/>
          <w:snapToGrid w:val="0"/>
          <w:kern w:val="0"/>
          <w:sz w:val="21"/>
          <w:szCs w:val="21"/>
          <w:lang w:val="en-US" w:eastAsia="zh-CN"/>
        </w:rPr>
        <w:t>12</w:t>
      </w:r>
      <w:r>
        <w:rPr>
          <w:rFonts w:hint="eastAsia" w:ascii="宋体" w:hAnsi="宋体" w:eastAsia="宋体" w:cs="宋体"/>
          <w:snapToGrid w:val="0"/>
          <w:kern w:val="0"/>
          <w:sz w:val="21"/>
          <w:szCs w:val="21"/>
          <w:lang w:val="en-US" w:eastAsia="zh-CN"/>
        </w:rPr>
        <w:t xml:space="preserve"> </w:t>
      </w:r>
      <w:r>
        <w:rPr>
          <w:rFonts w:hint="eastAsia" w:ascii="宋体" w:hAnsi="宋体" w:eastAsia="宋体" w:cs="宋体"/>
          <w:snapToGrid w:val="0"/>
          <w:kern w:val="0"/>
          <w:sz w:val="21"/>
          <w:szCs w:val="21"/>
        </w:rPr>
        <w:t>月</w:t>
      </w:r>
      <w:r>
        <w:rPr>
          <w:rFonts w:hint="eastAsia" w:ascii="宋体" w:hAnsi="宋体" w:eastAsia="宋体" w:cs="宋体"/>
          <w:snapToGrid w:val="0"/>
          <w:kern w:val="0"/>
          <w:sz w:val="21"/>
          <w:szCs w:val="21"/>
          <w:lang w:val="en-US" w:eastAsia="zh-CN"/>
        </w:rPr>
        <w:t xml:space="preserve"> </w:t>
      </w:r>
      <w:r>
        <w:rPr>
          <w:rFonts w:hint="eastAsia" w:ascii="宋体" w:hAnsi="宋体" w:cs="宋体"/>
          <w:snapToGrid w:val="0"/>
          <w:kern w:val="0"/>
          <w:sz w:val="21"/>
          <w:szCs w:val="21"/>
          <w:lang w:val="en-US" w:eastAsia="zh-CN"/>
        </w:rPr>
        <w:t>19</w:t>
      </w:r>
      <w:r>
        <w:rPr>
          <w:rFonts w:hint="eastAsia" w:ascii="宋体" w:hAnsi="宋体" w:eastAsia="宋体" w:cs="宋体"/>
          <w:snapToGrid w:val="0"/>
          <w:kern w:val="0"/>
          <w:sz w:val="21"/>
          <w:szCs w:val="21"/>
          <w:lang w:val="en-US" w:eastAsia="zh-CN"/>
        </w:rPr>
        <w:t xml:space="preserve"> </w:t>
      </w:r>
      <w:r>
        <w:rPr>
          <w:rFonts w:hint="eastAsia" w:ascii="宋体" w:hAnsi="宋体" w:eastAsia="宋体" w:cs="宋体"/>
          <w:snapToGrid w:val="0"/>
          <w:kern w:val="0"/>
          <w:sz w:val="21"/>
          <w:szCs w:val="21"/>
        </w:rPr>
        <w:t xml:space="preserve">日 </w:t>
      </w:r>
      <w:r>
        <w:rPr>
          <w:rFonts w:hint="eastAsia" w:ascii="宋体" w:hAnsi="宋体" w:eastAsia="宋体" w:cs="宋体"/>
          <w:snapToGrid w:val="0"/>
          <w:kern w:val="0"/>
          <w:sz w:val="21"/>
          <w:szCs w:val="21"/>
          <w:lang w:val="en-US" w:eastAsia="zh-CN"/>
        </w:rPr>
        <w:t>14</w:t>
      </w:r>
      <w:r>
        <w:rPr>
          <w:rFonts w:hint="eastAsia" w:ascii="宋体" w:hAnsi="宋体" w:eastAsia="宋体" w:cs="宋体"/>
          <w:snapToGrid w:val="0"/>
          <w:kern w:val="0"/>
          <w:sz w:val="21"/>
          <w:szCs w:val="21"/>
        </w:rPr>
        <w:t>:</w:t>
      </w:r>
      <w:r>
        <w:rPr>
          <w:rFonts w:hint="eastAsia" w:ascii="宋体" w:hAnsi="宋体" w:eastAsia="宋体" w:cs="宋体"/>
          <w:snapToGrid w:val="0"/>
          <w:kern w:val="0"/>
          <w:sz w:val="21"/>
          <w:szCs w:val="21"/>
          <w:lang w:val="en-US" w:eastAsia="zh-CN"/>
        </w:rPr>
        <w:t>0</w:t>
      </w:r>
      <w:r>
        <w:rPr>
          <w:rFonts w:hint="eastAsia" w:ascii="宋体" w:hAnsi="宋体" w:eastAsia="宋体" w:cs="宋体"/>
          <w:snapToGrid w:val="0"/>
          <w:kern w:val="0"/>
          <w:sz w:val="21"/>
          <w:szCs w:val="21"/>
        </w:rPr>
        <w:t>0 </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开标地点（网址）：象山县公共资源交易中心四楼【象山县象山港路300号】</w:t>
      </w:r>
    </w:p>
    <w:p>
      <w:pPr>
        <w:keepNext w:val="0"/>
        <w:keepLines w:val="0"/>
        <w:pageBreakBefore w:val="0"/>
        <w:widowControl w:val="0"/>
        <w:kinsoku/>
        <w:wordWrap/>
        <w:overflowPunct/>
        <w:topLinePunct w:val="0"/>
        <w:autoSpaceDE/>
        <w:autoSpaceDN/>
        <w:bidi w:val="0"/>
        <w:adjustRightInd/>
        <w:snapToGrid w:val="0"/>
        <w:spacing w:line="390" w:lineRule="exact"/>
        <w:textAlignment w:val="auto"/>
        <w:rPr>
          <w:rFonts w:hint="eastAsia" w:ascii="宋体" w:hAnsi="宋体" w:eastAsia="宋体" w:cs="宋体"/>
          <w:b/>
          <w:bCs/>
          <w:snapToGrid w:val="0"/>
          <w:sz w:val="21"/>
          <w:szCs w:val="21"/>
        </w:rPr>
      </w:pPr>
      <w:r>
        <w:rPr>
          <w:rFonts w:hint="eastAsia" w:ascii="宋体" w:hAnsi="宋体" w:eastAsia="宋体" w:cs="宋体"/>
          <w:b/>
          <w:bCs/>
          <w:snapToGrid w:val="0"/>
          <w:sz w:val="21"/>
          <w:szCs w:val="21"/>
        </w:rPr>
        <w:t>五、公告期限 </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lang w:val="en-US"/>
        </w:rPr>
      </w:pPr>
      <w:r>
        <w:rPr>
          <w:rFonts w:hint="eastAsia" w:ascii="宋体" w:hAnsi="宋体" w:eastAsia="宋体" w:cs="宋体"/>
          <w:snapToGrid w:val="0"/>
          <w:kern w:val="0"/>
          <w:sz w:val="21"/>
          <w:szCs w:val="21"/>
          <w:lang w:val="en-US"/>
        </w:rPr>
        <w:t>自本公告发布之日起5个工作日。</w:t>
      </w:r>
    </w:p>
    <w:p>
      <w:pPr>
        <w:keepNext w:val="0"/>
        <w:keepLines w:val="0"/>
        <w:pageBreakBefore w:val="0"/>
        <w:widowControl w:val="0"/>
        <w:kinsoku/>
        <w:wordWrap/>
        <w:overflowPunct/>
        <w:topLinePunct w:val="0"/>
        <w:autoSpaceDE/>
        <w:autoSpaceDN/>
        <w:bidi w:val="0"/>
        <w:adjustRightInd/>
        <w:snapToGrid w:val="0"/>
        <w:spacing w:line="390" w:lineRule="exact"/>
        <w:textAlignment w:val="auto"/>
        <w:rPr>
          <w:rFonts w:hint="eastAsia" w:ascii="宋体" w:hAnsi="宋体" w:eastAsia="宋体" w:cs="宋体"/>
          <w:b/>
          <w:bCs/>
          <w:snapToGrid w:val="0"/>
          <w:sz w:val="21"/>
          <w:szCs w:val="21"/>
        </w:rPr>
      </w:pPr>
      <w:r>
        <w:rPr>
          <w:rFonts w:hint="eastAsia" w:ascii="宋体" w:hAnsi="宋体" w:eastAsia="宋体" w:cs="宋体"/>
          <w:b/>
          <w:bCs/>
          <w:snapToGrid w:val="0"/>
          <w:sz w:val="21"/>
          <w:szCs w:val="21"/>
        </w:rPr>
        <w:t>六、其他补充事宜</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（一）</w:t>
      </w:r>
      <w:bookmarkStart w:id="19" w:name="_Hlk64620766"/>
      <w:r>
        <w:rPr>
          <w:rFonts w:hint="eastAsia" w:ascii="宋体" w:hAnsi="宋体" w:eastAsia="宋体" w:cs="宋体"/>
          <w:snapToGrid w:val="0"/>
          <w:kern w:val="0"/>
          <w:sz w:val="21"/>
          <w:szCs w:val="21"/>
        </w:rPr>
        <w:t>（1）监狱企业、残疾人福利性单位视同小微企业；残疾人福利性单位属于小型、微型企业的，不重复享受政策；（2）优先采购节能环保产品（注：所采购的货物在政府采购节能产品、环境标志产品实施品目清单范围内，且具有国家确定的认证机构出具的、处于有效期之内的节能产品、环境标志产品认证证书）。</w:t>
      </w:r>
      <w:bookmarkEnd w:id="19"/>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（二）供应商需按照《浙江省政府采购供应商注册及诚信管理暂行办法》的规定在“浙江政府采购网”政采云平台注册登记的，成为浙江省政府采购注册供应商。如未注册的供应商，请注意注册所需时间。</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lang w:eastAsia="zh-CN"/>
        </w:rPr>
        <w:t>（</w:t>
      </w:r>
      <w:r>
        <w:rPr>
          <w:rFonts w:hint="eastAsia" w:ascii="宋体" w:hAnsi="宋体" w:eastAsia="宋体" w:cs="宋体"/>
          <w:snapToGrid w:val="0"/>
          <w:kern w:val="0"/>
          <w:sz w:val="21"/>
          <w:szCs w:val="21"/>
          <w:lang w:val="en-US" w:eastAsia="zh-CN"/>
        </w:rPr>
        <w:t>三</w:t>
      </w:r>
      <w:r>
        <w:rPr>
          <w:rFonts w:hint="eastAsia" w:ascii="宋体" w:hAnsi="宋体" w:eastAsia="宋体" w:cs="宋体"/>
          <w:snapToGrid w:val="0"/>
          <w:kern w:val="0"/>
          <w:sz w:val="21"/>
          <w:szCs w:val="21"/>
          <w:lang w:eastAsia="zh-CN"/>
        </w:rPr>
        <w:t>）投标供应商</w:t>
      </w:r>
      <w:r>
        <w:rPr>
          <w:rFonts w:hint="eastAsia" w:ascii="宋体" w:hAnsi="宋体" w:eastAsia="宋体" w:cs="宋体"/>
          <w:snapToGrid w:val="0"/>
          <w:kern w:val="0"/>
          <w:sz w:val="21"/>
          <w:szCs w:val="21"/>
        </w:rPr>
        <w:t>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w:t>
      </w:r>
      <w:r>
        <w:rPr>
          <w:rFonts w:hint="eastAsia" w:ascii="宋体" w:hAnsi="宋体" w:eastAsia="宋体" w:cs="宋体"/>
          <w:snapToGrid w:val="0"/>
          <w:kern w:val="0"/>
          <w:sz w:val="21"/>
          <w:szCs w:val="21"/>
          <w:lang w:eastAsia="zh-CN"/>
        </w:rPr>
        <w:t>投标供应商</w:t>
      </w:r>
      <w:r>
        <w:rPr>
          <w:rFonts w:hint="eastAsia" w:ascii="宋体" w:hAnsi="宋体" w:eastAsia="宋体" w:cs="宋体"/>
          <w:snapToGrid w:val="0"/>
          <w:kern w:val="0"/>
          <w:sz w:val="21"/>
          <w:szCs w:val="21"/>
        </w:rPr>
        <w:t>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w:t>
      </w:r>
      <w:r>
        <w:rPr>
          <w:rFonts w:hint="eastAsia" w:ascii="宋体" w:hAnsi="宋体" w:eastAsia="宋体" w:cs="宋体"/>
          <w:snapToGrid w:val="0"/>
          <w:kern w:val="0"/>
          <w:sz w:val="21"/>
          <w:szCs w:val="21"/>
          <w:lang w:val="en-US" w:eastAsia="zh-CN"/>
        </w:rPr>
        <w:t>四</w:t>
      </w:r>
      <w:r>
        <w:rPr>
          <w:rFonts w:hint="eastAsia" w:ascii="宋体" w:hAnsi="宋体" w:eastAsia="宋体" w:cs="宋体"/>
          <w:snapToGrid w:val="0"/>
          <w:kern w:val="0"/>
          <w:sz w:val="21"/>
          <w:szCs w:val="21"/>
        </w:rPr>
        <w:t>）投标与开标注意事项：</w:t>
      </w:r>
    </w:p>
    <w:p>
      <w:pPr>
        <w:keepNext w:val="0"/>
        <w:keepLines w:val="0"/>
        <w:pageBreakBefore w:val="0"/>
        <w:widowControl w:val="0"/>
        <w:numPr>
          <w:ilvl w:val="0"/>
          <w:numId w:val="3"/>
        </w:numPr>
        <w:kinsoku/>
        <w:wordWrap/>
        <w:overflowPunct/>
        <w:topLinePunct w:val="0"/>
        <w:autoSpaceDE/>
        <w:autoSpaceDN/>
        <w:bidi w:val="0"/>
        <w:adjustRightInd/>
        <w:snapToGrid w:val="0"/>
        <w:spacing w:line="390" w:lineRule="exact"/>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本项目实行网上投标，采用电子</w:t>
      </w: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rPr>
        <w:t>。若供应商参与投标，自行承担投标一切费用。</w:t>
      </w:r>
    </w:p>
    <w:p>
      <w:pPr>
        <w:keepNext w:val="0"/>
        <w:keepLines w:val="0"/>
        <w:pageBreakBefore w:val="0"/>
        <w:widowControl w:val="0"/>
        <w:numPr>
          <w:ilvl w:val="0"/>
          <w:numId w:val="3"/>
        </w:numPr>
        <w:kinsoku/>
        <w:wordWrap/>
        <w:overflowPunct/>
        <w:topLinePunct w:val="0"/>
        <w:autoSpaceDE/>
        <w:autoSpaceDN/>
        <w:bidi w:val="0"/>
        <w:adjustRightInd/>
        <w:snapToGrid w:val="0"/>
        <w:spacing w:line="390" w:lineRule="exact"/>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标前准备：各供应商应在开标前确保成为浙江政府采购网正式注册入库供应商，并完成CA数字证书办理。同时供应商须保证在政府采购云平台注册的手机号码通讯畅通，能够及时收到评标过程中发送的询标通知。因未注册入库、未办理CA数字证书、手机通讯不畅等原因造成无法投标、投标失败或响应不及时等后果由供应商自行承担。</w:t>
      </w:r>
    </w:p>
    <w:p>
      <w:pPr>
        <w:keepNext w:val="0"/>
        <w:keepLines w:val="0"/>
        <w:pageBreakBefore w:val="0"/>
        <w:widowControl w:val="0"/>
        <w:numPr>
          <w:ilvl w:val="0"/>
          <w:numId w:val="3"/>
        </w:numPr>
        <w:kinsoku/>
        <w:wordWrap/>
        <w:overflowPunct/>
        <w:topLinePunct w:val="0"/>
        <w:autoSpaceDE/>
        <w:autoSpaceDN/>
        <w:bidi w:val="0"/>
        <w:adjustRightInd/>
        <w:snapToGrid w:val="0"/>
        <w:spacing w:line="390" w:lineRule="exact"/>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rPr>
        <w:t>制作：</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3.1应按照本项目采购文件和政府采购云平台的要求编制、加密并递交</w:t>
      </w: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rPr>
        <w:t>。供应商在使用系统进行投标的过程中遇到涉及平台使用的任何问题，可致电政府采购云平台技术支持热线咨询，联系方式：</w:t>
      </w:r>
      <w:r>
        <w:rPr>
          <w:rFonts w:hint="eastAsia" w:ascii="宋体" w:hAnsi="宋体" w:eastAsia="宋体" w:cs="宋体"/>
          <w:snapToGrid w:val="0"/>
          <w:kern w:val="0"/>
          <w:sz w:val="21"/>
          <w:szCs w:val="21"/>
          <w:lang w:val="en-US" w:eastAsia="zh-CN"/>
        </w:rPr>
        <w:t>95763</w:t>
      </w:r>
      <w:r>
        <w:rPr>
          <w:rFonts w:hint="eastAsia" w:ascii="宋体" w:hAnsi="宋体" w:eastAsia="宋体" w:cs="宋体"/>
          <w:snapToGrid w:val="0"/>
          <w:kern w:val="0"/>
          <w:sz w:val="21"/>
          <w:szCs w:val="21"/>
        </w:rPr>
        <w:t>。</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3.2供应商通过政府采购云平台电子投标工具制作</w:t>
      </w: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rPr>
        <w:t>，电子投标工具请供应商自行前往浙江政府采购网下载并安装，</w:t>
      </w: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rPr>
        <w:t>制作具体流程详见政府采购云平台。</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3.3</w:t>
      </w:r>
      <w:r>
        <w:rPr>
          <w:rFonts w:hint="eastAsia" w:ascii="宋体" w:hAnsi="宋体" w:eastAsia="宋体" w:cs="宋体"/>
          <w:snapToGrid w:val="0"/>
          <w:kern w:val="0"/>
          <w:sz w:val="21"/>
          <w:szCs w:val="21"/>
          <w:lang w:val="en-US" w:eastAsia="zh-CN"/>
        </w:rPr>
        <w:t>提供</w:t>
      </w:r>
      <w:r>
        <w:rPr>
          <w:rFonts w:hint="eastAsia" w:ascii="宋体" w:hAnsi="宋体" w:eastAsia="宋体" w:cs="宋体"/>
          <w:snapToGrid w:val="0"/>
          <w:kern w:val="0"/>
          <w:sz w:val="21"/>
          <w:szCs w:val="21"/>
        </w:rPr>
        <w:t>电子备份</w:t>
      </w: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rPr>
        <w:t>1份</w:t>
      </w:r>
      <w:r>
        <w:rPr>
          <w:rFonts w:hint="eastAsia" w:ascii="宋体" w:hAnsi="宋体" w:cs="宋体"/>
          <w:b/>
          <w:bCs/>
          <w:sz w:val="21"/>
          <w:szCs w:val="21"/>
        </w:rPr>
        <w:t>（可由供应商自行确定是否提交）</w:t>
      </w:r>
      <w:r>
        <w:rPr>
          <w:rFonts w:hint="eastAsia" w:ascii="宋体" w:hAnsi="宋体" w:eastAsia="宋体" w:cs="宋体"/>
          <w:snapToGrid w:val="0"/>
          <w:kern w:val="0"/>
          <w:sz w:val="21"/>
          <w:szCs w:val="21"/>
        </w:rPr>
        <w:t>，按政府采购云平台要求制作的电子备份</w:t>
      </w: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rPr>
        <w:t>，以用于异常情况处理。供应商电子备份</w:t>
      </w: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rPr>
        <w:t>的投标方式：</w:t>
      </w:r>
      <w:r>
        <w:rPr>
          <w:rFonts w:hint="eastAsia" w:ascii="宋体" w:hAnsi="宋体" w:eastAsia="宋体" w:cs="宋体"/>
          <w:snapToGrid w:val="0"/>
          <w:kern w:val="0"/>
          <w:sz w:val="21"/>
          <w:szCs w:val="21"/>
          <w:lang w:val="en-US" w:eastAsia="zh-CN"/>
        </w:rPr>
        <w:t>在</w:t>
      </w:r>
      <w:r>
        <w:rPr>
          <w:rFonts w:hint="eastAsia" w:ascii="宋体" w:hAnsi="宋体" w:eastAsia="宋体" w:cs="宋体"/>
          <w:snapToGrid w:val="0"/>
          <w:kern w:val="0"/>
          <w:sz w:val="21"/>
          <w:szCs w:val="21"/>
        </w:rPr>
        <w:t>提交投标文件截止时间</w:t>
      </w:r>
      <w:r>
        <w:rPr>
          <w:rFonts w:hint="eastAsia" w:ascii="宋体" w:hAnsi="宋体" w:eastAsia="宋体" w:cs="宋体"/>
          <w:snapToGrid w:val="0"/>
          <w:kern w:val="0"/>
          <w:sz w:val="21"/>
          <w:szCs w:val="21"/>
          <w:lang w:val="en-US" w:eastAsia="zh-CN"/>
        </w:rPr>
        <w:t>前以电子邮件形式将</w:t>
      </w:r>
      <w:r>
        <w:rPr>
          <w:rFonts w:hint="eastAsia" w:ascii="宋体" w:hAnsi="宋体" w:eastAsia="宋体" w:cs="宋体"/>
          <w:snapToGrid w:val="0"/>
          <w:kern w:val="0"/>
          <w:sz w:val="21"/>
          <w:szCs w:val="21"/>
        </w:rPr>
        <w:t>电子备份</w:t>
      </w: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lang w:val="en-US" w:eastAsia="zh-CN"/>
        </w:rPr>
        <w:t>发送至948494299@qq.com邮箱，超出</w:t>
      </w:r>
      <w:r>
        <w:rPr>
          <w:rFonts w:hint="eastAsia" w:ascii="宋体" w:hAnsi="宋体" w:eastAsia="宋体" w:cs="宋体"/>
          <w:snapToGrid w:val="0"/>
          <w:kern w:val="0"/>
          <w:sz w:val="21"/>
          <w:szCs w:val="21"/>
        </w:rPr>
        <w:t>提交投标文件截止时间</w:t>
      </w:r>
      <w:r>
        <w:rPr>
          <w:rFonts w:hint="eastAsia" w:ascii="宋体" w:hAnsi="宋体" w:eastAsia="宋体" w:cs="宋体"/>
          <w:snapToGrid w:val="0"/>
          <w:kern w:val="0"/>
          <w:sz w:val="21"/>
          <w:szCs w:val="21"/>
          <w:lang w:val="en-US" w:eastAsia="zh-CN"/>
        </w:rPr>
        <w:t>所发送的</w:t>
      </w:r>
      <w:r>
        <w:rPr>
          <w:rFonts w:hint="eastAsia" w:ascii="宋体" w:hAnsi="宋体" w:eastAsia="宋体" w:cs="宋体"/>
          <w:snapToGrid w:val="0"/>
          <w:kern w:val="0"/>
          <w:sz w:val="21"/>
          <w:szCs w:val="21"/>
        </w:rPr>
        <w:t>电子备份</w:t>
      </w:r>
      <w:r>
        <w:rPr>
          <w:rFonts w:hint="eastAsia" w:ascii="宋体" w:hAnsi="宋体" w:eastAsia="宋体" w:cs="宋体"/>
          <w:snapToGrid w:val="0"/>
          <w:kern w:val="0"/>
          <w:sz w:val="21"/>
          <w:szCs w:val="21"/>
          <w:lang w:eastAsia="zh-CN"/>
        </w:rPr>
        <w:t>投标文件</w:t>
      </w:r>
      <w:r>
        <w:rPr>
          <w:rFonts w:hint="eastAsia" w:ascii="宋体" w:hAnsi="宋体" w:eastAsia="宋体" w:cs="宋体"/>
          <w:snapToGrid w:val="0"/>
          <w:kern w:val="0"/>
          <w:sz w:val="21"/>
          <w:szCs w:val="21"/>
          <w:lang w:val="en-US" w:eastAsia="zh-CN"/>
        </w:rPr>
        <w:t>不予认可</w:t>
      </w:r>
      <w:r>
        <w:rPr>
          <w:rFonts w:hint="eastAsia" w:ascii="宋体" w:hAnsi="宋体" w:eastAsia="宋体" w:cs="宋体"/>
          <w:snapToGrid w:val="0"/>
          <w:kern w:val="0"/>
          <w:sz w:val="21"/>
          <w:szCs w:val="21"/>
        </w:rPr>
        <w:t>。</w:t>
      </w:r>
    </w:p>
    <w:p>
      <w:pPr>
        <w:keepNext w:val="0"/>
        <w:keepLines w:val="0"/>
        <w:pageBreakBefore w:val="0"/>
        <w:widowControl w:val="0"/>
        <w:kinsoku/>
        <w:wordWrap/>
        <w:overflowPunct/>
        <w:topLinePunct w:val="0"/>
        <w:autoSpaceDE/>
        <w:autoSpaceDN/>
        <w:bidi w:val="0"/>
        <w:adjustRightInd/>
        <w:snapToGrid w:val="0"/>
        <w:spacing w:line="390" w:lineRule="exact"/>
        <w:textAlignment w:val="auto"/>
        <w:rPr>
          <w:rFonts w:hint="eastAsia" w:ascii="宋体" w:hAnsi="宋体" w:eastAsia="宋体" w:cs="宋体"/>
          <w:b/>
          <w:bCs/>
          <w:snapToGrid w:val="0"/>
          <w:sz w:val="21"/>
          <w:szCs w:val="21"/>
        </w:rPr>
      </w:pPr>
      <w:bookmarkStart w:id="20" w:name="_Toc28359008"/>
      <w:bookmarkStart w:id="21" w:name="_Toc35393796"/>
      <w:bookmarkStart w:id="22" w:name="_Toc28359085"/>
      <w:bookmarkStart w:id="23" w:name="_Toc35393627"/>
      <w:r>
        <w:rPr>
          <w:rFonts w:hint="eastAsia" w:ascii="宋体" w:hAnsi="宋体" w:eastAsia="宋体" w:cs="宋体"/>
          <w:b/>
          <w:bCs/>
          <w:snapToGrid w:val="0"/>
          <w:sz w:val="21"/>
          <w:szCs w:val="21"/>
          <w:lang w:eastAsia="zh-CN"/>
        </w:rPr>
        <w:t>七</w:t>
      </w:r>
      <w:r>
        <w:rPr>
          <w:rFonts w:hint="eastAsia" w:ascii="宋体" w:hAnsi="宋体" w:eastAsia="宋体" w:cs="宋体"/>
          <w:b/>
          <w:bCs/>
          <w:snapToGrid w:val="0"/>
          <w:sz w:val="21"/>
          <w:szCs w:val="21"/>
        </w:rPr>
        <w:t>、</w:t>
      </w:r>
      <w:bookmarkEnd w:id="20"/>
      <w:bookmarkEnd w:id="21"/>
      <w:bookmarkEnd w:id="22"/>
      <w:bookmarkEnd w:id="23"/>
      <w:r>
        <w:rPr>
          <w:rFonts w:hint="eastAsia" w:ascii="宋体" w:hAnsi="宋体" w:eastAsia="宋体" w:cs="宋体"/>
          <w:b/>
          <w:bCs/>
          <w:snapToGrid w:val="0"/>
          <w:sz w:val="21"/>
          <w:szCs w:val="21"/>
        </w:rPr>
        <w:t>凡对本次采购提出询问，请按以下方式联系</w:t>
      </w:r>
    </w:p>
    <w:p>
      <w:pPr>
        <w:keepNext w:val="0"/>
        <w:keepLines w:val="0"/>
        <w:pageBreakBefore w:val="0"/>
        <w:widowControl w:val="0"/>
        <w:kinsoku/>
        <w:wordWrap/>
        <w:overflowPunct/>
        <w:topLinePunct w:val="0"/>
        <w:autoSpaceDE/>
        <w:autoSpaceDN/>
        <w:bidi w:val="0"/>
        <w:adjustRightInd/>
        <w:snapToGrid w:val="0"/>
        <w:spacing w:line="390" w:lineRule="exact"/>
        <w:ind w:firstLine="422" w:firstLineChars="200"/>
        <w:textAlignment w:val="auto"/>
        <w:rPr>
          <w:rFonts w:hint="eastAsia" w:ascii="宋体" w:hAnsi="宋体" w:eastAsia="宋体" w:cs="宋体"/>
          <w:b/>
          <w:bCs/>
          <w:snapToGrid w:val="0"/>
          <w:kern w:val="0"/>
          <w:sz w:val="21"/>
          <w:szCs w:val="21"/>
        </w:rPr>
      </w:pPr>
      <w:r>
        <w:rPr>
          <w:rFonts w:hint="eastAsia" w:ascii="宋体" w:hAnsi="宋体" w:eastAsia="宋体" w:cs="宋体"/>
          <w:b/>
          <w:bCs/>
          <w:snapToGrid w:val="0"/>
          <w:kern w:val="0"/>
          <w:sz w:val="21"/>
          <w:szCs w:val="21"/>
        </w:rPr>
        <w:t>1.采购人信息</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名 称：</w:t>
      </w:r>
      <w:r>
        <w:rPr>
          <w:rFonts w:hint="eastAsia" w:ascii="宋体" w:hAnsi="宋体" w:eastAsia="宋体" w:cs="宋体"/>
          <w:snapToGrid w:val="0"/>
          <w:kern w:val="0"/>
          <w:sz w:val="21"/>
          <w:szCs w:val="21"/>
          <w:lang w:eastAsia="zh-CN"/>
        </w:rPr>
        <w:t>象山县中医医院医疗健康集团</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地 址：</w:t>
      </w:r>
      <w:r>
        <w:rPr>
          <w:rFonts w:hint="eastAsia" w:ascii="宋体" w:hAnsi="宋体" w:eastAsia="宋体" w:cs="宋体"/>
          <w:snapToGrid w:val="0"/>
          <w:color w:val="auto"/>
          <w:kern w:val="0"/>
          <w:sz w:val="21"/>
          <w:szCs w:val="21"/>
          <w:lang w:val="en-US" w:eastAsia="zh-CN"/>
        </w:rPr>
        <w:t>象山县丹西街道兴洋路7号</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传 真：/</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color w:val="auto"/>
          <w:kern w:val="0"/>
          <w:sz w:val="21"/>
          <w:szCs w:val="21"/>
          <w:lang w:eastAsia="zh-CN"/>
        </w:rPr>
      </w:pPr>
      <w:r>
        <w:rPr>
          <w:rFonts w:hint="eastAsia" w:ascii="宋体" w:hAnsi="宋体" w:eastAsia="宋体" w:cs="宋体"/>
          <w:snapToGrid w:val="0"/>
          <w:color w:val="auto"/>
          <w:kern w:val="0"/>
          <w:sz w:val="21"/>
          <w:szCs w:val="21"/>
        </w:rPr>
        <w:t>项目联系人（询问）：</w:t>
      </w:r>
      <w:r>
        <w:rPr>
          <w:rFonts w:hint="default" w:ascii="宋体" w:hAnsi="宋体" w:eastAsia="宋体" w:cs="宋体"/>
          <w:color w:val="auto"/>
          <w:sz w:val="21"/>
          <w:u w:val="none"/>
          <w:lang w:val="en-US" w:eastAsia="zh-CN"/>
        </w:rPr>
        <w:t>郑先生</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default" w:ascii="宋体" w:hAnsi="宋体" w:eastAsia="宋体" w:cs="宋体"/>
          <w:snapToGrid w:val="0"/>
          <w:color w:val="auto"/>
          <w:kern w:val="0"/>
          <w:sz w:val="21"/>
          <w:szCs w:val="21"/>
          <w:shd w:val="clear" w:color="auto" w:fill="auto"/>
          <w:lang w:val="en-US" w:eastAsia="zh-CN"/>
        </w:rPr>
      </w:pPr>
      <w:r>
        <w:rPr>
          <w:rFonts w:hint="eastAsia" w:ascii="宋体" w:hAnsi="宋体" w:eastAsia="宋体" w:cs="宋体"/>
          <w:snapToGrid w:val="0"/>
          <w:color w:val="auto"/>
          <w:kern w:val="0"/>
          <w:sz w:val="21"/>
          <w:szCs w:val="21"/>
          <w:shd w:val="clear" w:color="auto" w:fill="auto"/>
        </w:rPr>
        <w:t>项目联系方式（询问）：</w:t>
      </w:r>
      <w:r>
        <w:rPr>
          <w:rFonts w:hint="default" w:ascii="宋体" w:hAnsi="宋体" w:eastAsia="宋体" w:cs="宋体"/>
          <w:color w:val="auto"/>
          <w:sz w:val="21"/>
          <w:u w:val="none"/>
          <w:lang w:val="en-US" w:eastAsia="zh-CN"/>
        </w:rPr>
        <w:t>13586807722</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default" w:ascii="宋体" w:hAnsi="宋体" w:eastAsia="宋体" w:cs="宋体"/>
          <w:snapToGrid w:val="0"/>
          <w:color w:val="auto"/>
          <w:kern w:val="0"/>
          <w:sz w:val="21"/>
          <w:szCs w:val="21"/>
          <w:shd w:val="clear" w:color="auto" w:fill="auto"/>
          <w:lang w:val="en-US" w:eastAsia="zh-CN"/>
        </w:rPr>
      </w:pPr>
      <w:r>
        <w:rPr>
          <w:rFonts w:hint="eastAsia" w:ascii="宋体" w:hAnsi="宋体" w:eastAsia="宋体" w:cs="宋体"/>
          <w:snapToGrid w:val="0"/>
          <w:color w:val="auto"/>
          <w:kern w:val="0"/>
          <w:sz w:val="21"/>
          <w:szCs w:val="21"/>
          <w:shd w:val="clear" w:color="auto" w:fill="auto"/>
        </w:rPr>
        <w:t>质疑联系人：傅永君</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default" w:ascii="宋体" w:hAnsi="宋体" w:eastAsia="宋体" w:cs="宋体"/>
          <w:snapToGrid w:val="0"/>
          <w:color w:val="auto"/>
          <w:kern w:val="0"/>
          <w:sz w:val="21"/>
          <w:szCs w:val="21"/>
          <w:shd w:val="clear" w:color="auto" w:fill="auto"/>
          <w:lang w:val="en-US" w:eastAsia="zh-CN"/>
        </w:rPr>
      </w:pPr>
      <w:r>
        <w:rPr>
          <w:rFonts w:hint="eastAsia" w:ascii="宋体" w:hAnsi="宋体" w:eastAsia="宋体" w:cs="宋体"/>
          <w:snapToGrid w:val="0"/>
          <w:color w:val="auto"/>
          <w:kern w:val="0"/>
          <w:sz w:val="21"/>
          <w:szCs w:val="21"/>
          <w:shd w:val="clear" w:color="auto" w:fill="auto"/>
        </w:rPr>
        <w:t>质疑联系方式：13805852797</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color w:val="auto"/>
          <w:kern w:val="0"/>
          <w:sz w:val="21"/>
          <w:szCs w:val="21"/>
        </w:rPr>
        <w:br w:type="textWrapping"/>
      </w:r>
      <w:r>
        <w:rPr>
          <w:rFonts w:hint="eastAsia" w:ascii="宋体" w:hAnsi="宋体" w:eastAsia="宋体" w:cs="宋体"/>
          <w:snapToGrid w:val="0"/>
          <w:kern w:val="0"/>
          <w:sz w:val="21"/>
          <w:szCs w:val="21"/>
        </w:rPr>
        <w:t>2.采购代理机构信息</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名 称：浙江凯翔工程咨询管理有限公司</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地 址：象山县丹东街道天安路天力大厦12楼</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传 真：/</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项目联系人（询问）：陈家乐</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default" w:ascii="宋体" w:hAnsi="宋体" w:eastAsia="宋体" w:cs="宋体"/>
          <w:snapToGrid w:val="0"/>
          <w:kern w:val="0"/>
          <w:sz w:val="21"/>
          <w:szCs w:val="21"/>
          <w:lang w:val="en-US" w:eastAsia="zh-CN"/>
        </w:rPr>
      </w:pPr>
      <w:r>
        <w:rPr>
          <w:rFonts w:hint="eastAsia" w:ascii="宋体" w:hAnsi="宋体" w:eastAsia="宋体" w:cs="宋体"/>
          <w:snapToGrid w:val="0"/>
          <w:kern w:val="0"/>
          <w:sz w:val="21"/>
          <w:szCs w:val="21"/>
        </w:rPr>
        <w:t>项目联系方式（询问）：0574-</w:t>
      </w:r>
      <w:r>
        <w:rPr>
          <w:rFonts w:hint="eastAsia" w:ascii="宋体" w:hAnsi="宋体" w:eastAsia="宋体" w:cs="宋体"/>
          <w:snapToGrid w:val="0"/>
          <w:kern w:val="0"/>
          <w:sz w:val="21"/>
          <w:szCs w:val="21"/>
          <w:lang w:val="en-US" w:eastAsia="zh-CN"/>
        </w:rPr>
        <w:t>65773759</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default" w:ascii="宋体" w:hAnsi="宋体" w:eastAsia="宋体" w:cs="宋体"/>
          <w:snapToGrid w:val="0"/>
          <w:kern w:val="0"/>
          <w:sz w:val="21"/>
          <w:szCs w:val="21"/>
          <w:lang w:val="en-US" w:eastAsia="zh-CN"/>
        </w:rPr>
      </w:pPr>
      <w:r>
        <w:rPr>
          <w:rFonts w:hint="eastAsia" w:ascii="宋体" w:hAnsi="宋体" w:eastAsia="宋体" w:cs="宋体"/>
          <w:snapToGrid w:val="0"/>
          <w:kern w:val="0"/>
          <w:sz w:val="21"/>
          <w:szCs w:val="21"/>
        </w:rPr>
        <w:t>质疑联系人：</w:t>
      </w:r>
      <w:r>
        <w:rPr>
          <w:rFonts w:hint="eastAsia" w:ascii="宋体" w:hAnsi="宋体" w:cs="宋体"/>
          <w:snapToGrid w:val="0"/>
          <w:kern w:val="0"/>
          <w:sz w:val="21"/>
          <w:szCs w:val="21"/>
          <w:lang w:val="en-US" w:eastAsia="zh-CN"/>
        </w:rPr>
        <w:t>史军挺</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质疑联系方式：</w:t>
      </w:r>
      <w:r>
        <w:rPr>
          <w:rFonts w:hint="eastAsia" w:ascii="宋体" w:hAnsi="宋体" w:eastAsia="宋体" w:cs="宋体"/>
          <w:snapToGrid w:val="0"/>
          <w:kern w:val="0"/>
          <w:sz w:val="21"/>
          <w:szCs w:val="21"/>
        </w:rPr>
        <w:t>0574-</w:t>
      </w:r>
      <w:r>
        <w:rPr>
          <w:rFonts w:hint="eastAsia" w:ascii="宋体" w:hAnsi="宋体" w:eastAsia="宋体" w:cs="宋体"/>
          <w:snapToGrid w:val="0"/>
          <w:kern w:val="0"/>
          <w:sz w:val="21"/>
          <w:szCs w:val="21"/>
          <w:lang w:val="en-US" w:eastAsia="zh-CN"/>
        </w:rPr>
        <w:t>65773759</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br w:type="textWrapping"/>
      </w:r>
      <w:r>
        <w:rPr>
          <w:rFonts w:hint="eastAsia" w:ascii="宋体" w:hAnsi="宋体" w:eastAsia="宋体" w:cs="宋体"/>
          <w:snapToGrid w:val="0"/>
          <w:kern w:val="0"/>
          <w:sz w:val="21"/>
          <w:szCs w:val="21"/>
        </w:rPr>
        <w:t>3.同级政府采购监督管理部门：</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名称：象山县财政局政府采购管理办公室</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地址：象山县丹西街道丹峰西路163号</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联系人：林老师</w:t>
      </w:r>
    </w:p>
    <w:p>
      <w:pPr>
        <w:keepNext w:val="0"/>
        <w:keepLines w:val="0"/>
        <w:pageBreakBefore w:val="0"/>
        <w:widowControl w:val="0"/>
        <w:kinsoku/>
        <w:wordWrap/>
        <w:overflowPunct/>
        <w:topLinePunct w:val="0"/>
        <w:autoSpaceDE/>
        <w:autoSpaceDN/>
        <w:bidi w:val="0"/>
        <w:adjustRightInd/>
        <w:snapToGrid w:val="0"/>
        <w:spacing w:line="390" w:lineRule="exact"/>
        <w:ind w:firstLine="420" w:firstLineChars="200"/>
        <w:textAlignment w:val="auto"/>
        <w:rPr>
          <w:rFonts w:hint="eastAsia" w:ascii="宋体" w:hAnsi="宋体" w:eastAsia="宋体" w:cs="宋体"/>
          <w:snapToGrid w:val="0"/>
          <w:kern w:val="0"/>
          <w:sz w:val="21"/>
          <w:szCs w:val="21"/>
        </w:rPr>
      </w:pPr>
      <w:r>
        <w:rPr>
          <w:rFonts w:hint="eastAsia" w:ascii="宋体" w:hAnsi="宋体" w:eastAsia="宋体" w:cs="宋体"/>
          <w:snapToGrid w:val="0"/>
          <w:kern w:val="0"/>
          <w:sz w:val="21"/>
          <w:szCs w:val="21"/>
        </w:rPr>
        <w:t>监督投诉电话：0574-65753557</w:t>
      </w:r>
    </w:p>
    <w:p>
      <w:pPr>
        <w:snapToGrid w:val="0"/>
        <w:spacing w:line="440" w:lineRule="exact"/>
        <w:ind w:left="650" w:leftChars="265" w:hanging="120" w:hangingChars="40"/>
        <w:jc w:val="center"/>
        <w:outlineLvl w:val="0"/>
        <w:rPr>
          <w:rFonts w:hint="eastAsia" w:ascii="宋体" w:hAnsi="宋体" w:eastAsia="宋体" w:cs="宋体"/>
          <w:b/>
          <w:bCs/>
          <w:sz w:val="30"/>
          <w:szCs w:val="30"/>
        </w:rPr>
      </w:pPr>
    </w:p>
    <w:p>
      <w:pPr>
        <w:snapToGrid w:val="0"/>
        <w:spacing w:line="440" w:lineRule="exact"/>
        <w:ind w:left="650" w:leftChars="265" w:hanging="120" w:hangingChars="40"/>
        <w:jc w:val="center"/>
        <w:outlineLvl w:val="0"/>
        <w:rPr>
          <w:rFonts w:hint="eastAsia" w:ascii="宋体" w:hAnsi="宋体" w:eastAsia="宋体" w:cs="宋体"/>
          <w:b/>
          <w:bCs/>
          <w:sz w:val="30"/>
          <w:szCs w:val="30"/>
        </w:rPr>
      </w:pPr>
    </w:p>
    <w:p>
      <w:pPr>
        <w:snapToGrid w:val="0"/>
        <w:spacing w:line="440" w:lineRule="exact"/>
        <w:ind w:left="650" w:leftChars="265" w:hanging="120" w:hangingChars="40"/>
        <w:jc w:val="center"/>
        <w:outlineLvl w:val="0"/>
        <w:rPr>
          <w:rFonts w:hint="eastAsia" w:ascii="宋体" w:hAnsi="宋体" w:eastAsia="宋体" w:cs="宋体"/>
          <w:b/>
          <w:bCs/>
          <w:sz w:val="30"/>
          <w:szCs w:val="30"/>
        </w:rPr>
      </w:pPr>
    </w:p>
    <w:p>
      <w:pPr>
        <w:snapToGrid w:val="0"/>
        <w:spacing w:line="440" w:lineRule="exact"/>
        <w:ind w:left="650" w:leftChars="265" w:hanging="120" w:hangingChars="40"/>
        <w:jc w:val="center"/>
        <w:outlineLvl w:val="0"/>
        <w:rPr>
          <w:rFonts w:hint="eastAsia" w:ascii="宋体" w:hAnsi="宋体" w:eastAsia="宋体" w:cs="宋体"/>
          <w:b/>
          <w:bCs/>
          <w:sz w:val="30"/>
          <w:szCs w:val="30"/>
        </w:rPr>
      </w:pPr>
    </w:p>
    <w:p>
      <w:pPr>
        <w:snapToGrid w:val="0"/>
        <w:spacing w:line="440" w:lineRule="exact"/>
        <w:ind w:left="650" w:leftChars="265" w:hanging="120" w:hangingChars="40"/>
        <w:jc w:val="center"/>
        <w:outlineLvl w:val="0"/>
        <w:rPr>
          <w:rFonts w:hint="eastAsia" w:ascii="宋体" w:hAnsi="宋体" w:eastAsia="宋体" w:cs="宋体"/>
          <w:b/>
          <w:bCs/>
          <w:sz w:val="30"/>
          <w:szCs w:val="30"/>
        </w:rPr>
      </w:pPr>
    </w:p>
    <w:p>
      <w:pPr>
        <w:snapToGrid w:val="0"/>
        <w:spacing w:line="440" w:lineRule="exact"/>
        <w:ind w:left="650" w:leftChars="265" w:hanging="120" w:hangingChars="40"/>
        <w:jc w:val="center"/>
        <w:outlineLvl w:val="0"/>
        <w:rPr>
          <w:rFonts w:hint="eastAsia" w:ascii="宋体" w:hAnsi="宋体" w:eastAsia="宋体" w:cs="宋体"/>
          <w:b/>
          <w:bCs/>
          <w:sz w:val="30"/>
          <w:szCs w:val="30"/>
        </w:rPr>
      </w:pPr>
    </w:p>
    <w:p>
      <w:pPr>
        <w:snapToGrid w:val="0"/>
        <w:spacing w:line="440" w:lineRule="exact"/>
        <w:ind w:left="650" w:leftChars="265" w:hanging="120" w:hangingChars="40"/>
        <w:jc w:val="center"/>
        <w:outlineLvl w:val="0"/>
        <w:rPr>
          <w:rFonts w:hint="eastAsia" w:ascii="宋体" w:hAnsi="宋体" w:eastAsia="宋体" w:cs="宋体"/>
          <w:b/>
          <w:bCs/>
          <w:sz w:val="30"/>
          <w:szCs w:val="30"/>
        </w:rPr>
      </w:pPr>
    </w:p>
    <w:p>
      <w:pPr>
        <w:snapToGrid w:val="0"/>
        <w:spacing w:line="440" w:lineRule="exact"/>
        <w:ind w:left="650" w:leftChars="265" w:hanging="120" w:hangingChars="40"/>
        <w:jc w:val="center"/>
        <w:outlineLvl w:val="0"/>
        <w:rPr>
          <w:rFonts w:hint="eastAsia" w:ascii="宋体" w:hAnsi="宋体" w:eastAsia="宋体" w:cs="宋体"/>
          <w:b/>
          <w:bCs/>
          <w:sz w:val="30"/>
          <w:szCs w:val="30"/>
        </w:rPr>
      </w:pPr>
      <w:r>
        <w:rPr>
          <w:rFonts w:hint="eastAsia" w:ascii="宋体" w:hAnsi="宋体" w:eastAsia="宋体" w:cs="宋体"/>
          <w:b/>
          <w:bCs/>
          <w:sz w:val="30"/>
          <w:szCs w:val="30"/>
        </w:rPr>
        <w:t>第二章  采购需求</w:t>
      </w:r>
    </w:p>
    <w:p>
      <w:pPr>
        <w:tabs>
          <w:tab w:val="left" w:pos="8280"/>
        </w:tabs>
        <w:autoSpaceDE w:val="0"/>
        <w:autoSpaceDN w:val="0"/>
        <w:adjustRightInd w:val="0"/>
        <w:spacing w:line="360" w:lineRule="auto"/>
        <w:rPr>
          <w:rFonts w:hint="eastAsia" w:ascii="宋体" w:hAnsi="宋体"/>
          <w:b/>
          <w:color w:val="auto"/>
          <w:sz w:val="21"/>
          <w:szCs w:val="21"/>
          <w:highlight w:val="none"/>
          <w:shd w:val="clear" w:color="auto" w:fill="auto"/>
          <w:lang w:eastAsia="zh-CN"/>
        </w:rPr>
      </w:pPr>
      <w:bookmarkStart w:id="24" w:name="_Toc298856042"/>
      <w:r>
        <w:rPr>
          <w:rFonts w:hint="eastAsia" w:ascii="宋体" w:hAnsi="宋体"/>
          <w:b/>
          <w:color w:val="auto"/>
          <w:sz w:val="21"/>
          <w:szCs w:val="21"/>
          <w:highlight w:val="none"/>
          <w:shd w:val="clear" w:color="auto" w:fill="auto"/>
          <w:lang w:val="en-US" w:eastAsia="zh-CN"/>
        </w:rPr>
        <w:t>一</w:t>
      </w:r>
      <w:r>
        <w:rPr>
          <w:rFonts w:hint="eastAsia" w:ascii="宋体" w:hAnsi="宋体"/>
          <w:b/>
          <w:color w:val="auto"/>
          <w:sz w:val="21"/>
          <w:szCs w:val="21"/>
          <w:highlight w:val="none"/>
          <w:shd w:val="clear" w:color="auto" w:fill="auto"/>
        </w:rPr>
        <w:t>、采购清单</w:t>
      </w:r>
    </w:p>
    <w:tbl>
      <w:tblPr>
        <w:tblStyle w:val="28"/>
        <w:tblW w:w="9720" w:type="dxa"/>
        <w:tblInd w:w="-26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95"/>
        <w:gridCol w:w="1140"/>
        <w:gridCol w:w="1290"/>
        <w:gridCol w:w="2625"/>
        <w:gridCol w:w="975"/>
        <w:gridCol w:w="705"/>
        <w:gridCol w:w="750"/>
        <w:gridCol w:w="17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序号</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FF0000"/>
                <w:sz w:val="20"/>
                <w:szCs w:val="20"/>
                <w:u w:val="none"/>
              </w:rPr>
            </w:pPr>
            <w:r>
              <w:rPr>
                <w:rFonts w:hint="eastAsia" w:ascii="宋体" w:hAnsi="宋体" w:eastAsia="宋体" w:cs="宋体"/>
                <w:b/>
                <w:bCs/>
                <w:i w:val="0"/>
                <w:iCs w:val="0"/>
                <w:color w:val="FF0000"/>
                <w:kern w:val="0"/>
                <w:sz w:val="20"/>
                <w:szCs w:val="20"/>
                <w:u w:val="none"/>
                <w:lang w:val="en-US" w:eastAsia="zh-CN" w:bidi="ar"/>
              </w:rPr>
              <w:t>标的名称</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规格</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技术参数</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产地&amp;推荐品牌</w:t>
            </w:r>
          </w:p>
        </w:tc>
        <w:tc>
          <w:tcPr>
            <w:tcW w:w="70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数量</w:t>
            </w:r>
          </w:p>
        </w:tc>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单位</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参考图片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5550"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更衣间/粗加工/切配</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脚踏式洗手星盆</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450×450×300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1.台面304不锈钢1.0mm,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cs="宋体"/>
                <w:i w:val="0"/>
                <w:iCs w:val="0"/>
                <w:color w:val="000000"/>
                <w:kern w:val="0"/>
                <w:sz w:val="20"/>
                <w:szCs w:val="20"/>
                <w:u w:val="none"/>
                <w:lang w:val="en-US" w:eastAsia="zh-CN" w:bidi="ar"/>
              </w:rPr>
              <w:t>2</w:t>
            </w:r>
            <w:r>
              <w:rPr>
                <w:rFonts w:hint="eastAsia" w:ascii="宋体" w:hAnsi="宋体" w:eastAsia="宋体" w:cs="宋体"/>
                <w:i w:val="0"/>
                <w:iCs w:val="0"/>
                <w:color w:val="000000"/>
                <w:kern w:val="0"/>
                <w:sz w:val="20"/>
                <w:szCs w:val="20"/>
                <w:u w:val="none"/>
                <w:lang w:val="en-US" w:eastAsia="zh-CN" w:bidi="ar"/>
              </w:rPr>
              <w:t>.配优质不锈钢落水器（装脚踏开关)</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204470</wp:posOffset>
                  </wp:positionH>
                  <wp:positionV relativeFrom="paragraph">
                    <wp:posOffset>65405</wp:posOffset>
                  </wp:positionV>
                  <wp:extent cx="604520" cy="402590"/>
                  <wp:effectExtent l="0" t="0" r="5080" b="3810"/>
                  <wp:wrapNone/>
                  <wp:docPr id="1" name="图片_3"/>
                  <wp:cNvGraphicFramePr/>
                  <a:graphic xmlns:a="http://schemas.openxmlformats.org/drawingml/2006/main">
                    <a:graphicData uri="http://schemas.openxmlformats.org/drawingml/2006/picture">
                      <pic:pic xmlns:pic="http://schemas.openxmlformats.org/drawingml/2006/picture">
                        <pic:nvPicPr>
                          <pic:cNvPr id="1" name="图片_3"/>
                          <pic:cNvPicPr/>
                        </pic:nvPicPr>
                        <pic:blipFill>
                          <a:blip r:embed="rId18"/>
                          <a:stretch>
                            <a:fillRect/>
                          </a:stretch>
                        </pic:blipFill>
                        <pic:spPr>
                          <a:xfrm>
                            <a:off x="0" y="0"/>
                            <a:ext cx="604520" cy="40259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8"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拖把工具柜</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1000×600×1650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说明：选用优质304不锈钢板制作，门板、δ=1.0mm，底板、层板、后 板δ=0.8mm不锈钢板, 双开门。</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60288" behindDoc="0" locked="0" layoutInCell="1" allowOverlap="1">
                  <wp:simplePos x="0" y="0"/>
                  <wp:positionH relativeFrom="column">
                    <wp:posOffset>306705</wp:posOffset>
                  </wp:positionH>
                  <wp:positionV relativeFrom="paragraph">
                    <wp:posOffset>38735</wp:posOffset>
                  </wp:positionV>
                  <wp:extent cx="452120" cy="631190"/>
                  <wp:effectExtent l="0" t="0" r="5080" b="3810"/>
                  <wp:wrapNone/>
                  <wp:docPr id="2" name="图片_1"/>
                  <wp:cNvGraphicFramePr/>
                  <a:graphic xmlns:a="http://schemas.openxmlformats.org/drawingml/2006/main">
                    <a:graphicData uri="http://schemas.openxmlformats.org/drawingml/2006/picture">
                      <pic:pic xmlns:pic="http://schemas.openxmlformats.org/drawingml/2006/picture">
                        <pic:nvPicPr>
                          <pic:cNvPr id="2" name="图片_1"/>
                          <pic:cNvPicPr/>
                        </pic:nvPicPr>
                        <pic:blipFill>
                          <a:blip r:embed="rId19"/>
                          <a:stretch>
                            <a:fillRect/>
                          </a:stretch>
                        </pic:blipFill>
                        <pic:spPr>
                          <a:xfrm>
                            <a:off x="0" y="0"/>
                            <a:ext cx="452120" cy="63119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左水池右平台</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1200×700×800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2.台面δ=1.0mm，星盆斗δ=0.8mm；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3.配落水器.子弹脚。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4.星盆尺寸:500×500×300（冲压一次成型）</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61312" behindDoc="0" locked="0" layoutInCell="1" allowOverlap="1">
                  <wp:simplePos x="0" y="0"/>
                  <wp:positionH relativeFrom="column">
                    <wp:posOffset>59690</wp:posOffset>
                  </wp:positionH>
                  <wp:positionV relativeFrom="paragraph">
                    <wp:posOffset>118110</wp:posOffset>
                  </wp:positionV>
                  <wp:extent cx="954405" cy="661035"/>
                  <wp:effectExtent l="0" t="0" r="10795" b="12065"/>
                  <wp:wrapNone/>
                  <wp:docPr id="3" name="Picture_858"/>
                  <wp:cNvGraphicFramePr/>
                  <a:graphic xmlns:a="http://schemas.openxmlformats.org/drawingml/2006/main">
                    <a:graphicData uri="http://schemas.openxmlformats.org/drawingml/2006/picture">
                      <pic:pic xmlns:pic="http://schemas.openxmlformats.org/drawingml/2006/picture">
                        <pic:nvPicPr>
                          <pic:cNvPr id="3" name="Picture_858"/>
                          <pic:cNvPicPr/>
                        </pic:nvPicPr>
                        <pic:blipFill>
                          <a:blip r:embed="rId20"/>
                          <a:stretch>
                            <a:fillRect/>
                          </a:stretch>
                        </pic:blipFill>
                        <pic:spPr>
                          <a:xfrm>
                            <a:off x="0" y="0"/>
                            <a:ext cx="954405" cy="66103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双星水池</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1200×700×800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2.骨架采用δ=0.8mm*φ38不锈钢圆通，台面δ=1.0mm，星盆斗δ=0.8mm；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3.配落水器、子弹脚。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4.星盆尺寸:500×500×300（冲压一次成型）</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62336" behindDoc="0" locked="0" layoutInCell="1" allowOverlap="1">
                  <wp:simplePos x="0" y="0"/>
                  <wp:positionH relativeFrom="column">
                    <wp:posOffset>109220</wp:posOffset>
                  </wp:positionH>
                  <wp:positionV relativeFrom="paragraph">
                    <wp:posOffset>236220</wp:posOffset>
                  </wp:positionV>
                  <wp:extent cx="879475" cy="724535"/>
                  <wp:effectExtent l="0" t="0" r="9525" b="12065"/>
                  <wp:wrapNone/>
                  <wp:docPr id="4" name="图片_5"/>
                  <wp:cNvGraphicFramePr/>
                  <a:graphic xmlns:a="http://schemas.openxmlformats.org/drawingml/2006/main">
                    <a:graphicData uri="http://schemas.openxmlformats.org/drawingml/2006/picture">
                      <pic:pic xmlns:pic="http://schemas.openxmlformats.org/drawingml/2006/picture">
                        <pic:nvPicPr>
                          <pic:cNvPr id="4" name="图片_5"/>
                          <pic:cNvPicPr/>
                        </pic:nvPicPr>
                        <pic:blipFill>
                          <a:blip r:embed="rId21"/>
                          <a:stretch>
                            <a:fillRect/>
                          </a:stretch>
                        </pic:blipFill>
                        <pic:spPr>
                          <a:xfrm>
                            <a:off x="0" y="0"/>
                            <a:ext cx="879475" cy="72453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即开式电热开水器连底座</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520×430×868</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1.采用304不锈钢制作；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2.全自动控制，警示绿灯亮时使用；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3.磁吸缺水断电，保护电热管；                                  4.功率：9KW  电压：380V                                                                                   5.材质：内胆采用食品安全级不锈钢（SUS316不锈钢）制造。</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腾飞、瑞翔、普迪</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63360" behindDoc="0" locked="0" layoutInCell="1" allowOverlap="1">
                  <wp:simplePos x="0" y="0"/>
                  <wp:positionH relativeFrom="column">
                    <wp:posOffset>243840</wp:posOffset>
                  </wp:positionH>
                  <wp:positionV relativeFrom="paragraph">
                    <wp:posOffset>402590</wp:posOffset>
                  </wp:positionV>
                  <wp:extent cx="640080" cy="728345"/>
                  <wp:effectExtent l="0" t="0" r="7620" b="8255"/>
                  <wp:wrapNone/>
                  <wp:docPr id="5" name="Picture_950"/>
                  <wp:cNvGraphicFramePr/>
                  <a:graphic xmlns:a="http://schemas.openxmlformats.org/drawingml/2006/main">
                    <a:graphicData uri="http://schemas.openxmlformats.org/drawingml/2006/picture">
                      <pic:pic xmlns:pic="http://schemas.openxmlformats.org/drawingml/2006/picture">
                        <pic:nvPicPr>
                          <pic:cNvPr id="5" name="Picture_950"/>
                          <pic:cNvPicPr/>
                        </pic:nvPicPr>
                        <pic:blipFill>
                          <a:blip r:embed="rId22"/>
                          <a:stretch>
                            <a:fillRect/>
                          </a:stretch>
                        </pic:blipFill>
                        <pic:spPr>
                          <a:xfrm>
                            <a:off x="0" y="0"/>
                            <a:ext cx="640080" cy="72834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码墙开口柜</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1200×350×600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1、304不锈钢1.0mm制作，膨胀螺栓固定；三层，后面封板</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64384" behindDoc="0" locked="0" layoutInCell="1" allowOverlap="1">
                  <wp:simplePos x="0" y="0"/>
                  <wp:positionH relativeFrom="column">
                    <wp:posOffset>153670</wp:posOffset>
                  </wp:positionH>
                  <wp:positionV relativeFrom="paragraph">
                    <wp:posOffset>135255</wp:posOffset>
                  </wp:positionV>
                  <wp:extent cx="757555" cy="548640"/>
                  <wp:effectExtent l="0" t="0" r="4445" b="10160"/>
                  <wp:wrapNone/>
                  <wp:docPr id="6" name="Picture_10"/>
                  <wp:cNvGraphicFramePr/>
                  <a:graphic xmlns:a="http://schemas.openxmlformats.org/drawingml/2006/main">
                    <a:graphicData uri="http://schemas.openxmlformats.org/drawingml/2006/picture">
                      <pic:pic xmlns:pic="http://schemas.openxmlformats.org/drawingml/2006/picture">
                        <pic:nvPicPr>
                          <pic:cNvPr id="6" name="Picture_10"/>
                          <pic:cNvPicPr/>
                        </pic:nvPicPr>
                        <pic:blipFill>
                          <a:blip r:embed="rId23"/>
                          <a:stretch>
                            <a:fillRect/>
                          </a:stretch>
                        </pic:blipFill>
                        <pic:spPr>
                          <a:xfrm>
                            <a:off x="0" y="0"/>
                            <a:ext cx="757555" cy="54864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1"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刀具消毒柜</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1200×550×1800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电压：220v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紫外线功率：17w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红外线功率：300w</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消毒方式：紫外线加臭氧红外线循环热风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可存放消毒刀数量：18把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可存放消毒毛巾数量：19块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可存放消毒砧板数量：8块（直径50cm厚度10cm）</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65408" behindDoc="0" locked="0" layoutInCell="1" allowOverlap="1">
                  <wp:simplePos x="0" y="0"/>
                  <wp:positionH relativeFrom="column">
                    <wp:posOffset>168910</wp:posOffset>
                  </wp:positionH>
                  <wp:positionV relativeFrom="paragraph">
                    <wp:posOffset>252730</wp:posOffset>
                  </wp:positionV>
                  <wp:extent cx="732155" cy="779780"/>
                  <wp:effectExtent l="0" t="0" r="4445" b="7620"/>
                  <wp:wrapNone/>
                  <wp:docPr id="7" name="图片_57"/>
                  <wp:cNvGraphicFramePr/>
                  <a:graphic xmlns:a="http://schemas.openxmlformats.org/drawingml/2006/main">
                    <a:graphicData uri="http://schemas.openxmlformats.org/drawingml/2006/picture">
                      <pic:pic xmlns:pic="http://schemas.openxmlformats.org/drawingml/2006/picture">
                        <pic:nvPicPr>
                          <pic:cNvPr id="7" name="图片_57"/>
                          <pic:cNvPicPr/>
                        </pic:nvPicPr>
                        <pic:blipFill>
                          <a:blip r:embed="rId24"/>
                          <a:stretch>
                            <a:fillRect/>
                          </a:stretch>
                        </pic:blipFill>
                        <pic:spPr>
                          <a:xfrm>
                            <a:off x="0" y="0"/>
                            <a:ext cx="732155" cy="77978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四门双温冰箱</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1210×700×1890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1.大容量储藏空间；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2.合成电子中央温控，不受干扰；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3.液晶数字显示，清晰可靠。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4.温度范围：-5℃~-18℃，-5℃~10℃                                                                                                                 5.额定功率：351W  电压：220V</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爱雪、洛德、凯普顿</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243840</wp:posOffset>
                  </wp:positionH>
                  <wp:positionV relativeFrom="paragraph">
                    <wp:posOffset>90805</wp:posOffset>
                  </wp:positionV>
                  <wp:extent cx="654685" cy="772160"/>
                  <wp:effectExtent l="0" t="0" r="5715" b="2540"/>
                  <wp:wrapNone/>
                  <wp:docPr id="8" name="图片_10"/>
                  <wp:cNvGraphicFramePr/>
                  <a:graphic xmlns:a="http://schemas.openxmlformats.org/drawingml/2006/main">
                    <a:graphicData uri="http://schemas.openxmlformats.org/drawingml/2006/picture">
                      <pic:pic xmlns:pic="http://schemas.openxmlformats.org/drawingml/2006/picture">
                        <pic:nvPicPr>
                          <pic:cNvPr id="8" name="图片_10"/>
                          <pic:cNvPicPr/>
                        </pic:nvPicPr>
                        <pic:blipFill>
                          <a:blip r:embed="rId25"/>
                          <a:stretch>
                            <a:fillRect/>
                          </a:stretch>
                        </pic:blipFill>
                        <pic:spPr>
                          <a:xfrm>
                            <a:off x="0" y="0"/>
                            <a:ext cx="654685" cy="77216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双层工作台</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1800×800×800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1.304不锈钢板焊接而成；内置一层密度板减噪10mm；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2.面板δ1.0mm，层板采用0.8mm厚不锈钢板；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3.台脚:φ38mm*0.8mm采用优质不锈钢管，配可调性调节脚。</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67456" behindDoc="0" locked="0" layoutInCell="1" allowOverlap="1">
                  <wp:simplePos x="0" y="0"/>
                  <wp:positionH relativeFrom="column">
                    <wp:posOffset>145415</wp:posOffset>
                  </wp:positionH>
                  <wp:positionV relativeFrom="paragraph">
                    <wp:posOffset>116205</wp:posOffset>
                  </wp:positionV>
                  <wp:extent cx="807085" cy="572135"/>
                  <wp:effectExtent l="0" t="0" r="5715" b="12065"/>
                  <wp:wrapNone/>
                  <wp:docPr id="9" name="Picture_109"/>
                  <wp:cNvGraphicFramePr/>
                  <a:graphic xmlns:a="http://schemas.openxmlformats.org/drawingml/2006/main">
                    <a:graphicData uri="http://schemas.openxmlformats.org/drawingml/2006/picture">
                      <pic:pic xmlns:pic="http://schemas.openxmlformats.org/drawingml/2006/picture">
                        <pic:nvPicPr>
                          <pic:cNvPr id="9" name="Picture_109"/>
                          <pic:cNvPicPr/>
                        </pic:nvPicPr>
                        <pic:blipFill>
                          <a:blip r:embed="rId26"/>
                          <a:stretch>
                            <a:fillRect/>
                          </a:stretch>
                        </pic:blipFill>
                        <pic:spPr>
                          <a:xfrm>
                            <a:off x="0" y="0"/>
                            <a:ext cx="807085" cy="57213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5550"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烹饪间</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一体机电二层海鲜蒸柜</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900×900×1600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1.304不锈钢制造                           2.外包面板δ1.0mm，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3.带漏电缺水保护，带档位可调                                                                                                                      4.功率380V/27KW</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金佰特、金浩德、摩悦斯</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68480" behindDoc="0" locked="0" layoutInCell="1" allowOverlap="1">
                  <wp:simplePos x="0" y="0"/>
                  <wp:positionH relativeFrom="column">
                    <wp:posOffset>255905</wp:posOffset>
                  </wp:positionH>
                  <wp:positionV relativeFrom="paragraph">
                    <wp:posOffset>68580</wp:posOffset>
                  </wp:positionV>
                  <wp:extent cx="539115" cy="664845"/>
                  <wp:effectExtent l="0" t="0" r="6985" b="8255"/>
                  <wp:wrapNone/>
                  <wp:docPr id="10" name="图片_7"/>
                  <wp:cNvGraphicFramePr/>
                  <a:graphic xmlns:a="http://schemas.openxmlformats.org/drawingml/2006/main">
                    <a:graphicData uri="http://schemas.openxmlformats.org/drawingml/2006/picture">
                      <pic:pic xmlns:pic="http://schemas.openxmlformats.org/drawingml/2006/picture">
                        <pic:nvPicPr>
                          <pic:cNvPr id="10" name="图片_7"/>
                          <pic:cNvPicPr/>
                        </pic:nvPicPr>
                        <pic:blipFill>
                          <a:blip r:embed="rId27"/>
                          <a:stretch>
                            <a:fillRect/>
                          </a:stretch>
                        </pic:blipFill>
                        <pic:spPr>
                          <a:xfrm>
                            <a:off x="0" y="0"/>
                            <a:ext cx="539115" cy="66484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排油烟罩</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2000×1200×500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说明：304不锈钢板制造1.0mm制造，双层隔油排、积油杯、防爆灯</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69504" behindDoc="0" locked="0" layoutInCell="1" allowOverlap="1">
                  <wp:simplePos x="0" y="0"/>
                  <wp:positionH relativeFrom="column">
                    <wp:posOffset>0</wp:posOffset>
                  </wp:positionH>
                  <wp:positionV relativeFrom="paragraph">
                    <wp:posOffset>0</wp:posOffset>
                  </wp:positionV>
                  <wp:extent cx="304800" cy="304165"/>
                  <wp:effectExtent l="0" t="0" r="0" b="0"/>
                  <wp:wrapNone/>
                  <wp:docPr id="11" name="AutoShape_593"/>
                  <wp:cNvGraphicFramePr/>
                  <a:graphic xmlns:a="http://schemas.openxmlformats.org/drawingml/2006/main">
                    <a:graphicData uri="http://schemas.openxmlformats.org/drawingml/2006/picture">
                      <pic:pic xmlns:pic="http://schemas.openxmlformats.org/drawingml/2006/picture">
                        <pic:nvPicPr>
                          <pic:cNvPr id="11" name="AutoShape_593"/>
                          <pic:cNvPicPr/>
                        </pic:nvPicPr>
                        <pic:blipFill>
                          <a:blip r:embed="rId28"/>
                          <a:stretch>
                            <a:fillRect/>
                          </a:stretch>
                        </pic:blipFill>
                        <pic:spPr>
                          <a:xfrm>
                            <a:off x="0" y="0"/>
                            <a:ext cx="304800" cy="30416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70528" behindDoc="0" locked="0" layoutInCell="1" allowOverlap="1">
                  <wp:simplePos x="0" y="0"/>
                  <wp:positionH relativeFrom="column">
                    <wp:posOffset>0</wp:posOffset>
                  </wp:positionH>
                  <wp:positionV relativeFrom="paragraph">
                    <wp:posOffset>0</wp:posOffset>
                  </wp:positionV>
                  <wp:extent cx="305435" cy="304165"/>
                  <wp:effectExtent l="0" t="0" r="0" b="0"/>
                  <wp:wrapNone/>
                  <wp:docPr id="12" name="AutoShape_595"/>
                  <wp:cNvGraphicFramePr/>
                  <a:graphic xmlns:a="http://schemas.openxmlformats.org/drawingml/2006/main">
                    <a:graphicData uri="http://schemas.openxmlformats.org/drawingml/2006/picture">
                      <pic:pic xmlns:pic="http://schemas.openxmlformats.org/drawingml/2006/picture">
                        <pic:nvPicPr>
                          <pic:cNvPr id="12" name="AutoShape_595"/>
                          <pic:cNvPicPr/>
                        </pic:nvPicPr>
                        <pic:blipFill>
                          <a:blip r:embed="rId29"/>
                          <a:stretch>
                            <a:fillRect/>
                          </a:stretch>
                        </pic:blipFill>
                        <pic:spPr>
                          <a:xfrm>
                            <a:off x="0" y="0"/>
                            <a:ext cx="305435" cy="30416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71552" behindDoc="0" locked="0" layoutInCell="1" allowOverlap="1">
                  <wp:simplePos x="0" y="0"/>
                  <wp:positionH relativeFrom="column">
                    <wp:posOffset>186690</wp:posOffset>
                  </wp:positionH>
                  <wp:positionV relativeFrom="paragraph">
                    <wp:posOffset>137795</wp:posOffset>
                  </wp:positionV>
                  <wp:extent cx="676910" cy="334010"/>
                  <wp:effectExtent l="0" t="0" r="8890" b="8890"/>
                  <wp:wrapNone/>
                  <wp:docPr id="13" name="图片_987"/>
                  <wp:cNvGraphicFramePr/>
                  <a:graphic xmlns:a="http://schemas.openxmlformats.org/drawingml/2006/main">
                    <a:graphicData uri="http://schemas.openxmlformats.org/drawingml/2006/picture">
                      <pic:pic xmlns:pic="http://schemas.openxmlformats.org/drawingml/2006/picture">
                        <pic:nvPicPr>
                          <pic:cNvPr id="13" name="图片_987"/>
                          <pic:cNvPicPr/>
                        </pic:nvPicPr>
                        <pic:blipFill>
                          <a:blip r:embed="rId30"/>
                          <a:stretch>
                            <a:fillRect/>
                          </a:stretch>
                        </pic:blipFill>
                        <pic:spPr>
                          <a:xfrm>
                            <a:off x="0" y="0"/>
                            <a:ext cx="676910" cy="33401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多功能蒸柜</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700×615×1555</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1.采用优质不锈钢板制造；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2.配重型轮.电加热；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3.12KW，380V；</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4.配不锈钢电管，12盘。                                                                                                                                   5.带定时</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瑞翔、粤厨、美厨</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72576" behindDoc="0" locked="0" layoutInCell="1" allowOverlap="1">
                  <wp:simplePos x="0" y="0"/>
                  <wp:positionH relativeFrom="column">
                    <wp:posOffset>290830</wp:posOffset>
                  </wp:positionH>
                  <wp:positionV relativeFrom="paragraph">
                    <wp:posOffset>125095</wp:posOffset>
                  </wp:positionV>
                  <wp:extent cx="422275" cy="671830"/>
                  <wp:effectExtent l="0" t="0" r="9525" b="1270"/>
                  <wp:wrapNone/>
                  <wp:docPr id="14" name="图片_4"/>
                  <wp:cNvGraphicFramePr/>
                  <a:graphic xmlns:a="http://schemas.openxmlformats.org/drawingml/2006/main">
                    <a:graphicData uri="http://schemas.openxmlformats.org/drawingml/2006/picture">
                      <pic:pic xmlns:pic="http://schemas.openxmlformats.org/drawingml/2006/picture">
                        <pic:nvPicPr>
                          <pic:cNvPr id="14" name="图片_4"/>
                          <pic:cNvPicPr/>
                        </pic:nvPicPr>
                        <pic:blipFill>
                          <a:blip r:embed="rId31"/>
                          <a:stretch>
                            <a:fillRect/>
                          </a:stretch>
                        </pic:blipFill>
                        <pic:spPr>
                          <a:xfrm>
                            <a:off x="0" y="0"/>
                            <a:ext cx="422275" cy="67183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大单星水池</w:t>
            </w:r>
          </w:p>
        </w:tc>
        <w:tc>
          <w:tcPr>
            <w:tcW w:w="129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1000×700×800</w:t>
            </w:r>
          </w:p>
        </w:tc>
        <w:tc>
          <w:tcPr>
            <w:tcW w:w="26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2.台面δ=1.0mm，星盆斗δ=0.8mm；骨架采用δ=0.8mm*φ38不锈钢圆通，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3.配落水器、子弹脚。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4.星盆尺寸:850×500×280</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73600" behindDoc="0" locked="0" layoutInCell="1" allowOverlap="1">
                  <wp:simplePos x="0" y="0"/>
                  <wp:positionH relativeFrom="column">
                    <wp:posOffset>85090</wp:posOffset>
                  </wp:positionH>
                  <wp:positionV relativeFrom="paragraph">
                    <wp:posOffset>145415</wp:posOffset>
                  </wp:positionV>
                  <wp:extent cx="867410" cy="699135"/>
                  <wp:effectExtent l="0" t="0" r="8890" b="12065"/>
                  <wp:wrapNone/>
                  <wp:docPr id="15" name="Picture_860"/>
                  <wp:cNvGraphicFramePr/>
                  <a:graphic xmlns:a="http://schemas.openxmlformats.org/drawingml/2006/main">
                    <a:graphicData uri="http://schemas.openxmlformats.org/drawingml/2006/picture">
                      <pic:pic xmlns:pic="http://schemas.openxmlformats.org/drawingml/2006/picture">
                        <pic:nvPicPr>
                          <pic:cNvPr id="15" name="Picture_860"/>
                          <pic:cNvPicPr/>
                        </pic:nvPicPr>
                        <pic:blipFill>
                          <a:blip r:embed="rId32"/>
                          <a:stretch>
                            <a:fillRect/>
                          </a:stretch>
                        </pic:blipFill>
                        <pic:spPr>
                          <a:xfrm>
                            <a:off x="0" y="0"/>
                            <a:ext cx="867410" cy="69913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四门双温冰箱</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1210×700×1890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1.大容量储藏空间；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2.合成电子中央温控，不受干扰；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3.液晶数字显示，清晰可靠。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4.温度范围：-5℃~-18℃，-5℃~10℃                                                                                                                 5.额定功率：351W  电压：220V</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爱雪、洛德、凯普顿</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74624" behindDoc="0" locked="0" layoutInCell="1" allowOverlap="1">
                  <wp:simplePos x="0" y="0"/>
                  <wp:positionH relativeFrom="column">
                    <wp:posOffset>243840</wp:posOffset>
                  </wp:positionH>
                  <wp:positionV relativeFrom="paragraph">
                    <wp:posOffset>90805</wp:posOffset>
                  </wp:positionV>
                  <wp:extent cx="654685" cy="772160"/>
                  <wp:effectExtent l="0" t="0" r="5715" b="2540"/>
                  <wp:wrapNone/>
                  <wp:docPr id="16" name="图片_10_SpCnt_1"/>
                  <wp:cNvGraphicFramePr/>
                  <a:graphic xmlns:a="http://schemas.openxmlformats.org/drawingml/2006/main">
                    <a:graphicData uri="http://schemas.openxmlformats.org/drawingml/2006/picture">
                      <pic:pic xmlns:pic="http://schemas.openxmlformats.org/drawingml/2006/picture">
                        <pic:nvPicPr>
                          <pic:cNvPr id="16" name="图片_10_SpCnt_1"/>
                          <pic:cNvPicPr/>
                        </pic:nvPicPr>
                        <pic:blipFill>
                          <a:blip r:embed="rId25"/>
                          <a:stretch>
                            <a:fillRect/>
                          </a:stretch>
                        </pic:blipFill>
                        <pic:spPr>
                          <a:xfrm>
                            <a:off x="0" y="0"/>
                            <a:ext cx="654685" cy="77216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0"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单眼低汤灶(天燃气)</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700×750×（550+700）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 不锈钢板制造；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 1.0mm，侧板、后背均为 0.8mm 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3.采用节能静音混燃炉头、球磨三层铸钢盘炉盘，内配节能反射圈，独特挡火设计，热效率高。采用配备高频率点火器，实现电气一体化。炉面板整体拉伸。</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金佰特、金浩德、新威达</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75648" behindDoc="0" locked="0" layoutInCell="1" allowOverlap="1">
                  <wp:simplePos x="0" y="0"/>
                  <wp:positionH relativeFrom="column">
                    <wp:posOffset>98425</wp:posOffset>
                  </wp:positionH>
                  <wp:positionV relativeFrom="paragraph">
                    <wp:posOffset>73025</wp:posOffset>
                  </wp:positionV>
                  <wp:extent cx="807720" cy="797560"/>
                  <wp:effectExtent l="0" t="0" r="5080" b="2540"/>
                  <wp:wrapNone/>
                  <wp:docPr id="17" name="image18.jpeg"/>
                  <wp:cNvGraphicFramePr/>
                  <a:graphic xmlns:a="http://schemas.openxmlformats.org/drawingml/2006/main">
                    <a:graphicData uri="http://schemas.openxmlformats.org/drawingml/2006/picture">
                      <pic:pic xmlns:pic="http://schemas.openxmlformats.org/drawingml/2006/picture">
                        <pic:nvPicPr>
                          <pic:cNvPr id="17" name="image18.jpeg"/>
                          <pic:cNvPicPr/>
                        </pic:nvPicPr>
                        <pic:blipFill>
                          <a:blip r:embed="rId33"/>
                          <a:stretch>
                            <a:fillRect/>
                          </a:stretch>
                        </pic:blipFill>
                        <pic:spPr>
                          <a:xfrm>
                            <a:off x="0" y="0"/>
                            <a:ext cx="807720" cy="79756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6"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广式双炒单温灶(天燃气)</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1800×1100×（800+450）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1.304不锈钢板制造，面板1.0mm，侧板.后背0.8mm；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2.台面下铁板加固，灶架采用40*40国标方管；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3.配可调性不锈钢子弹脚；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4.内部采用耐火砖.泥和耐火隔热棉隔热；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5.铁板和耐火水泥之间采用陶瓷纤细保温棉，具有很好的保温隔热效果                                          6.自动点火，带熄火保护</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金佰特、金浩德、新威达</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76672" behindDoc="0" locked="0" layoutInCell="1" allowOverlap="1">
                  <wp:simplePos x="0" y="0"/>
                  <wp:positionH relativeFrom="column">
                    <wp:posOffset>82550</wp:posOffset>
                  </wp:positionH>
                  <wp:positionV relativeFrom="paragraph">
                    <wp:posOffset>206375</wp:posOffset>
                  </wp:positionV>
                  <wp:extent cx="929640" cy="832485"/>
                  <wp:effectExtent l="0" t="0" r="10160" b="5715"/>
                  <wp:wrapNone/>
                  <wp:docPr id="18" name="图片_993"/>
                  <wp:cNvGraphicFramePr/>
                  <a:graphic xmlns:a="http://schemas.openxmlformats.org/drawingml/2006/main">
                    <a:graphicData uri="http://schemas.openxmlformats.org/drawingml/2006/picture">
                      <pic:pic xmlns:pic="http://schemas.openxmlformats.org/drawingml/2006/picture">
                        <pic:nvPicPr>
                          <pic:cNvPr id="18" name="图片_993"/>
                          <pic:cNvPicPr/>
                        </pic:nvPicPr>
                        <pic:blipFill>
                          <a:blip r:embed="rId34"/>
                          <a:stretch>
                            <a:fillRect/>
                          </a:stretch>
                        </pic:blipFill>
                        <pic:spPr>
                          <a:xfrm>
                            <a:off x="0" y="0"/>
                            <a:ext cx="929640" cy="83248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排烟罩</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5000×1300×500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说明：304不锈钢板制造1.0mm制造，双层隔油排、积油杯、防爆灯</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77696" behindDoc="0" locked="0" layoutInCell="1" allowOverlap="1">
                  <wp:simplePos x="0" y="0"/>
                  <wp:positionH relativeFrom="column">
                    <wp:posOffset>0</wp:posOffset>
                  </wp:positionH>
                  <wp:positionV relativeFrom="paragraph">
                    <wp:posOffset>0</wp:posOffset>
                  </wp:positionV>
                  <wp:extent cx="304800" cy="304165"/>
                  <wp:effectExtent l="0" t="0" r="0" b="0"/>
                  <wp:wrapNone/>
                  <wp:docPr id="19" name="AutoShape_593_SpCnt_1"/>
                  <wp:cNvGraphicFramePr/>
                  <a:graphic xmlns:a="http://schemas.openxmlformats.org/drawingml/2006/main">
                    <a:graphicData uri="http://schemas.openxmlformats.org/drawingml/2006/picture">
                      <pic:pic xmlns:pic="http://schemas.openxmlformats.org/drawingml/2006/picture">
                        <pic:nvPicPr>
                          <pic:cNvPr id="19" name="AutoShape_593_SpCnt_1"/>
                          <pic:cNvPicPr/>
                        </pic:nvPicPr>
                        <pic:blipFill>
                          <a:blip r:embed="rId28"/>
                          <a:stretch>
                            <a:fillRect/>
                          </a:stretch>
                        </pic:blipFill>
                        <pic:spPr>
                          <a:xfrm>
                            <a:off x="0" y="0"/>
                            <a:ext cx="304800" cy="30416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78720" behindDoc="0" locked="0" layoutInCell="1" allowOverlap="1">
                  <wp:simplePos x="0" y="0"/>
                  <wp:positionH relativeFrom="column">
                    <wp:posOffset>0</wp:posOffset>
                  </wp:positionH>
                  <wp:positionV relativeFrom="paragraph">
                    <wp:posOffset>0</wp:posOffset>
                  </wp:positionV>
                  <wp:extent cx="305435" cy="304165"/>
                  <wp:effectExtent l="0" t="0" r="0" b="0"/>
                  <wp:wrapNone/>
                  <wp:docPr id="20" name="AutoShape_595_SpCnt_1"/>
                  <wp:cNvGraphicFramePr/>
                  <a:graphic xmlns:a="http://schemas.openxmlformats.org/drawingml/2006/main">
                    <a:graphicData uri="http://schemas.openxmlformats.org/drawingml/2006/picture">
                      <pic:pic xmlns:pic="http://schemas.openxmlformats.org/drawingml/2006/picture">
                        <pic:nvPicPr>
                          <pic:cNvPr id="20" name="AutoShape_595_SpCnt_1"/>
                          <pic:cNvPicPr/>
                        </pic:nvPicPr>
                        <pic:blipFill>
                          <a:blip r:embed="rId29"/>
                          <a:stretch>
                            <a:fillRect/>
                          </a:stretch>
                        </pic:blipFill>
                        <pic:spPr>
                          <a:xfrm>
                            <a:off x="0" y="0"/>
                            <a:ext cx="305435" cy="30416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79744" behindDoc="0" locked="0" layoutInCell="1" allowOverlap="1">
                  <wp:simplePos x="0" y="0"/>
                  <wp:positionH relativeFrom="column">
                    <wp:posOffset>186690</wp:posOffset>
                  </wp:positionH>
                  <wp:positionV relativeFrom="paragraph">
                    <wp:posOffset>137795</wp:posOffset>
                  </wp:positionV>
                  <wp:extent cx="638810" cy="248285"/>
                  <wp:effectExtent l="0" t="0" r="8890" b="5715"/>
                  <wp:wrapNone/>
                  <wp:docPr id="21" name="图片_987_SpCnt_1"/>
                  <wp:cNvGraphicFramePr/>
                  <a:graphic xmlns:a="http://schemas.openxmlformats.org/drawingml/2006/main">
                    <a:graphicData uri="http://schemas.openxmlformats.org/drawingml/2006/picture">
                      <pic:pic xmlns:pic="http://schemas.openxmlformats.org/drawingml/2006/picture">
                        <pic:nvPicPr>
                          <pic:cNvPr id="21" name="图片_987_SpCnt_1"/>
                          <pic:cNvPicPr/>
                        </pic:nvPicPr>
                        <pic:blipFill>
                          <a:blip r:embed="rId30"/>
                          <a:stretch>
                            <a:fillRect/>
                          </a:stretch>
                        </pic:blipFill>
                        <pic:spPr>
                          <a:xfrm>
                            <a:off x="0" y="0"/>
                            <a:ext cx="638810" cy="24828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调料平台</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500×1100×（800+450）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1.304不锈钢板制造；放调料用。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3.台脚:φ38mm*0.8mm不锈钢管，配可调性调节脚。</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80768" behindDoc="0" locked="0" layoutInCell="1" allowOverlap="1">
                  <wp:simplePos x="0" y="0"/>
                  <wp:positionH relativeFrom="column">
                    <wp:posOffset>0</wp:posOffset>
                  </wp:positionH>
                  <wp:positionV relativeFrom="paragraph">
                    <wp:posOffset>0</wp:posOffset>
                  </wp:positionV>
                  <wp:extent cx="304800" cy="303530"/>
                  <wp:effectExtent l="0" t="0" r="0" b="0"/>
                  <wp:wrapNone/>
                  <wp:docPr id="22" name="AutoShape_593_SpCnt_2"/>
                  <wp:cNvGraphicFramePr/>
                  <a:graphic xmlns:a="http://schemas.openxmlformats.org/drawingml/2006/main">
                    <a:graphicData uri="http://schemas.openxmlformats.org/drawingml/2006/picture">
                      <pic:pic xmlns:pic="http://schemas.openxmlformats.org/drawingml/2006/picture">
                        <pic:nvPicPr>
                          <pic:cNvPr id="22" name="AutoShape_593_SpCnt_2"/>
                          <pic:cNvPicPr/>
                        </pic:nvPicPr>
                        <pic:blipFill>
                          <a:blip r:embed="rId28"/>
                          <a:stretch>
                            <a:fillRect/>
                          </a:stretch>
                        </pic:blipFill>
                        <pic:spPr>
                          <a:xfrm>
                            <a:off x="0" y="0"/>
                            <a:ext cx="304800" cy="30353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81792" behindDoc="0" locked="0" layoutInCell="1" allowOverlap="1">
                  <wp:simplePos x="0" y="0"/>
                  <wp:positionH relativeFrom="column">
                    <wp:posOffset>0</wp:posOffset>
                  </wp:positionH>
                  <wp:positionV relativeFrom="paragraph">
                    <wp:posOffset>0</wp:posOffset>
                  </wp:positionV>
                  <wp:extent cx="304800" cy="303530"/>
                  <wp:effectExtent l="0" t="0" r="0" b="0"/>
                  <wp:wrapNone/>
                  <wp:docPr id="23" name="AutoShape_595_SpCnt_2"/>
                  <wp:cNvGraphicFramePr/>
                  <a:graphic xmlns:a="http://schemas.openxmlformats.org/drawingml/2006/main">
                    <a:graphicData uri="http://schemas.openxmlformats.org/drawingml/2006/picture">
                      <pic:pic xmlns:pic="http://schemas.openxmlformats.org/drawingml/2006/picture">
                        <pic:nvPicPr>
                          <pic:cNvPr id="23" name="AutoShape_595_SpCnt_2"/>
                          <pic:cNvPicPr/>
                        </pic:nvPicPr>
                        <pic:blipFill>
                          <a:blip r:embed="rId28"/>
                          <a:stretch>
                            <a:fillRect/>
                          </a:stretch>
                        </pic:blipFill>
                        <pic:spPr>
                          <a:xfrm>
                            <a:off x="0" y="0"/>
                            <a:ext cx="304800" cy="30353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82816" behindDoc="0" locked="0" layoutInCell="1" allowOverlap="1">
                  <wp:simplePos x="0" y="0"/>
                  <wp:positionH relativeFrom="column">
                    <wp:posOffset>221615</wp:posOffset>
                  </wp:positionH>
                  <wp:positionV relativeFrom="paragraph">
                    <wp:posOffset>87630</wp:posOffset>
                  </wp:positionV>
                  <wp:extent cx="701675" cy="633730"/>
                  <wp:effectExtent l="0" t="0" r="9525" b="1270"/>
                  <wp:wrapNone/>
                  <wp:docPr id="24" name="图片_531"/>
                  <wp:cNvGraphicFramePr/>
                  <a:graphic xmlns:a="http://schemas.openxmlformats.org/drawingml/2006/main">
                    <a:graphicData uri="http://schemas.openxmlformats.org/drawingml/2006/picture">
                      <pic:pic xmlns:pic="http://schemas.openxmlformats.org/drawingml/2006/picture">
                        <pic:nvPicPr>
                          <pic:cNvPr id="24" name="图片_531"/>
                          <pic:cNvPicPr/>
                        </pic:nvPicPr>
                        <pic:blipFill>
                          <a:blip r:embed="rId35"/>
                          <a:stretch>
                            <a:fillRect/>
                          </a:stretch>
                        </pic:blipFill>
                        <pic:spPr>
                          <a:xfrm>
                            <a:off x="0" y="0"/>
                            <a:ext cx="701675" cy="63373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广式单眼大锅灶(天燃气)</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1100×1100×（800+450）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1.304不锈钢板制造，面板1.0mm，侧板.后背0.8mm；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2.配可调性不锈钢子弹脚；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3.内部采用耐火砖.泥和耐火隔热棉隔热；</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4.直径约680翻边。                                                                                                                                   5.自动点火，带熄火保护</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金佰特、金浩德、新威达</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83840" behindDoc="0" locked="0" layoutInCell="1" allowOverlap="1">
                  <wp:simplePos x="0" y="0"/>
                  <wp:positionH relativeFrom="column">
                    <wp:posOffset>92075</wp:posOffset>
                  </wp:positionH>
                  <wp:positionV relativeFrom="paragraph">
                    <wp:posOffset>244475</wp:posOffset>
                  </wp:positionV>
                  <wp:extent cx="835025" cy="828040"/>
                  <wp:effectExtent l="0" t="0" r="3175" b="10160"/>
                  <wp:wrapNone/>
                  <wp:docPr id="25" name="Picture_450"/>
                  <wp:cNvGraphicFramePr/>
                  <a:graphic xmlns:a="http://schemas.openxmlformats.org/drawingml/2006/main">
                    <a:graphicData uri="http://schemas.openxmlformats.org/drawingml/2006/picture">
                      <pic:pic xmlns:pic="http://schemas.openxmlformats.org/drawingml/2006/picture">
                        <pic:nvPicPr>
                          <pic:cNvPr id="25" name="Picture_450"/>
                          <pic:cNvPicPr/>
                        </pic:nvPicPr>
                        <pic:blipFill>
                          <a:blip r:embed="rId36"/>
                          <a:stretch>
                            <a:fillRect/>
                          </a:stretch>
                        </pic:blipFill>
                        <pic:spPr>
                          <a:xfrm>
                            <a:off x="0" y="0"/>
                            <a:ext cx="835025" cy="82804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厨房设备灭火装置</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单瓶组</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感温器动作温度：183℃～232℃；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灭火剂持续喷射时间：≥10s；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灭火时间：≤9s；</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冷却水喷洒时间：≥ 5min；                                                                                                                   每套装置灭火剂容量：单瓶组12kg，                                                                                                                  厨房设备灭火装置具备自动启动，感温器温度达到就自动喷洒灭火。</w:t>
            </w:r>
          </w:p>
        </w:tc>
        <w:tc>
          <w:tcPr>
            <w:tcW w:w="975" w:type="dxa"/>
            <w:tcBorders>
              <w:top w:val="single" w:color="000000" w:sz="4" w:space="0"/>
              <w:left w:val="nil"/>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君度、时雨龙、圣翔</w:t>
            </w:r>
          </w:p>
        </w:tc>
        <w:tc>
          <w:tcPr>
            <w:tcW w:w="705" w:type="dxa"/>
            <w:tcBorders>
              <w:top w:val="single" w:color="000000" w:sz="4" w:space="0"/>
              <w:left w:val="nil"/>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nil"/>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84864" behindDoc="0" locked="0" layoutInCell="1" allowOverlap="1">
                  <wp:simplePos x="0" y="0"/>
                  <wp:positionH relativeFrom="column">
                    <wp:posOffset>57150</wp:posOffset>
                  </wp:positionH>
                  <wp:positionV relativeFrom="paragraph">
                    <wp:posOffset>336550</wp:posOffset>
                  </wp:positionV>
                  <wp:extent cx="979170" cy="652145"/>
                  <wp:effectExtent l="0" t="0" r="11430" b="8255"/>
                  <wp:wrapNone/>
                  <wp:docPr id="26" name="图片_1_SpCnt_1"/>
                  <wp:cNvGraphicFramePr/>
                  <a:graphic xmlns:a="http://schemas.openxmlformats.org/drawingml/2006/main">
                    <a:graphicData uri="http://schemas.openxmlformats.org/drawingml/2006/picture">
                      <pic:pic xmlns:pic="http://schemas.openxmlformats.org/drawingml/2006/picture">
                        <pic:nvPicPr>
                          <pic:cNvPr id="26" name="图片_1_SpCnt_1"/>
                          <pic:cNvPicPr/>
                        </pic:nvPicPr>
                        <pic:blipFill>
                          <a:blip r:embed="rId37"/>
                          <a:stretch>
                            <a:fillRect/>
                          </a:stretch>
                        </pic:blipFill>
                        <pic:spPr>
                          <a:xfrm>
                            <a:off x="0" y="0"/>
                            <a:ext cx="979170" cy="65214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单向移门调理台</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1500×700×800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1.304不锈钢板制造，内置一层板10mm；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2.面板δ1.0mm，层板δ0.8mm，门板δ1.0mm；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3.配不锈钢可调性调节腿。</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85888" behindDoc="0" locked="0" layoutInCell="1" allowOverlap="1">
                  <wp:simplePos x="0" y="0"/>
                  <wp:positionH relativeFrom="column">
                    <wp:posOffset>0</wp:posOffset>
                  </wp:positionH>
                  <wp:positionV relativeFrom="paragraph">
                    <wp:posOffset>0</wp:posOffset>
                  </wp:positionV>
                  <wp:extent cx="304800" cy="313690"/>
                  <wp:effectExtent l="0" t="0" r="0" b="0"/>
                  <wp:wrapNone/>
                  <wp:docPr id="27" name="AutoShape_593_SpCnt_3"/>
                  <wp:cNvGraphicFramePr/>
                  <a:graphic xmlns:a="http://schemas.openxmlformats.org/drawingml/2006/main">
                    <a:graphicData uri="http://schemas.openxmlformats.org/drawingml/2006/picture">
                      <pic:pic xmlns:pic="http://schemas.openxmlformats.org/drawingml/2006/picture">
                        <pic:nvPicPr>
                          <pic:cNvPr id="27" name="AutoShape_593_SpCnt_3"/>
                          <pic:cNvPicPr/>
                        </pic:nvPicPr>
                        <pic:blipFill>
                          <a:blip r:embed="rId38"/>
                          <a:stretch>
                            <a:fillRect/>
                          </a:stretch>
                        </pic:blipFill>
                        <pic:spPr>
                          <a:xfrm>
                            <a:off x="0" y="0"/>
                            <a:ext cx="304800" cy="31369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86912" behindDoc="0" locked="0" layoutInCell="1" allowOverlap="1">
                  <wp:simplePos x="0" y="0"/>
                  <wp:positionH relativeFrom="column">
                    <wp:posOffset>0</wp:posOffset>
                  </wp:positionH>
                  <wp:positionV relativeFrom="paragraph">
                    <wp:posOffset>0</wp:posOffset>
                  </wp:positionV>
                  <wp:extent cx="304800" cy="313690"/>
                  <wp:effectExtent l="0" t="0" r="0" b="0"/>
                  <wp:wrapNone/>
                  <wp:docPr id="28" name="AutoShape_595_SpCnt_3"/>
                  <wp:cNvGraphicFramePr/>
                  <a:graphic xmlns:a="http://schemas.openxmlformats.org/drawingml/2006/main">
                    <a:graphicData uri="http://schemas.openxmlformats.org/drawingml/2006/picture">
                      <pic:pic xmlns:pic="http://schemas.openxmlformats.org/drawingml/2006/picture">
                        <pic:nvPicPr>
                          <pic:cNvPr id="28" name="AutoShape_595_SpCnt_3"/>
                          <pic:cNvPicPr/>
                        </pic:nvPicPr>
                        <pic:blipFill>
                          <a:blip r:embed="rId38"/>
                          <a:stretch>
                            <a:fillRect/>
                          </a:stretch>
                        </pic:blipFill>
                        <pic:spPr>
                          <a:xfrm>
                            <a:off x="0" y="0"/>
                            <a:ext cx="304800" cy="31369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87936" behindDoc="0" locked="0" layoutInCell="1" allowOverlap="1">
                  <wp:simplePos x="0" y="0"/>
                  <wp:positionH relativeFrom="column">
                    <wp:posOffset>0</wp:posOffset>
                  </wp:positionH>
                  <wp:positionV relativeFrom="paragraph">
                    <wp:posOffset>0</wp:posOffset>
                  </wp:positionV>
                  <wp:extent cx="304800" cy="308610"/>
                  <wp:effectExtent l="0" t="0" r="0" b="0"/>
                  <wp:wrapNone/>
                  <wp:docPr id="29" name="AutoShape_593_SpCnt_4"/>
                  <wp:cNvGraphicFramePr/>
                  <a:graphic xmlns:a="http://schemas.openxmlformats.org/drawingml/2006/main">
                    <a:graphicData uri="http://schemas.openxmlformats.org/drawingml/2006/picture">
                      <pic:pic xmlns:pic="http://schemas.openxmlformats.org/drawingml/2006/picture">
                        <pic:nvPicPr>
                          <pic:cNvPr id="29" name="AutoShape_593_SpCnt_4"/>
                          <pic:cNvPicPr/>
                        </pic:nvPicPr>
                        <pic:blipFill>
                          <a:blip r:embed="rId38"/>
                          <a:stretch>
                            <a:fillRect/>
                          </a:stretch>
                        </pic:blipFill>
                        <pic:spPr>
                          <a:xfrm>
                            <a:off x="0" y="0"/>
                            <a:ext cx="304800" cy="30861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88960" behindDoc="0" locked="0" layoutInCell="1" allowOverlap="1">
                  <wp:simplePos x="0" y="0"/>
                  <wp:positionH relativeFrom="column">
                    <wp:posOffset>0</wp:posOffset>
                  </wp:positionH>
                  <wp:positionV relativeFrom="paragraph">
                    <wp:posOffset>0</wp:posOffset>
                  </wp:positionV>
                  <wp:extent cx="304800" cy="308610"/>
                  <wp:effectExtent l="0" t="0" r="0" b="0"/>
                  <wp:wrapNone/>
                  <wp:docPr id="30" name="AutoShape_595_SpCnt_4"/>
                  <wp:cNvGraphicFramePr/>
                  <a:graphic xmlns:a="http://schemas.openxmlformats.org/drawingml/2006/main">
                    <a:graphicData uri="http://schemas.openxmlformats.org/drawingml/2006/picture">
                      <pic:pic xmlns:pic="http://schemas.openxmlformats.org/drawingml/2006/picture">
                        <pic:nvPicPr>
                          <pic:cNvPr id="30" name="AutoShape_595_SpCnt_4"/>
                          <pic:cNvPicPr/>
                        </pic:nvPicPr>
                        <pic:blipFill>
                          <a:blip r:embed="rId38"/>
                          <a:stretch>
                            <a:fillRect/>
                          </a:stretch>
                        </pic:blipFill>
                        <pic:spPr>
                          <a:xfrm>
                            <a:off x="0" y="0"/>
                            <a:ext cx="304800" cy="30861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89984" behindDoc="0" locked="0" layoutInCell="1" allowOverlap="1">
                  <wp:simplePos x="0" y="0"/>
                  <wp:positionH relativeFrom="column">
                    <wp:posOffset>191135</wp:posOffset>
                  </wp:positionH>
                  <wp:positionV relativeFrom="paragraph">
                    <wp:posOffset>16510</wp:posOffset>
                  </wp:positionV>
                  <wp:extent cx="716280" cy="641350"/>
                  <wp:effectExtent l="0" t="0" r="7620" b="6350"/>
                  <wp:wrapNone/>
                  <wp:docPr id="31" name="图片_527"/>
                  <wp:cNvGraphicFramePr/>
                  <a:graphic xmlns:a="http://schemas.openxmlformats.org/drawingml/2006/main">
                    <a:graphicData uri="http://schemas.openxmlformats.org/drawingml/2006/picture">
                      <pic:pic xmlns:pic="http://schemas.openxmlformats.org/drawingml/2006/picture">
                        <pic:nvPicPr>
                          <pic:cNvPr id="31" name="图片_527"/>
                          <pic:cNvPicPr/>
                        </pic:nvPicPr>
                        <pic:blipFill>
                          <a:blip r:embed="rId39"/>
                          <a:stretch>
                            <a:fillRect/>
                          </a:stretch>
                        </pic:blipFill>
                        <pic:spPr>
                          <a:xfrm>
                            <a:off x="0" y="0"/>
                            <a:ext cx="716280" cy="64135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双层台面立架</w:t>
            </w:r>
          </w:p>
        </w:tc>
        <w:tc>
          <w:tcPr>
            <w:tcW w:w="129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1500×400×600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1.304不锈钢板制造，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691008" behindDoc="0" locked="0" layoutInCell="1" allowOverlap="1">
                  <wp:simplePos x="0" y="0"/>
                  <wp:positionH relativeFrom="column">
                    <wp:posOffset>204470</wp:posOffset>
                  </wp:positionH>
                  <wp:positionV relativeFrom="paragraph">
                    <wp:posOffset>21590</wp:posOffset>
                  </wp:positionV>
                  <wp:extent cx="558800" cy="308610"/>
                  <wp:effectExtent l="0" t="0" r="0" b="8890"/>
                  <wp:wrapNone/>
                  <wp:docPr id="32" name="Picture_10_SpCnt_1"/>
                  <wp:cNvGraphicFramePr/>
                  <a:graphic xmlns:a="http://schemas.openxmlformats.org/drawingml/2006/main">
                    <a:graphicData uri="http://schemas.openxmlformats.org/drawingml/2006/picture">
                      <pic:pic xmlns:pic="http://schemas.openxmlformats.org/drawingml/2006/picture">
                        <pic:nvPicPr>
                          <pic:cNvPr id="32" name="Picture_10_SpCnt_1"/>
                          <pic:cNvPicPr/>
                        </pic:nvPicPr>
                        <pic:blipFill>
                          <a:blip r:embed="rId40"/>
                          <a:stretch>
                            <a:fillRect/>
                          </a:stretch>
                        </pic:blipFill>
                        <pic:spPr>
                          <a:xfrm>
                            <a:off x="0" y="0"/>
                            <a:ext cx="558800" cy="30861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双层工作台</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1500×700×800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1.304不锈钢板焊接而成；内置一层密度板减噪10mm；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2.面板δ1.0mm，层板采用0.8mm厚不锈钢板；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3.台脚:φ38mm*0.8mm采用优质不锈钢管，配可调性调节脚。</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92032" behindDoc="0" locked="0" layoutInCell="1" allowOverlap="1">
                  <wp:simplePos x="0" y="0"/>
                  <wp:positionH relativeFrom="column">
                    <wp:posOffset>88265</wp:posOffset>
                  </wp:positionH>
                  <wp:positionV relativeFrom="paragraph">
                    <wp:posOffset>220980</wp:posOffset>
                  </wp:positionV>
                  <wp:extent cx="807085" cy="572135"/>
                  <wp:effectExtent l="0" t="0" r="5715" b="12065"/>
                  <wp:wrapNone/>
                  <wp:docPr id="33" name="Picture_109_SpCnt_1"/>
                  <wp:cNvGraphicFramePr/>
                  <a:graphic xmlns:a="http://schemas.openxmlformats.org/drawingml/2006/main">
                    <a:graphicData uri="http://schemas.openxmlformats.org/drawingml/2006/picture">
                      <pic:pic xmlns:pic="http://schemas.openxmlformats.org/drawingml/2006/picture">
                        <pic:nvPicPr>
                          <pic:cNvPr id="33" name="Picture_109_SpCnt_1"/>
                          <pic:cNvPicPr/>
                        </pic:nvPicPr>
                        <pic:blipFill>
                          <a:blip r:embed="rId26"/>
                          <a:stretch>
                            <a:fillRect/>
                          </a:stretch>
                        </pic:blipFill>
                        <pic:spPr>
                          <a:xfrm>
                            <a:off x="0" y="0"/>
                            <a:ext cx="807085" cy="57213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四层板架</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1150×500×1500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1.304不锈钢板焊接而成；面板采用1.0mm制作；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2.骨架采用δ=0.8mm*Φ38不锈钢圆通，配Φ38不锈钢可调节重力子弹脚。</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架</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93056" behindDoc="0" locked="0" layoutInCell="1" allowOverlap="1">
                  <wp:simplePos x="0" y="0"/>
                  <wp:positionH relativeFrom="column">
                    <wp:posOffset>304800</wp:posOffset>
                  </wp:positionH>
                  <wp:positionV relativeFrom="paragraph">
                    <wp:posOffset>173355</wp:posOffset>
                  </wp:positionV>
                  <wp:extent cx="480060" cy="622300"/>
                  <wp:effectExtent l="0" t="0" r="2540" b="0"/>
                  <wp:wrapNone/>
                  <wp:docPr id="34" name="Picture_893"/>
                  <wp:cNvGraphicFramePr/>
                  <a:graphic xmlns:a="http://schemas.openxmlformats.org/drawingml/2006/main">
                    <a:graphicData uri="http://schemas.openxmlformats.org/drawingml/2006/picture">
                      <pic:pic xmlns:pic="http://schemas.openxmlformats.org/drawingml/2006/picture">
                        <pic:nvPicPr>
                          <pic:cNvPr id="34" name="Picture_893"/>
                          <pic:cNvPicPr/>
                        </pic:nvPicPr>
                        <pic:blipFill>
                          <a:blip r:embed="rId41"/>
                          <a:stretch>
                            <a:fillRect/>
                          </a:stretch>
                        </pic:blipFill>
                        <pic:spPr>
                          <a:xfrm>
                            <a:off x="0" y="0"/>
                            <a:ext cx="480060" cy="62230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140" w:type="dxa"/>
            <w:tcBorders>
              <w:top w:val="single" w:color="000000" w:sz="4" w:space="0"/>
              <w:left w:val="single" w:color="000000" w:sz="4" w:space="0"/>
              <w:bottom w:val="nil"/>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封钢墙</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5000×800×20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304不锈钢板0.8mm制造</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米</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694080" behindDoc="0" locked="0" layoutInCell="1" allowOverlap="1">
                  <wp:simplePos x="0" y="0"/>
                  <wp:positionH relativeFrom="column">
                    <wp:posOffset>53975</wp:posOffset>
                  </wp:positionH>
                  <wp:positionV relativeFrom="paragraph">
                    <wp:posOffset>60325</wp:posOffset>
                  </wp:positionV>
                  <wp:extent cx="854710" cy="214630"/>
                  <wp:effectExtent l="0" t="0" r="8890" b="1270"/>
                  <wp:wrapNone/>
                  <wp:docPr id="35" name="图片_10_SpCnt_2"/>
                  <wp:cNvGraphicFramePr/>
                  <a:graphic xmlns:a="http://schemas.openxmlformats.org/drawingml/2006/main">
                    <a:graphicData uri="http://schemas.openxmlformats.org/drawingml/2006/picture">
                      <pic:pic xmlns:pic="http://schemas.openxmlformats.org/drawingml/2006/picture">
                        <pic:nvPicPr>
                          <pic:cNvPr id="35" name="图片_10_SpCnt_2"/>
                          <pic:cNvPicPr/>
                        </pic:nvPicPr>
                        <pic:blipFill>
                          <a:blip r:embed="rId42"/>
                          <a:stretch>
                            <a:fillRect/>
                          </a:stretch>
                        </pic:blipFill>
                        <pic:spPr>
                          <a:xfrm>
                            <a:off x="0" y="0"/>
                            <a:ext cx="854710" cy="21463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5550"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二次更衣/售卖间</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3"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脚踏式洗手星盆</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450×450×300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1.台面304不锈钢1.0mm,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3.配优质不锈钢落水器（装脚踏开关)</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695104" behindDoc="0" locked="0" layoutInCell="1" allowOverlap="1">
                  <wp:simplePos x="0" y="0"/>
                  <wp:positionH relativeFrom="column">
                    <wp:posOffset>204470</wp:posOffset>
                  </wp:positionH>
                  <wp:positionV relativeFrom="paragraph">
                    <wp:posOffset>64135</wp:posOffset>
                  </wp:positionV>
                  <wp:extent cx="577215" cy="283845"/>
                  <wp:effectExtent l="0" t="0" r="6985" b="8255"/>
                  <wp:wrapNone/>
                  <wp:docPr id="36" name="图片_3_SpCnt_1"/>
                  <wp:cNvGraphicFramePr/>
                  <a:graphic xmlns:a="http://schemas.openxmlformats.org/drawingml/2006/main">
                    <a:graphicData uri="http://schemas.openxmlformats.org/drawingml/2006/picture">
                      <pic:pic xmlns:pic="http://schemas.openxmlformats.org/drawingml/2006/picture">
                        <pic:nvPicPr>
                          <pic:cNvPr id="36" name="图片_3_SpCnt_1"/>
                          <pic:cNvPicPr/>
                        </pic:nvPicPr>
                        <pic:blipFill>
                          <a:blip r:embed="rId43"/>
                          <a:stretch>
                            <a:fillRect/>
                          </a:stretch>
                        </pic:blipFill>
                        <pic:spPr>
                          <a:xfrm>
                            <a:off x="0" y="0"/>
                            <a:ext cx="577215" cy="28384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27</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移门调理台带锁</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1180×750×800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1.304不锈钢板制造，内置一层板10mm；</w:t>
            </w:r>
            <w:r>
              <w:rPr>
                <w:rFonts w:hint="eastAsia" w:ascii="宋体" w:hAnsi="宋体" w:eastAsia="宋体" w:cs="宋体"/>
                <w:i w:val="0"/>
                <w:iCs w:val="0"/>
                <w:color w:val="FF0000"/>
                <w:kern w:val="0"/>
                <w:sz w:val="20"/>
                <w:szCs w:val="20"/>
                <w:u w:val="none"/>
                <w:lang w:val="en-US" w:eastAsia="zh-CN" w:bidi="ar"/>
              </w:rPr>
              <w:br w:type="textWrapping"/>
            </w:r>
            <w:r>
              <w:rPr>
                <w:rFonts w:hint="eastAsia" w:ascii="宋体" w:hAnsi="宋体" w:eastAsia="宋体" w:cs="宋体"/>
                <w:i w:val="0"/>
                <w:iCs w:val="0"/>
                <w:color w:val="FF0000"/>
                <w:kern w:val="0"/>
                <w:sz w:val="20"/>
                <w:szCs w:val="20"/>
                <w:u w:val="none"/>
                <w:lang w:val="en-US" w:eastAsia="zh-CN" w:bidi="ar"/>
              </w:rPr>
              <w:t>2.面板δ1.0mm，层板δ0.8mm，门板δ1.0mm；</w:t>
            </w:r>
            <w:r>
              <w:rPr>
                <w:rFonts w:hint="eastAsia" w:ascii="宋体" w:hAnsi="宋体" w:eastAsia="宋体" w:cs="宋体"/>
                <w:i w:val="0"/>
                <w:iCs w:val="0"/>
                <w:color w:val="FF0000"/>
                <w:kern w:val="0"/>
                <w:sz w:val="20"/>
                <w:szCs w:val="20"/>
                <w:u w:val="none"/>
                <w:lang w:val="en-US" w:eastAsia="zh-CN" w:bidi="ar"/>
              </w:rPr>
              <w:br w:type="textWrapping"/>
            </w:r>
            <w:r>
              <w:rPr>
                <w:rFonts w:hint="eastAsia" w:ascii="宋体" w:hAnsi="宋体" w:eastAsia="宋体" w:cs="宋体"/>
                <w:i w:val="0"/>
                <w:iCs w:val="0"/>
                <w:color w:val="FF0000"/>
                <w:kern w:val="0"/>
                <w:sz w:val="20"/>
                <w:szCs w:val="20"/>
                <w:u w:val="none"/>
                <w:lang w:val="en-US" w:eastAsia="zh-CN" w:bidi="ar"/>
              </w:rPr>
              <w:t>3.配不锈钢可调性调节腿，中间带锁，可关闭</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lang w:val="en-US" w:eastAsia="zh-CN" w:bidi="ar-SA"/>
              </w:rPr>
            </w:pPr>
            <w:r>
              <w:rPr>
                <w:rFonts w:hint="eastAsia" w:ascii="宋体" w:hAnsi="宋体" w:eastAsia="宋体" w:cs="宋体"/>
                <w:i w:val="0"/>
                <w:iCs w:val="0"/>
                <w:color w:val="FF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FF0000"/>
                <w:sz w:val="20"/>
                <w:szCs w:val="20"/>
                <w:u w:val="none"/>
              </w:rPr>
            </w:pPr>
            <w:r>
              <w:rPr>
                <w:rFonts w:hint="eastAsia" w:ascii="宋体" w:hAnsi="宋体" w:eastAsia="宋体" w:cs="宋体"/>
                <w:b/>
                <w:bCs/>
                <w:i w:val="0"/>
                <w:iCs w:val="0"/>
                <w:color w:val="FF0000"/>
                <w:kern w:val="0"/>
                <w:sz w:val="20"/>
                <w:szCs w:val="20"/>
                <w:u w:val="none"/>
                <w:bdr w:val="single" w:color="000000" w:sz="4" w:space="0"/>
                <w:lang w:val="en-US" w:eastAsia="zh-CN" w:bidi="ar"/>
              </w:rPr>
              <w:drawing>
                <wp:anchor distT="0" distB="0" distL="114300" distR="114300" simplePos="0" relativeHeight="251696128" behindDoc="0" locked="0" layoutInCell="1" allowOverlap="1">
                  <wp:simplePos x="0" y="0"/>
                  <wp:positionH relativeFrom="column">
                    <wp:posOffset>109220</wp:posOffset>
                  </wp:positionH>
                  <wp:positionV relativeFrom="paragraph">
                    <wp:posOffset>163195</wp:posOffset>
                  </wp:positionV>
                  <wp:extent cx="811530" cy="592455"/>
                  <wp:effectExtent l="0" t="0" r="1270" b="4445"/>
                  <wp:wrapNone/>
                  <wp:docPr id="37" name="图片_3_SpCnt_2"/>
                  <wp:cNvGraphicFramePr/>
                  <a:graphic xmlns:a="http://schemas.openxmlformats.org/drawingml/2006/main">
                    <a:graphicData uri="http://schemas.openxmlformats.org/drawingml/2006/picture">
                      <pic:pic xmlns:pic="http://schemas.openxmlformats.org/drawingml/2006/picture">
                        <pic:nvPicPr>
                          <pic:cNvPr id="37" name="图片_3_SpCnt_2"/>
                          <pic:cNvPicPr/>
                        </pic:nvPicPr>
                        <pic:blipFill>
                          <a:blip r:embed="rId44"/>
                          <a:stretch>
                            <a:fillRect/>
                          </a:stretch>
                        </pic:blipFill>
                        <pic:spPr>
                          <a:xfrm>
                            <a:off x="0" y="0"/>
                            <a:ext cx="811530" cy="592455"/>
                          </a:xfrm>
                          <a:prstGeom prst="rect">
                            <a:avLst/>
                          </a:prstGeom>
                          <a:noFill/>
                          <a:ln>
                            <a:noFill/>
                          </a:ln>
                        </pic:spPr>
                      </pic:pic>
                    </a:graphicData>
                  </a:graphic>
                </wp:anchor>
              </w:drawing>
            </w:r>
            <w:r>
              <w:rPr>
                <w:rFonts w:hint="eastAsia" w:ascii="宋体" w:hAnsi="宋体" w:eastAsia="宋体" w:cs="宋体"/>
                <w:b/>
                <w:bCs/>
                <w:i w:val="0"/>
                <w:iCs w:val="0"/>
                <w:color w:val="FF0000"/>
                <w:kern w:val="0"/>
                <w:sz w:val="20"/>
                <w:szCs w:val="20"/>
                <w:u w:val="none"/>
                <w:bdr w:val="single" w:color="000000" w:sz="4" w:space="0"/>
                <w:lang w:val="en-US" w:eastAsia="zh-CN" w:bidi="ar"/>
              </w:rPr>
              <w:drawing>
                <wp:anchor distT="0" distB="0" distL="114300" distR="114300" simplePos="0" relativeHeight="251697152" behindDoc="0" locked="0" layoutInCell="1" allowOverlap="1">
                  <wp:simplePos x="0" y="0"/>
                  <wp:positionH relativeFrom="column">
                    <wp:posOffset>0</wp:posOffset>
                  </wp:positionH>
                  <wp:positionV relativeFrom="paragraph">
                    <wp:posOffset>0</wp:posOffset>
                  </wp:positionV>
                  <wp:extent cx="304800" cy="313690"/>
                  <wp:effectExtent l="0" t="0" r="0" b="0"/>
                  <wp:wrapNone/>
                  <wp:docPr id="38" name="AutoShape_595_SpCnt_5"/>
                  <wp:cNvGraphicFramePr/>
                  <a:graphic xmlns:a="http://schemas.openxmlformats.org/drawingml/2006/main">
                    <a:graphicData uri="http://schemas.openxmlformats.org/drawingml/2006/picture">
                      <pic:pic xmlns:pic="http://schemas.openxmlformats.org/drawingml/2006/picture">
                        <pic:nvPicPr>
                          <pic:cNvPr id="38" name="AutoShape_595_SpCnt_5"/>
                          <pic:cNvPicPr/>
                        </pic:nvPicPr>
                        <pic:blipFill>
                          <a:blip r:embed="rId38"/>
                          <a:stretch>
                            <a:fillRect/>
                          </a:stretch>
                        </pic:blipFill>
                        <pic:spPr>
                          <a:xfrm>
                            <a:off x="0" y="0"/>
                            <a:ext cx="304800" cy="313690"/>
                          </a:xfrm>
                          <a:prstGeom prst="rect">
                            <a:avLst/>
                          </a:prstGeom>
                          <a:noFill/>
                          <a:ln>
                            <a:noFill/>
                          </a:ln>
                        </pic:spPr>
                      </pic:pic>
                    </a:graphicData>
                  </a:graphic>
                </wp:anchor>
              </w:drawing>
            </w:r>
            <w:r>
              <w:rPr>
                <w:rFonts w:hint="eastAsia" w:ascii="宋体" w:hAnsi="宋体" w:eastAsia="宋体" w:cs="宋体"/>
                <w:b/>
                <w:bCs/>
                <w:i w:val="0"/>
                <w:iCs w:val="0"/>
                <w:color w:val="FF0000"/>
                <w:kern w:val="0"/>
                <w:sz w:val="20"/>
                <w:szCs w:val="20"/>
                <w:u w:val="none"/>
                <w:bdr w:val="single" w:color="000000" w:sz="4" w:space="0"/>
                <w:lang w:val="en-US" w:eastAsia="zh-CN" w:bidi="ar"/>
              </w:rPr>
              <w:drawing>
                <wp:anchor distT="0" distB="0" distL="114300" distR="114300" simplePos="0" relativeHeight="251698176" behindDoc="0" locked="0" layoutInCell="1" allowOverlap="1">
                  <wp:simplePos x="0" y="0"/>
                  <wp:positionH relativeFrom="column">
                    <wp:posOffset>0</wp:posOffset>
                  </wp:positionH>
                  <wp:positionV relativeFrom="paragraph">
                    <wp:posOffset>0</wp:posOffset>
                  </wp:positionV>
                  <wp:extent cx="304800" cy="308610"/>
                  <wp:effectExtent l="0" t="0" r="0" b="0"/>
                  <wp:wrapNone/>
                  <wp:docPr id="39" name="AutoShape_595_SpCnt_6"/>
                  <wp:cNvGraphicFramePr/>
                  <a:graphic xmlns:a="http://schemas.openxmlformats.org/drawingml/2006/main">
                    <a:graphicData uri="http://schemas.openxmlformats.org/drawingml/2006/picture">
                      <pic:pic xmlns:pic="http://schemas.openxmlformats.org/drawingml/2006/picture">
                        <pic:nvPicPr>
                          <pic:cNvPr id="39" name="AutoShape_595_SpCnt_6"/>
                          <pic:cNvPicPr/>
                        </pic:nvPicPr>
                        <pic:blipFill>
                          <a:blip r:embed="rId38"/>
                          <a:stretch>
                            <a:fillRect/>
                          </a:stretch>
                        </pic:blipFill>
                        <pic:spPr>
                          <a:xfrm>
                            <a:off x="0" y="0"/>
                            <a:ext cx="304800" cy="308610"/>
                          </a:xfrm>
                          <a:prstGeom prst="rect">
                            <a:avLst/>
                          </a:prstGeom>
                          <a:noFill/>
                          <a:ln>
                            <a:noFill/>
                          </a:ln>
                        </pic:spPr>
                      </pic:pic>
                    </a:graphicData>
                  </a:graphic>
                </wp:anchor>
              </w:drawing>
            </w:r>
            <w:r>
              <w:rPr>
                <w:rFonts w:hint="eastAsia" w:ascii="宋体" w:hAnsi="宋体" w:eastAsia="宋体" w:cs="宋体"/>
                <w:b/>
                <w:bCs/>
                <w:i w:val="0"/>
                <w:iCs w:val="0"/>
                <w:color w:val="FF0000"/>
                <w:kern w:val="0"/>
                <w:sz w:val="20"/>
                <w:szCs w:val="20"/>
                <w:u w:val="none"/>
                <w:bdr w:val="single" w:color="000000" w:sz="4" w:space="0"/>
                <w:lang w:val="en-US" w:eastAsia="zh-CN" w:bidi="ar"/>
              </w:rPr>
              <w:drawing>
                <wp:anchor distT="0" distB="0" distL="114300" distR="114300" simplePos="0" relativeHeight="251699200" behindDoc="0" locked="0" layoutInCell="1" allowOverlap="1">
                  <wp:simplePos x="0" y="0"/>
                  <wp:positionH relativeFrom="column">
                    <wp:posOffset>0</wp:posOffset>
                  </wp:positionH>
                  <wp:positionV relativeFrom="paragraph">
                    <wp:posOffset>0</wp:posOffset>
                  </wp:positionV>
                  <wp:extent cx="304800" cy="313690"/>
                  <wp:effectExtent l="0" t="0" r="0" b="0"/>
                  <wp:wrapNone/>
                  <wp:docPr id="40" name="AutoShape_593_SpCnt_5"/>
                  <wp:cNvGraphicFramePr/>
                  <a:graphic xmlns:a="http://schemas.openxmlformats.org/drawingml/2006/main">
                    <a:graphicData uri="http://schemas.openxmlformats.org/drawingml/2006/picture">
                      <pic:pic xmlns:pic="http://schemas.openxmlformats.org/drawingml/2006/picture">
                        <pic:nvPicPr>
                          <pic:cNvPr id="40" name="AutoShape_593_SpCnt_5"/>
                          <pic:cNvPicPr/>
                        </pic:nvPicPr>
                        <pic:blipFill>
                          <a:blip r:embed="rId38"/>
                          <a:stretch>
                            <a:fillRect/>
                          </a:stretch>
                        </pic:blipFill>
                        <pic:spPr>
                          <a:xfrm>
                            <a:off x="0" y="0"/>
                            <a:ext cx="304800" cy="313690"/>
                          </a:xfrm>
                          <a:prstGeom prst="rect">
                            <a:avLst/>
                          </a:prstGeom>
                          <a:noFill/>
                          <a:ln>
                            <a:noFill/>
                          </a:ln>
                        </pic:spPr>
                      </pic:pic>
                    </a:graphicData>
                  </a:graphic>
                </wp:anchor>
              </w:drawing>
            </w:r>
            <w:r>
              <w:rPr>
                <w:rFonts w:hint="eastAsia" w:ascii="宋体" w:hAnsi="宋体" w:eastAsia="宋体" w:cs="宋体"/>
                <w:b/>
                <w:bCs/>
                <w:i w:val="0"/>
                <w:iCs w:val="0"/>
                <w:color w:val="FF0000"/>
                <w:kern w:val="0"/>
                <w:sz w:val="20"/>
                <w:szCs w:val="20"/>
                <w:u w:val="none"/>
                <w:bdr w:val="single" w:color="000000" w:sz="4" w:space="0"/>
                <w:lang w:val="en-US" w:eastAsia="zh-CN" w:bidi="ar"/>
              </w:rPr>
              <w:drawing>
                <wp:anchor distT="0" distB="0" distL="114300" distR="114300" simplePos="0" relativeHeight="251700224" behindDoc="0" locked="0" layoutInCell="1" allowOverlap="1">
                  <wp:simplePos x="0" y="0"/>
                  <wp:positionH relativeFrom="column">
                    <wp:posOffset>0</wp:posOffset>
                  </wp:positionH>
                  <wp:positionV relativeFrom="paragraph">
                    <wp:posOffset>0</wp:posOffset>
                  </wp:positionV>
                  <wp:extent cx="304800" cy="308610"/>
                  <wp:effectExtent l="0" t="0" r="0" b="0"/>
                  <wp:wrapNone/>
                  <wp:docPr id="41" name="AutoShape_593_SpCnt_6"/>
                  <wp:cNvGraphicFramePr/>
                  <a:graphic xmlns:a="http://schemas.openxmlformats.org/drawingml/2006/main">
                    <a:graphicData uri="http://schemas.openxmlformats.org/drawingml/2006/picture">
                      <pic:pic xmlns:pic="http://schemas.openxmlformats.org/drawingml/2006/picture">
                        <pic:nvPicPr>
                          <pic:cNvPr id="41" name="AutoShape_593_SpCnt_6"/>
                          <pic:cNvPicPr/>
                        </pic:nvPicPr>
                        <pic:blipFill>
                          <a:blip r:embed="rId38"/>
                          <a:stretch>
                            <a:fillRect/>
                          </a:stretch>
                        </pic:blipFill>
                        <pic:spPr>
                          <a:xfrm>
                            <a:off x="0" y="0"/>
                            <a:ext cx="304800" cy="30861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冷藏工作台</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1500×600×800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1.大容量储藏空间；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2.合成电子中央温控，不受干扰；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3.液晶数字显示，清晰可靠。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4.温度范围：-5℃~10℃</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爱雪、洛德、凯普顿</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01248" behindDoc="0" locked="0" layoutInCell="1" allowOverlap="1">
                  <wp:simplePos x="0" y="0"/>
                  <wp:positionH relativeFrom="column">
                    <wp:posOffset>50800</wp:posOffset>
                  </wp:positionH>
                  <wp:positionV relativeFrom="paragraph">
                    <wp:posOffset>257175</wp:posOffset>
                  </wp:positionV>
                  <wp:extent cx="898525" cy="471805"/>
                  <wp:effectExtent l="0" t="0" r="3175" b="10795"/>
                  <wp:wrapNone/>
                  <wp:docPr id="42" name="图片_3_SpCnt_3"/>
                  <wp:cNvGraphicFramePr/>
                  <a:graphic xmlns:a="http://schemas.openxmlformats.org/drawingml/2006/main">
                    <a:graphicData uri="http://schemas.openxmlformats.org/drawingml/2006/picture">
                      <pic:pic xmlns:pic="http://schemas.openxmlformats.org/drawingml/2006/picture">
                        <pic:nvPicPr>
                          <pic:cNvPr id="42" name="图片_3_SpCnt_3"/>
                          <pic:cNvPicPr/>
                        </pic:nvPicPr>
                        <pic:blipFill>
                          <a:blip r:embed="rId45"/>
                          <a:stretch>
                            <a:fillRect/>
                          </a:stretch>
                        </pic:blipFill>
                        <pic:spPr>
                          <a:xfrm>
                            <a:off x="0" y="0"/>
                            <a:ext cx="898525" cy="47180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单星水池</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600×600×800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2.台面δ=1.0mm，星盆斗δ=0.8mm；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3.配落水器.子弹脚。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4.星盆尺寸:500×500×300（冲压一次成型）</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02272" behindDoc="0" locked="0" layoutInCell="1" allowOverlap="1">
                  <wp:simplePos x="0" y="0"/>
                  <wp:positionH relativeFrom="column">
                    <wp:posOffset>211455</wp:posOffset>
                  </wp:positionH>
                  <wp:positionV relativeFrom="paragraph">
                    <wp:posOffset>36830</wp:posOffset>
                  </wp:positionV>
                  <wp:extent cx="563245" cy="744220"/>
                  <wp:effectExtent l="0" t="0" r="8255" b="5080"/>
                  <wp:wrapNone/>
                  <wp:docPr id="43" name="Picture_933"/>
                  <wp:cNvGraphicFramePr/>
                  <a:graphic xmlns:a="http://schemas.openxmlformats.org/drawingml/2006/main">
                    <a:graphicData uri="http://schemas.openxmlformats.org/drawingml/2006/picture">
                      <pic:pic xmlns:pic="http://schemas.openxmlformats.org/drawingml/2006/picture">
                        <pic:nvPicPr>
                          <pic:cNvPr id="43" name="Picture_933"/>
                          <pic:cNvPicPr/>
                        </pic:nvPicPr>
                        <pic:blipFill>
                          <a:blip r:embed="rId46"/>
                          <a:stretch>
                            <a:fillRect/>
                          </a:stretch>
                        </pic:blipFill>
                        <pic:spPr>
                          <a:xfrm>
                            <a:off x="0" y="0"/>
                            <a:ext cx="563245" cy="74422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留样冰箱</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595×570×1915</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容量：320L                                                                                                                                                                                              额定电压/电流：220V                                                                                                                                                                                   耗电：150W                                                                                                                                                                                       箱内温度：2℃~10℃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爱雪、洛德、凯普顿</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03296" behindDoc="0" locked="0" layoutInCell="1" allowOverlap="1">
                  <wp:simplePos x="0" y="0"/>
                  <wp:positionH relativeFrom="column">
                    <wp:posOffset>317500</wp:posOffset>
                  </wp:positionH>
                  <wp:positionV relativeFrom="paragraph">
                    <wp:posOffset>50165</wp:posOffset>
                  </wp:positionV>
                  <wp:extent cx="419735" cy="614680"/>
                  <wp:effectExtent l="0" t="0" r="12065" b="7620"/>
                  <wp:wrapNone/>
                  <wp:docPr id="44" name="图片_1_SpCnt_2"/>
                  <wp:cNvGraphicFramePr/>
                  <a:graphic xmlns:a="http://schemas.openxmlformats.org/drawingml/2006/main">
                    <a:graphicData uri="http://schemas.openxmlformats.org/drawingml/2006/picture">
                      <pic:pic xmlns:pic="http://schemas.openxmlformats.org/drawingml/2006/picture">
                        <pic:nvPicPr>
                          <pic:cNvPr id="44" name="图片_1_SpCnt_2"/>
                          <pic:cNvPicPr/>
                        </pic:nvPicPr>
                        <pic:blipFill>
                          <a:blip r:embed="rId47"/>
                          <a:stretch>
                            <a:fillRect/>
                          </a:stretch>
                        </pic:blipFill>
                        <pic:spPr>
                          <a:xfrm>
                            <a:off x="0" y="0"/>
                            <a:ext cx="419735" cy="61468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双开门柜</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850×700×800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1.304不锈钢板制造，内置一层板10mm；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2.面板δ1.0mm，层板δ0.8mm，门板δ1.0mm；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3.配不锈钢可调性调节腿。</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704320" behindDoc="0" locked="0" layoutInCell="1" allowOverlap="1">
                  <wp:simplePos x="0" y="0"/>
                  <wp:positionH relativeFrom="column">
                    <wp:posOffset>0</wp:posOffset>
                  </wp:positionH>
                  <wp:positionV relativeFrom="paragraph">
                    <wp:posOffset>0</wp:posOffset>
                  </wp:positionV>
                  <wp:extent cx="304800" cy="313690"/>
                  <wp:effectExtent l="0" t="0" r="0" b="0"/>
                  <wp:wrapNone/>
                  <wp:docPr id="45" name="AutoShape_593_SpCnt_7"/>
                  <wp:cNvGraphicFramePr/>
                  <a:graphic xmlns:a="http://schemas.openxmlformats.org/drawingml/2006/main">
                    <a:graphicData uri="http://schemas.openxmlformats.org/drawingml/2006/picture">
                      <pic:pic xmlns:pic="http://schemas.openxmlformats.org/drawingml/2006/picture">
                        <pic:nvPicPr>
                          <pic:cNvPr id="45" name="AutoShape_593_SpCnt_7"/>
                          <pic:cNvPicPr/>
                        </pic:nvPicPr>
                        <pic:blipFill>
                          <a:blip r:embed="rId38"/>
                          <a:stretch>
                            <a:fillRect/>
                          </a:stretch>
                        </pic:blipFill>
                        <pic:spPr>
                          <a:xfrm>
                            <a:off x="0" y="0"/>
                            <a:ext cx="304800" cy="31369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705344" behindDoc="0" locked="0" layoutInCell="1" allowOverlap="1">
                  <wp:simplePos x="0" y="0"/>
                  <wp:positionH relativeFrom="column">
                    <wp:posOffset>0</wp:posOffset>
                  </wp:positionH>
                  <wp:positionV relativeFrom="paragraph">
                    <wp:posOffset>0</wp:posOffset>
                  </wp:positionV>
                  <wp:extent cx="304800" cy="313690"/>
                  <wp:effectExtent l="0" t="0" r="0" b="0"/>
                  <wp:wrapNone/>
                  <wp:docPr id="46" name="AutoShape_595_SpCnt_7"/>
                  <wp:cNvGraphicFramePr/>
                  <a:graphic xmlns:a="http://schemas.openxmlformats.org/drawingml/2006/main">
                    <a:graphicData uri="http://schemas.openxmlformats.org/drawingml/2006/picture">
                      <pic:pic xmlns:pic="http://schemas.openxmlformats.org/drawingml/2006/picture">
                        <pic:nvPicPr>
                          <pic:cNvPr id="46" name="AutoShape_595_SpCnt_7"/>
                          <pic:cNvPicPr/>
                        </pic:nvPicPr>
                        <pic:blipFill>
                          <a:blip r:embed="rId38"/>
                          <a:stretch>
                            <a:fillRect/>
                          </a:stretch>
                        </pic:blipFill>
                        <pic:spPr>
                          <a:xfrm>
                            <a:off x="0" y="0"/>
                            <a:ext cx="304800" cy="31369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706368" behindDoc="0" locked="0" layoutInCell="1" allowOverlap="1">
                  <wp:simplePos x="0" y="0"/>
                  <wp:positionH relativeFrom="column">
                    <wp:posOffset>0</wp:posOffset>
                  </wp:positionH>
                  <wp:positionV relativeFrom="paragraph">
                    <wp:posOffset>0</wp:posOffset>
                  </wp:positionV>
                  <wp:extent cx="304800" cy="308610"/>
                  <wp:effectExtent l="0" t="0" r="0" b="0"/>
                  <wp:wrapNone/>
                  <wp:docPr id="47" name="AutoShape_593_SpCnt_8"/>
                  <wp:cNvGraphicFramePr/>
                  <a:graphic xmlns:a="http://schemas.openxmlformats.org/drawingml/2006/main">
                    <a:graphicData uri="http://schemas.openxmlformats.org/drawingml/2006/picture">
                      <pic:pic xmlns:pic="http://schemas.openxmlformats.org/drawingml/2006/picture">
                        <pic:nvPicPr>
                          <pic:cNvPr id="47" name="AutoShape_593_SpCnt_8"/>
                          <pic:cNvPicPr/>
                        </pic:nvPicPr>
                        <pic:blipFill>
                          <a:blip r:embed="rId38"/>
                          <a:stretch>
                            <a:fillRect/>
                          </a:stretch>
                        </pic:blipFill>
                        <pic:spPr>
                          <a:xfrm>
                            <a:off x="0" y="0"/>
                            <a:ext cx="304800" cy="30861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707392" behindDoc="0" locked="0" layoutInCell="1" allowOverlap="1">
                  <wp:simplePos x="0" y="0"/>
                  <wp:positionH relativeFrom="column">
                    <wp:posOffset>0</wp:posOffset>
                  </wp:positionH>
                  <wp:positionV relativeFrom="paragraph">
                    <wp:posOffset>0</wp:posOffset>
                  </wp:positionV>
                  <wp:extent cx="304800" cy="308610"/>
                  <wp:effectExtent l="0" t="0" r="0" b="0"/>
                  <wp:wrapNone/>
                  <wp:docPr id="48" name="AutoShape_595_SpCnt_8"/>
                  <wp:cNvGraphicFramePr/>
                  <a:graphic xmlns:a="http://schemas.openxmlformats.org/drawingml/2006/main">
                    <a:graphicData uri="http://schemas.openxmlformats.org/drawingml/2006/picture">
                      <pic:pic xmlns:pic="http://schemas.openxmlformats.org/drawingml/2006/picture">
                        <pic:nvPicPr>
                          <pic:cNvPr id="48" name="AutoShape_595_SpCnt_8"/>
                          <pic:cNvPicPr/>
                        </pic:nvPicPr>
                        <pic:blipFill>
                          <a:blip r:embed="rId38"/>
                          <a:stretch>
                            <a:fillRect/>
                          </a:stretch>
                        </pic:blipFill>
                        <pic:spPr>
                          <a:xfrm>
                            <a:off x="0" y="0"/>
                            <a:ext cx="304800" cy="30861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708416" behindDoc="0" locked="0" layoutInCell="1" allowOverlap="1">
                  <wp:simplePos x="0" y="0"/>
                  <wp:positionH relativeFrom="column">
                    <wp:posOffset>327660</wp:posOffset>
                  </wp:positionH>
                  <wp:positionV relativeFrom="paragraph">
                    <wp:posOffset>46355</wp:posOffset>
                  </wp:positionV>
                  <wp:extent cx="344170" cy="589280"/>
                  <wp:effectExtent l="0" t="0" r="11430" b="7620"/>
                  <wp:wrapNone/>
                  <wp:docPr id="49" name="图片_527_SpCnt_1"/>
                  <wp:cNvGraphicFramePr/>
                  <a:graphic xmlns:a="http://schemas.openxmlformats.org/drawingml/2006/main">
                    <a:graphicData uri="http://schemas.openxmlformats.org/drawingml/2006/picture">
                      <pic:pic xmlns:pic="http://schemas.openxmlformats.org/drawingml/2006/picture">
                        <pic:nvPicPr>
                          <pic:cNvPr id="49" name="图片_527_SpCnt_1"/>
                          <pic:cNvPicPr/>
                        </pic:nvPicPr>
                        <pic:blipFill>
                          <a:blip r:embed="rId48"/>
                          <a:stretch>
                            <a:fillRect/>
                          </a:stretch>
                        </pic:blipFill>
                        <pic:spPr>
                          <a:xfrm>
                            <a:off x="0" y="0"/>
                            <a:ext cx="344170" cy="58928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柜式四斗售菜保温台</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1500×700×800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1.304不锈钢板制造；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2.面板δ1.0mm，内胆δ1.0mm，围板δ0.8mm；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3.配可调性调节脚。                                                                                                                                                                          4.功率：220V,2KW;                                                                                                                                                                                                        5.带4个1/1份数盆，深100mm　</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09440" behindDoc="0" locked="0" layoutInCell="1" allowOverlap="1">
                  <wp:simplePos x="0" y="0"/>
                  <wp:positionH relativeFrom="column">
                    <wp:posOffset>72390</wp:posOffset>
                  </wp:positionH>
                  <wp:positionV relativeFrom="paragraph">
                    <wp:posOffset>140970</wp:posOffset>
                  </wp:positionV>
                  <wp:extent cx="789305" cy="415290"/>
                  <wp:effectExtent l="0" t="0" r="10795" b="3810"/>
                  <wp:wrapNone/>
                  <wp:docPr id="50" name="Picture_35"/>
                  <wp:cNvGraphicFramePr/>
                  <a:graphic xmlns:a="http://schemas.openxmlformats.org/drawingml/2006/main">
                    <a:graphicData uri="http://schemas.openxmlformats.org/drawingml/2006/picture">
                      <pic:pic xmlns:pic="http://schemas.openxmlformats.org/drawingml/2006/picture">
                        <pic:nvPicPr>
                          <pic:cNvPr id="50" name="Picture_35"/>
                          <pic:cNvPicPr/>
                        </pic:nvPicPr>
                        <pic:blipFill>
                          <a:blip r:embed="rId49"/>
                          <a:stretch>
                            <a:fillRect/>
                          </a:stretch>
                        </pic:blipFill>
                        <pic:spPr>
                          <a:xfrm>
                            <a:off x="0" y="0"/>
                            <a:ext cx="789305" cy="41529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6"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电热六眼煮面炉</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700×700×800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1.材质: 面板、水箱304不锈钢, 板厚1.0mm,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2.电压：380V/功率：9KW/380V；前开门</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瑞翔、宏麟、泰辉</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10464" behindDoc="0" locked="0" layoutInCell="1" allowOverlap="1">
                  <wp:simplePos x="0" y="0"/>
                  <wp:positionH relativeFrom="column">
                    <wp:posOffset>198120</wp:posOffset>
                  </wp:positionH>
                  <wp:positionV relativeFrom="paragraph">
                    <wp:posOffset>38100</wp:posOffset>
                  </wp:positionV>
                  <wp:extent cx="517525" cy="494665"/>
                  <wp:effectExtent l="0" t="0" r="3175" b="635"/>
                  <wp:wrapNone/>
                  <wp:docPr id="51" name="图片_88"/>
                  <wp:cNvGraphicFramePr/>
                  <a:graphic xmlns:a="http://schemas.openxmlformats.org/drawingml/2006/main">
                    <a:graphicData uri="http://schemas.openxmlformats.org/drawingml/2006/picture">
                      <pic:pic xmlns:pic="http://schemas.openxmlformats.org/drawingml/2006/picture">
                        <pic:nvPicPr>
                          <pic:cNvPr id="51" name="图片_88"/>
                          <pic:cNvPicPr/>
                        </pic:nvPicPr>
                        <pic:blipFill>
                          <a:blip r:embed="rId50"/>
                          <a:stretch>
                            <a:fillRect/>
                          </a:stretch>
                        </pic:blipFill>
                        <pic:spPr>
                          <a:xfrm>
                            <a:off x="0" y="0"/>
                            <a:ext cx="517525" cy="49466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34</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环保油烟净化一体机</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2000×1300×1100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1.一体机由下罩和上罩组成，下罩由外壳，挡板，动态拦截，触摸面板，照明等组成，外壳的下部和侧面无铆钉，方便维护;动态拦截，采用防水防油耐高温通电机和防水街头引线;上罩由电箱，电场箱，风机箱等组成。电场箱中的电场采用纯高压和纯低压的方式。</w:t>
            </w:r>
            <w:r>
              <w:rPr>
                <w:rFonts w:hint="eastAsia" w:ascii="宋体" w:hAnsi="宋体" w:eastAsia="宋体" w:cs="宋体"/>
                <w:i w:val="0"/>
                <w:iCs w:val="0"/>
                <w:color w:val="FF0000"/>
                <w:kern w:val="0"/>
                <w:sz w:val="20"/>
                <w:szCs w:val="20"/>
                <w:u w:val="none"/>
                <w:lang w:val="en-US" w:eastAsia="zh-CN" w:bidi="ar"/>
              </w:rPr>
              <w:br w:type="textWrapping"/>
            </w:r>
            <w:r>
              <w:rPr>
                <w:rFonts w:hint="eastAsia" w:ascii="宋体" w:hAnsi="宋体" w:eastAsia="宋体" w:cs="宋体"/>
                <w:i w:val="0"/>
                <w:iCs w:val="0"/>
                <w:color w:val="FF0000"/>
                <w:kern w:val="0"/>
                <w:sz w:val="20"/>
                <w:szCs w:val="20"/>
                <w:u w:val="none"/>
                <w:lang w:val="en-US" w:eastAsia="zh-CN" w:bidi="ar"/>
              </w:rPr>
              <w:t>2.噪音： ≤75Db</w:t>
            </w:r>
            <w:r>
              <w:rPr>
                <w:rFonts w:hint="eastAsia" w:ascii="宋体" w:hAnsi="宋体" w:eastAsia="宋体" w:cs="宋体"/>
                <w:i w:val="0"/>
                <w:iCs w:val="0"/>
                <w:color w:val="FF0000"/>
                <w:kern w:val="0"/>
                <w:sz w:val="20"/>
                <w:szCs w:val="20"/>
                <w:u w:val="none"/>
                <w:lang w:val="en-US" w:eastAsia="zh-CN" w:bidi="ar"/>
              </w:rPr>
              <w:br w:type="textWrapping"/>
            </w:r>
            <w:r>
              <w:rPr>
                <w:rFonts w:hint="eastAsia" w:ascii="宋体" w:hAnsi="宋体" w:eastAsia="宋体" w:cs="宋体"/>
                <w:i w:val="0"/>
                <w:iCs w:val="0"/>
                <w:color w:val="FF0000"/>
                <w:kern w:val="0"/>
                <w:sz w:val="20"/>
                <w:szCs w:val="20"/>
                <w:u w:val="none"/>
                <w:lang w:val="en-US" w:eastAsia="zh-CN" w:bidi="ar"/>
              </w:rPr>
              <w:t>3.处理风量：每米 2500 m3/h</w:t>
            </w:r>
            <w:r>
              <w:rPr>
                <w:rFonts w:hint="eastAsia" w:ascii="宋体" w:hAnsi="宋体" w:eastAsia="宋体" w:cs="宋体"/>
                <w:i w:val="0"/>
                <w:iCs w:val="0"/>
                <w:color w:val="FF0000"/>
                <w:kern w:val="0"/>
                <w:sz w:val="20"/>
                <w:szCs w:val="20"/>
                <w:u w:val="none"/>
                <w:lang w:val="en-US" w:eastAsia="zh-CN" w:bidi="ar"/>
              </w:rPr>
              <w:br w:type="textWrapping"/>
            </w:r>
            <w:r>
              <w:rPr>
                <w:rFonts w:hint="eastAsia" w:ascii="宋体" w:hAnsi="宋体" w:eastAsia="宋体" w:cs="宋体"/>
                <w:i w:val="0"/>
                <w:iCs w:val="0"/>
                <w:color w:val="FF0000"/>
                <w:kern w:val="0"/>
                <w:sz w:val="20"/>
                <w:szCs w:val="20"/>
                <w:u w:val="none"/>
                <w:lang w:val="en-US" w:eastAsia="zh-CN" w:bidi="ar"/>
              </w:rPr>
              <w:t>4.风机功率:1.5KW ，电压:380V</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lang w:val="en-US" w:eastAsia="zh-CN" w:bidi="ar-SA"/>
              </w:rPr>
            </w:pPr>
            <w:r>
              <w:rPr>
                <w:rFonts w:hint="eastAsia" w:ascii="宋体" w:hAnsi="宋体" w:eastAsia="宋体" w:cs="宋体"/>
                <w:i w:val="0"/>
                <w:iCs w:val="0"/>
                <w:color w:val="FF0000"/>
                <w:kern w:val="0"/>
                <w:sz w:val="20"/>
                <w:szCs w:val="20"/>
                <w:u w:val="none"/>
                <w:lang w:val="en-US" w:eastAsia="zh-CN" w:bidi="ar"/>
              </w:rPr>
              <w:t>佰超、越德、鑫创美</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米</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bdr w:val="single" w:color="000000" w:sz="4" w:space="0"/>
                <w:shd w:val="clear" w:color="auto" w:fill="FFFFFF"/>
                <w:lang w:val="en-US" w:eastAsia="zh-CN" w:bidi="ar"/>
              </w:rPr>
              <w:drawing>
                <wp:anchor distT="0" distB="0" distL="114300" distR="114300" simplePos="0" relativeHeight="251711488" behindDoc="0" locked="0" layoutInCell="1" allowOverlap="1">
                  <wp:simplePos x="0" y="0"/>
                  <wp:positionH relativeFrom="column">
                    <wp:posOffset>64770</wp:posOffset>
                  </wp:positionH>
                  <wp:positionV relativeFrom="paragraph">
                    <wp:posOffset>597535</wp:posOffset>
                  </wp:positionV>
                  <wp:extent cx="824230" cy="598805"/>
                  <wp:effectExtent l="0" t="0" r="1270" b="10795"/>
                  <wp:wrapNone/>
                  <wp:docPr id="52" name="image25.jpeg"/>
                  <wp:cNvGraphicFramePr/>
                  <a:graphic xmlns:a="http://schemas.openxmlformats.org/drawingml/2006/main">
                    <a:graphicData uri="http://schemas.openxmlformats.org/drawingml/2006/picture">
                      <pic:pic xmlns:pic="http://schemas.openxmlformats.org/drawingml/2006/picture">
                        <pic:nvPicPr>
                          <pic:cNvPr id="52" name="image25.jpeg"/>
                          <pic:cNvPicPr/>
                        </pic:nvPicPr>
                        <pic:blipFill>
                          <a:blip r:embed="rId51"/>
                          <a:stretch>
                            <a:fillRect/>
                          </a:stretch>
                        </pic:blipFill>
                        <pic:spPr>
                          <a:xfrm>
                            <a:off x="0" y="0"/>
                            <a:ext cx="824230" cy="598805"/>
                          </a:xfrm>
                          <a:prstGeom prst="rect">
                            <a:avLst/>
                          </a:prstGeom>
                          <a:noFill/>
                          <a:ln>
                            <a:noFill/>
                          </a:ln>
                        </pic:spPr>
                      </pic:pic>
                    </a:graphicData>
                  </a:graphic>
                </wp:anchor>
              </w:drawing>
            </w:r>
            <w:r>
              <w:rPr>
                <w:rFonts w:hint="eastAsia" w:ascii="宋体" w:hAnsi="宋体" w:eastAsia="宋体" w:cs="宋体"/>
                <w:i w:val="0"/>
                <w:iCs w:val="0"/>
                <w:color w:val="FF0000"/>
                <w:kern w:val="0"/>
                <w:sz w:val="20"/>
                <w:szCs w:val="20"/>
                <w:u w:val="none"/>
                <w:bdr w:val="single" w:color="000000" w:sz="4" w:space="0"/>
                <w:shd w:val="clear" w:color="auto" w:fill="FFFFFF"/>
                <w:lang w:val="en-US" w:eastAsia="zh-CN" w:bidi="ar"/>
              </w:rPr>
              <w:drawing>
                <wp:anchor distT="0" distB="0" distL="114300" distR="114300" simplePos="0" relativeHeight="251712512" behindDoc="0" locked="0" layoutInCell="1" allowOverlap="1">
                  <wp:simplePos x="0" y="0"/>
                  <wp:positionH relativeFrom="column">
                    <wp:posOffset>0</wp:posOffset>
                  </wp:positionH>
                  <wp:positionV relativeFrom="paragraph">
                    <wp:posOffset>0</wp:posOffset>
                  </wp:positionV>
                  <wp:extent cx="305435" cy="306070"/>
                  <wp:effectExtent l="0" t="0" r="0" b="0"/>
                  <wp:wrapNone/>
                  <wp:docPr id="53" name="AutoShape_595_SpCnt_9"/>
                  <wp:cNvGraphicFramePr/>
                  <a:graphic xmlns:a="http://schemas.openxmlformats.org/drawingml/2006/main">
                    <a:graphicData uri="http://schemas.openxmlformats.org/drawingml/2006/picture">
                      <pic:pic xmlns:pic="http://schemas.openxmlformats.org/drawingml/2006/picture">
                        <pic:nvPicPr>
                          <pic:cNvPr id="53" name="AutoShape_595_SpCnt_9"/>
                          <pic:cNvPicPr/>
                        </pic:nvPicPr>
                        <pic:blipFill>
                          <a:blip r:embed="rId29"/>
                          <a:stretch>
                            <a:fillRect/>
                          </a:stretch>
                        </pic:blipFill>
                        <pic:spPr>
                          <a:xfrm>
                            <a:off x="0" y="0"/>
                            <a:ext cx="305435" cy="306070"/>
                          </a:xfrm>
                          <a:prstGeom prst="rect">
                            <a:avLst/>
                          </a:prstGeom>
                          <a:noFill/>
                          <a:ln>
                            <a:noFill/>
                          </a:ln>
                        </pic:spPr>
                      </pic:pic>
                    </a:graphicData>
                  </a:graphic>
                </wp:anchor>
              </w:drawing>
            </w:r>
            <w:r>
              <w:rPr>
                <w:rFonts w:hint="eastAsia" w:ascii="宋体" w:hAnsi="宋体" w:eastAsia="宋体" w:cs="宋体"/>
                <w:i w:val="0"/>
                <w:iCs w:val="0"/>
                <w:color w:val="FF0000"/>
                <w:kern w:val="0"/>
                <w:sz w:val="20"/>
                <w:szCs w:val="20"/>
                <w:u w:val="none"/>
                <w:bdr w:val="single" w:color="000000" w:sz="4" w:space="0"/>
                <w:shd w:val="clear" w:color="auto" w:fill="FFFFFF"/>
                <w:lang w:val="en-US" w:eastAsia="zh-CN" w:bidi="ar"/>
              </w:rPr>
              <w:drawing>
                <wp:anchor distT="0" distB="0" distL="114300" distR="114300" simplePos="0" relativeHeight="251713536" behindDoc="0" locked="0" layoutInCell="1" allowOverlap="1">
                  <wp:simplePos x="0" y="0"/>
                  <wp:positionH relativeFrom="column">
                    <wp:posOffset>0</wp:posOffset>
                  </wp:positionH>
                  <wp:positionV relativeFrom="paragraph">
                    <wp:posOffset>0</wp:posOffset>
                  </wp:positionV>
                  <wp:extent cx="304800" cy="306070"/>
                  <wp:effectExtent l="0" t="0" r="0" b="0"/>
                  <wp:wrapNone/>
                  <wp:docPr id="54" name="AutoShape_593_SpCnt_9"/>
                  <wp:cNvGraphicFramePr/>
                  <a:graphic xmlns:a="http://schemas.openxmlformats.org/drawingml/2006/main">
                    <a:graphicData uri="http://schemas.openxmlformats.org/drawingml/2006/picture">
                      <pic:pic xmlns:pic="http://schemas.openxmlformats.org/drawingml/2006/picture">
                        <pic:nvPicPr>
                          <pic:cNvPr id="54" name="AutoShape_593_SpCnt_9"/>
                          <pic:cNvPicPr/>
                        </pic:nvPicPr>
                        <pic:blipFill>
                          <a:blip r:embed="rId28"/>
                          <a:stretch>
                            <a:fillRect/>
                          </a:stretch>
                        </pic:blipFill>
                        <pic:spPr>
                          <a:xfrm>
                            <a:off x="0" y="0"/>
                            <a:ext cx="304800" cy="30607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落地式电扒炉</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700×700×850</w:t>
            </w:r>
          </w:p>
        </w:tc>
        <w:tc>
          <w:tcPr>
            <w:tcW w:w="2625" w:type="dxa"/>
            <w:tcBorders>
              <w:top w:val="single" w:color="000000" w:sz="4" w:space="0"/>
              <w:left w:val="single" w:color="000000" w:sz="4" w:space="0"/>
              <w:bottom w:val="single" w:color="000000" w:sz="4" w:space="0"/>
              <w:right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1.炉体采用优质全不锈钢骨架.面板采用1.0mm 不锈钢板，侧前.靠背板采用0.8mm不锈钢板。                                                                                   功率：9kw/380v</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auto"/>
                <w:sz w:val="20"/>
                <w:szCs w:val="20"/>
                <w:u w:val="none"/>
                <w:lang w:val="en-US" w:eastAsia="zh-CN" w:bidi="ar-SA"/>
              </w:rPr>
            </w:pPr>
            <w:r>
              <w:rPr>
                <w:rFonts w:hint="eastAsia" w:ascii="宋体" w:hAnsi="宋体" w:eastAsia="宋体" w:cs="宋体"/>
                <w:i w:val="0"/>
                <w:iCs w:val="0"/>
                <w:color w:val="auto"/>
                <w:kern w:val="0"/>
                <w:sz w:val="20"/>
                <w:szCs w:val="20"/>
                <w:u w:val="none"/>
                <w:lang w:val="en-US" w:eastAsia="zh-CN" w:bidi="ar"/>
              </w:rPr>
              <w:t>瑞翔、宏麟、泰辉</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89"/>
                <w:sz w:val="20"/>
                <w:szCs w:val="20"/>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widowControl/>
              <w:suppressLineNumbers w:val="0"/>
              <w:jc w:val="left"/>
              <w:textAlignment w:val="top"/>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14560" behindDoc="0" locked="0" layoutInCell="1" allowOverlap="1">
                  <wp:simplePos x="0" y="0"/>
                  <wp:positionH relativeFrom="column">
                    <wp:posOffset>191770</wp:posOffset>
                  </wp:positionH>
                  <wp:positionV relativeFrom="paragraph">
                    <wp:posOffset>156845</wp:posOffset>
                  </wp:positionV>
                  <wp:extent cx="687705" cy="569595"/>
                  <wp:effectExtent l="0" t="0" r="10795" b="1905"/>
                  <wp:wrapNone/>
                  <wp:docPr id="55" name="image89.jpeg"/>
                  <wp:cNvGraphicFramePr/>
                  <a:graphic xmlns:a="http://schemas.openxmlformats.org/drawingml/2006/main">
                    <a:graphicData uri="http://schemas.openxmlformats.org/drawingml/2006/picture">
                      <pic:pic xmlns:pic="http://schemas.openxmlformats.org/drawingml/2006/picture">
                        <pic:nvPicPr>
                          <pic:cNvPr id="55" name="image89.jpeg"/>
                          <pic:cNvPicPr/>
                        </pic:nvPicPr>
                        <pic:blipFill>
                          <a:blip r:embed="rId52"/>
                          <a:stretch>
                            <a:fillRect/>
                          </a:stretch>
                        </pic:blipFill>
                        <pic:spPr>
                          <a:xfrm>
                            <a:off x="0" y="0"/>
                            <a:ext cx="687705" cy="569595"/>
                          </a:xfrm>
                          <a:prstGeom prst="rect">
                            <a:avLst/>
                          </a:prstGeom>
                          <a:noFill/>
                          <a:ln>
                            <a:noFill/>
                          </a:ln>
                        </pic:spPr>
                      </pic:pic>
                    </a:graphicData>
                  </a:graphic>
                </wp:anchor>
              </w:drawing>
            </w:r>
            <w:r>
              <w:rPr>
                <w:rFonts w:hint="default" w:ascii="Times New Roman" w:hAnsi="Times New Roman" w:eastAsia="宋体" w:cs="Times New Roman"/>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15584" behindDoc="0" locked="0" layoutInCell="1" allowOverlap="1">
                  <wp:simplePos x="0" y="0"/>
                  <wp:positionH relativeFrom="column">
                    <wp:posOffset>0</wp:posOffset>
                  </wp:positionH>
                  <wp:positionV relativeFrom="paragraph">
                    <wp:posOffset>0</wp:posOffset>
                  </wp:positionV>
                  <wp:extent cx="304800" cy="304800"/>
                  <wp:effectExtent l="0" t="0" r="0" b="0"/>
                  <wp:wrapNone/>
                  <wp:docPr id="56" name="AutoShape_593_SpCnt_10"/>
                  <wp:cNvGraphicFramePr/>
                  <a:graphic xmlns:a="http://schemas.openxmlformats.org/drawingml/2006/main">
                    <a:graphicData uri="http://schemas.openxmlformats.org/drawingml/2006/picture">
                      <pic:pic xmlns:pic="http://schemas.openxmlformats.org/drawingml/2006/picture">
                        <pic:nvPicPr>
                          <pic:cNvPr id="56" name="AutoShape_593_SpCnt_10"/>
                          <pic:cNvPicPr/>
                        </pic:nvPicPr>
                        <pic:blipFill>
                          <a:blip r:embed="rId28"/>
                          <a:stretch>
                            <a:fillRect/>
                          </a:stretch>
                        </pic:blipFill>
                        <pic:spPr>
                          <a:xfrm>
                            <a:off x="0" y="0"/>
                            <a:ext cx="304800" cy="30480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5550"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洗消间</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四门碗柜</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1150×470×1800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1.304锈钢板制造；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2.面板δ1.0mm，层板δ0.8mm，门板δ1.0mm，配可调性调节腿。</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16608" behindDoc="0" locked="0" layoutInCell="1" allowOverlap="1">
                  <wp:simplePos x="0" y="0"/>
                  <wp:positionH relativeFrom="column">
                    <wp:posOffset>60325</wp:posOffset>
                  </wp:positionH>
                  <wp:positionV relativeFrom="paragraph">
                    <wp:posOffset>47625</wp:posOffset>
                  </wp:positionV>
                  <wp:extent cx="860425" cy="584835"/>
                  <wp:effectExtent l="0" t="0" r="3175" b="12065"/>
                  <wp:wrapNone/>
                  <wp:docPr id="57" name="Picture_20"/>
                  <wp:cNvGraphicFramePr/>
                  <a:graphic xmlns:a="http://schemas.openxmlformats.org/drawingml/2006/main">
                    <a:graphicData uri="http://schemas.openxmlformats.org/drawingml/2006/picture">
                      <pic:pic xmlns:pic="http://schemas.openxmlformats.org/drawingml/2006/picture">
                        <pic:nvPicPr>
                          <pic:cNvPr id="57" name="Picture_20"/>
                          <pic:cNvPicPr/>
                        </pic:nvPicPr>
                        <pic:blipFill>
                          <a:blip r:embed="rId53"/>
                          <a:stretch>
                            <a:fillRect/>
                          </a:stretch>
                        </pic:blipFill>
                        <pic:spPr>
                          <a:xfrm>
                            <a:off x="0" y="0"/>
                            <a:ext cx="860425" cy="58483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37</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热风循环高温消毒柜</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990×960×2000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1.304不锈钢板制造；</w:t>
            </w:r>
            <w:r>
              <w:rPr>
                <w:rFonts w:hint="eastAsia" w:ascii="宋体" w:hAnsi="宋体" w:eastAsia="宋体" w:cs="宋体"/>
                <w:i w:val="0"/>
                <w:iCs w:val="0"/>
                <w:color w:val="FF0000"/>
                <w:kern w:val="0"/>
                <w:sz w:val="20"/>
                <w:szCs w:val="20"/>
                <w:u w:val="none"/>
                <w:lang w:val="en-US" w:eastAsia="zh-CN" w:bidi="ar"/>
              </w:rPr>
              <w:br w:type="textWrapping"/>
            </w:r>
            <w:r>
              <w:rPr>
                <w:rFonts w:hint="eastAsia" w:ascii="宋体" w:hAnsi="宋体" w:eastAsia="宋体" w:cs="宋体"/>
                <w:i w:val="0"/>
                <w:iCs w:val="0"/>
                <w:color w:val="FF0000"/>
                <w:kern w:val="0"/>
                <w:sz w:val="20"/>
                <w:szCs w:val="20"/>
                <w:u w:val="none"/>
                <w:lang w:val="en-US" w:eastAsia="zh-CN" w:bidi="ar"/>
              </w:rPr>
              <w:t>2.内部格挡304不锈钢管制作；</w:t>
            </w:r>
            <w:r>
              <w:rPr>
                <w:rFonts w:hint="eastAsia" w:ascii="宋体" w:hAnsi="宋体" w:eastAsia="宋体" w:cs="宋体"/>
                <w:i w:val="0"/>
                <w:iCs w:val="0"/>
                <w:color w:val="FF0000"/>
                <w:kern w:val="0"/>
                <w:sz w:val="20"/>
                <w:szCs w:val="20"/>
                <w:u w:val="none"/>
                <w:lang w:val="en-US" w:eastAsia="zh-CN" w:bidi="ar"/>
              </w:rPr>
              <w:br w:type="textWrapping"/>
            </w:r>
            <w:r>
              <w:rPr>
                <w:rFonts w:hint="eastAsia" w:ascii="宋体" w:hAnsi="宋体" w:eastAsia="宋体" w:cs="宋体"/>
                <w:i w:val="0"/>
                <w:iCs w:val="0"/>
                <w:color w:val="FF0000"/>
                <w:kern w:val="0"/>
                <w:sz w:val="20"/>
                <w:szCs w:val="20"/>
                <w:u w:val="none"/>
                <w:lang w:val="en-US" w:eastAsia="zh-CN" w:bidi="ar"/>
              </w:rPr>
              <w:t>3.上下五层，使用寿命长等特点，按钮：欧姆龙；</w:t>
            </w:r>
            <w:r>
              <w:rPr>
                <w:rFonts w:hint="eastAsia" w:ascii="宋体" w:hAnsi="宋体" w:eastAsia="宋体" w:cs="宋体"/>
                <w:i w:val="0"/>
                <w:iCs w:val="0"/>
                <w:color w:val="FF0000"/>
                <w:kern w:val="0"/>
                <w:sz w:val="20"/>
                <w:szCs w:val="20"/>
                <w:u w:val="none"/>
                <w:lang w:val="en-US" w:eastAsia="zh-CN" w:bidi="ar"/>
              </w:rPr>
              <w:br w:type="textWrapping"/>
            </w:r>
            <w:r>
              <w:rPr>
                <w:rFonts w:hint="eastAsia" w:ascii="宋体" w:hAnsi="宋体" w:eastAsia="宋体" w:cs="宋体"/>
                <w:i w:val="0"/>
                <w:iCs w:val="0"/>
                <w:color w:val="FF0000"/>
                <w:kern w:val="0"/>
                <w:sz w:val="20"/>
                <w:szCs w:val="20"/>
                <w:u w:val="none"/>
                <w:lang w:val="en-US" w:eastAsia="zh-CN" w:bidi="ar"/>
              </w:rPr>
              <w:t>4.电热管功率：4.8KW；电机功率 0.75KW/380V。                                                                                                   5.带20个消毒筐415×315×190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lang w:val="en-US" w:eastAsia="zh-CN" w:bidi="ar-SA"/>
              </w:rPr>
            </w:pPr>
            <w:r>
              <w:rPr>
                <w:rFonts w:hint="eastAsia" w:ascii="宋体" w:hAnsi="宋体" w:eastAsia="宋体" w:cs="宋体"/>
                <w:i w:val="0"/>
                <w:iCs w:val="0"/>
                <w:color w:val="FF0000"/>
                <w:kern w:val="0"/>
                <w:sz w:val="20"/>
                <w:szCs w:val="20"/>
                <w:u w:val="none"/>
                <w:lang w:val="en-US" w:eastAsia="zh-CN" w:bidi="ar"/>
              </w:rPr>
              <w:t>瑞翔、宏麟、泰辉</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FF0000"/>
                <w:sz w:val="20"/>
                <w:szCs w:val="20"/>
                <w:u w:val="none"/>
              </w:rPr>
            </w:pPr>
            <w:r>
              <w:rPr>
                <w:rFonts w:hint="eastAsia" w:ascii="宋体" w:hAnsi="宋体" w:eastAsia="宋体" w:cs="宋体"/>
                <w:i w:val="0"/>
                <w:iCs w:val="0"/>
                <w:color w:val="FF0000"/>
                <w:kern w:val="0"/>
                <w:sz w:val="20"/>
                <w:szCs w:val="20"/>
                <w:u w:val="none"/>
                <w:bdr w:val="single" w:color="000000" w:sz="4" w:space="0"/>
                <w:shd w:val="clear" w:color="auto" w:fill="FFFFFF"/>
                <w:lang w:val="en-US" w:eastAsia="zh-CN" w:bidi="ar"/>
              </w:rPr>
              <w:drawing>
                <wp:anchor distT="0" distB="0" distL="114300" distR="114300" simplePos="0" relativeHeight="251717632" behindDoc="0" locked="0" layoutInCell="1" allowOverlap="1">
                  <wp:simplePos x="0" y="0"/>
                  <wp:positionH relativeFrom="column">
                    <wp:posOffset>201295</wp:posOffset>
                  </wp:positionH>
                  <wp:positionV relativeFrom="paragraph">
                    <wp:posOffset>338455</wp:posOffset>
                  </wp:positionV>
                  <wp:extent cx="638810" cy="996950"/>
                  <wp:effectExtent l="0" t="0" r="8890" b="6350"/>
                  <wp:wrapNone/>
                  <wp:docPr id="58" name="image29.jpeg"/>
                  <wp:cNvGraphicFramePr/>
                  <a:graphic xmlns:a="http://schemas.openxmlformats.org/drawingml/2006/main">
                    <a:graphicData uri="http://schemas.openxmlformats.org/drawingml/2006/picture">
                      <pic:pic xmlns:pic="http://schemas.openxmlformats.org/drawingml/2006/picture">
                        <pic:nvPicPr>
                          <pic:cNvPr id="58" name="image29.jpeg"/>
                          <pic:cNvPicPr/>
                        </pic:nvPicPr>
                        <pic:blipFill>
                          <a:blip r:embed="rId54"/>
                          <a:stretch>
                            <a:fillRect/>
                          </a:stretch>
                        </pic:blipFill>
                        <pic:spPr>
                          <a:xfrm>
                            <a:off x="0" y="0"/>
                            <a:ext cx="638810" cy="99695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洁碟台连茜架</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1000×750×850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1.304不锈钢板制造；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2.面板δ1.0mm；加强筋采用δ=1.0mm不锈钢板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3.台脚:φ38mm*0.8mm不锈钢管，下层洗碗筐架</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FF0000"/>
                <w:sz w:val="20"/>
                <w:szCs w:val="20"/>
                <w:u w:val="none"/>
              </w:rPr>
            </w:pPr>
            <w:r>
              <w:rPr>
                <w:rFonts w:hint="eastAsia" w:ascii="宋体" w:hAnsi="宋体" w:eastAsia="宋体" w:cs="宋体"/>
                <w:b/>
                <w:bCs/>
                <w:i w:val="0"/>
                <w:iCs w:val="0"/>
                <w:color w:val="FF0000"/>
                <w:kern w:val="0"/>
                <w:sz w:val="20"/>
                <w:szCs w:val="20"/>
                <w:u w:val="none"/>
                <w:bdr w:val="single" w:color="000000" w:sz="4" w:space="0"/>
                <w:shd w:val="clear" w:color="auto" w:fill="FFFFFF"/>
                <w:lang w:val="en-US" w:eastAsia="zh-CN" w:bidi="ar"/>
              </w:rPr>
              <w:drawing>
                <wp:anchor distT="0" distB="0" distL="114300" distR="114300" simplePos="0" relativeHeight="251718656" behindDoc="0" locked="0" layoutInCell="1" allowOverlap="1">
                  <wp:simplePos x="0" y="0"/>
                  <wp:positionH relativeFrom="column">
                    <wp:posOffset>105410</wp:posOffset>
                  </wp:positionH>
                  <wp:positionV relativeFrom="paragraph">
                    <wp:posOffset>74930</wp:posOffset>
                  </wp:positionV>
                  <wp:extent cx="790575" cy="713740"/>
                  <wp:effectExtent l="0" t="0" r="9525" b="10160"/>
                  <wp:wrapNone/>
                  <wp:docPr id="59" name="图片_17"/>
                  <wp:cNvGraphicFramePr/>
                  <a:graphic xmlns:a="http://schemas.openxmlformats.org/drawingml/2006/main">
                    <a:graphicData uri="http://schemas.openxmlformats.org/drawingml/2006/picture">
                      <pic:pic xmlns:pic="http://schemas.openxmlformats.org/drawingml/2006/picture">
                        <pic:nvPicPr>
                          <pic:cNvPr id="59" name="图片_17"/>
                          <pic:cNvPicPr/>
                        </pic:nvPicPr>
                        <pic:blipFill>
                          <a:blip r:embed="rId55"/>
                          <a:stretch>
                            <a:fillRect/>
                          </a:stretch>
                        </pic:blipFill>
                        <pic:spPr>
                          <a:xfrm>
                            <a:off x="0" y="0"/>
                            <a:ext cx="790575" cy="71374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通道式洗碗机（带分配器、带药水1组）</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1150×745×1640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1.设有滑盖式提拉挡板，向上提起即可清洗洗碗机内部，清洗简单；</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2.集成化电脑控制面板，即时数码温度显示，一键操作；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3.人性化设计，自动进水，智能温控，防卡死保护；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4.通道高度 442mm，大型碗碟也可轻松清洗；</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5.最大洗涤量：200框/h；</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6.总功率：44KW，电压：380V。</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锡德悉、瑞翔、温特豪德</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19680" behindDoc="0" locked="0" layoutInCell="1" allowOverlap="1">
                  <wp:simplePos x="0" y="0"/>
                  <wp:positionH relativeFrom="column">
                    <wp:posOffset>125095</wp:posOffset>
                  </wp:positionH>
                  <wp:positionV relativeFrom="paragraph">
                    <wp:posOffset>415925</wp:posOffset>
                  </wp:positionV>
                  <wp:extent cx="828675" cy="761365"/>
                  <wp:effectExtent l="0" t="0" r="9525" b="635"/>
                  <wp:wrapNone/>
                  <wp:docPr id="60" name="Picture_29"/>
                  <wp:cNvGraphicFramePr/>
                  <a:graphic xmlns:a="http://schemas.openxmlformats.org/drawingml/2006/main">
                    <a:graphicData uri="http://schemas.openxmlformats.org/drawingml/2006/picture">
                      <pic:pic xmlns:pic="http://schemas.openxmlformats.org/drawingml/2006/picture">
                        <pic:nvPicPr>
                          <pic:cNvPr id="60" name="Picture_29"/>
                          <pic:cNvPicPr/>
                        </pic:nvPicPr>
                        <pic:blipFill>
                          <a:blip r:embed="rId56"/>
                          <a:stretch>
                            <a:fillRect/>
                          </a:stretch>
                        </pic:blipFill>
                        <pic:spPr>
                          <a:xfrm>
                            <a:off x="0" y="0"/>
                            <a:ext cx="828675" cy="76136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6"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左星污碟台</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1200×750×850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1.304不锈钢板制造；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2.面板：1.0mm；星盆斗δ=0.8；</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3.星盆尺寸:650×450×280</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20704" behindDoc="0" locked="0" layoutInCell="1" allowOverlap="1">
                  <wp:simplePos x="0" y="0"/>
                  <wp:positionH relativeFrom="column">
                    <wp:posOffset>100965</wp:posOffset>
                  </wp:positionH>
                  <wp:positionV relativeFrom="paragraph">
                    <wp:posOffset>153670</wp:posOffset>
                  </wp:positionV>
                  <wp:extent cx="712470" cy="319405"/>
                  <wp:effectExtent l="0" t="0" r="11430" b="10795"/>
                  <wp:wrapNone/>
                  <wp:docPr id="61" name="Picture_43"/>
                  <wp:cNvGraphicFramePr/>
                  <a:graphic xmlns:a="http://schemas.openxmlformats.org/drawingml/2006/main">
                    <a:graphicData uri="http://schemas.openxmlformats.org/drawingml/2006/picture">
                      <pic:pic xmlns:pic="http://schemas.openxmlformats.org/drawingml/2006/picture">
                        <pic:nvPicPr>
                          <pic:cNvPr id="61" name="Picture_43"/>
                          <pic:cNvPicPr/>
                        </pic:nvPicPr>
                        <pic:blipFill>
                          <a:blip r:embed="rId57"/>
                          <a:stretch>
                            <a:fillRect/>
                          </a:stretch>
                        </pic:blipFill>
                        <pic:spPr>
                          <a:xfrm>
                            <a:off x="0" y="0"/>
                            <a:ext cx="712470" cy="31940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4"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花洒龙头</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2625" w:type="dxa"/>
            <w:tcBorders>
              <w:top w:val="single" w:color="000000" w:sz="4" w:space="0"/>
              <w:left w:val="single" w:color="000000" w:sz="4" w:space="0"/>
              <w:bottom w:val="single" w:color="000000" w:sz="4" w:space="0"/>
              <w:right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主体黄铜，铜螺杆阀芯，不锈钢直管，</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CHUBIAO、   EQUIP、J&amp;C</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widowControl/>
              <w:suppressLineNumbers w:val="0"/>
              <w:jc w:val="left"/>
              <w:textAlignment w:val="top"/>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21728" behindDoc="0" locked="0" layoutInCell="1" allowOverlap="1">
                  <wp:simplePos x="0" y="0"/>
                  <wp:positionH relativeFrom="column">
                    <wp:posOffset>367030</wp:posOffset>
                  </wp:positionH>
                  <wp:positionV relativeFrom="paragraph">
                    <wp:posOffset>124460</wp:posOffset>
                  </wp:positionV>
                  <wp:extent cx="299085" cy="497840"/>
                  <wp:effectExtent l="0" t="0" r="5715" b="10160"/>
                  <wp:wrapNone/>
                  <wp:docPr id="62" name="image34.jpeg"/>
                  <wp:cNvGraphicFramePr/>
                  <a:graphic xmlns:a="http://schemas.openxmlformats.org/drawingml/2006/main">
                    <a:graphicData uri="http://schemas.openxmlformats.org/drawingml/2006/picture">
                      <pic:pic xmlns:pic="http://schemas.openxmlformats.org/drawingml/2006/picture">
                        <pic:nvPicPr>
                          <pic:cNvPr id="62" name="image34.jpeg"/>
                          <pic:cNvPicPr/>
                        </pic:nvPicPr>
                        <pic:blipFill>
                          <a:blip r:embed="rId58"/>
                          <a:stretch>
                            <a:fillRect/>
                          </a:stretch>
                        </pic:blipFill>
                        <pic:spPr>
                          <a:xfrm>
                            <a:off x="0" y="0"/>
                            <a:ext cx="299085" cy="49784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浸泡大水池</w:t>
            </w:r>
          </w:p>
        </w:tc>
        <w:tc>
          <w:tcPr>
            <w:tcW w:w="129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1200×750×800</w:t>
            </w:r>
          </w:p>
        </w:tc>
        <w:tc>
          <w:tcPr>
            <w:tcW w:w="26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2.台面δ=1.0mm，星盆斗δ=0.8mm；骨架采用δ=0.8mm*φ38不锈钢圆通，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3.配落水器、子弹脚。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4.星盆尺寸:1050×500×280</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722752" behindDoc="0" locked="0" layoutInCell="1" allowOverlap="1">
                  <wp:simplePos x="0" y="0"/>
                  <wp:positionH relativeFrom="column">
                    <wp:posOffset>85090</wp:posOffset>
                  </wp:positionH>
                  <wp:positionV relativeFrom="paragraph">
                    <wp:posOffset>145415</wp:posOffset>
                  </wp:positionV>
                  <wp:extent cx="867410" cy="699135"/>
                  <wp:effectExtent l="0" t="0" r="8890" b="12065"/>
                  <wp:wrapNone/>
                  <wp:docPr id="63" name="Picture_860_SpCnt_1"/>
                  <wp:cNvGraphicFramePr/>
                  <a:graphic xmlns:a="http://schemas.openxmlformats.org/drawingml/2006/main">
                    <a:graphicData uri="http://schemas.openxmlformats.org/drawingml/2006/picture">
                      <pic:pic xmlns:pic="http://schemas.openxmlformats.org/drawingml/2006/picture">
                        <pic:nvPicPr>
                          <pic:cNvPr id="63" name="Picture_860_SpCnt_1"/>
                          <pic:cNvPicPr/>
                        </pic:nvPicPr>
                        <pic:blipFill>
                          <a:blip r:embed="rId32"/>
                          <a:stretch>
                            <a:fillRect/>
                          </a:stretch>
                        </pic:blipFill>
                        <pic:spPr>
                          <a:xfrm>
                            <a:off x="0" y="0"/>
                            <a:ext cx="867410" cy="69913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方形集气罩</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1500×1000×500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说明：304不锈钢板制造1.0mm制造，</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23776" behindDoc="0" locked="0" layoutInCell="1" allowOverlap="1">
                  <wp:simplePos x="0" y="0"/>
                  <wp:positionH relativeFrom="column">
                    <wp:posOffset>231140</wp:posOffset>
                  </wp:positionH>
                  <wp:positionV relativeFrom="paragraph">
                    <wp:posOffset>34925</wp:posOffset>
                  </wp:positionV>
                  <wp:extent cx="534670" cy="248920"/>
                  <wp:effectExtent l="0" t="0" r="11430" b="5080"/>
                  <wp:wrapNone/>
                  <wp:docPr id="64" name="图片_64"/>
                  <wp:cNvGraphicFramePr/>
                  <a:graphic xmlns:a="http://schemas.openxmlformats.org/drawingml/2006/main">
                    <a:graphicData uri="http://schemas.openxmlformats.org/drawingml/2006/picture">
                      <pic:pic xmlns:pic="http://schemas.openxmlformats.org/drawingml/2006/picture">
                        <pic:nvPicPr>
                          <pic:cNvPr id="64" name="图片_64"/>
                          <pic:cNvPicPr/>
                        </pic:nvPicPr>
                        <pic:blipFill>
                          <a:blip r:embed="rId59"/>
                          <a:stretch>
                            <a:fillRect/>
                          </a:stretch>
                        </pic:blipFill>
                        <pic:spPr>
                          <a:xfrm>
                            <a:off x="0" y="0"/>
                            <a:ext cx="534670" cy="24892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04"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链片输送带</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4000×580×850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1.链片式输送带在电机驱动下沿导槽滑动，将餐具传送到指定位置；                                                                                                                           2.链片采用食品级材料PP,确保食品卫生；长度.高度可根据客户需求定制，可做直线型和转弯型；输送带的电机无极调速；                                                                                                                                      3.立柱厚度2mm,板厚1.5mm;链片宽度：300mm.传送速度：12~25m/min,                                                                                                                               4.功率：380V,0.55KW；</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瑞翔、锡德悉、温特豪德</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24800" behindDoc="0" locked="0" layoutInCell="1" allowOverlap="1">
                  <wp:simplePos x="0" y="0"/>
                  <wp:positionH relativeFrom="column">
                    <wp:posOffset>220980</wp:posOffset>
                  </wp:positionH>
                  <wp:positionV relativeFrom="paragraph">
                    <wp:posOffset>276860</wp:posOffset>
                  </wp:positionV>
                  <wp:extent cx="579120" cy="1200785"/>
                  <wp:effectExtent l="0" t="0" r="5080" b="5715"/>
                  <wp:wrapNone/>
                  <wp:docPr id="65" name="图片_40"/>
                  <wp:cNvGraphicFramePr/>
                  <a:graphic xmlns:a="http://schemas.openxmlformats.org/drawingml/2006/main">
                    <a:graphicData uri="http://schemas.openxmlformats.org/drawingml/2006/picture">
                      <pic:pic xmlns:pic="http://schemas.openxmlformats.org/drawingml/2006/picture">
                        <pic:nvPicPr>
                          <pic:cNvPr id="65" name="图片_40"/>
                          <pic:cNvPicPr/>
                        </pic:nvPicPr>
                        <pic:blipFill>
                          <a:blip r:embed="rId60"/>
                          <a:stretch>
                            <a:fillRect/>
                          </a:stretch>
                        </pic:blipFill>
                        <pic:spPr>
                          <a:xfrm>
                            <a:off x="0" y="0"/>
                            <a:ext cx="579120" cy="120078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5550"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餐厅</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6"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豪华柜式洗手池</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1100×450×800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2.台面δ=1.0mm，星盆斗δ=0.8mm；前面带检修移门，三面封，后面不封；</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3.配落水器、中间1个下水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4.星盆尺寸:1000×350×280</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25824" behindDoc="0" locked="0" layoutInCell="1" allowOverlap="1">
                  <wp:simplePos x="0" y="0"/>
                  <wp:positionH relativeFrom="column">
                    <wp:posOffset>118110</wp:posOffset>
                  </wp:positionH>
                  <wp:positionV relativeFrom="paragraph">
                    <wp:posOffset>291465</wp:posOffset>
                  </wp:positionV>
                  <wp:extent cx="741680" cy="554355"/>
                  <wp:effectExtent l="0" t="0" r="7620" b="4445"/>
                  <wp:wrapNone/>
                  <wp:docPr id="66" name="图片_24"/>
                  <wp:cNvGraphicFramePr/>
                  <a:graphic xmlns:a="http://schemas.openxmlformats.org/drawingml/2006/main">
                    <a:graphicData uri="http://schemas.openxmlformats.org/drawingml/2006/picture">
                      <pic:pic xmlns:pic="http://schemas.openxmlformats.org/drawingml/2006/picture">
                        <pic:nvPicPr>
                          <pic:cNvPr id="66" name="图片_24"/>
                          <pic:cNvPicPr/>
                        </pic:nvPicPr>
                        <pic:blipFill>
                          <a:blip r:embed="rId61"/>
                          <a:stretch>
                            <a:fillRect/>
                          </a:stretch>
                        </pic:blipFill>
                        <pic:spPr>
                          <a:xfrm>
                            <a:off x="0" y="0"/>
                            <a:ext cx="741680" cy="55435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豪华收餐柜</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1000×700×800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1、采用优质304#不锈钢板材: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2、台面采用1.0mm厚不锈钢板折弯而成；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3、下推车型；                                                                                                                                                                                4、上回收口</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26848" behindDoc="0" locked="0" layoutInCell="1" allowOverlap="1">
                  <wp:simplePos x="0" y="0"/>
                  <wp:positionH relativeFrom="column">
                    <wp:posOffset>58420</wp:posOffset>
                  </wp:positionH>
                  <wp:positionV relativeFrom="paragraph">
                    <wp:posOffset>225425</wp:posOffset>
                  </wp:positionV>
                  <wp:extent cx="825500" cy="600075"/>
                  <wp:effectExtent l="0" t="0" r="0" b="9525"/>
                  <wp:wrapNone/>
                  <wp:docPr id="67" name="Picture_49"/>
                  <wp:cNvGraphicFramePr/>
                  <a:graphic xmlns:a="http://schemas.openxmlformats.org/drawingml/2006/main">
                    <a:graphicData uri="http://schemas.openxmlformats.org/drawingml/2006/picture">
                      <pic:pic xmlns:pic="http://schemas.openxmlformats.org/drawingml/2006/picture">
                        <pic:nvPicPr>
                          <pic:cNvPr id="67" name="Picture_49"/>
                          <pic:cNvPicPr/>
                        </pic:nvPicPr>
                        <pic:blipFill>
                          <a:blip r:embed="rId62"/>
                          <a:stretch>
                            <a:fillRect/>
                          </a:stretch>
                        </pic:blipFill>
                        <pic:spPr>
                          <a:xfrm>
                            <a:off x="0" y="0"/>
                            <a:ext cx="825500" cy="60007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27872" behindDoc="0" locked="0" layoutInCell="1" allowOverlap="1">
                  <wp:simplePos x="0" y="0"/>
                  <wp:positionH relativeFrom="column">
                    <wp:posOffset>0</wp:posOffset>
                  </wp:positionH>
                  <wp:positionV relativeFrom="paragraph">
                    <wp:posOffset>0</wp:posOffset>
                  </wp:positionV>
                  <wp:extent cx="304800" cy="307975"/>
                  <wp:effectExtent l="0" t="0" r="0" b="0"/>
                  <wp:wrapNone/>
                  <wp:docPr id="68" name="AutoShape_595_SpCnt_10"/>
                  <wp:cNvGraphicFramePr/>
                  <a:graphic xmlns:a="http://schemas.openxmlformats.org/drawingml/2006/main">
                    <a:graphicData uri="http://schemas.openxmlformats.org/drawingml/2006/picture">
                      <pic:pic xmlns:pic="http://schemas.openxmlformats.org/drawingml/2006/picture">
                        <pic:nvPicPr>
                          <pic:cNvPr id="68" name="AutoShape_595_SpCnt_10"/>
                          <pic:cNvPicPr/>
                        </pic:nvPicPr>
                        <pic:blipFill>
                          <a:blip r:embed="rId38"/>
                          <a:stretch>
                            <a:fillRect/>
                          </a:stretch>
                        </pic:blipFill>
                        <pic:spPr>
                          <a:xfrm>
                            <a:off x="0" y="0"/>
                            <a:ext cx="304800" cy="30797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28896" behindDoc="0" locked="0" layoutInCell="1" allowOverlap="1">
                  <wp:simplePos x="0" y="0"/>
                  <wp:positionH relativeFrom="column">
                    <wp:posOffset>0</wp:posOffset>
                  </wp:positionH>
                  <wp:positionV relativeFrom="paragraph">
                    <wp:posOffset>0</wp:posOffset>
                  </wp:positionV>
                  <wp:extent cx="304800" cy="311150"/>
                  <wp:effectExtent l="0" t="0" r="0" b="0"/>
                  <wp:wrapNone/>
                  <wp:docPr id="69" name="AutoShape_595_SpCnt_11"/>
                  <wp:cNvGraphicFramePr/>
                  <a:graphic xmlns:a="http://schemas.openxmlformats.org/drawingml/2006/main">
                    <a:graphicData uri="http://schemas.openxmlformats.org/drawingml/2006/picture">
                      <pic:pic xmlns:pic="http://schemas.openxmlformats.org/drawingml/2006/picture">
                        <pic:nvPicPr>
                          <pic:cNvPr id="69" name="AutoShape_595_SpCnt_11"/>
                          <pic:cNvPicPr/>
                        </pic:nvPicPr>
                        <pic:blipFill>
                          <a:blip r:embed="rId38"/>
                          <a:stretch>
                            <a:fillRect/>
                          </a:stretch>
                        </pic:blipFill>
                        <pic:spPr>
                          <a:xfrm>
                            <a:off x="0" y="0"/>
                            <a:ext cx="304800" cy="31115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29920" behindDoc="0" locked="0" layoutInCell="1" allowOverlap="1">
                  <wp:simplePos x="0" y="0"/>
                  <wp:positionH relativeFrom="column">
                    <wp:posOffset>0</wp:posOffset>
                  </wp:positionH>
                  <wp:positionV relativeFrom="paragraph">
                    <wp:posOffset>0</wp:posOffset>
                  </wp:positionV>
                  <wp:extent cx="304800" cy="311150"/>
                  <wp:effectExtent l="0" t="0" r="0" b="0"/>
                  <wp:wrapNone/>
                  <wp:docPr id="70" name="AutoShape_593_SpCnt_11"/>
                  <wp:cNvGraphicFramePr/>
                  <a:graphic xmlns:a="http://schemas.openxmlformats.org/drawingml/2006/main">
                    <a:graphicData uri="http://schemas.openxmlformats.org/drawingml/2006/picture">
                      <pic:pic xmlns:pic="http://schemas.openxmlformats.org/drawingml/2006/picture">
                        <pic:nvPicPr>
                          <pic:cNvPr id="70" name="AutoShape_593_SpCnt_11"/>
                          <pic:cNvPicPr/>
                        </pic:nvPicPr>
                        <pic:blipFill>
                          <a:blip r:embed="rId38"/>
                          <a:stretch>
                            <a:fillRect/>
                          </a:stretch>
                        </pic:blipFill>
                        <pic:spPr>
                          <a:xfrm>
                            <a:off x="0" y="0"/>
                            <a:ext cx="304800" cy="31115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30944" behindDoc="0" locked="0" layoutInCell="1" allowOverlap="1">
                  <wp:simplePos x="0" y="0"/>
                  <wp:positionH relativeFrom="column">
                    <wp:posOffset>0</wp:posOffset>
                  </wp:positionH>
                  <wp:positionV relativeFrom="paragraph">
                    <wp:posOffset>0</wp:posOffset>
                  </wp:positionV>
                  <wp:extent cx="304800" cy="311150"/>
                  <wp:effectExtent l="0" t="0" r="0" b="0"/>
                  <wp:wrapNone/>
                  <wp:docPr id="71" name="AutoShape_593_SpCnt_12"/>
                  <wp:cNvGraphicFramePr/>
                  <a:graphic xmlns:a="http://schemas.openxmlformats.org/drawingml/2006/main">
                    <a:graphicData uri="http://schemas.openxmlformats.org/drawingml/2006/picture">
                      <pic:pic xmlns:pic="http://schemas.openxmlformats.org/drawingml/2006/picture">
                        <pic:nvPicPr>
                          <pic:cNvPr id="71" name="AutoShape_593_SpCnt_12"/>
                          <pic:cNvPicPr/>
                        </pic:nvPicPr>
                        <pic:blipFill>
                          <a:blip r:embed="rId38"/>
                          <a:stretch>
                            <a:fillRect/>
                          </a:stretch>
                        </pic:blipFill>
                        <pic:spPr>
                          <a:xfrm>
                            <a:off x="0" y="0"/>
                            <a:ext cx="304800" cy="31115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31968" behindDoc="0" locked="0" layoutInCell="1" allowOverlap="1">
                  <wp:simplePos x="0" y="0"/>
                  <wp:positionH relativeFrom="column">
                    <wp:posOffset>0</wp:posOffset>
                  </wp:positionH>
                  <wp:positionV relativeFrom="paragraph">
                    <wp:posOffset>0</wp:posOffset>
                  </wp:positionV>
                  <wp:extent cx="304800" cy="311150"/>
                  <wp:effectExtent l="0" t="0" r="0" b="0"/>
                  <wp:wrapNone/>
                  <wp:docPr id="72" name="AutoShape_595_SpCnt_12"/>
                  <wp:cNvGraphicFramePr/>
                  <a:graphic xmlns:a="http://schemas.openxmlformats.org/drawingml/2006/main">
                    <a:graphicData uri="http://schemas.openxmlformats.org/drawingml/2006/picture">
                      <pic:pic xmlns:pic="http://schemas.openxmlformats.org/drawingml/2006/picture">
                        <pic:nvPicPr>
                          <pic:cNvPr id="72" name="AutoShape_595_SpCnt_12"/>
                          <pic:cNvPicPr/>
                        </pic:nvPicPr>
                        <pic:blipFill>
                          <a:blip r:embed="rId38"/>
                          <a:stretch>
                            <a:fillRect/>
                          </a:stretch>
                        </pic:blipFill>
                        <pic:spPr>
                          <a:xfrm>
                            <a:off x="0" y="0"/>
                            <a:ext cx="304800" cy="31115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32992" behindDoc="0" locked="0" layoutInCell="1" allowOverlap="1">
                  <wp:simplePos x="0" y="0"/>
                  <wp:positionH relativeFrom="column">
                    <wp:posOffset>0</wp:posOffset>
                  </wp:positionH>
                  <wp:positionV relativeFrom="paragraph">
                    <wp:posOffset>0</wp:posOffset>
                  </wp:positionV>
                  <wp:extent cx="303530" cy="311150"/>
                  <wp:effectExtent l="0" t="0" r="0" b="0"/>
                  <wp:wrapNone/>
                  <wp:docPr id="73" name="AutoShape_595_SpCnt_13"/>
                  <wp:cNvGraphicFramePr/>
                  <a:graphic xmlns:a="http://schemas.openxmlformats.org/drawingml/2006/main">
                    <a:graphicData uri="http://schemas.openxmlformats.org/drawingml/2006/picture">
                      <pic:pic xmlns:pic="http://schemas.openxmlformats.org/drawingml/2006/picture">
                        <pic:nvPicPr>
                          <pic:cNvPr id="73" name="AutoShape_595_SpCnt_13"/>
                          <pic:cNvPicPr/>
                        </pic:nvPicPr>
                        <pic:blipFill>
                          <a:blip r:embed="rId38"/>
                          <a:stretch>
                            <a:fillRect/>
                          </a:stretch>
                        </pic:blipFill>
                        <pic:spPr>
                          <a:xfrm>
                            <a:off x="0" y="0"/>
                            <a:ext cx="303530" cy="31115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34016" behindDoc="0" locked="0" layoutInCell="1" allowOverlap="1">
                  <wp:simplePos x="0" y="0"/>
                  <wp:positionH relativeFrom="column">
                    <wp:posOffset>0</wp:posOffset>
                  </wp:positionH>
                  <wp:positionV relativeFrom="paragraph">
                    <wp:posOffset>0</wp:posOffset>
                  </wp:positionV>
                  <wp:extent cx="305435" cy="304800"/>
                  <wp:effectExtent l="0" t="0" r="0" b="0"/>
                  <wp:wrapNone/>
                  <wp:docPr id="74" name="AutoShape_593_SpCnt_13"/>
                  <wp:cNvGraphicFramePr/>
                  <a:graphic xmlns:a="http://schemas.openxmlformats.org/drawingml/2006/main">
                    <a:graphicData uri="http://schemas.openxmlformats.org/drawingml/2006/picture">
                      <pic:pic xmlns:pic="http://schemas.openxmlformats.org/drawingml/2006/picture">
                        <pic:nvPicPr>
                          <pic:cNvPr id="74" name="AutoShape_593_SpCnt_13"/>
                          <pic:cNvPicPr/>
                        </pic:nvPicPr>
                        <pic:blipFill>
                          <a:blip r:embed="rId29"/>
                          <a:stretch>
                            <a:fillRect/>
                          </a:stretch>
                        </pic:blipFill>
                        <pic:spPr>
                          <a:xfrm>
                            <a:off x="0" y="0"/>
                            <a:ext cx="305435" cy="30480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35040" behindDoc="0" locked="0" layoutInCell="1" allowOverlap="1">
                  <wp:simplePos x="0" y="0"/>
                  <wp:positionH relativeFrom="column">
                    <wp:posOffset>0</wp:posOffset>
                  </wp:positionH>
                  <wp:positionV relativeFrom="paragraph">
                    <wp:posOffset>0</wp:posOffset>
                  </wp:positionV>
                  <wp:extent cx="304800" cy="314325"/>
                  <wp:effectExtent l="0" t="0" r="0" b="0"/>
                  <wp:wrapNone/>
                  <wp:docPr id="75" name="AutoShape_595_SpCnt_14"/>
                  <wp:cNvGraphicFramePr/>
                  <a:graphic xmlns:a="http://schemas.openxmlformats.org/drawingml/2006/main">
                    <a:graphicData uri="http://schemas.openxmlformats.org/drawingml/2006/picture">
                      <pic:pic xmlns:pic="http://schemas.openxmlformats.org/drawingml/2006/picture">
                        <pic:nvPicPr>
                          <pic:cNvPr id="75" name="AutoShape_595_SpCnt_14"/>
                          <pic:cNvPicPr/>
                        </pic:nvPicPr>
                        <pic:blipFill>
                          <a:blip r:embed="rId38"/>
                          <a:stretch>
                            <a:fillRect/>
                          </a:stretch>
                        </pic:blipFill>
                        <pic:spPr>
                          <a:xfrm>
                            <a:off x="0" y="0"/>
                            <a:ext cx="304800" cy="31432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36064" behindDoc="0" locked="0" layoutInCell="1" allowOverlap="1">
                  <wp:simplePos x="0" y="0"/>
                  <wp:positionH relativeFrom="column">
                    <wp:posOffset>0</wp:posOffset>
                  </wp:positionH>
                  <wp:positionV relativeFrom="paragraph">
                    <wp:posOffset>0</wp:posOffset>
                  </wp:positionV>
                  <wp:extent cx="304800" cy="307975"/>
                  <wp:effectExtent l="0" t="0" r="0" b="0"/>
                  <wp:wrapNone/>
                  <wp:docPr id="76" name="AutoShape_595_SpCnt_15"/>
                  <wp:cNvGraphicFramePr/>
                  <a:graphic xmlns:a="http://schemas.openxmlformats.org/drawingml/2006/main">
                    <a:graphicData uri="http://schemas.openxmlformats.org/drawingml/2006/picture">
                      <pic:pic xmlns:pic="http://schemas.openxmlformats.org/drawingml/2006/picture">
                        <pic:nvPicPr>
                          <pic:cNvPr id="76" name="AutoShape_595_SpCnt_15"/>
                          <pic:cNvPicPr/>
                        </pic:nvPicPr>
                        <pic:blipFill>
                          <a:blip r:embed="rId38"/>
                          <a:stretch>
                            <a:fillRect/>
                          </a:stretch>
                        </pic:blipFill>
                        <pic:spPr>
                          <a:xfrm>
                            <a:off x="0" y="0"/>
                            <a:ext cx="304800" cy="30797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37088" behindDoc="0" locked="0" layoutInCell="1" allowOverlap="1">
                  <wp:simplePos x="0" y="0"/>
                  <wp:positionH relativeFrom="column">
                    <wp:posOffset>0</wp:posOffset>
                  </wp:positionH>
                  <wp:positionV relativeFrom="paragraph">
                    <wp:posOffset>0</wp:posOffset>
                  </wp:positionV>
                  <wp:extent cx="304800" cy="307975"/>
                  <wp:effectExtent l="0" t="0" r="0" b="0"/>
                  <wp:wrapNone/>
                  <wp:docPr id="77" name="AutoShape_593_SpCnt_14"/>
                  <wp:cNvGraphicFramePr/>
                  <a:graphic xmlns:a="http://schemas.openxmlformats.org/drawingml/2006/main">
                    <a:graphicData uri="http://schemas.openxmlformats.org/drawingml/2006/picture">
                      <pic:pic xmlns:pic="http://schemas.openxmlformats.org/drawingml/2006/picture">
                        <pic:nvPicPr>
                          <pic:cNvPr id="77" name="AutoShape_593_SpCnt_14"/>
                          <pic:cNvPicPr/>
                        </pic:nvPicPr>
                        <pic:blipFill>
                          <a:blip r:embed="rId38"/>
                          <a:stretch>
                            <a:fillRect/>
                          </a:stretch>
                        </pic:blipFill>
                        <pic:spPr>
                          <a:xfrm>
                            <a:off x="0" y="0"/>
                            <a:ext cx="304800" cy="30797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38112" behindDoc="0" locked="0" layoutInCell="1" allowOverlap="1">
                  <wp:simplePos x="0" y="0"/>
                  <wp:positionH relativeFrom="column">
                    <wp:posOffset>0</wp:posOffset>
                  </wp:positionH>
                  <wp:positionV relativeFrom="paragraph">
                    <wp:posOffset>0</wp:posOffset>
                  </wp:positionV>
                  <wp:extent cx="304800" cy="314325"/>
                  <wp:effectExtent l="0" t="0" r="0" b="0"/>
                  <wp:wrapNone/>
                  <wp:docPr id="78" name="AutoShape_593_SpCnt_15"/>
                  <wp:cNvGraphicFramePr/>
                  <a:graphic xmlns:a="http://schemas.openxmlformats.org/drawingml/2006/main">
                    <a:graphicData uri="http://schemas.openxmlformats.org/drawingml/2006/picture">
                      <pic:pic xmlns:pic="http://schemas.openxmlformats.org/drawingml/2006/picture">
                        <pic:nvPicPr>
                          <pic:cNvPr id="78" name="AutoShape_593_SpCnt_15"/>
                          <pic:cNvPicPr/>
                        </pic:nvPicPr>
                        <pic:blipFill>
                          <a:blip r:embed="rId38"/>
                          <a:stretch>
                            <a:fillRect/>
                          </a:stretch>
                        </pic:blipFill>
                        <pic:spPr>
                          <a:xfrm>
                            <a:off x="0" y="0"/>
                            <a:ext cx="304800" cy="31432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39136" behindDoc="0" locked="0" layoutInCell="1" allowOverlap="1">
                  <wp:simplePos x="0" y="0"/>
                  <wp:positionH relativeFrom="column">
                    <wp:posOffset>0</wp:posOffset>
                  </wp:positionH>
                  <wp:positionV relativeFrom="paragraph">
                    <wp:posOffset>0</wp:posOffset>
                  </wp:positionV>
                  <wp:extent cx="304800" cy="307975"/>
                  <wp:effectExtent l="0" t="0" r="0" b="0"/>
                  <wp:wrapNone/>
                  <wp:docPr id="79" name="AutoShape_593_SpCnt_16"/>
                  <wp:cNvGraphicFramePr/>
                  <a:graphic xmlns:a="http://schemas.openxmlformats.org/drawingml/2006/main">
                    <a:graphicData uri="http://schemas.openxmlformats.org/drawingml/2006/picture">
                      <pic:pic xmlns:pic="http://schemas.openxmlformats.org/drawingml/2006/picture">
                        <pic:nvPicPr>
                          <pic:cNvPr id="79" name="AutoShape_593_SpCnt_16"/>
                          <pic:cNvPicPr/>
                        </pic:nvPicPr>
                        <pic:blipFill>
                          <a:blip r:embed="rId38"/>
                          <a:stretch>
                            <a:fillRect/>
                          </a:stretch>
                        </pic:blipFill>
                        <pic:spPr>
                          <a:xfrm>
                            <a:off x="0" y="0"/>
                            <a:ext cx="304800" cy="30797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0160" behindDoc="0" locked="0" layoutInCell="1" allowOverlap="1">
                  <wp:simplePos x="0" y="0"/>
                  <wp:positionH relativeFrom="column">
                    <wp:posOffset>0</wp:posOffset>
                  </wp:positionH>
                  <wp:positionV relativeFrom="paragraph">
                    <wp:posOffset>0</wp:posOffset>
                  </wp:positionV>
                  <wp:extent cx="304800" cy="314325"/>
                  <wp:effectExtent l="0" t="0" r="0" b="0"/>
                  <wp:wrapNone/>
                  <wp:docPr id="80" name="AutoShape_595_SpCnt_16"/>
                  <wp:cNvGraphicFramePr/>
                  <a:graphic xmlns:a="http://schemas.openxmlformats.org/drawingml/2006/main">
                    <a:graphicData uri="http://schemas.openxmlformats.org/drawingml/2006/picture">
                      <pic:pic xmlns:pic="http://schemas.openxmlformats.org/drawingml/2006/picture">
                        <pic:nvPicPr>
                          <pic:cNvPr id="80" name="AutoShape_595_SpCnt_16"/>
                          <pic:cNvPicPr/>
                        </pic:nvPicPr>
                        <pic:blipFill>
                          <a:blip r:embed="rId38"/>
                          <a:stretch>
                            <a:fillRect/>
                          </a:stretch>
                        </pic:blipFill>
                        <pic:spPr>
                          <a:xfrm>
                            <a:off x="0" y="0"/>
                            <a:ext cx="304800" cy="31432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5"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汤饭车(带桶）</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650×650×800</w:t>
            </w:r>
          </w:p>
        </w:tc>
        <w:tc>
          <w:tcPr>
            <w:tcW w:w="262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3.台脚:φ38mm*0.8mm采用优质不锈钢管，配可调性调节脚。</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车</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1184" behindDoc="0" locked="0" layoutInCell="1" allowOverlap="1">
                  <wp:simplePos x="0" y="0"/>
                  <wp:positionH relativeFrom="column">
                    <wp:posOffset>123190</wp:posOffset>
                  </wp:positionH>
                  <wp:positionV relativeFrom="paragraph">
                    <wp:posOffset>158750</wp:posOffset>
                  </wp:positionV>
                  <wp:extent cx="708660" cy="588010"/>
                  <wp:effectExtent l="0" t="0" r="2540" b="8890"/>
                  <wp:wrapNone/>
                  <wp:docPr id="81" name="图片_22"/>
                  <wp:cNvGraphicFramePr/>
                  <a:graphic xmlns:a="http://schemas.openxmlformats.org/drawingml/2006/main">
                    <a:graphicData uri="http://schemas.openxmlformats.org/drawingml/2006/picture">
                      <pic:pic xmlns:pic="http://schemas.openxmlformats.org/drawingml/2006/picture">
                        <pic:nvPicPr>
                          <pic:cNvPr id="81" name="图片_22"/>
                          <pic:cNvPicPr/>
                        </pic:nvPicPr>
                        <pic:blipFill>
                          <a:blip r:embed="rId63"/>
                          <a:stretch>
                            <a:fillRect/>
                          </a:stretch>
                        </pic:blipFill>
                        <pic:spPr>
                          <a:xfrm>
                            <a:off x="0" y="0"/>
                            <a:ext cx="708660" cy="58801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2208" behindDoc="0" locked="0" layoutInCell="1" allowOverlap="1">
                  <wp:simplePos x="0" y="0"/>
                  <wp:positionH relativeFrom="column">
                    <wp:posOffset>0</wp:posOffset>
                  </wp:positionH>
                  <wp:positionV relativeFrom="paragraph">
                    <wp:posOffset>0</wp:posOffset>
                  </wp:positionV>
                  <wp:extent cx="305435" cy="304800"/>
                  <wp:effectExtent l="0" t="0" r="0" b="0"/>
                  <wp:wrapNone/>
                  <wp:docPr id="82" name="AutoShape_593_SpCnt_17"/>
                  <wp:cNvGraphicFramePr/>
                  <a:graphic xmlns:a="http://schemas.openxmlformats.org/drawingml/2006/main">
                    <a:graphicData uri="http://schemas.openxmlformats.org/drawingml/2006/picture">
                      <pic:pic xmlns:pic="http://schemas.openxmlformats.org/drawingml/2006/picture">
                        <pic:nvPicPr>
                          <pic:cNvPr id="82" name="AutoShape_593_SpCnt_17"/>
                          <pic:cNvPicPr/>
                        </pic:nvPicPr>
                        <pic:blipFill>
                          <a:blip r:embed="rId29"/>
                          <a:stretch>
                            <a:fillRect/>
                          </a:stretch>
                        </pic:blipFill>
                        <pic:spPr>
                          <a:xfrm>
                            <a:off x="0" y="0"/>
                            <a:ext cx="305435" cy="30480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3232" behindDoc="0" locked="0" layoutInCell="1" allowOverlap="1">
                  <wp:simplePos x="0" y="0"/>
                  <wp:positionH relativeFrom="column">
                    <wp:posOffset>0</wp:posOffset>
                  </wp:positionH>
                  <wp:positionV relativeFrom="paragraph">
                    <wp:posOffset>0</wp:posOffset>
                  </wp:positionV>
                  <wp:extent cx="304800" cy="311150"/>
                  <wp:effectExtent l="0" t="0" r="0" b="0"/>
                  <wp:wrapNone/>
                  <wp:docPr id="83" name="AutoShape_595_SpCnt_17"/>
                  <wp:cNvGraphicFramePr/>
                  <a:graphic xmlns:a="http://schemas.openxmlformats.org/drawingml/2006/main">
                    <a:graphicData uri="http://schemas.openxmlformats.org/drawingml/2006/picture">
                      <pic:pic xmlns:pic="http://schemas.openxmlformats.org/drawingml/2006/picture">
                        <pic:nvPicPr>
                          <pic:cNvPr id="83" name="AutoShape_595_SpCnt_17"/>
                          <pic:cNvPicPr/>
                        </pic:nvPicPr>
                        <pic:blipFill>
                          <a:blip r:embed="rId38"/>
                          <a:stretch>
                            <a:fillRect/>
                          </a:stretch>
                        </pic:blipFill>
                        <pic:spPr>
                          <a:xfrm>
                            <a:off x="0" y="0"/>
                            <a:ext cx="304800" cy="31115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4256" behindDoc="0" locked="0" layoutInCell="1" allowOverlap="1">
                  <wp:simplePos x="0" y="0"/>
                  <wp:positionH relativeFrom="column">
                    <wp:posOffset>0</wp:posOffset>
                  </wp:positionH>
                  <wp:positionV relativeFrom="paragraph">
                    <wp:posOffset>0</wp:posOffset>
                  </wp:positionV>
                  <wp:extent cx="304800" cy="307975"/>
                  <wp:effectExtent l="0" t="0" r="0" b="0"/>
                  <wp:wrapNone/>
                  <wp:docPr id="84" name="AutoShape_593_SpCnt_18"/>
                  <wp:cNvGraphicFramePr/>
                  <a:graphic xmlns:a="http://schemas.openxmlformats.org/drawingml/2006/main">
                    <a:graphicData uri="http://schemas.openxmlformats.org/drawingml/2006/picture">
                      <pic:pic xmlns:pic="http://schemas.openxmlformats.org/drawingml/2006/picture">
                        <pic:nvPicPr>
                          <pic:cNvPr id="84" name="AutoShape_593_SpCnt_18"/>
                          <pic:cNvPicPr/>
                        </pic:nvPicPr>
                        <pic:blipFill>
                          <a:blip r:embed="rId28"/>
                          <a:stretch>
                            <a:fillRect/>
                          </a:stretch>
                        </pic:blipFill>
                        <pic:spPr>
                          <a:xfrm>
                            <a:off x="0" y="0"/>
                            <a:ext cx="304800" cy="307975"/>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5280" behindDoc="0" locked="0" layoutInCell="1" allowOverlap="1">
                  <wp:simplePos x="0" y="0"/>
                  <wp:positionH relativeFrom="column">
                    <wp:posOffset>0</wp:posOffset>
                  </wp:positionH>
                  <wp:positionV relativeFrom="paragraph">
                    <wp:posOffset>0</wp:posOffset>
                  </wp:positionV>
                  <wp:extent cx="304800" cy="307975"/>
                  <wp:effectExtent l="0" t="0" r="0" b="0"/>
                  <wp:wrapNone/>
                  <wp:docPr id="85" name="AutoShape_593_SpCnt_19"/>
                  <wp:cNvGraphicFramePr/>
                  <a:graphic xmlns:a="http://schemas.openxmlformats.org/drawingml/2006/main">
                    <a:graphicData uri="http://schemas.openxmlformats.org/drawingml/2006/picture">
                      <pic:pic xmlns:pic="http://schemas.openxmlformats.org/drawingml/2006/picture">
                        <pic:nvPicPr>
                          <pic:cNvPr id="85" name="AutoShape_593_SpCnt_19"/>
                          <pic:cNvPicPr/>
                        </pic:nvPicPr>
                        <pic:blipFill>
                          <a:blip r:embed="rId28"/>
                          <a:stretch>
                            <a:fillRect/>
                          </a:stretch>
                        </pic:blipFill>
                        <pic:spPr>
                          <a:xfrm>
                            <a:off x="0" y="0"/>
                            <a:ext cx="304800" cy="307975"/>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6304" behindDoc="0" locked="0" layoutInCell="1" allowOverlap="1">
                  <wp:simplePos x="0" y="0"/>
                  <wp:positionH relativeFrom="column">
                    <wp:posOffset>0</wp:posOffset>
                  </wp:positionH>
                  <wp:positionV relativeFrom="paragraph">
                    <wp:posOffset>0</wp:posOffset>
                  </wp:positionV>
                  <wp:extent cx="304800" cy="307975"/>
                  <wp:effectExtent l="0" t="0" r="0" b="0"/>
                  <wp:wrapNone/>
                  <wp:docPr id="86" name="AutoShape_595_SpCnt_18"/>
                  <wp:cNvGraphicFramePr/>
                  <a:graphic xmlns:a="http://schemas.openxmlformats.org/drawingml/2006/main">
                    <a:graphicData uri="http://schemas.openxmlformats.org/drawingml/2006/picture">
                      <pic:pic xmlns:pic="http://schemas.openxmlformats.org/drawingml/2006/picture">
                        <pic:nvPicPr>
                          <pic:cNvPr id="86" name="AutoShape_595_SpCnt_18"/>
                          <pic:cNvPicPr/>
                        </pic:nvPicPr>
                        <pic:blipFill>
                          <a:blip r:embed="rId28"/>
                          <a:stretch>
                            <a:fillRect/>
                          </a:stretch>
                        </pic:blipFill>
                        <pic:spPr>
                          <a:xfrm>
                            <a:off x="0" y="0"/>
                            <a:ext cx="304800" cy="307975"/>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7328" behindDoc="0" locked="0" layoutInCell="1" allowOverlap="1">
                  <wp:simplePos x="0" y="0"/>
                  <wp:positionH relativeFrom="column">
                    <wp:posOffset>0</wp:posOffset>
                  </wp:positionH>
                  <wp:positionV relativeFrom="paragraph">
                    <wp:posOffset>0</wp:posOffset>
                  </wp:positionV>
                  <wp:extent cx="304800" cy="314325"/>
                  <wp:effectExtent l="0" t="0" r="0" b="0"/>
                  <wp:wrapNone/>
                  <wp:docPr id="87" name="AutoShape_593_SpCnt_20"/>
                  <wp:cNvGraphicFramePr/>
                  <a:graphic xmlns:a="http://schemas.openxmlformats.org/drawingml/2006/main">
                    <a:graphicData uri="http://schemas.openxmlformats.org/drawingml/2006/picture">
                      <pic:pic xmlns:pic="http://schemas.openxmlformats.org/drawingml/2006/picture">
                        <pic:nvPicPr>
                          <pic:cNvPr id="87" name="AutoShape_593_SpCnt_20"/>
                          <pic:cNvPicPr/>
                        </pic:nvPicPr>
                        <pic:blipFill>
                          <a:blip r:embed="rId38"/>
                          <a:stretch>
                            <a:fillRect/>
                          </a:stretch>
                        </pic:blipFill>
                        <pic:spPr>
                          <a:xfrm>
                            <a:off x="0" y="0"/>
                            <a:ext cx="304800" cy="314325"/>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8352" behindDoc="0" locked="0" layoutInCell="1" allowOverlap="1">
                  <wp:simplePos x="0" y="0"/>
                  <wp:positionH relativeFrom="column">
                    <wp:posOffset>0</wp:posOffset>
                  </wp:positionH>
                  <wp:positionV relativeFrom="paragraph">
                    <wp:posOffset>0</wp:posOffset>
                  </wp:positionV>
                  <wp:extent cx="304800" cy="311150"/>
                  <wp:effectExtent l="0" t="0" r="0" b="0"/>
                  <wp:wrapNone/>
                  <wp:docPr id="88" name="AutoShape_593_SpCnt_21"/>
                  <wp:cNvGraphicFramePr/>
                  <a:graphic xmlns:a="http://schemas.openxmlformats.org/drawingml/2006/main">
                    <a:graphicData uri="http://schemas.openxmlformats.org/drawingml/2006/picture">
                      <pic:pic xmlns:pic="http://schemas.openxmlformats.org/drawingml/2006/picture">
                        <pic:nvPicPr>
                          <pic:cNvPr id="88" name="AutoShape_593_SpCnt_21"/>
                          <pic:cNvPicPr/>
                        </pic:nvPicPr>
                        <pic:blipFill>
                          <a:blip r:embed="rId38"/>
                          <a:stretch>
                            <a:fillRect/>
                          </a:stretch>
                        </pic:blipFill>
                        <pic:spPr>
                          <a:xfrm>
                            <a:off x="0" y="0"/>
                            <a:ext cx="304800" cy="31115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49376" behindDoc="0" locked="0" layoutInCell="1" allowOverlap="1">
                  <wp:simplePos x="0" y="0"/>
                  <wp:positionH relativeFrom="column">
                    <wp:posOffset>0</wp:posOffset>
                  </wp:positionH>
                  <wp:positionV relativeFrom="paragraph">
                    <wp:posOffset>0</wp:posOffset>
                  </wp:positionV>
                  <wp:extent cx="304800" cy="314325"/>
                  <wp:effectExtent l="0" t="0" r="0" b="0"/>
                  <wp:wrapNone/>
                  <wp:docPr id="89" name="AutoShape_595_SpCnt_19"/>
                  <wp:cNvGraphicFramePr/>
                  <a:graphic xmlns:a="http://schemas.openxmlformats.org/drawingml/2006/main">
                    <a:graphicData uri="http://schemas.openxmlformats.org/drawingml/2006/picture">
                      <pic:pic xmlns:pic="http://schemas.openxmlformats.org/drawingml/2006/picture">
                        <pic:nvPicPr>
                          <pic:cNvPr id="89" name="AutoShape_595_SpCnt_19"/>
                          <pic:cNvPicPr/>
                        </pic:nvPicPr>
                        <pic:blipFill>
                          <a:blip r:embed="rId38"/>
                          <a:stretch>
                            <a:fillRect/>
                          </a:stretch>
                        </pic:blipFill>
                        <pic:spPr>
                          <a:xfrm>
                            <a:off x="0" y="0"/>
                            <a:ext cx="304800" cy="314325"/>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50400" behindDoc="0" locked="0" layoutInCell="1" allowOverlap="1">
                  <wp:simplePos x="0" y="0"/>
                  <wp:positionH relativeFrom="column">
                    <wp:posOffset>0</wp:posOffset>
                  </wp:positionH>
                  <wp:positionV relativeFrom="paragraph">
                    <wp:posOffset>0</wp:posOffset>
                  </wp:positionV>
                  <wp:extent cx="304800" cy="307975"/>
                  <wp:effectExtent l="0" t="0" r="0" b="0"/>
                  <wp:wrapNone/>
                  <wp:docPr id="90" name="AutoShape_595_SpCnt_20"/>
                  <wp:cNvGraphicFramePr/>
                  <a:graphic xmlns:a="http://schemas.openxmlformats.org/drawingml/2006/main">
                    <a:graphicData uri="http://schemas.openxmlformats.org/drawingml/2006/picture">
                      <pic:pic xmlns:pic="http://schemas.openxmlformats.org/drawingml/2006/picture">
                        <pic:nvPicPr>
                          <pic:cNvPr id="90" name="AutoShape_595_SpCnt_20"/>
                          <pic:cNvPicPr/>
                        </pic:nvPicPr>
                        <pic:blipFill>
                          <a:blip r:embed="rId28"/>
                          <a:stretch>
                            <a:fillRect/>
                          </a:stretch>
                        </pic:blipFill>
                        <pic:spPr>
                          <a:xfrm>
                            <a:off x="0" y="0"/>
                            <a:ext cx="304800" cy="307975"/>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51424" behindDoc="0" locked="0" layoutInCell="1" allowOverlap="1">
                  <wp:simplePos x="0" y="0"/>
                  <wp:positionH relativeFrom="column">
                    <wp:posOffset>0</wp:posOffset>
                  </wp:positionH>
                  <wp:positionV relativeFrom="paragraph">
                    <wp:posOffset>0</wp:posOffset>
                  </wp:positionV>
                  <wp:extent cx="304800" cy="314325"/>
                  <wp:effectExtent l="0" t="0" r="0" b="0"/>
                  <wp:wrapNone/>
                  <wp:docPr id="91" name="AutoShape_595_SpCnt_21"/>
                  <wp:cNvGraphicFramePr/>
                  <a:graphic xmlns:a="http://schemas.openxmlformats.org/drawingml/2006/main">
                    <a:graphicData uri="http://schemas.openxmlformats.org/drawingml/2006/picture">
                      <pic:pic xmlns:pic="http://schemas.openxmlformats.org/drawingml/2006/picture">
                        <pic:nvPicPr>
                          <pic:cNvPr id="91" name="AutoShape_595_SpCnt_21"/>
                          <pic:cNvPicPr/>
                        </pic:nvPicPr>
                        <pic:blipFill>
                          <a:blip r:embed="rId38"/>
                          <a:stretch>
                            <a:fillRect/>
                          </a:stretch>
                        </pic:blipFill>
                        <pic:spPr>
                          <a:xfrm>
                            <a:off x="0" y="0"/>
                            <a:ext cx="304800" cy="314325"/>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52448" behindDoc="0" locked="0" layoutInCell="1" allowOverlap="1">
                  <wp:simplePos x="0" y="0"/>
                  <wp:positionH relativeFrom="column">
                    <wp:posOffset>0</wp:posOffset>
                  </wp:positionH>
                  <wp:positionV relativeFrom="paragraph">
                    <wp:posOffset>0</wp:posOffset>
                  </wp:positionV>
                  <wp:extent cx="304800" cy="311150"/>
                  <wp:effectExtent l="0" t="0" r="0" b="0"/>
                  <wp:wrapNone/>
                  <wp:docPr id="92" name="AutoShape_595_SpCnt_22"/>
                  <wp:cNvGraphicFramePr/>
                  <a:graphic xmlns:a="http://schemas.openxmlformats.org/drawingml/2006/main">
                    <a:graphicData uri="http://schemas.openxmlformats.org/drawingml/2006/picture">
                      <pic:pic xmlns:pic="http://schemas.openxmlformats.org/drawingml/2006/picture">
                        <pic:nvPicPr>
                          <pic:cNvPr id="92" name="AutoShape_595_SpCnt_22"/>
                          <pic:cNvPicPr/>
                        </pic:nvPicPr>
                        <pic:blipFill>
                          <a:blip r:embed="rId38"/>
                          <a:stretch>
                            <a:fillRect/>
                          </a:stretch>
                        </pic:blipFill>
                        <pic:spPr>
                          <a:xfrm>
                            <a:off x="0" y="0"/>
                            <a:ext cx="304800" cy="31115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53472" behindDoc="0" locked="0" layoutInCell="1" allowOverlap="1">
                  <wp:simplePos x="0" y="0"/>
                  <wp:positionH relativeFrom="column">
                    <wp:posOffset>0</wp:posOffset>
                  </wp:positionH>
                  <wp:positionV relativeFrom="paragraph">
                    <wp:posOffset>0</wp:posOffset>
                  </wp:positionV>
                  <wp:extent cx="303530" cy="311150"/>
                  <wp:effectExtent l="0" t="0" r="0" b="0"/>
                  <wp:wrapNone/>
                  <wp:docPr id="93" name="AutoShape_595_SpCnt_23"/>
                  <wp:cNvGraphicFramePr/>
                  <a:graphic xmlns:a="http://schemas.openxmlformats.org/drawingml/2006/main">
                    <a:graphicData uri="http://schemas.openxmlformats.org/drawingml/2006/picture">
                      <pic:pic xmlns:pic="http://schemas.openxmlformats.org/drawingml/2006/picture">
                        <pic:nvPicPr>
                          <pic:cNvPr id="93" name="AutoShape_595_SpCnt_23"/>
                          <pic:cNvPicPr/>
                        </pic:nvPicPr>
                        <pic:blipFill>
                          <a:blip r:embed="rId38"/>
                          <a:stretch>
                            <a:fillRect/>
                          </a:stretch>
                        </pic:blipFill>
                        <pic:spPr>
                          <a:xfrm>
                            <a:off x="0" y="0"/>
                            <a:ext cx="303530" cy="311150"/>
                          </a:xfrm>
                          <a:prstGeom prst="rect">
                            <a:avLst/>
                          </a:prstGeom>
                          <a:noFill/>
                          <a:ln>
                            <a:noFill/>
                          </a:ln>
                        </pic:spPr>
                      </pic:pic>
                    </a:graphicData>
                  </a:graphic>
                </wp:anchor>
              </w:drawing>
            </w: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54496" behindDoc="0" locked="0" layoutInCell="1" allowOverlap="1">
                  <wp:simplePos x="0" y="0"/>
                  <wp:positionH relativeFrom="column">
                    <wp:posOffset>0</wp:posOffset>
                  </wp:positionH>
                  <wp:positionV relativeFrom="paragraph">
                    <wp:posOffset>0</wp:posOffset>
                  </wp:positionV>
                  <wp:extent cx="304800" cy="311150"/>
                  <wp:effectExtent l="0" t="0" r="0" b="0"/>
                  <wp:wrapNone/>
                  <wp:docPr id="94" name="AutoShape_593_SpCnt_22"/>
                  <wp:cNvGraphicFramePr/>
                  <a:graphic xmlns:a="http://schemas.openxmlformats.org/drawingml/2006/main">
                    <a:graphicData uri="http://schemas.openxmlformats.org/drawingml/2006/picture">
                      <pic:pic xmlns:pic="http://schemas.openxmlformats.org/drawingml/2006/picture">
                        <pic:nvPicPr>
                          <pic:cNvPr id="94" name="AutoShape_593_SpCnt_22"/>
                          <pic:cNvPicPr/>
                        </pic:nvPicPr>
                        <pic:blipFill>
                          <a:blip r:embed="rId38"/>
                          <a:stretch>
                            <a:fillRect/>
                          </a:stretch>
                        </pic:blipFill>
                        <pic:spPr>
                          <a:xfrm>
                            <a:off x="0" y="0"/>
                            <a:ext cx="304800" cy="31115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trPr>
        <w:tc>
          <w:tcPr>
            <w:tcW w:w="49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双层工作台</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1200×650×800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1.304不锈钢板焊接而成；内置一层密度板减噪10mm；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2.面板δ1.0mm，下层格挡采用不锈钢折边δ0.8mm焊接而成；或方管焊接；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3.台脚:φ38mm*0.8mm采用优质不锈钢管，配可调性调节脚。</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755520" behindDoc="0" locked="0" layoutInCell="1" allowOverlap="1">
                  <wp:simplePos x="0" y="0"/>
                  <wp:positionH relativeFrom="column">
                    <wp:posOffset>81915</wp:posOffset>
                  </wp:positionH>
                  <wp:positionV relativeFrom="paragraph">
                    <wp:posOffset>332740</wp:posOffset>
                  </wp:positionV>
                  <wp:extent cx="807085" cy="568960"/>
                  <wp:effectExtent l="0" t="0" r="5715" b="2540"/>
                  <wp:wrapNone/>
                  <wp:docPr id="95" name="Picture_109_SpCnt_2"/>
                  <wp:cNvGraphicFramePr/>
                  <a:graphic xmlns:a="http://schemas.openxmlformats.org/drawingml/2006/main">
                    <a:graphicData uri="http://schemas.openxmlformats.org/drawingml/2006/picture">
                      <pic:pic xmlns:pic="http://schemas.openxmlformats.org/drawingml/2006/picture">
                        <pic:nvPicPr>
                          <pic:cNvPr id="95" name="Picture_109_SpCnt_2"/>
                          <pic:cNvPicPr/>
                        </pic:nvPicPr>
                        <pic:blipFill>
                          <a:blip r:embed="rId64"/>
                          <a:stretch>
                            <a:fillRect/>
                          </a:stretch>
                        </pic:blipFill>
                        <pic:spPr>
                          <a:xfrm>
                            <a:off x="0" y="0"/>
                            <a:ext cx="807085" cy="56896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5550"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餐厅</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大米架</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1200×500×280</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1.304不锈钢管焊接而成；</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2.骨架采用δ=0.8mm*50*50mm不锈钢方管制作。横档采用δ=0.8mm*38*25mm不锈钢方管制作</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lang w:val="en-US" w:eastAsia="zh-CN" w:bidi="ar"/>
              </w:rPr>
              <w:drawing>
                <wp:anchor distT="0" distB="0" distL="114300" distR="114300" simplePos="0" relativeHeight="251756544" behindDoc="0" locked="0" layoutInCell="1" allowOverlap="1">
                  <wp:simplePos x="0" y="0"/>
                  <wp:positionH relativeFrom="column">
                    <wp:posOffset>61595</wp:posOffset>
                  </wp:positionH>
                  <wp:positionV relativeFrom="paragraph">
                    <wp:posOffset>297815</wp:posOffset>
                  </wp:positionV>
                  <wp:extent cx="807720" cy="528320"/>
                  <wp:effectExtent l="0" t="0" r="5080" b="5080"/>
                  <wp:wrapNone/>
                  <wp:docPr id="96" name="图片_994"/>
                  <wp:cNvGraphicFramePr/>
                  <a:graphic xmlns:a="http://schemas.openxmlformats.org/drawingml/2006/main">
                    <a:graphicData uri="http://schemas.openxmlformats.org/drawingml/2006/picture">
                      <pic:pic xmlns:pic="http://schemas.openxmlformats.org/drawingml/2006/picture">
                        <pic:nvPicPr>
                          <pic:cNvPr id="96" name="图片_994"/>
                          <pic:cNvPicPr/>
                        </pic:nvPicPr>
                        <pic:blipFill>
                          <a:blip r:embed="rId65"/>
                          <a:stretch>
                            <a:fillRect/>
                          </a:stretch>
                        </pic:blipFill>
                        <pic:spPr>
                          <a:xfrm>
                            <a:off x="0" y="0"/>
                            <a:ext cx="807720" cy="52832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四层板架</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1150×500×1500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1.304不锈钢板焊接而成；面板采用1.0mm制作；</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2.骨架采用δ=0.8mm*Φ38不锈钢圆通，配Φ38不锈钢可调节重力子弹脚。</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架</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57568" behindDoc="0" locked="0" layoutInCell="1" allowOverlap="1">
                  <wp:simplePos x="0" y="0"/>
                  <wp:positionH relativeFrom="column">
                    <wp:posOffset>228600</wp:posOffset>
                  </wp:positionH>
                  <wp:positionV relativeFrom="paragraph">
                    <wp:posOffset>163830</wp:posOffset>
                  </wp:positionV>
                  <wp:extent cx="480060" cy="622300"/>
                  <wp:effectExtent l="0" t="0" r="2540" b="0"/>
                  <wp:wrapNone/>
                  <wp:docPr id="97" name="Picture_893_SpCnt_1"/>
                  <wp:cNvGraphicFramePr/>
                  <a:graphic xmlns:a="http://schemas.openxmlformats.org/drawingml/2006/main">
                    <a:graphicData uri="http://schemas.openxmlformats.org/drawingml/2006/picture">
                      <pic:pic xmlns:pic="http://schemas.openxmlformats.org/drawingml/2006/picture">
                        <pic:nvPicPr>
                          <pic:cNvPr id="97" name="Picture_893_SpCnt_1"/>
                          <pic:cNvPicPr/>
                        </pic:nvPicPr>
                        <pic:blipFill>
                          <a:blip r:embed="rId41"/>
                          <a:stretch>
                            <a:fillRect/>
                          </a:stretch>
                        </pic:blipFill>
                        <pic:spPr>
                          <a:xfrm>
                            <a:off x="0" y="0"/>
                            <a:ext cx="480060" cy="62230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5550"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排烟系统</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风管</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配作</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1.说明：采用优质201不锈钢板制造</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风管长边≤600mm时候采用板厚0.8mm，风管长边大于等于600mm且≤1000时候采用板厚1.0mm，风管长边大于1000mm时候采用板厚1.0mm并内衬加强档</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2.按风管展开面积平方计算，弯头*1.5系数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3.总结算面积参照浙江省安装工程预算规则*1.138</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230</w:t>
            </w:r>
          </w:p>
        </w:tc>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58592" behindDoc="0" locked="0" layoutInCell="1" allowOverlap="1">
                  <wp:simplePos x="0" y="0"/>
                  <wp:positionH relativeFrom="column">
                    <wp:posOffset>130810</wp:posOffset>
                  </wp:positionH>
                  <wp:positionV relativeFrom="paragraph">
                    <wp:posOffset>615950</wp:posOffset>
                  </wp:positionV>
                  <wp:extent cx="718185" cy="676275"/>
                  <wp:effectExtent l="0" t="0" r="5715" b="9525"/>
                  <wp:wrapNone/>
                  <wp:docPr id="98" name="图片_984"/>
                  <wp:cNvGraphicFramePr/>
                  <a:graphic xmlns:a="http://schemas.openxmlformats.org/drawingml/2006/main">
                    <a:graphicData uri="http://schemas.openxmlformats.org/drawingml/2006/picture">
                      <pic:pic xmlns:pic="http://schemas.openxmlformats.org/drawingml/2006/picture">
                        <pic:nvPicPr>
                          <pic:cNvPr id="98" name="图片_984"/>
                          <pic:cNvPicPr/>
                        </pic:nvPicPr>
                        <pic:blipFill>
                          <a:blip r:embed="rId66"/>
                          <a:stretch>
                            <a:fillRect/>
                          </a:stretch>
                        </pic:blipFill>
                        <pic:spPr>
                          <a:xfrm>
                            <a:off x="0" y="0"/>
                            <a:ext cx="718185" cy="67627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59616" behindDoc="0" locked="0" layoutInCell="1" allowOverlap="1">
                  <wp:simplePos x="0" y="0"/>
                  <wp:positionH relativeFrom="column">
                    <wp:posOffset>0</wp:posOffset>
                  </wp:positionH>
                  <wp:positionV relativeFrom="paragraph">
                    <wp:posOffset>0</wp:posOffset>
                  </wp:positionV>
                  <wp:extent cx="304800" cy="304165"/>
                  <wp:effectExtent l="0" t="0" r="0" b="0"/>
                  <wp:wrapNone/>
                  <wp:docPr id="99" name="AutoShape_595_SpCnt_24"/>
                  <wp:cNvGraphicFramePr/>
                  <a:graphic xmlns:a="http://schemas.openxmlformats.org/drawingml/2006/main">
                    <a:graphicData uri="http://schemas.openxmlformats.org/drawingml/2006/picture">
                      <pic:pic xmlns:pic="http://schemas.openxmlformats.org/drawingml/2006/picture">
                        <pic:nvPicPr>
                          <pic:cNvPr id="99" name="AutoShape_595_SpCnt_24"/>
                          <pic:cNvPicPr/>
                        </pic:nvPicPr>
                        <pic:blipFill>
                          <a:blip r:embed="rId28"/>
                          <a:stretch>
                            <a:fillRect/>
                          </a:stretch>
                        </pic:blipFill>
                        <pic:spPr>
                          <a:xfrm>
                            <a:off x="0" y="0"/>
                            <a:ext cx="304800" cy="30416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0640" behindDoc="0" locked="0" layoutInCell="1" allowOverlap="1">
                  <wp:simplePos x="0" y="0"/>
                  <wp:positionH relativeFrom="column">
                    <wp:posOffset>0</wp:posOffset>
                  </wp:positionH>
                  <wp:positionV relativeFrom="paragraph">
                    <wp:posOffset>0</wp:posOffset>
                  </wp:positionV>
                  <wp:extent cx="303530" cy="309880"/>
                  <wp:effectExtent l="0" t="0" r="0" b="0"/>
                  <wp:wrapNone/>
                  <wp:docPr id="100" name="AutoShape_595_SpCnt_25"/>
                  <wp:cNvGraphicFramePr/>
                  <a:graphic xmlns:a="http://schemas.openxmlformats.org/drawingml/2006/main">
                    <a:graphicData uri="http://schemas.openxmlformats.org/drawingml/2006/picture">
                      <pic:pic xmlns:pic="http://schemas.openxmlformats.org/drawingml/2006/picture">
                        <pic:nvPicPr>
                          <pic:cNvPr id="100" name="AutoShape_595_SpCnt_25"/>
                          <pic:cNvPicPr/>
                        </pic:nvPicPr>
                        <pic:blipFill>
                          <a:blip r:embed="rId38"/>
                          <a:stretch>
                            <a:fillRect/>
                          </a:stretch>
                        </pic:blipFill>
                        <pic:spPr>
                          <a:xfrm>
                            <a:off x="0" y="0"/>
                            <a:ext cx="30353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1664" behindDoc="0" locked="0" layoutInCell="1" allowOverlap="1">
                  <wp:simplePos x="0" y="0"/>
                  <wp:positionH relativeFrom="column">
                    <wp:posOffset>0</wp:posOffset>
                  </wp:positionH>
                  <wp:positionV relativeFrom="paragraph">
                    <wp:posOffset>0</wp:posOffset>
                  </wp:positionV>
                  <wp:extent cx="304800" cy="309880"/>
                  <wp:effectExtent l="0" t="0" r="0" b="0"/>
                  <wp:wrapNone/>
                  <wp:docPr id="101" name="AutoShape_595_SpCnt_26"/>
                  <wp:cNvGraphicFramePr/>
                  <a:graphic xmlns:a="http://schemas.openxmlformats.org/drawingml/2006/main">
                    <a:graphicData uri="http://schemas.openxmlformats.org/drawingml/2006/picture">
                      <pic:pic xmlns:pic="http://schemas.openxmlformats.org/drawingml/2006/picture">
                        <pic:nvPicPr>
                          <pic:cNvPr id="101" name="AutoShape_595_SpCnt_26"/>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2688" behindDoc="0" locked="0" layoutInCell="1" allowOverlap="1">
                  <wp:simplePos x="0" y="0"/>
                  <wp:positionH relativeFrom="column">
                    <wp:posOffset>0</wp:posOffset>
                  </wp:positionH>
                  <wp:positionV relativeFrom="paragraph">
                    <wp:posOffset>0</wp:posOffset>
                  </wp:positionV>
                  <wp:extent cx="304800" cy="316230"/>
                  <wp:effectExtent l="0" t="0" r="0" b="0"/>
                  <wp:wrapNone/>
                  <wp:docPr id="102" name="AutoShape_595_SpCnt_27"/>
                  <wp:cNvGraphicFramePr/>
                  <a:graphic xmlns:a="http://schemas.openxmlformats.org/drawingml/2006/main">
                    <a:graphicData uri="http://schemas.openxmlformats.org/drawingml/2006/picture">
                      <pic:pic xmlns:pic="http://schemas.openxmlformats.org/drawingml/2006/picture">
                        <pic:nvPicPr>
                          <pic:cNvPr id="102" name="AutoShape_595_SpCnt_27"/>
                          <pic:cNvPicPr/>
                        </pic:nvPicPr>
                        <pic:blipFill>
                          <a:blip r:embed="rId38"/>
                          <a:stretch>
                            <a:fillRect/>
                          </a:stretch>
                        </pic:blipFill>
                        <pic:spPr>
                          <a:xfrm>
                            <a:off x="0" y="0"/>
                            <a:ext cx="304800" cy="31623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3712" behindDoc="0" locked="0" layoutInCell="1" allowOverlap="1">
                  <wp:simplePos x="0" y="0"/>
                  <wp:positionH relativeFrom="column">
                    <wp:posOffset>0</wp:posOffset>
                  </wp:positionH>
                  <wp:positionV relativeFrom="paragraph">
                    <wp:posOffset>0</wp:posOffset>
                  </wp:positionV>
                  <wp:extent cx="304800" cy="309880"/>
                  <wp:effectExtent l="0" t="0" r="0" b="0"/>
                  <wp:wrapNone/>
                  <wp:docPr id="103" name="AutoShape_593_SpCnt_23"/>
                  <wp:cNvGraphicFramePr/>
                  <a:graphic xmlns:a="http://schemas.openxmlformats.org/drawingml/2006/main">
                    <a:graphicData uri="http://schemas.openxmlformats.org/drawingml/2006/picture">
                      <pic:pic xmlns:pic="http://schemas.openxmlformats.org/drawingml/2006/picture">
                        <pic:nvPicPr>
                          <pic:cNvPr id="103" name="AutoShape_593_SpCnt_23"/>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4736" behindDoc="0" locked="0" layoutInCell="1" allowOverlap="1">
                  <wp:simplePos x="0" y="0"/>
                  <wp:positionH relativeFrom="column">
                    <wp:posOffset>0</wp:posOffset>
                  </wp:positionH>
                  <wp:positionV relativeFrom="paragraph">
                    <wp:posOffset>0</wp:posOffset>
                  </wp:positionV>
                  <wp:extent cx="304800" cy="316230"/>
                  <wp:effectExtent l="0" t="0" r="0" b="0"/>
                  <wp:wrapNone/>
                  <wp:docPr id="104" name="AutoShape_593_SpCnt_24"/>
                  <wp:cNvGraphicFramePr/>
                  <a:graphic xmlns:a="http://schemas.openxmlformats.org/drawingml/2006/main">
                    <a:graphicData uri="http://schemas.openxmlformats.org/drawingml/2006/picture">
                      <pic:pic xmlns:pic="http://schemas.openxmlformats.org/drawingml/2006/picture">
                        <pic:nvPicPr>
                          <pic:cNvPr id="104" name="AutoShape_593_SpCnt_24"/>
                          <pic:cNvPicPr/>
                        </pic:nvPicPr>
                        <pic:blipFill>
                          <a:blip r:embed="rId38"/>
                          <a:stretch>
                            <a:fillRect/>
                          </a:stretch>
                        </pic:blipFill>
                        <pic:spPr>
                          <a:xfrm>
                            <a:off x="0" y="0"/>
                            <a:ext cx="304800" cy="31623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5760" behindDoc="0" locked="0" layoutInCell="1" allowOverlap="1">
                  <wp:simplePos x="0" y="0"/>
                  <wp:positionH relativeFrom="column">
                    <wp:posOffset>0</wp:posOffset>
                  </wp:positionH>
                  <wp:positionV relativeFrom="paragraph">
                    <wp:posOffset>0</wp:posOffset>
                  </wp:positionV>
                  <wp:extent cx="304800" cy="316230"/>
                  <wp:effectExtent l="0" t="0" r="0" b="0"/>
                  <wp:wrapNone/>
                  <wp:docPr id="105" name="AutoShape_595_SpCnt_28"/>
                  <wp:cNvGraphicFramePr/>
                  <a:graphic xmlns:a="http://schemas.openxmlformats.org/drawingml/2006/main">
                    <a:graphicData uri="http://schemas.openxmlformats.org/drawingml/2006/picture">
                      <pic:pic xmlns:pic="http://schemas.openxmlformats.org/drawingml/2006/picture">
                        <pic:nvPicPr>
                          <pic:cNvPr id="105" name="AutoShape_595_SpCnt_28"/>
                          <pic:cNvPicPr/>
                        </pic:nvPicPr>
                        <pic:blipFill>
                          <a:blip r:embed="rId38"/>
                          <a:stretch>
                            <a:fillRect/>
                          </a:stretch>
                        </pic:blipFill>
                        <pic:spPr>
                          <a:xfrm>
                            <a:off x="0" y="0"/>
                            <a:ext cx="304800" cy="31623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6784" behindDoc="0" locked="0" layoutInCell="1" allowOverlap="1">
                  <wp:simplePos x="0" y="0"/>
                  <wp:positionH relativeFrom="column">
                    <wp:posOffset>0</wp:posOffset>
                  </wp:positionH>
                  <wp:positionV relativeFrom="paragraph">
                    <wp:posOffset>0</wp:posOffset>
                  </wp:positionV>
                  <wp:extent cx="304800" cy="309880"/>
                  <wp:effectExtent l="0" t="0" r="0" b="0"/>
                  <wp:wrapNone/>
                  <wp:docPr id="106" name="AutoShape_593_SpCnt_25"/>
                  <wp:cNvGraphicFramePr/>
                  <a:graphic xmlns:a="http://schemas.openxmlformats.org/drawingml/2006/main">
                    <a:graphicData uri="http://schemas.openxmlformats.org/drawingml/2006/picture">
                      <pic:pic xmlns:pic="http://schemas.openxmlformats.org/drawingml/2006/picture">
                        <pic:nvPicPr>
                          <pic:cNvPr id="106" name="AutoShape_593_SpCnt_25"/>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7808" behindDoc="0" locked="0" layoutInCell="1" allowOverlap="1">
                  <wp:simplePos x="0" y="0"/>
                  <wp:positionH relativeFrom="column">
                    <wp:posOffset>0</wp:posOffset>
                  </wp:positionH>
                  <wp:positionV relativeFrom="paragraph">
                    <wp:posOffset>0</wp:posOffset>
                  </wp:positionV>
                  <wp:extent cx="304800" cy="309880"/>
                  <wp:effectExtent l="0" t="0" r="0" b="0"/>
                  <wp:wrapNone/>
                  <wp:docPr id="107" name="AutoShape_593_SpCnt_26"/>
                  <wp:cNvGraphicFramePr/>
                  <a:graphic xmlns:a="http://schemas.openxmlformats.org/drawingml/2006/main">
                    <a:graphicData uri="http://schemas.openxmlformats.org/drawingml/2006/picture">
                      <pic:pic xmlns:pic="http://schemas.openxmlformats.org/drawingml/2006/picture">
                        <pic:nvPicPr>
                          <pic:cNvPr id="107" name="AutoShape_593_SpCnt_26"/>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8832" behindDoc="0" locked="0" layoutInCell="1" allowOverlap="1">
                  <wp:simplePos x="0" y="0"/>
                  <wp:positionH relativeFrom="column">
                    <wp:posOffset>0</wp:posOffset>
                  </wp:positionH>
                  <wp:positionV relativeFrom="paragraph">
                    <wp:posOffset>0</wp:posOffset>
                  </wp:positionV>
                  <wp:extent cx="304800" cy="309880"/>
                  <wp:effectExtent l="0" t="0" r="0" b="0"/>
                  <wp:wrapNone/>
                  <wp:docPr id="108" name="AutoShape_595_SpCnt_29"/>
                  <wp:cNvGraphicFramePr/>
                  <a:graphic xmlns:a="http://schemas.openxmlformats.org/drawingml/2006/main">
                    <a:graphicData uri="http://schemas.openxmlformats.org/drawingml/2006/picture">
                      <pic:pic xmlns:pic="http://schemas.openxmlformats.org/drawingml/2006/picture">
                        <pic:nvPicPr>
                          <pic:cNvPr id="108" name="AutoShape_595_SpCnt_29"/>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69856" behindDoc="0" locked="0" layoutInCell="1" allowOverlap="1">
                  <wp:simplePos x="0" y="0"/>
                  <wp:positionH relativeFrom="column">
                    <wp:posOffset>0</wp:posOffset>
                  </wp:positionH>
                  <wp:positionV relativeFrom="paragraph">
                    <wp:posOffset>0</wp:posOffset>
                  </wp:positionV>
                  <wp:extent cx="304800" cy="309880"/>
                  <wp:effectExtent l="0" t="0" r="0" b="0"/>
                  <wp:wrapNone/>
                  <wp:docPr id="109" name="AutoShape_593_SpCnt_27"/>
                  <wp:cNvGraphicFramePr/>
                  <a:graphic xmlns:a="http://schemas.openxmlformats.org/drawingml/2006/main">
                    <a:graphicData uri="http://schemas.openxmlformats.org/drawingml/2006/picture">
                      <pic:pic xmlns:pic="http://schemas.openxmlformats.org/drawingml/2006/picture">
                        <pic:nvPicPr>
                          <pic:cNvPr id="109" name="AutoShape_593_SpCnt_27"/>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70880" behindDoc="0" locked="0" layoutInCell="1" allowOverlap="1">
                  <wp:simplePos x="0" y="0"/>
                  <wp:positionH relativeFrom="column">
                    <wp:posOffset>0</wp:posOffset>
                  </wp:positionH>
                  <wp:positionV relativeFrom="paragraph">
                    <wp:posOffset>0</wp:posOffset>
                  </wp:positionV>
                  <wp:extent cx="305435" cy="304165"/>
                  <wp:effectExtent l="0" t="0" r="0" b="0"/>
                  <wp:wrapNone/>
                  <wp:docPr id="110" name="AutoShape_593_SpCnt_28"/>
                  <wp:cNvGraphicFramePr/>
                  <a:graphic xmlns:a="http://schemas.openxmlformats.org/drawingml/2006/main">
                    <a:graphicData uri="http://schemas.openxmlformats.org/drawingml/2006/picture">
                      <pic:pic xmlns:pic="http://schemas.openxmlformats.org/drawingml/2006/picture">
                        <pic:nvPicPr>
                          <pic:cNvPr id="110" name="AutoShape_593_SpCnt_28"/>
                          <pic:cNvPicPr/>
                        </pic:nvPicPr>
                        <pic:blipFill>
                          <a:blip r:embed="rId29"/>
                          <a:stretch>
                            <a:fillRect/>
                          </a:stretch>
                        </pic:blipFill>
                        <pic:spPr>
                          <a:xfrm>
                            <a:off x="0" y="0"/>
                            <a:ext cx="305435" cy="30416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71904" behindDoc="0" locked="0" layoutInCell="1" allowOverlap="1">
                  <wp:simplePos x="0" y="0"/>
                  <wp:positionH relativeFrom="column">
                    <wp:posOffset>0</wp:posOffset>
                  </wp:positionH>
                  <wp:positionV relativeFrom="paragraph">
                    <wp:posOffset>0</wp:posOffset>
                  </wp:positionV>
                  <wp:extent cx="304800" cy="316230"/>
                  <wp:effectExtent l="0" t="0" r="0" b="0"/>
                  <wp:wrapNone/>
                  <wp:docPr id="111" name="AutoShape_593_SpCnt_29"/>
                  <wp:cNvGraphicFramePr/>
                  <a:graphic xmlns:a="http://schemas.openxmlformats.org/drawingml/2006/main">
                    <a:graphicData uri="http://schemas.openxmlformats.org/drawingml/2006/picture">
                      <pic:pic xmlns:pic="http://schemas.openxmlformats.org/drawingml/2006/picture">
                        <pic:nvPicPr>
                          <pic:cNvPr id="111" name="AutoShape_593_SpCnt_29"/>
                          <pic:cNvPicPr/>
                        </pic:nvPicPr>
                        <pic:blipFill>
                          <a:blip r:embed="rId38"/>
                          <a:stretch>
                            <a:fillRect/>
                          </a:stretch>
                        </pic:blipFill>
                        <pic:spPr>
                          <a:xfrm>
                            <a:off x="0" y="0"/>
                            <a:ext cx="304800" cy="31623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72928" behindDoc="0" locked="0" layoutInCell="1" allowOverlap="1">
                  <wp:simplePos x="0" y="0"/>
                  <wp:positionH relativeFrom="column">
                    <wp:posOffset>0</wp:posOffset>
                  </wp:positionH>
                  <wp:positionV relativeFrom="paragraph">
                    <wp:posOffset>0</wp:posOffset>
                  </wp:positionV>
                  <wp:extent cx="304800" cy="309880"/>
                  <wp:effectExtent l="0" t="0" r="0" b="0"/>
                  <wp:wrapNone/>
                  <wp:docPr id="112" name="AutoShape_595_SpCnt_30"/>
                  <wp:cNvGraphicFramePr/>
                  <a:graphic xmlns:a="http://schemas.openxmlformats.org/drawingml/2006/main">
                    <a:graphicData uri="http://schemas.openxmlformats.org/drawingml/2006/picture">
                      <pic:pic xmlns:pic="http://schemas.openxmlformats.org/drawingml/2006/picture">
                        <pic:nvPicPr>
                          <pic:cNvPr id="112" name="AutoShape_595_SpCnt_30"/>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73952" behindDoc="0" locked="0" layoutInCell="1" allowOverlap="1">
                  <wp:simplePos x="0" y="0"/>
                  <wp:positionH relativeFrom="column">
                    <wp:posOffset>0</wp:posOffset>
                  </wp:positionH>
                  <wp:positionV relativeFrom="paragraph">
                    <wp:posOffset>0</wp:posOffset>
                  </wp:positionV>
                  <wp:extent cx="304800" cy="316230"/>
                  <wp:effectExtent l="0" t="0" r="0" b="0"/>
                  <wp:wrapNone/>
                  <wp:docPr id="113" name="AutoShape_595_SpCnt_31"/>
                  <wp:cNvGraphicFramePr/>
                  <a:graphic xmlns:a="http://schemas.openxmlformats.org/drawingml/2006/main">
                    <a:graphicData uri="http://schemas.openxmlformats.org/drawingml/2006/picture">
                      <pic:pic xmlns:pic="http://schemas.openxmlformats.org/drawingml/2006/picture">
                        <pic:nvPicPr>
                          <pic:cNvPr id="113" name="AutoShape_595_SpCnt_31"/>
                          <pic:cNvPicPr/>
                        </pic:nvPicPr>
                        <pic:blipFill>
                          <a:blip r:embed="rId38"/>
                          <a:stretch>
                            <a:fillRect/>
                          </a:stretch>
                        </pic:blipFill>
                        <pic:spPr>
                          <a:xfrm>
                            <a:off x="0" y="0"/>
                            <a:ext cx="304800" cy="31623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74976" behindDoc="0" locked="0" layoutInCell="1" allowOverlap="1">
                  <wp:simplePos x="0" y="0"/>
                  <wp:positionH relativeFrom="column">
                    <wp:posOffset>0</wp:posOffset>
                  </wp:positionH>
                  <wp:positionV relativeFrom="paragraph">
                    <wp:posOffset>0</wp:posOffset>
                  </wp:positionV>
                  <wp:extent cx="304800" cy="309880"/>
                  <wp:effectExtent l="0" t="0" r="0" b="0"/>
                  <wp:wrapNone/>
                  <wp:docPr id="114" name="AutoShape_595_SpCnt_32"/>
                  <wp:cNvGraphicFramePr/>
                  <a:graphic xmlns:a="http://schemas.openxmlformats.org/drawingml/2006/main">
                    <a:graphicData uri="http://schemas.openxmlformats.org/drawingml/2006/picture">
                      <pic:pic xmlns:pic="http://schemas.openxmlformats.org/drawingml/2006/picture">
                        <pic:nvPicPr>
                          <pic:cNvPr id="114" name="AutoShape_595_SpCnt_32"/>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76000" behindDoc="0" locked="0" layoutInCell="1" allowOverlap="1">
                  <wp:simplePos x="0" y="0"/>
                  <wp:positionH relativeFrom="column">
                    <wp:posOffset>0</wp:posOffset>
                  </wp:positionH>
                  <wp:positionV relativeFrom="paragraph">
                    <wp:posOffset>0</wp:posOffset>
                  </wp:positionV>
                  <wp:extent cx="304800" cy="309880"/>
                  <wp:effectExtent l="0" t="0" r="0" b="0"/>
                  <wp:wrapNone/>
                  <wp:docPr id="115" name="AutoShape_595_SpCnt_33"/>
                  <wp:cNvGraphicFramePr/>
                  <a:graphic xmlns:a="http://schemas.openxmlformats.org/drawingml/2006/main">
                    <a:graphicData uri="http://schemas.openxmlformats.org/drawingml/2006/picture">
                      <pic:pic xmlns:pic="http://schemas.openxmlformats.org/drawingml/2006/picture">
                        <pic:nvPicPr>
                          <pic:cNvPr id="115" name="AutoShape_595_SpCnt_33"/>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77024" behindDoc="0" locked="0" layoutInCell="1" allowOverlap="1">
                  <wp:simplePos x="0" y="0"/>
                  <wp:positionH relativeFrom="column">
                    <wp:posOffset>0</wp:posOffset>
                  </wp:positionH>
                  <wp:positionV relativeFrom="paragraph">
                    <wp:posOffset>0</wp:posOffset>
                  </wp:positionV>
                  <wp:extent cx="304800" cy="304165"/>
                  <wp:effectExtent l="0" t="0" r="0" b="0"/>
                  <wp:wrapNone/>
                  <wp:docPr id="116" name="AutoShape_593_SpCnt_30"/>
                  <wp:cNvGraphicFramePr/>
                  <a:graphic xmlns:a="http://schemas.openxmlformats.org/drawingml/2006/main">
                    <a:graphicData uri="http://schemas.openxmlformats.org/drawingml/2006/picture">
                      <pic:pic xmlns:pic="http://schemas.openxmlformats.org/drawingml/2006/picture">
                        <pic:nvPicPr>
                          <pic:cNvPr id="116" name="AutoShape_593_SpCnt_30"/>
                          <pic:cNvPicPr/>
                        </pic:nvPicPr>
                        <pic:blipFill>
                          <a:blip r:embed="rId28"/>
                          <a:stretch>
                            <a:fillRect/>
                          </a:stretch>
                        </pic:blipFill>
                        <pic:spPr>
                          <a:xfrm>
                            <a:off x="0" y="0"/>
                            <a:ext cx="304800" cy="304165"/>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78048" behindDoc="0" locked="0" layoutInCell="1" allowOverlap="1">
                  <wp:simplePos x="0" y="0"/>
                  <wp:positionH relativeFrom="column">
                    <wp:posOffset>0</wp:posOffset>
                  </wp:positionH>
                  <wp:positionV relativeFrom="paragraph">
                    <wp:posOffset>0</wp:posOffset>
                  </wp:positionV>
                  <wp:extent cx="304800" cy="309880"/>
                  <wp:effectExtent l="0" t="0" r="0" b="0"/>
                  <wp:wrapNone/>
                  <wp:docPr id="117" name="AutoShape_593_SpCnt_31"/>
                  <wp:cNvGraphicFramePr/>
                  <a:graphic xmlns:a="http://schemas.openxmlformats.org/drawingml/2006/main">
                    <a:graphicData uri="http://schemas.openxmlformats.org/drawingml/2006/picture">
                      <pic:pic xmlns:pic="http://schemas.openxmlformats.org/drawingml/2006/picture">
                        <pic:nvPicPr>
                          <pic:cNvPr id="117" name="AutoShape_593_SpCnt_31"/>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79072" behindDoc="0" locked="0" layoutInCell="1" allowOverlap="1">
                  <wp:simplePos x="0" y="0"/>
                  <wp:positionH relativeFrom="column">
                    <wp:posOffset>0</wp:posOffset>
                  </wp:positionH>
                  <wp:positionV relativeFrom="paragraph">
                    <wp:posOffset>0</wp:posOffset>
                  </wp:positionV>
                  <wp:extent cx="304800" cy="309880"/>
                  <wp:effectExtent l="0" t="0" r="0" b="0"/>
                  <wp:wrapNone/>
                  <wp:docPr id="118" name="AutoShape_595_SpCnt_34"/>
                  <wp:cNvGraphicFramePr/>
                  <a:graphic xmlns:a="http://schemas.openxmlformats.org/drawingml/2006/main">
                    <a:graphicData uri="http://schemas.openxmlformats.org/drawingml/2006/picture">
                      <pic:pic xmlns:pic="http://schemas.openxmlformats.org/drawingml/2006/picture">
                        <pic:nvPicPr>
                          <pic:cNvPr id="118" name="AutoShape_595_SpCnt_34"/>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80096" behindDoc="0" locked="0" layoutInCell="1" allowOverlap="1">
                  <wp:simplePos x="0" y="0"/>
                  <wp:positionH relativeFrom="column">
                    <wp:posOffset>0</wp:posOffset>
                  </wp:positionH>
                  <wp:positionV relativeFrom="paragraph">
                    <wp:posOffset>0</wp:posOffset>
                  </wp:positionV>
                  <wp:extent cx="304800" cy="309880"/>
                  <wp:effectExtent l="0" t="0" r="0" b="0"/>
                  <wp:wrapNone/>
                  <wp:docPr id="119" name="AutoShape_593_SpCnt_32"/>
                  <wp:cNvGraphicFramePr/>
                  <a:graphic xmlns:a="http://schemas.openxmlformats.org/drawingml/2006/main">
                    <a:graphicData uri="http://schemas.openxmlformats.org/drawingml/2006/picture">
                      <pic:pic xmlns:pic="http://schemas.openxmlformats.org/drawingml/2006/picture">
                        <pic:nvPicPr>
                          <pic:cNvPr id="119" name="AutoShape_593_SpCnt_32"/>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81120" behindDoc="0" locked="0" layoutInCell="1" allowOverlap="1">
                  <wp:simplePos x="0" y="0"/>
                  <wp:positionH relativeFrom="column">
                    <wp:posOffset>0</wp:posOffset>
                  </wp:positionH>
                  <wp:positionV relativeFrom="paragraph">
                    <wp:posOffset>0</wp:posOffset>
                  </wp:positionV>
                  <wp:extent cx="304800" cy="309880"/>
                  <wp:effectExtent l="0" t="0" r="0" b="0"/>
                  <wp:wrapNone/>
                  <wp:docPr id="120" name="AutoShape_595_SpCnt_35"/>
                  <wp:cNvGraphicFramePr/>
                  <a:graphic xmlns:a="http://schemas.openxmlformats.org/drawingml/2006/main">
                    <a:graphicData uri="http://schemas.openxmlformats.org/drawingml/2006/picture">
                      <pic:pic xmlns:pic="http://schemas.openxmlformats.org/drawingml/2006/picture">
                        <pic:nvPicPr>
                          <pic:cNvPr id="120" name="AutoShape_595_SpCnt_35"/>
                          <pic:cNvPicPr/>
                        </pic:nvPicPr>
                        <pic:blipFill>
                          <a:blip r:embed="rId38"/>
                          <a:stretch>
                            <a:fillRect/>
                          </a:stretch>
                        </pic:blipFill>
                        <pic:spPr>
                          <a:xfrm>
                            <a:off x="0" y="0"/>
                            <a:ext cx="304800" cy="30988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82144" behindDoc="0" locked="0" layoutInCell="1" allowOverlap="1">
                  <wp:simplePos x="0" y="0"/>
                  <wp:positionH relativeFrom="column">
                    <wp:posOffset>0</wp:posOffset>
                  </wp:positionH>
                  <wp:positionV relativeFrom="paragraph">
                    <wp:posOffset>0</wp:posOffset>
                  </wp:positionV>
                  <wp:extent cx="304800" cy="309880"/>
                  <wp:effectExtent l="0" t="0" r="0" b="0"/>
                  <wp:wrapNone/>
                  <wp:docPr id="121" name="AutoShape_593_SpCnt_33"/>
                  <wp:cNvGraphicFramePr/>
                  <a:graphic xmlns:a="http://schemas.openxmlformats.org/drawingml/2006/main">
                    <a:graphicData uri="http://schemas.openxmlformats.org/drawingml/2006/picture">
                      <pic:pic xmlns:pic="http://schemas.openxmlformats.org/drawingml/2006/picture">
                        <pic:nvPicPr>
                          <pic:cNvPr id="121" name="AutoShape_593_SpCnt_33"/>
                          <pic:cNvPicPr/>
                        </pic:nvPicPr>
                        <pic:blipFill>
                          <a:blip r:embed="rId38"/>
                          <a:stretch>
                            <a:fillRect/>
                          </a:stretch>
                        </pic:blipFill>
                        <pic:spPr>
                          <a:xfrm>
                            <a:off x="0" y="0"/>
                            <a:ext cx="304800" cy="30988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防火阀</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配作</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优质镀锌板制,150°熔点</w:t>
            </w:r>
          </w:p>
        </w:tc>
        <w:tc>
          <w:tcPr>
            <w:tcW w:w="975" w:type="dxa"/>
            <w:tcBorders>
              <w:top w:val="nil"/>
              <w:left w:val="nil"/>
              <w:bottom w:val="nil"/>
              <w:right w:val="nil"/>
            </w:tcBorders>
            <w:shd w:val="clear" w:color="auto" w:fill="auto"/>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攀峰、东海、欣辉</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83168" behindDoc="0" locked="0" layoutInCell="1" allowOverlap="1">
                  <wp:simplePos x="0" y="0"/>
                  <wp:positionH relativeFrom="column">
                    <wp:posOffset>306070</wp:posOffset>
                  </wp:positionH>
                  <wp:positionV relativeFrom="paragraph">
                    <wp:posOffset>47625</wp:posOffset>
                  </wp:positionV>
                  <wp:extent cx="314325" cy="200660"/>
                  <wp:effectExtent l="0" t="0" r="3175" b="2540"/>
                  <wp:wrapNone/>
                  <wp:docPr id="122" name="图片_2014"/>
                  <wp:cNvGraphicFramePr/>
                  <a:graphic xmlns:a="http://schemas.openxmlformats.org/drawingml/2006/main">
                    <a:graphicData uri="http://schemas.openxmlformats.org/drawingml/2006/picture">
                      <pic:pic xmlns:pic="http://schemas.openxmlformats.org/drawingml/2006/picture">
                        <pic:nvPicPr>
                          <pic:cNvPr id="122" name="图片_2014"/>
                          <pic:cNvPicPr/>
                        </pic:nvPicPr>
                        <pic:blipFill>
                          <a:blip r:embed="rId67"/>
                          <a:stretch>
                            <a:fillRect/>
                          </a:stretch>
                        </pic:blipFill>
                        <pic:spPr>
                          <a:xfrm>
                            <a:off x="0" y="0"/>
                            <a:ext cx="314325" cy="20066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外法兰（付）</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配作</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镀锌30*30角钢焊接而成；</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付</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84192" behindDoc="0" locked="0" layoutInCell="1" allowOverlap="1">
                  <wp:simplePos x="0" y="0"/>
                  <wp:positionH relativeFrom="column">
                    <wp:posOffset>288925</wp:posOffset>
                  </wp:positionH>
                  <wp:positionV relativeFrom="paragraph">
                    <wp:posOffset>27940</wp:posOffset>
                  </wp:positionV>
                  <wp:extent cx="352425" cy="237490"/>
                  <wp:effectExtent l="0" t="0" r="3175" b="3810"/>
                  <wp:wrapNone/>
                  <wp:docPr id="123" name="图片_1044"/>
                  <wp:cNvGraphicFramePr/>
                  <a:graphic xmlns:a="http://schemas.openxmlformats.org/drawingml/2006/main">
                    <a:graphicData uri="http://schemas.openxmlformats.org/drawingml/2006/picture">
                      <pic:pic xmlns:pic="http://schemas.openxmlformats.org/drawingml/2006/picture">
                        <pic:nvPicPr>
                          <pic:cNvPr id="123" name="图片_1044"/>
                          <pic:cNvPicPr/>
                        </pic:nvPicPr>
                        <pic:blipFill>
                          <a:blip r:embed="rId68"/>
                          <a:stretch>
                            <a:fillRect/>
                          </a:stretch>
                        </pic:blipFill>
                        <pic:spPr>
                          <a:xfrm>
                            <a:off x="0" y="0"/>
                            <a:ext cx="352425" cy="23749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风管支架</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配作</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采用40*40镀锌角铁制作；</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85216" behindDoc="0" locked="0" layoutInCell="1" allowOverlap="1">
                  <wp:simplePos x="0" y="0"/>
                  <wp:positionH relativeFrom="column">
                    <wp:posOffset>372110</wp:posOffset>
                  </wp:positionH>
                  <wp:positionV relativeFrom="paragraph">
                    <wp:posOffset>104775</wp:posOffset>
                  </wp:positionV>
                  <wp:extent cx="186690" cy="168910"/>
                  <wp:effectExtent l="0" t="0" r="3810" b="8890"/>
                  <wp:wrapNone/>
                  <wp:docPr id="124" name="Picture_533"/>
                  <wp:cNvGraphicFramePr/>
                  <a:graphic xmlns:a="http://schemas.openxmlformats.org/drawingml/2006/main">
                    <a:graphicData uri="http://schemas.openxmlformats.org/drawingml/2006/picture">
                      <pic:pic xmlns:pic="http://schemas.openxmlformats.org/drawingml/2006/picture">
                        <pic:nvPicPr>
                          <pic:cNvPr id="124" name="Picture_533"/>
                          <pic:cNvPicPr/>
                        </pic:nvPicPr>
                        <pic:blipFill>
                          <a:blip r:embed="rId69"/>
                          <a:stretch>
                            <a:fillRect/>
                          </a:stretch>
                        </pic:blipFill>
                        <pic:spPr>
                          <a:xfrm>
                            <a:off x="0" y="0"/>
                            <a:ext cx="186690" cy="16891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风柜软接</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配作</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陶瓷布制作（用于风柜连接）</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86240" behindDoc="0" locked="0" layoutInCell="1" allowOverlap="1">
                  <wp:simplePos x="0" y="0"/>
                  <wp:positionH relativeFrom="column">
                    <wp:posOffset>366395</wp:posOffset>
                  </wp:positionH>
                  <wp:positionV relativeFrom="paragraph">
                    <wp:posOffset>28575</wp:posOffset>
                  </wp:positionV>
                  <wp:extent cx="262890" cy="276860"/>
                  <wp:effectExtent l="0" t="0" r="3810" b="2540"/>
                  <wp:wrapNone/>
                  <wp:docPr id="125" name="图片_15"/>
                  <wp:cNvGraphicFramePr/>
                  <a:graphic xmlns:a="http://schemas.openxmlformats.org/drawingml/2006/main">
                    <a:graphicData uri="http://schemas.openxmlformats.org/drawingml/2006/picture">
                      <pic:pic xmlns:pic="http://schemas.openxmlformats.org/drawingml/2006/picture">
                        <pic:nvPicPr>
                          <pic:cNvPr id="125" name="图片_15"/>
                          <pic:cNvPicPr/>
                        </pic:nvPicPr>
                        <pic:blipFill>
                          <a:blip r:embed="rId70"/>
                          <a:stretch>
                            <a:fillRect/>
                          </a:stretch>
                        </pic:blipFill>
                        <pic:spPr>
                          <a:xfrm>
                            <a:off x="0" y="0"/>
                            <a:ext cx="262890" cy="27686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1"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双层静音风柜</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29377-33447风量</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采用优质碳钢板烤漆一次性拉伸折边成型为可拆装结构；                                                                                                       该风机箱体采用双吸式蜗壳吸风钢架柜式结构，多翼式风轮；100%纯铜线电动机；                                                                                 电量：380V，11KW；                                                                                                                                   进出电源线业主水电施工方负责；</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攀峰、日进、七星</w:t>
            </w:r>
          </w:p>
        </w:tc>
        <w:tc>
          <w:tcPr>
            <w:tcW w:w="70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87264" behindDoc="0" locked="0" layoutInCell="1" allowOverlap="1">
                  <wp:simplePos x="0" y="0"/>
                  <wp:positionH relativeFrom="column">
                    <wp:posOffset>160655</wp:posOffset>
                  </wp:positionH>
                  <wp:positionV relativeFrom="paragraph">
                    <wp:posOffset>243205</wp:posOffset>
                  </wp:positionV>
                  <wp:extent cx="725805" cy="875030"/>
                  <wp:effectExtent l="0" t="0" r="10795" b="1270"/>
                  <wp:wrapNone/>
                  <wp:docPr id="126" name="图片_16"/>
                  <wp:cNvGraphicFramePr/>
                  <a:graphic xmlns:a="http://schemas.openxmlformats.org/drawingml/2006/main">
                    <a:graphicData uri="http://schemas.openxmlformats.org/drawingml/2006/picture">
                      <pic:pic xmlns:pic="http://schemas.openxmlformats.org/drawingml/2006/picture">
                        <pic:nvPicPr>
                          <pic:cNvPr id="126" name="图片_16"/>
                          <pic:cNvPicPr/>
                        </pic:nvPicPr>
                        <pic:blipFill>
                          <a:blip r:embed="rId71"/>
                          <a:stretch>
                            <a:fillRect/>
                          </a:stretch>
                        </pic:blipFill>
                        <pic:spPr>
                          <a:xfrm>
                            <a:off x="0" y="0"/>
                            <a:ext cx="725805" cy="87503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6"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1140" w:type="dxa"/>
            <w:tcBorders>
              <w:top w:val="nil"/>
              <w:left w:val="nil"/>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油烟净化器</w:t>
            </w:r>
          </w:p>
        </w:tc>
        <w:tc>
          <w:tcPr>
            <w:tcW w:w="1290" w:type="dxa"/>
            <w:tcBorders>
              <w:top w:val="nil"/>
              <w:left w:val="nil"/>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25000风量</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外壳采用201不锈钢板制作；静电型，利用在被强化的高压电场中发射出来的电子，以及由电子碰撞空气分子而产生的离子来捕捉废气粒子，使粒子带电，再利用电子加速原理，使带电粒子加速向阳极运动直至被吸附；通过降解达到高效率废气清除的目的，具有中国环境保护产品认证证书；                                     </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功率：0.2-2KW/220V</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永嘉、日进、科蓝</w:t>
            </w:r>
          </w:p>
        </w:tc>
        <w:tc>
          <w:tcPr>
            <w:tcW w:w="70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88288" behindDoc="0" locked="0" layoutInCell="1" allowOverlap="1">
                  <wp:simplePos x="0" y="0"/>
                  <wp:positionH relativeFrom="column">
                    <wp:posOffset>71755</wp:posOffset>
                  </wp:positionH>
                  <wp:positionV relativeFrom="paragraph">
                    <wp:posOffset>441960</wp:posOffset>
                  </wp:positionV>
                  <wp:extent cx="762635" cy="692785"/>
                  <wp:effectExtent l="0" t="0" r="12065" b="5715"/>
                  <wp:wrapNone/>
                  <wp:docPr id="127" name="图片_7_SpCnt_1"/>
                  <wp:cNvGraphicFramePr/>
                  <a:graphic xmlns:a="http://schemas.openxmlformats.org/drawingml/2006/main">
                    <a:graphicData uri="http://schemas.openxmlformats.org/drawingml/2006/picture">
                      <pic:pic xmlns:pic="http://schemas.openxmlformats.org/drawingml/2006/picture">
                        <pic:nvPicPr>
                          <pic:cNvPr id="127" name="图片_7_SpCnt_1"/>
                          <pic:cNvPicPr/>
                        </pic:nvPicPr>
                        <pic:blipFill>
                          <a:blip r:embed="rId72"/>
                          <a:stretch>
                            <a:fillRect/>
                          </a:stretch>
                        </pic:blipFill>
                        <pic:spPr>
                          <a:xfrm>
                            <a:off x="0" y="0"/>
                            <a:ext cx="762635" cy="69278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风柜、净化器支架</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配作</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槽钢或三角钢焊接成型</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89312" behindDoc="0" locked="0" layoutInCell="1" allowOverlap="1">
                  <wp:simplePos x="0" y="0"/>
                  <wp:positionH relativeFrom="column">
                    <wp:posOffset>168910</wp:posOffset>
                  </wp:positionH>
                  <wp:positionV relativeFrom="paragraph">
                    <wp:posOffset>26035</wp:posOffset>
                  </wp:positionV>
                  <wp:extent cx="565150" cy="281940"/>
                  <wp:effectExtent l="0" t="0" r="6350" b="10160"/>
                  <wp:wrapNone/>
                  <wp:docPr id="128" name="图片_85"/>
                  <wp:cNvGraphicFramePr/>
                  <a:graphic xmlns:a="http://schemas.openxmlformats.org/drawingml/2006/main">
                    <a:graphicData uri="http://schemas.openxmlformats.org/drawingml/2006/picture">
                      <pic:pic xmlns:pic="http://schemas.openxmlformats.org/drawingml/2006/picture">
                        <pic:nvPicPr>
                          <pic:cNvPr id="128" name="图片_85"/>
                          <pic:cNvPicPr/>
                        </pic:nvPicPr>
                        <pic:blipFill>
                          <a:blip r:embed="rId73"/>
                          <a:stretch>
                            <a:fillRect/>
                          </a:stretch>
                        </pic:blipFill>
                        <pic:spPr>
                          <a:xfrm>
                            <a:off x="0" y="0"/>
                            <a:ext cx="565150" cy="28194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1140" w:type="dxa"/>
            <w:tcBorders>
              <w:top w:val="nil"/>
              <w:left w:val="nil"/>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减震垫</w:t>
            </w:r>
          </w:p>
        </w:tc>
        <w:tc>
          <w:tcPr>
            <w:tcW w:w="1290" w:type="dxa"/>
            <w:tcBorders>
              <w:top w:val="nil"/>
              <w:left w:val="nil"/>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配作</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用于风柜减震</w:t>
            </w:r>
          </w:p>
        </w:tc>
        <w:tc>
          <w:tcPr>
            <w:tcW w:w="975" w:type="dxa"/>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90336" behindDoc="0" locked="0" layoutInCell="1" allowOverlap="1">
                  <wp:simplePos x="0" y="0"/>
                  <wp:positionH relativeFrom="column">
                    <wp:posOffset>267970</wp:posOffset>
                  </wp:positionH>
                  <wp:positionV relativeFrom="paragraph">
                    <wp:posOffset>3175</wp:posOffset>
                  </wp:positionV>
                  <wp:extent cx="379730" cy="291465"/>
                  <wp:effectExtent l="0" t="0" r="1270" b="635"/>
                  <wp:wrapNone/>
                  <wp:docPr id="129" name="图片_3_SpCnt_4"/>
                  <wp:cNvGraphicFramePr/>
                  <a:graphic xmlns:a="http://schemas.openxmlformats.org/drawingml/2006/main">
                    <a:graphicData uri="http://schemas.openxmlformats.org/drawingml/2006/picture">
                      <pic:pic xmlns:pic="http://schemas.openxmlformats.org/drawingml/2006/picture">
                        <pic:nvPicPr>
                          <pic:cNvPr id="129" name="图片_3_SpCnt_4"/>
                          <pic:cNvPicPr/>
                        </pic:nvPicPr>
                        <pic:blipFill>
                          <a:blip r:embed="rId74"/>
                          <a:stretch>
                            <a:fillRect/>
                          </a:stretch>
                        </pic:blipFill>
                        <pic:spPr>
                          <a:xfrm>
                            <a:off x="0" y="0"/>
                            <a:ext cx="379730" cy="29146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变频调速控制箱</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配11KW风柜</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变频器(大容量)，内置外置双层散热，确保无电流刺耳噪音，对风机有缺相、漏电、热过载等保护功能，实时查询显示电机频率，电流，故障记录代码</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sz w:val="20"/>
                <w:szCs w:val="20"/>
                <w:u w:val="none"/>
                <w:lang w:val="en-US" w:eastAsia="zh-CN" w:bidi="ar-SA"/>
              </w:rPr>
              <w:t>七喜、欧瑞、伽拓</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91360" behindDoc="0" locked="0" layoutInCell="1" allowOverlap="1">
                  <wp:simplePos x="0" y="0"/>
                  <wp:positionH relativeFrom="column">
                    <wp:posOffset>262255</wp:posOffset>
                  </wp:positionH>
                  <wp:positionV relativeFrom="paragraph">
                    <wp:posOffset>217170</wp:posOffset>
                  </wp:positionV>
                  <wp:extent cx="438150" cy="661035"/>
                  <wp:effectExtent l="0" t="0" r="6350" b="12065"/>
                  <wp:wrapNone/>
                  <wp:docPr id="130" name="图片_5_SpCnt_1"/>
                  <wp:cNvGraphicFramePr/>
                  <a:graphic xmlns:a="http://schemas.openxmlformats.org/drawingml/2006/main">
                    <a:graphicData uri="http://schemas.openxmlformats.org/drawingml/2006/picture">
                      <pic:pic xmlns:pic="http://schemas.openxmlformats.org/drawingml/2006/picture">
                        <pic:nvPicPr>
                          <pic:cNvPr id="130" name="图片_5_SpCnt_1"/>
                          <pic:cNvPicPr/>
                        </pic:nvPicPr>
                        <pic:blipFill>
                          <a:blip r:embed="rId75"/>
                          <a:stretch>
                            <a:fillRect/>
                          </a:stretch>
                        </pic:blipFill>
                        <pic:spPr>
                          <a:xfrm>
                            <a:off x="0" y="0"/>
                            <a:ext cx="438150" cy="66103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1140" w:type="dxa"/>
            <w:tcBorders>
              <w:top w:val="nil"/>
              <w:left w:val="nil"/>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管道敲墙洞</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管道穿墙</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1140" w:type="dxa"/>
            <w:tcBorders>
              <w:top w:val="nil"/>
              <w:left w:val="nil"/>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防火封堵</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管道穿墙，用防火泥封堵</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吊机费</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设备吊入楼顶</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5550"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其它配套</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70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3"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风幕机</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1.5米</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功率：160W/1PH/220V,带遥控</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绿岛风、绿兔、钻石牌</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92384" behindDoc="0" locked="0" layoutInCell="1" allowOverlap="1">
                  <wp:simplePos x="0" y="0"/>
                  <wp:positionH relativeFrom="column">
                    <wp:posOffset>96520</wp:posOffset>
                  </wp:positionH>
                  <wp:positionV relativeFrom="paragraph">
                    <wp:posOffset>99060</wp:posOffset>
                  </wp:positionV>
                  <wp:extent cx="801370" cy="384175"/>
                  <wp:effectExtent l="0" t="0" r="11430" b="9525"/>
                  <wp:wrapNone/>
                  <wp:docPr id="131" name="image5.jpeg"/>
                  <wp:cNvGraphicFramePr/>
                  <a:graphic xmlns:a="http://schemas.openxmlformats.org/drawingml/2006/main">
                    <a:graphicData uri="http://schemas.openxmlformats.org/drawingml/2006/picture">
                      <pic:pic xmlns:pic="http://schemas.openxmlformats.org/drawingml/2006/picture">
                        <pic:nvPicPr>
                          <pic:cNvPr id="131" name="image5.jpeg"/>
                          <pic:cNvPicPr/>
                        </pic:nvPicPr>
                        <pic:blipFill>
                          <a:blip r:embed="rId76"/>
                          <a:stretch>
                            <a:fillRect/>
                          </a:stretch>
                        </pic:blipFill>
                        <pic:spPr>
                          <a:xfrm>
                            <a:off x="0" y="0"/>
                            <a:ext cx="801370" cy="38417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冲地龙头</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0"/>
                <w:szCs w:val="20"/>
                <w:u w:val="none"/>
                <w:lang w:val="en-US" w:eastAsia="zh-CN" w:bidi="ar"/>
              </w:rPr>
            </w:pPr>
            <w:r>
              <w:rPr>
                <w:rFonts w:hint="default" w:ascii="宋体" w:hAnsi="宋体" w:eastAsia="宋体" w:cs="宋体"/>
                <w:i w:val="0"/>
                <w:iCs w:val="0"/>
                <w:color w:val="000000"/>
                <w:kern w:val="0"/>
                <w:sz w:val="20"/>
                <w:szCs w:val="20"/>
                <w:u w:val="none"/>
                <w:lang w:val="en-US" w:eastAsia="zh-CN" w:bidi="ar"/>
              </w:rPr>
              <w:t>10.7M</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EPDM软管，敞开式卷盘，带水枪</w:t>
            </w:r>
          </w:p>
        </w:tc>
        <w:tc>
          <w:tcPr>
            <w:tcW w:w="975" w:type="dxa"/>
            <w:tcBorders>
              <w:top w:val="nil"/>
              <w:left w:val="nil"/>
              <w:bottom w:val="nil"/>
              <w:right w:val="nil"/>
            </w:tcBorders>
            <w:shd w:val="clear" w:color="auto" w:fill="auto"/>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CHUBIAO、  EQUIP、J&amp;C</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93408" behindDoc="0" locked="0" layoutInCell="1" allowOverlap="1">
                  <wp:simplePos x="0" y="0"/>
                  <wp:positionH relativeFrom="column">
                    <wp:posOffset>190500</wp:posOffset>
                  </wp:positionH>
                  <wp:positionV relativeFrom="paragraph">
                    <wp:posOffset>170180</wp:posOffset>
                  </wp:positionV>
                  <wp:extent cx="610235" cy="401955"/>
                  <wp:effectExtent l="0" t="0" r="12065" b="4445"/>
                  <wp:wrapNone/>
                  <wp:docPr id="132" name="Picture_6313"/>
                  <wp:cNvGraphicFramePr/>
                  <a:graphic xmlns:a="http://schemas.openxmlformats.org/drawingml/2006/main">
                    <a:graphicData uri="http://schemas.openxmlformats.org/drawingml/2006/picture">
                      <pic:pic xmlns:pic="http://schemas.openxmlformats.org/drawingml/2006/picture">
                        <pic:nvPicPr>
                          <pic:cNvPr id="132" name="Picture_6313"/>
                          <pic:cNvPicPr/>
                        </pic:nvPicPr>
                        <pic:blipFill>
                          <a:blip r:embed="rId77"/>
                          <a:stretch>
                            <a:fillRect/>
                          </a:stretch>
                        </pic:blipFill>
                        <pic:spPr>
                          <a:xfrm>
                            <a:off x="0" y="0"/>
                            <a:ext cx="610235" cy="40195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66</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紫外线消毒灯</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jc w:val="center"/>
              <w:rPr>
                <w:rFonts w:hint="eastAsia" w:ascii="宋体" w:hAnsi="宋体" w:eastAsia="宋体" w:cs="宋体"/>
                <w:i w:val="0"/>
                <w:iCs w:val="0"/>
                <w:color w:val="000000"/>
                <w:sz w:val="20"/>
                <w:szCs w:val="20"/>
                <w:u w:val="none"/>
              </w:rPr>
            </w:pP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说明：功率：30W/220V</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sz w:val="20"/>
                <w:szCs w:val="20"/>
                <w:u w:val="none"/>
                <w:lang w:val="en-US" w:eastAsia="zh-CN" w:bidi="ar-SA"/>
              </w:rPr>
              <w:t>巨光、凌峰、雪莱特</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94432" behindDoc="0" locked="0" layoutInCell="1" allowOverlap="1">
                  <wp:simplePos x="0" y="0"/>
                  <wp:positionH relativeFrom="column">
                    <wp:posOffset>26670</wp:posOffset>
                  </wp:positionH>
                  <wp:positionV relativeFrom="paragraph">
                    <wp:posOffset>53975</wp:posOffset>
                  </wp:positionV>
                  <wp:extent cx="955040" cy="258445"/>
                  <wp:effectExtent l="0" t="0" r="10160" b="8255"/>
                  <wp:wrapNone/>
                  <wp:docPr id="133" name="图片_31"/>
                  <wp:cNvGraphicFramePr/>
                  <a:graphic xmlns:a="http://schemas.openxmlformats.org/drawingml/2006/main">
                    <a:graphicData uri="http://schemas.openxmlformats.org/drawingml/2006/picture">
                      <pic:pic xmlns:pic="http://schemas.openxmlformats.org/drawingml/2006/picture">
                        <pic:nvPicPr>
                          <pic:cNvPr id="133" name="图片_31"/>
                          <pic:cNvPicPr/>
                        </pic:nvPicPr>
                        <pic:blipFill>
                          <a:blip r:embed="rId78"/>
                          <a:stretch>
                            <a:fillRect/>
                          </a:stretch>
                        </pic:blipFill>
                        <pic:spPr>
                          <a:xfrm>
                            <a:off x="0" y="0"/>
                            <a:ext cx="955040" cy="25844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粘捕式灭蝇灯</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280×139×210</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 ABS喷漆外壳，坚固耐用，防污耐刮</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2.LED灯管设计，高效节能</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3.档板聚光设计，安静灭蚊</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4.使用范围：20-30平方米</w:t>
            </w:r>
          </w:p>
        </w:tc>
        <w:tc>
          <w:tcPr>
            <w:tcW w:w="9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永鑫、凌峰、蝇博士</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795456" behindDoc="0" locked="0" layoutInCell="1" allowOverlap="1">
                  <wp:simplePos x="0" y="0"/>
                  <wp:positionH relativeFrom="column">
                    <wp:posOffset>170815</wp:posOffset>
                  </wp:positionH>
                  <wp:positionV relativeFrom="paragraph">
                    <wp:posOffset>184150</wp:posOffset>
                  </wp:positionV>
                  <wp:extent cx="600710" cy="520700"/>
                  <wp:effectExtent l="0" t="0" r="8890" b="0"/>
                  <wp:wrapNone/>
                  <wp:docPr id="134" name="图片_1_SpCnt_3"/>
                  <wp:cNvGraphicFramePr/>
                  <a:graphic xmlns:a="http://schemas.openxmlformats.org/drawingml/2006/main">
                    <a:graphicData uri="http://schemas.openxmlformats.org/drawingml/2006/picture">
                      <pic:pic xmlns:pic="http://schemas.openxmlformats.org/drawingml/2006/picture">
                        <pic:nvPicPr>
                          <pic:cNvPr id="134" name="图片_1_SpCnt_3"/>
                          <pic:cNvPicPr/>
                        </pic:nvPicPr>
                        <pic:blipFill>
                          <a:blip r:embed="rId79"/>
                          <a:stretch>
                            <a:fillRect/>
                          </a:stretch>
                        </pic:blipFill>
                        <pic:spPr>
                          <a:xfrm>
                            <a:off x="0" y="0"/>
                            <a:ext cx="600710" cy="52070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4"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68</w:t>
            </w:r>
          </w:p>
        </w:tc>
        <w:tc>
          <w:tcPr>
            <w:tcW w:w="114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冷热水龙头</w:t>
            </w:r>
          </w:p>
        </w:tc>
        <w:tc>
          <w:tcPr>
            <w:tcW w:w="129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常规</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铜芯</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JOMOO、 EQUIP、J&amp;C</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96480" behindDoc="0" locked="0" layoutInCell="1" allowOverlap="1">
                  <wp:simplePos x="0" y="0"/>
                  <wp:positionH relativeFrom="column">
                    <wp:posOffset>0</wp:posOffset>
                  </wp:positionH>
                  <wp:positionV relativeFrom="paragraph">
                    <wp:posOffset>0</wp:posOffset>
                  </wp:positionV>
                  <wp:extent cx="304800" cy="302260"/>
                  <wp:effectExtent l="0" t="0" r="0" b="0"/>
                  <wp:wrapNone/>
                  <wp:docPr id="135" name="AutoShape_595_SpCnt_36"/>
                  <wp:cNvGraphicFramePr/>
                  <a:graphic xmlns:a="http://schemas.openxmlformats.org/drawingml/2006/main">
                    <a:graphicData uri="http://schemas.openxmlformats.org/drawingml/2006/picture">
                      <pic:pic xmlns:pic="http://schemas.openxmlformats.org/drawingml/2006/picture">
                        <pic:nvPicPr>
                          <pic:cNvPr id="135" name="AutoShape_595_SpCnt_36"/>
                          <pic:cNvPicPr/>
                        </pic:nvPicPr>
                        <pic:blipFill>
                          <a:blip r:embed="rId28"/>
                          <a:stretch>
                            <a:fillRect/>
                          </a:stretch>
                        </pic:blipFill>
                        <pic:spPr>
                          <a:xfrm>
                            <a:off x="0" y="0"/>
                            <a:ext cx="304800" cy="30226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97504" behindDoc="0" locked="0" layoutInCell="1" allowOverlap="1">
                  <wp:simplePos x="0" y="0"/>
                  <wp:positionH relativeFrom="column">
                    <wp:posOffset>0</wp:posOffset>
                  </wp:positionH>
                  <wp:positionV relativeFrom="paragraph">
                    <wp:posOffset>0</wp:posOffset>
                  </wp:positionV>
                  <wp:extent cx="304800" cy="302260"/>
                  <wp:effectExtent l="0" t="0" r="0" b="0"/>
                  <wp:wrapNone/>
                  <wp:docPr id="136" name="AutoShape_593_SpCnt_34"/>
                  <wp:cNvGraphicFramePr/>
                  <a:graphic xmlns:a="http://schemas.openxmlformats.org/drawingml/2006/main">
                    <a:graphicData uri="http://schemas.openxmlformats.org/drawingml/2006/picture">
                      <pic:pic xmlns:pic="http://schemas.openxmlformats.org/drawingml/2006/picture">
                        <pic:nvPicPr>
                          <pic:cNvPr id="136" name="AutoShape_593_SpCnt_34"/>
                          <pic:cNvPicPr/>
                        </pic:nvPicPr>
                        <pic:blipFill>
                          <a:blip r:embed="rId28"/>
                          <a:stretch>
                            <a:fillRect/>
                          </a:stretch>
                        </pic:blipFill>
                        <pic:spPr>
                          <a:xfrm>
                            <a:off x="0" y="0"/>
                            <a:ext cx="304800" cy="30226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98528" behindDoc="0" locked="0" layoutInCell="1" allowOverlap="1">
                  <wp:simplePos x="0" y="0"/>
                  <wp:positionH relativeFrom="column">
                    <wp:posOffset>0</wp:posOffset>
                  </wp:positionH>
                  <wp:positionV relativeFrom="paragraph">
                    <wp:posOffset>0</wp:posOffset>
                  </wp:positionV>
                  <wp:extent cx="304800" cy="302260"/>
                  <wp:effectExtent l="0" t="0" r="0" b="0"/>
                  <wp:wrapNone/>
                  <wp:docPr id="137" name="AutoShape_593_SpCnt_35"/>
                  <wp:cNvGraphicFramePr/>
                  <a:graphic xmlns:a="http://schemas.openxmlformats.org/drawingml/2006/main">
                    <a:graphicData uri="http://schemas.openxmlformats.org/drawingml/2006/picture">
                      <pic:pic xmlns:pic="http://schemas.openxmlformats.org/drawingml/2006/picture">
                        <pic:nvPicPr>
                          <pic:cNvPr id="137" name="AutoShape_593_SpCnt_35"/>
                          <pic:cNvPicPr/>
                        </pic:nvPicPr>
                        <pic:blipFill>
                          <a:blip r:embed="rId28"/>
                          <a:stretch>
                            <a:fillRect/>
                          </a:stretch>
                        </pic:blipFill>
                        <pic:spPr>
                          <a:xfrm>
                            <a:off x="0" y="0"/>
                            <a:ext cx="304800" cy="30226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799552" behindDoc="0" locked="0" layoutInCell="1" allowOverlap="1">
                  <wp:simplePos x="0" y="0"/>
                  <wp:positionH relativeFrom="column">
                    <wp:posOffset>0</wp:posOffset>
                  </wp:positionH>
                  <wp:positionV relativeFrom="paragraph">
                    <wp:posOffset>0</wp:posOffset>
                  </wp:positionV>
                  <wp:extent cx="304800" cy="302260"/>
                  <wp:effectExtent l="0" t="0" r="0" b="0"/>
                  <wp:wrapNone/>
                  <wp:docPr id="138" name="AutoShape_593_SpCnt_36"/>
                  <wp:cNvGraphicFramePr/>
                  <a:graphic xmlns:a="http://schemas.openxmlformats.org/drawingml/2006/main">
                    <a:graphicData uri="http://schemas.openxmlformats.org/drawingml/2006/picture">
                      <pic:pic xmlns:pic="http://schemas.openxmlformats.org/drawingml/2006/picture">
                        <pic:nvPicPr>
                          <pic:cNvPr id="138" name="AutoShape_593_SpCnt_36"/>
                          <pic:cNvPicPr/>
                        </pic:nvPicPr>
                        <pic:blipFill>
                          <a:blip r:embed="rId28"/>
                          <a:stretch>
                            <a:fillRect/>
                          </a:stretch>
                        </pic:blipFill>
                        <pic:spPr>
                          <a:xfrm>
                            <a:off x="0" y="0"/>
                            <a:ext cx="304800" cy="30226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800576" behindDoc="0" locked="0" layoutInCell="1" allowOverlap="1">
                  <wp:simplePos x="0" y="0"/>
                  <wp:positionH relativeFrom="column">
                    <wp:posOffset>0</wp:posOffset>
                  </wp:positionH>
                  <wp:positionV relativeFrom="paragraph">
                    <wp:posOffset>0</wp:posOffset>
                  </wp:positionV>
                  <wp:extent cx="304800" cy="302260"/>
                  <wp:effectExtent l="0" t="0" r="0" b="0"/>
                  <wp:wrapNone/>
                  <wp:docPr id="139" name="AutoShape_595_SpCnt_37"/>
                  <wp:cNvGraphicFramePr/>
                  <a:graphic xmlns:a="http://schemas.openxmlformats.org/drawingml/2006/main">
                    <a:graphicData uri="http://schemas.openxmlformats.org/drawingml/2006/picture">
                      <pic:pic xmlns:pic="http://schemas.openxmlformats.org/drawingml/2006/picture">
                        <pic:nvPicPr>
                          <pic:cNvPr id="139" name="AutoShape_595_SpCnt_37"/>
                          <pic:cNvPicPr/>
                        </pic:nvPicPr>
                        <pic:blipFill>
                          <a:blip r:embed="rId28"/>
                          <a:stretch>
                            <a:fillRect/>
                          </a:stretch>
                        </pic:blipFill>
                        <pic:spPr>
                          <a:xfrm>
                            <a:off x="0" y="0"/>
                            <a:ext cx="304800" cy="30226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801600" behindDoc="0" locked="0" layoutInCell="1" allowOverlap="1">
                  <wp:simplePos x="0" y="0"/>
                  <wp:positionH relativeFrom="column">
                    <wp:posOffset>0</wp:posOffset>
                  </wp:positionH>
                  <wp:positionV relativeFrom="paragraph">
                    <wp:posOffset>0</wp:posOffset>
                  </wp:positionV>
                  <wp:extent cx="304800" cy="302260"/>
                  <wp:effectExtent l="0" t="0" r="0" b="0"/>
                  <wp:wrapNone/>
                  <wp:docPr id="140" name="AutoShape_595_SpCnt_38"/>
                  <wp:cNvGraphicFramePr/>
                  <a:graphic xmlns:a="http://schemas.openxmlformats.org/drawingml/2006/main">
                    <a:graphicData uri="http://schemas.openxmlformats.org/drawingml/2006/picture">
                      <pic:pic xmlns:pic="http://schemas.openxmlformats.org/drawingml/2006/picture">
                        <pic:nvPicPr>
                          <pic:cNvPr id="140" name="AutoShape_595_SpCnt_38"/>
                          <pic:cNvPicPr/>
                        </pic:nvPicPr>
                        <pic:blipFill>
                          <a:blip r:embed="rId28"/>
                          <a:stretch>
                            <a:fillRect/>
                          </a:stretch>
                        </pic:blipFill>
                        <pic:spPr>
                          <a:xfrm>
                            <a:off x="0" y="0"/>
                            <a:ext cx="304800" cy="302260"/>
                          </a:xfrm>
                          <a:prstGeom prst="rect">
                            <a:avLst/>
                          </a:prstGeom>
                          <a:noFill/>
                          <a:ln>
                            <a:noFill/>
                          </a:ln>
                        </pic:spPr>
                      </pic:pic>
                    </a:graphicData>
                  </a:graphic>
                </wp:anchor>
              </w:drawing>
            </w:r>
            <w:r>
              <w:rPr>
                <w:rFonts w:hint="eastAsia" w:ascii="宋体" w:hAnsi="宋体" w:eastAsia="宋体" w:cs="宋体"/>
                <w:i w:val="0"/>
                <w:iCs w:val="0"/>
                <w:color w:val="000000"/>
                <w:kern w:val="0"/>
                <w:sz w:val="20"/>
                <w:szCs w:val="20"/>
                <w:u w:val="none"/>
                <w:bdr w:val="single" w:color="000000" w:sz="4" w:space="0"/>
                <w:lang w:val="en-US" w:eastAsia="zh-CN" w:bidi="ar"/>
              </w:rPr>
              <w:drawing>
                <wp:anchor distT="0" distB="0" distL="114300" distR="114300" simplePos="0" relativeHeight="251802624" behindDoc="0" locked="0" layoutInCell="1" allowOverlap="1">
                  <wp:simplePos x="0" y="0"/>
                  <wp:positionH relativeFrom="column">
                    <wp:posOffset>259715</wp:posOffset>
                  </wp:positionH>
                  <wp:positionV relativeFrom="paragraph">
                    <wp:posOffset>99060</wp:posOffset>
                  </wp:positionV>
                  <wp:extent cx="593090" cy="443865"/>
                  <wp:effectExtent l="0" t="0" r="3810" b="635"/>
                  <wp:wrapNone/>
                  <wp:docPr id="141" name="图片_1_SpCnt_4"/>
                  <wp:cNvGraphicFramePr/>
                  <a:graphic xmlns:a="http://schemas.openxmlformats.org/drawingml/2006/main">
                    <a:graphicData uri="http://schemas.openxmlformats.org/drawingml/2006/picture">
                      <pic:pic xmlns:pic="http://schemas.openxmlformats.org/drawingml/2006/picture">
                        <pic:nvPicPr>
                          <pic:cNvPr id="141" name="图片_1_SpCnt_4"/>
                          <pic:cNvPicPr/>
                        </pic:nvPicPr>
                        <pic:blipFill>
                          <a:blip r:embed="rId80"/>
                          <a:stretch>
                            <a:fillRect/>
                          </a:stretch>
                        </pic:blipFill>
                        <pic:spPr>
                          <a:xfrm>
                            <a:off x="0" y="0"/>
                            <a:ext cx="593090" cy="443865"/>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w:t>
            </w:r>
          </w:p>
        </w:tc>
        <w:tc>
          <w:tcPr>
            <w:tcW w:w="114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单冷龙头</w:t>
            </w:r>
          </w:p>
        </w:tc>
        <w:tc>
          <w:tcPr>
            <w:tcW w:w="129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常规</w:t>
            </w:r>
          </w:p>
        </w:tc>
        <w:tc>
          <w:tcPr>
            <w:tcW w:w="262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铜芯</w:t>
            </w:r>
          </w:p>
        </w:tc>
        <w:tc>
          <w:tcPr>
            <w:tcW w:w="975" w:type="dxa"/>
            <w:tcBorders>
              <w:top w:val="nil"/>
              <w:left w:val="nil"/>
              <w:bottom w:val="nil"/>
              <w:right w:val="nil"/>
            </w:tcBorders>
            <w:shd w:val="clear" w:color="auto" w:fill="auto"/>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lang w:val="en-US" w:eastAsia="zh-CN" w:bidi="ar-SA"/>
              </w:rPr>
            </w:pPr>
            <w:r>
              <w:rPr>
                <w:rStyle w:val="89"/>
                <w:sz w:val="20"/>
                <w:szCs w:val="20"/>
                <w:lang w:val="en-US" w:eastAsia="zh-CN" w:bidi="ar"/>
              </w:rPr>
              <w:t>JOMOO、EQUIP、J&amp;C</w:t>
            </w:r>
          </w:p>
        </w:tc>
        <w:tc>
          <w:tcPr>
            <w:tcW w:w="7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74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Tahoma" w:hAnsi="Tahoma" w:eastAsia="Tahoma" w:cs="Tahoma"/>
                <w:i w:val="0"/>
                <w:iCs w:val="0"/>
                <w:color w:val="000000"/>
                <w:sz w:val="20"/>
                <w:szCs w:val="20"/>
                <w:u w:val="none"/>
              </w:rPr>
            </w:pPr>
            <w:r>
              <w:rPr>
                <w:rFonts w:hint="default" w:ascii="Tahoma" w:hAnsi="Tahoma" w:eastAsia="Tahoma" w:cs="Tahoma"/>
                <w:i w:val="0"/>
                <w:iCs w:val="0"/>
                <w:color w:val="000000"/>
                <w:kern w:val="0"/>
                <w:sz w:val="20"/>
                <w:szCs w:val="20"/>
                <w:u w:val="none"/>
                <w:bdr w:val="single" w:color="000000" w:sz="4" w:space="0"/>
                <w:shd w:val="clear" w:color="auto" w:fill="FFFFFF"/>
                <w:lang w:val="en-US" w:eastAsia="zh-CN" w:bidi="ar"/>
              </w:rPr>
              <w:drawing>
                <wp:anchor distT="0" distB="0" distL="114300" distR="114300" simplePos="0" relativeHeight="251803648" behindDoc="0" locked="0" layoutInCell="1" allowOverlap="1">
                  <wp:simplePos x="0" y="0"/>
                  <wp:positionH relativeFrom="column">
                    <wp:posOffset>266700</wp:posOffset>
                  </wp:positionH>
                  <wp:positionV relativeFrom="paragraph">
                    <wp:posOffset>160655</wp:posOffset>
                  </wp:positionV>
                  <wp:extent cx="401320" cy="398780"/>
                  <wp:effectExtent l="0" t="0" r="5080" b="7620"/>
                  <wp:wrapNone/>
                  <wp:docPr id="142" name="图片_1255"/>
                  <wp:cNvGraphicFramePr/>
                  <a:graphic xmlns:a="http://schemas.openxmlformats.org/drawingml/2006/main">
                    <a:graphicData uri="http://schemas.openxmlformats.org/drawingml/2006/picture">
                      <pic:pic xmlns:pic="http://schemas.openxmlformats.org/drawingml/2006/picture">
                        <pic:nvPicPr>
                          <pic:cNvPr id="142" name="图片_1255"/>
                          <pic:cNvPicPr/>
                        </pic:nvPicPr>
                        <pic:blipFill>
                          <a:blip r:embed="rId81"/>
                          <a:stretch>
                            <a:fillRect/>
                          </a:stretch>
                        </pic:blipFill>
                        <pic:spPr>
                          <a:xfrm>
                            <a:off x="0" y="0"/>
                            <a:ext cx="401320" cy="398780"/>
                          </a:xfrm>
                          <a:prstGeom prst="rect">
                            <a:avLst/>
                          </a:prstGeom>
                          <a:noFill/>
                          <a:ln>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70</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下水器和下水PVC管连接</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常规</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下水器和下水PVC管连接/带材料</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71</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进水软管连接</w:t>
            </w: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常规</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角阀和水龙头连接/带材料</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49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72</w:t>
            </w:r>
          </w:p>
        </w:tc>
        <w:tc>
          <w:tcPr>
            <w:tcW w:w="11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天燃气管和灶头连接</w:t>
            </w:r>
          </w:p>
        </w:tc>
        <w:tc>
          <w:tcPr>
            <w:tcW w:w="12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Style w:val="89"/>
                <w:sz w:val="20"/>
                <w:szCs w:val="20"/>
                <w:lang w:val="en-US" w:eastAsia="zh-CN" w:bidi="ar"/>
              </w:rPr>
              <w:t>常规</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用不锈钢波纹管连接</w:t>
            </w:r>
          </w:p>
        </w:tc>
        <w:tc>
          <w:tcPr>
            <w:tcW w:w="97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厂制品</w:t>
            </w:r>
          </w:p>
        </w:tc>
        <w:tc>
          <w:tcPr>
            <w:tcW w:w="7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7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i w:val="0"/>
                <w:iCs w:val="0"/>
                <w:color w:val="000000"/>
                <w:sz w:val="20"/>
                <w:szCs w:val="20"/>
                <w:u w:val="none"/>
              </w:rPr>
            </w:pPr>
          </w:p>
        </w:tc>
      </w:tr>
    </w:tbl>
    <w:p>
      <w:pPr>
        <w:spacing w:line="440" w:lineRule="exact"/>
        <w:ind w:firstLine="420" w:firstLineChars="200"/>
        <w:outlineLvl w:val="0"/>
        <w:rPr>
          <w:rFonts w:hint="eastAsia" w:ascii="宋体" w:hAnsi="宋体" w:cs="Arial"/>
          <w:b/>
          <w:bCs/>
          <w:sz w:val="30"/>
          <w:szCs w:val="30"/>
        </w:rPr>
      </w:pPr>
      <w:r>
        <w:rPr>
          <w:rFonts w:hint="eastAsia" w:ascii="宋体" w:hAnsi="宋体" w:cs="Arial"/>
          <w:sz w:val="21"/>
          <w:szCs w:val="21"/>
          <w:lang w:val="en-US" w:eastAsia="zh-CN"/>
        </w:rPr>
        <w:t>注：1、</w:t>
      </w:r>
      <w:r>
        <w:rPr>
          <w:rFonts w:hint="eastAsia" w:ascii="宋体" w:hAnsi="宋体" w:cs="Arial"/>
          <w:sz w:val="21"/>
          <w:szCs w:val="21"/>
        </w:rPr>
        <w:t>注明推荐品牌及型号的设备，供应商可以选择能满足本项目技术需求且性能型号与参考品牌相当的产品进行投标，并须经评标委员会三分之二以上专家确认，且必须在投标文件中提供所投产品详细的技术参数，并对照本表提供的技术参数逐一说明响应情况。</w:t>
      </w:r>
    </w:p>
    <w:p>
      <w:pPr>
        <w:spacing w:line="440" w:lineRule="exact"/>
        <w:ind w:firstLine="420" w:firstLineChars="200"/>
        <w:outlineLvl w:val="0"/>
        <w:rPr>
          <w:rFonts w:hint="eastAsia" w:ascii="宋体" w:hAnsi="宋体" w:cs="宋体"/>
          <w:b w:val="0"/>
          <w:bCs w:val="0"/>
          <w:sz w:val="21"/>
          <w:szCs w:val="21"/>
        </w:rPr>
      </w:pPr>
      <w:r>
        <w:rPr>
          <w:rFonts w:hint="eastAsia" w:ascii="宋体" w:hAnsi="宋体" w:cs="宋体"/>
          <w:b w:val="0"/>
          <w:bCs w:val="0"/>
          <w:sz w:val="21"/>
          <w:szCs w:val="21"/>
          <w:lang w:val="en-US" w:eastAsia="zh-CN"/>
        </w:rPr>
        <w:t>2、</w:t>
      </w:r>
      <w:r>
        <w:rPr>
          <w:rFonts w:hint="eastAsia" w:ascii="宋体" w:hAnsi="宋体" w:cs="宋体"/>
          <w:b w:val="0"/>
          <w:bCs w:val="0"/>
          <w:sz w:val="21"/>
          <w:szCs w:val="21"/>
        </w:rPr>
        <w:t>因采购人特殊要求，增加部分工程量按实结算。采购清单中未实施部分按实扣减。</w:t>
      </w:r>
    </w:p>
    <w:p>
      <w:pPr>
        <w:spacing w:line="440" w:lineRule="exact"/>
        <w:ind w:firstLine="420" w:firstLineChars="200"/>
        <w:outlineLvl w:val="0"/>
        <w:rPr>
          <w:rFonts w:hint="eastAsia" w:ascii="宋体" w:hAnsi="宋体" w:cs="宋体"/>
          <w:b w:val="0"/>
          <w:bCs w:val="0"/>
          <w:sz w:val="21"/>
          <w:szCs w:val="21"/>
        </w:rPr>
      </w:pPr>
      <w:r>
        <w:rPr>
          <w:rFonts w:hint="eastAsia" w:ascii="宋体" w:hAnsi="宋体" w:cs="宋体"/>
          <w:b w:val="0"/>
          <w:bCs w:val="0"/>
          <w:sz w:val="21"/>
          <w:szCs w:val="21"/>
          <w:lang w:val="en-US" w:eastAsia="zh-CN"/>
        </w:rPr>
        <w:t>3、</w:t>
      </w:r>
      <w:r>
        <w:rPr>
          <w:rFonts w:hint="eastAsia" w:ascii="宋体" w:hAnsi="宋体" w:cs="宋体"/>
          <w:b w:val="0"/>
          <w:bCs w:val="0"/>
          <w:sz w:val="21"/>
          <w:szCs w:val="21"/>
          <w:lang w:eastAsia="zh-CN"/>
        </w:rPr>
        <w:t>供应商</w:t>
      </w:r>
      <w:r>
        <w:rPr>
          <w:rFonts w:hint="eastAsia" w:ascii="宋体" w:hAnsi="宋体" w:cs="宋体"/>
          <w:b w:val="0"/>
          <w:bCs w:val="0"/>
          <w:sz w:val="21"/>
          <w:szCs w:val="21"/>
        </w:rPr>
        <w:t>应根据采购清单自行细化投标清单，且必须确保提供的所有货品及其所有配件的完整性。对于采购清单没有列出，而对货品的正常使用和维护必不可少的且应属于货品需求配套的部件、 配件等，中标方有责任给予补充，须保证货品能投入正常使用或运行。</w:t>
      </w:r>
    </w:p>
    <w:p>
      <w:pPr>
        <w:spacing w:line="440" w:lineRule="exact"/>
        <w:outlineLvl w:val="0"/>
        <w:rPr>
          <w:rFonts w:hint="eastAsia" w:ascii="宋体" w:hAnsi="宋体" w:cs="Arial"/>
          <w:b/>
          <w:bCs/>
          <w:sz w:val="30"/>
          <w:szCs w:val="30"/>
        </w:rPr>
      </w:pPr>
    </w:p>
    <w:p>
      <w:pPr>
        <w:spacing w:line="440" w:lineRule="exact"/>
        <w:outlineLvl w:val="0"/>
        <w:rPr>
          <w:rFonts w:hint="eastAsia" w:ascii="宋体" w:hAnsi="宋体" w:cs="Arial"/>
          <w:sz w:val="21"/>
          <w:szCs w:val="21"/>
          <w:lang w:val="en-US" w:eastAsia="zh-CN"/>
        </w:rPr>
      </w:pPr>
    </w:p>
    <w:p>
      <w:pPr>
        <w:spacing w:line="440" w:lineRule="exact"/>
        <w:outlineLvl w:val="0"/>
        <w:rPr>
          <w:rFonts w:hint="eastAsia" w:ascii="宋体" w:hAnsi="宋体" w:cs="Arial"/>
          <w:sz w:val="21"/>
          <w:szCs w:val="21"/>
          <w:lang w:val="en-US" w:eastAsia="zh-CN"/>
        </w:rPr>
      </w:pPr>
    </w:p>
    <w:p>
      <w:pPr>
        <w:spacing w:line="440" w:lineRule="exact"/>
        <w:outlineLvl w:val="0"/>
        <w:rPr>
          <w:rFonts w:hint="eastAsia" w:ascii="宋体" w:hAnsi="宋体" w:cs="Arial"/>
          <w:sz w:val="21"/>
          <w:szCs w:val="21"/>
          <w:lang w:val="en-US" w:eastAsia="zh-CN"/>
        </w:rPr>
      </w:pPr>
    </w:p>
    <w:p>
      <w:pPr>
        <w:spacing w:line="440" w:lineRule="exact"/>
        <w:outlineLvl w:val="0"/>
        <w:rPr>
          <w:rFonts w:hint="eastAsia" w:ascii="宋体" w:hAnsi="宋体" w:cs="Arial"/>
          <w:sz w:val="21"/>
          <w:szCs w:val="21"/>
          <w:lang w:val="en-US" w:eastAsia="zh-CN"/>
        </w:rPr>
      </w:pPr>
    </w:p>
    <w:p>
      <w:pPr>
        <w:spacing w:line="440" w:lineRule="exact"/>
        <w:outlineLvl w:val="0"/>
        <w:rPr>
          <w:rFonts w:hint="eastAsia" w:ascii="宋体" w:hAnsi="宋体" w:cs="Arial"/>
          <w:sz w:val="21"/>
          <w:szCs w:val="21"/>
          <w:lang w:val="en-US" w:eastAsia="zh-CN"/>
        </w:rPr>
      </w:pPr>
    </w:p>
    <w:p>
      <w:pPr>
        <w:spacing w:line="440" w:lineRule="exact"/>
        <w:outlineLvl w:val="0"/>
        <w:rPr>
          <w:rFonts w:hint="eastAsia" w:ascii="宋体" w:hAnsi="宋体" w:cs="Arial"/>
          <w:sz w:val="21"/>
          <w:szCs w:val="21"/>
          <w:lang w:val="en-US" w:eastAsia="zh-CN"/>
        </w:rPr>
      </w:pPr>
    </w:p>
    <w:p>
      <w:pPr>
        <w:spacing w:line="440" w:lineRule="exact"/>
        <w:outlineLvl w:val="0"/>
        <w:rPr>
          <w:rFonts w:hint="eastAsia" w:ascii="宋体" w:hAnsi="宋体" w:cs="Arial"/>
          <w:sz w:val="21"/>
          <w:szCs w:val="21"/>
          <w:lang w:val="en-US" w:eastAsia="zh-CN"/>
        </w:rPr>
      </w:pPr>
    </w:p>
    <w:p>
      <w:pPr>
        <w:spacing w:line="440" w:lineRule="exact"/>
        <w:outlineLvl w:val="0"/>
        <w:rPr>
          <w:rFonts w:hint="eastAsia" w:ascii="宋体" w:hAnsi="宋体" w:cs="Arial"/>
          <w:sz w:val="21"/>
          <w:szCs w:val="21"/>
          <w:lang w:val="en-US" w:eastAsia="zh-CN"/>
        </w:rPr>
      </w:pPr>
      <w:r>
        <w:rPr>
          <w:rFonts w:hint="eastAsia" w:ascii="宋体" w:hAnsi="宋体" w:cs="Arial"/>
          <w:sz w:val="21"/>
          <w:szCs w:val="21"/>
          <w:lang w:val="en-US" w:eastAsia="zh-CN"/>
        </w:rPr>
        <w:t>附图：象山三院土建施工平面图（详见采购公告发布官网附件）</w:t>
      </w:r>
    </w:p>
    <w:p>
      <w:pPr>
        <w:spacing w:line="440" w:lineRule="exact"/>
        <w:ind w:firstLine="420" w:firstLineChars="200"/>
        <w:outlineLvl w:val="0"/>
        <w:rPr>
          <w:rFonts w:hint="eastAsia" w:ascii="宋体" w:hAnsi="宋体" w:cs="Arial"/>
          <w:sz w:val="21"/>
          <w:szCs w:val="21"/>
        </w:rPr>
      </w:pPr>
    </w:p>
    <w:p>
      <w:pPr>
        <w:spacing w:line="440" w:lineRule="exact"/>
        <w:ind w:firstLine="420" w:firstLineChars="200"/>
        <w:outlineLvl w:val="0"/>
        <w:rPr>
          <w:rFonts w:hint="eastAsia" w:ascii="宋体" w:hAnsi="宋体" w:cs="Arial"/>
          <w:sz w:val="21"/>
          <w:szCs w:val="21"/>
        </w:rPr>
      </w:pPr>
    </w:p>
    <w:p>
      <w:pPr>
        <w:tabs>
          <w:tab w:val="left" w:pos="8280"/>
        </w:tabs>
        <w:autoSpaceDE w:val="0"/>
        <w:autoSpaceDN w:val="0"/>
        <w:adjustRightInd w:val="0"/>
        <w:spacing w:line="360" w:lineRule="auto"/>
        <w:rPr>
          <w:rFonts w:hint="eastAsia" w:ascii="宋体" w:hAnsi="宋体" w:eastAsia="宋体" w:cs="Times New Roman"/>
          <w:b/>
          <w:color w:val="auto"/>
          <w:sz w:val="21"/>
          <w:szCs w:val="21"/>
          <w:highlight w:val="none"/>
          <w:shd w:val="clear" w:color="auto" w:fill="auto"/>
          <w:lang w:val="en-US" w:eastAsia="zh-CN"/>
        </w:rPr>
      </w:pPr>
      <w:r>
        <w:rPr>
          <w:rFonts w:hint="eastAsia" w:ascii="宋体" w:hAnsi="宋体" w:eastAsia="宋体" w:cs="Times New Roman"/>
          <w:b/>
          <w:color w:val="auto"/>
          <w:sz w:val="21"/>
          <w:szCs w:val="21"/>
          <w:highlight w:val="none"/>
          <w:shd w:val="clear" w:color="auto" w:fill="auto"/>
          <w:lang w:val="en-US" w:eastAsia="zh-CN"/>
        </w:rPr>
        <w:t>*二、其他要求</w:t>
      </w:r>
    </w:p>
    <w:tbl>
      <w:tblPr>
        <w:tblStyle w:val="28"/>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785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jc w:val="center"/>
              <w:outlineLvl w:val="0"/>
              <w:rPr>
                <w:rFonts w:hint="eastAsia" w:ascii="宋体" w:hAnsi="宋体" w:cs="宋体"/>
                <w:b/>
                <w:bCs/>
                <w:sz w:val="21"/>
                <w:szCs w:val="21"/>
              </w:rPr>
            </w:pPr>
            <w:r>
              <w:rPr>
                <w:rFonts w:hint="eastAsia" w:ascii="宋体" w:hAnsi="宋体" w:cs="宋体"/>
                <w:b/>
                <w:bCs/>
                <w:sz w:val="21"/>
                <w:szCs w:val="21"/>
              </w:rPr>
              <w:t>项目</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jc w:val="center"/>
              <w:outlineLvl w:val="0"/>
              <w:rPr>
                <w:rFonts w:hint="eastAsia" w:ascii="宋体" w:hAnsi="宋体" w:cs="宋体"/>
                <w:b/>
                <w:bCs/>
                <w:sz w:val="21"/>
                <w:szCs w:val="21"/>
              </w:rPr>
            </w:pPr>
            <w:r>
              <w:rPr>
                <w:rFonts w:hint="eastAsia" w:ascii="宋体" w:hAnsi="宋体" w:cs="宋体"/>
                <w:b/>
                <w:bCs/>
                <w:sz w:val="21"/>
                <w:szCs w:val="21"/>
              </w:rPr>
              <w:t>要 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eastAsia="宋体" w:cs="宋体"/>
                <w:sz w:val="21"/>
                <w:szCs w:val="21"/>
                <w:lang w:eastAsia="zh-CN"/>
              </w:rPr>
            </w:pPr>
            <w:r>
              <w:rPr>
                <w:rFonts w:hint="eastAsia" w:ascii="宋体" w:hAnsi="宋体" w:cs="宋体"/>
                <w:sz w:val="21"/>
                <w:szCs w:val="21"/>
                <w:lang w:eastAsia="zh-CN"/>
              </w:rPr>
              <w:t>采购清单项</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eastAsia="宋体" w:cs="宋体"/>
                <w:sz w:val="21"/>
                <w:szCs w:val="21"/>
                <w:lang w:eastAsia="zh-CN"/>
              </w:rPr>
            </w:pPr>
            <w:r>
              <w:rPr>
                <w:rFonts w:hint="eastAsia" w:ascii="宋体" w:hAnsi="宋体" w:cs="宋体"/>
                <w:sz w:val="21"/>
                <w:szCs w:val="21"/>
                <w:lang w:eastAsia="zh-CN"/>
              </w:rPr>
              <w:t>采购清单中投标人没有填入单价或价格的设备及遗漏的设备，其费用视为已分摊在采购清单中其他相关设备的单价或价格中。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供货期限</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lang w:eastAsia="zh-CN"/>
              </w:rPr>
              <w:t>合同签订接到采购人通知后30天内货到现场，</w:t>
            </w:r>
            <w:r>
              <w:rPr>
                <w:rFonts w:hint="eastAsia" w:ascii="宋体" w:hAnsi="宋体" w:cs="宋体"/>
                <w:sz w:val="21"/>
                <w:szCs w:val="21"/>
                <w:lang w:val="en-US" w:eastAsia="zh-CN"/>
              </w:rPr>
              <w:t>到货后</w:t>
            </w:r>
            <w:r>
              <w:rPr>
                <w:rFonts w:hint="eastAsia" w:ascii="宋体" w:hAnsi="宋体" w:cs="宋体"/>
                <w:sz w:val="21"/>
                <w:szCs w:val="21"/>
                <w:lang w:eastAsia="zh-CN"/>
              </w:rPr>
              <w:t>30日历天内完成安装，且必须符合工程整体进度计划要求。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65"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b/>
                <w:bCs/>
                <w:sz w:val="21"/>
                <w:szCs w:val="21"/>
              </w:rPr>
            </w:pPr>
            <w:r>
              <w:rPr>
                <w:rFonts w:hint="eastAsia" w:ascii="宋体" w:hAnsi="宋体" w:cs="宋体"/>
                <w:sz w:val="21"/>
                <w:szCs w:val="21"/>
              </w:rPr>
              <w:t>产品及服务质量保证</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（1）投标人应保证货物是全新、未使用过的，是用一流的工艺和最佳材料制造而成的，并完全符合合同规定的质量、规格和性能的要求。</w:t>
            </w:r>
          </w:p>
          <w:p>
            <w:pPr>
              <w:outlineLvl w:val="0"/>
              <w:rPr>
                <w:rFonts w:hint="eastAsia" w:ascii="宋体" w:hAnsi="宋体" w:cs="宋体"/>
                <w:sz w:val="21"/>
                <w:szCs w:val="21"/>
              </w:rPr>
            </w:pPr>
            <w:r>
              <w:rPr>
                <w:rFonts w:hint="eastAsia" w:ascii="宋体" w:hAnsi="宋体" w:cs="宋体"/>
                <w:sz w:val="21"/>
                <w:szCs w:val="21"/>
              </w:rPr>
              <w:t>（2）采购人有权对中标货物在数量规格和尺寸上作少量变动。</w:t>
            </w:r>
          </w:p>
          <w:p>
            <w:pPr>
              <w:outlineLvl w:val="0"/>
              <w:rPr>
                <w:rFonts w:hint="eastAsia" w:ascii="宋体" w:hAnsi="宋体" w:cs="宋体"/>
                <w:sz w:val="21"/>
                <w:szCs w:val="21"/>
              </w:rPr>
            </w:pPr>
            <w:r>
              <w:rPr>
                <w:rFonts w:hint="eastAsia" w:ascii="宋体" w:hAnsi="宋体" w:cs="宋体"/>
                <w:sz w:val="21"/>
                <w:szCs w:val="21"/>
              </w:rPr>
              <w:t>（3）投标人保证所有设备为原装正规渠道货源，所有产品、配置必须在原厂原装出厂，保证完整包装不开封，原包装到用户单位并当场开箱验货，同时提供该设备相关技术参数的书面说明，如不符招标文件技术要求的，所有责任由投标人承担。质保期自设备验收合格之日起计。</w:t>
            </w:r>
          </w:p>
          <w:p>
            <w:pPr>
              <w:outlineLvl w:val="0"/>
              <w:rPr>
                <w:rFonts w:hint="eastAsia" w:ascii="宋体" w:hAnsi="宋体" w:cs="宋体"/>
                <w:b/>
                <w:bCs/>
                <w:sz w:val="21"/>
                <w:szCs w:val="21"/>
              </w:rPr>
            </w:pPr>
            <w:r>
              <w:rPr>
                <w:rFonts w:hint="eastAsia" w:ascii="宋体" w:hAnsi="宋体" w:cs="宋体"/>
                <w:sz w:val="21"/>
                <w:szCs w:val="21"/>
              </w:rPr>
              <w:t>（4）在所供设备交付时，中标单位必须向采购人提供产品说明书、质量保证书、保修卡等必须具备的相关资料和必备附件。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color w:val="auto"/>
                <w:sz w:val="21"/>
                <w:szCs w:val="21"/>
                <w:shd w:val="clear" w:color="auto" w:fill="auto"/>
              </w:rPr>
            </w:pPr>
            <w:r>
              <w:rPr>
                <w:rFonts w:hint="eastAsia" w:ascii="宋体" w:hAnsi="宋体" w:cs="宋体"/>
                <w:color w:val="auto"/>
                <w:sz w:val="21"/>
                <w:szCs w:val="21"/>
                <w:shd w:val="clear" w:color="auto" w:fill="auto"/>
              </w:rPr>
              <w:t>质保期</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color w:val="auto"/>
                <w:sz w:val="21"/>
                <w:szCs w:val="21"/>
                <w:shd w:val="clear" w:color="auto" w:fill="auto"/>
              </w:rPr>
            </w:pPr>
            <w:r>
              <w:rPr>
                <w:rFonts w:hint="eastAsia" w:ascii="宋体" w:hAnsi="宋体" w:cs="宋体"/>
                <w:color w:val="auto"/>
                <w:sz w:val="21"/>
                <w:szCs w:val="21"/>
                <w:shd w:val="clear" w:color="auto" w:fill="auto"/>
              </w:rPr>
              <w:t>（1）质保期要求:本项目质保期至少为</w:t>
            </w:r>
            <w:r>
              <w:rPr>
                <w:rFonts w:hint="eastAsia" w:ascii="宋体" w:hAnsi="宋体" w:cs="宋体"/>
                <w:color w:val="auto"/>
                <w:sz w:val="21"/>
                <w:szCs w:val="21"/>
                <w:u w:val="single"/>
                <w:shd w:val="clear" w:color="auto" w:fill="auto"/>
              </w:rPr>
              <w:t xml:space="preserve"> </w:t>
            </w:r>
            <w:r>
              <w:rPr>
                <w:rFonts w:hint="eastAsia" w:ascii="宋体" w:hAnsi="宋体" w:cs="宋体"/>
                <w:color w:val="auto"/>
                <w:sz w:val="21"/>
                <w:szCs w:val="21"/>
                <w:u w:val="single"/>
                <w:shd w:val="clear" w:color="auto" w:fill="auto"/>
                <w:lang w:val="en-US" w:eastAsia="zh-CN"/>
              </w:rPr>
              <w:t>1</w:t>
            </w:r>
            <w:r>
              <w:rPr>
                <w:rFonts w:hint="eastAsia" w:ascii="宋体" w:hAnsi="宋体" w:cs="宋体"/>
                <w:color w:val="auto"/>
                <w:sz w:val="21"/>
                <w:szCs w:val="21"/>
                <w:u w:val="single"/>
                <w:shd w:val="clear" w:color="auto" w:fill="auto"/>
              </w:rPr>
              <w:t xml:space="preserve"> </w:t>
            </w:r>
            <w:r>
              <w:rPr>
                <w:rFonts w:hint="eastAsia" w:ascii="宋体" w:hAnsi="宋体" w:cs="宋体"/>
                <w:color w:val="auto"/>
                <w:sz w:val="21"/>
                <w:szCs w:val="21"/>
                <w:shd w:val="clear" w:color="auto" w:fill="auto"/>
              </w:rPr>
              <w:t>年，投标文件中须承诺，否则作无效标处理。</w:t>
            </w:r>
          </w:p>
          <w:p>
            <w:pPr>
              <w:outlineLvl w:val="0"/>
              <w:rPr>
                <w:rFonts w:hint="eastAsia" w:ascii="宋体" w:hAnsi="宋体" w:cs="宋体"/>
                <w:color w:val="auto"/>
                <w:sz w:val="21"/>
                <w:szCs w:val="21"/>
                <w:shd w:val="clear" w:color="auto" w:fill="auto"/>
              </w:rPr>
            </w:pPr>
            <w:r>
              <w:rPr>
                <w:rFonts w:hint="eastAsia" w:ascii="宋体" w:hAnsi="宋体" w:cs="宋体"/>
                <w:color w:val="auto"/>
                <w:sz w:val="21"/>
                <w:szCs w:val="21"/>
                <w:shd w:val="clear" w:color="auto" w:fill="auto"/>
              </w:rPr>
              <w:t>（2）需提供24小时服务，技术人员须在接到电话后24小时内赶到现场，提供需要的服务。</w:t>
            </w:r>
          </w:p>
          <w:p>
            <w:pPr>
              <w:outlineLvl w:val="0"/>
              <w:rPr>
                <w:rFonts w:hint="eastAsia" w:ascii="宋体" w:hAnsi="宋体" w:cs="宋体"/>
                <w:color w:val="auto"/>
                <w:sz w:val="21"/>
                <w:szCs w:val="21"/>
                <w:shd w:val="clear" w:color="auto" w:fill="auto"/>
              </w:rPr>
            </w:pPr>
            <w:r>
              <w:rPr>
                <w:rFonts w:hint="eastAsia" w:ascii="宋体" w:hAnsi="宋体" w:cs="宋体"/>
                <w:color w:val="auto"/>
                <w:sz w:val="21"/>
                <w:szCs w:val="21"/>
                <w:shd w:val="clear" w:color="auto" w:fill="auto"/>
              </w:rPr>
              <w:t>（3）在质保期期间，投标人应提供正常保养服务，因产品制造质量不良而产生损坏或不能正常工作，投标人应提供免费维修。</w:t>
            </w:r>
          </w:p>
          <w:p>
            <w:pPr>
              <w:outlineLvl w:val="0"/>
              <w:rPr>
                <w:rFonts w:hint="eastAsia" w:ascii="宋体" w:hAnsi="宋体" w:cs="宋体"/>
                <w:color w:val="auto"/>
                <w:sz w:val="21"/>
                <w:szCs w:val="21"/>
                <w:shd w:val="clear" w:color="auto" w:fill="auto"/>
              </w:rPr>
            </w:pPr>
            <w:r>
              <w:rPr>
                <w:rFonts w:hint="eastAsia" w:ascii="宋体" w:hAnsi="宋体" w:cs="宋体"/>
                <w:color w:val="auto"/>
                <w:sz w:val="21"/>
                <w:szCs w:val="21"/>
                <w:shd w:val="clear" w:color="auto" w:fill="auto"/>
              </w:rPr>
              <w:t>（4）在质保期内的工作应包括对所有设备常规检查等。</w:t>
            </w:r>
          </w:p>
          <w:p>
            <w:pPr>
              <w:outlineLvl w:val="0"/>
              <w:rPr>
                <w:rFonts w:hint="eastAsia" w:ascii="宋体" w:hAnsi="宋体" w:cs="宋体"/>
                <w:color w:val="auto"/>
                <w:sz w:val="21"/>
                <w:szCs w:val="21"/>
                <w:shd w:val="clear" w:color="auto" w:fill="auto"/>
              </w:rPr>
            </w:pPr>
            <w:r>
              <w:rPr>
                <w:rFonts w:hint="eastAsia" w:ascii="宋体" w:hAnsi="宋体" w:cs="宋体"/>
                <w:color w:val="auto"/>
                <w:sz w:val="21"/>
                <w:szCs w:val="21"/>
                <w:shd w:val="clear" w:color="auto" w:fill="auto"/>
              </w:rPr>
              <w:t>（5）在质保期内为保证设备正常运行，需要更换的耗材，投标人应免费提供。质保期满后需要更换的耗材，投标人出售的价格不得高于市场价。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3"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质量要求</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设备质量须达到国家规定标准及相关行业规范。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23"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合同终止</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1、采购人有权在货物的生产加工期间到中标方的工厂查看原料、加工工艺和货物实样，不符合采购人要求的，中标方应予以整改，拒不整改的，采购人有权终止合同。</w:t>
            </w:r>
          </w:p>
          <w:p>
            <w:pPr>
              <w:outlineLvl w:val="0"/>
              <w:rPr>
                <w:rFonts w:hint="eastAsia" w:ascii="宋体" w:hAnsi="宋体" w:cs="宋体"/>
                <w:sz w:val="21"/>
                <w:szCs w:val="21"/>
              </w:rPr>
            </w:pPr>
            <w:r>
              <w:rPr>
                <w:rFonts w:hint="eastAsia" w:ascii="宋体" w:hAnsi="宋体" w:cs="宋体"/>
                <w:sz w:val="21"/>
                <w:szCs w:val="21"/>
              </w:rPr>
              <w:t>2、未能使合同货物达到合同附件规定的技术性能和指标的，采购人有权终止合同。</w:t>
            </w:r>
          </w:p>
          <w:p>
            <w:pPr>
              <w:outlineLvl w:val="0"/>
              <w:rPr>
                <w:rFonts w:hint="eastAsia" w:ascii="宋体" w:hAnsi="宋体" w:cs="宋体"/>
                <w:sz w:val="21"/>
                <w:szCs w:val="21"/>
              </w:rPr>
            </w:pPr>
            <w:r>
              <w:rPr>
                <w:rFonts w:hint="eastAsia" w:ascii="宋体" w:hAnsi="宋体" w:cs="宋体"/>
                <w:sz w:val="21"/>
                <w:szCs w:val="21"/>
              </w:rPr>
              <w:t>3、未能在合同规定的期限（或采购人同意延长的最终期限）内提供全部或部分货物的，采购人有权终止合同。</w:t>
            </w:r>
          </w:p>
          <w:p>
            <w:pPr>
              <w:outlineLvl w:val="0"/>
              <w:rPr>
                <w:rFonts w:hint="eastAsia" w:ascii="宋体" w:hAnsi="宋体" w:cs="宋体"/>
                <w:sz w:val="21"/>
                <w:szCs w:val="21"/>
              </w:rPr>
            </w:pPr>
            <w:r>
              <w:rPr>
                <w:rFonts w:hint="eastAsia" w:ascii="宋体" w:hAnsi="宋体" w:cs="宋体"/>
                <w:sz w:val="21"/>
                <w:szCs w:val="21"/>
              </w:rPr>
              <w:t>4、未能履行合同规定的其它义务，采购人有权终止合同。</w:t>
            </w:r>
          </w:p>
          <w:p>
            <w:pPr>
              <w:outlineLvl w:val="0"/>
              <w:rPr>
                <w:rFonts w:hint="eastAsia" w:ascii="宋体" w:hAnsi="宋体" w:cs="宋体"/>
                <w:sz w:val="21"/>
                <w:szCs w:val="21"/>
              </w:rPr>
            </w:pPr>
            <w:r>
              <w:rPr>
                <w:rFonts w:hint="eastAsia" w:ascii="宋体" w:hAnsi="宋体" w:cs="宋体"/>
                <w:sz w:val="21"/>
                <w:szCs w:val="21"/>
              </w:rPr>
              <w:t>上述因中标方原因终止合同的，一切责任由中标方承担。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配套附件、备品备件</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报价包含在投标总价中。投标文件内应详细列明配套附件及备品备件内容，如投标文件内未列全，导致设备安装时缺少相应的配套附件，应无偿免费提供。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技术支持与培训</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cs="宋体"/>
                <w:sz w:val="21"/>
                <w:szCs w:val="21"/>
              </w:rPr>
            </w:pPr>
            <w:r>
              <w:rPr>
                <w:rFonts w:hint="eastAsia" w:ascii="宋体" w:hAnsi="宋体" w:cs="宋体"/>
                <w:sz w:val="21"/>
                <w:szCs w:val="21"/>
              </w:rPr>
              <w:t>投标人应就设备的安装、启动、运行及维护等对采购人的作业人员进行免费培训，保证作业人员能熟练操作设备。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1548"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eastAsia="宋体" w:cs="宋体"/>
                <w:sz w:val="21"/>
                <w:szCs w:val="21"/>
                <w:lang w:eastAsia="zh-CN"/>
              </w:rPr>
            </w:pPr>
            <w:r>
              <w:rPr>
                <w:rFonts w:hint="eastAsia" w:ascii="宋体" w:hAnsi="宋体" w:cs="宋体"/>
                <w:sz w:val="21"/>
                <w:szCs w:val="21"/>
                <w:lang w:eastAsia="zh-CN"/>
              </w:rPr>
              <w:t>总包配合</w:t>
            </w:r>
          </w:p>
        </w:tc>
        <w:tc>
          <w:tcPr>
            <w:tcW w:w="7851" w:type="dxa"/>
            <w:tcBorders>
              <w:top w:val="single" w:color="auto" w:sz="4" w:space="0"/>
              <w:left w:val="single" w:color="auto" w:sz="4" w:space="0"/>
              <w:bottom w:val="single" w:color="auto" w:sz="4" w:space="0"/>
              <w:right w:val="single" w:color="auto" w:sz="4" w:space="0"/>
            </w:tcBorders>
            <w:noWrap w:val="0"/>
            <w:vAlign w:val="center"/>
          </w:tcPr>
          <w:p>
            <w:pPr>
              <w:outlineLvl w:val="0"/>
              <w:rPr>
                <w:rFonts w:hint="eastAsia" w:ascii="宋体" w:hAnsi="宋体" w:eastAsia="宋体" w:cs="宋体"/>
                <w:sz w:val="21"/>
                <w:szCs w:val="21"/>
                <w:lang w:eastAsia="zh-CN"/>
              </w:rPr>
            </w:pPr>
            <w:r>
              <w:rPr>
                <w:rFonts w:hint="eastAsia" w:ascii="宋体" w:hAnsi="宋体" w:cs="宋体"/>
                <w:sz w:val="21"/>
                <w:szCs w:val="21"/>
                <w:lang w:eastAsia="zh-CN"/>
              </w:rPr>
              <w:t>投标</w:t>
            </w:r>
            <w:r>
              <w:rPr>
                <w:rFonts w:hint="eastAsia" w:ascii="宋体" w:hAnsi="宋体" w:cs="宋体"/>
                <w:sz w:val="21"/>
                <w:szCs w:val="21"/>
                <w:lang w:val="en-US" w:eastAsia="zh-CN"/>
              </w:rPr>
              <w:t>供应商</w:t>
            </w:r>
            <w:r>
              <w:rPr>
                <w:rFonts w:hint="eastAsia" w:ascii="宋体" w:hAnsi="宋体" w:cs="宋体"/>
                <w:sz w:val="21"/>
                <w:szCs w:val="21"/>
                <w:lang w:eastAsia="zh-CN"/>
              </w:rPr>
              <w:t>中标后，须与总包单位做好各个设备点位的水电接口布置的配合工作。</w:t>
            </w:r>
          </w:p>
        </w:tc>
      </w:tr>
    </w:tbl>
    <w:p>
      <w:pPr>
        <w:tabs>
          <w:tab w:val="left" w:pos="8280"/>
        </w:tabs>
        <w:autoSpaceDE w:val="0"/>
        <w:autoSpaceDN w:val="0"/>
        <w:adjustRightInd w:val="0"/>
        <w:spacing w:line="360" w:lineRule="auto"/>
        <w:rPr>
          <w:rFonts w:hint="eastAsia" w:ascii="宋体" w:hAnsi="宋体"/>
          <w:b/>
          <w:color w:val="auto"/>
          <w:sz w:val="21"/>
          <w:szCs w:val="21"/>
          <w:highlight w:val="none"/>
          <w:shd w:val="clear" w:color="auto" w:fill="auto"/>
          <w:lang w:val="en-US" w:eastAsia="zh-CN"/>
        </w:rPr>
      </w:pPr>
    </w:p>
    <w:p>
      <w:pPr>
        <w:tabs>
          <w:tab w:val="left" w:pos="8280"/>
        </w:tabs>
        <w:autoSpaceDE w:val="0"/>
        <w:autoSpaceDN w:val="0"/>
        <w:adjustRightInd w:val="0"/>
        <w:spacing w:line="360" w:lineRule="auto"/>
        <w:rPr>
          <w:rFonts w:hint="eastAsia" w:ascii="宋体" w:hAnsi="宋体"/>
          <w:b/>
          <w:color w:val="auto"/>
          <w:sz w:val="21"/>
          <w:szCs w:val="21"/>
          <w:highlight w:val="none"/>
          <w:shd w:val="clear" w:color="auto" w:fill="auto"/>
          <w:lang w:val="en-US" w:eastAsia="zh-CN"/>
        </w:rPr>
      </w:pPr>
    </w:p>
    <w:p>
      <w:pPr>
        <w:tabs>
          <w:tab w:val="left" w:pos="8280"/>
        </w:tabs>
        <w:autoSpaceDE w:val="0"/>
        <w:autoSpaceDN w:val="0"/>
        <w:adjustRightInd w:val="0"/>
        <w:spacing w:line="360" w:lineRule="auto"/>
        <w:rPr>
          <w:rFonts w:hint="default" w:ascii="宋体" w:hAnsi="宋体" w:eastAsia="宋体" w:cs="Times New Roman"/>
          <w:b/>
          <w:color w:val="auto"/>
          <w:sz w:val="21"/>
          <w:szCs w:val="21"/>
          <w:highlight w:val="none"/>
          <w:shd w:val="clear" w:color="auto" w:fill="auto"/>
          <w:lang w:val="en-US" w:eastAsia="zh-CN"/>
        </w:rPr>
      </w:pPr>
      <w:r>
        <w:rPr>
          <w:rFonts w:hint="eastAsia" w:ascii="宋体" w:hAnsi="宋体" w:eastAsia="宋体" w:cs="Times New Roman"/>
          <w:b/>
          <w:color w:val="auto"/>
          <w:sz w:val="21"/>
          <w:szCs w:val="21"/>
          <w:highlight w:val="none"/>
          <w:shd w:val="clear" w:color="auto" w:fill="auto"/>
          <w:lang w:val="en-US" w:eastAsia="zh-CN"/>
        </w:rPr>
        <w:t>三、样品要求</w:t>
      </w:r>
    </w:p>
    <w:p>
      <w:pPr>
        <w:spacing w:line="440" w:lineRule="exact"/>
        <w:ind w:firstLine="420" w:firstLineChars="200"/>
        <w:outlineLvl w:val="0"/>
        <w:rPr>
          <w:rFonts w:hint="eastAsia" w:ascii="宋体" w:hAnsi="宋体" w:cs="宋体"/>
          <w:b w:val="0"/>
          <w:bCs w:val="0"/>
          <w:color w:val="auto"/>
          <w:sz w:val="21"/>
          <w:szCs w:val="21"/>
          <w:shd w:val="clear" w:color="auto" w:fill="auto"/>
        </w:rPr>
      </w:pPr>
      <w:r>
        <w:rPr>
          <w:rFonts w:hint="eastAsia" w:ascii="宋体" w:hAnsi="宋体" w:cs="宋体"/>
          <w:b w:val="0"/>
          <w:bCs w:val="0"/>
          <w:color w:val="auto"/>
          <w:sz w:val="21"/>
          <w:szCs w:val="21"/>
          <w:shd w:val="clear" w:color="auto" w:fill="auto"/>
          <w:lang w:val="en-US" w:eastAsia="zh-CN"/>
        </w:rPr>
        <w:t>1、</w:t>
      </w:r>
      <w:r>
        <w:rPr>
          <w:rFonts w:hint="eastAsia" w:ascii="宋体" w:hAnsi="宋体" w:cs="宋体"/>
          <w:b w:val="0"/>
          <w:bCs w:val="0"/>
          <w:color w:val="auto"/>
          <w:sz w:val="21"/>
          <w:szCs w:val="21"/>
          <w:shd w:val="clear" w:color="auto" w:fill="auto"/>
        </w:rPr>
        <w:t>投标</w:t>
      </w:r>
      <w:r>
        <w:rPr>
          <w:rFonts w:hint="eastAsia" w:ascii="宋体" w:hAnsi="宋体" w:cs="宋体"/>
          <w:b w:val="0"/>
          <w:bCs w:val="0"/>
          <w:color w:val="auto"/>
          <w:sz w:val="21"/>
          <w:szCs w:val="21"/>
          <w:shd w:val="clear" w:color="auto" w:fill="auto"/>
          <w:lang w:val="en-US" w:eastAsia="zh-CN"/>
        </w:rPr>
        <w:t>供应商</w:t>
      </w:r>
      <w:r>
        <w:rPr>
          <w:rFonts w:hint="eastAsia" w:ascii="宋体" w:hAnsi="宋体" w:cs="宋体"/>
          <w:b w:val="0"/>
          <w:bCs w:val="0"/>
          <w:color w:val="auto"/>
          <w:sz w:val="21"/>
          <w:szCs w:val="21"/>
          <w:shd w:val="clear" w:color="auto" w:fill="auto"/>
        </w:rPr>
        <w:t>投标时需提供移门调理台带锁</w:t>
      </w:r>
      <w:r>
        <w:rPr>
          <w:rFonts w:hint="eastAsia" w:ascii="宋体" w:hAnsi="宋体" w:cs="宋体"/>
          <w:b w:val="0"/>
          <w:bCs w:val="0"/>
          <w:color w:val="auto"/>
          <w:sz w:val="21"/>
          <w:szCs w:val="21"/>
          <w:shd w:val="clear" w:color="auto" w:fill="auto"/>
          <w:lang w:eastAsia="zh-CN"/>
        </w:rPr>
        <w:t>、</w:t>
      </w:r>
      <w:r>
        <w:rPr>
          <w:rFonts w:hint="eastAsia" w:ascii="宋体" w:hAnsi="宋体" w:cs="宋体"/>
          <w:b w:val="0"/>
          <w:bCs w:val="0"/>
          <w:color w:val="auto"/>
          <w:sz w:val="21"/>
          <w:szCs w:val="21"/>
          <w:shd w:val="clear" w:color="auto" w:fill="auto"/>
        </w:rPr>
        <w:t>环保油烟净化一体机</w:t>
      </w:r>
      <w:r>
        <w:rPr>
          <w:rFonts w:hint="eastAsia" w:ascii="宋体" w:hAnsi="宋体" w:cs="宋体"/>
          <w:b w:val="0"/>
          <w:bCs w:val="0"/>
          <w:color w:val="auto"/>
          <w:sz w:val="21"/>
          <w:szCs w:val="21"/>
          <w:shd w:val="clear" w:color="auto" w:fill="auto"/>
          <w:lang w:eastAsia="zh-CN"/>
        </w:rPr>
        <w:t>、</w:t>
      </w:r>
      <w:r>
        <w:rPr>
          <w:rFonts w:hint="eastAsia" w:ascii="宋体" w:hAnsi="宋体" w:cs="宋体"/>
          <w:b w:val="0"/>
          <w:bCs w:val="0"/>
          <w:color w:val="auto"/>
          <w:sz w:val="21"/>
          <w:szCs w:val="21"/>
          <w:shd w:val="clear" w:color="auto" w:fill="auto"/>
        </w:rPr>
        <w:t>热风循环高温消毒柜</w:t>
      </w:r>
      <w:r>
        <w:rPr>
          <w:rFonts w:hint="eastAsia" w:ascii="宋体" w:hAnsi="宋体" w:cs="宋体"/>
          <w:b w:val="0"/>
          <w:bCs w:val="0"/>
          <w:color w:val="auto"/>
          <w:sz w:val="21"/>
          <w:szCs w:val="21"/>
          <w:shd w:val="clear" w:color="auto" w:fill="auto"/>
          <w:lang w:val="en-US" w:eastAsia="zh-CN"/>
        </w:rPr>
        <w:t>样品各一套（详见采购清单要求）</w:t>
      </w:r>
      <w:r>
        <w:rPr>
          <w:rFonts w:hint="eastAsia" w:ascii="宋体" w:hAnsi="宋体" w:cs="宋体"/>
          <w:b w:val="0"/>
          <w:bCs w:val="0"/>
          <w:color w:val="auto"/>
          <w:sz w:val="21"/>
          <w:szCs w:val="21"/>
          <w:shd w:val="clear" w:color="auto" w:fill="auto"/>
        </w:rPr>
        <w:t>。</w:t>
      </w:r>
    </w:p>
    <w:p>
      <w:pPr>
        <w:spacing w:line="440" w:lineRule="exact"/>
        <w:ind w:firstLine="420" w:firstLineChars="200"/>
        <w:outlineLvl w:val="0"/>
        <w:rPr>
          <w:rFonts w:hint="eastAsia" w:ascii="宋体" w:hAnsi="宋体" w:cs="宋体"/>
          <w:b w:val="0"/>
          <w:bCs w:val="0"/>
          <w:color w:val="auto"/>
          <w:sz w:val="21"/>
          <w:szCs w:val="21"/>
          <w:shd w:val="clear" w:color="auto" w:fill="auto"/>
          <w:lang w:eastAsia="zh-CN"/>
        </w:rPr>
      </w:pPr>
      <w:r>
        <w:rPr>
          <w:rFonts w:hint="eastAsia" w:ascii="宋体" w:hAnsi="宋体" w:cs="宋体"/>
          <w:b w:val="0"/>
          <w:bCs w:val="0"/>
          <w:color w:val="auto"/>
          <w:sz w:val="21"/>
          <w:szCs w:val="21"/>
          <w:shd w:val="clear" w:color="auto" w:fill="auto"/>
          <w:lang w:val="en-US" w:eastAsia="zh-CN"/>
        </w:rPr>
        <w:t>2、</w:t>
      </w:r>
      <w:r>
        <w:rPr>
          <w:rFonts w:hint="eastAsia" w:ascii="宋体" w:hAnsi="宋体" w:cs="宋体"/>
          <w:b w:val="0"/>
          <w:bCs w:val="0"/>
          <w:color w:val="auto"/>
          <w:sz w:val="21"/>
          <w:szCs w:val="21"/>
          <w:shd w:val="clear" w:color="auto" w:fill="auto"/>
          <w:lang w:eastAsia="zh-CN"/>
        </w:rPr>
        <w:t>提供的样品上不得出现投标</w:t>
      </w:r>
      <w:r>
        <w:rPr>
          <w:rFonts w:hint="eastAsia" w:ascii="宋体" w:hAnsi="宋体" w:cs="宋体"/>
          <w:b w:val="0"/>
          <w:bCs w:val="0"/>
          <w:color w:val="auto"/>
          <w:sz w:val="21"/>
          <w:szCs w:val="21"/>
          <w:shd w:val="clear" w:color="auto" w:fill="auto"/>
          <w:lang w:val="en-US" w:eastAsia="zh-CN"/>
        </w:rPr>
        <w:t>供应商</w:t>
      </w:r>
      <w:r>
        <w:rPr>
          <w:rFonts w:hint="eastAsia" w:ascii="宋体" w:hAnsi="宋体" w:cs="宋体"/>
          <w:b w:val="0"/>
          <w:bCs w:val="0"/>
          <w:color w:val="auto"/>
          <w:sz w:val="21"/>
          <w:szCs w:val="21"/>
          <w:shd w:val="clear" w:color="auto" w:fill="auto"/>
          <w:lang w:eastAsia="zh-CN"/>
        </w:rPr>
        <w:t>特有的标志标识，如有，则须对投标</w:t>
      </w:r>
      <w:r>
        <w:rPr>
          <w:rFonts w:hint="eastAsia" w:ascii="宋体" w:hAnsi="宋体" w:cs="宋体"/>
          <w:b w:val="0"/>
          <w:bCs w:val="0"/>
          <w:color w:val="auto"/>
          <w:sz w:val="21"/>
          <w:szCs w:val="21"/>
          <w:shd w:val="clear" w:color="auto" w:fill="auto"/>
          <w:lang w:val="en-US" w:eastAsia="zh-CN"/>
        </w:rPr>
        <w:t>供应商</w:t>
      </w:r>
      <w:r>
        <w:rPr>
          <w:rFonts w:hint="eastAsia" w:ascii="宋体" w:hAnsi="宋体" w:cs="宋体"/>
          <w:b w:val="0"/>
          <w:bCs w:val="0"/>
          <w:color w:val="auto"/>
          <w:sz w:val="21"/>
          <w:szCs w:val="21"/>
          <w:shd w:val="clear" w:color="auto" w:fill="auto"/>
          <w:lang w:eastAsia="zh-CN"/>
        </w:rPr>
        <w:t>特有的标志标识进行密封或遮挡。提交样品后，由采购人（或采购代理单位）给与投标</w:t>
      </w:r>
      <w:r>
        <w:rPr>
          <w:rFonts w:hint="eastAsia" w:ascii="宋体" w:hAnsi="宋体" w:cs="宋体"/>
          <w:b w:val="0"/>
          <w:bCs w:val="0"/>
          <w:color w:val="auto"/>
          <w:sz w:val="21"/>
          <w:szCs w:val="21"/>
          <w:shd w:val="clear" w:color="auto" w:fill="auto"/>
          <w:lang w:val="en-US" w:eastAsia="zh-CN"/>
        </w:rPr>
        <w:t>供应商</w:t>
      </w:r>
      <w:r>
        <w:rPr>
          <w:rFonts w:hint="eastAsia" w:ascii="宋体" w:hAnsi="宋体" w:cs="宋体"/>
          <w:b w:val="0"/>
          <w:bCs w:val="0"/>
          <w:color w:val="auto"/>
          <w:sz w:val="21"/>
          <w:szCs w:val="21"/>
          <w:shd w:val="clear" w:color="auto" w:fill="auto"/>
          <w:lang w:eastAsia="zh-CN"/>
        </w:rPr>
        <w:t>随机编号，评委根据编号顺序进行评审。</w:t>
      </w:r>
    </w:p>
    <w:p>
      <w:pPr>
        <w:spacing w:line="440" w:lineRule="exact"/>
        <w:ind w:firstLine="420" w:firstLineChars="200"/>
        <w:outlineLvl w:val="0"/>
        <w:rPr>
          <w:rFonts w:hint="eastAsia" w:ascii="宋体" w:hAnsi="宋体" w:cs="宋体"/>
          <w:b w:val="0"/>
          <w:bCs w:val="0"/>
          <w:color w:val="auto"/>
          <w:sz w:val="21"/>
          <w:szCs w:val="21"/>
          <w:shd w:val="clear" w:color="auto" w:fill="auto"/>
          <w:lang w:val="en-US" w:eastAsia="zh-CN"/>
        </w:rPr>
      </w:pPr>
      <w:r>
        <w:rPr>
          <w:rFonts w:hint="eastAsia" w:ascii="宋体" w:hAnsi="宋体" w:cs="宋体"/>
          <w:b w:val="0"/>
          <w:bCs w:val="0"/>
          <w:color w:val="auto"/>
          <w:sz w:val="21"/>
          <w:szCs w:val="21"/>
          <w:shd w:val="clear" w:color="auto" w:fill="auto"/>
          <w:lang w:val="en-US" w:eastAsia="zh-CN"/>
        </w:rPr>
        <w:t>3、供应商应按照招标文件的要求提供样品，样品仅作为评分项，评委按招标文件规定的评分方法和评分标准对样品进行评议，未提供样品或提供不全，则该份样品分为零分，样品不符合招标文件要求的，按招标文件规定扣减得分，样品质量不影响其报价文件的有效性。</w:t>
      </w:r>
    </w:p>
    <w:p>
      <w:pPr>
        <w:spacing w:line="440" w:lineRule="exact"/>
        <w:ind w:firstLine="420" w:firstLineChars="200"/>
        <w:outlineLvl w:val="0"/>
        <w:rPr>
          <w:rFonts w:hint="eastAsia" w:ascii="宋体" w:hAnsi="宋体" w:cs="宋体"/>
          <w:b w:val="0"/>
          <w:bCs w:val="0"/>
          <w:color w:val="auto"/>
          <w:sz w:val="21"/>
          <w:szCs w:val="21"/>
          <w:shd w:val="clear" w:color="auto" w:fill="auto"/>
          <w:lang w:val="en-US" w:eastAsia="zh-CN"/>
        </w:rPr>
      </w:pPr>
      <w:r>
        <w:rPr>
          <w:rFonts w:hint="eastAsia" w:ascii="宋体" w:hAnsi="宋体" w:cs="宋体"/>
          <w:b w:val="0"/>
          <w:bCs w:val="0"/>
          <w:color w:val="auto"/>
          <w:sz w:val="21"/>
          <w:szCs w:val="21"/>
          <w:shd w:val="clear" w:color="auto" w:fill="auto"/>
          <w:lang w:val="en-US" w:eastAsia="zh-CN"/>
        </w:rPr>
        <w:t>4、样品随投标文件递交，递交截止时间同投标文件递交截止时间，逾期将不接受样品递交。样品未提供者样品分不得分。样品递交地点：象山县公共资源交易中心一楼【象山县象山港路300号】。</w:t>
      </w:r>
    </w:p>
    <w:p>
      <w:pPr>
        <w:spacing w:line="440" w:lineRule="exact"/>
        <w:ind w:firstLine="420" w:firstLineChars="200"/>
        <w:outlineLvl w:val="0"/>
        <w:rPr>
          <w:rFonts w:hint="eastAsia" w:ascii="宋体" w:hAnsi="宋体" w:cs="宋体"/>
          <w:b w:val="0"/>
          <w:bCs w:val="0"/>
          <w:color w:val="auto"/>
          <w:sz w:val="21"/>
          <w:szCs w:val="21"/>
          <w:shd w:val="clear" w:color="auto" w:fill="auto"/>
          <w:lang w:val="en-US" w:eastAsia="zh-CN"/>
        </w:rPr>
      </w:pPr>
      <w:r>
        <w:rPr>
          <w:rFonts w:hint="eastAsia" w:ascii="宋体" w:hAnsi="宋体" w:cs="宋体"/>
          <w:b w:val="0"/>
          <w:bCs w:val="0"/>
          <w:color w:val="auto"/>
          <w:sz w:val="21"/>
          <w:szCs w:val="21"/>
          <w:shd w:val="clear" w:color="auto" w:fill="auto"/>
          <w:lang w:val="en-US" w:eastAsia="zh-CN"/>
        </w:rPr>
        <w:t>5、样品递交联系人：陈家乐  联系方式：15058009060。</w:t>
      </w:r>
    </w:p>
    <w:p>
      <w:pPr>
        <w:spacing w:line="440" w:lineRule="exact"/>
        <w:ind w:firstLine="420" w:firstLineChars="200"/>
        <w:outlineLvl w:val="0"/>
        <w:rPr>
          <w:rFonts w:hint="eastAsia" w:ascii="宋体" w:hAnsi="宋体" w:cs="宋体"/>
          <w:b w:val="0"/>
          <w:bCs w:val="0"/>
          <w:color w:val="auto"/>
          <w:sz w:val="21"/>
          <w:szCs w:val="21"/>
          <w:shd w:val="clear" w:color="auto" w:fill="auto"/>
          <w:lang w:val="en-US" w:eastAsia="zh-CN"/>
        </w:rPr>
      </w:pPr>
      <w:r>
        <w:rPr>
          <w:rFonts w:hint="eastAsia" w:ascii="宋体" w:hAnsi="宋体" w:cs="宋体"/>
          <w:b w:val="0"/>
          <w:bCs w:val="0"/>
          <w:color w:val="auto"/>
          <w:sz w:val="21"/>
          <w:szCs w:val="21"/>
          <w:shd w:val="clear" w:color="auto" w:fill="auto"/>
          <w:lang w:val="en-US" w:eastAsia="zh-CN"/>
        </w:rPr>
        <w:t>6、供应商自行负责样品的防护及防盗，由于防护及防盗措施不当造成的损失由供应商自行承担。</w:t>
      </w:r>
    </w:p>
    <w:p>
      <w:pPr>
        <w:spacing w:line="440" w:lineRule="exact"/>
        <w:ind w:firstLine="420" w:firstLineChars="200"/>
        <w:outlineLvl w:val="0"/>
        <w:rPr>
          <w:rFonts w:hint="eastAsia" w:ascii="宋体" w:hAnsi="宋体" w:cs="宋体"/>
          <w:b w:val="0"/>
          <w:bCs w:val="0"/>
          <w:color w:val="auto"/>
          <w:sz w:val="21"/>
          <w:szCs w:val="21"/>
          <w:shd w:val="clear" w:color="auto" w:fill="auto"/>
          <w:lang w:eastAsia="zh-CN"/>
        </w:rPr>
      </w:pPr>
      <w:r>
        <w:rPr>
          <w:rFonts w:hint="eastAsia" w:ascii="宋体" w:hAnsi="宋体" w:cs="宋体"/>
          <w:b w:val="0"/>
          <w:bCs w:val="0"/>
          <w:color w:val="auto"/>
          <w:sz w:val="21"/>
          <w:szCs w:val="21"/>
          <w:shd w:val="clear" w:color="auto" w:fill="auto"/>
          <w:lang w:val="en-US" w:eastAsia="zh-CN"/>
        </w:rPr>
        <w:t>7、评标结束后，第一中标候选人的样品交于采购人进行封存，不予退回，作为验收的依据，如实际供货效果不符合招标文件标准要求及样品标准的，一切后果由中标供应商承担；其余投标供应商的样品自招标结束后2日内自行取回，逾期未取回的，视作无主物由招标人自行处理。送样品一切费用，由投标供应商自行承担。</w:t>
      </w:r>
    </w:p>
    <w:p>
      <w:pPr>
        <w:widowControl/>
        <w:numPr>
          <w:ilvl w:val="0"/>
          <w:numId w:val="0"/>
        </w:numPr>
        <w:spacing w:line="360" w:lineRule="auto"/>
        <w:contextualSpacing/>
        <w:jc w:val="left"/>
        <w:rPr>
          <w:rFonts w:hint="eastAsia" w:ascii="宋体" w:hAnsi="宋体" w:eastAsia="宋体" w:cs="宋体"/>
          <w:sz w:val="21"/>
          <w:szCs w:val="21"/>
          <w:lang w:eastAsia="zh-CN"/>
        </w:rPr>
      </w:pPr>
    </w:p>
    <w:p>
      <w:pPr>
        <w:keepNext w:val="0"/>
        <w:keepLines w:val="0"/>
        <w:pageBreakBefore w:val="0"/>
        <w:widowControl w:val="0"/>
        <w:kinsoku/>
        <w:wordWrap/>
        <w:overflowPunct/>
        <w:topLinePunct w:val="0"/>
        <w:autoSpaceDE/>
        <w:autoSpaceDN/>
        <w:bidi w:val="0"/>
        <w:adjustRightInd/>
        <w:snapToGrid w:val="0"/>
        <w:spacing w:line="390" w:lineRule="exact"/>
        <w:textAlignment w:val="auto"/>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pStyle w:val="45"/>
        <w:rPr>
          <w:rFonts w:hint="eastAsia" w:ascii="宋体" w:hAnsi="宋体" w:eastAsia="宋体" w:cs="宋体"/>
          <w:snapToGrid w:val="0"/>
          <w:kern w:val="0"/>
          <w:sz w:val="21"/>
          <w:szCs w:val="21"/>
        </w:rPr>
      </w:pPr>
    </w:p>
    <w:p>
      <w:pPr>
        <w:jc w:val="center"/>
        <w:outlineLvl w:val="0"/>
        <w:rPr>
          <w:rFonts w:hint="eastAsia" w:ascii="宋体" w:hAnsi="宋体" w:eastAsia="宋体" w:cs="宋体"/>
          <w:b/>
          <w:bCs/>
          <w:sz w:val="28"/>
          <w:szCs w:val="28"/>
        </w:rPr>
      </w:pPr>
      <w:r>
        <w:rPr>
          <w:rFonts w:hint="eastAsia" w:ascii="宋体" w:hAnsi="宋体" w:eastAsia="宋体" w:cs="宋体"/>
          <w:b/>
          <w:bCs/>
          <w:sz w:val="28"/>
          <w:szCs w:val="28"/>
        </w:rPr>
        <w:t>第</w:t>
      </w:r>
      <w:bookmarkEnd w:id="24"/>
      <w:r>
        <w:rPr>
          <w:rFonts w:hint="eastAsia" w:ascii="宋体" w:hAnsi="宋体" w:eastAsia="宋体" w:cs="宋体"/>
          <w:b/>
          <w:bCs/>
          <w:sz w:val="28"/>
          <w:szCs w:val="28"/>
        </w:rPr>
        <w:t>三章  供应商须知</w:t>
      </w:r>
    </w:p>
    <w:p>
      <w:pPr>
        <w:spacing w:line="440" w:lineRule="exact"/>
        <w:ind w:firstLine="482"/>
        <w:jc w:val="center"/>
        <w:rPr>
          <w:rFonts w:hint="eastAsia" w:ascii="宋体" w:hAnsi="宋体" w:eastAsia="宋体" w:cs="宋体"/>
          <w:b/>
          <w:bCs/>
          <w:sz w:val="21"/>
          <w:szCs w:val="21"/>
        </w:rPr>
      </w:pPr>
      <w:r>
        <w:rPr>
          <w:rFonts w:hint="eastAsia" w:ascii="宋体" w:hAnsi="宋体" w:eastAsia="宋体" w:cs="宋体"/>
          <w:b/>
          <w:bCs/>
          <w:sz w:val="21"/>
          <w:szCs w:val="21"/>
        </w:rPr>
        <w:t>前附表</w:t>
      </w:r>
    </w:p>
    <w:tbl>
      <w:tblPr>
        <w:tblStyle w:val="28"/>
        <w:tblW w:w="945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80"/>
        <w:gridCol w:w="867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780" w:type="dxa"/>
            <w:tcBorders>
              <w:top w:val="double" w:color="auto" w:sz="2" w:space="0"/>
              <w:left w:val="double" w:color="auto" w:sz="2" w:space="0"/>
              <w:bottom w:val="double" w:color="auto" w:sz="2" w:space="0"/>
              <w:right w:val="single" w:color="auto" w:sz="4" w:space="0"/>
            </w:tcBorders>
            <w:noWrap w:val="0"/>
            <w:vAlign w:val="center"/>
          </w:tcPr>
          <w:p>
            <w:pPr>
              <w:snapToGrid w:val="0"/>
              <w:spacing w:line="50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8672" w:type="dxa"/>
            <w:tcBorders>
              <w:top w:val="double" w:color="auto" w:sz="2" w:space="0"/>
              <w:left w:val="single" w:color="auto" w:sz="4" w:space="0"/>
              <w:bottom w:val="double" w:color="auto" w:sz="2" w:space="0"/>
              <w:right w:val="double" w:color="auto" w:sz="2" w:space="0"/>
            </w:tcBorders>
            <w:noWrap w:val="0"/>
            <w:vAlign w:val="center"/>
          </w:tcPr>
          <w:p>
            <w:pPr>
              <w:snapToGrid w:val="0"/>
              <w:spacing w:line="500" w:lineRule="exact"/>
              <w:jc w:val="center"/>
              <w:rPr>
                <w:rFonts w:hint="eastAsia" w:ascii="宋体" w:hAnsi="宋体" w:eastAsia="宋体" w:cs="宋体"/>
                <w:b/>
                <w:bCs/>
                <w:sz w:val="21"/>
                <w:szCs w:val="21"/>
              </w:rPr>
            </w:pPr>
            <w:r>
              <w:rPr>
                <w:rFonts w:hint="eastAsia" w:ascii="宋体" w:hAnsi="宋体" w:eastAsia="宋体" w:cs="宋体"/>
                <w:b/>
                <w:bCs/>
                <w:sz w:val="21"/>
                <w:szCs w:val="21"/>
              </w:rPr>
              <w:t>内容、要求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80" w:type="dxa"/>
            <w:tcBorders>
              <w:top w:val="double" w:color="auto" w:sz="2"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w:t>
            </w:r>
          </w:p>
        </w:tc>
        <w:tc>
          <w:tcPr>
            <w:tcW w:w="8672" w:type="dxa"/>
            <w:tcBorders>
              <w:top w:val="double" w:color="auto" w:sz="2" w:space="0"/>
              <w:left w:val="single" w:color="auto" w:sz="4" w:space="0"/>
              <w:bottom w:val="single" w:color="auto" w:sz="4" w:space="0"/>
              <w:right w:val="double" w:color="auto" w:sz="2" w:space="0"/>
            </w:tcBorders>
            <w:noWrap w:val="0"/>
            <w:vAlign w:val="center"/>
          </w:tcPr>
          <w:p>
            <w:pPr>
              <w:adjustRightInd w:val="0"/>
              <w:spacing w:line="500" w:lineRule="exact"/>
              <w:rPr>
                <w:rFonts w:hint="eastAsia" w:ascii="宋体" w:hAnsi="宋体" w:eastAsia="宋体" w:cs="宋体"/>
                <w:sz w:val="21"/>
                <w:szCs w:val="21"/>
                <w:lang w:eastAsia="zh-CN"/>
              </w:rPr>
            </w:pPr>
            <w:r>
              <w:rPr>
                <w:rFonts w:hint="eastAsia" w:ascii="宋体" w:hAnsi="宋体" w:eastAsia="宋体" w:cs="宋体"/>
                <w:sz w:val="21"/>
                <w:szCs w:val="21"/>
              </w:rPr>
              <w:t>项目名称：</w:t>
            </w:r>
            <w:r>
              <w:rPr>
                <w:rFonts w:hint="eastAsia" w:ascii="宋体" w:hAnsi="宋体" w:eastAsia="宋体" w:cs="宋体"/>
                <w:sz w:val="21"/>
                <w:szCs w:val="21"/>
                <w:lang w:eastAsia="zh-CN"/>
              </w:rPr>
              <w:t>象山县中医医院医疗健康集团三院院区改扩建工程厨房设备采购项目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0"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2</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djustRightInd w:val="0"/>
              <w:spacing w:line="500" w:lineRule="exact"/>
              <w:rPr>
                <w:rFonts w:hint="eastAsia" w:ascii="宋体" w:hAnsi="宋体" w:eastAsia="宋体" w:cs="宋体"/>
                <w:sz w:val="21"/>
                <w:szCs w:val="21"/>
                <w:lang w:eastAsia="zh-CN"/>
              </w:rPr>
            </w:pPr>
            <w:r>
              <w:rPr>
                <w:rFonts w:hint="eastAsia" w:ascii="宋体" w:hAnsi="宋体" w:eastAsia="宋体" w:cs="宋体"/>
                <w:sz w:val="21"/>
                <w:szCs w:val="21"/>
              </w:rPr>
              <w:t>采购单位：</w:t>
            </w:r>
            <w:r>
              <w:rPr>
                <w:rFonts w:hint="eastAsia" w:ascii="宋体" w:hAnsi="宋体" w:eastAsia="宋体" w:cs="宋体"/>
                <w:sz w:val="21"/>
                <w:szCs w:val="21"/>
                <w:lang w:eastAsia="zh-CN"/>
              </w:rPr>
              <w:t>象山县中医医院医疗健康集团</w:t>
            </w:r>
          </w:p>
          <w:p>
            <w:pPr>
              <w:adjustRightInd w:val="0"/>
              <w:spacing w:line="500" w:lineRule="exact"/>
              <w:rPr>
                <w:rFonts w:hint="eastAsia" w:ascii="宋体" w:hAnsi="宋体" w:eastAsia="宋体" w:cs="宋体"/>
                <w:sz w:val="21"/>
                <w:szCs w:val="21"/>
              </w:rPr>
            </w:pPr>
            <w:r>
              <w:rPr>
                <w:rFonts w:hint="eastAsia" w:ascii="宋体" w:hAnsi="宋体" w:eastAsia="宋体" w:cs="宋体"/>
                <w:sz w:val="21"/>
                <w:szCs w:val="21"/>
              </w:rPr>
              <w:t>采购要求：具体详见“第二章  采购需求”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89"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*3</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djustRightInd w:val="0"/>
              <w:spacing w:line="500" w:lineRule="exact"/>
              <w:rPr>
                <w:rFonts w:hint="eastAsia" w:ascii="宋体" w:hAnsi="宋体" w:eastAsia="宋体" w:cs="宋体"/>
                <w:sz w:val="21"/>
                <w:szCs w:val="21"/>
              </w:rPr>
            </w:pPr>
            <w:r>
              <w:rPr>
                <w:rFonts w:hint="eastAsia" w:ascii="宋体" w:hAnsi="宋体" w:eastAsia="宋体" w:cs="宋体"/>
                <w:sz w:val="21"/>
                <w:szCs w:val="21"/>
              </w:rPr>
              <w:t>投标报价及费用：</w:t>
            </w:r>
          </w:p>
          <w:p>
            <w:pPr>
              <w:keepNext w:val="0"/>
              <w:keepLines w:val="0"/>
              <w:pageBreakBefore w:val="0"/>
              <w:widowControl w:val="0"/>
              <w:kinsoku/>
              <w:wordWrap/>
              <w:overflowPunct/>
              <w:topLinePunct w:val="0"/>
              <w:autoSpaceDE/>
              <w:autoSpaceDN/>
              <w:bidi w:val="0"/>
              <w:adjustRightInd w:val="0"/>
              <w:snapToGrid/>
              <w:spacing w:line="440" w:lineRule="exact"/>
              <w:ind w:firstLine="420" w:firstLineChars="200"/>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1、报价方式：</w:t>
            </w:r>
            <w:r>
              <w:rPr>
                <w:rFonts w:hint="eastAsia" w:ascii="宋体" w:hAnsi="宋体" w:cs="宋体"/>
                <w:sz w:val="21"/>
                <w:szCs w:val="21"/>
              </w:rPr>
              <w:t>本项目为交钥匙工程【货到采购人指定地点并安装调试完毕至试运行验收合格所包含的所有价格】，</w:t>
            </w:r>
            <w:r>
              <w:rPr>
                <w:rFonts w:hint="eastAsia" w:ascii="宋体" w:hAnsi="宋体" w:cs="宋体"/>
                <w:color w:val="auto"/>
                <w:sz w:val="21"/>
                <w:szCs w:val="21"/>
              </w:rPr>
              <w:t>供应商投标如有漏项，视同已包含在总项目中</w:t>
            </w:r>
            <w:r>
              <w:rPr>
                <w:rFonts w:hint="eastAsia" w:ascii="宋体" w:hAnsi="宋体" w:eastAsia="宋体" w:cs="宋体"/>
                <w:color w:val="auto"/>
                <w:sz w:val="21"/>
                <w:szCs w:val="21"/>
                <w:shd w:val="clear" w:color="auto" w:fill="auto"/>
                <w:lang w:eastAsia="zh-CN"/>
              </w:rPr>
              <w:t>。</w:t>
            </w:r>
          </w:p>
          <w:p>
            <w:pPr>
              <w:keepNext w:val="0"/>
              <w:keepLines w:val="0"/>
              <w:pageBreakBefore w:val="0"/>
              <w:widowControl w:val="0"/>
              <w:kinsoku/>
              <w:wordWrap/>
              <w:overflowPunct/>
              <w:topLinePunct w:val="0"/>
              <w:autoSpaceDE/>
              <w:autoSpaceDN/>
              <w:bidi w:val="0"/>
              <w:adjustRightInd w:val="0"/>
              <w:snapToGrid/>
              <w:spacing w:line="440" w:lineRule="exact"/>
              <w:ind w:firstLine="420" w:firstLineChars="200"/>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2、报价内容：包括完成整个项目所需的设备材料费、机械费、运费、保险费、现场指导、组装、安全保护、现场清理、安装（含管线）及调试费、试运行、验收、技术培训、检测、售后服务、税金及质保期内的服务等所发生的一切费用</w:t>
            </w:r>
            <w:r>
              <w:rPr>
                <w:rFonts w:hint="eastAsia" w:ascii="宋体" w:hAnsi="宋体" w:cs="宋体"/>
                <w:sz w:val="21"/>
                <w:szCs w:val="21"/>
              </w:rPr>
              <w:t>。因采购人特殊要求，增加部分工程量按实结算。采购清单中未</w:t>
            </w:r>
            <w:r>
              <w:rPr>
                <w:rFonts w:hint="eastAsia" w:ascii="宋体" w:hAnsi="宋体" w:cs="宋体"/>
                <w:sz w:val="21"/>
                <w:szCs w:val="21"/>
                <w:lang w:val="en-US" w:eastAsia="zh-CN"/>
              </w:rPr>
              <w:t>供货</w:t>
            </w:r>
            <w:r>
              <w:rPr>
                <w:rFonts w:hint="eastAsia" w:ascii="宋体" w:hAnsi="宋体" w:cs="宋体"/>
                <w:sz w:val="21"/>
                <w:szCs w:val="21"/>
              </w:rPr>
              <w:t>部分按实扣减</w:t>
            </w:r>
            <w:r>
              <w:rPr>
                <w:rFonts w:hint="eastAsia" w:ascii="宋体" w:hAnsi="宋体" w:eastAsia="宋体" w:cs="宋体"/>
                <w:color w:val="auto"/>
                <w:sz w:val="21"/>
                <w:szCs w:val="21"/>
                <w:shd w:val="clear" w:color="auto" w:fill="auto"/>
                <w:lang w:eastAsia="zh-CN"/>
              </w:rPr>
              <w:t>。</w:t>
            </w:r>
          </w:p>
          <w:p>
            <w:pPr>
              <w:keepNext w:val="0"/>
              <w:keepLines w:val="0"/>
              <w:pageBreakBefore w:val="0"/>
              <w:widowControl w:val="0"/>
              <w:kinsoku/>
              <w:wordWrap/>
              <w:overflowPunct/>
              <w:topLinePunct w:val="0"/>
              <w:autoSpaceDE/>
              <w:autoSpaceDN/>
              <w:bidi w:val="0"/>
              <w:adjustRightInd w:val="0"/>
              <w:snapToGrid/>
              <w:spacing w:line="440" w:lineRule="exact"/>
              <w:ind w:firstLine="420" w:firstLineChars="200"/>
              <w:textAlignment w:val="auto"/>
              <w:rPr>
                <w:rFonts w:hint="eastAsia" w:ascii="宋体" w:hAnsi="宋体" w:eastAsia="宋体" w:cs="宋体"/>
                <w:sz w:val="21"/>
                <w:szCs w:val="21"/>
                <w:lang w:eastAsia="zh-CN"/>
              </w:rPr>
            </w:pPr>
            <w:r>
              <w:rPr>
                <w:rFonts w:hint="eastAsia" w:ascii="宋体" w:hAnsi="宋体" w:eastAsia="宋体" w:cs="宋体"/>
                <w:color w:val="auto"/>
                <w:sz w:val="21"/>
                <w:szCs w:val="21"/>
                <w:lang w:eastAsia="zh-CN"/>
              </w:rPr>
              <w:t>3、供应商在投标时应考虑到所有报价项目，如果有遗漏，</w:t>
            </w:r>
            <w:r>
              <w:rPr>
                <w:rFonts w:hint="eastAsia" w:ascii="宋体" w:hAnsi="宋体" w:eastAsia="宋体" w:cs="宋体"/>
                <w:sz w:val="21"/>
                <w:szCs w:val="21"/>
                <w:lang w:eastAsia="zh-CN"/>
              </w:rPr>
              <w:t>自行承担风险，采购人不再支付其它费用。</w:t>
            </w:r>
          </w:p>
          <w:p>
            <w:pPr>
              <w:keepNext w:val="0"/>
              <w:keepLines w:val="0"/>
              <w:pageBreakBefore w:val="0"/>
              <w:widowControl w:val="0"/>
              <w:kinsoku/>
              <w:wordWrap/>
              <w:overflowPunct/>
              <w:topLinePunct w:val="0"/>
              <w:autoSpaceDE/>
              <w:autoSpaceDN/>
              <w:bidi w:val="0"/>
              <w:adjustRightInd w:val="0"/>
              <w:snapToGrid/>
              <w:spacing w:line="440" w:lineRule="exact"/>
              <w:ind w:firstLine="422" w:firstLineChars="200"/>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val="en-US" w:eastAsia="zh-CN"/>
              </w:rPr>
              <w:t>4</w:t>
            </w:r>
            <w:r>
              <w:rPr>
                <w:rFonts w:hint="eastAsia" w:ascii="宋体" w:hAnsi="宋体" w:eastAsia="宋体" w:cs="宋体"/>
                <w:b/>
                <w:bCs/>
                <w:sz w:val="21"/>
                <w:szCs w:val="21"/>
                <w:lang w:eastAsia="zh-CN"/>
              </w:rPr>
              <w:t>、本次招标的最高限价为：</w:t>
            </w:r>
            <w:r>
              <w:rPr>
                <w:rFonts w:hint="eastAsia" w:ascii="宋体" w:hAnsi="宋体" w:eastAsia="宋体" w:cs="宋体"/>
                <w:b/>
                <w:bCs/>
                <w:color w:val="FF0000"/>
                <w:sz w:val="21"/>
                <w:szCs w:val="21"/>
                <w:shd w:val="clear" w:color="auto" w:fill="auto"/>
                <w:lang w:eastAsia="zh-CN"/>
              </w:rPr>
              <w:t>人民币</w:t>
            </w:r>
            <w:r>
              <w:rPr>
                <w:rFonts w:hint="eastAsia" w:ascii="宋体" w:hAnsi="宋体" w:eastAsia="宋体" w:cs="宋体"/>
                <w:b/>
                <w:bCs/>
                <w:color w:val="FF0000"/>
                <w:sz w:val="21"/>
                <w:szCs w:val="21"/>
                <w:u w:val="single"/>
                <w:shd w:val="clear" w:color="auto" w:fill="auto"/>
                <w:lang w:eastAsia="zh-CN"/>
              </w:rPr>
              <w:t xml:space="preserve"> </w:t>
            </w:r>
            <w:r>
              <w:rPr>
                <w:rFonts w:hint="eastAsia" w:ascii="宋体" w:hAnsi="宋体" w:eastAsia="宋体" w:cs="宋体"/>
                <w:b/>
                <w:bCs/>
                <w:color w:val="FF0000"/>
                <w:sz w:val="21"/>
                <w:szCs w:val="21"/>
                <w:u w:val="single"/>
                <w:shd w:val="clear" w:color="auto" w:fill="auto"/>
                <w:lang w:val="en-US" w:eastAsia="zh-CN"/>
              </w:rPr>
              <w:t>58</w:t>
            </w:r>
            <w:r>
              <w:rPr>
                <w:rFonts w:hint="eastAsia" w:ascii="宋体" w:hAnsi="宋体" w:eastAsia="宋体" w:cs="宋体"/>
                <w:b/>
                <w:bCs/>
                <w:color w:val="FF0000"/>
                <w:sz w:val="21"/>
                <w:szCs w:val="21"/>
                <w:u w:val="single"/>
                <w:shd w:val="clear" w:color="auto" w:fill="auto"/>
                <w:lang w:eastAsia="zh-CN"/>
              </w:rPr>
              <w:t xml:space="preserve"> </w:t>
            </w:r>
            <w:r>
              <w:rPr>
                <w:rFonts w:hint="eastAsia" w:ascii="宋体" w:hAnsi="宋体" w:eastAsia="宋体" w:cs="宋体"/>
                <w:b/>
                <w:bCs/>
                <w:color w:val="FF0000"/>
                <w:sz w:val="21"/>
                <w:szCs w:val="21"/>
                <w:shd w:val="clear" w:color="auto" w:fill="auto"/>
                <w:lang w:eastAsia="zh-CN"/>
              </w:rPr>
              <w:t>万元</w:t>
            </w:r>
            <w:r>
              <w:rPr>
                <w:rFonts w:hint="eastAsia" w:ascii="宋体" w:hAnsi="宋体" w:eastAsia="宋体" w:cs="宋体"/>
                <w:b/>
                <w:bCs/>
                <w:sz w:val="21"/>
                <w:szCs w:val="21"/>
                <w:lang w:eastAsia="zh-CN"/>
              </w:rPr>
              <w:t>；投标报价高于最高限价的作无效标处理。</w:t>
            </w:r>
          </w:p>
          <w:p>
            <w:pPr>
              <w:keepNext w:val="0"/>
              <w:keepLines w:val="0"/>
              <w:pageBreakBefore w:val="0"/>
              <w:widowControl w:val="0"/>
              <w:kinsoku/>
              <w:wordWrap/>
              <w:overflowPunct/>
              <w:topLinePunct w:val="0"/>
              <w:autoSpaceDE/>
              <w:autoSpaceDN/>
              <w:bidi w:val="0"/>
              <w:adjustRightInd w:val="0"/>
              <w:snapToGrid/>
              <w:spacing w:line="440" w:lineRule="exact"/>
              <w:ind w:firstLine="420" w:firstLineChars="20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5</w:t>
            </w:r>
            <w:r>
              <w:rPr>
                <w:rFonts w:hint="eastAsia" w:ascii="宋体" w:hAnsi="宋体" w:eastAsia="宋体" w:cs="宋体"/>
                <w:sz w:val="21"/>
                <w:szCs w:val="21"/>
                <w:lang w:eastAsia="zh-CN"/>
              </w:rPr>
              <w:t>、本项目投标应以人民币报价。</w:t>
            </w:r>
          </w:p>
          <w:p>
            <w:pPr>
              <w:adjustRightInd w:val="0"/>
              <w:spacing w:line="50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lang w:eastAsia="zh-CN"/>
              </w:rPr>
              <w:t>、不论投标结果如何，供应商均应自行承担所有与投标有关的费用。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*4</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投标保证金金额：本项目无需提供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5</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snapToGrid w:val="0"/>
              <w:spacing w:line="500" w:lineRule="exact"/>
              <w:rPr>
                <w:rFonts w:hint="default" w:ascii="宋体" w:hAnsi="宋体" w:eastAsia="宋体" w:cs="宋体"/>
                <w:sz w:val="21"/>
                <w:szCs w:val="21"/>
                <w:lang w:val="en-US"/>
              </w:rPr>
            </w:pPr>
            <w:r>
              <w:rPr>
                <w:rFonts w:hint="eastAsia" w:ascii="宋体" w:hAnsi="宋体" w:eastAsia="宋体" w:cs="宋体"/>
                <w:sz w:val="21"/>
                <w:szCs w:val="21"/>
              </w:rPr>
              <w:t>现场踏勘：采购人不统一组织现场勘察，各供应商可在获取招标文件后自行勘察现场并承担相关费用和责任</w:t>
            </w:r>
            <w:r>
              <w:rPr>
                <w:rFonts w:hint="eastAsia" w:ascii="宋体" w:hAnsi="宋体" w:eastAsia="宋体" w:cs="宋体"/>
                <w:sz w:val="21"/>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演示时间及地点：本项目不适用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7</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答疑与澄清：供应商如认为招标文件表述不清晰、存在歧视性、排他性或者其他违法内容的，应当于开标10天前，以书面形式要求招标采购人作出书面解释、澄清或者向招标采购人提出书面质疑；招标采购人将于不专门组织答疑；如有答疑，答疑内容是招标文件的组成部份，并将以书面形式送达所有已报名的供应商；因其他紧急情况影响本项目正常招标活动的，招标采购人将于投标截止日期3天前书面通知所有已报名的供应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8</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utoSpaceDE w:val="0"/>
              <w:autoSpaceDN w:val="0"/>
              <w:snapToGrid w:val="0"/>
              <w:spacing w:line="500" w:lineRule="exact"/>
              <w:textAlignment w:val="bottom"/>
              <w:rPr>
                <w:rFonts w:hint="eastAsia" w:ascii="宋体" w:hAnsi="宋体" w:eastAsia="宋体" w:cs="宋体"/>
                <w:b/>
                <w:bCs/>
                <w:sz w:val="21"/>
                <w:szCs w:val="21"/>
              </w:rPr>
            </w:pPr>
            <w:r>
              <w:rPr>
                <w:rFonts w:hint="eastAsia" w:ascii="宋体" w:hAnsi="宋体" w:eastAsia="宋体" w:cs="宋体"/>
                <w:b/>
                <w:bCs/>
                <w:sz w:val="21"/>
                <w:szCs w:val="21"/>
              </w:rPr>
              <w:t>投标文件组成：</w:t>
            </w:r>
          </w:p>
          <w:p>
            <w:pPr>
              <w:autoSpaceDE w:val="0"/>
              <w:autoSpaceDN w:val="0"/>
              <w:snapToGrid w:val="0"/>
              <w:spacing w:line="500" w:lineRule="exact"/>
              <w:textAlignment w:val="bottom"/>
              <w:rPr>
                <w:rFonts w:hint="eastAsia" w:ascii="宋体" w:hAnsi="宋体" w:eastAsia="宋体" w:cs="宋体"/>
                <w:b/>
                <w:bCs/>
                <w:sz w:val="21"/>
                <w:szCs w:val="21"/>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1</w:t>
            </w:r>
            <w:r>
              <w:rPr>
                <w:rFonts w:hint="eastAsia" w:ascii="宋体" w:hAnsi="宋体" w:eastAsia="宋体" w:cs="宋体"/>
                <w:b/>
                <w:bCs/>
                <w:sz w:val="21"/>
                <w:szCs w:val="21"/>
                <w:lang w:eastAsia="zh-CN"/>
              </w:rPr>
              <w:t>）</w:t>
            </w:r>
            <w:r>
              <w:rPr>
                <w:rFonts w:hint="eastAsia" w:ascii="宋体" w:hAnsi="宋体" w:eastAsia="宋体" w:cs="宋体"/>
                <w:b/>
                <w:bCs/>
                <w:sz w:val="21"/>
                <w:szCs w:val="21"/>
              </w:rPr>
              <w:t>上传到政府采购云平台的电子投标文件（含资格文件、商务技术文件、报价文件）1份。</w:t>
            </w:r>
          </w:p>
          <w:p>
            <w:pPr>
              <w:autoSpaceDE w:val="0"/>
              <w:autoSpaceDN w:val="0"/>
              <w:snapToGrid w:val="0"/>
              <w:spacing w:line="500" w:lineRule="exact"/>
              <w:textAlignment w:val="bottom"/>
              <w:rPr>
                <w:rFonts w:hint="eastAsia" w:ascii="宋体" w:hAnsi="宋体" w:eastAsia="宋体" w:cs="宋体"/>
                <w:b/>
                <w:bCs/>
                <w:sz w:val="21"/>
                <w:szCs w:val="21"/>
              </w:rPr>
            </w:pP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2</w:t>
            </w:r>
            <w:r>
              <w:rPr>
                <w:rFonts w:hint="eastAsia" w:ascii="宋体" w:hAnsi="宋体" w:eastAsia="宋体" w:cs="宋体"/>
                <w:b/>
                <w:bCs/>
                <w:sz w:val="21"/>
                <w:szCs w:val="21"/>
                <w:lang w:eastAsia="zh-CN"/>
              </w:rPr>
              <w:t>）</w:t>
            </w:r>
            <w:r>
              <w:rPr>
                <w:rFonts w:hint="eastAsia" w:ascii="宋体" w:hAnsi="宋体" w:eastAsia="宋体" w:cs="宋体"/>
                <w:b/>
                <w:bCs/>
                <w:sz w:val="21"/>
                <w:szCs w:val="21"/>
              </w:rPr>
              <w:t>电子备份投标文件（含资格文件、商务技术文件、报价文件）1份。（可由供应商自行确定是否提交）</w:t>
            </w:r>
          </w:p>
          <w:p>
            <w:pPr>
              <w:autoSpaceDE w:val="0"/>
              <w:autoSpaceDN w:val="0"/>
              <w:snapToGrid w:val="0"/>
              <w:spacing w:line="500" w:lineRule="exact"/>
              <w:textAlignment w:val="bottom"/>
              <w:rPr>
                <w:rFonts w:hint="eastAsia" w:ascii="宋体" w:hAnsi="宋体" w:eastAsia="宋体" w:cs="宋体"/>
                <w:b/>
                <w:bCs/>
                <w:sz w:val="21"/>
                <w:szCs w:val="21"/>
              </w:rPr>
            </w:pPr>
            <w:r>
              <w:rPr>
                <w:rFonts w:hint="eastAsia" w:ascii="宋体" w:hAnsi="宋体" w:eastAsia="宋体" w:cs="宋体"/>
                <w:b/>
                <w:bCs/>
                <w:sz w:val="21"/>
                <w:szCs w:val="21"/>
                <w:lang w:eastAsia="zh-CN"/>
              </w:rPr>
              <w:t>注：</w:t>
            </w:r>
            <w:r>
              <w:rPr>
                <w:rFonts w:hint="eastAsia" w:ascii="宋体" w:hAnsi="宋体" w:eastAsia="宋体" w:cs="宋体"/>
                <w:b/>
                <w:bCs/>
                <w:sz w:val="21"/>
                <w:szCs w:val="21"/>
              </w:rPr>
              <w:t>纸质投标文件：</w:t>
            </w:r>
            <w:r>
              <w:rPr>
                <w:rFonts w:hint="eastAsia" w:ascii="宋体" w:hAnsi="宋体" w:eastAsia="宋体" w:cs="宋体"/>
                <w:b/>
                <w:bCs/>
                <w:sz w:val="21"/>
                <w:szCs w:val="21"/>
                <w:lang w:eastAsia="zh-CN"/>
              </w:rPr>
              <w:t>投标供应商中标后须后补纸质投标文件</w:t>
            </w:r>
            <w:r>
              <w:rPr>
                <w:rFonts w:hint="eastAsia" w:ascii="宋体" w:hAnsi="宋体" w:eastAsia="宋体" w:cs="宋体"/>
                <w:b/>
                <w:bCs/>
                <w:sz w:val="21"/>
                <w:szCs w:val="21"/>
              </w:rPr>
              <w:t>（含资格文件、商务技术文件、报价文件）</w:t>
            </w:r>
            <w:r>
              <w:rPr>
                <w:rFonts w:hint="eastAsia" w:ascii="宋体" w:hAnsi="宋体" w:eastAsia="宋体" w:cs="宋体"/>
                <w:b/>
                <w:bCs/>
                <w:sz w:val="21"/>
                <w:szCs w:val="21"/>
                <w:lang w:eastAsia="zh-CN"/>
              </w:rPr>
              <w:t>各</w:t>
            </w:r>
            <w:r>
              <w:rPr>
                <w:rFonts w:hint="eastAsia" w:ascii="宋体" w:hAnsi="宋体" w:eastAsia="宋体" w:cs="宋体"/>
                <w:b/>
                <w:bCs/>
                <w:sz w:val="21"/>
                <w:szCs w:val="21"/>
                <w:lang w:val="en-US" w:eastAsia="zh-CN"/>
              </w:rPr>
              <w:t>3份</w:t>
            </w:r>
            <w:r>
              <w:rPr>
                <w:rFonts w:hint="eastAsia" w:ascii="宋体" w:hAnsi="宋体" w:eastAsia="宋体" w:cs="宋体"/>
                <w:b/>
                <w:bCs/>
                <w:sz w:val="21"/>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9</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投标截止时间及地点：详见第一章 采购公告“提交投标文件截止时间、开标时间和地点”。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10</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开标时间及地点：详见第一章 采购公告“提交投标文件截止时间、开标时间和地点”。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11</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utoSpaceDE w:val="0"/>
              <w:autoSpaceDN w:val="0"/>
              <w:snapToGrid w:val="0"/>
              <w:spacing w:line="500" w:lineRule="exact"/>
              <w:textAlignment w:val="bottom"/>
              <w:rPr>
                <w:rFonts w:hint="eastAsia" w:ascii="宋体" w:hAnsi="宋体" w:eastAsia="宋体" w:cs="宋体"/>
                <w:sz w:val="21"/>
                <w:szCs w:val="21"/>
              </w:rPr>
            </w:pPr>
            <w:r>
              <w:rPr>
                <w:rFonts w:hint="eastAsia" w:ascii="宋体" w:hAnsi="宋体" w:eastAsia="宋体" w:cs="宋体"/>
                <w:sz w:val="21"/>
                <w:szCs w:val="21"/>
              </w:rPr>
              <w:t>评标办法及评分标准：详见第四章 评标办法及标准。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12</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utoSpaceDE w:val="0"/>
              <w:autoSpaceDN w:val="0"/>
              <w:snapToGrid w:val="0"/>
              <w:spacing w:line="500" w:lineRule="exact"/>
              <w:textAlignment w:val="bottom"/>
              <w:rPr>
                <w:rFonts w:hint="eastAsia" w:ascii="宋体" w:hAnsi="宋体" w:eastAsia="宋体" w:cs="宋体"/>
                <w:sz w:val="21"/>
                <w:szCs w:val="21"/>
              </w:rPr>
            </w:pPr>
            <w:r>
              <w:rPr>
                <w:rFonts w:hint="eastAsia" w:ascii="宋体" w:hAnsi="宋体" w:eastAsia="宋体" w:cs="宋体"/>
                <w:sz w:val="21"/>
                <w:szCs w:val="21"/>
              </w:rPr>
              <w:t>评标结果公告：于“浙江政府采购网”网站上公布。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13</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投标保证金退还（不计息）：本项目不适用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14</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utoSpaceDE w:val="0"/>
              <w:autoSpaceDN w:val="0"/>
              <w:snapToGrid w:val="0"/>
              <w:spacing w:line="500" w:lineRule="exact"/>
              <w:textAlignment w:val="bottom"/>
              <w:rPr>
                <w:rFonts w:hint="eastAsia" w:ascii="宋体" w:hAnsi="宋体" w:eastAsia="宋体" w:cs="宋体"/>
                <w:sz w:val="21"/>
                <w:szCs w:val="21"/>
              </w:rPr>
            </w:pPr>
            <w:r>
              <w:rPr>
                <w:rFonts w:hint="eastAsia" w:ascii="宋体" w:hAnsi="宋体" w:eastAsia="宋体" w:cs="宋体"/>
                <w:sz w:val="21"/>
                <w:szCs w:val="21"/>
              </w:rPr>
              <w:t>签订合同时间：中标通知书发出后</w:t>
            </w:r>
            <w:r>
              <w:rPr>
                <w:rFonts w:hint="eastAsia" w:ascii="宋体" w:hAnsi="宋体" w:eastAsia="宋体" w:cs="宋体"/>
                <w:sz w:val="21"/>
                <w:szCs w:val="21"/>
                <w:lang w:val="en-US" w:eastAsia="zh-CN"/>
              </w:rPr>
              <w:t>2</w:t>
            </w:r>
            <w:r>
              <w:rPr>
                <w:rFonts w:hint="eastAsia" w:ascii="宋体" w:hAnsi="宋体" w:eastAsia="宋体" w:cs="宋体"/>
                <w:sz w:val="21"/>
                <w:szCs w:val="21"/>
              </w:rPr>
              <w:t>0日内。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*15</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utoSpaceDE w:val="0"/>
              <w:autoSpaceDN w:val="0"/>
              <w:snapToGrid w:val="0"/>
              <w:spacing w:line="500" w:lineRule="exact"/>
              <w:textAlignment w:val="bottom"/>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rPr>
              <w:t>履约保证金：本项目无须提供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*16</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utoSpaceDE w:val="0"/>
              <w:autoSpaceDN w:val="0"/>
              <w:snapToGrid w:val="0"/>
              <w:spacing w:line="500" w:lineRule="exact"/>
              <w:textAlignment w:val="bottom"/>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合同履行期限：</w:t>
            </w:r>
            <w:r>
              <w:rPr>
                <w:rFonts w:hint="eastAsia" w:ascii="宋体" w:hAnsi="宋体" w:eastAsia="宋体" w:cs="宋体"/>
                <w:snapToGrid w:val="0"/>
                <w:color w:val="auto"/>
                <w:kern w:val="0"/>
                <w:sz w:val="21"/>
                <w:szCs w:val="21"/>
                <w:shd w:val="clear" w:color="auto" w:fill="auto"/>
                <w:lang w:eastAsia="zh-CN"/>
              </w:rPr>
              <w:t>合同签订接到采购人通知后30天内货到现场，</w:t>
            </w:r>
            <w:r>
              <w:rPr>
                <w:rFonts w:hint="eastAsia" w:ascii="宋体" w:hAnsi="宋体" w:eastAsia="宋体" w:cs="宋体"/>
                <w:snapToGrid w:val="0"/>
                <w:color w:val="auto"/>
                <w:kern w:val="0"/>
                <w:sz w:val="21"/>
                <w:szCs w:val="21"/>
                <w:shd w:val="clear" w:color="auto" w:fill="auto"/>
                <w:lang w:val="en-US" w:eastAsia="zh-CN"/>
              </w:rPr>
              <w:t>到货后</w:t>
            </w:r>
            <w:r>
              <w:rPr>
                <w:rFonts w:hint="eastAsia" w:ascii="宋体" w:hAnsi="宋体" w:eastAsia="宋体" w:cs="宋体"/>
                <w:snapToGrid w:val="0"/>
                <w:color w:val="auto"/>
                <w:kern w:val="0"/>
                <w:sz w:val="21"/>
                <w:szCs w:val="21"/>
                <w:shd w:val="clear" w:color="auto" w:fill="auto"/>
                <w:lang w:eastAsia="zh-CN"/>
              </w:rPr>
              <w:t>30日历天内完成安装，且必须符合工程整体进度计划要求。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17</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utoSpaceDE w:val="0"/>
              <w:autoSpaceDN w:val="0"/>
              <w:snapToGrid w:val="0"/>
              <w:spacing w:line="500" w:lineRule="exact"/>
              <w:textAlignment w:val="bottom"/>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采购资金来源：</w:t>
            </w:r>
            <w:r>
              <w:rPr>
                <w:rFonts w:hint="eastAsia" w:ascii="宋体" w:hAnsi="宋体" w:eastAsia="宋体" w:cs="宋体"/>
                <w:color w:val="auto"/>
                <w:sz w:val="21"/>
                <w:szCs w:val="21"/>
                <w:shd w:val="clear" w:color="auto" w:fill="auto"/>
                <w:lang w:val="en-US" w:eastAsia="zh-CN"/>
              </w:rPr>
              <w:t>财政性资金解决</w:t>
            </w:r>
            <w:r>
              <w:rPr>
                <w:rFonts w:hint="eastAsia" w:ascii="宋体" w:hAnsi="宋体" w:eastAsia="宋体" w:cs="宋体"/>
                <w:color w:val="auto"/>
                <w:sz w:val="21"/>
                <w:szCs w:val="21"/>
                <w:shd w:val="clear" w:color="auto" w:fil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color w:val="auto"/>
                <w:sz w:val="21"/>
                <w:szCs w:val="21"/>
              </w:rPr>
            </w:pPr>
            <w:r>
              <w:rPr>
                <w:rFonts w:hint="eastAsia" w:ascii="宋体" w:hAnsi="宋体" w:eastAsia="宋体" w:cs="宋体"/>
                <w:color w:val="auto"/>
                <w:sz w:val="21"/>
                <w:szCs w:val="21"/>
              </w:rPr>
              <w:t>*18</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keepNext w:val="0"/>
              <w:keepLines w:val="0"/>
              <w:pageBreakBefore w:val="0"/>
              <w:widowControl w:val="0"/>
              <w:kinsoku/>
              <w:wordWrap/>
              <w:overflowPunct/>
              <w:topLinePunct w:val="0"/>
              <w:autoSpaceDE w:val="0"/>
              <w:autoSpaceDN w:val="0"/>
              <w:bidi w:val="0"/>
              <w:adjustRightInd/>
              <w:snapToGrid w:val="0"/>
              <w:spacing w:line="440" w:lineRule="exact"/>
              <w:textAlignment w:val="bottom"/>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付款方式：</w:t>
            </w:r>
          </w:p>
          <w:p>
            <w:pPr>
              <w:keepNext w:val="0"/>
              <w:keepLines w:val="0"/>
              <w:pageBreakBefore w:val="0"/>
              <w:widowControl w:val="0"/>
              <w:kinsoku/>
              <w:wordWrap/>
              <w:overflowPunct/>
              <w:topLinePunct w:val="0"/>
              <w:autoSpaceDE w:val="0"/>
              <w:autoSpaceDN w:val="0"/>
              <w:bidi w:val="0"/>
              <w:adjustRightInd/>
              <w:snapToGrid w:val="0"/>
              <w:spacing w:line="440" w:lineRule="exact"/>
              <w:ind w:firstLine="420" w:firstLineChars="200"/>
              <w:textAlignment w:val="bottom"/>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1、</w:t>
            </w:r>
            <w:r>
              <w:rPr>
                <w:rFonts w:hint="eastAsia" w:ascii="宋体" w:hAnsi="宋体" w:eastAsia="宋体" w:cs="宋体"/>
                <w:color w:val="auto"/>
                <w:sz w:val="21"/>
                <w:szCs w:val="21"/>
                <w:shd w:val="clear" w:color="auto" w:fill="auto"/>
                <w:lang w:val="en-US" w:eastAsia="zh-CN"/>
              </w:rPr>
              <w:t>合同签订后7个工作日内，采购人向中标供应商预付合同总金额的40%，同时中标供应商向采购人提交同等金额的预付款保函；</w:t>
            </w:r>
          </w:p>
          <w:p>
            <w:pPr>
              <w:keepNext w:val="0"/>
              <w:keepLines w:val="0"/>
              <w:pageBreakBefore w:val="0"/>
              <w:widowControl w:val="0"/>
              <w:kinsoku/>
              <w:wordWrap/>
              <w:overflowPunct/>
              <w:topLinePunct w:val="0"/>
              <w:autoSpaceDE w:val="0"/>
              <w:autoSpaceDN w:val="0"/>
              <w:bidi w:val="0"/>
              <w:adjustRightInd/>
              <w:snapToGrid w:val="0"/>
              <w:spacing w:line="440" w:lineRule="exact"/>
              <w:ind w:firstLine="420" w:firstLineChars="200"/>
              <w:textAlignment w:val="bottom"/>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2、</w:t>
            </w:r>
            <w:r>
              <w:rPr>
                <w:rFonts w:hint="eastAsia" w:ascii="宋体" w:hAnsi="宋体" w:eastAsia="宋体" w:cs="宋体"/>
                <w:color w:val="auto"/>
                <w:sz w:val="21"/>
                <w:szCs w:val="21"/>
                <w:shd w:val="clear" w:color="auto" w:fill="auto"/>
              </w:rPr>
              <w:t>完成全部工作</w:t>
            </w:r>
            <w:r>
              <w:rPr>
                <w:rFonts w:hint="eastAsia" w:ascii="宋体" w:hAnsi="宋体" w:eastAsia="宋体" w:cs="宋体"/>
                <w:color w:val="auto"/>
                <w:sz w:val="21"/>
                <w:szCs w:val="21"/>
                <w:shd w:val="clear" w:color="auto" w:fill="auto"/>
                <w:lang w:eastAsia="zh-CN"/>
              </w:rPr>
              <w:t>，</w:t>
            </w:r>
            <w:r>
              <w:rPr>
                <w:rFonts w:hint="eastAsia" w:ascii="宋体" w:hAnsi="宋体" w:eastAsia="宋体" w:cs="宋体"/>
                <w:color w:val="auto"/>
                <w:sz w:val="21"/>
                <w:szCs w:val="21"/>
                <w:shd w:val="clear" w:color="auto" w:fill="auto"/>
                <w:lang w:val="en-US" w:eastAsia="zh-CN"/>
              </w:rPr>
              <w:t>中标供应商移交</w:t>
            </w:r>
            <w:r>
              <w:rPr>
                <w:rFonts w:hint="eastAsia" w:ascii="宋体" w:hAnsi="宋体" w:eastAsia="宋体" w:cs="宋体"/>
                <w:color w:val="auto"/>
                <w:sz w:val="21"/>
                <w:szCs w:val="21"/>
                <w:shd w:val="clear" w:color="auto" w:fill="auto"/>
                <w:lang w:eastAsia="zh-CN"/>
              </w:rPr>
              <w:t>完整的项目归档资料</w:t>
            </w:r>
            <w:r>
              <w:rPr>
                <w:rFonts w:hint="eastAsia" w:ascii="宋体" w:hAnsi="宋体" w:eastAsia="宋体" w:cs="宋体"/>
                <w:color w:val="auto"/>
                <w:sz w:val="21"/>
                <w:szCs w:val="21"/>
                <w:shd w:val="clear" w:color="auto" w:fill="auto"/>
                <w:lang w:val="en-US" w:eastAsia="zh-CN"/>
              </w:rPr>
              <w:t>后7个工作日内，支付合同总金额的40%。</w:t>
            </w:r>
          </w:p>
          <w:p>
            <w:pPr>
              <w:keepNext w:val="0"/>
              <w:keepLines w:val="0"/>
              <w:pageBreakBefore w:val="0"/>
              <w:widowControl w:val="0"/>
              <w:kinsoku/>
              <w:wordWrap/>
              <w:overflowPunct/>
              <w:topLinePunct w:val="0"/>
              <w:autoSpaceDE w:val="0"/>
              <w:autoSpaceDN w:val="0"/>
              <w:bidi w:val="0"/>
              <w:adjustRightInd/>
              <w:snapToGrid w:val="0"/>
              <w:spacing w:line="440" w:lineRule="exact"/>
              <w:ind w:firstLine="420" w:firstLineChars="200"/>
              <w:textAlignment w:val="bottom"/>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lang w:val="en-US" w:eastAsia="zh-CN"/>
              </w:rPr>
              <w:t>3、</w:t>
            </w:r>
            <w:r>
              <w:rPr>
                <w:rFonts w:hint="eastAsia" w:ascii="宋体" w:hAnsi="宋体" w:eastAsia="宋体" w:cs="宋体"/>
                <w:color w:val="auto"/>
                <w:sz w:val="21"/>
                <w:szCs w:val="21"/>
                <w:shd w:val="clear" w:color="auto" w:fill="auto"/>
              </w:rPr>
              <w:t>经采购人组织验收合格</w:t>
            </w:r>
            <w:r>
              <w:rPr>
                <w:rFonts w:hint="eastAsia" w:ascii="宋体" w:hAnsi="宋体" w:eastAsia="宋体" w:cs="宋体"/>
                <w:color w:val="auto"/>
                <w:sz w:val="21"/>
                <w:szCs w:val="21"/>
                <w:shd w:val="clear" w:color="auto" w:fill="auto"/>
                <w:lang w:eastAsia="zh-CN"/>
              </w:rPr>
              <w:t>，并经</w:t>
            </w:r>
            <w:r>
              <w:rPr>
                <w:rFonts w:hint="eastAsia" w:ascii="宋体" w:hAnsi="宋体" w:eastAsia="宋体" w:cs="宋体"/>
                <w:color w:val="auto"/>
                <w:sz w:val="21"/>
                <w:szCs w:val="21"/>
                <w:shd w:val="clear" w:color="auto" w:fill="auto"/>
                <w:lang w:val="en-US" w:eastAsia="zh-CN"/>
              </w:rPr>
              <w:t>有关单位审核后7个工作日内，</w:t>
            </w:r>
            <w:r>
              <w:rPr>
                <w:rFonts w:hint="eastAsia" w:ascii="宋体" w:hAnsi="宋体" w:eastAsia="宋体" w:cs="宋体"/>
                <w:color w:val="auto"/>
                <w:sz w:val="21"/>
                <w:szCs w:val="21"/>
                <w:shd w:val="clear" w:color="auto" w:fill="auto"/>
              </w:rPr>
              <w:t>付清结算款</w:t>
            </w:r>
            <w:r>
              <w:rPr>
                <w:rFonts w:hint="eastAsia" w:ascii="宋体" w:hAnsi="宋体" w:eastAsia="宋体" w:cs="宋体"/>
                <w:color w:val="auto"/>
                <w:sz w:val="21"/>
                <w:szCs w:val="21"/>
                <w:shd w:val="clear" w:color="auto" w:fill="auto"/>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*19</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autoSpaceDE w:val="0"/>
              <w:autoSpaceDN w:val="0"/>
              <w:snapToGrid w:val="0"/>
              <w:spacing w:line="500" w:lineRule="exact"/>
              <w:textAlignment w:val="bottom"/>
              <w:rPr>
                <w:rFonts w:hint="eastAsia" w:ascii="宋体" w:hAnsi="宋体" w:eastAsia="宋体" w:cs="宋体"/>
                <w:sz w:val="21"/>
                <w:szCs w:val="21"/>
              </w:rPr>
            </w:pPr>
            <w:r>
              <w:rPr>
                <w:rFonts w:hint="eastAsia" w:ascii="宋体" w:hAnsi="宋体" w:eastAsia="宋体" w:cs="宋体"/>
                <w:sz w:val="21"/>
                <w:szCs w:val="21"/>
              </w:rPr>
              <w:t>投标文件有效期：90天。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20</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中标服务费的收取标准:</w:t>
            </w:r>
          </w:p>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rPr>
              <w:t>1）中标服务费的收取标准：采购代理机构参考发改委发改办价格[2003]857号通知，在发出中标通知书时，向中标（成交)供应商收取招标代理服务费</w:t>
            </w:r>
            <w:r>
              <w:rPr>
                <w:rFonts w:hint="eastAsia" w:ascii="宋体" w:hAnsi="宋体" w:cs="宋体"/>
                <w:sz w:val="21"/>
                <w:szCs w:val="21"/>
                <w:lang w:val="en-US" w:eastAsia="zh-CN"/>
              </w:rPr>
              <w:t>13000元</w:t>
            </w:r>
            <w:r>
              <w:rPr>
                <w:rFonts w:hint="eastAsia" w:ascii="宋体" w:hAnsi="宋体" w:eastAsia="宋体" w:cs="宋体"/>
                <w:sz w:val="21"/>
                <w:szCs w:val="21"/>
              </w:rPr>
              <w:t>。</w:t>
            </w:r>
          </w:p>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（2）中标服务费只收现金、银行票汇款、电汇款。</w:t>
            </w:r>
          </w:p>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（3）中标服务费汇入以下帐户：</w:t>
            </w:r>
          </w:p>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开户银行：宁波银行象山支行</w:t>
            </w:r>
          </w:p>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帐号：63010122000025134</w:t>
            </w:r>
          </w:p>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户名： 浙江凯翔工程咨询管理有限公司象山分公司</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snapToGrid w:val="0"/>
              <w:spacing w:line="500" w:lineRule="exact"/>
              <w:jc w:val="center"/>
              <w:rPr>
                <w:rFonts w:hint="eastAsia" w:ascii="宋体" w:hAnsi="宋体" w:eastAsia="宋体" w:cs="宋体"/>
                <w:sz w:val="21"/>
                <w:szCs w:val="21"/>
              </w:rPr>
            </w:pPr>
            <w:r>
              <w:rPr>
                <w:rFonts w:hint="eastAsia" w:ascii="宋体" w:hAnsi="宋体" w:eastAsia="宋体" w:cs="宋体"/>
                <w:sz w:val="21"/>
                <w:szCs w:val="21"/>
              </w:rPr>
              <w:t>21</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snapToGrid w:val="0"/>
              <w:spacing w:line="500" w:lineRule="exact"/>
              <w:rPr>
                <w:rFonts w:hint="eastAsia" w:ascii="宋体" w:hAnsi="宋体" w:eastAsia="宋体" w:cs="宋体"/>
                <w:sz w:val="21"/>
                <w:szCs w:val="21"/>
              </w:rPr>
            </w:pPr>
            <w:r>
              <w:rPr>
                <w:rFonts w:hint="eastAsia" w:ascii="宋体" w:hAnsi="宋体" w:eastAsia="宋体" w:cs="宋体"/>
                <w:sz w:val="21"/>
                <w:szCs w:val="21"/>
              </w:rPr>
              <w:t>解释：本招标文件的解释权属于采购人。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ind w:firstLine="0" w:firstLineChars="0"/>
              <w:jc w:val="center"/>
              <w:rPr>
                <w:rFonts w:hint="default" w:ascii="宋体" w:hAnsi="宋体" w:eastAsia="宋体" w:cs="宋体"/>
                <w:sz w:val="21"/>
                <w:szCs w:val="21"/>
                <w:lang w:val="en-US" w:eastAsia="zh-CN"/>
              </w:rPr>
            </w:pPr>
            <w:r>
              <w:rPr>
                <w:rFonts w:hint="eastAsia" w:ascii="宋体" w:hAnsi="宋体" w:eastAsia="宋体" w:cs="宋体"/>
                <w:b/>
                <w:sz w:val="21"/>
                <w:szCs w:val="21"/>
              </w:rPr>
              <w:t>*</w:t>
            </w:r>
            <w:r>
              <w:rPr>
                <w:rFonts w:hint="eastAsia" w:ascii="宋体" w:hAnsi="宋体" w:eastAsia="宋体" w:cs="宋体"/>
                <w:b/>
                <w:sz w:val="21"/>
                <w:szCs w:val="21"/>
                <w:lang w:val="en-US" w:eastAsia="zh-CN"/>
              </w:rPr>
              <w:t>22</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ind w:firstLine="0" w:firstLineChars="0"/>
              <w:rPr>
                <w:rFonts w:hint="eastAsia" w:ascii="宋体" w:hAnsi="宋体" w:eastAsia="宋体" w:cs="宋体"/>
                <w:sz w:val="21"/>
                <w:szCs w:val="21"/>
              </w:rPr>
            </w:pPr>
            <w:r>
              <w:rPr>
                <w:rFonts w:hint="eastAsia" w:ascii="宋体" w:hAnsi="宋体" w:eastAsia="宋体" w:cs="宋体"/>
                <w:b/>
                <w:sz w:val="21"/>
                <w:szCs w:val="21"/>
              </w:rPr>
              <w:t>不同</w:t>
            </w:r>
            <w:r>
              <w:rPr>
                <w:rFonts w:hint="eastAsia" w:ascii="宋体" w:hAnsi="宋体" w:eastAsia="宋体" w:cs="宋体"/>
                <w:b/>
                <w:sz w:val="21"/>
                <w:szCs w:val="21"/>
                <w:lang w:eastAsia="zh-CN"/>
              </w:rPr>
              <w:t>投标供应商</w:t>
            </w:r>
            <w:r>
              <w:rPr>
                <w:rFonts w:hint="eastAsia" w:ascii="宋体" w:hAnsi="宋体" w:eastAsia="宋体" w:cs="宋体"/>
                <w:b/>
                <w:sz w:val="21"/>
                <w:szCs w:val="21"/>
              </w:rPr>
              <w:t>的投标文件出自同一终端设备或在相同Internet主机分配地址（相同IP地址）网上报名投标的作无效标处理。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80" w:type="dxa"/>
            <w:tcBorders>
              <w:top w:val="single" w:color="auto" w:sz="4" w:space="0"/>
              <w:left w:val="double" w:color="auto" w:sz="2" w:space="0"/>
              <w:bottom w:val="single" w:color="auto" w:sz="4" w:space="0"/>
              <w:right w:val="single" w:color="auto" w:sz="4" w:space="0"/>
            </w:tcBorders>
            <w:noWrap w:val="0"/>
            <w:vAlign w:val="center"/>
          </w:tcPr>
          <w:p>
            <w:pPr>
              <w:jc w:val="center"/>
              <w:rPr>
                <w:rFonts w:hint="eastAsia" w:ascii="宋体" w:hAnsi="宋体" w:cs="宋体"/>
                <w:b/>
                <w:sz w:val="21"/>
                <w:szCs w:val="21"/>
                <w:lang w:val="en-US" w:eastAsia="zh-CN" w:bidi="ar-SA"/>
              </w:rPr>
            </w:pPr>
            <w:r>
              <w:rPr>
                <w:rFonts w:hint="eastAsia" w:ascii="宋体" w:hAnsi="宋体" w:cs="宋体"/>
                <w:b/>
                <w:sz w:val="21"/>
                <w:szCs w:val="21"/>
              </w:rPr>
              <w:t>23</w:t>
            </w:r>
          </w:p>
        </w:tc>
        <w:tc>
          <w:tcPr>
            <w:tcW w:w="8672" w:type="dxa"/>
            <w:tcBorders>
              <w:top w:val="single" w:color="auto" w:sz="4" w:space="0"/>
              <w:left w:val="single" w:color="auto" w:sz="4" w:space="0"/>
              <w:bottom w:val="single" w:color="auto" w:sz="4" w:space="0"/>
              <w:right w:val="double" w:color="auto" w:sz="2" w:space="0"/>
            </w:tcBorders>
            <w:noWrap w:val="0"/>
            <w:vAlign w:val="center"/>
          </w:tcPr>
          <w:p>
            <w:pPr>
              <w:pStyle w:val="24"/>
              <w:widowControl w:val="0"/>
              <w:snapToGrid w:val="0"/>
              <w:spacing w:before="0" w:beforeAutospacing="0" w:after="0" w:afterAutospacing="0" w:line="360" w:lineRule="auto"/>
              <w:outlineLvl w:val="0"/>
              <w:rPr>
                <w:rFonts w:hint="eastAsia" w:ascii="宋体" w:hAnsi="宋体" w:cs="宋体"/>
                <w:b/>
                <w:kern w:val="0"/>
                <w:sz w:val="21"/>
                <w:szCs w:val="21"/>
                <w:lang w:val="en-US" w:eastAsia="zh-CN" w:bidi="ar-SA"/>
              </w:rPr>
            </w:pPr>
            <w:r>
              <w:rPr>
                <w:rFonts w:hint="eastAsia"/>
                <w:b/>
                <w:sz w:val="21"/>
                <w:szCs w:val="21"/>
              </w:rPr>
              <w:t>标的名称</w:t>
            </w:r>
            <w:r>
              <w:rPr>
                <w:rFonts w:hint="eastAsia"/>
                <w:b/>
                <w:sz w:val="21"/>
                <w:szCs w:val="21"/>
                <w:lang w:eastAsia="zh-CN"/>
              </w:rPr>
              <w:t>：</w:t>
            </w:r>
            <w:r>
              <w:rPr>
                <w:rFonts w:hint="eastAsia"/>
                <w:b/>
                <w:sz w:val="21"/>
                <w:szCs w:val="21"/>
                <w:lang w:val="en-US" w:eastAsia="zh-CN"/>
              </w:rPr>
              <w:t>详见“</w:t>
            </w:r>
            <w:r>
              <w:rPr>
                <w:rFonts w:hint="eastAsia" w:ascii="宋体" w:hAnsi="宋体"/>
                <w:b/>
                <w:color w:val="auto"/>
                <w:sz w:val="21"/>
                <w:szCs w:val="21"/>
                <w:highlight w:val="none"/>
                <w:shd w:val="clear" w:color="auto" w:fill="auto"/>
              </w:rPr>
              <w:t>采购清单</w:t>
            </w:r>
            <w:r>
              <w:rPr>
                <w:rFonts w:hint="eastAsia"/>
                <w:b/>
                <w:sz w:val="21"/>
                <w:szCs w:val="21"/>
                <w:lang w:val="en-US" w:eastAsia="zh-CN"/>
              </w:rPr>
              <w:t>”</w:t>
            </w:r>
            <w:r>
              <w:rPr>
                <w:rFonts w:hint="eastAsia"/>
                <w:b/>
                <w:sz w:val="21"/>
                <w:szCs w:val="21"/>
                <w:lang w:eastAsia="zh-CN"/>
              </w:rPr>
              <w:t>。</w:t>
            </w:r>
          </w:p>
        </w:tc>
      </w:tr>
    </w:tbl>
    <w:p>
      <w:pPr>
        <w:pStyle w:val="13"/>
        <w:spacing w:before="120" w:after="120" w:line="440" w:lineRule="exact"/>
        <w:jc w:val="center"/>
        <w:rPr>
          <w:rFonts w:hint="eastAsia" w:ascii="宋体" w:hAnsi="宋体" w:eastAsia="宋体" w:cs="宋体"/>
          <w:b/>
          <w:bCs/>
          <w:sz w:val="21"/>
          <w:szCs w:val="21"/>
        </w:rPr>
      </w:pPr>
      <w:bookmarkStart w:id="25" w:name="_Toc317432103"/>
      <w:bookmarkEnd w:id="25"/>
    </w:p>
    <w:p>
      <w:pPr>
        <w:pStyle w:val="13"/>
        <w:spacing w:before="120" w:after="120" w:line="440" w:lineRule="exact"/>
        <w:jc w:val="center"/>
        <w:rPr>
          <w:rFonts w:hint="eastAsia" w:ascii="宋体" w:hAnsi="宋体" w:eastAsia="宋体" w:cs="宋体"/>
          <w:b/>
          <w:bCs/>
          <w:sz w:val="21"/>
          <w:szCs w:val="21"/>
        </w:rPr>
      </w:pPr>
    </w:p>
    <w:p>
      <w:pPr>
        <w:pStyle w:val="13"/>
        <w:spacing w:before="120" w:after="120" w:line="440" w:lineRule="exact"/>
        <w:jc w:val="center"/>
        <w:rPr>
          <w:rFonts w:hint="eastAsia" w:ascii="宋体" w:hAnsi="宋体" w:eastAsia="宋体" w:cs="宋体"/>
          <w:b/>
          <w:bCs/>
          <w:sz w:val="21"/>
          <w:szCs w:val="21"/>
        </w:rPr>
      </w:pPr>
    </w:p>
    <w:p>
      <w:pPr>
        <w:pStyle w:val="13"/>
        <w:spacing w:before="120" w:after="120" w:line="440" w:lineRule="exact"/>
        <w:jc w:val="center"/>
        <w:rPr>
          <w:rFonts w:hint="eastAsia" w:ascii="宋体" w:hAnsi="宋体" w:eastAsia="宋体" w:cs="宋体"/>
          <w:b/>
          <w:bCs/>
          <w:sz w:val="21"/>
          <w:szCs w:val="21"/>
        </w:rPr>
      </w:pPr>
      <w:r>
        <w:rPr>
          <w:rFonts w:hint="eastAsia" w:ascii="宋体" w:hAnsi="宋体" w:eastAsia="宋体" w:cs="宋体"/>
          <w:b/>
          <w:bCs/>
          <w:sz w:val="21"/>
          <w:szCs w:val="21"/>
        </w:rPr>
        <w:br w:type="page"/>
      </w:r>
      <w:r>
        <w:rPr>
          <w:rFonts w:hint="eastAsia" w:ascii="宋体" w:hAnsi="宋体" w:eastAsia="宋体" w:cs="宋体"/>
          <w:b/>
          <w:bCs/>
          <w:sz w:val="21"/>
          <w:szCs w:val="21"/>
        </w:rPr>
        <w:t>一、总  则</w:t>
      </w:r>
    </w:p>
    <w:p>
      <w:pPr>
        <w:spacing w:line="440" w:lineRule="exact"/>
        <w:jc w:val="left"/>
        <w:outlineLvl w:val="1"/>
        <w:rPr>
          <w:rFonts w:hint="eastAsia" w:ascii="宋体" w:hAnsi="宋体" w:eastAsia="宋体" w:cs="宋体"/>
          <w:b/>
          <w:bCs/>
          <w:sz w:val="21"/>
          <w:szCs w:val="21"/>
        </w:rPr>
      </w:pPr>
      <w:bookmarkStart w:id="26" w:name="_Toc486867963"/>
      <w:bookmarkEnd w:id="26"/>
      <w:r>
        <w:rPr>
          <w:rFonts w:hint="eastAsia" w:ascii="宋体" w:hAnsi="宋体" w:eastAsia="宋体" w:cs="宋体"/>
          <w:b/>
          <w:bCs/>
          <w:sz w:val="21"/>
          <w:szCs w:val="21"/>
        </w:rPr>
        <w:t>（一） 适用范围</w:t>
      </w:r>
    </w:p>
    <w:p>
      <w:pPr>
        <w:spacing w:line="440" w:lineRule="exact"/>
        <w:ind w:firstLine="415" w:firstLineChars="198"/>
        <w:rPr>
          <w:rFonts w:hint="eastAsia" w:ascii="宋体" w:hAnsi="宋体" w:eastAsia="宋体" w:cs="宋体"/>
          <w:sz w:val="21"/>
          <w:szCs w:val="21"/>
        </w:rPr>
      </w:pPr>
      <w:r>
        <w:rPr>
          <w:rFonts w:hint="eastAsia" w:ascii="宋体" w:hAnsi="宋体" w:eastAsia="宋体" w:cs="宋体"/>
          <w:sz w:val="21"/>
          <w:szCs w:val="21"/>
        </w:rPr>
        <w:t>本招标文件适用于</w:t>
      </w:r>
      <w:r>
        <w:rPr>
          <w:rFonts w:hint="eastAsia" w:ascii="宋体" w:hAnsi="宋体" w:eastAsia="宋体" w:cs="宋体"/>
          <w:sz w:val="21"/>
          <w:szCs w:val="21"/>
          <w:lang w:eastAsia="zh-CN"/>
        </w:rPr>
        <w:t>象山县中医医院医疗健康集团三院院区改扩建工程厨房设备采购项目</w:t>
      </w:r>
      <w:r>
        <w:rPr>
          <w:rFonts w:hint="eastAsia" w:ascii="宋体" w:hAnsi="宋体" w:eastAsia="宋体" w:cs="宋体"/>
          <w:sz w:val="21"/>
          <w:szCs w:val="21"/>
        </w:rPr>
        <w:t>的招标、投标、评标、定标、验收、合同履约、付款等行为（法律、法规另有规定的，从其规定）。</w:t>
      </w:r>
    </w:p>
    <w:p>
      <w:pPr>
        <w:spacing w:line="440" w:lineRule="exact"/>
        <w:jc w:val="left"/>
        <w:outlineLvl w:val="1"/>
        <w:rPr>
          <w:rFonts w:hint="eastAsia" w:ascii="宋体" w:hAnsi="宋体" w:eastAsia="宋体" w:cs="宋体"/>
          <w:b/>
          <w:bCs/>
          <w:sz w:val="21"/>
          <w:szCs w:val="21"/>
        </w:rPr>
      </w:pPr>
      <w:bookmarkStart w:id="27" w:name="_Toc486867964"/>
      <w:bookmarkEnd w:id="27"/>
      <w:r>
        <w:rPr>
          <w:rFonts w:hint="eastAsia" w:ascii="宋体" w:hAnsi="宋体" w:eastAsia="宋体" w:cs="宋体"/>
          <w:b/>
          <w:bCs/>
          <w:sz w:val="21"/>
          <w:szCs w:val="21"/>
        </w:rPr>
        <w:t>（二）定义</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1、招标采购人系指组织本次招标的代理机构和采购人。</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2、“供应商”系指向采购人提交投标文件的单位或个人。</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3、“产品”系指供方按招标文件规定，须向采购人提供的一切设备、保险、税金、备品备件、工具、手册及其它有关技术资料和材料。</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4、“服务”系指招标文件规定供应商须承担的技术协助、校准、培训、技术指导以及其他类似的义务。</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5、“项目”系指供应商按招标文件规定向采购人提供的产品或服务。</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6、“书面形式”包括信函、传真、电报等。</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7、“*”系指实质性要求条款，对实质性条款有负偏离，作无效标处理。</w:t>
      </w:r>
    </w:p>
    <w:p>
      <w:pPr>
        <w:spacing w:line="440" w:lineRule="exact"/>
        <w:jc w:val="left"/>
        <w:outlineLvl w:val="1"/>
        <w:rPr>
          <w:rFonts w:hint="eastAsia" w:ascii="宋体" w:hAnsi="宋体" w:eastAsia="宋体" w:cs="宋体"/>
          <w:b/>
          <w:bCs/>
          <w:sz w:val="21"/>
          <w:szCs w:val="21"/>
        </w:rPr>
      </w:pPr>
      <w:bookmarkStart w:id="28" w:name="_Toc486867965"/>
      <w:bookmarkEnd w:id="28"/>
      <w:r>
        <w:rPr>
          <w:rFonts w:hint="eastAsia" w:ascii="宋体" w:hAnsi="宋体" w:eastAsia="宋体" w:cs="宋体"/>
          <w:b/>
          <w:bCs/>
          <w:sz w:val="21"/>
          <w:szCs w:val="21"/>
        </w:rPr>
        <w:t>（三）招标方式</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本次招标采用公开招标方式进行。</w:t>
      </w:r>
    </w:p>
    <w:p>
      <w:pPr>
        <w:spacing w:line="440" w:lineRule="exact"/>
        <w:jc w:val="left"/>
        <w:outlineLvl w:val="1"/>
        <w:rPr>
          <w:rFonts w:hint="eastAsia" w:ascii="宋体" w:hAnsi="宋体" w:eastAsia="宋体" w:cs="宋体"/>
          <w:b/>
          <w:bCs/>
          <w:sz w:val="21"/>
          <w:szCs w:val="21"/>
        </w:rPr>
      </w:pPr>
      <w:bookmarkStart w:id="29" w:name="_Toc486867966"/>
      <w:bookmarkEnd w:id="29"/>
      <w:r>
        <w:rPr>
          <w:rFonts w:hint="eastAsia" w:ascii="宋体" w:hAnsi="宋体" w:eastAsia="宋体" w:cs="宋体"/>
          <w:b/>
          <w:bCs/>
          <w:sz w:val="21"/>
          <w:szCs w:val="21"/>
        </w:rPr>
        <w:t>（四）投标委托</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对投标供应商代表参加开标活动不作强制性要求。</w:t>
      </w:r>
    </w:p>
    <w:p>
      <w:pPr>
        <w:spacing w:line="440" w:lineRule="exact"/>
        <w:jc w:val="left"/>
        <w:outlineLvl w:val="1"/>
        <w:rPr>
          <w:rFonts w:hint="eastAsia" w:ascii="宋体" w:hAnsi="宋体" w:eastAsia="宋体" w:cs="宋体"/>
          <w:b/>
          <w:bCs/>
          <w:sz w:val="21"/>
          <w:szCs w:val="21"/>
        </w:rPr>
      </w:pPr>
      <w:bookmarkStart w:id="30" w:name="_Toc486867967"/>
      <w:bookmarkEnd w:id="30"/>
      <w:r>
        <w:rPr>
          <w:rFonts w:hint="eastAsia" w:ascii="宋体" w:hAnsi="宋体" w:eastAsia="宋体" w:cs="宋体"/>
          <w:b/>
          <w:bCs/>
          <w:sz w:val="21"/>
          <w:szCs w:val="21"/>
        </w:rPr>
        <w:t>（五）投标费用</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不论投标结果如何，供应商均应自行承担所有与投标有关的全部费用。</w:t>
      </w:r>
    </w:p>
    <w:p>
      <w:pPr>
        <w:spacing w:line="440" w:lineRule="exact"/>
        <w:jc w:val="left"/>
        <w:rPr>
          <w:rFonts w:hint="eastAsia" w:ascii="宋体" w:hAnsi="宋体" w:eastAsia="宋体" w:cs="宋体"/>
          <w:b/>
          <w:bCs/>
          <w:sz w:val="21"/>
          <w:szCs w:val="21"/>
        </w:rPr>
      </w:pPr>
      <w:r>
        <w:rPr>
          <w:rFonts w:hint="eastAsia" w:ascii="宋体" w:hAnsi="宋体" w:eastAsia="宋体" w:cs="宋体"/>
          <w:b/>
          <w:bCs/>
          <w:sz w:val="21"/>
          <w:szCs w:val="21"/>
        </w:rPr>
        <w:t>（六）联合体投标</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本项目不接受联合体投标。</w:t>
      </w:r>
    </w:p>
    <w:p>
      <w:pPr>
        <w:spacing w:line="440" w:lineRule="exact"/>
        <w:jc w:val="left"/>
        <w:rPr>
          <w:rFonts w:hint="eastAsia" w:ascii="宋体" w:hAnsi="宋体" w:eastAsia="宋体" w:cs="宋体"/>
          <w:b/>
          <w:bCs/>
          <w:sz w:val="21"/>
          <w:szCs w:val="21"/>
        </w:rPr>
      </w:pPr>
      <w:r>
        <w:rPr>
          <w:rFonts w:hint="eastAsia" w:ascii="宋体" w:hAnsi="宋体" w:eastAsia="宋体" w:cs="宋体"/>
          <w:b/>
          <w:bCs/>
          <w:sz w:val="21"/>
          <w:szCs w:val="21"/>
        </w:rPr>
        <w:t>（七）转包</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本项目不得转包。</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未经采购人确认，不得分包。</w:t>
      </w:r>
    </w:p>
    <w:p>
      <w:pPr>
        <w:spacing w:line="440" w:lineRule="exact"/>
        <w:jc w:val="left"/>
        <w:outlineLvl w:val="1"/>
        <w:rPr>
          <w:rFonts w:hint="eastAsia" w:ascii="宋体" w:hAnsi="宋体" w:eastAsia="宋体" w:cs="宋体"/>
          <w:b/>
          <w:bCs/>
          <w:sz w:val="21"/>
          <w:szCs w:val="21"/>
        </w:rPr>
      </w:pPr>
      <w:bookmarkStart w:id="31" w:name="_Toc486867968"/>
      <w:bookmarkEnd w:id="31"/>
      <w:r>
        <w:rPr>
          <w:rFonts w:hint="eastAsia" w:ascii="宋体" w:hAnsi="宋体" w:eastAsia="宋体" w:cs="宋体"/>
          <w:b/>
          <w:bCs/>
          <w:sz w:val="21"/>
          <w:szCs w:val="21"/>
        </w:rPr>
        <w:t>（八）特别说明</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1</w:t>
      </w:r>
      <w:r>
        <w:rPr>
          <w:rFonts w:hint="eastAsia" w:ascii="宋体" w:hAnsi="宋体" w:eastAsia="宋体" w:cs="宋体"/>
          <w:sz w:val="21"/>
          <w:szCs w:val="21"/>
        </w:rPr>
        <w:t>、供应商应仔细阅读招标文件的所有内容，按照招标文件的要求提交投标文件，并对所提供的全部资料的真实性承担法律责任。</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2</w:t>
      </w:r>
      <w:r>
        <w:rPr>
          <w:rFonts w:hint="eastAsia" w:ascii="宋体" w:hAnsi="宋体" w:eastAsia="宋体" w:cs="宋体"/>
          <w:sz w:val="21"/>
          <w:szCs w:val="21"/>
        </w:rPr>
        <w:t>、供应商在投标活动中提供任何虚假材料,其投标无效，并报监管部门查处；中标后发现的,中标供应商须依照《中华人民共和国消费者权益保护法》第49条之规定双倍赔偿采购人，且民事赔偿并不免除违法供应商的行政与刑事责任。</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提供相同品牌产品且通过资格审查、符合性审查的不同供应商参加同一合同项下投标的，按一家供应商计算。（如适用）</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非单一产品采购项目，供应商使用相同制造产品（相同制造产品是指采购文件中指定的“核心产品”）作为其项目的一部分，按一家供应商认定。</w:t>
      </w:r>
    </w:p>
    <w:p>
      <w:pPr>
        <w:spacing w:line="440" w:lineRule="exact"/>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lang w:val="en-US" w:eastAsia="zh-CN"/>
        </w:rPr>
        <w:t>5</w:t>
      </w:r>
      <w:r>
        <w:rPr>
          <w:rFonts w:hint="eastAsia" w:ascii="宋体" w:hAnsi="宋体" w:eastAsia="宋体" w:cs="宋体"/>
          <w:sz w:val="21"/>
          <w:szCs w:val="21"/>
        </w:rPr>
        <w:t>、供应商在投标活动中提供任何虚假材料，其投标无效，并报监管部门查处；中标后发现的,</w:t>
      </w:r>
      <w:r>
        <w:rPr>
          <w:rFonts w:hint="eastAsia" w:ascii="宋体" w:hAnsi="宋体" w:eastAsia="宋体" w:cs="宋体"/>
          <w:sz w:val="21"/>
          <w:szCs w:val="21"/>
          <w:lang w:eastAsia="zh-CN"/>
        </w:rPr>
        <w:t>中标供应商</w:t>
      </w:r>
      <w:r>
        <w:rPr>
          <w:rFonts w:hint="eastAsia" w:ascii="宋体" w:hAnsi="宋体" w:eastAsia="宋体" w:cs="宋体"/>
          <w:sz w:val="21"/>
          <w:szCs w:val="21"/>
        </w:rPr>
        <w:t>须依照相关规定赔偿采购人，且民事赔偿并不免除违法供应商的行政与刑事责任</w:t>
      </w:r>
      <w:r>
        <w:rPr>
          <w:rFonts w:hint="eastAsia" w:ascii="宋体" w:hAnsi="宋体" w:eastAsia="宋体" w:cs="宋体"/>
          <w:sz w:val="21"/>
          <w:szCs w:val="21"/>
          <w:lang w:eastAsia="zh-CN"/>
        </w:rPr>
        <w:t>。</w:t>
      </w:r>
    </w:p>
    <w:p>
      <w:pPr>
        <w:pStyle w:val="13"/>
        <w:spacing w:line="440" w:lineRule="exact"/>
        <w:jc w:val="left"/>
        <w:outlineLvl w:val="1"/>
        <w:rPr>
          <w:rFonts w:hint="eastAsia" w:ascii="宋体" w:hAnsi="宋体" w:eastAsia="宋体" w:cs="宋体"/>
          <w:b/>
          <w:bCs/>
          <w:sz w:val="21"/>
          <w:szCs w:val="21"/>
        </w:rPr>
      </w:pPr>
      <w:r>
        <w:rPr>
          <w:rFonts w:hint="eastAsia" w:ascii="宋体" w:hAnsi="宋体" w:eastAsia="宋体" w:cs="宋体"/>
          <w:b/>
          <w:bCs/>
          <w:sz w:val="21"/>
          <w:szCs w:val="21"/>
        </w:rPr>
        <w:t>（九）对供应商质疑的有关规定</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供应商认为采购文件、采购过程、中标或者成交结果使自己的权益受到损害的，可以在知道或者应知其权益受到损害之日起7个工作日内，以书面形式向采购人、采购代理机构提出质疑。供应商应当在法定质疑期内一次性提出针对同一采购程序环节的质疑。</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提出质疑的供应商应当是参与所质疑项目采购活动的供应商。未依法获取采购文件的，不得就采购文件提出质疑；未提交投标文件的供应商，视为与采购结果没有利害关系，不得就采购响应截止时间后的采购过程、采购结果提出质疑。</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3 、供应商提出质疑应当提交质疑函和必要的证明材料，质疑函应当以书面形式提出，质疑函格式和内容须符合财政部《质疑函范本》要求，供应商可到浙江政府采购网自行下载《质疑函范本》。</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供应商质疑实行实名制，质疑函应当署名，供应商为自然人的，应当由本人签字；供应商为法人或者其他组织的，应当由法定代表人、主要负责人，或者其授权代表（指代理人）签字或者盖章，并加盖公章；代理人提出质疑的，应当提交供应商签署的授权委托书；以联合体形式参加政府采购活动的，其质疑应当由组成联合体的所有供应商共同提出。</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5、采购人、采购代理机构接收质疑函的方式：只接收供应商以当面递交、邮寄、传真或电子邮件方式提出的质疑函，以其他方式提出的质疑不予接收。</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采取邮寄方式的，提出质疑的时间为质疑函原件交邮的时间（以邮戳时间或快递收件时间为准）。</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采取传真、电子邮件方式的，供应商应当在传真、电子邮件发出后将质疑函原件邮寄给被质疑人，提出质疑的时间为质疑函原件交邮的时间（以邮戳时间或快递收件时间为准）。</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6、采购人、采购代理机构以实际收到质疑函原件之日作为收到质疑函的日期，将在收到质疑函后7个工作日内作出答复。</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7、采购人、采购代理机构接收质疑函的联系人、联系电话和通讯地址等信息详见采购公告。</w:t>
      </w:r>
    </w:p>
    <w:p>
      <w:pPr>
        <w:pStyle w:val="13"/>
        <w:spacing w:before="120" w:after="120" w:line="440" w:lineRule="exact"/>
        <w:jc w:val="center"/>
        <w:outlineLvl w:val="0"/>
        <w:rPr>
          <w:rFonts w:hint="eastAsia" w:ascii="宋体" w:hAnsi="宋体" w:eastAsia="宋体" w:cs="宋体"/>
          <w:b/>
          <w:bCs/>
          <w:sz w:val="21"/>
          <w:szCs w:val="21"/>
        </w:rPr>
      </w:pPr>
      <w:bookmarkStart w:id="32" w:name="_Toc486867970"/>
      <w:bookmarkEnd w:id="32"/>
      <w:r>
        <w:rPr>
          <w:rFonts w:hint="eastAsia" w:ascii="宋体" w:hAnsi="宋体" w:eastAsia="宋体" w:cs="宋体"/>
          <w:b/>
          <w:bCs/>
          <w:sz w:val="21"/>
          <w:szCs w:val="21"/>
        </w:rPr>
        <w:t xml:space="preserve"> </w:t>
      </w:r>
    </w:p>
    <w:p>
      <w:pPr>
        <w:pStyle w:val="13"/>
        <w:spacing w:before="120" w:after="120" w:line="440" w:lineRule="exact"/>
        <w:jc w:val="center"/>
        <w:outlineLvl w:val="0"/>
        <w:rPr>
          <w:rFonts w:hint="eastAsia" w:ascii="宋体" w:hAnsi="宋体" w:eastAsia="宋体" w:cs="宋体"/>
          <w:b/>
          <w:bCs/>
          <w:sz w:val="21"/>
          <w:szCs w:val="21"/>
        </w:rPr>
      </w:pPr>
      <w:r>
        <w:rPr>
          <w:rFonts w:hint="eastAsia" w:ascii="宋体" w:hAnsi="宋体" w:eastAsia="宋体" w:cs="宋体"/>
          <w:b/>
          <w:bCs/>
          <w:sz w:val="21"/>
          <w:szCs w:val="21"/>
        </w:rPr>
        <w:t>二、招标文件</w:t>
      </w:r>
    </w:p>
    <w:p>
      <w:pPr>
        <w:spacing w:line="440" w:lineRule="exact"/>
        <w:jc w:val="left"/>
        <w:rPr>
          <w:rFonts w:hint="eastAsia" w:ascii="宋体" w:hAnsi="宋体" w:eastAsia="宋体" w:cs="宋体"/>
          <w:b/>
          <w:bCs/>
          <w:sz w:val="21"/>
          <w:szCs w:val="21"/>
        </w:rPr>
      </w:pPr>
      <w:r>
        <w:rPr>
          <w:rFonts w:hint="eastAsia" w:ascii="宋体" w:hAnsi="宋体" w:eastAsia="宋体" w:cs="宋体"/>
          <w:b/>
          <w:bCs/>
          <w:sz w:val="21"/>
          <w:szCs w:val="21"/>
        </w:rPr>
        <w:t>（一）招标文件的构成。本招标文件由以下部分组成：</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1、招标公告</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2、采购需求</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3、供应商须知</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4、评标办法及标准</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5、合同主要条款</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6、投标文件格式</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7、本项目招标文件的澄清、答复、修改、补充的内容</w:t>
      </w:r>
    </w:p>
    <w:p>
      <w:pPr>
        <w:spacing w:line="440" w:lineRule="exact"/>
        <w:jc w:val="left"/>
        <w:rPr>
          <w:rFonts w:hint="eastAsia" w:ascii="宋体" w:hAnsi="宋体" w:eastAsia="宋体" w:cs="宋体"/>
          <w:b/>
          <w:bCs/>
          <w:sz w:val="21"/>
          <w:szCs w:val="21"/>
        </w:rPr>
      </w:pPr>
      <w:r>
        <w:rPr>
          <w:rFonts w:hint="eastAsia" w:ascii="宋体" w:hAnsi="宋体" w:eastAsia="宋体" w:cs="宋体"/>
          <w:b/>
          <w:bCs/>
          <w:sz w:val="21"/>
          <w:szCs w:val="21"/>
        </w:rPr>
        <w:t>（二）供应商的风险</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供应商没有按照招标文件要求提供全部资料，或者供应商没有对招标文件在各方面作出实质性响应是供应商的风险，并可能导致其投标被拒绝。</w:t>
      </w:r>
    </w:p>
    <w:p>
      <w:pPr>
        <w:spacing w:line="440" w:lineRule="exact"/>
        <w:jc w:val="left"/>
        <w:rPr>
          <w:rFonts w:hint="eastAsia" w:ascii="宋体" w:hAnsi="宋体" w:eastAsia="宋体" w:cs="宋体"/>
          <w:b/>
          <w:bCs/>
          <w:sz w:val="21"/>
          <w:szCs w:val="21"/>
        </w:rPr>
      </w:pPr>
      <w:r>
        <w:rPr>
          <w:rFonts w:hint="eastAsia" w:ascii="宋体" w:hAnsi="宋体" w:eastAsia="宋体" w:cs="宋体"/>
          <w:b/>
          <w:bCs/>
          <w:sz w:val="21"/>
          <w:szCs w:val="21"/>
        </w:rPr>
        <w:t xml:space="preserve">（三）招标文件的澄清与修改 </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供应商应认真阅读本招标文件，发现其中有误或有不合理要求的，供应商必须在递交投标文件截止时间五日前以书面形式要求采购人澄清。采购代理机构对已发出的招标文件进行必要澄清、答复、修改或补充的，应当在招标文件要求提交投标文件截止时间三日（实质性内容有大的修改，需十五日）前，在财政部门指定的政府采购信息发布媒体上发布更正公告。</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2、采购代理机构必须以书面形式答复供应商要求澄清的问题，并将不包含问题来源的答复书面通知所有购买招标文件的供应商；除书面答复以外的其他澄清方式及澄清内容均无效。</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3、招标文件澄清、答复、修改、补充的内容为招标文件的组成部分。当招标文件与招标文件的答复、澄清、修改、补充通知就同一内容的表述不一致时，以最后发出的书面文件为准。</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4、招标文件的澄清、答复、修改或补充都应该通过本代理机构以法定形式发布，采购人非通过本机构，不得擅自澄清、答复、修改或补充招标文件。</w:t>
      </w:r>
    </w:p>
    <w:p>
      <w:pPr>
        <w:pStyle w:val="13"/>
        <w:spacing w:before="120" w:after="120" w:line="440" w:lineRule="exact"/>
        <w:jc w:val="center"/>
        <w:outlineLvl w:val="1"/>
        <w:rPr>
          <w:rFonts w:hint="eastAsia" w:ascii="宋体" w:hAnsi="宋体" w:eastAsia="宋体" w:cs="宋体"/>
          <w:b/>
          <w:bCs/>
          <w:sz w:val="21"/>
          <w:szCs w:val="21"/>
        </w:rPr>
      </w:pPr>
      <w:bookmarkStart w:id="33" w:name="_Toc486867971"/>
      <w:bookmarkEnd w:id="33"/>
      <w:r>
        <w:rPr>
          <w:rFonts w:hint="eastAsia" w:ascii="宋体" w:hAnsi="宋体" w:eastAsia="宋体" w:cs="宋体"/>
          <w:b/>
          <w:bCs/>
          <w:sz w:val="21"/>
          <w:szCs w:val="21"/>
        </w:rPr>
        <w:t xml:space="preserve"> </w:t>
      </w:r>
    </w:p>
    <w:p>
      <w:pPr>
        <w:pStyle w:val="13"/>
        <w:spacing w:before="120" w:after="120" w:line="440" w:lineRule="exact"/>
        <w:jc w:val="center"/>
        <w:outlineLvl w:val="1"/>
        <w:rPr>
          <w:rFonts w:hint="eastAsia" w:ascii="宋体" w:hAnsi="宋体" w:eastAsia="宋体" w:cs="宋体"/>
          <w:b/>
          <w:bCs/>
          <w:sz w:val="21"/>
          <w:szCs w:val="21"/>
        </w:rPr>
      </w:pPr>
      <w:r>
        <w:rPr>
          <w:rFonts w:hint="eastAsia" w:ascii="宋体" w:hAnsi="宋体" w:eastAsia="宋体" w:cs="宋体"/>
          <w:b/>
          <w:bCs/>
          <w:sz w:val="21"/>
          <w:szCs w:val="21"/>
        </w:rPr>
        <w:t>三、投标文件的编制</w:t>
      </w:r>
    </w:p>
    <w:p>
      <w:pPr>
        <w:pStyle w:val="13"/>
        <w:spacing w:line="440" w:lineRule="exact"/>
        <w:jc w:val="left"/>
        <w:outlineLvl w:val="1"/>
        <w:rPr>
          <w:rFonts w:hint="eastAsia" w:ascii="宋体" w:hAnsi="宋体" w:eastAsia="宋体" w:cs="宋体"/>
          <w:b/>
          <w:bCs/>
          <w:sz w:val="21"/>
          <w:szCs w:val="21"/>
        </w:rPr>
      </w:pPr>
      <w:bookmarkStart w:id="34" w:name="_Toc486867972"/>
      <w:bookmarkEnd w:id="34"/>
      <w:bookmarkStart w:id="35" w:name="_Toc426556808"/>
      <w:r>
        <w:rPr>
          <w:rFonts w:hint="eastAsia" w:ascii="宋体" w:hAnsi="宋体" w:eastAsia="宋体" w:cs="宋体"/>
          <w:b/>
          <w:bCs/>
          <w:sz w:val="21"/>
          <w:szCs w:val="21"/>
        </w:rPr>
        <w:t>（一）投标文件的组成</w:t>
      </w:r>
      <w:bookmarkEnd w:id="35"/>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投标文件由报价文件、资格证明文件及技术商务文件组成。</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1、报价文件包括以下内容：</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（1）开标一览表；（附件八）</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（2）分项报价表；（附件九）</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（4）中小企业声明函；（附件十）</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（5）残疾人福利性单位声明函（如有需提供）；</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（6）供应商认为有必要的其它内容。</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2、资格证明文件包括以下内容：</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1</w:t>
      </w:r>
      <w:r>
        <w:rPr>
          <w:rFonts w:hint="eastAsia" w:ascii="宋体" w:hAnsi="宋体" w:eastAsia="宋体" w:cs="宋体"/>
          <w:sz w:val="21"/>
          <w:szCs w:val="21"/>
        </w:rPr>
        <w:t>）关于资格的声明函；（附件三）</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2</w:t>
      </w:r>
      <w:r>
        <w:rPr>
          <w:rFonts w:hint="eastAsia" w:ascii="宋体" w:hAnsi="宋体" w:eastAsia="宋体" w:cs="宋体"/>
          <w:sz w:val="21"/>
          <w:szCs w:val="21"/>
        </w:rPr>
        <w:t>）中小企业声明函；（附件十）</w:t>
      </w:r>
    </w:p>
    <w:p>
      <w:pPr>
        <w:spacing w:line="440" w:lineRule="exact"/>
        <w:ind w:firstLine="420" w:firstLineChars="200"/>
        <w:jc w:val="left"/>
        <w:rPr>
          <w:rFonts w:hint="eastAsia" w:ascii="宋体" w:hAnsi="宋体" w:eastAsia="宋体" w:cs="宋体"/>
          <w:sz w:val="21"/>
          <w:szCs w:val="21"/>
          <w:lang w:val="en-US" w:eastAsia="zh-CN"/>
        </w:rPr>
      </w:pPr>
      <w:r>
        <w:rPr>
          <w:rFonts w:hint="eastAsia" w:ascii="宋体" w:hAnsi="宋体" w:cs="宋体"/>
          <w:sz w:val="21"/>
          <w:szCs w:val="21"/>
        </w:rPr>
        <w:t>（</w:t>
      </w:r>
      <w:r>
        <w:rPr>
          <w:rFonts w:hint="eastAsia" w:ascii="宋体" w:hAnsi="宋体" w:cs="宋体"/>
          <w:sz w:val="21"/>
          <w:szCs w:val="21"/>
          <w:lang w:val="en-US" w:eastAsia="zh-CN"/>
        </w:rPr>
        <w:t>3</w:t>
      </w:r>
      <w:r>
        <w:rPr>
          <w:rFonts w:hint="eastAsia" w:ascii="宋体" w:hAnsi="宋体" w:cs="宋体"/>
          <w:sz w:val="21"/>
          <w:szCs w:val="21"/>
        </w:rPr>
        <w:t>）残疾人福利性单位声明函（如有需提供）</w:t>
      </w:r>
      <w:r>
        <w:rPr>
          <w:rFonts w:hint="eastAsia" w:ascii="宋体" w:hAnsi="宋体" w:cs="宋体"/>
          <w:sz w:val="21"/>
          <w:szCs w:val="21"/>
          <w:lang w:eastAsia="zh-CN"/>
        </w:rPr>
        <w:t>。</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技术商务文件包括以下内容：</w:t>
      </w:r>
    </w:p>
    <w:p>
      <w:pPr>
        <w:snapToGrid w:val="0"/>
        <w:spacing w:line="440" w:lineRule="exact"/>
        <w:ind w:firstLine="413" w:firstLineChars="196"/>
        <w:jc w:val="left"/>
        <w:rPr>
          <w:rFonts w:hint="eastAsia" w:ascii="宋体" w:hAnsi="宋体" w:eastAsia="宋体" w:cs="宋体"/>
          <w:b/>
          <w:bCs/>
          <w:sz w:val="21"/>
          <w:szCs w:val="21"/>
        </w:rPr>
      </w:pPr>
      <w:r>
        <w:rPr>
          <w:rFonts w:hint="eastAsia" w:ascii="宋体" w:hAnsi="宋体" w:eastAsia="宋体" w:cs="宋体"/>
          <w:b/>
          <w:bCs/>
          <w:sz w:val="21"/>
          <w:szCs w:val="21"/>
        </w:rPr>
        <w:t>A、商务部分</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（1）投标函；（附件一）</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（2）法定代表人身份证明、法定代表人授权书；（附件二）</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3</w:t>
      </w:r>
      <w:r>
        <w:rPr>
          <w:rFonts w:hint="eastAsia" w:ascii="宋体" w:hAnsi="宋体" w:eastAsia="宋体" w:cs="宋体"/>
          <w:sz w:val="21"/>
          <w:szCs w:val="21"/>
        </w:rPr>
        <w:t>）关于资格的声明函；（附件三）</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4</w:t>
      </w:r>
      <w:r>
        <w:rPr>
          <w:rFonts w:hint="eastAsia" w:ascii="宋体" w:hAnsi="宋体" w:eastAsia="宋体" w:cs="宋体"/>
          <w:sz w:val="21"/>
          <w:szCs w:val="21"/>
        </w:rPr>
        <w:t>）商务条款响应偏离表；（附件四）</w:t>
      </w:r>
    </w:p>
    <w:p>
      <w:pPr>
        <w:snapToGrid w:val="0"/>
        <w:spacing w:line="440" w:lineRule="exact"/>
        <w:ind w:firstLine="411" w:firstLineChars="196"/>
        <w:jc w:val="left"/>
        <w:rPr>
          <w:rFonts w:hint="eastAsia" w:ascii="宋体" w:hAnsi="宋体" w:eastAsia="宋体" w:cs="宋体"/>
          <w:sz w:val="21"/>
          <w:szCs w:val="21"/>
          <w:lang w:eastAsia="zh-CN"/>
        </w:rPr>
      </w:pPr>
      <w:r>
        <w:rPr>
          <w:rFonts w:hint="eastAsia" w:ascii="宋体" w:hAnsi="宋体" w:eastAsia="宋体" w:cs="宋体"/>
          <w:sz w:val="21"/>
          <w:szCs w:val="21"/>
        </w:rPr>
        <w:t>（</w:t>
      </w:r>
      <w:r>
        <w:rPr>
          <w:rFonts w:hint="eastAsia" w:ascii="宋体" w:hAnsi="宋体" w:eastAsia="宋体" w:cs="宋体"/>
          <w:sz w:val="21"/>
          <w:szCs w:val="21"/>
          <w:lang w:val="en-US" w:eastAsia="zh-CN"/>
        </w:rPr>
        <w:t>5</w:t>
      </w:r>
      <w:r>
        <w:rPr>
          <w:rFonts w:hint="eastAsia" w:ascii="宋体" w:hAnsi="宋体" w:eastAsia="宋体" w:cs="宋体"/>
          <w:sz w:val="21"/>
          <w:szCs w:val="21"/>
        </w:rPr>
        <w:t>）拟派项目负责人及主要成员配备情况；（附件六）</w:t>
      </w:r>
      <w:r>
        <w:rPr>
          <w:rFonts w:hint="eastAsia" w:ascii="宋体" w:hAnsi="宋体" w:eastAsia="宋体" w:cs="宋体"/>
          <w:sz w:val="21"/>
          <w:szCs w:val="21"/>
          <w:lang w:eastAsia="zh-CN"/>
        </w:rPr>
        <w:t>（采购文件及商务和技术评分表对</w:t>
      </w:r>
      <w:r>
        <w:rPr>
          <w:rFonts w:hint="eastAsia" w:ascii="宋体" w:hAnsi="宋体" w:eastAsia="宋体" w:cs="宋体"/>
          <w:sz w:val="21"/>
          <w:szCs w:val="21"/>
        </w:rPr>
        <w:t>拟派成员配备</w:t>
      </w:r>
      <w:r>
        <w:rPr>
          <w:rFonts w:hint="eastAsia" w:ascii="宋体" w:hAnsi="宋体" w:eastAsia="宋体" w:cs="宋体"/>
          <w:sz w:val="21"/>
          <w:szCs w:val="21"/>
          <w:lang w:eastAsia="zh-CN"/>
        </w:rPr>
        <w:t>无具体打分要求的，本表可不提供）</w:t>
      </w:r>
    </w:p>
    <w:p>
      <w:pPr>
        <w:snapToGrid w:val="0"/>
        <w:spacing w:line="440" w:lineRule="exact"/>
        <w:ind w:firstLine="411" w:firstLineChars="196"/>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6</w:t>
      </w:r>
      <w:r>
        <w:rPr>
          <w:rFonts w:hint="eastAsia" w:ascii="宋体" w:hAnsi="宋体" w:eastAsia="宋体" w:cs="宋体"/>
          <w:sz w:val="21"/>
          <w:szCs w:val="21"/>
        </w:rPr>
        <w:t>）项目业绩表；（附件七）</w:t>
      </w:r>
    </w:p>
    <w:p>
      <w:pPr>
        <w:snapToGrid w:val="0"/>
        <w:spacing w:line="440" w:lineRule="exact"/>
        <w:ind w:firstLine="411" w:firstLineChars="196"/>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7</w:t>
      </w:r>
      <w:r>
        <w:rPr>
          <w:rFonts w:hint="eastAsia" w:ascii="宋体" w:hAnsi="宋体" w:eastAsia="宋体" w:cs="宋体"/>
          <w:sz w:val="21"/>
          <w:szCs w:val="21"/>
        </w:rPr>
        <w:t>）招标文件要求提交的其它资料和有关必要的承诺；（格式自拟）</w:t>
      </w:r>
    </w:p>
    <w:p>
      <w:pPr>
        <w:snapToGrid w:val="0"/>
        <w:spacing w:line="440" w:lineRule="exact"/>
        <w:ind w:firstLine="411" w:firstLineChars="196"/>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8</w:t>
      </w:r>
      <w:r>
        <w:rPr>
          <w:rFonts w:hint="eastAsia" w:ascii="宋体" w:hAnsi="宋体" w:eastAsia="宋体" w:cs="宋体"/>
          <w:sz w:val="21"/>
          <w:szCs w:val="21"/>
        </w:rPr>
        <w:t>）供应商认为可以证明其能力或业绩的其他材料。（格式自拟）</w:t>
      </w:r>
    </w:p>
    <w:p>
      <w:pPr>
        <w:snapToGrid w:val="0"/>
        <w:spacing w:line="440" w:lineRule="exact"/>
        <w:ind w:firstLine="413" w:firstLineChars="196"/>
        <w:jc w:val="left"/>
        <w:rPr>
          <w:rFonts w:hint="eastAsia" w:ascii="宋体" w:hAnsi="宋体" w:eastAsia="宋体" w:cs="宋体"/>
          <w:b/>
          <w:bCs/>
          <w:sz w:val="21"/>
          <w:szCs w:val="21"/>
        </w:rPr>
      </w:pPr>
      <w:r>
        <w:rPr>
          <w:rFonts w:hint="eastAsia" w:ascii="宋体" w:hAnsi="宋体" w:eastAsia="宋体" w:cs="宋体"/>
          <w:b/>
          <w:bCs/>
          <w:sz w:val="21"/>
          <w:szCs w:val="21"/>
        </w:rPr>
        <w:t>B、技术部分</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包括但不限于以下内容：</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w:t>
      </w:r>
      <w:r>
        <w:rPr>
          <w:rFonts w:hint="eastAsia" w:ascii="宋体" w:hAnsi="宋体" w:eastAsia="宋体" w:cs="宋体"/>
          <w:sz w:val="21"/>
          <w:szCs w:val="21"/>
          <w:lang w:eastAsia="zh-CN"/>
        </w:rPr>
        <w:t>）</w:t>
      </w:r>
      <w:r>
        <w:rPr>
          <w:rFonts w:hint="eastAsia" w:ascii="宋体" w:hAnsi="宋体" w:eastAsia="宋体" w:cs="宋体"/>
          <w:sz w:val="21"/>
          <w:szCs w:val="21"/>
        </w:rPr>
        <w:t>技术/服务响应偏离表；（附件五）</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w:t>
      </w:r>
      <w:r>
        <w:rPr>
          <w:rFonts w:hint="eastAsia" w:ascii="宋体" w:hAnsi="宋体" w:eastAsia="宋体" w:cs="宋体"/>
          <w:sz w:val="21"/>
          <w:szCs w:val="21"/>
          <w:lang w:eastAsia="zh-CN"/>
        </w:rPr>
        <w:t>）详细的交货清单；（格式自拟）</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3</w:t>
      </w:r>
      <w:r>
        <w:rPr>
          <w:rFonts w:hint="eastAsia" w:ascii="宋体" w:hAnsi="宋体" w:eastAsia="宋体" w:cs="宋体"/>
          <w:sz w:val="21"/>
          <w:szCs w:val="21"/>
        </w:rPr>
        <w:t>）评分标准或招标文件需要提供的其他商务技术材料；(格式自拟)</w:t>
      </w:r>
    </w:p>
    <w:p>
      <w:pPr>
        <w:spacing w:line="440" w:lineRule="exact"/>
        <w:ind w:firstLine="420" w:firstLineChars="200"/>
        <w:jc w:val="left"/>
        <w:rPr>
          <w:rFonts w:hint="eastAsia" w:ascii="宋体" w:hAnsi="宋体" w:eastAsia="宋体" w:cs="宋体"/>
          <w:sz w:val="21"/>
          <w:szCs w:val="21"/>
        </w:rPr>
      </w:pPr>
      <w:bookmarkStart w:id="36" w:name="_Toc486867973"/>
      <w:bookmarkEnd w:id="36"/>
      <w:r>
        <w:rPr>
          <w:rFonts w:hint="eastAsia" w:ascii="宋体" w:hAnsi="宋体" w:eastAsia="宋体" w:cs="宋体"/>
          <w:sz w:val="21"/>
          <w:szCs w:val="21"/>
        </w:rPr>
        <w:t>（</w:t>
      </w:r>
      <w:r>
        <w:rPr>
          <w:rFonts w:hint="eastAsia" w:ascii="宋体" w:hAnsi="宋体" w:eastAsia="宋体" w:cs="宋体"/>
          <w:sz w:val="21"/>
          <w:szCs w:val="21"/>
          <w:lang w:val="en-US" w:eastAsia="zh-CN"/>
        </w:rPr>
        <w:t>4</w:t>
      </w:r>
      <w:r>
        <w:rPr>
          <w:rFonts w:hint="eastAsia" w:ascii="宋体" w:hAnsi="宋体" w:eastAsia="宋体" w:cs="宋体"/>
          <w:sz w:val="21"/>
          <w:szCs w:val="21"/>
        </w:rPr>
        <w:t>）项目内容实施方案；(格式自拟)</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5</w:t>
      </w:r>
      <w:r>
        <w:rPr>
          <w:rFonts w:hint="eastAsia" w:ascii="宋体" w:hAnsi="宋体" w:eastAsia="宋体" w:cs="宋体"/>
          <w:sz w:val="21"/>
          <w:szCs w:val="21"/>
        </w:rPr>
        <w:t>）对本项目售后服务方案（承诺）；(格式自拟)</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6</w:t>
      </w:r>
      <w:r>
        <w:rPr>
          <w:rFonts w:hint="eastAsia" w:ascii="宋体" w:hAnsi="宋体" w:eastAsia="宋体" w:cs="宋体"/>
          <w:sz w:val="21"/>
          <w:szCs w:val="21"/>
        </w:rPr>
        <w:t>）供应商资信情况；</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7</w:t>
      </w:r>
      <w:r>
        <w:rPr>
          <w:rFonts w:hint="eastAsia" w:ascii="宋体" w:hAnsi="宋体" w:eastAsia="宋体" w:cs="宋体"/>
          <w:sz w:val="21"/>
          <w:szCs w:val="21"/>
        </w:rPr>
        <w:t>）其他招标文件要求或供应商认为有必要提供的文件资料、说明等。</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*注：</w:t>
      </w:r>
      <w:r>
        <w:rPr>
          <w:rFonts w:hint="eastAsia" w:ascii="宋体" w:hAnsi="宋体" w:eastAsia="宋体" w:cs="宋体"/>
          <w:sz w:val="21"/>
          <w:szCs w:val="21"/>
          <w:lang w:val="en-US" w:eastAsia="zh-CN"/>
        </w:rPr>
        <w:t>除报价文件外，其他</w:t>
      </w:r>
      <w:r>
        <w:rPr>
          <w:rFonts w:hint="eastAsia" w:ascii="宋体" w:hAnsi="宋体" w:eastAsia="宋体" w:cs="宋体"/>
          <w:sz w:val="21"/>
          <w:szCs w:val="21"/>
        </w:rPr>
        <w:t>文件中不能出现涉及报价的有关内容。</w:t>
      </w:r>
    </w:p>
    <w:p>
      <w:pPr>
        <w:spacing w:line="440" w:lineRule="exact"/>
        <w:outlineLvl w:val="0"/>
        <w:rPr>
          <w:rFonts w:hint="eastAsia" w:ascii="宋体" w:hAnsi="宋体" w:eastAsia="宋体" w:cs="宋体"/>
          <w:b/>
          <w:bCs/>
          <w:sz w:val="21"/>
          <w:szCs w:val="21"/>
        </w:rPr>
      </w:pPr>
      <w:r>
        <w:rPr>
          <w:rFonts w:hint="eastAsia" w:ascii="宋体" w:hAnsi="宋体" w:eastAsia="宋体" w:cs="宋体"/>
          <w:b/>
          <w:bCs/>
          <w:sz w:val="21"/>
          <w:szCs w:val="21"/>
        </w:rPr>
        <w:t>（二）投标文件的语言及计量</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*1、投标文件以及供应商与采购人就有关投标事宜的所有来往函电，均应以中文汉语书写。除签名、盖章、专用名称等特殊情形外，以中文汉语以外的文字表述的投标文件视同未提供。</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*2、投标计量单位，招标文件已有明确规定的，使用招标文件规定的计量单位；招标文件没有规定的，应采用中华人民共和国法定计量单位（货币单位：人民币元），否则视同未响应。</w:t>
      </w:r>
    </w:p>
    <w:p>
      <w:pPr>
        <w:spacing w:line="440" w:lineRule="exact"/>
        <w:jc w:val="left"/>
        <w:outlineLvl w:val="0"/>
        <w:rPr>
          <w:rFonts w:hint="eastAsia" w:ascii="宋体" w:hAnsi="宋体" w:eastAsia="宋体" w:cs="宋体"/>
          <w:b/>
          <w:bCs/>
          <w:sz w:val="21"/>
          <w:szCs w:val="21"/>
        </w:rPr>
      </w:pPr>
      <w:bookmarkStart w:id="37" w:name="_Toc486867974"/>
      <w:bookmarkEnd w:id="37"/>
      <w:r>
        <w:rPr>
          <w:rFonts w:hint="eastAsia" w:ascii="宋体" w:hAnsi="宋体" w:eastAsia="宋体" w:cs="宋体"/>
          <w:b/>
          <w:bCs/>
          <w:sz w:val="21"/>
          <w:szCs w:val="21"/>
        </w:rPr>
        <w:t>（三）投标报价</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1、投标报价应按招标文件中相关附表格式填写。</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*2、投标价格应是招标文件确定的招标内容中的全部服务的价格表现。</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报价要求：详见招标文第三章《供应商须知》前附表第3条。</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4</w:t>
      </w:r>
      <w:r>
        <w:rPr>
          <w:rFonts w:hint="eastAsia" w:ascii="宋体" w:hAnsi="宋体" w:eastAsia="宋体" w:cs="宋体"/>
          <w:sz w:val="21"/>
          <w:szCs w:val="21"/>
        </w:rPr>
        <w:t>、投标文件只允许有一个报价，有选择的或有条件的报价将不予接受。</w:t>
      </w:r>
    </w:p>
    <w:p>
      <w:pPr>
        <w:numPr>
          <w:ilvl w:val="0"/>
          <w:numId w:val="4"/>
        </w:numPr>
        <w:spacing w:line="440" w:lineRule="exact"/>
        <w:ind w:left="720" w:hanging="720"/>
        <w:jc w:val="left"/>
        <w:rPr>
          <w:rFonts w:hint="eastAsia" w:ascii="宋体" w:hAnsi="宋体" w:eastAsia="宋体" w:cs="宋体"/>
          <w:b/>
          <w:bCs/>
          <w:sz w:val="21"/>
          <w:szCs w:val="21"/>
        </w:rPr>
      </w:pPr>
      <w:r>
        <w:rPr>
          <w:rFonts w:hint="eastAsia" w:ascii="宋体" w:hAnsi="宋体" w:eastAsia="宋体" w:cs="宋体"/>
          <w:b/>
          <w:bCs/>
          <w:sz w:val="21"/>
          <w:szCs w:val="21"/>
        </w:rPr>
        <w:t>投标文件的有效期</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*1、自投标截止日起90天投标文件应保持有效。有效期不足的投标文件将被拒绝。</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2、在特殊情况下，采购人可与供应商协商延长投标书的有效期，这种要求和答复均以书面形式进行。</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3、供应商可拒绝接受延期要求而不会导致投标保证金被没收。同意延长有效期的供应商需要相应延长投标保证金的有效期，但不能修改投标文件。</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4、中标供应商的投标文件自开标之日起至合同履行完毕止均应保持有效。</w:t>
      </w:r>
    </w:p>
    <w:p>
      <w:pPr>
        <w:spacing w:line="440" w:lineRule="exact"/>
        <w:jc w:val="left"/>
        <w:outlineLvl w:val="0"/>
        <w:rPr>
          <w:rFonts w:hint="eastAsia" w:ascii="宋体" w:hAnsi="宋体" w:eastAsia="宋体" w:cs="宋体"/>
          <w:b/>
          <w:bCs/>
          <w:sz w:val="21"/>
          <w:szCs w:val="21"/>
        </w:rPr>
      </w:pPr>
      <w:bookmarkStart w:id="38" w:name="_Toc486867975"/>
      <w:bookmarkEnd w:id="38"/>
      <w:r>
        <w:rPr>
          <w:rFonts w:hint="eastAsia" w:ascii="宋体" w:hAnsi="宋体" w:eastAsia="宋体" w:cs="宋体"/>
          <w:b/>
          <w:bCs/>
          <w:sz w:val="21"/>
          <w:szCs w:val="21"/>
        </w:rPr>
        <w:t>（五）投标保证金（本项目不适用）</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*1、供应商须按规定提交投标保证金。否则，其投标将被拒绝。</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2、保证金形式：银行汇票、网银、电汇、支票（仅限于使用宁波大市区范围内的银行开具的支票），保证金必须从供应商单位账户中划转，不得缴纳现金。如用电汇或汇票的，请在用途栏内注明“采购编号”。</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3、未中标供应商的投标保证金在中标通知书发出后5个工作日内退还。</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4、保证金不计息。</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5、供应商有下列情形之一的，投标保证金将不予退还：</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（1）供应商在投标有效期内撤回投标文件的；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（2）未按规定提交履约保证金的；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（3）供应商在投标过程中弄虚作假，提供虚假材料的；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（4）中标供应商无正当理由不与采购人签订合同的；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（5）将中标项目转让给他人的；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（6）拒绝履行合同义务的；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（7）其他严重扰乱招投标程序的。</w:t>
      </w:r>
    </w:p>
    <w:p>
      <w:pPr>
        <w:spacing w:line="440" w:lineRule="exact"/>
        <w:jc w:val="left"/>
        <w:outlineLvl w:val="0"/>
        <w:rPr>
          <w:rFonts w:hint="eastAsia" w:ascii="宋体" w:hAnsi="宋体" w:eastAsia="宋体" w:cs="宋体"/>
          <w:b/>
          <w:bCs/>
          <w:sz w:val="21"/>
          <w:szCs w:val="21"/>
        </w:rPr>
      </w:pPr>
      <w:bookmarkStart w:id="39" w:name="_Toc486867976"/>
      <w:bookmarkEnd w:id="39"/>
      <w:r>
        <w:rPr>
          <w:rFonts w:hint="eastAsia" w:ascii="宋体" w:hAnsi="宋体" w:eastAsia="宋体" w:cs="宋体"/>
          <w:b/>
          <w:bCs/>
          <w:sz w:val="21"/>
          <w:szCs w:val="21"/>
        </w:rPr>
        <w:t>（六）投标文件的签署和份数</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1、供应商应按政采云电子评审要求及本招标文件规定的格式和顺序编制投标文件并标注页码，投标文件内容不完整、编排混乱导致投标文件被误读、漏读或者查找不到相关内容的，是供应商的责任。</w:t>
      </w:r>
    </w:p>
    <w:p>
      <w:pPr>
        <w:spacing w:line="440" w:lineRule="exact"/>
        <w:ind w:firstLine="420" w:firstLineChars="200"/>
        <w:jc w:val="lef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2、投标文件的份数：详见招标文第三章《供应商须知》前附表第8条。</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、供应商的纸质投标文件应按资格证明文件</w:t>
      </w:r>
      <w:r>
        <w:rPr>
          <w:rFonts w:hint="eastAsia" w:ascii="宋体" w:hAnsi="宋体" w:eastAsia="宋体" w:cs="宋体"/>
          <w:sz w:val="21"/>
          <w:szCs w:val="21"/>
          <w:lang w:eastAsia="zh-CN"/>
        </w:rPr>
        <w:t>、</w:t>
      </w:r>
      <w:r>
        <w:rPr>
          <w:rFonts w:hint="eastAsia" w:ascii="宋体" w:hAnsi="宋体" w:eastAsia="宋体" w:cs="宋体"/>
          <w:sz w:val="21"/>
          <w:szCs w:val="21"/>
        </w:rPr>
        <w:t>技术商务文件、报价文件分别编制并单独装订成册，投标文件的封面应注明“正本”、“副本”字样。活页装订（活页装订是指用卡条、抽杆夹、订书机等形式装订，使投标文件可以拆卸或者翻动过程中易脱落的一种装订方式）的投标文件将被拒绝。（本项目不适用）</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、投标文件须由供应商在规定位置盖章并由法定代表人或法定代表人的授权委托人签署，供应商应写全称。</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、投标文件不得涂改，若有修改错漏处，须加盖单位公章或者法定代表人或授权委托人签字或盖章。投标文件因字迹潦草或表达不清所引起的后果由供应商负责。</w:t>
      </w:r>
    </w:p>
    <w:p>
      <w:pPr>
        <w:spacing w:line="440" w:lineRule="exact"/>
        <w:jc w:val="left"/>
        <w:rPr>
          <w:rFonts w:hint="eastAsia" w:ascii="宋体" w:hAnsi="宋体" w:eastAsia="宋体" w:cs="宋体"/>
          <w:b/>
          <w:sz w:val="21"/>
          <w:szCs w:val="21"/>
        </w:rPr>
      </w:pPr>
      <w:r>
        <w:rPr>
          <w:rFonts w:hint="eastAsia" w:ascii="宋体" w:hAnsi="宋体" w:eastAsia="宋体" w:cs="宋体"/>
          <w:b/>
          <w:sz w:val="21"/>
          <w:szCs w:val="21"/>
        </w:rPr>
        <w:t>（七）投标文件的包装、递交、修改和撤回</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1、供应商在投标截止时间之前，可以对已提交的投标文件进行修改或撤回；投标截止时间后，供应商不得撤回、修改投标文件。修改后重新递交的投标文件应当按本招标文件的要求签署、盖章。</w:t>
      </w:r>
    </w:p>
    <w:p>
      <w:pPr>
        <w:spacing w:line="440" w:lineRule="exact"/>
        <w:jc w:val="left"/>
        <w:rPr>
          <w:rFonts w:hint="eastAsia" w:ascii="宋体" w:hAnsi="宋体" w:eastAsia="宋体" w:cs="宋体"/>
          <w:b/>
          <w:sz w:val="21"/>
          <w:szCs w:val="21"/>
        </w:rPr>
      </w:pPr>
      <w:r>
        <w:rPr>
          <w:rFonts w:hint="eastAsia" w:ascii="宋体" w:hAnsi="宋体" w:eastAsia="宋体" w:cs="宋体"/>
          <w:b/>
          <w:sz w:val="21"/>
          <w:szCs w:val="21"/>
        </w:rPr>
        <w:t>（八）投标无效的情形</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实质上没有响应招标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修改或者补正投标文件必须以书面形式进行，限期内不补正或经补正后仍不符合招标文件要求的，应认定其投标无效。供应商修改、补正投标文件后，不影响评标委员会对其投标文件所作的评价和评分结果。</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评审时如发现下列情形之一的，投标文件将被视为无效：</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1、未按招标文件的要求提供投标保证金的；（本项目不适用）</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2、投标有效期不符合招标文件要求的；</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3、投标文件的组成或格式的盖章、签署、出具不符合本招标文件要求的；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4、投标文件无法定代表人或被授权人签字及签字人无法定代表人有效授权的；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5、供应商的资格不满足招标文件要求的；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6、带“*”的款项不能满足招标文件要求的；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7、投标文件附有采购人不能接受的条件；</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8、评标委员会一致认为报价明显不合理的；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9、投标文件中对同一招标项目有两个或多个报价,且未声明哪个为有效的，或投标文件中出现重大漏项、漏量的；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10、对同个标段提供两个投标方案的；</w:t>
      </w:r>
    </w:p>
    <w:p>
      <w:pPr>
        <w:spacing w:line="44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11、不符合法律、法规和招标文件中规定的其他实质性要求的。</w:t>
      </w:r>
    </w:p>
    <w:p>
      <w:pPr>
        <w:pStyle w:val="11"/>
        <w:spacing w:before="142" w:beforeLines="50" w:after="142" w:afterLines="50" w:line="440" w:lineRule="exact"/>
        <w:ind w:left="400"/>
        <w:jc w:val="center"/>
        <w:rPr>
          <w:rFonts w:hint="eastAsia" w:ascii="宋体" w:hAnsi="宋体" w:eastAsia="宋体" w:cs="宋体"/>
          <w:b/>
          <w:snapToGrid w:val="0"/>
          <w:sz w:val="21"/>
          <w:szCs w:val="21"/>
        </w:rPr>
      </w:pPr>
      <w:r>
        <w:rPr>
          <w:rFonts w:hint="eastAsia" w:ascii="宋体" w:hAnsi="宋体" w:eastAsia="宋体" w:cs="宋体"/>
          <w:b/>
          <w:sz w:val="21"/>
          <w:szCs w:val="21"/>
        </w:rPr>
        <w:t>四、开标</w:t>
      </w:r>
    </w:p>
    <w:p>
      <w:pPr>
        <w:pStyle w:val="13"/>
        <w:spacing w:line="440" w:lineRule="exact"/>
        <w:jc w:val="left"/>
        <w:rPr>
          <w:rFonts w:hint="eastAsia" w:ascii="宋体" w:hAnsi="宋体" w:eastAsia="宋体" w:cs="宋体"/>
          <w:b/>
          <w:sz w:val="21"/>
          <w:szCs w:val="21"/>
        </w:rPr>
      </w:pPr>
      <w:r>
        <w:rPr>
          <w:rFonts w:hint="eastAsia" w:ascii="宋体" w:hAnsi="宋体" w:eastAsia="宋体" w:cs="宋体"/>
          <w:b/>
          <w:sz w:val="21"/>
          <w:szCs w:val="21"/>
        </w:rPr>
        <w:t>（一）开标准备</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采购代理机构将在规定的时间和地点进行开标，供应商的法定代表人或其授权代表可参加开标会。供应商的法定代表人或其授权代表未按时签到登记的，视同放弃开标监督权利、认可开标结果。</w:t>
      </w:r>
    </w:p>
    <w:p>
      <w:pPr>
        <w:pStyle w:val="13"/>
        <w:spacing w:line="440" w:lineRule="exact"/>
        <w:jc w:val="left"/>
        <w:rPr>
          <w:rFonts w:hint="eastAsia" w:ascii="宋体" w:hAnsi="宋体" w:eastAsia="宋体" w:cs="宋体"/>
          <w:b/>
          <w:sz w:val="21"/>
          <w:szCs w:val="21"/>
        </w:rPr>
      </w:pPr>
      <w:r>
        <w:rPr>
          <w:rFonts w:hint="eastAsia" w:ascii="宋体" w:hAnsi="宋体" w:eastAsia="宋体" w:cs="宋体"/>
          <w:b/>
          <w:sz w:val="21"/>
          <w:szCs w:val="21"/>
        </w:rPr>
        <w:t>（二）开标程序</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1、电子招投标开标程序：</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第一阶段：</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投标截止时间后，供应商登录政府采购云平台，用“项目采购-开标评标”功能对电子投标文件进行在线解密，在线解密电子投标文件时间为开标时间后30分钟内。</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在政府采购云平台开启已解密供应商的“资格文件、商务技术文件”，并做开标记录；</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第二阶段：</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（1）在政府采购云平台宣告第一阶段评审无效供应商名单及理由；</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（2）公布经第一阶段评审符合采购文件要求的供应商的商务技术得分情况；</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（3）在政府采购云平台开启除第一阶段无效标外的供应商的“报价文件”，并做开标记录；</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（4）在政府采购云平台公布评审结果。</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（5）开标会议结束。</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2、特别说明：（1）政府采购云平台如对电子化开标及评审程序有调整的，按调整后的程序操作。（2）若有供应商在规定时间内无法解密或解密失败，代理机构将开启该供应商递交的电子备份投标文件，上传至政采云平台项目采购模块，以完成开标，电子加密投标文件自动失效。供应商的加密电子投标文件在规定时间内无法解密或解密失败，且未递交电子备份投标文件的，视为无效标处理。</w:t>
      </w:r>
    </w:p>
    <w:p>
      <w:pPr>
        <w:pStyle w:val="13"/>
        <w:spacing w:line="440" w:lineRule="exact"/>
        <w:ind w:firstLine="420" w:firstLineChars="200"/>
        <w:jc w:val="left"/>
        <w:rPr>
          <w:rFonts w:hint="eastAsia" w:ascii="宋体" w:hAnsi="宋体" w:eastAsia="宋体" w:cs="宋体"/>
          <w:bCs/>
          <w:sz w:val="21"/>
          <w:szCs w:val="21"/>
        </w:rPr>
      </w:pPr>
    </w:p>
    <w:p>
      <w:pPr>
        <w:pStyle w:val="13"/>
        <w:spacing w:before="120" w:after="120" w:line="440" w:lineRule="exact"/>
        <w:jc w:val="center"/>
        <w:rPr>
          <w:rFonts w:hint="eastAsia" w:ascii="宋体" w:hAnsi="宋体" w:eastAsia="宋体" w:cs="宋体"/>
          <w:b/>
          <w:sz w:val="21"/>
          <w:szCs w:val="21"/>
        </w:rPr>
      </w:pPr>
      <w:r>
        <w:rPr>
          <w:rFonts w:hint="eastAsia" w:ascii="宋体" w:hAnsi="宋体" w:eastAsia="宋体" w:cs="宋体"/>
          <w:b/>
          <w:sz w:val="21"/>
          <w:szCs w:val="21"/>
        </w:rPr>
        <w:t>五、评标</w:t>
      </w:r>
    </w:p>
    <w:p>
      <w:pPr>
        <w:pStyle w:val="13"/>
        <w:spacing w:line="440" w:lineRule="exact"/>
        <w:jc w:val="left"/>
        <w:rPr>
          <w:rFonts w:hint="eastAsia" w:ascii="宋体" w:hAnsi="宋体" w:eastAsia="宋体" w:cs="宋体"/>
          <w:b/>
          <w:sz w:val="21"/>
          <w:szCs w:val="21"/>
        </w:rPr>
      </w:pPr>
      <w:r>
        <w:rPr>
          <w:rFonts w:hint="eastAsia" w:ascii="宋体" w:hAnsi="宋体" w:eastAsia="宋体" w:cs="宋体"/>
          <w:b/>
          <w:sz w:val="21"/>
          <w:szCs w:val="21"/>
        </w:rPr>
        <w:t>（一）组建评标委员会</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本项目评标委员会由政府采购评审专家和采购人代表组成。</w:t>
      </w:r>
    </w:p>
    <w:p>
      <w:pPr>
        <w:pStyle w:val="13"/>
        <w:spacing w:line="440" w:lineRule="exact"/>
        <w:jc w:val="left"/>
        <w:rPr>
          <w:rFonts w:hint="eastAsia" w:ascii="宋体" w:hAnsi="宋体" w:eastAsia="宋体" w:cs="宋体"/>
          <w:b/>
          <w:sz w:val="21"/>
          <w:szCs w:val="21"/>
        </w:rPr>
      </w:pPr>
      <w:r>
        <w:rPr>
          <w:rFonts w:hint="eastAsia" w:ascii="宋体" w:hAnsi="宋体" w:eastAsia="宋体" w:cs="宋体"/>
          <w:b/>
          <w:sz w:val="21"/>
          <w:szCs w:val="21"/>
        </w:rPr>
        <w:t>（二）评标的方式</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本项目采用不公开方式评标，评标的依据为招标文件和投标文件。</w:t>
      </w:r>
    </w:p>
    <w:p>
      <w:pPr>
        <w:pStyle w:val="13"/>
        <w:spacing w:line="440" w:lineRule="exact"/>
        <w:jc w:val="left"/>
        <w:rPr>
          <w:rFonts w:hint="eastAsia" w:ascii="宋体" w:hAnsi="宋体" w:eastAsia="宋体" w:cs="宋体"/>
          <w:b/>
          <w:sz w:val="21"/>
          <w:szCs w:val="21"/>
        </w:rPr>
      </w:pPr>
      <w:r>
        <w:rPr>
          <w:rFonts w:hint="eastAsia" w:ascii="宋体" w:hAnsi="宋体" w:eastAsia="宋体" w:cs="宋体"/>
          <w:b/>
          <w:sz w:val="21"/>
          <w:szCs w:val="21"/>
        </w:rPr>
        <w:t>（三）组织评标程序</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采购代理机构将按照招标文件规定的时间、地点和程序组织评标，各评审专家及相关人员应参加评审活动并接受核验、签到，无关人员不得进入评审现场。</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1、核验出席评审活动现场的评审小组各成员和相关监督人员身份，并要求其分别登记、签到，按规定统一收缴、保存其通讯工具，无关人员一律拒绝其进入评审现场。</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2、介绍评审现场的人员情况，宣布评审工作纪律，告知评审人员应当回避情形；组织推选评审小组组长。</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3、根据需要简要介绍招标文件（含补充文件）制定及质疑答复情况、按书面陈述项目基本情况及评审工作需注意事项等，让评审专家尽快知悉和了解所评审项目的采购需求、评审依据、评审标准、工作程序等；提醒评审小组对客观评审项目应统一评审依据和评审标准，对主观评审项目应确定大致的评审要求和评审尺度；对评审人员提出的有关招标文件、投标文件的问题进行必要的说明、解释或讨论。</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4、评审小组组长组织评审人员独立评审。评审小组对拟认定为投标文件无效、供应商资格不符合的，应组织相关供应商代表进行陈述、澄清或申辩；采购代理机构可协助评审小组组长对打分结果进行校对、核对并汇总统计；对明显畸高、畸低的评分（其总评分偏离平均分30%以上的），评审小组组长应提醒相关评审人员进行复核或书面说明理由，评审人员拒绝说明的，由现场监督员据实记录；评审人员的评审、修改记录应保留原件，随项目其他资料一并存档。</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5、做好评审现场相关记录，协助评审小组组长做好评审报告起草、有关内容电脑文字录入等工作，并要求评审小组各成员签字确认。</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6、评审结束后，采购代理机构应对评审小组各成员的专业水平、职业道德、遵纪守法等情况进行评价；同时按规定向评审专家发放评审费，并交还评审人员及其他现场相关人员的通讯工具。</w:t>
      </w:r>
    </w:p>
    <w:p>
      <w:pPr>
        <w:pStyle w:val="13"/>
        <w:spacing w:line="440" w:lineRule="exact"/>
        <w:jc w:val="left"/>
        <w:rPr>
          <w:rFonts w:hint="eastAsia" w:ascii="宋体" w:hAnsi="宋体" w:eastAsia="宋体" w:cs="宋体"/>
          <w:b/>
          <w:sz w:val="21"/>
          <w:szCs w:val="21"/>
        </w:rPr>
      </w:pPr>
      <w:r>
        <w:rPr>
          <w:rFonts w:hint="eastAsia" w:ascii="宋体" w:hAnsi="宋体" w:eastAsia="宋体" w:cs="宋体"/>
          <w:b/>
          <w:sz w:val="21"/>
          <w:szCs w:val="21"/>
        </w:rPr>
        <w:t>（四）评标委员评审程序</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1、在评审专家中推选评审小组组长。</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2、评审小组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3、评审人员对各供应商投标文件的有效性、完整性和响应程度进行审查，确定是否对招标文件作出实质性响应。</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4、评审人员按招标文件规定的评审方法和评审标准，依法独立对供应商投标文件进行评估、比较，并给予评价或打分，不受任何单位和个人的干预。</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5、评审人员对各供应商投标文件非实质性内容有疑议或异议，或者审查发现明显的文字或计算错误等，及时向评审小组组长提出。经评审小组商议认为需要供应商作出必要澄清或说明的，应通知该供应商以书面形式作出澄清或说明。书面通知及澄清说明文件应作为政府采购项目档案归档留存。</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6、评审人员需对采购代理机构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7、评审小组根据评审汇总情况和招标文件规定确定中标候选人排序名单。 采购人、经其书面授权的采购人代表或经其书面授权的评审小组按中标候选人排名顺序对供应商逐一进行资格审查，直至依法产生合格的中标供应商。</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8、起草评审报告，所有评审人员须在评审报告上签字确认。</w:t>
      </w:r>
    </w:p>
    <w:p>
      <w:pPr>
        <w:pStyle w:val="13"/>
        <w:spacing w:line="440" w:lineRule="exact"/>
        <w:jc w:val="left"/>
        <w:rPr>
          <w:rFonts w:hint="eastAsia" w:ascii="宋体" w:hAnsi="宋体" w:eastAsia="宋体" w:cs="宋体"/>
          <w:b/>
          <w:sz w:val="21"/>
          <w:szCs w:val="21"/>
        </w:rPr>
      </w:pPr>
      <w:r>
        <w:rPr>
          <w:rFonts w:hint="eastAsia" w:ascii="宋体" w:hAnsi="宋体" w:eastAsia="宋体" w:cs="宋体"/>
          <w:b/>
          <w:sz w:val="21"/>
          <w:szCs w:val="21"/>
        </w:rPr>
        <w:t>（五）评标原则和评标办法</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1、评标委员会必须公平、公正、客观，不带任何倾向性和启发性；不得向外界透露任何与评标有关的内容；任何单位和个人不得干扰、影响评标的正常进行；评标委员会及有关工作人员不得私下与供应商接触。</w:t>
      </w:r>
    </w:p>
    <w:p>
      <w:pPr>
        <w:pStyle w:val="13"/>
        <w:spacing w:line="440" w:lineRule="exact"/>
        <w:ind w:firstLine="420" w:firstLineChars="200"/>
        <w:jc w:val="left"/>
        <w:rPr>
          <w:rFonts w:hint="eastAsia" w:ascii="宋体" w:hAnsi="宋体" w:eastAsia="宋体" w:cs="宋体"/>
          <w:bCs/>
          <w:sz w:val="21"/>
          <w:szCs w:val="21"/>
        </w:rPr>
      </w:pPr>
      <w:r>
        <w:rPr>
          <w:rFonts w:hint="eastAsia" w:ascii="宋体" w:hAnsi="宋体" w:eastAsia="宋体" w:cs="宋体"/>
          <w:bCs/>
          <w:sz w:val="21"/>
          <w:szCs w:val="21"/>
        </w:rPr>
        <w:t>2、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供应商择期重新评审的时间和地点。</w:t>
      </w:r>
    </w:p>
    <w:p>
      <w:pPr>
        <w:pStyle w:val="13"/>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Cs/>
          <w:sz w:val="21"/>
          <w:szCs w:val="21"/>
        </w:rPr>
      </w:pPr>
      <w:r>
        <w:rPr>
          <w:rFonts w:hint="eastAsia" w:ascii="宋体" w:hAnsi="宋体" w:eastAsia="宋体" w:cs="宋体"/>
          <w:bCs/>
          <w:sz w:val="21"/>
          <w:szCs w:val="21"/>
        </w:rPr>
        <w:t>3、评审人员对有关招标文件、投标文件、样品（如有）、现场演示（如有）的说明、解释、要求、标准存在不同意见的，持不同意见的评审人员及其意见或理由应予以完整记录，并在评审过程中按照少数服从多数的原则表决执行。对招标文件本身不明确或存在歧义、矛盾的内容，应作对供应商而非采购人有利的解释；对因招标文件中有关产品技术参数需求表述不清导致供应商实质性响应不一致时，应终止评审，重新组织采购。评审人员拒绝在评审报告中签字又不说明其不同意见或理由的，由现场监督员记录在案后，可视为同意评审结果。</w:t>
      </w:r>
    </w:p>
    <w:p>
      <w:pPr>
        <w:pStyle w:val="13"/>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Cs/>
          <w:sz w:val="21"/>
          <w:szCs w:val="21"/>
        </w:rPr>
      </w:pPr>
      <w:r>
        <w:rPr>
          <w:rFonts w:hint="eastAsia" w:ascii="宋体" w:hAnsi="宋体" w:eastAsia="宋体" w:cs="宋体"/>
          <w:bCs/>
          <w:sz w:val="21"/>
          <w:szCs w:val="21"/>
        </w:rPr>
        <w:t>4、评标办法。本项目评标办法是综合评分法，具体评标内容及评分标准等详见《第四章：评标办法及评分标准》。</w:t>
      </w:r>
    </w:p>
    <w:p>
      <w:pPr>
        <w:pStyle w:val="13"/>
        <w:keepNext w:val="0"/>
        <w:keepLines w:val="0"/>
        <w:pageBreakBefore w:val="0"/>
        <w:widowControl w:val="0"/>
        <w:kinsoku/>
        <w:wordWrap/>
        <w:overflowPunct/>
        <w:topLinePunct w:val="0"/>
        <w:autoSpaceDE/>
        <w:autoSpaceDN/>
        <w:bidi w:val="0"/>
        <w:adjustRightInd/>
        <w:snapToGrid/>
        <w:spacing w:before="120" w:after="120" w:line="400" w:lineRule="exact"/>
        <w:jc w:val="center"/>
        <w:textAlignment w:val="auto"/>
        <w:rPr>
          <w:rFonts w:hint="eastAsia" w:ascii="宋体" w:hAnsi="宋体" w:eastAsia="宋体" w:cs="宋体"/>
          <w:b/>
          <w:sz w:val="21"/>
          <w:szCs w:val="21"/>
        </w:rPr>
      </w:pPr>
      <w:r>
        <w:rPr>
          <w:rFonts w:hint="eastAsia" w:ascii="宋体" w:hAnsi="宋体" w:eastAsia="宋体" w:cs="宋体"/>
          <w:b/>
          <w:sz w:val="21"/>
          <w:szCs w:val="21"/>
        </w:rPr>
        <w:t>六、定标</w:t>
      </w:r>
    </w:p>
    <w:p>
      <w:pPr>
        <w:pStyle w:val="13"/>
        <w:keepNext w:val="0"/>
        <w:keepLines w:val="0"/>
        <w:pageBreakBefore w:val="0"/>
        <w:widowControl w:val="0"/>
        <w:kinsoku/>
        <w:wordWrap/>
        <w:overflowPunct/>
        <w:topLinePunct w:val="0"/>
        <w:autoSpaceDE/>
        <w:autoSpaceDN/>
        <w:bidi w:val="0"/>
        <w:adjustRightInd/>
        <w:snapToGrid/>
        <w:spacing w:line="400" w:lineRule="exact"/>
        <w:ind w:firstLine="413" w:firstLineChars="196"/>
        <w:jc w:val="left"/>
        <w:textAlignment w:val="auto"/>
        <w:rPr>
          <w:rFonts w:hint="eastAsia" w:ascii="宋体" w:hAnsi="宋体" w:eastAsia="宋体" w:cs="宋体"/>
          <w:b/>
          <w:bCs/>
          <w:sz w:val="21"/>
          <w:szCs w:val="21"/>
        </w:rPr>
      </w:pPr>
      <w:r>
        <w:rPr>
          <w:rFonts w:hint="eastAsia" w:ascii="宋体" w:hAnsi="宋体" w:eastAsia="宋体" w:cs="宋体"/>
          <w:b/>
          <w:bCs/>
          <w:sz w:val="21"/>
          <w:szCs w:val="21"/>
        </w:rPr>
        <w:t>本项目由采购单位确定</w:t>
      </w:r>
      <w:r>
        <w:rPr>
          <w:rFonts w:hint="eastAsia" w:hAnsi="宋体" w:eastAsia="宋体" w:cs="宋体"/>
          <w:b/>
          <w:bCs/>
          <w:sz w:val="21"/>
          <w:szCs w:val="21"/>
          <w:lang w:eastAsia="zh-CN"/>
        </w:rPr>
        <w:t>中标供应商</w:t>
      </w:r>
      <w:r>
        <w:rPr>
          <w:rFonts w:hint="eastAsia" w:ascii="宋体" w:hAnsi="宋体" w:eastAsia="宋体" w:cs="宋体"/>
          <w:b/>
          <w:bCs/>
          <w:sz w:val="21"/>
          <w:szCs w:val="21"/>
        </w:rPr>
        <w:t>。</w:t>
      </w:r>
    </w:p>
    <w:p>
      <w:pPr>
        <w:pStyle w:val="13"/>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Cs/>
          <w:sz w:val="21"/>
          <w:szCs w:val="21"/>
        </w:rPr>
      </w:pPr>
      <w:r>
        <w:rPr>
          <w:rFonts w:hint="eastAsia" w:ascii="宋体" w:hAnsi="宋体" w:eastAsia="宋体" w:cs="宋体"/>
          <w:bCs/>
          <w:sz w:val="21"/>
          <w:szCs w:val="21"/>
        </w:rPr>
        <w:t>采购代理机构在评标结束后2个工作日内将评标报告交采购单位确认，采购单位应在收到评标报告后5个工作日内对评标结果进行确认，采购单位依法确定</w:t>
      </w:r>
      <w:r>
        <w:rPr>
          <w:rFonts w:hint="eastAsia" w:hAnsi="宋体" w:eastAsia="宋体" w:cs="宋体"/>
          <w:bCs/>
          <w:sz w:val="21"/>
          <w:szCs w:val="21"/>
          <w:lang w:eastAsia="zh-CN"/>
        </w:rPr>
        <w:t>中标供应商</w:t>
      </w:r>
      <w:r>
        <w:rPr>
          <w:rFonts w:hint="eastAsia" w:ascii="宋体" w:hAnsi="宋体" w:eastAsia="宋体" w:cs="宋体"/>
          <w:bCs/>
          <w:sz w:val="21"/>
          <w:szCs w:val="21"/>
        </w:rPr>
        <w:t>后2个工作日内，采购代理机构在发布招标公告的网站上发布中标公告，同时以书面形式发出《中标通知书》，并根据中标供应商需求采用邮寄或代理机构现场领取。</w:t>
      </w:r>
    </w:p>
    <w:p>
      <w:pPr>
        <w:keepNext w:val="0"/>
        <w:keepLines w:val="0"/>
        <w:pageBreakBefore w:val="0"/>
        <w:widowControl w:val="0"/>
        <w:kinsoku/>
        <w:wordWrap/>
        <w:overflowPunct/>
        <w:topLinePunct w:val="0"/>
        <w:autoSpaceDE/>
        <w:autoSpaceDN/>
        <w:bidi w:val="0"/>
        <w:adjustRightInd/>
        <w:snapToGrid/>
        <w:spacing w:before="120" w:after="120" w:line="400" w:lineRule="exact"/>
        <w:jc w:val="center"/>
        <w:textAlignment w:val="auto"/>
        <w:rPr>
          <w:rFonts w:hint="eastAsia" w:ascii="宋体" w:hAnsi="宋体" w:eastAsia="宋体" w:cs="宋体"/>
          <w:b/>
          <w:sz w:val="21"/>
          <w:szCs w:val="21"/>
        </w:rPr>
      </w:pPr>
      <w:r>
        <w:rPr>
          <w:rFonts w:hint="eastAsia" w:ascii="宋体" w:hAnsi="宋体" w:eastAsia="宋体" w:cs="宋体"/>
          <w:b/>
          <w:sz w:val="21"/>
          <w:szCs w:val="21"/>
        </w:rPr>
        <w:t>七、合同授予</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sz w:val="21"/>
          <w:szCs w:val="21"/>
        </w:rPr>
      </w:pPr>
      <w:r>
        <w:rPr>
          <w:rFonts w:hint="eastAsia" w:ascii="宋体" w:hAnsi="宋体" w:eastAsia="宋体" w:cs="宋体"/>
          <w:sz w:val="21"/>
          <w:szCs w:val="21"/>
        </w:rPr>
        <w:t>1、采购人与中标供应商应当在《中标通知书》发出之日起</w:t>
      </w:r>
      <w:r>
        <w:rPr>
          <w:rFonts w:hint="eastAsia" w:ascii="宋体" w:hAnsi="宋体" w:eastAsia="宋体" w:cs="宋体"/>
          <w:sz w:val="21"/>
          <w:szCs w:val="21"/>
          <w:lang w:val="en-US" w:eastAsia="zh-CN"/>
        </w:rPr>
        <w:t>2</w:t>
      </w:r>
      <w:r>
        <w:rPr>
          <w:rFonts w:hint="eastAsia" w:ascii="宋体" w:hAnsi="宋体" w:eastAsia="宋体" w:cs="宋体"/>
          <w:sz w:val="21"/>
          <w:szCs w:val="21"/>
        </w:rPr>
        <w:t>0日内签订采购合同。</w:t>
      </w:r>
    </w:p>
    <w:p>
      <w:pPr>
        <w:pStyle w:val="13"/>
        <w:keepNext w:val="0"/>
        <w:keepLines w:val="0"/>
        <w:pageBreakBefore w:val="0"/>
        <w:widowControl w:val="0"/>
        <w:kinsoku/>
        <w:wordWrap/>
        <w:overflowPunct/>
        <w:topLinePunct w:val="0"/>
        <w:autoSpaceDE/>
        <w:autoSpaceDN/>
        <w:bidi w:val="0"/>
        <w:adjustRightInd/>
        <w:snapToGrid/>
        <w:spacing w:line="400" w:lineRule="exact"/>
        <w:ind w:firstLine="420" w:firstLineChars="200"/>
        <w:jc w:val="left"/>
        <w:textAlignment w:val="auto"/>
        <w:rPr>
          <w:rFonts w:hint="eastAsia" w:ascii="宋体" w:hAnsi="宋体" w:eastAsia="宋体" w:cs="宋体"/>
          <w:bCs/>
          <w:sz w:val="21"/>
          <w:szCs w:val="21"/>
        </w:rPr>
      </w:pPr>
      <w:r>
        <w:rPr>
          <w:rFonts w:hint="eastAsia" w:ascii="宋体" w:hAnsi="宋体" w:eastAsia="宋体" w:cs="宋体"/>
          <w:sz w:val="21"/>
          <w:szCs w:val="21"/>
        </w:rPr>
        <w:t>2、中标供应商拖延、拒签合同的,将被取消中标资格。</w:t>
      </w:r>
    </w:p>
    <w:p>
      <w:pPr>
        <w:keepNext w:val="0"/>
        <w:keepLines w:val="0"/>
        <w:pageBreakBefore w:val="0"/>
        <w:widowControl w:val="0"/>
        <w:kinsoku/>
        <w:wordWrap/>
        <w:overflowPunct/>
        <w:topLinePunct w:val="0"/>
        <w:autoSpaceDE/>
        <w:autoSpaceDN/>
        <w:bidi w:val="0"/>
        <w:adjustRightInd/>
        <w:snapToGrid/>
        <w:spacing w:before="120" w:after="120" w:line="400" w:lineRule="exact"/>
        <w:jc w:val="center"/>
        <w:textAlignment w:val="auto"/>
        <w:rPr>
          <w:rFonts w:hint="eastAsia" w:ascii="宋体" w:hAnsi="宋体" w:eastAsia="宋体" w:cs="宋体"/>
          <w:b/>
          <w:sz w:val="21"/>
          <w:szCs w:val="21"/>
        </w:rPr>
      </w:pPr>
      <w:r>
        <w:rPr>
          <w:rFonts w:hint="eastAsia" w:ascii="宋体" w:hAnsi="宋体" w:eastAsia="宋体" w:cs="宋体"/>
          <w:b/>
          <w:sz w:val="21"/>
          <w:szCs w:val="21"/>
        </w:rPr>
        <w:t>八、特别说明</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bCs/>
          <w:color w:val="FF0000"/>
          <w:sz w:val="21"/>
          <w:szCs w:val="21"/>
          <w:shd w:val="clear" w:color="auto" w:fill="auto"/>
          <w:lang w:bidi="ar"/>
        </w:rPr>
      </w:pPr>
      <w:r>
        <w:rPr>
          <w:rFonts w:hint="eastAsia" w:ascii="Arial" w:hAnsi="Arial" w:cs="宋体"/>
          <w:bCs/>
          <w:color w:val="FF0000"/>
          <w:sz w:val="21"/>
          <w:szCs w:val="21"/>
          <w:shd w:val="clear" w:color="auto" w:fill="auto"/>
          <w:lang w:bidi="ar"/>
        </w:rPr>
        <w:t>本项目</w:t>
      </w:r>
      <w:r>
        <w:rPr>
          <w:rFonts w:hint="eastAsia" w:ascii="Arial" w:hAnsi="Arial" w:cs="宋体"/>
          <w:bCs/>
          <w:color w:val="FF0000"/>
          <w:sz w:val="21"/>
          <w:szCs w:val="21"/>
          <w:u w:val="single"/>
          <w:shd w:val="clear" w:color="auto" w:fill="auto"/>
          <w:lang w:val="en-US" w:eastAsia="zh-CN" w:bidi="ar"/>
        </w:rPr>
        <w:t xml:space="preserve"> </w:t>
      </w:r>
      <w:r>
        <w:rPr>
          <w:rFonts w:hint="eastAsia" w:ascii="Arial" w:hAnsi="Arial" w:cs="宋体"/>
          <w:b/>
          <w:color w:val="FF0000"/>
          <w:sz w:val="21"/>
          <w:szCs w:val="21"/>
          <w:u w:val="single"/>
          <w:shd w:val="clear" w:color="auto" w:fill="auto"/>
          <w:lang w:val="en-US" w:eastAsia="zh-CN" w:bidi="ar"/>
        </w:rPr>
        <w:t>是</w:t>
      </w:r>
      <w:r>
        <w:rPr>
          <w:rFonts w:hint="eastAsia" w:ascii="Arial" w:hAnsi="Arial" w:cs="宋体"/>
          <w:bCs/>
          <w:color w:val="FF0000"/>
          <w:sz w:val="21"/>
          <w:szCs w:val="21"/>
          <w:u w:val="single"/>
          <w:shd w:val="clear" w:color="auto" w:fill="auto"/>
          <w:lang w:val="en-US" w:eastAsia="zh-CN" w:bidi="ar"/>
        </w:rPr>
        <w:t xml:space="preserve"> </w:t>
      </w:r>
      <w:r>
        <w:rPr>
          <w:rFonts w:hint="eastAsia" w:ascii="Arial" w:hAnsi="Arial" w:cs="宋体"/>
          <w:bCs/>
          <w:color w:val="FF0000"/>
          <w:sz w:val="21"/>
          <w:szCs w:val="21"/>
          <w:shd w:val="clear" w:color="auto" w:fill="auto"/>
          <w:lang w:bidi="ar"/>
        </w:rPr>
        <w:t>专门面向中小企业采购。</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color w:val="auto"/>
          <w:sz w:val="21"/>
          <w:szCs w:val="21"/>
          <w:shd w:val="clear" w:color="auto" w:fill="auto"/>
          <w:lang w:bidi="ar"/>
        </w:rPr>
      </w:pPr>
      <w:r>
        <w:rPr>
          <w:rFonts w:hint="eastAsia" w:ascii="Arial" w:hAnsi="Arial" w:cs="宋体"/>
          <w:color w:val="auto"/>
          <w:sz w:val="21"/>
          <w:szCs w:val="21"/>
          <w:shd w:val="clear" w:color="auto" w:fill="auto"/>
          <w:lang w:bidi="ar"/>
        </w:rPr>
        <w:t>本项目对应的中小企业划分标准所属行业：</w:t>
      </w:r>
      <w:r>
        <w:rPr>
          <w:rFonts w:hint="eastAsia" w:ascii="Arial" w:hAnsi="Arial" w:cs="宋体"/>
          <w:b/>
          <w:color w:val="auto"/>
          <w:sz w:val="21"/>
          <w:szCs w:val="21"/>
          <w:u w:val="single"/>
          <w:shd w:val="clear" w:color="auto" w:fill="auto"/>
          <w:lang w:bidi="ar"/>
        </w:rPr>
        <w:t xml:space="preserve"> 工业 </w:t>
      </w:r>
      <w:r>
        <w:rPr>
          <w:rFonts w:hint="eastAsia" w:ascii="Arial" w:hAnsi="Arial" w:cs="宋体"/>
          <w:color w:val="auto"/>
          <w:sz w:val="21"/>
          <w:szCs w:val="21"/>
          <w:shd w:val="clear" w:color="auto" w:fill="auto"/>
          <w:lang w:bidi="ar"/>
        </w:rPr>
        <w:t>。</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sz w:val="21"/>
          <w:szCs w:val="21"/>
          <w:lang w:bidi="ar"/>
        </w:rPr>
      </w:pPr>
      <w:r>
        <w:rPr>
          <w:rFonts w:hint="eastAsia" w:ascii="Arial" w:hAnsi="Arial" w:cs="宋体"/>
          <w:sz w:val="21"/>
          <w:szCs w:val="21"/>
          <w:lang w:bidi="ar"/>
        </w:rPr>
        <w:t>小微企业是指中华人民共和国境内依法设立，依据国务院批准的中小企业划分标准确定的小型企业和微型企业，但与大企业的负责人为同一人，或者与大企业存在直接控股、管理关系的除外。</w:t>
      </w:r>
    </w:p>
    <w:p>
      <w:pPr>
        <w:pStyle w:val="1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left="425"/>
        <w:jc w:val="left"/>
        <w:textAlignment w:val="auto"/>
        <w:rPr>
          <w:rFonts w:ascii="Arial" w:hAnsi="Arial" w:cs="宋体"/>
          <w:bCs/>
          <w:sz w:val="21"/>
          <w:szCs w:val="21"/>
          <w:lang w:bidi="ar"/>
        </w:rPr>
      </w:pPr>
      <w:r>
        <w:rPr>
          <w:rFonts w:hint="eastAsia" w:ascii="Arial" w:hAnsi="Arial" w:cs="宋体"/>
          <w:bCs/>
          <w:sz w:val="21"/>
          <w:szCs w:val="21"/>
          <w:lang w:bidi="ar"/>
        </w:rPr>
        <w:t>符合中小企业划分标准的个体工商户，在政府采购活动中视同中小企业。</w:t>
      </w:r>
    </w:p>
    <w:p>
      <w:pPr>
        <w:pStyle w:val="1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firstLine="420" w:firstLineChars="200"/>
        <w:jc w:val="left"/>
        <w:textAlignment w:val="auto"/>
        <w:rPr>
          <w:rFonts w:ascii="Arial" w:hAnsi="Arial" w:cs="宋体"/>
          <w:bCs/>
          <w:sz w:val="21"/>
          <w:szCs w:val="21"/>
          <w:lang w:bidi="ar"/>
        </w:rPr>
      </w:pPr>
      <w:r>
        <w:rPr>
          <w:rFonts w:hint="eastAsia" w:ascii="Arial" w:hAnsi="Arial" w:cs="宋体"/>
          <w:bCs/>
          <w:sz w:val="21"/>
          <w:szCs w:val="21"/>
          <w:lang w:bidi="ar"/>
        </w:rPr>
        <w:t>国务院批准的中小企业划分标准：具体见工信部联企业[2011]300号</w:t>
      </w:r>
      <w:r>
        <w:rPr>
          <w:rFonts w:hint="eastAsia" w:ascii="Arial" w:hAnsi="Arial" w:cs="宋体"/>
          <w:bCs/>
          <w:sz w:val="21"/>
          <w:szCs w:val="21"/>
          <w:lang w:eastAsia="zh-CN" w:bidi="ar"/>
        </w:rPr>
        <w:t>、《</w:t>
      </w:r>
      <w:r>
        <w:rPr>
          <w:rFonts w:hint="eastAsia" w:ascii="Arial" w:hAnsi="Arial" w:cs="宋体"/>
          <w:bCs/>
          <w:sz w:val="21"/>
          <w:szCs w:val="21"/>
          <w:lang w:val="en-US" w:eastAsia="zh-CN" w:bidi="ar"/>
        </w:rPr>
        <w:t>统计上大中小微型企业划分办法（2017）</w:t>
      </w:r>
      <w:r>
        <w:rPr>
          <w:rFonts w:hint="eastAsia" w:ascii="Arial" w:hAnsi="Arial" w:cs="宋体"/>
          <w:bCs/>
          <w:sz w:val="21"/>
          <w:szCs w:val="21"/>
          <w:lang w:eastAsia="zh-CN" w:bidi="ar"/>
        </w:rPr>
        <w:t>》</w:t>
      </w:r>
      <w:r>
        <w:rPr>
          <w:rFonts w:hint="eastAsia" w:ascii="Arial" w:hAnsi="Arial" w:cs="宋体"/>
          <w:bCs/>
          <w:sz w:val="21"/>
          <w:szCs w:val="21"/>
          <w:lang w:bidi="ar"/>
        </w:rPr>
        <w:t>。</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sz w:val="21"/>
          <w:szCs w:val="21"/>
          <w:lang w:bidi="ar"/>
        </w:rPr>
      </w:pPr>
      <w:r>
        <w:rPr>
          <w:rFonts w:hint="eastAsia" w:ascii="Arial" w:hAnsi="Arial" w:cs="宋体"/>
          <w:sz w:val="21"/>
          <w:szCs w:val="21"/>
          <w:lang w:bidi="ar"/>
        </w:rPr>
        <w:t>在政府采购活动中，供应商提供的货物、工程或者服务符合下列情形的，可享受小型、微型企业（以下简称小微企业）的价格扣除：</w:t>
      </w:r>
    </w:p>
    <w:p>
      <w:pPr>
        <w:pStyle w:val="13"/>
        <w:keepNext w:val="0"/>
        <w:keepLines w:val="0"/>
        <w:pageBreakBefore w:val="0"/>
        <w:widowControl w:val="0"/>
        <w:numPr>
          <w:ilvl w:val="0"/>
          <w:numId w:val="6"/>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bCs/>
          <w:sz w:val="21"/>
          <w:szCs w:val="21"/>
          <w:lang w:bidi="ar"/>
        </w:rPr>
      </w:pPr>
      <w:r>
        <w:rPr>
          <w:rFonts w:hint="eastAsia" w:ascii="Arial" w:hAnsi="Arial" w:cs="宋体"/>
          <w:bCs/>
          <w:sz w:val="21"/>
          <w:szCs w:val="21"/>
          <w:lang w:bidi="ar"/>
        </w:rPr>
        <w:t>在货物采购项目中，货物由小微企业制造，即货物由小微企业生产且使用该小微企业商号或者注册商标；</w:t>
      </w:r>
    </w:p>
    <w:p>
      <w:pPr>
        <w:pStyle w:val="13"/>
        <w:keepNext w:val="0"/>
        <w:keepLines w:val="0"/>
        <w:pageBreakBefore w:val="0"/>
        <w:widowControl w:val="0"/>
        <w:numPr>
          <w:ilvl w:val="0"/>
          <w:numId w:val="6"/>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bCs/>
          <w:sz w:val="21"/>
          <w:szCs w:val="21"/>
          <w:lang w:bidi="ar"/>
        </w:rPr>
      </w:pPr>
      <w:r>
        <w:rPr>
          <w:rFonts w:hint="eastAsia" w:ascii="Arial" w:hAnsi="Arial" w:cs="宋体"/>
          <w:bCs/>
          <w:sz w:val="21"/>
          <w:szCs w:val="21"/>
          <w:lang w:bidi="ar"/>
        </w:rPr>
        <w:t>在工程采购项目中，工程由小微企业承建，即工程施工单位为小微企业；</w:t>
      </w:r>
    </w:p>
    <w:p>
      <w:pPr>
        <w:pStyle w:val="13"/>
        <w:keepNext w:val="0"/>
        <w:keepLines w:val="0"/>
        <w:pageBreakBefore w:val="0"/>
        <w:widowControl w:val="0"/>
        <w:numPr>
          <w:ilvl w:val="0"/>
          <w:numId w:val="6"/>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bCs/>
          <w:sz w:val="21"/>
          <w:szCs w:val="21"/>
          <w:lang w:bidi="ar"/>
        </w:rPr>
      </w:pPr>
      <w:r>
        <w:rPr>
          <w:rFonts w:hint="eastAsia" w:ascii="Arial" w:hAnsi="Arial" w:cs="宋体"/>
          <w:bCs/>
          <w:sz w:val="21"/>
          <w:szCs w:val="21"/>
          <w:lang w:bidi="ar"/>
        </w:rPr>
        <w:t>在服务采购项目中，服务由小微企业承接，即提供服务的人员为小微企业依照《中华人民共和国劳动合同法》订立劳动合同的从业人员。</w:t>
      </w:r>
    </w:p>
    <w:p>
      <w:pPr>
        <w:pStyle w:val="13"/>
        <w:keepNext w:val="0"/>
        <w:keepLines w:val="0"/>
        <w:pageBreakBefore w:val="0"/>
        <w:widowControl w:val="0"/>
        <w:numPr>
          <w:ilvl w:val="0"/>
          <w:numId w:val="0"/>
        </w:numPr>
        <w:kinsoku/>
        <w:wordWrap/>
        <w:overflowPunct/>
        <w:topLinePunct w:val="0"/>
        <w:autoSpaceDE/>
        <w:autoSpaceDN/>
        <w:bidi w:val="0"/>
        <w:adjustRightInd/>
        <w:snapToGrid/>
        <w:spacing w:before="0" w:beforeLines="0" w:after="0" w:afterLines="0" w:line="400" w:lineRule="exact"/>
        <w:ind w:leftChars="0"/>
        <w:jc w:val="left"/>
        <w:textAlignment w:val="auto"/>
        <w:rPr>
          <w:rFonts w:ascii="Arial" w:hAnsi="Arial" w:cs="宋体"/>
          <w:bCs/>
          <w:sz w:val="21"/>
          <w:szCs w:val="21"/>
          <w:lang w:bidi="ar"/>
        </w:rPr>
      </w:pPr>
      <w:r>
        <w:rPr>
          <w:rFonts w:hint="eastAsia" w:ascii="Arial" w:hAnsi="Arial" w:cs="宋体"/>
          <w:bCs/>
          <w:sz w:val="21"/>
          <w:szCs w:val="21"/>
          <w:lang w:bidi="ar"/>
        </w:rPr>
        <w:t>以联合体形式参加政府采购活动，联合体各方均为小微企业的，联合体视同小微企业。</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sz w:val="21"/>
          <w:szCs w:val="21"/>
          <w:lang w:bidi="ar"/>
        </w:rPr>
      </w:pPr>
      <w:r>
        <w:rPr>
          <w:rFonts w:hint="eastAsia" w:ascii="Arial" w:hAnsi="Arial" w:cs="宋体"/>
          <w:sz w:val="21"/>
          <w:szCs w:val="21"/>
          <w:lang w:bidi="ar"/>
        </w:rPr>
        <w:t>在货物采购项目中，供应商提供的货物既有中小企业制造货物，也有大型企业制造货物的，不享受的小微企业价格扣除。</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color w:val="auto"/>
          <w:sz w:val="21"/>
          <w:szCs w:val="21"/>
          <w:shd w:val="clear" w:color="auto" w:fill="auto"/>
          <w:lang w:bidi="ar"/>
        </w:rPr>
      </w:pPr>
      <w:r>
        <w:rPr>
          <w:rFonts w:hint="eastAsia" w:ascii="Arial" w:hAnsi="Arial" w:cs="宋体"/>
          <w:color w:val="auto"/>
          <w:sz w:val="21"/>
          <w:szCs w:val="21"/>
          <w:shd w:val="clear" w:color="auto" w:fill="auto"/>
          <w:lang w:bidi="ar"/>
        </w:rPr>
        <w:t>本项目对符合《政府采购促进中小企业发展管理办法》（财库﹝2020﹞46号）规定的小微企业报价给予</w:t>
      </w:r>
      <w:r>
        <w:rPr>
          <w:rFonts w:hint="eastAsia" w:ascii="Arial" w:hAnsi="Arial" w:cs="宋体"/>
          <w:color w:val="auto"/>
          <w:sz w:val="21"/>
          <w:szCs w:val="21"/>
          <w:shd w:val="clear" w:color="auto" w:fill="auto"/>
          <w:lang w:val="en-US" w:eastAsia="zh-CN" w:bidi="ar"/>
        </w:rPr>
        <w:t>10</w:t>
      </w:r>
      <w:r>
        <w:rPr>
          <w:rFonts w:hint="eastAsia" w:ascii="Arial" w:hAnsi="Arial" w:cs="宋体"/>
          <w:color w:val="auto"/>
          <w:sz w:val="21"/>
          <w:szCs w:val="21"/>
          <w:shd w:val="clear" w:color="auto" w:fill="auto"/>
          <w:lang w:bidi="ar"/>
        </w:rPr>
        <w:t>%的扣除，用扣除后的价格参加评审。</w:t>
      </w:r>
    </w:p>
    <w:p>
      <w:pPr>
        <w:pStyle w:val="13"/>
        <w:keepNext w:val="0"/>
        <w:keepLines w:val="0"/>
        <w:pageBreakBefore w:val="0"/>
        <w:widowControl w:val="0"/>
        <w:kinsoku/>
        <w:wordWrap/>
        <w:overflowPunct/>
        <w:topLinePunct w:val="0"/>
        <w:autoSpaceDE/>
        <w:autoSpaceDN/>
        <w:bidi w:val="0"/>
        <w:adjustRightInd/>
        <w:snapToGrid/>
        <w:spacing w:before="0" w:beforeLines="0" w:after="0" w:afterLines="0" w:line="400" w:lineRule="exact"/>
        <w:ind w:firstLine="400"/>
        <w:jc w:val="left"/>
        <w:textAlignment w:val="auto"/>
        <w:rPr>
          <w:rFonts w:ascii="Arial" w:hAnsi="Arial" w:cs="宋体"/>
          <w:sz w:val="21"/>
          <w:szCs w:val="21"/>
          <w:lang w:bidi="ar"/>
        </w:rPr>
      </w:pPr>
      <w:r>
        <w:rPr>
          <w:rFonts w:hint="eastAsia" w:ascii="Arial" w:hAnsi="Arial" w:cs="宋体"/>
          <w:sz w:val="21"/>
          <w:szCs w:val="21"/>
          <w:lang w:bidi="ar"/>
        </w:rPr>
        <w:t>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Arial" w:hAnsi="Arial" w:cs="宋体"/>
          <w:sz w:val="21"/>
          <w:szCs w:val="21"/>
          <w:lang w:val="en-US" w:eastAsia="zh-CN" w:bidi="ar"/>
        </w:rPr>
        <w:t>3</w:t>
      </w:r>
      <w:r>
        <w:rPr>
          <w:rFonts w:hint="eastAsia" w:ascii="Arial" w:hAnsi="Arial" w:cs="宋体"/>
          <w:sz w:val="21"/>
          <w:szCs w:val="21"/>
          <w:lang w:bidi="ar"/>
        </w:rPr>
        <w:t>%（工程项目为</w:t>
      </w:r>
      <w:r>
        <w:rPr>
          <w:rFonts w:hint="eastAsia" w:ascii="Arial" w:hAnsi="Arial" w:cs="宋体"/>
          <w:sz w:val="21"/>
          <w:szCs w:val="21"/>
          <w:lang w:val="en-US" w:eastAsia="zh-CN" w:bidi="ar"/>
        </w:rPr>
        <w:t>2</w:t>
      </w:r>
      <w:r>
        <w:rPr>
          <w:rFonts w:hint="eastAsia" w:ascii="Arial" w:hAnsi="Arial" w:cs="宋体"/>
          <w:sz w:val="21"/>
          <w:szCs w:val="21"/>
          <w:lang w:bidi="ar"/>
        </w:rPr>
        <w:t>%）的扣除，用扣除后的价格参加评审。组成联合体或者接受分包的小微企业与联合体内其他企业、分包企业之间存在直接控股、管理关系的，不享受价格扣除优惠政策。</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sz w:val="21"/>
          <w:szCs w:val="21"/>
          <w:lang w:bidi="ar"/>
        </w:rPr>
      </w:pPr>
      <w:r>
        <w:rPr>
          <w:rFonts w:hint="eastAsia" w:ascii="Arial" w:hAnsi="Arial" w:cs="宋体"/>
          <w:sz w:val="21"/>
          <w:szCs w:val="21"/>
          <w:lang w:bidi="ar"/>
        </w:rPr>
        <w:t>小微企业应按照采购文件格式要求提供《中小企业声明函》。</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sz w:val="21"/>
          <w:szCs w:val="21"/>
          <w:lang w:bidi="ar"/>
        </w:rPr>
      </w:pPr>
      <w:r>
        <w:rPr>
          <w:rFonts w:hint="eastAsia" w:ascii="Arial" w:hAnsi="Arial" w:cs="宋体"/>
          <w:sz w:val="21"/>
          <w:szCs w:val="21"/>
          <w:lang w:bidi="ar"/>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sz w:val="21"/>
          <w:szCs w:val="21"/>
          <w:lang w:bidi="ar"/>
        </w:rPr>
      </w:pPr>
      <w:r>
        <w:rPr>
          <w:rFonts w:hint="eastAsia" w:ascii="Arial" w:hAnsi="Arial" w:cs="宋体"/>
          <w:sz w:val="21"/>
          <w:szCs w:val="21"/>
          <w:lang w:bidi="ar"/>
        </w:rPr>
        <w:t>根据《关于促进残疾人就业政府采购政策的通知》（财库[2017]141号）规定，在政府采购活动中，残疾人福利性单位视同小型、微型企业。残疾人福利性单位参加政府采购活动时，提供《残疾人福利性单位声明函》。</w:t>
      </w:r>
    </w:p>
    <w:p>
      <w:pPr>
        <w:pStyle w:val="13"/>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exact"/>
        <w:jc w:val="left"/>
        <w:textAlignment w:val="auto"/>
        <w:rPr>
          <w:rFonts w:ascii="Arial" w:hAnsi="Arial" w:cs="宋体"/>
          <w:sz w:val="21"/>
          <w:szCs w:val="21"/>
          <w:lang w:bidi="ar"/>
        </w:rPr>
      </w:pPr>
      <w:r>
        <w:rPr>
          <w:rFonts w:hint="eastAsia" w:ascii="Arial" w:hAnsi="Arial" w:cs="宋体"/>
          <w:sz w:val="21"/>
          <w:szCs w:val="21"/>
          <w:lang w:bidi="ar"/>
        </w:rPr>
        <w:t>按规定享受扶持政策获得政府采购合同的，小微企业不得将合同分包给大中型企业，中型企业不得将合同分包给大型企业。</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Arial" w:hAnsi="Arial" w:cs="宋体"/>
          <w:sz w:val="21"/>
          <w:szCs w:val="21"/>
          <w:lang w:bidi="ar"/>
        </w:rPr>
        <w:t>11、供应商按照《政府采购促进中小企业发展管理办法》（财库﹝2020﹞46号）规定提供声明函内容不实的，属于提供虚假材料谋取中标、成交，依照《中华人民共和国政府采购法》等国家有关规定追究相应责任。</w:t>
      </w:r>
      <w:r>
        <w:rPr>
          <w:rFonts w:hint="eastAsia" w:ascii="宋体" w:hAnsi="宋体" w:eastAsia="宋体" w:cs="宋体"/>
          <w:sz w:val="21"/>
          <w:szCs w:val="21"/>
        </w:rPr>
        <w:t xml:space="preserve">  </w:t>
      </w:r>
    </w:p>
    <w:p>
      <w:pPr>
        <w:spacing w:line="440" w:lineRule="exact"/>
        <w:jc w:val="center"/>
        <w:outlineLvl w:val="0"/>
        <w:rPr>
          <w:rFonts w:hint="eastAsia" w:ascii="宋体" w:hAnsi="宋体" w:eastAsia="宋体" w:cs="宋体"/>
          <w:sz w:val="30"/>
          <w:szCs w:val="30"/>
        </w:rPr>
      </w:pPr>
      <w:bookmarkStart w:id="40" w:name="_Toc317432110"/>
      <w:bookmarkEnd w:id="40"/>
      <w:bookmarkStart w:id="41" w:name="_Toc486867992"/>
      <w:r>
        <w:rPr>
          <w:rFonts w:hint="eastAsia" w:ascii="宋体" w:hAnsi="宋体" w:eastAsia="宋体" w:cs="宋体"/>
          <w:b/>
          <w:bCs/>
          <w:sz w:val="21"/>
          <w:szCs w:val="21"/>
        </w:rPr>
        <w:br w:type="page"/>
      </w:r>
      <w:bookmarkEnd w:id="41"/>
      <w:bookmarkStart w:id="42" w:name="_Toc14862_WPSOffice_Level1"/>
      <w:bookmarkEnd w:id="42"/>
      <w:r>
        <w:rPr>
          <w:rFonts w:hint="eastAsia" w:ascii="宋体" w:hAnsi="宋体" w:eastAsia="宋体" w:cs="宋体"/>
          <w:b/>
          <w:bCs/>
          <w:sz w:val="30"/>
          <w:szCs w:val="30"/>
        </w:rPr>
        <w:t>第四章  评标办法及标准</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bCs w:val="0"/>
          <w:color w:val="auto"/>
          <w:sz w:val="21"/>
          <w:szCs w:val="21"/>
        </w:rPr>
      </w:pPr>
      <w:bookmarkStart w:id="43" w:name="_Toc317685600"/>
      <w:r>
        <w:rPr>
          <w:rFonts w:hint="eastAsia" w:ascii="宋体" w:hAnsi="宋体" w:eastAsia="宋体" w:cs="宋体"/>
          <w:b w:val="0"/>
          <w:bCs w:val="0"/>
          <w:color w:val="auto"/>
          <w:sz w:val="21"/>
          <w:szCs w:val="21"/>
        </w:rPr>
        <w:t>本办法严格遵照《中华人民共和国政府采购法》、《政府采购货物和服务招标投标管理办法》，结合项目所在地政府有关政府采购规定和项目的实际情况制定。</w:t>
      </w:r>
      <w:bookmarkEnd w:id="43"/>
    </w:p>
    <w:p>
      <w:pPr>
        <w:keepNext w:val="0"/>
        <w:keepLines w:val="0"/>
        <w:pageBreakBefore w:val="0"/>
        <w:widowControl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b/>
          <w:bCs/>
          <w:sz w:val="21"/>
          <w:szCs w:val="21"/>
        </w:rPr>
      </w:pPr>
      <w:r>
        <w:rPr>
          <w:rFonts w:hint="eastAsia" w:ascii="宋体" w:hAnsi="宋体" w:eastAsia="宋体" w:cs="宋体"/>
          <w:b/>
          <w:bCs/>
          <w:sz w:val="21"/>
          <w:szCs w:val="21"/>
        </w:rPr>
        <w:t>一、开标准备</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采购代理机构将在规定的时间和地点进行开标，供应商的法定代表人或其授权代表可参加开标会。供应商的法定代表人或其授权代表未参加开标会的，视同放弃开标监督权利、认可开标结果。</w:t>
      </w:r>
    </w:p>
    <w:p>
      <w:pPr>
        <w:keepNext w:val="0"/>
        <w:keepLines w:val="0"/>
        <w:pageBreakBefore w:val="0"/>
        <w:widowControl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sz w:val="21"/>
          <w:szCs w:val="21"/>
        </w:rPr>
      </w:pPr>
      <w:r>
        <w:rPr>
          <w:rFonts w:hint="eastAsia" w:ascii="宋体" w:hAnsi="宋体" w:eastAsia="宋体" w:cs="宋体"/>
          <w:b/>
          <w:bCs/>
          <w:sz w:val="21"/>
          <w:szCs w:val="21"/>
        </w:rPr>
        <w:t>二、开标程序：</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bCs/>
          <w:sz w:val="21"/>
          <w:szCs w:val="21"/>
          <w:lang w:bidi="ar"/>
        </w:rPr>
      </w:pPr>
      <w:r>
        <w:rPr>
          <w:rFonts w:hint="eastAsia" w:ascii="宋体" w:hAnsi="宋体" w:eastAsia="宋体" w:cs="宋体"/>
          <w:bCs/>
          <w:sz w:val="21"/>
          <w:szCs w:val="21"/>
          <w:lang w:bidi="ar"/>
        </w:rPr>
        <w:t>1、电子招投标开标程序：</w:t>
      </w:r>
    </w:p>
    <w:p>
      <w:pPr>
        <w:keepNext w:val="0"/>
        <w:keepLines w:val="0"/>
        <w:pageBreakBefore w:val="0"/>
        <w:widowControl w:val="0"/>
        <w:numPr>
          <w:ilvl w:val="0"/>
          <w:numId w:val="7"/>
        </w:numPr>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投标截止时间后，供应商登录政府采购云平台，用“项目采购-开标评标”功能对电子投标文件进行在线解密，在线解密电子投标文件时间为开标时间后30分钟内；</w:t>
      </w:r>
    </w:p>
    <w:p>
      <w:pPr>
        <w:keepNext w:val="0"/>
        <w:keepLines w:val="0"/>
        <w:pageBreakBefore w:val="0"/>
        <w:widowControl w:val="0"/>
        <w:numPr>
          <w:ilvl w:val="0"/>
          <w:numId w:val="7"/>
        </w:numPr>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在政府采购云平台开启已解密供应商的“先开启资格文件、商务技术文件，后开启有效投标单位的报价文件”，并做开标记录；</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（3）在</w:t>
      </w:r>
      <w:r>
        <w:rPr>
          <w:rFonts w:hint="eastAsia" w:ascii="宋体" w:hAnsi="宋体" w:eastAsia="宋体" w:cs="宋体"/>
          <w:kern w:val="0"/>
          <w:sz w:val="21"/>
          <w:szCs w:val="21"/>
        </w:rPr>
        <w:t>政府采购云平台</w:t>
      </w:r>
      <w:r>
        <w:rPr>
          <w:rFonts w:hint="eastAsia" w:ascii="宋体" w:hAnsi="宋体" w:eastAsia="宋体" w:cs="宋体"/>
          <w:sz w:val="21"/>
          <w:szCs w:val="21"/>
        </w:rPr>
        <w:t>公布评审结果；</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（4）开标会议结束。</w:t>
      </w:r>
    </w:p>
    <w:p>
      <w:pPr>
        <w:keepNext w:val="0"/>
        <w:keepLines w:val="0"/>
        <w:pageBreakBefore w:val="0"/>
        <w:widowControl w:val="0"/>
        <w:numPr>
          <w:ilvl w:val="0"/>
          <w:numId w:val="8"/>
        </w:numPr>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线下开标程序：</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（1）开标会由采购代理机构主持，主持人宣布开标会议开始；</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bookmarkStart w:id="44" w:name="_Toc396115155"/>
      <w:r>
        <w:rPr>
          <w:rFonts w:hint="eastAsia" w:ascii="宋体" w:hAnsi="宋体" w:eastAsia="宋体" w:cs="宋体"/>
          <w:sz w:val="21"/>
          <w:szCs w:val="21"/>
        </w:rPr>
        <w:t>（2）主持人介绍参加开标会的人员名单；</w:t>
      </w:r>
      <w:bookmarkEnd w:id="44"/>
      <w:r>
        <w:rPr>
          <w:rFonts w:hint="eastAsia" w:ascii="宋体" w:hAnsi="宋体" w:eastAsia="宋体" w:cs="宋体"/>
          <w:sz w:val="21"/>
          <w:szCs w:val="21"/>
        </w:rPr>
        <w:t xml:space="preserve">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bookmarkStart w:id="45" w:name="_Toc396115156"/>
      <w:r>
        <w:rPr>
          <w:rFonts w:hint="eastAsia" w:ascii="宋体" w:hAnsi="宋体" w:eastAsia="宋体" w:cs="宋体"/>
          <w:sz w:val="21"/>
          <w:szCs w:val="21"/>
        </w:rPr>
        <w:t>（3）主持人宣布评标期间的有关事项，告知应当回避的情形,提请有关人员回避；</w:t>
      </w:r>
      <w:bookmarkEnd w:id="45"/>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bookmarkStart w:id="46" w:name="_Toc396115157"/>
      <w:r>
        <w:rPr>
          <w:rFonts w:hint="eastAsia" w:ascii="宋体" w:hAnsi="宋体" w:eastAsia="宋体" w:cs="宋体"/>
          <w:sz w:val="21"/>
          <w:szCs w:val="21"/>
        </w:rPr>
        <w:t>（4）检查资格文件、商务技术文件、报价文件密封的完整性；</w:t>
      </w:r>
      <w:bookmarkEnd w:id="46"/>
      <w:bookmarkStart w:id="47" w:name="_Toc396115158"/>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（5）按各供应商提交投标文件时间的先后顺序打开投标文件的资格文件、商务技术文件、报价文件（先开启资格文件、商务技术文件，后开启有效投标单位的报价文件）外包装，清点投标文件正本、副本数量</w:t>
      </w:r>
      <w:bookmarkEnd w:id="47"/>
      <w:r>
        <w:rPr>
          <w:rFonts w:hint="eastAsia" w:ascii="宋体" w:hAnsi="宋体" w:eastAsia="宋体" w:cs="宋体"/>
          <w:sz w:val="21"/>
          <w:szCs w:val="21"/>
        </w:rPr>
        <w:t>，并做开标记录；同时由记录人、监督人当场签字确认；</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（6）主持人公布公布评审结果；</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bookmarkStart w:id="48" w:name="_Toc396115163"/>
      <w:r>
        <w:rPr>
          <w:rFonts w:hint="eastAsia" w:ascii="宋体" w:hAnsi="宋体" w:eastAsia="宋体" w:cs="宋体"/>
          <w:sz w:val="21"/>
          <w:szCs w:val="21"/>
        </w:rPr>
        <w:t>（7）开标会议结束。</w:t>
      </w:r>
      <w:bookmarkEnd w:id="48"/>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3、特别说明：</w:t>
      </w:r>
      <w:r>
        <w:rPr>
          <w:rFonts w:hint="eastAsia" w:ascii="宋体" w:hAnsi="宋体" w:eastAsia="宋体" w:cs="宋体"/>
          <w:kern w:val="0"/>
          <w:sz w:val="21"/>
          <w:szCs w:val="21"/>
        </w:rPr>
        <w:t>政府采购云平台</w:t>
      </w:r>
      <w:r>
        <w:rPr>
          <w:rFonts w:hint="eastAsia" w:ascii="宋体" w:hAnsi="宋体" w:eastAsia="宋体" w:cs="宋体"/>
          <w:sz w:val="21"/>
          <w:szCs w:val="21"/>
        </w:rPr>
        <w:t>如对电子化开标及评审程序有调整的，按调整后的程序操作。</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本项目原则上采用政采云</w:t>
      </w:r>
      <w:r>
        <w:rPr>
          <w:rFonts w:hint="eastAsia" w:ascii="宋体" w:hAnsi="宋体" w:eastAsia="宋体" w:cs="宋体"/>
          <w:bCs/>
          <w:sz w:val="21"/>
          <w:szCs w:val="21"/>
          <w:lang w:bidi="ar"/>
        </w:rPr>
        <w:t>电子招投标开标程序</w:t>
      </w:r>
      <w:r>
        <w:rPr>
          <w:rFonts w:hint="eastAsia" w:ascii="宋体" w:hAnsi="宋体" w:eastAsia="宋体" w:cs="宋体"/>
          <w:sz w:val="21"/>
          <w:szCs w:val="21"/>
        </w:rPr>
        <w:t>，但有下情形之一的，按以下情况处理：</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（1）若有供应商在规定时间内无法解密或解密失败，代理机构将开启该供应商递交的</w:t>
      </w:r>
      <w:r>
        <w:rPr>
          <w:rFonts w:hint="eastAsia" w:ascii="宋体" w:hAnsi="宋体" w:eastAsia="宋体" w:cs="宋体"/>
          <w:kern w:val="0"/>
          <w:sz w:val="21"/>
          <w:szCs w:val="21"/>
        </w:rPr>
        <w:t>以U盘存储的电子备份投标文件</w:t>
      </w:r>
      <w:r>
        <w:rPr>
          <w:rFonts w:hint="eastAsia" w:ascii="宋体" w:hAnsi="宋体" w:eastAsia="宋体" w:cs="宋体"/>
          <w:sz w:val="21"/>
          <w:szCs w:val="21"/>
        </w:rPr>
        <w:t>，上传至政采云平台项目采购模块，以完成开标，电子投标文件自动失效。</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（2）若因</w:t>
      </w:r>
      <w:r>
        <w:rPr>
          <w:rFonts w:hint="eastAsia" w:ascii="宋体" w:hAnsi="宋体" w:eastAsia="宋体" w:cs="宋体"/>
          <w:kern w:val="0"/>
          <w:sz w:val="21"/>
          <w:szCs w:val="21"/>
        </w:rPr>
        <w:t>政府采购云平台</w:t>
      </w:r>
      <w:r>
        <w:rPr>
          <w:rFonts w:hint="eastAsia" w:ascii="宋体" w:hAnsi="宋体" w:eastAsia="宋体" w:cs="宋体"/>
          <w:sz w:val="21"/>
          <w:szCs w:val="21"/>
        </w:rPr>
        <w:t>原因无法读取或电子开评标无法正常进行，代理机构将开启所有供应商递交的纸质备份投标文件，以完成开标，电子投标文件及</w:t>
      </w:r>
      <w:r>
        <w:rPr>
          <w:rFonts w:hint="eastAsia" w:ascii="宋体" w:hAnsi="宋体" w:eastAsia="宋体" w:cs="宋体"/>
          <w:kern w:val="0"/>
          <w:sz w:val="21"/>
          <w:szCs w:val="21"/>
        </w:rPr>
        <w:t>以U盘存储的电子备份投标文件</w:t>
      </w:r>
      <w:r>
        <w:rPr>
          <w:rFonts w:hint="eastAsia" w:ascii="宋体" w:hAnsi="宋体" w:eastAsia="宋体" w:cs="宋体"/>
          <w:sz w:val="21"/>
          <w:szCs w:val="21"/>
        </w:rPr>
        <w:t>自动失效。</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（3）采购过程中出现以下情形，导致电子交易平台无法正常运行，或者无法保证电子交易的公平、公正和安全时，采购人（或代理机构）可中止电子交易活动：</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 xml:space="preserve">3.1电子交易平台发生故障而无法登录访问的；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3.2电子交易平台应用或数据库出现错误，不能进行正常操作的；</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3.3电子交易平台发现严重安全漏洞，有潜在泄密危险的；</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 xml:space="preserve">3.4病毒发作导致不能进行正常操作的； </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3.5其他无法保证电子交易的公平、公正和安全的情况。</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出现前款规定情形，不影响采购公平、公正性的，采购人（或代理机构）可以待上述情形消除后继续组织电子交易活动，也可以决定某些环节以纸质形式进行。</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contextualSpacing/>
        <w:jc w:val="left"/>
        <w:textAlignment w:val="auto"/>
        <w:rPr>
          <w:rFonts w:hint="eastAsia" w:ascii="宋体" w:hAnsi="宋体" w:eastAsia="宋体" w:cs="宋体"/>
          <w:sz w:val="21"/>
          <w:szCs w:val="21"/>
        </w:rPr>
      </w:pPr>
      <w:r>
        <w:rPr>
          <w:rFonts w:hint="eastAsia" w:ascii="宋体" w:hAnsi="宋体" w:eastAsia="宋体" w:cs="宋体"/>
          <w:sz w:val="21"/>
          <w:szCs w:val="21"/>
        </w:rPr>
        <w:t>（4）未开启的备份投标文件现场予以退还。</w:t>
      </w:r>
    </w:p>
    <w:p>
      <w:pPr>
        <w:keepNext w:val="0"/>
        <w:keepLines w:val="0"/>
        <w:pageBreakBefore w:val="0"/>
        <w:widowControl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b/>
          <w:bCs/>
          <w:sz w:val="21"/>
          <w:szCs w:val="21"/>
        </w:rPr>
      </w:pPr>
      <w:r>
        <w:rPr>
          <w:rFonts w:hint="eastAsia" w:ascii="宋体" w:hAnsi="宋体" w:eastAsia="宋体" w:cs="宋体"/>
          <w:b/>
          <w:bCs/>
          <w:sz w:val="21"/>
          <w:szCs w:val="21"/>
        </w:rPr>
        <w:t>三、评标委员会</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（一）本次招标依法组建评标委员会。</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二）评标原则。评标委员会必须遵循公平、公正、客观、科学的原则和规定的程序进行评标；评标的依据为采购文件和投标文件；评审人员应独立评标，不得带有任何倾向性和启发性影响他人评审；任何单位和个人不得干扰、影响评标的正常进行；评标委员会及有关工作人员不得私下与供应商接触，不得向外界透露任何与评标有关的内容。</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（三）评审专家有下列情形之一的，受到邀请应主动提出回避，采购当事人也可以要求该评审专家回避：</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1、本人、配偶或直系亲属3年内曾在参加该采购项目的供应商中任职（包括一般工作）或担任顾问，或与参加该采购项目的供应商发生过法律纠纷；</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2、任职单位与采购人或参加该采购项目供应商存在行政隶属关系；</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3、曾经参加过该采购项目的进口产品或采购文件、采购需求、采购方式的论证和咨询服务工作；</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4、是参加该采购项目供应商的上级主管部门、控股或参股单位的工作人员，或与该供应商存在其他经济利益关系；</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5、评审委员会成员之间具有配偶、近亲属关系；</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6、同一单位的评审专家在同一项目评审委员会成员中超过一名；</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7、法律、法规、规章规定应当回避以及其他可能影响公正评审的。</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（四）评标委员会判断投标文件的有效性、合格性和响应情况，仅依据供应商所递交一切文件的真实表述，不受与本项目无直接关联的外部信息、传言而影响自身的专业判断。</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五）评委依法独立评审，并对评审意见承担个人责任。对明显畸高、畸低的评分（其总评分偏离平均分30%以上的），评标委员会主任委员提醒相关评审人员进行复核或书面说明理由。评委对需要共同认定的事项存在争议的，按照少数服从多数的原则做出结论。持不同意见的评委应当在评审报告上签署不同意见并说明理由，否则视为同意。</w:t>
      </w:r>
    </w:p>
    <w:p>
      <w:pPr>
        <w:keepNext w:val="0"/>
        <w:keepLines w:val="0"/>
        <w:pageBreakBefore w:val="0"/>
        <w:widowControl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b/>
          <w:bCs/>
          <w:sz w:val="21"/>
          <w:szCs w:val="21"/>
        </w:rPr>
      </w:pPr>
      <w:r>
        <w:rPr>
          <w:rFonts w:hint="eastAsia" w:ascii="宋体" w:hAnsi="宋体" w:eastAsia="宋体" w:cs="宋体"/>
          <w:b/>
          <w:bCs/>
          <w:sz w:val="21"/>
          <w:szCs w:val="21"/>
        </w:rPr>
        <w:t>四、评标方法</w:t>
      </w:r>
    </w:p>
    <w:p>
      <w:pPr>
        <w:keepNext w:val="0"/>
        <w:keepLines w:val="0"/>
        <w:pageBreakBefore w:val="0"/>
        <w:widowControl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sz w:val="21"/>
          <w:szCs w:val="21"/>
        </w:rPr>
      </w:pPr>
      <w:r>
        <w:rPr>
          <w:rFonts w:hint="eastAsia" w:ascii="宋体" w:hAnsi="宋体" w:eastAsia="宋体" w:cs="宋体"/>
          <w:sz w:val="21"/>
          <w:szCs w:val="21"/>
        </w:rPr>
        <w:t>（一）本次采购项目的评标方法为：综合评分法。</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color w:val="auto"/>
          <w:sz w:val="21"/>
          <w:szCs w:val="21"/>
        </w:rPr>
      </w:pPr>
      <w:r>
        <w:rPr>
          <w:rFonts w:hint="eastAsia" w:ascii="宋体" w:hAnsi="宋体" w:eastAsia="宋体" w:cs="宋体"/>
          <w:b w:val="0"/>
          <w:color w:val="auto"/>
          <w:sz w:val="21"/>
          <w:szCs w:val="21"/>
        </w:rPr>
        <w:t>采用综合评分法的，评标结果按评审后得分由高到低顺序</w:t>
      </w:r>
      <w:r>
        <w:rPr>
          <w:rFonts w:hint="eastAsia" w:ascii="宋体" w:hAnsi="宋体" w:eastAsia="宋体" w:cs="宋体"/>
          <w:b w:val="0"/>
          <w:color w:val="auto"/>
          <w:sz w:val="21"/>
          <w:szCs w:val="21"/>
          <w:shd w:val="clear" w:color="auto" w:fill="auto"/>
        </w:rPr>
        <w:t>推荐</w:t>
      </w:r>
      <w:r>
        <w:rPr>
          <w:rFonts w:hint="eastAsia" w:ascii="宋体" w:eastAsia="宋体" w:cs="宋体"/>
          <w:b w:val="0"/>
          <w:color w:val="auto"/>
          <w:sz w:val="21"/>
          <w:szCs w:val="21"/>
          <w:shd w:val="clear" w:color="auto" w:fill="auto"/>
          <w:lang w:val="en-US" w:eastAsia="zh-CN"/>
        </w:rPr>
        <w:t>1</w:t>
      </w:r>
      <w:r>
        <w:rPr>
          <w:rFonts w:hint="eastAsia" w:ascii="宋体" w:hAnsi="宋体" w:eastAsia="宋体" w:cs="宋体"/>
          <w:b w:val="0"/>
          <w:color w:val="auto"/>
          <w:sz w:val="21"/>
          <w:szCs w:val="21"/>
          <w:shd w:val="clear" w:color="auto" w:fill="auto"/>
        </w:rPr>
        <w:t>名中标候选人</w:t>
      </w:r>
      <w:r>
        <w:rPr>
          <w:rFonts w:hint="eastAsia" w:ascii="宋体" w:hAnsi="宋体" w:eastAsia="宋体" w:cs="宋体"/>
          <w:b w:val="0"/>
          <w:color w:val="auto"/>
          <w:sz w:val="21"/>
          <w:szCs w:val="21"/>
        </w:rPr>
        <w:t>。得分相同的，按投标报价由低到高顺序排列。得分且投标报价相同的并列，则抽签决定。投标文件满足采购文件全部实质性要求，且按照评审因素的量化指标评审得分最高的供应商为排名第一的中标候选人。</w:t>
      </w:r>
    </w:p>
    <w:p>
      <w:pPr>
        <w:keepNext w:val="0"/>
        <w:keepLines w:val="0"/>
        <w:pageBreakBefore w:val="0"/>
        <w:widowControl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sz w:val="21"/>
          <w:szCs w:val="21"/>
        </w:rPr>
      </w:pPr>
      <w:r>
        <w:rPr>
          <w:rFonts w:hint="eastAsia" w:ascii="宋体" w:hAnsi="宋体" w:eastAsia="宋体" w:cs="宋体"/>
          <w:sz w:val="21"/>
          <w:szCs w:val="21"/>
        </w:rPr>
        <w:t>（二）投标文件的澄清</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1、对于投标文件中含义不明确、同类问题表述不一致或者有明显文字和计算错误的内容，评标委员会应当以书面形式要求供应商作出必要的澄清、说明或者补正。</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供应商的澄清、说明或者补正应当采用书面形式（或扫描件上传政采云平台），并加盖公章，或者由法定代表人或其授权的代表签字。供应商的澄清、说明或者补正不得超出投标文件的范围或者改变投标文件的实质性内容。</w:t>
      </w:r>
    </w:p>
    <w:p>
      <w:pPr>
        <w:keepNext w:val="0"/>
        <w:keepLines w:val="0"/>
        <w:pageBreakBefore w:val="0"/>
        <w:widowControl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sz w:val="21"/>
          <w:szCs w:val="21"/>
        </w:rPr>
      </w:pPr>
      <w:r>
        <w:rPr>
          <w:rFonts w:hint="eastAsia" w:ascii="宋体" w:hAnsi="宋体" w:eastAsia="宋体" w:cs="宋体"/>
          <w:sz w:val="21"/>
          <w:szCs w:val="21"/>
        </w:rPr>
        <w:t>（三）投标文件错误修正原则</w:t>
      </w:r>
    </w:p>
    <w:p>
      <w:pPr>
        <w:keepNext w:val="0"/>
        <w:keepLines w:val="0"/>
        <w:pageBreakBefore w:val="0"/>
        <w:widowControl w:val="0"/>
        <w:kinsoku/>
        <w:wordWrap/>
        <w:overflowPunct/>
        <w:topLinePunct w:val="0"/>
        <w:autoSpaceDE/>
        <w:autoSpaceDN/>
        <w:bidi w:val="0"/>
        <w:adjustRightInd/>
        <w:snapToGrid/>
        <w:spacing w:line="440" w:lineRule="exact"/>
        <w:contextualSpacing/>
        <w:textAlignment w:val="auto"/>
        <w:rPr>
          <w:rFonts w:hint="eastAsia" w:ascii="宋体" w:hAnsi="宋体" w:eastAsia="宋体" w:cs="宋体"/>
          <w:sz w:val="21"/>
          <w:szCs w:val="21"/>
        </w:rPr>
      </w:pPr>
      <w:r>
        <w:rPr>
          <w:rFonts w:hint="eastAsia" w:ascii="宋体" w:hAnsi="宋体" w:eastAsia="宋体" w:cs="宋体"/>
          <w:sz w:val="21"/>
          <w:szCs w:val="21"/>
        </w:rPr>
        <w:t>投标文件如果出现计算或表达上的错误，修正错误的原则如下：</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1、投标文件中开标一览表（报价表）内容与投标文件中相应内容不一致的，以开标一览表（报价表）为准；</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2、大写金额和小写金额不一致的，以大写金额为准；</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3、单价金额小数点或者百分比有明显错位的，以开标一览表的总价为准，并修改单价；</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4、总价金额与按单价汇总金额不一致的，以单价金额计算结果为准。</w:t>
      </w:r>
    </w:p>
    <w:p>
      <w:pPr>
        <w:pStyle w:val="15"/>
        <w:keepNext w:val="0"/>
        <w:keepLines w:val="0"/>
        <w:pageBreakBefore w:val="0"/>
        <w:widowControl w:val="0"/>
        <w:kinsoku/>
        <w:wordWrap/>
        <w:overflowPunct/>
        <w:topLinePunct w:val="0"/>
        <w:autoSpaceDE/>
        <w:autoSpaceDN/>
        <w:bidi w:val="0"/>
        <w:adjustRightInd/>
        <w:snapToGrid/>
        <w:spacing w:line="440" w:lineRule="exact"/>
        <w:ind w:firstLine="417" w:firstLineChars="199"/>
        <w:contextualSpacing/>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同时出现两种以上不一致的，按照前款规定的顺序修正。修正后的报价按照投标文件澄清第二款的规定经供应商确认后产生约束力，供应商不确认的，其投标无效。</w:t>
      </w:r>
    </w:p>
    <w:p>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sz w:val="21"/>
          <w:szCs w:val="21"/>
        </w:rPr>
      </w:pPr>
      <w:r>
        <w:rPr>
          <w:rFonts w:hint="eastAsia" w:ascii="宋体" w:hAnsi="宋体" w:eastAsia="宋体" w:cs="宋体"/>
          <w:color w:val="auto"/>
          <w:sz w:val="21"/>
          <w:szCs w:val="21"/>
        </w:rPr>
        <w:t>5、政采云平台填报的开标一览表中的价格与上传的报价文件中开标一览表的报价不一致的，以上传的报价文件为准。</w:t>
      </w:r>
    </w:p>
    <w:p>
      <w:pPr>
        <w:spacing w:line="400" w:lineRule="exact"/>
        <w:rPr>
          <w:rFonts w:hint="eastAsia" w:ascii="宋体" w:hAnsi="宋体" w:eastAsia="宋体" w:cs="宋体"/>
          <w:sz w:val="21"/>
          <w:szCs w:val="21"/>
        </w:rPr>
      </w:pPr>
    </w:p>
    <w:p>
      <w:pPr>
        <w:pStyle w:val="6"/>
        <w:rPr>
          <w:rFonts w:hint="eastAsia" w:ascii="宋体" w:hAnsi="宋体" w:eastAsia="宋体" w:cs="宋体"/>
          <w:sz w:val="21"/>
          <w:szCs w:val="21"/>
        </w:rPr>
      </w:pPr>
    </w:p>
    <w:p>
      <w:pPr>
        <w:rPr>
          <w:rFonts w:hint="eastAsia" w:ascii="宋体" w:hAnsi="宋体" w:eastAsia="宋体" w:cs="宋体"/>
          <w:sz w:val="21"/>
          <w:szCs w:val="21"/>
        </w:rPr>
      </w:pPr>
    </w:p>
    <w:p>
      <w:pPr>
        <w:pStyle w:val="6"/>
        <w:rPr>
          <w:rFonts w:hint="eastAsia" w:ascii="宋体" w:hAnsi="宋体" w:eastAsia="宋体" w:cs="宋体"/>
          <w:sz w:val="21"/>
          <w:szCs w:val="21"/>
        </w:rPr>
      </w:pPr>
    </w:p>
    <w:p>
      <w:pPr>
        <w:rPr>
          <w:rFonts w:hint="eastAsia" w:ascii="宋体" w:hAnsi="宋体" w:eastAsia="宋体" w:cs="宋体"/>
          <w:sz w:val="21"/>
          <w:szCs w:val="21"/>
        </w:rPr>
      </w:pPr>
    </w:p>
    <w:p>
      <w:pPr>
        <w:pStyle w:val="6"/>
        <w:rPr>
          <w:rFonts w:hint="eastAsia" w:ascii="宋体" w:hAnsi="宋体" w:eastAsia="宋体" w:cs="宋体"/>
          <w:sz w:val="21"/>
          <w:szCs w:val="21"/>
        </w:rPr>
      </w:pPr>
    </w:p>
    <w:p>
      <w:pPr>
        <w:pStyle w:val="74"/>
        <w:rPr>
          <w:rFonts w:hint="eastAsia" w:ascii="宋体" w:hAnsi="宋体" w:eastAsia="宋体" w:cs="宋体"/>
          <w:sz w:val="21"/>
          <w:szCs w:val="21"/>
        </w:rPr>
      </w:pPr>
    </w:p>
    <w:p>
      <w:pPr>
        <w:spacing w:line="400" w:lineRule="exact"/>
        <w:rPr>
          <w:rFonts w:hint="eastAsia" w:ascii="宋体" w:hAnsi="宋体" w:eastAsia="宋体" w:cs="宋体"/>
          <w:b/>
          <w:bCs/>
          <w:sz w:val="21"/>
          <w:szCs w:val="21"/>
        </w:rPr>
      </w:pPr>
      <w:r>
        <w:rPr>
          <w:rFonts w:hint="eastAsia" w:ascii="宋体" w:hAnsi="宋体" w:eastAsia="宋体" w:cs="宋体"/>
          <w:sz w:val="21"/>
          <w:szCs w:val="21"/>
        </w:rPr>
        <w:br w:type="page"/>
      </w:r>
      <w:r>
        <w:rPr>
          <w:rFonts w:hint="eastAsia" w:ascii="宋体" w:hAnsi="宋体" w:eastAsia="宋体" w:cs="宋体"/>
          <w:b/>
          <w:bCs/>
          <w:sz w:val="21"/>
          <w:szCs w:val="21"/>
        </w:rPr>
        <w:t>五、评标程序</w:t>
      </w:r>
    </w:p>
    <w:p>
      <w:pPr>
        <w:widowControl/>
        <w:snapToGrid w:val="0"/>
        <w:spacing w:line="400" w:lineRule="exact"/>
        <w:jc w:val="center"/>
        <w:rPr>
          <w:rFonts w:hint="eastAsia" w:ascii="宋体" w:hAnsi="宋体" w:eastAsia="宋体" w:cs="宋体"/>
          <w:b/>
          <w:bCs/>
          <w:sz w:val="24"/>
          <w:szCs w:val="24"/>
        </w:rPr>
      </w:pPr>
      <w:r>
        <w:rPr>
          <w:rFonts w:hint="eastAsia" w:ascii="宋体" w:hAnsi="宋体" w:eastAsia="宋体" w:cs="宋体"/>
          <w:b/>
          <w:bCs/>
          <w:sz w:val="24"/>
          <w:szCs w:val="24"/>
          <w:lang w:eastAsia="zh-CN"/>
        </w:rPr>
        <w:t>（一）</w:t>
      </w:r>
      <w:r>
        <w:rPr>
          <w:rFonts w:hint="eastAsia" w:ascii="宋体" w:hAnsi="宋体" w:eastAsia="宋体" w:cs="宋体"/>
          <w:b/>
          <w:bCs/>
          <w:sz w:val="24"/>
          <w:szCs w:val="24"/>
        </w:rPr>
        <w:t>资格性审查表</w:t>
      </w:r>
    </w:p>
    <w:tbl>
      <w:tblPr>
        <w:tblStyle w:val="28"/>
        <w:tblW w:w="9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586"/>
        <w:gridCol w:w="41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double" w:color="auto" w:sz="2" w:space="0"/>
              <w:left w:val="double" w:color="auto" w:sz="2" w:space="0"/>
              <w:bottom w:val="double" w:color="auto" w:sz="2" w:space="0"/>
              <w:right w:val="single" w:color="auto" w:sz="4" w:space="0"/>
            </w:tcBorders>
            <w:noWrap w:val="0"/>
            <w:vAlign w:val="top"/>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4586" w:type="dxa"/>
            <w:tcBorders>
              <w:top w:val="double" w:color="auto" w:sz="2" w:space="0"/>
              <w:left w:val="nil"/>
              <w:bottom w:val="double" w:color="auto" w:sz="2" w:space="0"/>
              <w:right w:val="single" w:color="auto" w:sz="4" w:space="0"/>
            </w:tcBorders>
            <w:noWrap w:val="0"/>
            <w:vAlign w:val="top"/>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审查项目</w:t>
            </w:r>
          </w:p>
        </w:tc>
        <w:tc>
          <w:tcPr>
            <w:tcW w:w="4189" w:type="dxa"/>
            <w:tcBorders>
              <w:top w:val="double" w:color="auto" w:sz="2" w:space="0"/>
              <w:left w:val="nil"/>
              <w:bottom w:val="double" w:color="auto" w:sz="2" w:space="0"/>
              <w:right w:val="double" w:color="auto" w:sz="2" w:space="0"/>
            </w:tcBorders>
            <w:noWrap w:val="0"/>
            <w:vAlign w:val="top"/>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double" w:color="auto" w:sz="2" w:space="0"/>
              <w:left w:val="double" w:color="auto" w:sz="2" w:space="0"/>
              <w:bottom w:val="single" w:color="auto" w:sz="4" w:space="0"/>
              <w:right w:val="single" w:color="auto" w:sz="4" w:space="0"/>
            </w:tcBorders>
            <w:noWrap w:val="0"/>
            <w:vAlign w:val="center"/>
          </w:tcPr>
          <w:p>
            <w:pPr>
              <w:spacing w:line="340" w:lineRule="exact"/>
              <w:jc w:val="center"/>
              <w:rPr>
                <w:rFonts w:hint="eastAsia" w:ascii="宋体" w:hAnsi="宋体" w:eastAsia="宋体" w:cs="宋体"/>
                <w:sz w:val="21"/>
                <w:szCs w:val="21"/>
              </w:rPr>
            </w:pPr>
            <w:r>
              <w:rPr>
                <w:rFonts w:hint="eastAsia" w:ascii="宋体" w:hAnsi="宋体" w:eastAsia="宋体" w:cs="宋体"/>
                <w:sz w:val="21"/>
                <w:szCs w:val="21"/>
              </w:rPr>
              <w:t>1</w:t>
            </w:r>
          </w:p>
        </w:tc>
        <w:tc>
          <w:tcPr>
            <w:tcW w:w="4586" w:type="dxa"/>
            <w:tcBorders>
              <w:top w:val="double" w:color="auto" w:sz="2" w:space="0"/>
              <w:left w:val="nil"/>
              <w:bottom w:val="single" w:color="auto" w:sz="4" w:space="0"/>
              <w:right w:val="single" w:color="auto" w:sz="4" w:space="0"/>
            </w:tcBorders>
            <w:noWrap w:val="0"/>
            <w:vAlign w:val="center"/>
          </w:tcPr>
          <w:p>
            <w:pPr>
              <w:spacing w:line="300" w:lineRule="exact"/>
              <w:rPr>
                <w:rFonts w:hint="eastAsia" w:ascii="宋体" w:hAnsi="宋体" w:eastAsia="宋体" w:cs="宋体"/>
                <w:sz w:val="21"/>
                <w:szCs w:val="21"/>
              </w:rPr>
            </w:pPr>
            <w:r>
              <w:rPr>
                <w:rFonts w:hint="eastAsia" w:ascii="宋体" w:hAnsi="宋体" w:eastAsia="宋体" w:cs="宋体"/>
                <w:sz w:val="21"/>
                <w:szCs w:val="21"/>
              </w:rPr>
              <w:t>（1）关于资格的声明函；</w:t>
            </w:r>
          </w:p>
          <w:p>
            <w:pPr>
              <w:spacing w:line="300" w:lineRule="exact"/>
              <w:rPr>
                <w:rFonts w:hint="eastAsia" w:ascii="宋体" w:hAnsi="宋体" w:eastAsia="宋体" w:cs="宋体"/>
                <w:b/>
                <w:bCs/>
                <w:sz w:val="21"/>
                <w:szCs w:val="21"/>
              </w:rPr>
            </w:pPr>
            <w:r>
              <w:rPr>
                <w:rFonts w:hint="eastAsia" w:ascii="宋体" w:hAnsi="宋体" w:eastAsia="宋体" w:cs="宋体"/>
                <w:sz w:val="21"/>
                <w:szCs w:val="21"/>
              </w:rPr>
              <w:t>（2）营业执照副本</w:t>
            </w:r>
            <w:r>
              <w:rPr>
                <w:rFonts w:hint="eastAsia" w:ascii="宋体" w:hAnsi="宋体" w:eastAsia="宋体" w:cs="宋体"/>
                <w:b/>
                <w:bCs/>
                <w:sz w:val="21"/>
                <w:szCs w:val="21"/>
              </w:rPr>
              <w:t>复印件加盖供应商公章；</w:t>
            </w:r>
          </w:p>
          <w:p>
            <w:pPr>
              <w:spacing w:line="300" w:lineRule="exact"/>
              <w:rPr>
                <w:rFonts w:hint="eastAsia" w:ascii="宋体" w:hAnsi="宋体" w:eastAsia="宋体" w:cs="宋体"/>
                <w:sz w:val="21"/>
                <w:szCs w:val="21"/>
              </w:rPr>
            </w:pPr>
            <w:r>
              <w:rPr>
                <w:rFonts w:hint="eastAsia" w:ascii="宋体" w:hAnsi="宋体" w:eastAsia="宋体" w:cs="宋体"/>
                <w:sz w:val="21"/>
                <w:szCs w:val="21"/>
              </w:rPr>
              <w:t>（3）税务登记证副本</w:t>
            </w:r>
            <w:r>
              <w:rPr>
                <w:rFonts w:hint="eastAsia" w:ascii="宋体" w:hAnsi="宋体" w:eastAsia="宋体" w:cs="宋体"/>
                <w:b/>
                <w:bCs/>
                <w:sz w:val="21"/>
                <w:szCs w:val="21"/>
              </w:rPr>
              <w:t>复印件加盖供应商公章；</w:t>
            </w:r>
          </w:p>
          <w:p>
            <w:pPr>
              <w:spacing w:line="300" w:lineRule="exact"/>
              <w:rPr>
                <w:rFonts w:hint="eastAsia" w:ascii="宋体" w:hAnsi="宋体" w:eastAsia="宋体" w:cs="宋体"/>
                <w:sz w:val="21"/>
                <w:szCs w:val="21"/>
              </w:rPr>
            </w:pPr>
            <w:r>
              <w:rPr>
                <w:rFonts w:hint="eastAsia" w:ascii="宋体" w:hAnsi="宋体" w:eastAsia="宋体" w:cs="宋体"/>
                <w:sz w:val="21"/>
                <w:szCs w:val="21"/>
              </w:rPr>
              <w:t>（4）组织机构代码证副本</w:t>
            </w:r>
            <w:r>
              <w:rPr>
                <w:rFonts w:hint="eastAsia" w:ascii="宋体" w:hAnsi="宋体" w:eastAsia="宋体" w:cs="宋体"/>
                <w:b/>
                <w:bCs/>
                <w:sz w:val="21"/>
                <w:szCs w:val="21"/>
              </w:rPr>
              <w:t>复印件加盖供应商公章；</w:t>
            </w:r>
          </w:p>
          <w:p>
            <w:pPr>
              <w:spacing w:line="300" w:lineRule="exact"/>
              <w:rPr>
                <w:rFonts w:hint="eastAsia" w:ascii="宋体" w:hAnsi="宋体" w:eastAsia="宋体" w:cs="宋体"/>
                <w:sz w:val="21"/>
                <w:szCs w:val="21"/>
              </w:rPr>
            </w:pPr>
            <w:r>
              <w:rPr>
                <w:rFonts w:hint="eastAsia" w:ascii="宋体" w:hAnsi="宋体" w:eastAsia="宋体" w:cs="宋体"/>
                <w:sz w:val="21"/>
                <w:szCs w:val="21"/>
              </w:rPr>
              <w:t>（</w:t>
            </w:r>
            <w:r>
              <w:rPr>
                <w:rFonts w:hint="eastAsia" w:ascii="宋体" w:hAnsi="宋体" w:eastAsia="宋体" w:cs="宋体"/>
                <w:sz w:val="21"/>
                <w:szCs w:val="21"/>
                <w:lang w:val="en-US" w:eastAsia="zh-CN"/>
              </w:rPr>
              <w:t>5</w:t>
            </w:r>
            <w:r>
              <w:rPr>
                <w:rFonts w:hint="eastAsia" w:ascii="宋体" w:hAnsi="宋体" w:eastAsia="宋体" w:cs="宋体"/>
                <w:sz w:val="21"/>
                <w:szCs w:val="21"/>
              </w:rPr>
              <w:t>）供应商一般情况。</w:t>
            </w:r>
          </w:p>
        </w:tc>
        <w:tc>
          <w:tcPr>
            <w:tcW w:w="4189" w:type="dxa"/>
            <w:tcBorders>
              <w:top w:val="double" w:color="auto" w:sz="2" w:space="0"/>
              <w:left w:val="nil"/>
              <w:bottom w:val="single" w:color="auto" w:sz="4" w:space="0"/>
              <w:right w:val="double" w:color="auto" w:sz="2" w:space="0"/>
            </w:tcBorders>
            <w:noWrap w:val="0"/>
            <w:vAlign w:val="center"/>
          </w:tcPr>
          <w:p>
            <w:pPr>
              <w:spacing w:line="300" w:lineRule="exact"/>
              <w:rPr>
                <w:rFonts w:hint="eastAsia" w:ascii="宋体" w:hAnsi="宋体" w:eastAsia="宋体" w:cs="宋体"/>
                <w:sz w:val="21"/>
                <w:szCs w:val="21"/>
              </w:rPr>
            </w:pPr>
            <w:r>
              <w:rPr>
                <w:rFonts w:hint="eastAsia" w:ascii="宋体" w:hAnsi="宋体" w:eastAsia="宋体" w:cs="宋体"/>
                <w:sz w:val="21"/>
                <w:szCs w:val="21"/>
              </w:rPr>
              <w:t>符合《中华人民共和国政府采购法》第22条的一般资格条件的规定：</w:t>
            </w:r>
          </w:p>
          <w:p>
            <w:pPr>
              <w:spacing w:line="300" w:lineRule="exact"/>
              <w:rPr>
                <w:rFonts w:hint="eastAsia" w:ascii="宋体" w:hAnsi="宋体" w:eastAsia="宋体" w:cs="宋体"/>
                <w:sz w:val="21"/>
                <w:szCs w:val="21"/>
              </w:rPr>
            </w:pPr>
            <w:r>
              <w:rPr>
                <w:rFonts w:hint="eastAsia" w:ascii="宋体" w:hAnsi="宋体" w:eastAsia="宋体" w:cs="宋体"/>
                <w:sz w:val="21"/>
                <w:szCs w:val="21"/>
              </w:rPr>
              <w:t>1.1具有独立承担民事责任的能力；</w:t>
            </w:r>
          </w:p>
          <w:p>
            <w:pPr>
              <w:spacing w:line="300" w:lineRule="exact"/>
              <w:rPr>
                <w:rFonts w:hint="eastAsia" w:ascii="宋体" w:hAnsi="宋体" w:eastAsia="宋体" w:cs="宋体"/>
                <w:sz w:val="21"/>
                <w:szCs w:val="21"/>
              </w:rPr>
            </w:pPr>
            <w:r>
              <w:rPr>
                <w:rFonts w:hint="eastAsia" w:ascii="宋体" w:hAnsi="宋体" w:eastAsia="宋体" w:cs="宋体"/>
                <w:sz w:val="21"/>
                <w:szCs w:val="21"/>
              </w:rPr>
              <w:t>1.2具有良好的商业信誉和健全的财务会计制度；</w:t>
            </w:r>
          </w:p>
          <w:p>
            <w:pPr>
              <w:spacing w:line="300" w:lineRule="exact"/>
              <w:rPr>
                <w:rFonts w:hint="eastAsia" w:ascii="宋体" w:hAnsi="宋体" w:eastAsia="宋体" w:cs="宋体"/>
                <w:sz w:val="21"/>
                <w:szCs w:val="21"/>
              </w:rPr>
            </w:pPr>
            <w:r>
              <w:rPr>
                <w:rFonts w:hint="eastAsia" w:ascii="宋体" w:hAnsi="宋体" w:eastAsia="宋体" w:cs="宋体"/>
                <w:sz w:val="21"/>
                <w:szCs w:val="21"/>
              </w:rPr>
              <w:t>1.3具有履行合同所必需的设备和专业技术能力；</w:t>
            </w:r>
          </w:p>
          <w:p>
            <w:pPr>
              <w:spacing w:line="300" w:lineRule="exact"/>
              <w:rPr>
                <w:rFonts w:hint="eastAsia" w:ascii="宋体" w:hAnsi="宋体" w:eastAsia="宋体" w:cs="宋体"/>
                <w:sz w:val="21"/>
                <w:szCs w:val="21"/>
              </w:rPr>
            </w:pPr>
            <w:r>
              <w:rPr>
                <w:rFonts w:hint="eastAsia" w:ascii="宋体" w:hAnsi="宋体" w:eastAsia="宋体" w:cs="宋体"/>
                <w:sz w:val="21"/>
                <w:szCs w:val="21"/>
              </w:rPr>
              <w:t>1.4有依法缴纳税收和社会保障资金的良好记录；</w:t>
            </w:r>
          </w:p>
          <w:p>
            <w:pPr>
              <w:spacing w:line="300" w:lineRule="exact"/>
              <w:rPr>
                <w:rFonts w:hint="eastAsia" w:ascii="宋体" w:hAnsi="宋体" w:eastAsia="宋体" w:cs="宋体"/>
                <w:sz w:val="21"/>
                <w:szCs w:val="21"/>
              </w:rPr>
            </w:pPr>
            <w:r>
              <w:rPr>
                <w:rFonts w:hint="eastAsia" w:ascii="宋体" w:hAnsi="宋体" w:eastAsia="宋体" w:cs="宋体"/>
                <w:sz w:val="21"/>
                <w:szCs w:val="21"/>
              </w:rPr>
              <w:t>1.5参加政府采购活动前三年内，在经营活动中没有重大违法记录；</w:t>
            </w:r>
          </w:p>
          <w:p>
            <w:pPr>
              <w:spacing w:line="300" w:lineRule="exact"/>
              <w:rPr>
                <w:rFonts w:hint="eastAsia" w:ascii="宋体" w:hAnsi="宋体" w:eastAsia="宋体" w:cs="宋体"/>
                <w:sz w:val="21"/>
                <w:szCs w:val="21"/>
              </w:rPr>
            </w:pPr>
            <w:r>
              <w:rPr>
                <w:rFonts w:hint="eastAsia" w:ascii="宋体" w:hAnsi="宋体" w:eastAsia="宋体" w:cs="宋体"/>
                <w:sz w:val="21"/>
                <w:szCs w:val="21"/>
              </w:rPr>
              <w:t>1.6法律、行政法规规定的其他条件</w:t>
            </w:r>
            <w:r>
              <w:rPr>
                <w:rFonts w:hint="eastAsia" w:ascii="宋体" w:hAnsi="宋体" w:eastAsia="宋体" w:cs="宋体"/>
                <w:kern w:val="58"/>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double" w:color="auto" w:sz="2" w:space="0"/>
              <w:left w:val="double" w:color="auto" w:sz="2" w:space="0"/>
              <w:bottom w:val="single" w:color="auto" w:sz="4" w:space="0"/>
              <w:right w:val="single" w:color="auto" w:sz="4" w:space="0"/>
            </w:tcBorders>
            <w:noWrap w:val="0"/>
            <w:vAlign w:val="center"/>
          </w:tcPr>
          <w:p>
            <w:pPr>
              <w:spacing w:line="340" w:lineRule="exact"/>
              <w:jc w:val="center"/>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2</w:t>
            </w:r>
          </w:p>
        </w:tc>
        <w:tc>
          <w:tcPr>
            <w:tcW w:w="4586" w:type="dxa"/>
            <w:tcBorders>
              <w:top w:val="double" w:color="auto" w:sz="2" w:space="0"/>
              <w:left w:val="nil"/>
              <w:bottom w:val="single" w:color="auto" w:sz="4" w:space="0"/>
              <w:right w:val="single" w:color="auto" w:sz="4" w:space="0"/>
            </w:tcBorders>
            <w:noWrap w:val="0"/>
            <w:vAlign w:val="center"/>
          </w:tcPr>
          <w:p>
            <w:pPr>
              <w:spacing w:line="300" w:lineRule="exact"/>
              <w:rPr>
                <w:rFonts w:hint="default" w:ascii="宋体" w:hAnsi="宋体" w:eastAsia="宋体" w:cs="宋体"/>
                <w:color w:val="auto"/>
                <w:sz w:val="21"/>
                <w:szCs w:val="21"/>
                <w:shd w:val="clear" w:color="auto" w:fill="auto"/>
                <w:lang w:val="en-US" w:eastAsia="zh-CN"/>
              </w:rPr>
            </w:pPr>
            <w:r>
              <w:rPr>
                <w:rFonts w:hint="eastAsia" w:ascii="宋体" w:hAnsi="宋体" w:cs="宋体"/>
                <w:sz w:val="21"/>
                <w:szCs w:val="21"/>
              </w:rPr>
              <w:t>供应商是否为中小企业。</w:t>
            </w:r>
          </w:p>
        </w:tc>
        <w:tc>
          <w:tcPr>
            <w:tcW w:w="4189" w:type="dxa"/>
            <w:tcBorders>
              <w:top w:val="double" w:color="auto" w:sz="2" w:space="0"/>
              <w:left w:val="nil"/>
              <w:bottom w:val="single" w:color="auto" w:sz="4" w:space="0"/>
              <w:right w:val="double" w:color="auto" w:sz="2" w:space="0"/>
            </w:tcBorders>
            <w:noWrap w:val="0"/>
            <w:vAlign w:val="center"/>
          </w:tcPr>
          <w:p>
            <w:pPr>
              <w:spacing w:line="300" w:lineRule="exact"/>
              <w:rPr>
                <w:rFonts w:hint="eastAsia" w:ascii="宋体" w:hAnsi="宋体" w:eastAsia="宋体" w:cs="宋体"/>
                <w:color w:val="auto"/>
                <w:sz w:val="21"/>
                <w:szCs w:val="21"/>
                <w:shd w:val="clear" w:color="auto" w:fill="auto"/>
                <w:lang w:val="en-US" w:eastAsia="zh-CN"/>
              </w:rPr>
            </w:pPr>
            <w:r>
              <w:rPr>
                <w:rFonts w:hint="eastAsia" w:ascii="宋体" w:hAnsi="宋体" w:cs="宋体"/>
                <w:sz w:val="21"/>
                <w:szCs w:val="21"/>
              </w:rPr>
              <w:t>落实政府采购政策需满足的资格要求：根据《政府采购促进中小企业发展管理办法》（财库〔2020〕46号）规定，本项目为专门面向中小企业采购。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340" w:lineRule="exact"/>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p>
        </w:tc>
        <w:tc>
          <w:tcPr>
            <w:tcW w:w="4586" w:type="dxa"/>
            <w:tcBorders>
              <w:top w:val="single" w:color="auto" w:sz="4" w:space="0"/>
              <w:left w:val="nil"/>
              <w:bottom w:val="single" w:color="auto" w:sz="4" w:space="0"/>
              <w:right w:val="single" w:color="auto" w:sz="4" w:space="0"/>
            </w:tcBorders>
            <w:noWrap w:val="0"/>
            <w:vAlign w:val="center"/>
          </w:tcPr>
          <w:p>
            <w:pPr>
              <w:spacing w:line="300" w:lineRule="exact"/>
              <w:rPr>
                <w:rFonts w:hint="eastAsia" w:ascii="宋体" w:hAnsi="宋体" w:eastAsia="宋体" w:cs="宋体"/>
                <w:sz w:val="21"/>
                <w:szCs w:val="21"/>
              </w:rPr>
            </w:pPr>
            <w:r>
              <w:rPr>
                <w:rFonts w:hint="eastAsia" w:ascii="宋体" w:hAnsi="宋体" w:eastAsia="宋体" w:cs="宋体"/>
                <w:sz w:val="21"/>
                <w:szCs w:val="21"/>
              </w:rPr>
              <w:t>采购人、采购代理机构将于开标当天通过“信用中国”网站查询供应商失信被执行人、重大税收违法案件当事人信用记录，通过中国政府采购网查询供应商政府采购严重违法失信行为信用记录。若供应商被列入失信被执行人、重大税收违法案件当事人名单、政府采购严重违法失信行为记录名单，其资格审查为不合格，其投标将被认定为无效投标。</w:t>
            </w:r>
          </w:p>
          <w:p>
            <w:pPr>
              <w:spacing w:line="300" w:lineRule="exact"/>
              <w:rPr>
                <w:rFonts w:hint="eastAsia" w:ascii="宋体" w:hAnsi="宋体" w:eastAsia="宋体" w:cs="宋体"/>
                <w:sz w:val="21"/>
                <w:szCs w:val="21"/>
              </w:rPr>
            </w:pPr>
            <w:r>
              <w:rPr>
                <w:rFonts w:hint="eastAsia" w:ascii="宋体" w:hAnsi="宋体" w:eastAsia="宋体" w:cs="宋体"/>
                <w:sz w:val="21"/>
                <w:szCs w:val="21"/>
              </w:rPr>
              <w:t>若在开标当天因不可抗力事件导致无法查询且一时无法恢复查询的，可在中标公示期间对中标候选人进行事后查询。中标候选人被列入失信被执行人、重大税收违法案件当事人名单、政府采购严重违法失信行为记录名单的，采购人将依法取消其中标资格。</w:t>
            </w:r>
          </w:p>
        </w:tc>
        <w:tc>
          <w:tcPr>
            <w:tcW w:w="4189" w:type="dxa"/>
            <w:tcBorders>
              <w:top w:val="single" w:color="auto" w:sz="4" w:space="0"/>
              <w:left w:val="nil"/>
              <w:bottom w:val="single" w:color="auto" w:sz="4" w:space="0"/>
              <w:right w:val="double" w:color="auto" w:sz="2" w:space="0"/>
            </w:tcBorders>
            <w:noWrap w:val="0"/>
            <w:vAlign w:val="center"/>
          </w:tcPr>
          <w:p>
            <w:pPr>
              <w:spacing w:line="300" w:lineRule="exact"/>
              <w:rPr>
                <w:rFonts w:hint="eastAsia" w:ascii="宋体" w:hAnsi="宋体" w:eastAsia="宋体" w:cs="宋体"/>
                <w:sz w:val="21"/>
                <w:szCs w:val="21"/>
              </w:rPr>
            </w:pPr>
            <w:r>
              <w:rPr>
                <w:rFonts w:hint="eastAsia" w:ascii="宋体" w:hAnsi="宋体" w:eastAsia="宋体" w:cs="宋体"/>
                <w:sz w:val="21"/>
                <w:szCs w:val="21"/>
              </w:rPr>
              <w:t>未被信用中国网站（</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HYPERLINK "http://www.creditchina.gov.cn" </w:instrText>
            </w:r>
            <w:r>
              <w:rPr>
                <w:rFonts w:hint="eastAsia" w:ascii="宋体" w:hAnsi="宋体" w:eastAsia="宋体" w:cs="宋体"/>
                <w:sz w:val="21"/>
                <w:szCs w:val="21"/>
              </w:rPr>
              <w:fldChar w:fldCharType="separate"/>
            </w:r>
            <w:r>
              <w:rPr>
                <w:rFonts w:hint="eastAsia" w:ascii="宋体" w:hAnsi="宋体" w:eastAsia="宋体" w:cs="宋体"/>
                <w:sz w:val="21"/>
                <w:szCs w:val="21"/>
              </w:rPr>
              <w:t>www.creditchina.gov.cn</w:t>
            </w:r>
            <w:r>
              <w:rPr>
                <w:rFonts w:hint="eastAsia" w:ascii="宋体" w:hAnsi="宋体" w:eastAsia="宋体" w:cs="宋体"/>
                <w:sz w:val="21"/>
                <w:szCs w:val="21"/>
              </w:rPr>
              <w:fldChar w:fldCharType="end"/>
            </w:r>
            <w:r>
              <w:rPr>
                <w:rFonts w:hint="eastAsia" w:ascii="宋体" w:hAnsi="宋体" w:eastAsia="宋体" w:cs="宋体"/>
                <w:sz w:val="21"/>
                <w:szCs w:val="21"/>
              </w:rPr>
              <w:t>）列入失信被执行人、重大税收违法案件当事人名单，未被列入政府采购严重违法失信行为记录名单在禁止参加采购期限的供应商。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340" w:lineRule="exact"/>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4</w:t>
            </w:r>
          </w:p>
        </w:tc>
        <w:tc>
          <w:tcPr>
            <w:tcW w:w="4586" w:type="dxa"/>
            <w:tcBorders>
              <w:top w:val="single" w:color="auto" w:sz="4" w:space="0"/>
              <w:left w:val="nil"/>
              <w:bottom w:val="single" w:color="auto" w:sz="4" w:space="0"/>
              <w:right w:val="single" w:color="auto" w:sz="4" w:space="0"/>
            </w:tcBorders>
            <w:noWrap w:val="0"/>
            <w:vAlign w:val="center"/>
          </w:tcPr>
          <w:p>
            <w:pPr>
              <w:spacing w:line="340" w:lineRule="exact"/>
              <w:rPr>
                <w:rFonts w:hint="eastAsia" w:ascii="宋体" w:hAnsi="宋体" w:eastAsia="宋体" w:cs="宋体"/>
                <w:sz w:val="21"/>
                <w:szCs w:val="21"/>
              </w:rPr>
            </w:pPr>
            <w:r>
              <w:rPr>
                <w:rFonts w:hint="eastAsia" w:ascii="宋体" w:hAnsi="宋体" w:eastAsia="宋体" w:cs="宋体"/>
                <w:sz w:val="21"/>
                <w:szCs w:val="21"/>
              </w:rPr>
              <w:t>供应商是否为联合体</w:t>
            </w:r>
          </w:p>
        </w:tc>
        <w:tc>
          <w:tcPr>
            <w:tcW w:w="4189" w:type="dxa"/>
            <w:tcBorders>
              <w:top w:val="single" w:color="auto" w:sz="4" w:space="0"/>
              <w:left w:val="nil"/>
              <w:bottom w:val="single" w:color="auto" w:sz="4" w:space="0"/>
              <w:right w:val="double" w:color="auto" w:sz="2" w:space="0"/>
            </w:tcBorders>
            <w:noWrap w:val="0"/>
            <w:vAlign w:val="center"/>
          </w:tcPr>
          <w:p>
            <w:pPr>
              <w:spacing w:line="340" w:lineRule="exact"/>
              <w:rPr>
                <w:rFonts w:hint="eastAsia" w:ascii="宋体" w:hAnsi="宋体" w:eastAsia="宋体" w:cs="宋体"/>
                <w:sz w:val="21"/>
                <w:szCs w:val="21"/>
              </w:rPr>
            </w:pPr>
            <w:r>
              <w:rPr>
                <w:rFonts w:hint="eastAsia" w:ascii="宋体" w:hAnsi="宋体" w:eastAsia="宋体" w:cs="宋体"/>
                <w:sz w:val="21"/>
                <w:szCs w:val="21"/>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306" w:type="dxa"/>
            <w:gridSpan w:val="2"/>
            <w:tcBorders>
              <w:top w:val="single" w:color="auto" w:sz="4" w:space="0"/>
              <w:left w:val="double" w:color="auto" w:sz="2" w:space="0"/>
              <w:bottom w:val="double" w:color="auto" w:sz="2" w:space="0"/>
              <w:right w:val="single" w:color="auto" w:sz="4" w:space="0"/>
            </w:tcBorders>
            <w:noWrap w:val="0"/>
            <w:vAlign w:val="center"/>
          </w:tcPr>
          <w:p>
            <w:pPr>
              <w:spacing w:line="340" w:lineRule="exact"/>
              <w:jc w:val="center"/>
              <w:rPr>
                <w:rFonts w:hint="eastAsia" w:ascii="宋体" w:hAnsi="宋体" w:eastAsia="宋体" w:cs="宋体"/>
                <w:sz w:val="21"/>
                <w:szCs w:val="21"/>
              </w:rPr>
            </w:pPr>
            <w:r>
              <w:rPr>
                <w:rFonts w:hint="eastAsia" w:ascii="宋体" w:hAnsi="宋体" w:eastAsia="宋体" w:cs="宋体"/>
                <w:b/>
                <w:bCs/>
                <w:sz w:val="21"/>
                <w:szCs w:val="21"/>
              </w:rPr>
              <w:t>资格性审查结论</w:t>
            </w:r>
          </w:p>
        </w:tc>
        <w:tc>
          <w:tcPr>
            <w:tcW w:w="4189" w:type="dxa"/>
            <w:tcBorders>
              <w:top w:val="single" w:color="auto" w:sz="4" w:space="0"/>
              <w:left w:val="nil"/>
              <w:bottom w:val="double" w:color="auto" w:sz="2" w:space="0"/>
              <w:right w:val="double" w:color="auto" w:sz="2" w:space="0"/>
            </w:tcBorders>
            <w:noWrap w:val="0"/>
            <w:vAlign w:val="center"/>
          </w:tcPr>
          <w:p>
            <w:pPr>
              <w:spacing w:line="340" w:lineRule="exact"/>
              <w:jc w:val="center"/>
              <w:rPr>
                <w:rFonts w:hint="eastAsia" w:ascii="宋体" w:hAnsi="宋体" w:eastAsia="宋体" w:cs="宋体"/>
                <w:sz w:val="21"/>
                <w:szCs w:val="21"/>
              </w:rPr>
            </w:pPr>
          </w:p>
        </w:tc>
      </w:tr>
    </w:tbl>
    <w:p>
      <w:pPr>
        <w:spacing w:line="400" w:lineRule="exact"/>
        <w:rPr>
          <w:rFonts w:hint="eastAsia" w:ascii="宋体" w:hAnsi="宋体" w:eastAsia="宋体" w:cs="宋体"/>
          <w:sz w:val="21"/>
          <w:szCs w:val="21"/>
        </w:rPr>
      </w:pPr>
      <w:r>
        <w:rPr>
          <w:rFonts w:hint="eastAsia" w:ascii="宋体" w:hAnsi="宋体" w:eastAsia="宋体" w:cs="宋体"/>
          <w:sz w:val="21"/>
          <w:szCs w:val="21"/>
        </w:rPr>
        <w:t>注：1、上述资格证明文件未按招标文件要求附入投标文件中的，资格性审查不合格。</w:t>
      </w:r>
    </w:p>
    <w:p>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2、上述审查项目中，任意一项不符合的，资格性审查不合格</w:t>
      </w:r>
      <w:r>
        <w:rPr>
          <w:rFonts w:hint="eastAsia" w:ascii="宋体" w:hAnsi="宋体" w:eastAsia="宋体" w:cs="宋体"/>
          <w:sz w:val="21"/>
          <w:szCs w:val="21"/>
          <w:lang w:eastAsia="zh-CN"/>
        </w:rPr>
        <w:t>，将被视为无效投标文件</w:t>
      </w:r>
      <w:r>
        <w:rPr>
          <w:rFonts w:hint="eastAsia" w:ascii="宋体" w:hAnsi="宋体" w:eastAsia="宋体" w:cs="宋体"/>
          <w:sz w:val="21"/>
          <w:szCs w:val="21"/>
        </w:rPr>
        <w:t>。</w:t>
      </w:r>
    </w:p>
    <w:p>
      <w:pPr>
        <w:spacing w:line="40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3、已办理多证合一的供应商仅须提供营业执照副本复印件加盖供应商公章，无须提供税务登记证副本、组织机构代码证副本加盖供应商公章。</w:t>
      </w:r>
    </w:p>
    <w:p>
      <w:pPr>
        <w:spacing w:line="440" w:lineRule="exact"/>
        <w:rPr>
          <w:rFonts w:hint="eastAsia" w:ascii="宋体" w:hAnsi="宋体" w:eastAsia="宋体" w:cs="宋体"/>
          <w:sz w:val="21"/>
          <w:szCs w:val="21"/>
        </w:rPr>
      </w:pPr>
    </w:p>
    <w:p>
      <w:pPr>
        <w:spacing w:line="440" w:lineRule="exact"/>
        <w:rPr>
          <w:rFonts w:hint="eastAsia" w:ascii="宋体" w:hAnsi="宋体" w:eastAsia="宋体" w:cs="宋体"/>
          <w:sz w:val="21"/>
          <w:szCs w:val="21"/>
        </w:rPr>
      </w:pPr>
    </w:p>
    <w:p>
      <w:pPr>
        <w:widowControl/>
        <w:snapToGrid w:val="0"/>
        <w:spacing w:line="440" w:lineRule="exact"/>
        <w:jc w:val="center"/>
        <w:rPr>
          <w:rFonts w:hint="eastAsia" w:ascii="宋体" w:hAnsi="宋体" w:eastAsia="宋体" w:cs="宋体"/>
          <w:b/>
          <w:bCs/>
          <w:sz w:val="21"/>
          <w:szCs w:val="21"/>
        </w:rPr>
      </w:pPr>
      <w:r>
        <w:rPr>
          <w:rFonts w:hint="eastAsia" w:ascii="宋体" w:hAnsi="宋体" w:eastAsia="宋体" w:cs="宋体"/>
          <w:b/>
          <w:bCs/>
          <w:sz w:val="21"/>
          <w:szCs w:val="21"/>
          <w:lang w:eastAsia="zh-CN"/>
        </w:rPr>
        <w:t>（二）</w:t>
      </w:r>
      <w:r>
        <w:rPr>
          <w:rFonts w:hint="eastAsia" w:ascii="宋体" w:hAnsi="宋体" w:eastAsia="宋体" w:cs="宋体"/>
          <w:b/>
          <w:bCs/>
          <w:sz w:val="21"/>
          <w:szCs w:val="21"/>
        </w:rPr>
        <w:t>符合性审查表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598"/>
        <w:gridCol w:w="62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20" w:type="dxa"/>
            <w:tcBorders>
              <w:top w:val="double" w:color="auto" w:sz="2" w:space="0"/>
              <w:left w:val="double" w:color="auto" w:sz="2" w:space="0"/>
              <w:bottom w:val="double" w:color="auto" w:sz="2" w:space="0"/>
              <w:right w:val="single" w:color="auto" w:sz="4" w:space="0"/>
            </w:tcBorders>
            <w:noWrap w:val="0"/>
            <w:vAlign w:val="center"/>
          </w:tcPr>
          <w:p>
            <w:pPr>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2598" w:type="dxa"/>
            <w:tcBorders>
              <w:top w:val="double" w:color="auto" w:sz="2" w:space="0"/>
              <w:left w:val="nil"/>
              <w:bottom w:val="double" w:color="auto" w:sz="2" w:space="0"/>
              <w:right w:val="single" w:color="auto" w:sz="4" w:space="0"/>
            </w:tcBorders>
            <w:noWrap w:val="0"/>
            <w:vAlign w:val="center"/>
          </w:tcPr>
          <w:p>
            <w:pPr>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审查项目</w:t>
            </w:r>
          </w:p>
        </w:tc>
        <w:tc>
          <w:tcPr>
            <w:tcW w:w="6257" w:type="dxa"/>
            <w:tcBorders>
              <w:top w:val="double" w:color="auto" w:sz="2" w:space="0"/>
              <w:left w:val="nil"/>
              <w:bottom w:val="double" w:color="auto" w:sz="2" w:space="0"/>
              <w:right w:val="double" w:color="auto" w:sz="2" w:space="0"/>
            </w:tcBorders>
            <w:noWrap w:val="0"/>
            <w:vAlign w:val="center"/>
          </w:tcPr>
          <w:p>
            <w:pPr>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720" w:type="dxa"/>
            <w:tcBorders>
              <w:top w:val="double" w:color="auto" w:sz="2"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1</w:t>
            </w:r>
          </w:p>
        </w:tc>
        <w:tc>
          <w:tcPr>
            <w:tcW w:w="2598" w:type="dxa"/>
            <w:tcBorders>
              <w:top w:val="double" w:color="auto" w:sz="2" w:space="0"/>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供应商名称</w:t>
            </w:r>
          </w:p>
        </w:tc>
        <w:tc>
          <w:tcPr>
            <w:tcW w:w="6257" w:type="dxa"/>
            <w:tcBorders>
              <w:top w:val="double" w:color="auto" w:sz="2"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与营业执照副本一致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2</w:t>
            </w:r>
          </w:p>
        </w:tc>
        <w:tc>
          <w:tcPr>
            <w:tcW w:w="2598" w:type="dxa"/>
            <w:tcBorders>
              <w:top w:val="single" w:color="auto" w:sz="4" w:space="0"/>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投标保证金（本项目不适用）</w:t>
            </w:r>
          </w:p>
        </w:tc>
        <w:tc>
          <w:tcPr>
            <w:tcW w:w="6257"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符合第三章“供应商须知” 第三（五）的要求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3</w:t>
            </w:r>
          </w:p>
        </w:tc>
        <w:tc>
          <w:tcPr>
            <w:tcW w:w="2598" w:type="dxa"/>
            <w:tcBorders>
              <w:top w:val="single" w:color="auto" w:sz="4" w:space="0"/>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投标有效期</w:t>
            </w:r>
          </w:p>
        </w:tc>
        <w:tc>
          <w:tcPr>
            <w:tcW w:w="6257"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符合第三章“供应商须知” 第三（四）的要求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4</w:t>
            </w:r>
          </w:p>
        </w:tc>
        <w:tc>
          <w:tcPr>
            <w:tcW w:w="2598" w:type="dxa"/>
            <w:tcBorders>
              <w:top w:val="single" w:color="auto" w:sz="4" w:space="0"/>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投标文件的签署盖章</w:t>
            </w:r>
          </w:p>
        </w:tc>
        <w:tc>
          <w:tcPr>
            <w:tcW w:w="6257"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符合第三章“供应商须知” 第三（六）的要求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5</w:t>
            </w:r>
          </w:p>
        </w:tc>
        <w:tc>
          <w:tcPr>
            <w:tcW w:w="2598" w:type="dxa"/>
            <w:tcBorders>
              <w:top w:val="single" w:color="auto" w:sz="4" w:space="0"/>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商务和技术文件中是否出现涉及投标价格的内容</w:t>
            </w:r>
          </w:p>
        </w:tc>
        <w:tc>
          <w:tcPr>
            <w:tcW w:w="6257"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lang w:val="en-US" w:eastAsia="zh-CN"/>
              </w:rPr>
              <w:t>除报价文件外，其他</w:t>
            </w:r>
            <w:r>
              <w:rPr>
                <w:rFonts w:hint="eastAsia" w:ascii="宋体" w:hAnsi="宋体" w:eastAsia="宋体" w:cs="宋体"/>
                <w:sz w:val="21"/>
                <w:szCs w:val="21"/>
              </w:rPr>
              <w:t>文件中不能出现涉及投标报价的有关内容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6</w:t>
            </w:r>
          </w:p>
        </w:tc>
        <w:tc>
          <w:tcPr>
            <w:tcW w:w="2598" w:type="dxa"/>
            <w:vMerge w:val="restart"/>
            <w:tcBorders>
              <w:top w:val="nil"/>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其他</w:t>
            </w:r>
          </w:p>
        </w:tc>
        <w:tc>
          <w:tcPr>
            <w:tcW w:w="6257"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对同个标段不允许提供两个投标方案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7</w:t>
            </w:r>
          </w:p>
        </w:tc>
        <w:tc>
          <w:tcPr>
            <w:tcW w:w="2598" w:type="dxa"/>
            <w:vMerge w:val="continue"/>
            <w:tcBorders>
              <w:top w:val="nil"/>
              <w:left w:val="nil"/>
              <w:bottom w:val="single" w:color="auto" w:sz="4" w:space="0"/>
              <w:right w:val="single" w:color="auto" w:sz="4" w:space="0"/>
            </w:tcBorders>
            <w:noWrap w:val="0"/>
            <w:vAlign w:val="center"/>
          </w:tcPr>
          <w:p>
            <w:pPr>
              <w:widowControl/>
              <w:jc w:val="left"/>
              <w:rPr>
                <w:rFonts w:hint="eastAsia" w:ascii="宋体" w:hAnsi="宋体" w:eastAsia="宋体" w:cs="宋体"/>
                <w:sz w:val="21"/>
                <w:szCs w:val="21"/>
              </w:rPr>
            </w:pPr>
          </w:p>
        </w:tc>
        <w:tc>
          <w:tcPr>
            <w:tcW w:w="6257"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不允许出现与招标文件有重大偏离的投标文件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8</w:t>
            </w:r>
          </w:p>
        </w:tc>
        <w:tc>
          <w:tcPr>
            <w:tcW w:w="2598" w:type="dxa"/>
            <w:vMerge w:val="continue"/>
            <w:tcBorders>
              <w:top w:val="nil"/>
              <w:left w:val="nil"/>
              <w:bottom w:val="single" w:color="auto" w:sz="4" w:space="0"/>
              <w:right w:val="single" w:color="auto" w:sz="4" w:space="0"/>
            </w:tcBorders>
            <w:noWrap w:val="0"/>
            <w:vAlign w:val="center"/>
          </w:tcPr>
          <w:p>
            <w:pPr>
              <w:widowControl/>
              <w:jc w:val="left"/>
              <w:rPr>
                <w:rFonts w:hint="eastAsia" w:ascii="宋体" w:hAnsi="宋体" w:eastAsia="宋体" w:cs="宋体"/>
                <w:sz w:val="21"/>
                <w:szCs w:val="21"/>
              </w:rPr>
            </w:pPr>
          </w:p>
        </w:tc>
        <w:tc>
          <w:tcPr>
            <w:tcW w:w="6257"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供应商不得在投标活动中提供任何虚假材料或从事其他违法活动的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9</w:t>
            </w:r>
          </w:p>
        </w:tc>
        <w:tc>
          <w:tcPr>
            <w:tcW w:w="2598" w:type="dxa"/>
            <w:vMerge w:val="continue"/>
            <w:tcBorders>
              <w:top w:val="nil"/>
              <w:left w:val="nil"/>
              <w:bottom w:val="single" w:color="auto" w:sz="4" w:space="0"/>
              <w:right w:val="single" w:color="auto" w:sz="4" w:space="0"/>
            </w:tcBorders>
            <w:noWrap w:val="0"/>
            <w:vAlign w:val="center"/>
          </w:tcPr>
          <w:p>
            <w:pPr>
              <w:widowControl/>
              <w:jc w:val="left"/>
              <w:rPr>
                <w:rFonts w:hint="eastAsia" w:ascii="宋体" w:hAnsi="宋体" w:eastAsia="宋体" w:cs="宋体"/>
                <w:sz w:val="21"/>
                <w:szCs w:val="21"/>
              </w:rPr>
            </w:pPr>
          </w:p>
        </w:tc>
        <w:tc>
          <w:tcPr>
            <w:tcW w:w="6257"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评标委员会经过审查，认定供应商虚假应标、串通投标的</w:t>
            </w:r>
          </w:p>
          <w:p>
            <w:pPr>
              <w:spacing w:line="400" w:lineRule="exact"/>
              <w:rPr>
                <w:rFonts w:hint="eastAsia" w:ascii="宋体" w:hAnsi="宋体" w:eastAsia="宋体" w:cs="宋体"/>
                <w:sz w:val="21"/>
                <w:szCs w:val="21"/>
              </w:rPr>
            </w:pPr>
            <w:r>
              <w:rPr>
                <w:rFonts w:hint="eastAsia" w:ascii="宋体" w:hAnsi="宋体" w:eastAsia="宋体" w:cs="宋体"/>
                <w:sz w:val="21"/>
                <w:szCs w:val="21"/>
              </w:rPr>
              <w:t>有下列情形之一的，视为供应商串通投标：</w:t>
            </w:r>
          </w:p>
          <w:p>
            <w:pPr>
              <w:widowControl/>
              <w:spacing w:line="400" w:lineRule="exact"/>
              <w:jc w:val="left"/>
              <w:rPr>
                <w:rFonts w:hint="eastAsia" w:ascii="宋体" w:hAnsi="宋体" w:eastAsia="宋体" w:cs="宋体"/>
                <w:sz w:val="21"/>
                <w:szCs w:val="21"/>
              </w:rPr>
            </w:pPr>
            <w:r>
              <w:rPr>
                <w:rFonts w:hint="eastAsia" w:ascii="宋体" w:hAnsi="宋体" w:eastAsia="宋体" w:cs="宋体"/>
                <w:sz w:val="21"/>
                <w:szCs w:val="21"/>
              </w:rPr>
              <w:t>（1）不同供应商的投标文件由同一单位或者个人编制；</w:t>
            </w:r>
          </w:p>
          <w:p>
            <w:pPr>
              <w:widowControl/>
              <w:spacing w:line="400" w:lineRule="exact"/>
              <w:jc w:val="left"/>
              <w:rPr>
                <w:rFonts w:hint="eastAsia" w:ascii="宋体" w:hAnsi="宋体" w:eastAsia="宋体" w:cs="宋体"/>
                <w:sz w:val="21"/>
                <w:szCs w:val="21"/>
              </w:rPr>
            </w:pPr>
            <w:r>
              <w:rPr>
                <w:rFonts w:hint="eastAsia" w:ascii="宋体" w:hAnsi="宋体" w:eastAsia="宋体" w:cs="宋体"/>
                <w:sz w:val="21"/>
                <w:szCs w:val="21"/>
              </w:rPr>
              <w:t>（2）不同供应商委托同一单位或者个人办理投标事宜；</w:t>
            </w:r>
          </w:p>
          <w:p>
            <w:pPr>
              <w:widowControl/>
              <w:spacing w:line="400" w:lineRule="exact"/>
              <w:jc w:val="left"/>
              <w:rPr>
                <w:rFonts w:hint="eastAsia" w:ascii="宋体" w:hAnsi="宋体" w:eastAsia="宋体" w:cs="宋体"/>
                <w:sz w:val="21"/>
                <w:szCs w:val="21"/>
              </w:rPr>
            </w:pPr>
            <w:r>
              <w:rPr>
                <w:rFonts w:hint="eastAsia" w:ascii="宋体" w:hAnsi="宋体" w:eastAsia="宋体" w:cs="宋体"/>
                <w:sz w:val="21"/>
                <w:szCs w:val="21"/>
              </w:rPr>
              <w:t>（3）不同供应商的投标文件载明的项目管理成员或者联系人员为同一人；</w:t>
            </w:r>
          </w:p>
          <w:p>
            <w:pPr>
              <w:widowControl/>
              <w:spacing w:line="400" w:lineRule="exact"/>
              <w:jc w:val="left"/>
              <w:rPr>
                <w:rFonts w:hint="eastAsia" w:ascii="宋体" w:hAnsi="宋体" w:eastAsia="宋体" w:cs="宋体"/>
                <w:sz w:val="21"/>
                <w:szCs w:val="21"/>
              </w:rPr>
            </w:pPr>
            <w:r>
              <w:rPr>
                <w:rFonts w:hint="eastAsia" w:ascii="宋体" w:hAnsi="宋体" w:eastAsia="宋体" w:cs="宋体"/>
                <w:sz w:val="21"/>
                <w:szCs w:val="21"/>
              </w:rPr>
              <w:t>（4）不同供应商的投标文件异常一致或者投标报价呈规律性差异；</w:t>
            </w:r>
          </w:p>
          <w:p>
            <w:pPr>
              <w:widowControl/>
              <w:spacing w:line="400" w:lineRule="exact"/>
              <w:jc w:val="left"/>
              <w:rPr>
                <w:rFonts w:hint="eastAsia" w:ascii="宋体" w:hAnsi="宋体" w:eastAsia="宋体" w:cs="宋体"/>
                <w:sz w:val="21"/>
                <w:szCs w:val="21"/>
              </w:rPr>
            </w:pPr>
            <w:r>
              <w:rPr>
                <w:rFonts w:hint="eastAsia" w:ascii="宋体" w:hAnsi="宋体" w:eastAsia="宋体" w:cs="宋体"/>
                <w:sz w:val="21"/>
                <w:szCs w:val="21"/>
              </w:rPr>
              <w:t>（5）不同供应商的投标文件相互混装；</w:t>
            </w:r>
          </w:p>
          <w:p>
            <w:pPr>
              <w:spacing w:line="400" w:lineRule="exact"/>
              <w:rPr>
                <w:rFonts w:hint="eastAsia" w:ascii="宋体" w:hAnsi="宋体" w:eastAsia="宋体" w:cs="宋体"/>
                <w:sz w:val="21"/>
                <w:szCs w:val="21"/>
              </w:rPr>
            </w:pPr>
            <w:r>
              <w:rPr>
                <w:rFonts w:hint="eastAsia" w:ascii="宋体" w:hAnsi="宋体" w:eastAsia="宋体" w:cs="宋体"/>
                <w:sz w:val="21"/>
                <w:szCs w:val="21"/>
              </w:rPr>
              <w:t>（6）不同供应商的投标保证金从同一单位或者个人的账户转出（本项目不适用）。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10</w:t>
            </w:r>
          </w:p>
        </w:tc>
        <w:tc>
          <w:tcPr>
            <w:tcW w:w="2598" w:type="dxa"/>
            <w:vMerge w:val="continue"/>
            <w:tcBorders>
              <w:top w:val="nil"/>
              <w:left w:val="nil"/>
              <w:bottom w:val="single" w:color="auto" w:sz="4" w:space="0"/>
              <w:right w:val="single" w:color="auto" w:sz="4" w:space="0"/>
            </w:tcBorders>
            <w:noWrap w:val="0"/>
            <w:vAlign w:val="center"/>
          </w:tcPr>
          <w:p>
            <w:pPr>
              <w:widowControl/>
              <w:jc w:val="left"/>
              <w:rPr>
                <w:rFonts w:hint="eastAsia" w:ascii="宋体" w:hAnsi="宋体" w:eastAsia="宋体" w:cs="宋体"/>
                <w:sz w:val="21"/>
                <w:szCs w:val="21"/>
              </w:rPr>
            </w:pPr>
          </w:p>
        </w:tc>
        <w:tc>
          <w:tcPr>
            <w:tcW w:w="6257"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符合法律、法规和招标文件中规定的其他实质性要求（实质性要求招标文件中“*”标记）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jc w:val="center"/>
        </w:trPr>
        <w:tc>
          <w:tcPr>
            <w:tcW w:w="3318" w:type="dxa"/>
            <w:gridSpan w:val="2"/>
            <w:tcBorders>
              <w:top w:val="single" w:color="auto" w:sz="4" w:space="0"/>
              <w:left w:val="double" w:color="auto" w:sz="2" w:space="0"/>
              <w:bottom w:val="double" w:color="auto" w:sz="2"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b/>
                <w:bCs/>
                <w:sz w:val="21"/>
                <w:szCs w:val="21"/>
              </w:rPr>
              <w:t>符合性审查结论</w:t>
            </w:r>
          </w:p>
        </w:tc>
        <w:tc>
          <w:tcPr>
            <w:tcW w:w="6257" w:type="dxa"/>
            <w:tcBorders>
              <w:top w:val="single" w:color="auto" w:sz="4" w:space="0"/>
              <w:left w:val="nil"/>
              <w:bottom w:val="double" w:color="auto" w:sz="2" w:space="0"/>
              <w:right w:val="double" w:color="auto" w:sz="2" w:space="0"/>
            </w:tcBorders>
            <w:noWrap w:val="0"/>
            <w:vAlign w:val="center"/>
          </w:tcPr>
          <w:p>
            <w:pPr>
              <w:spacing w:line="400" w:lineRule="exact"/>
              <w:rPr>
                <w:rFonts w:hint="eastAsia" w:ascii="宋体" w:hAnsi="宋体" w:eastAsia="宋体" w:cs="宋体"/>
                <w:sz w:val="21"/>
                <w:szCs w:val="21"/>
              </w:rPr>
            </w:pPr>
          </w:p>
        </w:tc>
      </w:tr>
    </w:tbl>
    <w:p>
      <w:pPr>
        <w:spacing w:line="440" w:lineRule="exact"/>
        <w:rPr>
          <w:rFonts w:hint="eastAsia" w:ascii="宋体" w:hAnsi="宋体" w:eastAsia="宋体" w:cs="宋体"/>
          <w:b/>
          <w:bCs/>
          <w:sz w:val="21"/>
          <w:szCs w:val="21"/>
        </w:rPr>
      </w:pPr>
      <w:r>
        <w:rPr>
          <w:rFonts w:hint="eastAsia" w:ascii="宋体" w:hAnsi="宋体" w:eastAsia="宋体" w:cs="宋体"/>
          <w:b/>
          <w:bCs/>
          <w:sz w:val="21"/>
          <w:szCs w:val="21"/>
        </w:rPr>
        <w:t>注：上述审查项目中，任意一项不符合的，符合性审查不合格</w:t>
      </w:r>
      <w:r>
        <w:rPr>
          <w:rFonts w:hint="eastAsia" w:ascii="宋体" w:hAnsi="宋体" w:eastAsia="宋体" w:cs="宋体"/>
          <w:b/>
          <w:bCs/>
          <w:sz w:val="21"/>
          <w:szCs w:val="21"/>
          <w:lang w:eastAsia="zh-CN"/>
        </w:rPr>
        <w:t>，将被视为无效投标文件</w:t>
      </w:r>
      <w:r>
        <w:rPr>
          <w:rFonts w:hint="eastAsia" w:ascii="宋体" w:hAnsi="宋体" w:eastAsia="宋体" w:cs="宋体"/>
          <w:b/>
          <w:bCs/>
          <w:sz w:val="21"/>
          <w:szCs w:val="21"/>
        </w:rPr>
        <w:t>。</w:t>
      </w:r>
    </w:p>
    <w:p>
      <w:pPr>
        <w:bidi w:val="0"/>
        <w:rPr>
          <w:rFonts w:hint="eastAsia" w:ascii="宋体" w:hAnsi="宋体" w:eastAsia="宋体" w:cs="宋体"/>
          <w:sz w:val="21"/>
          <w:szCs w:val="21"/>
        </w:rPr>
      </w:pPr>
    </w:p>
    <w:p>
      <w:pPr>
        <w:bidi w:val="0"/>
        <w:rPr>
          <w:rFonts w:hint="eastAsia" w:ascii="宋体" w:hAnsi="宋体" w:eastAsia="宋体" w:cs="宋体"/>
          <w:sz w:val="21"/>
          <w:szCs w:val="21"/>
        </w:rPr>
      </w:pPr>
    </w:p>
    <w:p>
      <w:pPr>
        <w:widowControl/>
        <w:spacing w:line="440" w:lineRule="exact"/>
        <w:ind w:firstLine="422" w:firstLineChars="200"/>
        <w:jc w:val="center"/>
        <w:rPr>
          <w:rFonts w:hint="eastAsia" w:ascii="宋体" w:hAnsi="宋体" w:eastAsia="宋体" w:cs="宋体"/>
          <w:b/>
          <w:bCs/>
          <w:sz w:val="21"/>
          <w:szCs w:val="21"/>
        </w:rPr>
      </w:pPr>
      <w:r>
        <w:rPr>
          <w:rFonts w:hint="eastAsia" w:ascii="宋体" w:hAnsi="宋体" w:eastAsia="宋体" w:cs="宋体"/>
          <w:b/>
          <w:bCs/>
          <w:sz w:val="21"/>
          <w:szCs w:val="21"/>
          <w:lang w:eastAsia="zh-CN"/>
        </w:rPr>
        <w:t>（三）</w:t>
      </w:r>
      <w:r>
        <w:rPr>
          <w:rFonts w:hint="eastAsia" w:ascii="宋体" w:hAnsi="宋体" w:eastAsia="宋体" w:cs="宋体"/>
          <w:b/>
          <w:bCs/>
          <w:sz w:val="21"/>
          <w:szCs w:val="21"/>
        </w:rPr>
        <w:t>商务和技术评分表</w:t>
      </w:r>
    </w:p>
    <w:tbl>
      <w:tblPr>
        <w:tblStyle w:val="28"/>
        <w:tblW w:w="9630" w:type="dxa"/>
        <w:tblInd w:w="-2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8268"/>
        <w:gridCol w:w="6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trPr>
        <w:tc>
          <w:tcPr>
            <w:tcW w:w="672" w:type="dxa"/>
            <w:tcBorders>
              <w:top w:val="double" w:color="auto" w:sz="2" w:space="0"/>
              <w:left w:val="double" w:color="auto" w:sz="2" w:space="0"/>
              <w:bottom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sz w:val="21"/>
                <w:szCs w:val="21"/>
              </w:rPr>
            </w:pPr>
            <w:r>
              <w:rPr>
                <w:rFonts w:hint="eastAsia" w:ascii="宋体" w:hAnsi="宋体" w:eastAsia="宋体" w:cs="宋体"/>
                <w:sz w:val="21"/>
                <w:szCs w:val="21"/>
              </w:rPr>
              <w:t>序号</w:t>
            </w:r>
          </w:p>
        </w:tc>
        <w:tc>
          <w:tcPr>
            <w:tcW w:w="8268" w:type="dxa"/>
            <w:tcBorders>
              <w:top w:val="double" w:color="auto" w:sz="2" w:space="0"/>
              <w:left w:val="double" w:color="auto" w:sz="2" w:space="0"/>
              <w:bottom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评分项目</w:t>
            </w:r>
          </w:p>
        </w:tc>
        <w:tc>
          <w:tcPr>
            <w:tcW w:w="690" w:type="dxa"/>
            <w:tcBorders>
              <w:top w:val="double" w:color="auto" w:sz="2" w:space="0"/>
              <w:left w:val="nil"/>
              <w:bottom w:val="double" w:color="auto" w:sz="2" w:space="0"/>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85" w:hRule="atLeast"/>
        </w:trPr>
        <w:tc>
          <w:tcPr>
            <w:tcW w:w="672" w:type="dxa"/>
            <w:vMerge w:val="restart"/>
            <w:tcBorders>
              <w:top w:val="single" w:color="auto" w:sz="4" w:space="0"/>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r>
              <w:rPr>
                <w:rFonts w:hint="eastAsia" w:ascii="宋体" w:hAnsi="宋体" w:eastAsia="宋体" w:cs="宋体"/>
                <w:sz w:val="21"/>
                <w:szCs w:val="21"/>
              </w:rPr>
              <w:t>技术商务分60分</w:t>
            </w:r>
          </w:p>
        </w:tc>
        <w:tc>
          <w:tcPr>
            <w:tcW w:w="826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1"/>
                <w:szCs w:val="21"/>
                <w:shd w:val="clear" w:color="auto" w:fill="auto"/>
                <w:lang w:eastAsia="zh-CN"/>
              </w:rPr>
            </w:pPr>
            <w:r>
              <w:rPr>
                <w:rFonts w:hint="eastAsia" w:ascii="宋体" w:hAnsi="宋体" w:eastAsia="宋体" w:cs="宋体"/>
                <w:color w:val="auto"/>
                <w:kern w:val="2"/>
                <w:sz w:val="21"/>
                <w:szCs w:val="21"/>
                <w:shd w:val="clear" w:color="auto" w:fill="auto"/>
              </w:rPr>
              <w:t>评委根据投标</w:t>
            </w:r>
            <w:r>
              <w:rPr>
                <w:rFonts w:hint="eastAsia" w:ascii="宋体" w:hAnsi="宋体" w:eastAsia="宋体" w:cs="宋体"/>
                <w:color w:val="auto"/>
                <w:kern w:val="2"/>
                <w:sz w:val="21"/>
                <w:szCs w:val="21"/>
                <w:shd w:val="clear" w:color="auto" w:fill="auto"/>
                <w:lang w:val="en-US" w:eastAsia="zh-CN"/>
              </w:rPr>
              <w:t>供应商</w:t>
            </w:r>
            <w:r>
              <w:rPr>
                <w:rFonts w:hint="eastAsia" w:ascii="宋体" w:hAnsi="宋体" w:eastAsia="宋体" w:cs="宋体"/>
                <w:color w:val="auto"/>
                <w:kern w:val="2"/>
                <w:sz w:val="21"/>
                <w:szCs w:val="21"/>
                <w:shd w:val="clear" w:color="auto" w:fill="auto"/>
              </w:rPr>
              <w:t>所投产品技术参数及性能要求响应</w:t>
            </w:r>
            <w:r>
              <w:rPr>
                <w:rFonts w:hint="eastAsia" w:ascii="宋体" w:hAnsi="宋体" w:eastAsia="宋体" w:cs="宋体"/>
                <w:color w:val="auto"/>
                <w:kern w:val="2"/>
                <w:sz w:val="21"/>
                <w:szCs w:val="21"/>
                <w:shd w:val="clear" w:color="auto" w:fill="auto"/>
                <w:lang w:eastAsia="zh-CN"/>
              </w:rPr>
              <w:t>及偏离</w:t>
            </w:r>
            <w:r>
              <w:rPr>
                <w:rFonts w:hint="eastAsia" w:ascii="宋体" w:hAnsi="宋体" w:eastAsia="宋体" w:cs="宋体"/>
                <w:color w:val="auto"/>
                <w:kern w:val="2"/>
                <w:sz w:val="21"/>
                <w:szCs w:val="21"/>
                <w:shd w:val="clear" w:color="auto" w:fill="auto"/>
              </w:rPr>
              <w:t>情况，考察其符合性、合理性及先进性</w:t>
            </w:r>
            <w:r>
              <w:rPr>
                <w:rFonts w:hint="eastAsia" w:ascii="宋体" w:hAnsi="宋体" w:eastAsia="宋体" w:cs="宋体"/>
                <w:color w:val="auto"/>
                <w:kern w:val="2"/>
                <w:sz w:val="21"/>
                <w:szCs w:val="21"/>
                <w:shd w:val="clear" w:color="auto" w:fill="auto"/>
                <w:lang w:eastAsia="zh-CN"/>
              </w:rPr>
              <w:t>：</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全部响应无偏离或正偏离的，得</w:t>
            </w:r>
            <w:r>
              <w:rPr>
                <w:rFonts w:hint="eastAsia" w:ascii="宋体" w:hAnsi="宋体" w:cs="宋体"/>
                <w:color w:val="auto"/>
                <w:sz w:val="21"/>
                <w:szCs w:val="21"/>
                <w:shd w:val="clear" w:color="auto" w:fill="auto"/>
                <w:lang w:val="en-US" w:eastAsia="zh-CN"/>
              </w:rPr>
              <w:t>9</w:t>
            </w:r>
            <w:r>
              <w:rPr>
                <w:rFonts w:hint="eastAsia" w:ascii="宋体" w:hAnsi="宋体" w:eastAsia="宋体" w:cs="宋体"/>
                <w:color w:val="auto"/>
                <w:sz w:val="21"/>
                <w:szCs w:val="21"/>
                <w:shd w:val="clear" w:color="auto" w:fill="auto"/>
                <w:lang w:val="en-US" w:eastAsia="zh-CN"/>
              </w:rPr>
              <w:t>分；每有一项响应负偏离的，扣1分，扣完为止；本项得0分的，作无效标处理。</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lang w:val="en-US" w:eastAsia="zh-CN"/>
              </w:rPr>
              <w:t>1项条款的定义：招标文件第二章 采购需求“采购清单”中各部分内容的最小编号（有序号的按最小序号）为1项。</w:t>
            </w:r>
          </w:p>
        </w:tc>
        <w:tc>
          <w:tcPr>
            <w:tcW w:w="690" w:type="dxa"/>
            <w:tcBorders>
              <w:top w:val="single" w:color="auto" w:sz="4" w:space="0"/>
              <w:left w:val="nil"/>
              <w:bottom w:val="single" w:color="auto" w:sz="4" w:space="0"/>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5"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投标</w:t>
            </w:r>
            <w:r>
              <w:rPr>
                <w:rFonts w:hint="eastAsia" w:ascii="宋体" w:hAnsi="宋体" w:eastAsia="宋体" w:cs="宋体"/>
                <w:color w:val="auto"/>
                <w:kern w:val="2"/>
                <w:sz w:val="21"/>
                <w:szCs w:val="21"/>
                <w:shd w:val="clear" w:color="auto" w:fill="auto"/>
                <w:lang w:val="en-US" w:eastAsia="zh-CN"/>
              </w:rPr>
              <w:t>供应商根据采购人提供的建筑平面图，并结合采购清单的要求，自行对各设备进行布局，并出具深化设计图，由评委进行综合评议：</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各设备布局科学、合理、有序，后期工作人员操作便捷的，得12-8.1分；设备布局较合理，部分非关键设备安置点不够明确，有待加强的，得8-4.1分；设备布局混乱，后期工作人员操作不便捷，深化设计图无参考价值，后期须重新规划的，得4-0.1分</w:t>
            </w:r>
            <w:r>
              <w:rPr>
                <w:rFonts w:hint="eastAsia" w:ascii="宋体" w:hAnsi="宋体" w:eastAsia="宋体" w:cs="宋体"/>
                <w:color w:val="auto"/>
                <w:sz w:val="21"/>
                <w:szCs w:val="21"/>
                <w:shd w:val="clear" w:color="auto" w:fill="auto"/>
                <w:lang w:eastAsia="zh-CN"/>
              </w:rPr>
              <w:t>；未提供相关内容的不得分</w:t>
            </w:r>
            <w:r>
              <w:rPr>
                <w:rFonts w:hint="eastAsia" w:ascii="宋体" w:hAnsi="宋体" w:eastAsia="宋体" w:cs="宋体"/>
                <w:color w:val="auto"/>
                <w:sz w:val="21"/>
                <w:szCs w:val="21"/>
                <w:shd w:val="clear" w:color="auto" w:fill="auto"/>
                <w:lang w:val="en-US" w:eastAsia="zh-CN"/>
              </w:rPr>
              <w:t>。</w:t>
            </w:r>
          </w:p>
        </w:tc>
        <w:tc>
          <w:tcPr>
            <w:tcW w:w="690" w:type="dxa"/>
            <w:tcBorders>
              <w:top w:val="single" w:color="auto" w:sz="4" w:space="0"/>
              <w:left w:val="nil"/>
              <w:bottom w:val="single" w:color="auto" w:sz="4" w:space="0"/>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54"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投标</w:t>
            </w:r>
            <w:r>
              <w:rPr>
                <w:rFonts w:hint="eastAsia" w:ascii="宋体" w:hAnsi="宋体" w:eastAsia="宋体" w:cs="宋体"/>
                <w:color w:val="auto"/>
                <w:kern w:val="2"/>
                <w:sz w:val="21"/>
                <w:szCs w:val="21"/>
                <w:shd w:val="clear" w:color="auto" w:fill="auto"/>
                <w:lang w:val="en-US" w:eastAsia="zh-CN"/>
              </w:rPr>
              <w:t>供应商</w:t>
            </w:r>
            <w:r>
              <w:rPr>
                <w:rFonts w:hint="eastAsia" w:ascii="宋体" w:hAnsi="宋体" w:eastAsia="宋体" w:cs="宋体"/>
                <w:color w:val="auto"/>
                <w:sz w:val="21"/>
                <w:szCs w:val="21"/>
                <w:shd w:val="clear" w:color="auto" w:fill="auto"/>
              </w:rPr>
              <w:t>提供</w:t>
            </w:r>
            <w:r>
              <w:rPr>
                <w:rFonts w:hint="eastAsia" w:ascii="宋体" w:hAnsi="宋体" w:eastAsia="宋体" w:cs="宋体"/>
                <w:color w:val="auto"/>
                <w:sz w:val="21"/>
                <w:szCs w:val="21"/>
                <w:shd w:val="clear" w:color="auto" w:fill="auto"/>
                <w:lang w:eastAsia="zh-CN"/>
              </w:rPr>
              <w:t>三</w:t>
            </w:r>
            <w:r>
              <w:rPr>
                <w:rFonts w:hint="eastAsia" w:ascii="宋体" w:hAnsi="宋体" w:eastAsia="宋体" w:cs="宋体"/>
                <w:color w:val="auto"/>
                <w:sz w:val="21"/>
                <w:szCs w:val="21"/>
                <w:shd w:val="clear" w:color="auto" w:fill="auto"/>
              </w:rPr>
              <w:t>件样品，每件样品</w:t>
            </w:r>
            <w:r>
              <w:rPr>
                <w:rFonts w:hint="eastAsia" w:ascii="宋体" w:hAnsi="宋体" w:eastAsia="宋体" w:cs="宋体"/>
                <w:color w:val="auto"/>
                <w:sz w:val="21"/>
                <w:szCs w:val="21"/>
                <w:shd w:val="clear" w:color="auto" w:fill="auto"/>
                <w:lang w:eastAsia="zh-CN"/>
              </w:rPr>
              <w:t>满分</w:t>
            </w:r>
            <w:r>
              <w:rPr>
                <w:rFonts w:hint="eastAsia" w:ascii="宋体" w:hAnsi="宋体" w:eastAsia="宋体" w:cs="宋体"/>
                <w:color w:val="auto"/>
                <w:sz w:val="21"/>
                <w:szCs w:val="21"/>
                <w:shd w:val="clear" w:color="auto" w:fill="auto"/>
                <w:lang w:val="en-US" w:eastAsia="zh-CN"/>
              </w:rPr>
              <w:t>5</w:t>
            </w:r>
            <w:r>
              <w:rPr>
                <w:rFonts w:hint="eastAsia" w:ascii="宋体" w:hAnsi="宋体" w:eastAsia="宋体" w:cs="宋体"/>
                <w:color w:val="auto"/>
                <w:sz w:val="21"/>
                <w:szCs w:val="21"/>
                <w:shd w:val="clear" w:color="auto" w:fill="auto"/>
              </w:rPr>
              <w:t>分，共计</w:t>
            </w:r>
            <w:r>
              <w:rPr>
                <w:rFonts w:hint="eastAsia" w:ascii="宋体" w:hAnsi="宋体" w:eastAsia="宋体" w:cs="宋体"/>
                <w:color w:val="auto"/>
                <w:sz w:val="21"/>
                <w:szCs w:val="21"/>
                <w:shd w:val="clear" w:color="auto" w:fill="auto"/>
                <w:lang w:val="en-US" w:eastAsia="zh-CN"/>
              </w:rPr>
              <w:t>15</w:t>
            </w:r>
            <w:r>
              <w:rPr>
                <w:rFonts w:hint="eastAsia" w:ascii="宋体" w:hAnsi="宋体" w:eastAsia="宋体" w:cs="宋体"/>
                <w:color w:val="auto"/>
                <w:sz w:val="21"/>
                <w:szCs w:val="21"/>
                <w:shd w:val="clear" w:color="auto" w:fill="auto"/>
              </w:rPr>
              <w:t>分。由评标委员会从投标样品的规格、材质、加工制作工艺、外观、性能、实用性、先进性以及零部件的品质等方面进行</w:t>
            </w:r>
            <w:r>
              <w:rPr>
                <w:rFonts w:hint="eastAsia" w:ascii="宋体" w:hAnsi="宋体" w:eastAsia="宋体" w:cs="宋体"/>
                <w:color w:val="auto"/>
                <w:sz w:val="21"/>
                <w:szCs w:val="21"/>
                <w:shd w:val="clear" w:color="auto" w:fill="auto"/>
                <w:lang w:val="en-US" w:eastAsia="zh-CN"/>
              </w:rPr>
              <w:t>综合评议</w:t>
            </w:r>
            <w:r>
              <w:rPr>
                <w:rFonts w:hint="eastAsia" w:ascii="宋体" w:hAnsi="宋体" w:eastAsia="宋体" w:cs="宋体"/>
                <w:color w:val="auto"/>
                <w:sz w:val="21"/>
                <w:szCs w:val="21"/>
                <w:shd w:val="clear" w:color="auto" w:fill="auto"/>
              </w:rPr>
              <w:t>。</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每件样品评定分值如下：</w:t>
            </w:r>
            <w:r>
              <w:rPr>
                <w:rFonts w:hint="eastAsia" w:ascii="宋体" w:hAnsi="宋体" w:eastAsia="宋体" w:cs="宋体"/>
                <w:color w:val="auto"/>
                <w:sz w:val="21"/>
                <w:szCs w:val="21"/>
                <w:shd w:val="clear" w:color="auto" w:fill="auto"/>
                <w:lang w:val="en-US" w:eastAsia="zh-CN"/>
              </w:rPr>
              <w:t>规格符合要求，工艺精细，</w:t>
            </w:r>
            <w:r>
              <w:rPr>
                <w:rFonts w:hint="eastAsia" w:ascii="宋体" w:hAnsi="宋体" w:eastAsia="宋体" w:cs="宋体"/>
                <w:b w:val="0"/>
                <w:bCs/>
                <w:color w:val="auto"/>
                <w:sz w:val="21"/>
                <w:szCs w:val="21"/>
                <w:highlight w:val="none"/>
                <w:shd w:val="clear" w:color="auto" w:fill="auto"/>
              </w:rPr>
              <w:t>外观平整光洁，表面直观外无碰伤凹凸现象</w:t>
            </w:r>
            <w:r>
              <w:rPr>
                <w:rFonts w:hint="eastAsia" w:ascii="宋体" w:hAnsi="宋体" w:eastAsia="宋体" w:cs="宋体"/>
                <w:b w:val="0"/>
                <w:bCs/>
                <w:color w:val="auto"/>
                <w:sz w:val="21"/>
                <w:szCs w:val="21"/>
                <w:highlight w:val="none"/>
                <w:shd w:val="clear" w:color="auto" w:fill="auto"/>
                <w:lang w:eastAsia="zh-CN"/>
              </w:rPr>
              <w:t>的</w:t>
            </w:r>
            <w:r>
              <w:rPr>
                <w:rFonts w:hint="eastAsia" w:ascii="宋体" w:hAnsi="宋体" w:eastAsia="宋体" w:cs="宋体"/>
                <w:color w:val="auto"/>
                <w:sz w:val="21"/>
                <w:szCs w:val="21"/>
                <w:shd w:val="clear" w:color="auto" w:fill="auto"/>
                <w:lang w:val="en-US" w:eastAsia="zh-CN"/>
              </w:rPr>
              <w:t>，得5-4.1分；工艺普通，外观、</w:t>
            </w:r>
            <w:r>
              <w:rPr>
                <w:rFonts w:hint="eastAsia" w:ascii="宋体" w:hAnsi="宋体" w:eastAsia="宋体" w:cs="宋体"/>
                <w:b w:val="0"/>
                <w:bCs/>
                <w:color w:val="auto"/>
                <w:sz w:val="21"/>
                <w:szCs w:val="21"/>
                <w:highlight w:val="none"/>
                <w:shd w:val="clear" w:color="auto" w:fill="auto"/>
              </w:rPr>
              <w:t>表面</w:t>
            </w:r>
            <w:r>
              <w:rPr>
                <w:rFonts w:hint="eastAsia" w:ascii="宋体" w:hAnsi="宋体" w:eastAsia="宋体" w:cs="宋体"/>
                <w:color w:val="auto"/>
                <w:sz w:val="21"/>
                <w:szCs w:val="21"/>
                <w:shd w:val="clear" w:color="auto" w:fill="auto"/>
                <w:lang w:val="en-US" w:eastAsia="zh-CN"/>
              </w:rPr>
              <w:t>基本平整的，得4-3.1分；工艺粗糙，外观不平整，有锈蚀、</w:t>
            </w:r>
            <w:r>
              <w:rPr>
                <w:rFonts w:hint="eastAsia" w:ascii="宋体" w:hAnsi="宋体" w:eastAsia="宋体" w:cs="宋体"/>
                <w:b w:val="0"/>
                <w:bCs/>
                <w:color w:val="auto"/>
                <w:sz w:val="21"/>
                <w:szCs w:val="21"/>
                <w:highlight w:val="none"/>
                <w:shd w:val="clear" w:color="auto" w:fill="auto"/>
              </w:rPr>
              <w:t>裂纹等缺陷</w:t>
            </w:r>
            <w:r>
              <w:rPr>
                <w:rFonts w:hint="eastAsia" w:ascii="宋体" w:hAnsi="宋体" w:eastAsia="宋体" w:cs="宋体"/>
                <w:b w:val="0"/>
                <w:bCs/>
                <w:color w:val="auto"/>
                <w:sz w:val="21"/>
                <w:szCs w:val="21"/>
                <w:highlight w:val="none"/>
                <w:shd w:val="clear" w:color="auto" w:fill="auto"/>
                <w:lang w:eastAsia="zh-CN"/>
              </w:rPr>
              <w:t>的，</w:t>
            </w:r>
            <w:r>
              <w:rPr>
                <w:rFonts w:hint="eastAsia" w:ascii="宋体" w:hAnsi="宋体" w:eastAsia="宋体" w:cs="宋体"/>
                <w:b w:val="0"/>
                <w:bCs/>
                <w:color w:val="auto"/>
                <w:sz w:val="21"/>
                <w:szCs w:val="21"/>
                <w:highlight w:val="none"/>
                <w:shd w:val="clear" w:color="auto" w:fill="auto"/>
                <w:lang w:val="en-US" w:eastAsia="zh-CN"/>
              </w:rPr>
              <w:t>得3-1.1分</w:t>
            </w:r>
            <w:r>
              <w:rPr>
                <w:rFonts w:hint="eastAsia" w:ascii="宋体" w:hAnsi="宋体" w:eastAsia="宋体" w:cs="宋体"/>
                <w:color w:val="auto"/>
                <w:sz w:val="21"/>
                <w:szCs w:val="21"/>
                <w:shd w:val="clear" w:color="auto" w:fill="auto"/>
              </w:rPr>
              <w:t>。</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样品需和投标文件同时递交至开标现场。提供样品规格不符(尺寸偏差超过±5%)或未提供样品（样品不齐全）的</w:t>
            </w:r>
            <w:r>
              <w:rPr>
                <w:rFonts w:hint="eastAsia" w:ascii="宋体" w:hAnsi="宋体" w:eastAsia="宋体" w:cs="宋体"/>
                <w:color w:val="auto"/>
                <w:sz w:val="21"/>
                <w:szCs w:val="21"/>
                <w:shd w:val="clear" w:color="auto" w:fill="auto"/>
                <w:lang w:eastAsia="zh-CN"/>
              </w:rPr>
              <w:t>，该样</w:t>
            </w:r>
            <w:r>
              <w:rPr>
                <w:rFonts w:hint="eastAsia" w:ascii="宋体" w:hAnsi="宋体" w:eastAsia="宋体" w:cs="宋体"/>
                <w:color w:val="auto"/>
                <w:sz w:val="21"/>
                <w:szCs w:val="21"/>
                <w:highlight w:val="none"/>
                <w:shd w:val="clear" w:color="auto" w:fill="auto"/>
                <w:lang w:eastAsia="zh-CN"/>
              </w:rPr>
              <w:t>品</w:t>
            </w:r>
            <w:r>
              <w:rPr>
                <w:rFonts w:hint="eastAsia" w:ascii="宋体" w:hAnsi="宋体" w:eastAsia="宋体" w:cs="宋体"/>
                <w:color w:val="auto"/>
                <w:sz w:val="21"/>
                <w:szCs w:val="21"/>
                <w:highlight w:val="none"/>
                <w:shd w:val="clear" w:color="auto" w:fill="auto"/>
              </w:rPr>
              <w:t>为0分</w:t>
            </w:r>
            <w:r>
              <w:rPr>
                <w:rFonts w:hint="eastAsia" w:ascii="宋体" w:hAnsi="宋体" w:eastAsia="宋体" w:cs="宋体"/>
                <w:color w:val="auto"/>
                <w:sz w:val="21"/>
                <w:szCs w:val="21"/>
                <w:shd w:val="clear" w:color="auto" w:fill="auto"/>
              </w:rPr>
              <w:t>。</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样品为：移门调理台带锁</w:t>
            </w:r>
            <w:r>
              <w:rPr>
                <w:rFonts w:hint="eastAsia" w:ascii="宋体" w:hAnsi="宋体" w:cs="宋体"/>
                <w:color w:val="auto"/>
                <w:sz w:val="21"/>
                <w:szCs w:val="21"/>
                <w:shd w:val="clear" w:color="auto" w:fill="auto"/>
                <w:lang w:eastAsia="zh-CN"/>
              </w:rPr>
              <w:t>（</w:t>
            </w:r>
            <w:r>
              <w:rPr>
                <w:rFonts w:hint="eastAsia" w:ascii="宋体" w:hAnsi="宋体" w:cs="宋体"/>
                <w:color w:val="auto"/>
                <w:sz w:val="21"/>
                <w:szCs w:val="21"/>
                <w:shd w:val="clear" w:color="auto" w:fill="auto"/>
                <w:lang w:val="en-US" w:eastAsia="zh-CN"/>
              </w:rPr>
              <w:t>满分5分</w:t>
            </w:r>
            <w:r>
              <w:rPr>
                <w:rFonts w:hint="eastAsia" w:ascii="宋体" w:hAnsi="宋体" w:cs="宋体"/>
                <w:color w:val="auto"/>
                <w:sz w:val="21"/>
                <w:szCs w:val="21"/>
                <w:shd w:val="clear" w:color="auto" w:fill="auto"/>
                <w:lang w:eastAsia="zh-CN"/>
              </w:rPr>
              <w:t>）</w:t>
            </w:r>
            <w:r>
              <w:rPr>
                <w:rFonts w:hint="eastAsia" w:ascii="宋体" w:hAnsi="宋体" w:eastAsia="宋体" w:cs="宋体"/>
                <w:color w:val="auto"/>
                <w:sz w:val="21"/>
                <w:szCs w:val="21"/>
                <w:shd w:val="clear" w:color="auto" w:fill="auto"/>
                <w:lang w:eastAsia="zh-CN"/>
              </w:rPr>
              <w:t>、</w:t>
            </w:r>
            <w:r>
              <w:rPr>
                <w:rFonts w:hint="eastAsia" w:ascii="宋体" w:hAnsi="宋体" w:eastAsia="宋体" w:cs="宋体"/>
                <w:color w:val="auto"/>
                <w:sz w:val="21"/>
                <w:szCs w:val="21"/>
                <w:shd w:val="clear" w:color="auto" w:fill="auto"/>
              </w:rPr>
              <w:t>环保油烟净化一体机</w:t>
            </w:r>
            <w:r>
              <w:rPr>
                <w:rFonts w:hint="eastAsia" w:ascii="宋体" w:hAnsi="宋体" w:cs="宋体"/>
                <w:color w:val="auto"/>
                <w:sz w:val="21"/>
                <w:szCs w:val="21"/>
                <w:shd w:val="clear" w:color="auto" w:fill="auto"/>
                <w:lang w:eastAsia="zh-CN"/>
              </w:rPr>
              <w:t>（</w:t>
            </w:r>
            <w:r>
              <w:rPr>
                <w:rFonts w:hint="eastAsia" w:ascii="宋体" w:hAnsi="宋体" w:cs="宋体"/>
                <w:color w:val="auto"/>
                <w:sz w:val="21"/>
                <w:szCs w:val="21"/>
                <w:shd w:val="clear" w:color="auto" w:fill="auto"/>
                <w:lang w:val="en-US" w:eastAsia="zh-CN"/>
              </w:rPr>
              <w:t>满分5分</w:t>
            </w:r>
            <w:r>
              <w:rPr>
                <w:rFonts w:hint="eastAsia" w:ascii="宋体" w:hAnsi="宋体" w:cs="宋体"/>
                <w:color w:val="auto"/>
                <w:sz w:val="21"/>
                <w:szCs w:val="21"/>
                <w:shd w:val="clear" w:color="auto" w:fill="auto"/>
                <w:lang w:eastAsia="zh-CN"/>
              </w:rPr>
              <w:t>）</w:t>
            </w:r>
            <w:r>
              <w:rPr>
                <w:rFonts w:hint="eastAsia" w:ascii="宋体" w:hAnsi="宋体" w:eastAsia="宋体" w:cs="宋体"/>
                <w:color w:val="auto"/>
                <w:sz w:val="21"/>
                <w:szCs w:val="21"/>
                <w:shd w:val="clear" w:color="auto" w:fill="auto"/>
                <w:lang w:eastAsia="zh-CN"/>
              </w:rPr>
              <w:t>、</w:t>
            </w:r>
            <w:r>
              <w:rPr>
                <w:rFonts w:hint="eastAsia" w:ascii="宋体" w:hAnsi="宋体" w:eastAsia="宋体" w:cs="宋体"/>
                <w:color w:val="auto"/>
                <w:sz w:val="21"/>
                <w:szCs w:val="21"/>
                <w:shd w:val="clear" w:color="auto" w:fill="auto"/>
              </w:rPr>
              <w:t>热风循环高温消毒柜</w:t>
            </w:r>
            <w:r>
              <w:rPr>
                <w:rFonts w:hint="eastAsia" w:ascii="宋体" w:hAnsi="宋体" w:cs="宋体"/>
                <w:color w:val="auto"/>
                <w:sz w:val="21"/>
                <w:szCs w:val="21"/>
                <w:shd w:val="clear" w:color="auto" w:fill="auto"/>
                <w:lang w:eastAsia="zh-CN"/>
              </w:rPr>
              <w:t>（</w:t>
            </w:r>
            <w:r>
              <w:rPr>
                <w:rFonts w:hint="eastAsia" w:ascii="宋体" w:hAnsi="宋体" w:cs="宋体"/>
                <w:color w:val="auto"/>
                <w:sz w:val="21"/>
                <w:szCs w:val="21"/>
                <w:shd w:val="clear" w:color="auto" w:fill="auto"/>
                <w:lang w:val="en-US" w:eastAsia="zh-CN"/>
              </w:rPr>
              <w:t>满分5分</w:t>
            </w:r>
            <w:r>
              <w:rPr>
                <w:rFonts w:hint="eastAsia" w:ascii="宋体" w:hAnsi="宋体" w:cs="宋体"/>
                <w:color w:val="auto"/>
                <w:sz w:val="21"/>
                <w:szCs w:val="21"/>
                <w:shd w:val="clear" w:color="auto" w:fill="auto"/>
                <w:lang w:eastAsia="zh-CN"/>
              </w:rPr>
              <w:t>）</w:t>
            </w:r>
          </w:p>
        </w:tc>
        <w:tc>
          <w:tcPr>
            <w:tcW w:w="690" w:type="dxa"/>
            <w:tcBorders>
              <w:top w:val="single" w:color="auto" w:sz="4" w:space="0"/>
              <w:left w:val="nil"/>
              <w:bottom w:val="single" w:color="auto" w:sz="4" w:space="0"/>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lang w:val="en-US" w:eastAsia="zh-CN"/>
              </w:rPr>
            </w:pPr>
            <w:r>
              <w:rPr>
                <w:rFonts w:hint="eastAsia" w:ascii="宋体" w:hAnsi="宋体" w:eastAsia="宋体" w:cs="宋体"/>
                <w:color w:val="auto"/>
                <w:sz w:val="21"/>
                <w:szCs w:val="21"/>
                <w:lang w:val="en-US" w:eastAsia="zh-CN"/>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shd w:val="clear" w:color="auto" w:fill="auto"/>
              </w:rPr>
            </w:pPr>
            <w:r>
              <w:rPr>
                <w:rFonts w:hint="eastAsia" w:ascii="宋体" w:hAnsi="宋体" w:eastAsia="宋体" w:cs="宋体"/>
                <w:color w:val="auto"/>
                <w:sz w:val="21"/>
                <w:szCs w:val="21"/>
                <w:shd w:val="clear" w:color="auto" w:fill="auto"/>
              </w:rPr>
              <w:t>投标</w:t>
            </w:r>
            <w:r>
              <w:rPr>
                <w:rFonts w:hint="eastAsia" w:ascii="宋体" w:hAnsi="宋体" w:eastAsia="宋体" w:cs="宋体"/>
                <w:color w:val="auto"/>
                <w:sz w:val="21"/>
                <w:szCs w:val="21"/>
                <w:shd w:val="clear" w:color="auto" w:fill="auto"/>
                <w:lang w:val="en-US" w:eastAsia="zh-CN"/>
              </w:rPr>
              <w:t>供应商</w:t>
            </w:r>
            <w:r>
              <w:rPr>
                <w:rFonts w:hint="eastAsia" w:ascii="宋体" w:hAnsi="宋体" w:eastAsia="宋体" w:cs="宋体"/>
                <w:color w:val="auto"/>
                <w:sz w:val="21"/>
                <w:szCs w:val="21"/>
                <w:shd w:val="clear" w:color="auto" w:fill="auto"/>
              </w:rPr>
              <w:t>自20</w:t>
            </w:r>
            <w:r>
              <w:rPr>
                <w:rFonts w:hint="eastAsia" w:ascii="宋体" w:hAnsi="宋体" w:eastAsia="宋体" w:cs="宋体"/>
                <w:color w:val="auto"/>
                <w:sz w:val="21"/>
                <w:szCs w:val="21"/>
                <w:shd w:val="clear" w:color="auto" w:fill="auto"/>
                <w:lang w:val="en-US" w:eastAsia="zh-CN"/>
              </w:rPr>
              <w:t>20</w:t>
            </w:r>
            <w:r>
              <w:rPr>
                <w:rFonts w:hint="eastAsia" w:ascii="宋体" w:hAnsi="宋体" w:eastAsia="宋体" w:cs="宋体"/>
                <w:color w:val="auto"/>
                <w:sz w:val="21"/>
                <w:szCs w:val="21"/>
                <w:shd w:val="clear" w:color="auto" w:fill="auto"/>
              </w:rPr>
              <w:t>年1月1日以来</w:t>
            </w:r>
            <w:r>
              <w:rPr>
                <w:rFonts w:hint="eastAsia" w:ascii="宋体" w:hAnsi="宋体" w:cs="宋体"/>
                <w:color w:val="auto"/>
                <w:sz w:val="21"/>
                <w:szCs w:val="21"/>
                <w:shd w:val="clear" w:color="auto" w:fill="auto"/>
                <w:lang w:eastAsia="zh-CN"/>
              </w:rPr>
              <w:t>，</w:t>
            </w:r>
            <w:r>
              <w:rPr>
                <w:rFonts w:hint="eastAsia" w:ascii="宋体" w:hAnsi="宋体" w:cs="宋体"/>
                <w:color w:val="auto"/>
                <w:sz w:val="21"/>
                <w:szCs w:val="21"/>
                <w:shd w:val="clear" w:color="auto" w:fill="auto"/>
                <w:lang w:val="en-US" w:eastAsia="zh-CN"/>
              </w:rPr>
              <w:t>承接过</w:t>
            </w:r>
            <w:r>
              <w:rPr>
                <w:rFonts w:hint="eastAsia" w:ascii="宋体" w:hAnsi="宋体" w:eastAsia="宋体" w:cs="宋体"/>
                <w:color w:val="auto"/>
                <w:sz w:val="21"/>
                <w:szCs w:val="21"/>
                <w:shd w:val="clear" w:color="auto" w:fill="auto"/>
              </w:rPr>
              <w:t>厨房设备业绩</w:t>
            </w:r>
            <w:r>
              <w:rPr>
                <w:rFonts w:hint="eastAsia" w:ascii="宋体" w:hAnsi="宋体" w:cs="宋体"/>
                <w:color w:val="auto"/>
                <w:sz w:val="21"/>
                <w:szCs w:val="21"/>
                <w:shd w:val="clear" w:color="auto" w:fill="auto"/>
                <w:lang w:eastAsia="zh-CN"/>
              </w:rPr>
              <w:t>的，</w:t>
            </w:r>
            <w:r>
              <w:rPr>
                <w:rFonts w:hint="eastAsia" w:ascii="宋体" w:hAnsi="宋体" w:eastAsia="宋体" w:cs="宋体"/>
                <w:color w:val="auto"/>
                <w:sz w:val="21"/>
                <w:szCs w:val="21"/>
                <w:shd w:val="clear" w:color="auto" w:fill="auto"/>
              </w:rPr>
              <w:t>每提供一个得</w:t>
            </w:r>
            <w:r>
              <w:rPr>
                <w:rFonts w:hint="eastAsia" w:ascii="宋体" w:hAnsi="宋体" w:eastAsia="宋体" w:cs="宋体"/>
                <w:color w:val="auto"/>
                <w:sz w:val="21"/>
                <w:szCs w:val="21"/>
                <w:shd w:val="clear" w:color="auto" w:fill="auto"/>
                <w:lang w:val="en-US" w:eastAsia="zh-CN"/>
              </w:rPr>
              <w:t>1</w:t>
            </w:r>
            <w:r>
              <w:rPr>
                <w:rFonts w:hint="eastAsia" w:ascii="宋体" w:hAnsi="宋体" w:eastAsia="宋体" w:cs="宋体"/>
                <w:color w:val="auto"/>
                <w:sz w:val="21"/>
                <w:szCs w:val="21"/>
                <w:shd w:val="clear" w:color="auto" w:fill="auto"/>
              </w:rPr>
              <w:t>分,最多得</w:t>
            </w:r>
            <w:r>
              <w:rPr>
                <w:rFonts w:hint="eastAsia" w:ascii="宋体" w:hAnsi="宋体" w:eastAsia="宋体" w:cs="宋体"/>
                <w:color w:val="auto"/>
                <w:sz w:val="21"/>
                <w:szCs w:val="21"/>
                <w:shd w:val="clear" w:color="auto" w:fill="auto"/>
                <w:lang w:val="en-US" w:eastAsia="zh-CN"/>
              </w:rPr>
              <w:t>3</w:t>
            </w:r>
            <w:r>
              <w:rPr>
                <w:rFonts w:hint="eastAsia" w:ascii="宋体" w:hAnsi="宋体" w:eastAsia="宋体" w:cs="宋体"/>
                <w:color w:val="auto"/>
                <w:sz w:val="21"/>
                <w:szCs w:val="21"/>
                <w:shd w:val="clear" w:color="auto" w:fill="auto"/>
              </w:rPr>
              <w:t>分。</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rPr>
              <w:t>注：</w:t>
            </w:r>
            <w:r>
              <w:rPr>
                <w:rFonts w:hint="eastAsia" w:ascii="宋体" w:hAnsi="宋体" w:cs="宋体"/>
                <w:color w:val="auto"/>
                <w:sz w:val="21"/>
                <w:szCs w:val="21"/>
                <w:shd w:val="clear" w:color="auto" w:fill="auto"/>
                <w:lang w:val="en-US" w:eastAsia="zh-CN"/>
              </w:rPr>
              <w:t>投标文件中</w:t>
            </w:r>
            <w:r>
              <w:rPr>
                <w:rFonts w:hint="eastAsia" w:ascii="宋体" w:hAnsi="宋体" w:eastAsia="宋体" w:cs="宋体"/>
                <w:color w:val="auto"/>
                <w:sz w:val="21"/>
                <w:szCs w:val="21"/>
                <w:shd w:val="clear" w:color="auto" w:fill="auto"/>
              </w:rPr>
              <w:t>需提供合同和中标通知书复印件</w:t>
            </w:r>
            <w:r>
              <w:rPr>
                <w:rFonts w:hint="eastAsia" w:ascii="宋体" w:hAnsi="宋体" w:cs="宋体"/>
                <w:color w:val="auto"/>
                <w:sz w:val="21"/>
                <w:szCs w:val="21"/>
                <w:shd w:val="clear" w:color="auto" w:fill="auto"/>
                <w:lang w:eastAsia="zh-CN"/>
              </w:rPr>
              <w:t>，</w:t>
            </w:r>
            <w:r>
              <w:rPr>
                <w:rFonts w:hint="eastAsia" w:ascii="宋体" w:hAnsi="宋体" w:eastAsia="宋体" w:cs="宋体"/>
                <w:color w:val="auto"/>
                <w:sz w:val="21"/>
                <w:szCs w:val="21"/>
                <w:shd w:val="clear" w:color="auto" w:fill="auto"/>
              </w:rPr>
              <w:t>两者缺一不得分</w:t>
            </w:r>
            <w:r>
              <w:rPr>
                <w:rFonts w:hint="eastAsia" w:ascii="宋体" w:hAnsi="宋体" w:cs="宋体"/>
                <w:color w:val="auto"/>
                <w:sz w:val="21"/>
                <w:szCs w:val="21"/>
                <w:shd w:val="clear" w:color="auto" w:fill="auto"/>
                <w:lang w:eastAsia="zh-CN"/>
              </w:rPr>
              <w:t>。</w:t>
            </w:r>
          </w:p>
        </w:tc>
        <w:tc>
          <w:tcPr>
            <w:tcW w:w="690" w:type="dxa"/>
            <w:tcBorders>
              <w:top w:val="single" w:color="auto" w:sz="4" w:space="0"/>
              <w:left w:val="nil"/>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7"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根据投标</w:t>
            </w:r>
            <w:r>
              <w:rPr>
                <w:rFonts w:hint="eastAsia" w:ascii="宋体" w:hAnsi="宋体" w:eastAsia="宋体" w:cs="宋体"/>
                <w:color w:val="auto"/>
                <w:sz w:val="21"/>
                <w:szCs w:val="21"/>
                <w:shd w:val="clear" w:color="auto" w:fill="auto"/>
                <w:lang w:val="en-US" w:eastAsia="zh-CN"/>
              </w:rPr>
              <w:t>供应商</w:t>
            </w:r>
            <w:r>
              <w:rPr>
                <w:rFonts w:hint="eastAsia" w:ascii="宋体" w:hAnsi="宋体" w:eastAsia="宋体" w:cs="宋体"/>
                <w:color w:val="auto"/>
                <w:sz w:val="21"/>
                <w:szCs w:val="21"/>
                <w:shd w:val="clear" w:color="auto" w:fill="auto"/>
                <w:lang w:eastAsia="zh-CN"/>
              </w:rPr>
              <w:t>的产品生产工艺描述等进行综合评议：</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工艺标准完善、工艺先进，内容完整、充实的，得3-2.1分；工艺标准基本完善、工艺较先进，内容完整但有所欠缺的，得2-1.1分；工艺标准基本完善、工艺一般、且内容不完整的，得1-0.1分；未提供相关内容的不得分。</w:t>
            </w:r>
          </w:p>
        </w:tc>
        <w:tc>
          <w:tcPr>
            <w:tcW w:w="690" w:type="dxa"/>
            <w:tcBorders>
              <w:top w:val="single" w:color="auto" w:sz="4" w:space="0"/>
              <w:left w:val="nil"/>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7"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根据投标供应商的项目实施计划、进度安排、质量控制及保障措施进行综合评议：</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实施计划、进度安排、质量保障措施详细合理，各项保障措施齐全，完全满足采购人需求的，得3-2.1分；实施计划、进度安排、质量保障措施完整，各项保障措施齐全，基本能满足采购人需求的，得2-1.1分；实施计划、进度安排、质量保障措施有所欠缺，各项保障措施内容阐述不清，内容片面的，得1-0.1分；未提供相关内容的不得分。</w:t>
            </w:r>
          </w:p>
        </w:tc>
        <w:tc>
          <w:tcPr>
            <w:tcW w:w="690" w:type="dxa"/>
            <w:tcBorders>
              <w:top w:val="single" w:color="auto" w:sz="4" w:space="0"/>
              <w:left w:val="nil"/>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7"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根据投标供应商的各系统检测、验收、</w:t>
            </w:r>
            <w:r>
              <w:rPr>
                <w:rFonts w:hint="eastAsia" w:ascii="宋体" w:hAnsi="宋体" w:eastAsia="宋体" w:cs="宋体"/>
                <w:color w:val="auto"/>
                <w:sz w:val="21"/>
                <w:szCs w:val="21"/>
                <w:shd w:val="clear" w:color="auto" w:fill="auto"/>
                <w:lang w:val="en-US" w:eastAsia="zh-CN"/>
              </w:rPr>
              <w:t>调试</w:t>
            </w:r>
            <w:r>
              <w:rPr>
                <w:rFonts w:hint="eastAsia" w:ascii="宋体" w:hAnsi="宋体" w:eastAsia="宋体" w:cs="宋体"/>
                <w:color w:val="auto"/>
                <w:sz w:val="21"/>
                <w:szCs w:val="21"/>
                <w:shd w:val="clear" w:color="auto" w:fill="auto"/>
                <w:lang w:eastAsia="zh-CN"/>
              </w:rPr>
              <w:t>方案进行综合评议：</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方案可行性强，检测、验收内容完整，方法先进的得3</w:t>
            </w:r>
            <w:r>
              <w:rPr>
                <w:rFonts w:hint="eastAsia" w:ascii="宋体" w:hAnsi="宋体" w:eastAsia="宋体" w:cs="宋体"/>
                <w:color w:val="auto"/>
                <w:sz w:val="21"/>
                <w:szCs w:val="21"/>
                <w:shd w:val="clear" w:color="auto" w:fill="auto"/>
                <w:lang w:val="en-US" w:eastAsia="zh-CN"/>
              </w:rPr>
              <w:t>-</w:t>
            </w:r>
            <w:r>
              <w:rPr>
                <w:rFonts w:hint="eastAsia" w:ascii="宋体" w:hAnsi="宋体" w:eastAsia="宋体" w:cs="宋体"/>
                <w:color w:val="auto"/>
                <w:sz w:val="21"/>
                <w:szCs w:val="21"/>
                <w:shd w:val="clear" w:color="auto" w:fill="auto"/>
                <w:lang w:eastAsia="zh-CN"/>
              </w:rPr>
              <w:t>2</w:t>
            </w:r>
            <w:r>
              <w:rPr>
                <w:rFonts w:hint="eastAsia" w:ascii="宋体" w:hAnsi="宋体" w:eastAsia="宋体" w:cs="宋体"/>
                <w:color w:val="auto"/>
                <w:sz w:val="21"/>
                <w:szCs w:val="21"/>
                <w:shd w:val="clear" w:color="auto" w:fill="auto"/>
                <w:lang w:val="en-US" w:eastAsia="zh-CN"/>
              </w:rPr>
              <w:t>.1</w:t>
            </w:r>
            <w:r>
              <w:rPr>
                <w:rFonts w:hint="eastAsia" w:ascii="宋体" w:hAnsi="宋体" w:eastAsia="宋体" w:cs="宋体"/>
                <w:color w:val="auto"/>
                <w:sz w:val="21"/>
                <w:szCs w:val="21"/>
                <w:shd w:val="clear" w:color="auto" w:fill="auto"/>
                <w:lang w:eastAsia="zh-CN"/>
              </w:rPr>
              <w:t>分；方案可行性较强，检测、验收内容较完整，方法较先进的得</w:t>
            </w:r>
            <w:r>
              <w:rPr>
                <w:rFonts w:hint="eastAsia" w:ascii="宋体" w:hAnsi="宋体" w:eastAsia="宋体" w:cs="宋体"/>
                <w:color w:val="auto"/>
                <w:sz w:val="21"/>
                <w:szCs w:val="21"/>
                <w:shd w:val="clear" w:color="auto" w:fill="auto"/>
                <w:lang w:val="en-US" w:eastAsia="zh-CN"/>
              </w:rPr>
              <w:t>2-1.1</w:t>
            </w:r>
            <w:r>
              <w:rPr>
                <w:rFonts w:hint="eastAsia" w:ascii="宋体" w:hAnsi="宋体" w:eastAsia="宋体" w:cs="宋体"/>
                <w:color w:val="auto"/>
                <w:sz w:val="21"/>
                <w:szCs w:val="21"/>
                <w:shd w:val="clear" w:color="auto" w:fill="auto"/>
                <w:lang w:eastAsia="zh-CN"/>
              </w:rPr>
              <w:t>分；方案可行性低，检测、验收内容单一，方法存在缺陷的得1-0.1分；未提供相关内容的不得分。</w:t>
            </w:r>
          </w:p>
        </w:tc>
        <w:tc>
          <w:tcPr>
            <w:tcW w:w="690" w:type="dxa"/>
            <w:tcBorders>
              <w:top w:val="single" w:color="auto" w:sz="4" w:space="0"/>
              <w:left w:val="nil"/>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34"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val="en-US" w:eastAsia="zh-CN"/>
              </w:rPr>
              <w:t>根据</w:t>
            </w:r>
            <w:r>
              <w:rPr>
                <w:rFonts w:hint="eastAsia" w:ascii="宋体" w:hAnsi="宋体" w:eastAsia="宋体" w:cs="宋体"/>
                <w:color w:val="auto"/>
                <w:sz w:val="21"/>
                <w:szCs w:val="21"/>
                <w:shd w:val="clear" w:color="auto" w:fill="auto"/>
                <w:lang w:eastAsia="zh-CN"/>
              </w:rPr>
              <w:t>投标</w:t>
            </w:r>
            <w:r>
              <w:rPr>
                <w:rFonts w:hint="eastAsia" w:ascii="宋体" w:hAnsi="宋体" w:eastAsia="宋体" w:cs="宋体"/>
                <w:color w:val="auto"/>
                <w:sz w:val="21"/>
                <w:szCs w:val="21"/>
                <w:shd w:val="clear" w:color="auto" w:fill="auto"/>
                <w:lang w:val="en-US" w:eastAsia="zh-CN"/>
              </w:rPr>
              <w:t>供应商</w:t>
            </w:r>
            <w:r>
              <w:rPr>
                <w:rFonts w:hint="eastAsia" w:ascii="宋体" w:hAnsi="宋体" w:eastAsia="宋体" w:cs="宋体"/>
                <w:color w:val="auto"/>
                <w:sz w:val="21"/>
                <w:szCs w:val="21"/>
                <w:shd w:val="clear" w:color="auto" w:fill="auto"/>
                <w:lang w:eastAsia="zh-CN"/>
              </w:rPr>
              <w:t>针对本项目</w:t>
            </w:r>
            <w:r>
              <w:rPr>
                <w:rFonts w:hint="eastAsia" w:ascii="宋体" w:hAnsi="宋体" w:eastAsia="宋体" w:cs="宋体"/>
                <w:color w:val="auto"/>
                <w:sz w:val="21"/>
                <w:szCs w:val="21"/>
                <w:shd w:val="clear" w:color="auto" w:fill="auto"/>
                <w:lang w:val="en-US" w:eastAsia="zh-CN"/>
              </w:rPr>
              <w:t>设备的</w:t>
            </w:r>
            <w:r>
              <w:rPr>
                <w:rFonts w:hint="eastAsia" w:ascii="宋体" w:hAnsi="宋体" w:eastAsia="宋体" w:cs="宋体"/>
                <w:color w:val="auto"/>
                <w:sz w:val="21"/>
                <w:szCs w:val="21"/>
                <w:shd w:val="clear" w:color="auto" w:fill="auto"/>
                <w:lang w:eastAsia="zh-CN"/>
              </w:rPr>
              <w:t>培训计划</w:t>
            </w:r>
            <w:r>
              <w:rPr>
                <w:rFonts w:hint="eastAsia" w:ascii="宋体" w:hAnsi="宋体" w:eastAsia="宋体" w:cs="宋体"/>
                <w:color w:val="auto"/>
                <w:sz w:val="21"/>
                <w:szCs w:val="21"/>
                <w:shd w:val="clear" w:color="auto" w:fill="auto"/>
                <w:lang w:val="en-US" w:eastAsia="zh-CN"/>
              </w:rPr>
              <w:t>和</w:t>
            </w:r>
            <w:r>
              <w:rPr>
                <w:rFonts w:hint="eastAsia" w:ascii="宋体" w:hAnsi="宋体" w:eastAsia="宋体" w:cs="宋体"/>
                <w:color w:val="auto"/>
                <w:sz w:val="21"/>
                <w:szCs w:val="21"/>
                <w:shd w:val="clear" w:color="auto" w:fill="auto"/>
                <w:lang w:eastAsia="zh-CN"/>
              </w:rPr>
              <w:t>方案（包括培训流程、培训方式、培训对象、培训内容、培训日程等）进行综合评议：</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方案合理可行，针对性强的得3分；方案略有欠缺或不到位的得2分；</w:t>
            </w:r>
            <w:r>
              <w:rPr>
                <w:rFonts w:hint="eastAsia" w:ascii="宋体" w:hAnsi="宋体" w:eastAsia="宋体" w:cs="宋体"/>
                <w:color w:val="auto"/>
                <w:sz w:val="21"/>
                <w:szCs w:val="21"/>
                <w:shd w:val="clear" w:color="auto" w:fill="auto"/>
                <w:lang w:val="en-US" w:eastAsia="zh-CN"/>
              </w:rPr>
              <w:t>方案无实质性针对性内容</w:t>
            </w:r>
            <w:r>
              <w:rPr>
                <w:rFonts w:hint="eastAsia" w:ascii="宋体" w:hAnsi="宋体" w:eastAsia="宋体" w:cs="宋体"/>
                <w:color w:val="auto"/>
                <w:sz w:val="21"/>
                <w:szCs w:val="21"/>
                <w:shd w:val="clear" w:color="auto" w:fill="auto"/>
                <w:lang w:eastAsia="zh-CN"/>
              </w:rPr>
              <w:t>的得1</w:t>
            </w:r>
            <w:r>
              <w:rPr>
                <w:rFonts w:hint="eastAsia" w:ascii="宋体" w:hAnsi="宋体" w:eastAsia="宋体" w:cs="宋体"/>
                <w:color w:val="auto"/>
                <w:sz w:val="21"/>
                <w:szCs w:val="21"/>
                <w:shd w:val="clear" w:color="auto" w:fill="auto"/>
                <w:lang w:val="en-US" w:eastAsia="zh-CN"/>
              </w:rPr>
              <w:t>-0.1</w:t>
            </w:r>
            <w:r>
              <w:rPr>
                <w:rFonts w:hint="eastAsia" w:ascii="宋体" w:hAnsi="宋体" w:eastAsia="宋体" w:cs="宋体"/>
                <w:color w:val="auto"/>
                <w:sz w:val="21"/>
                <w:szCs w:val="21"/>
                <w:shd w:val="clear" w:color="auto" w:fill="auto"/>
                <w:lang w:eastAsia="zh-CN"/>
              </w:rPr>
              <w:t>分；未提供相关内容的不得分。</w:t>
            </w:r>
          </w:p>
        </w:tc>
        <w:tc>
          <w:tcPr>
            <w:tcW w:w="690" w:type="dxa"/>
            <w:tcBorders>
              <w:top w:val="single" w:color="auto" w:sz="4" w:space="0"/>
              <w:left w:val="nil"/>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7"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val="en-US" w:eastAsia="zh-CN"/>
              </w:rPr>
              <w:t>根据投标供应商</w:t>
            </w:r>
            <w:r>
              <w:rPr>
                <w:rFonts w:hint="eastAsia" w:ascii="宋体" w:hAnsi="宋体" w:eastAsia="宋体" w:cs="宋体"/>
                <w:color w:val="auto"/>
                <w:sz w:val="21"/>
                <w:szCs w:val="21"/>
                <w:shd w:val="clear" w:color="auto" w:fill="auto"/>
                <w:lang w:eastAsia="zh-CN"/>
              </w:rPr>
              <w:t>针对本项目的</w:t>
            </w:r>
            <w:r>
              <w:rPr>
                <w:rFonts w:hint="eastAsia" w:ascii="宋体" w:hAnsi="宋体" w:eastAsia="宋体" w:cs="宋体"/>
                <w:color w:val="auto"/>
                <w:sz w:val="21"/>
                <w:szCs w:val="21"/>
                <w:shd w:val="clear" w:color="auto" w:fill="auto"/>
                <w:lang w:val="en-US" w:eastAsia="zh-CN"/>
              </w:rPr>
              <w:t>售后服务方案</w:t>
            </w:r>
            <w:r>
              <w:rPr>
                <w:rFonts w:hint="eastAsia" w:ascii="宋体" w:hAnsi="宋体" w:eastAsia="宋体" w:cs="宋体"/>
                <w:color w:val="auto"/>
                <w:sz w:val="21"/>
                <w:szCs w:val="21"/>
                <w:shd w:val="clear" w:color="auto" w:fill="auto"/>
                <w:lang w:eastAsia="zh-CN"/>
              </w:rPr>
              <w:t>进行综合评议：</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售后服务方案内容完整，细节到位，可行性强能为采购人提供优质的售后服务的，得3-2.1分；售后服务方案内容有所欠缺，可行性一般的，得2-1.1分；售后服务方案内容漏洞较多，可行性不高的，得1-0.1分；未提供相关内容的不得分。</w:t>
            </w:r>
          </w:p>
        </w:tc>
        <w:tc>
          <w:tcPr>
            <w:tcW w:w="690" w:type="dxa"/>
            <w:tcBorders>
              <w:top w:val="single" w:color="auto" w:sz="4" w:space="0"/>
              <w:left w:val="nil"/>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9"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根据投标</w:t>
            </w:r>
            <w:r>
              <w:rPr>
                <w:rFonts w:hint="eastAsia" w:ascii="宋体" w:hAnsi="宋体" w:eastAsia="宋体" w:cs="宋体"/>
                <w:color w:val="auto"/>
                <w:sz w:val="21"/>
                <w:szCs w:val="21"/>
                <w:shd w:val="clear" w:color="auto" w:fill="auto"/>
                <w:lang w:val="en-US" w:eastAsia="zh-CN"/>
              </w:rPr>
              <w:t>供应商</w:t>
            </w:r>
            <w:r>
              <w:rPr>
                <w:rFonts w:hint="eastAsia" w:ascii="宋体" w:hAnsi="宋体" w:eastAsia="宋体" w:cs="宋体"/>
                <w:color w:val="auto"/>
                <w:sz w:val="21"/>
                <w:szCs w:val="21"/>
                <w:shd w:val="clear" w:color="auto" w:fill="auto"/>
                <w:lang w:eastAsia="zh-CN"/>
              </w:rPr>
              <w:t>提供的应急方案的便捷性、响应及时性进行综合评议：</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color w:val="auto"/>
                <w:sz w:val="21"/>
                <w:szCs w:val="21"/>
                <w:shd w:val="clear" w:color="auto" w:fill="auto"/>
                <w:lang w:eastAsia="zh-CN"/>
              </w:rPr>
            </w:pPr>
            <w:r>
              <w:rPr>
                <w:rFonts w:hint="eastAsia" w:ascii="宋体" w:hAnsi="宋体" w:eastAsia="宋体" w:cs="宋体"/>
                <w:color w:val="auto"/>
                <w:sz w:val="21"/>
                <w:szCs w:val="21"/>
                <w:shd w:val="clear" w:color="auto" w:fill="auto"/>
                <w:lang w:eastAsia="zh-CN"/>
              </w:rPr>
              <w:t>方案合理有效，服务点便捷，响应及时的，得3-2</w:t>
            </w:r>
            <w:r>
              <w:rPr>
                <w:rFonts w:hint="eastAsia" w:ascii="宋体" w:hAnsi="宋体" w:eastAsia="宋体" w:cs="宋体"/>
                <w:color w:val="auto"/>
                <w:sz w:val="21"/>
                <w:szCs w:val="21"/>
                <w:shd w:val="clear" w:color="auto" w:fill="auto"/>
                <w:lang w:val="en-US" w:eastAsia="zh-CN"/>
              </w:rPr>
              <w:t>.1</w:t>
            </w:r>
            <w:r>
              <w:rPr>
                <w:rFonts w:hint="eastAsia" w:ascii="宋体" w:hAnsi="宋体" w:eastAsia="宋体" w:cs="宋体"/>
                <w:color w:val="auto"/>
                <w:sz w:val="21"/>
                <w:szCs w:val="21"/>
                <w:shd w:val="clear" w:color="auto" w:fill="auto"/>
                <w:lang w:eastAsia="zh-CN"/>
              </w:rPr>
              <w:t>分；方案较合理有效，服务点较便利，响应较及时的，得</w:t>
            </w:r>
            <w:r>
              <w:rPr>
                <w:rFonts w:hint="eastAsia" w:ascii="宋体" w:hAnsi="宋体" w:eastAsia="宋体" w:cs="宋体"/>
                <w:color w:val="auto"/>
                <w:sz w:val="21"/>
                <w:szCs w:val="21"/>
                <w:shd w:val="clear" w:color="auto" w:fill="auto"/>
                <w:lang w:val="en-US" w:eastAsia="zh-CN"/>
              </w:rPr>
              <w:t>2</w:t>
            </w:r>
            <w:r>
              <w:rPr>
                <w:rFonts w:hint="eastAsia" w:ascii="宋体" w:hAnsi="宋体" w:eastAsia="宋体" w:cs="宋体"/>
                <w:color w:val="auto"/>
                <w:sz w:val="21"/>
                <w:szCs w:val="21"/>
                <w:shd w:val="clear" w:color="auto" w:fill="auto"/>
                <w:lang w:eastAsia="zh-CN"/>
              </w:rPr>
              <w:t>-1</w:t>
            </w:r>
            <w:r>
              <w:rPr>
                <w:rFonts w:hint="eastAsia" w:ascii="宋体" w:hAnsi="宋体" w:eastAsia="宋体" w:cs="宋体"/>
                <w:color w:val="auto"/>
                <w:sz w:val="21"/>
                <w:szCs w:val="21"/>
                <w:shd w:val="clear" w:color="auto" w:fill="auto"/>
                <w:lang w:val="en-US" w:eastAsia="zh-CN"/>
              </w:rPr>
              <w:t>.1</w:t>
            </w:r>
            <w:r>
              <w:rPr>
                <w:rFonts w:hint="eastAsia" w:ascii="宋体" w:hAnsi="宋体" w:eastAsia="宋体" w:cs="宋体"/>
                <w:color w:val="auto"/>
                <w:sz w:val="21"/>
                <w:szCs w:val="21"/>
                <w:shd w:val="clear" w:color="auto" w:fill="auto"/>
                <w:lang w:eastAsia="zh-CN"/>
              </w:rPr>
              <w:t>分；方案一般，服务点一般，响应时间一般，得</w:t>
            </w:r>
            <w:r>
              <w:rPr>
                <w:rFonts w:hint="eastAsia" w:ascii="宋体" w:hAnsi="宋体" w:eastAsia="宋体" w:cs="宋体"/>
                <w:color w:val="auto"/>
                <w:sz w:val="21"/>
                <w:szCs w:val="21"/>
                <w:shd w:val="clear" w:color="auto" w:fill="auto"/>
                <w:lang w:val="en-US" w:eastAsia="zh-CN"/>
              </w:rPr>
              <w:t>1</w:t>
            </w:r>
            <w:r>
              <w:rPr>
                <w:rFonts w:hint="eastAsia" w:ascii="宋体" w:hAnsi="宋体" w:eastAsia="宋体" w:cs="宋体"/>
                <w:color w:val="auto"/>
                <w:sz w:val="21"/>
                <w:szCs w:val="21"/>
                <w:shd w:val="clear" w:color="auto" w:fill="auto"/>
                <w:lang w:eastAsia="zh-CN"/>
              </w:rPr>
              <w:t>-0</w:t>
            </w:r>
            <w:r>
              <w:rPr>
                <w:rFonts w:hint="eastAsia" w:ascii="宋体" w:hAnsi="宋体" w:eastAsia="宋体" w:cs="宋体"/>
                <w:color w:val="auto"/>
                <w:sz w:val="21"/>
                <w:szCs w:val="21"/>
                <w:shd w:val="clear" w:color="auto" w:fill="auto"/>
                <w:lang w:val="en-US" w:eastAsia="zh-CN"/>
              </w:rPr>
              <w:t>.1</w:t>
            </w:r>
            <w:r>
              <w:rPr>
                <w:rFonts w:hint="eastAsia" w:ascii="宋体" w:hAnsi="宋体" w:eastAsia="宋体" w:cs="宋体"/>
                <w:color w:val="auto"/>
                <w:sz w:val="21"/>
                <w:szCs w:val="21"/>
                <w:shd w:val="clear" w:color="auto" w:fill="auto"/>
                <w:lang w:eastAsia="zh-CN"/>
              </w:rPr>
              <w:t>分；未提供相关内容的不得分。</w:t>
            </w:r>
          </w:p>
        </w:tc>
        <w:tc>
          <w:tcPr>
            <w:tcW w:w="690" w:type="dxa"/>
            <w:tcBorders>
              <w:top w:val="single" w:color="auto" w:sz="4" w:space="0"/>
              <w:left w:val="nil"/>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8"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color w:val="auto"/>
                <w:kern w:val="2"/>
                <w:sz w:val="21"/>
                <w:szCs w:val="21"/>
                <w:lang w:eastAsia="zh-CN"/>
              </w:rPr>
            </w:pPr>
            <w:r>
              <w:rPr>
                <w:rFonts w:hint="eastAsia" w:ascii="宋体" w:hAnsi="宋体" w:eastAsia="宋体" w:cs="宋体"/>
                <w:color w:val="auto"/>
                <w:kern w:val="2"/>
                <w:sz w:val="21"/>
                <w:szCs w:val="21"/>
                <w:lang w:eastAsia="zh-CN"/>
              </w:rPr>
              <w:t>供应商提供投标的四门双温冰箱、即开式电热开水器连底座有效期内的食品接触品安全(CQC)认证证书的，每提供1种货物得1分，最高得2分。</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default" w:ascii="宋体" w:hAnsi="宋体" w:eastAsia="宋体" w:cs="宋体"/>
                <w:color w:val="auto"/>
                <w:kern w:val="2"/>
                <w:sz w:val="21"/>
                <w:szCs w:val="21"/>
                <w:lang w:val="en-US" w:eastAsia="zh-CN"/>
              </w:rPr>
            </w:pPr>
            <w:r>
              <w:rPr>
                <w:rFonts w:hint="eastAsia" w:ascii="宋体" w:hAnsi="宋体" w:cs="宋体"/>
                <w:color w:val="auto"/>
                <w:kern w:val="2"/>
                <w:sz w:val="21"/>
                <w:szCs w:val="21"/>
                <w:lang w:val="en-US" w:eastAsia="zh-CN"/>
              </w:rPr>
              <w:t>注：</w:t>
            </w:r>
            <w:r>
              <w:rPr>
                <w:rFonts w:hint="eastAsia" w:ascii="宋体" w:hAnsi="宋体" w:eastAsia="宋体" w:cs="宋体"/>
                <w:color w:val="auto"/>
                <w:kern w:val="2"/>
                <w:sz w:val="21"/>
                <w:szCs w:val="21"/>
                <w:lang w:eastAsia="zh-CN"/>
              </w:rPr>
              <w:t>投标文件中</w:t>
            </w:r>
            <w:r>
              <w:rPr>
                <w:rFonts w:hint="eastAsia" w:ascii="宋体" w:hAnsi="宋体" w:cs="宋体"/>
                <w:color w:val="auto"/>
                <w:kern w:val="2"/>
                <w:sz w:val="21"/>
                <w:szCs w:val="21"/>
                <w:lang w:val="en-US" w:eastAsia="zh-CN"/>
              </w:rPr>
              <w:t>须</w:t>
            </w:r>
            <w:r>
              <w:rPr>
                <w:rFonts w:hint="eastAsia" w:ascii="宋体" w:hAnsi="宋体" w:eastAsia="宋体" w:cs="宋体"/>
                <w:color w:val="auto"/>
                <w:kern w:val="2"/>
                <w:sz w:val="21"/>
                <w:szCs w:val="21"/>
                <w:lang w:eastAsia="zh-CN"/>
              </w:rPr>
              <w:t>提供证书复印件加盖供应商公章</w:t>
            </w:r>
            <w:r>
              <w:rPr>
                <w:rFonts w:hint="eastAsia" w:ascii="宋体" w:hAnsi="宋体" w:cs="宋体"/>
                <w:color w:val="auto"/>
                <w:kern w:val="2"/>
                <w:sz w:val="21"/>
                <w:szCs w:val="21"/>
                <w:lang w:eastAsia="zh-CN"/>
              </w:rPr>
              <w:t>，</w:t>
            </w:r>
            <w:r>
              <w:rPr>
                <w:rFonts w:hint="eastAsia" w:ascii="宋体" w:hAnsi="宋体" w:cs="宋体"/>
                <w:color w:val="auto"/>
                <w:kern w:val="2"/>
                <w:sz w:val="21"/>
                <w:szCs w:val="21"/>
                <w:lang w:val="en-US" w:eastAsia="zh-CN"/>
              </w:rPr>
              <w:t>未提供不得分。</w:t>
            </w:r>
          </w:p>
        </w:tc>
        <w:tc>
          <w:tcPr>
            <w:tcW w:w="690" w:type="dxa"/>
            <w:tcBorders>
              <w:top w:val="single" w:color="auto" w:sz="4" w:space="0"/>
              <w:left w:val="nil"/>
              <w:bottom w:val="single" w:color="auto" w:sz="4" w:space="0"/>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8" w:hRule="atLeast"/>
        </w:trPr>
        <w:tc>
          <w:tcPr>
            <w:tcW w:w="672" w:type="dxa"/>
            <w:vMerge w:val="continue"/>
            <w:tcBorders>
              <w:left w:val="double" w:color="auto" w:sz="2"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eastAsia" w:ascii="宋体" w:hAnsi="宋体" w:eastAsia="宋体" w:cs="宋体"/>
                <w:sz w:val="21"/>
                <w:szCs w:val="21"/>
              </w:rPr>
            </w:pPr>
          </w:p>
        </w:tc>
        <w:tc>
          <w:tcPr>
            <w:tcW w:w="826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cs="宋体"/>
                <w:color w:val="auto"/>
                <w:kern w:val="2"/>
                <w:sz w:val="21"/>
                <w:szCs w:val="21"/>
                <w:lang w:val="en-US" w:eastAsia="zh-CN"/>
              </w:rPr>
            </w:pPr>
            <w:r>
              <w:rPr>
                <w:rFonts w:hint="eastAsia" w:ascii="宋体" w:hAnsi="宋体" w:cs="宋体"/>
                <w:color w:val="auto"/>
                <w:kern w:val="2"/>
                <w:sz w:val="21"/>
                <w:szCs w:val="21"/>
                <w:lang w:val="en-US" w:eastAsia="zh-CN"/>
              </w:rPr>
              <w:t>政策分（1分）：</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cs="宋体"/>
                <w:color w:val="auto"/>
                <w:kern w:val="2"/>
                <w:sz w:val="21"/>
                <w:szCs w:val="21"/>
                <w:lang w:val="en-US" w:eastAsia="zh-CN"/>
              </w:rPr>
            </w:pPr>
            <w:r>
              <w:rPr>
                <w:rFonts w:hint="eastAsia" w:ascii="宋体" w:hAnsi="宋体" w:cs="宋体"/>
                <w:color w:val="auto"/>
                <w:kern w:val="2"/>
                <w:sz w:val="21"/>
                <w:szCs w:val="21"/>
                <w:lang w:val="en-US" w:eastAsia="zh-CN"/>
              </w:rPr>
              <w:t>1、任意一项投标所使用产品属于《节能产品政府采购品目清单》范围的且具有国家确定的认证机构出具的、处于有效期之内的节能产品认证证书的得0.5分；</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cs="宋体"/>
                <w:color w:val="auto"/>
                <w:kern w:val="2"/>
                <w:sz w:val="21"/>
                <w:szCs w:val="21"/>
                <w:lang w:val="en-US" w:eastAsia="zh-CN"/>
              </w:rPr>
            </w:pPr>
            <w:r>
              <w:rPr>
                <w:rFonts w:hint="eastAsia" w:ascii="宋体" w:hAnsi="宋体" w:cs="宋体"/>
                <w:color w:val="auto"/>
                <w:kern w:val="2"/>
                <w:sz w:val="21"/>
                <w:szCs w:val="21"/>
                <w:lang w:val="en-US" w:eastAsia="zh-CN"/>
              </w:rPr>
              <w:t>2、任意一项投标所使用产品属于《环境标志产品政府采购品目清单》范围的且具有国家确定的认证机构出具的、处于有效期之内的环境标志产品认证证书的得0.5分。</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cs="宋体"/>
                <w:color w:val="auto"/>
                <w:kern w:val="2"/>
                <w:sz w:val="21"/>
                <w:szCs w:val="21"/>
                <w:lang w:val="en-US" w:eastAsia="zh-CN"/>
              </w:rPr>
            </w:pPr>
            <w:r>
              <w:rPr>
                <w:rFonts w:hint="eastAsia" w:ascii="宋体" w:hAnsi="宋体" w:cs="宋体"/>
                <w:color w:val="auto"/>
                <w:kern w:val="2"/>
                <w:sz w:val="21"/>
                <w:szCs w:val="21"/>
                <w:lang w:val="en-US" w:eastAsia="zh-CN"/>
              </w:rPr>
              <w:t>注：投标文件中必须同时提供以下资料：</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cs="宋体"/>
                <w:color w:val="auto"/>
                <w:kern w:val="2"/>
                <w:sz w:val="21"/>
                <w:szCs w:val="21"/>
                <w:lang w:val="en-US" w:eastAsia="zh-CN"/>
              </w:rPr>
            </w:pPr>
            <w:r>
              <w:rPr>
                <w:rFonts w:hint="eastAsia" w:ascii="宋体" w:hAnsi="宋体" w:cs="宋体"/>
                <w:color w:val="auto"/>
                <w:kern w:val="2"/>
                <w:sz w:val="21"/>
                <w:szCs w:val="21"/>
                <w:lang w:val="en-US" w:eastAsia="zh-CN"/>
              </w:rPr>
              <w:t>1）提供政府采购品目清单相关内容页（并对相关内容作圈记），品目清单详见《关于印发环境标志产品政府采购品目清单的通知》（财库【2019】18号）和《关于印发节能产品政府采购品目清单的通知》（财库【2019】19号）。</w:t>
            </w:r>
          </w:p>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cs="宋体"/>
                <w:color w:val="auto"/>
                <w:kern w:val="2"/>
                <w:sz w:val="21"/>
                <w:szCs w:val="21"/>
                <w:lang w:val="en-US" w:eastAsia="zh-CN"/>
              </w:rPr>
            </w:pPr>
            <w:r>
              <w:rPr>
                <w:rFonts w:hint="eastAsia" w:ascii="宋体" w:hAnsi="宋体" w:cs="宋体"/>
                <w:color w:val="auto"/>
                <w:kern w:val="2"/>
                <w:sz w:val="21"/>
                <w:szCs w:val="21"/>
                <w:lang w:val="en-US" w:eastAsia="zh-CN"/>
              </w:rPr>
              <w:t>2）《市场监管总局关于发布参与实施政府采购节能产品、环境标志产品认证机构名录的公告》中的认证机构出具的、处于有效期之内的节能产品/环境标志产品认证证书复印件并加盖公章。</w:t>
            </w:r>
          </w:p>
        </w:tc>
        <w:tc>
          <w:tcPr>
            <w:tcW w:w="690" w:type="dxa"/>
            <w:tcBorders>
              <w:top w:val="single" w:color="auto" w:sz="4" w:space="0"/>
              <w:left w:val="nil"/>
              <w:bottom w:val="single" w:color="auto" w:sz="4" w:space="0"/>
              <w:right w:val="double" w:color="auto" w:sz="2" w:space="0"/>
            </w:tcBorders>
            <w:noWrap w:val="0"/>
            <w:vAlign w:val="center"/>
          </w:tcPr>
          <w:p>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1</w:t>
            </w:r>
          </w:p>
        </w:tc>
      </w:tr>
    </w:tbl>
    <w:p>
      <w:pPr>
        <w:widowControl/>
        <w:spacing w:line="440" w:lineRule="exact"/>
        <w:jc w:val="left"/>
        <w:rPr>
          <w:rFonts w:hint="eastAsia" w:ascii="宋体" w:hAnsi="宋体" w:eastAsia="宋体" w:cs="宋体"/>
          <w:sz w:val="21"/>
          <w:szCs w:val="21"/>
        </w:rPr>
      </w:pPr>
      <w:r>
        <w:rPr>
          <w:rFonts w:hint="eastAsia" w:ascii="Arial" w:hAnsi="Arial" w:cs="宋体"/>
          <w:bCs/>
          <w:sz w:val="21"/>
          <w:szCs w:val="21"/>
        </w:rPr>
        <w:t>注：1、小数点后保留一位数。2、各评标委员会成员自行按以上参考分值评分。3、重大事件由评标委员会集体讨论，须有三分之二或以上的评标委员会签字认可。</w:t>
      </w: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lang w:eastAsia="zh-CN"/>
        </w:rPr>
      </w:pPr>
    </w:p>
    <w:p>
      <w:pPr>
        <w:spacing w:line="440" w:lineRule="exact"/>
        <w:jc w:val="center"/>
        <w:rPr>
          <w:rFonts w:hint="eastAsia" w:ascii="宋体" w:hAnsi="宋体" w:eastAsia="宋体" w:cs="宋体"/>
          <w:b/>
          <w:bCs/>
          <w:sz w:val="21"/>
          <w:szCs w:val="21"/>
        </w:rPr>
      </w:pPr>
      <w:r>
        <w:rPr>
          <w:rFonts w:hint="eastAsia" w:ascii="宋体" w:hAnsi="宋体" w:eastAsia="宋体" w:cs="宋体"/>
          <w:b/>
          <w:bCs/>
          <w:sz w:val="21"/>
          <w:szCs w:val="21"/>
          <w:lang w:eastAsia="zh-CN"/>
        </w:rPr>
        <w:t>（四）报价</w:t>
      </w:r>
      <w:r>
        <w:rPr>
          <w:rFonts w:hint="eastAsia" w:ascii="宋体" w:hAnsi="宋体" w:eastAsia="宋体" w:cs="宋体"/>
          <w:b/>
          <w:bCs/>
          <w:sz w:val="21"/>
          <w:szCs w:val="21"/>
        </w:rPr>
        <w:t>初步审查表</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712"/>
        <w:gridCol w:w="61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20" w:type="dxa"/>
            <w:tcBorders>
              <w:top w:val="double" w:color="auto" w:sz="2" w:space="0"/>
              <w:left w:val="double" w:color="auto" w:sz="2" w:space="0"/>
              <w:bottom w:val="double" w:color="auto" w:sz="2" w:space="0"/>
              <w:right w:val="single" w:color="auto" w:sz="4" w:space="0"/>
            </w:tcBorders>
            <w:noWrap w:val="0"/>
            <w:vAlign w:val="center"/>
          </w:tcPr>
          <w:p>
            <w:pPr>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2712" w:type="dxa"/>
            <w:tcBorders>
              <w:top w:val="double" w:color="auto" w:sz="2" w:space="0"/>
              <w:left w:val="nil"/>
              <w:bottom w:val="double" w:color="auto" w:sz="2" w:space="0"/>
              <w:right w:val="single" w:color="auto" w:sz="4" w:space="0"/>
            </w:tcBorders>
            <w:noWrap w:val="0"/>
            <w:vAlign w:val="center"/>
          </w:tcPr>
          <w:p>
            <w:pPr>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审查项目</w:t>
            </w:r>
          </w:p>
        </w:tc>
        <w:tc>
          <w:tcPr>
            <w:tcW w:w="6156" w:type="dxa"/>
            <w:tcBorders>
              <w:top w:val="double" w:color="auto" w:sz="2" w:space="0"/>
              <w:left w:val="nil"/>
              <w:bottom w:val="double" w:color="auto" w:sz="2" w:space="0"/>
              <w:right w:val="double" w:color="auto" w:sz="2" w:space="0"/>
            </w:tcBorders>
            <w:noWrap w:val="0"/>
            <w:vAlign w:val="center"/>
          </w:tcPr>
          <w:p>
            <w:pPr>
              <w:spacing w:line="400" w:lineRule="exact"/>
              <w:jc w:val="center"/>
              <w:rPr>
                <w:rFonts w:hint="eastAsia" w:ascii="宋体" w:hAnsi="宋体" w:eastAsia="宋体" w:cs="宋体"/>
                <w:b/>
                <w:bCs/>
                <w:sz w:val="21"/>
                <w:szCs w:val="21"/>
              </w:rPr>
            </w:pPr>
            <w:r>
              <w:rPr>
                <w:rFonts w:hint="eastAsia" w:ascii="宋体" w:hAnsi="宋体" w:eastAsia="宋体" w:cs="宋体"/>
                <w:b/>
                <w:bCs/>
                <w:sz w:val="21"/>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720" w:type="dxa"/>
            <w:tcBorders>
              <w:top w:val="double" w:color="auto" w:sz="2"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1</w:t>
            </w:r>
          </w:p>
        </w:tc>
        <w:tc>
          <w:tcPr>
            <w:tcW w:w="2712" w:type="dxa"/>
            <w:tcBorders>
              <w:top w:val="double" w:color="auto" w:sz="2" w:space="0"/>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供应商名称</w:t>
            </w:r>
          </w:p>
        </w:tc>
        <w:tc>
          <w:tcPr>
            <w:tcW w:w="6156" w:type="dxa"/>
            <w:tcBorders>
              <w:top w:val="double" w:color="auto" w:sz="2"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与营业执照副本一致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2</w:t>
            </w:r>
          </w:p>
        </w:tc>
        <w:tc>
          <w:tcPr>
            <w:tcW w:w="2712" w:type="dxa"/>
            <w:tcBorders>
              <w:top w:val="single" w:color="auto" w:sz="4" w:space="0"/>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投标报价</w:t>
            </w:r>
          </w:p>
        </w:tc>
        <w:tc>
          <w:tcPr>
            <w:tcW w:w="6156" w:type="dxa"/>
            <w:tcBorders>
              <w:top w:val="single" w:color="auto" w:sz="4" w:space="0"/>
              <w:left w:val="nil"/>
              <w:bottom w:val="single" w:color="auto" w:sz="4" w:space="0"/>
              <w:right w:val="double" w:color="auto" w:sz="2" w:space="0"/>
            </w:tcBorders>
            <w:noWrap w:val="0"/>
            <w:vAlign w:val="center"/>
          </w:tcPr>
          <w:p>
            <w:pPr>
              <w:spacing w:line="360" w:lineRule="exact"/>
              <w:rPr>
                <w:rFonts w:hint="eastAsia" w:ascii="宋体" w:hAnsi="宋体" w:eastAsia="宋体" w:cs="宋体"/>
                <w:sz w:val="21"/>
                <w:szCs w:val="21"/>
              </w:rPr>
            </w:pPr>
            <w:r>
              <w:rPr>
                <w:rFonts w:hint="eastAsia" w:ascii="宋体" w:hAnsi="宋体" w:cs="宋体"/>
                <w:sz w:val="21"/>
                <w:szCs w:val="21"/>
              </w:rPr>
              <w:t>本次公开招</w:t>
            </w:r>
            <w:r>
              <w:rPr>
                <w:rFonts w:hint="eastAsia" w:ascii="宋体" w:hAnsi="宋体" w:cs="宋体"/>
                <w:color w:val="auto"/>
                <w:sz w:val="21"/>
                <w:szCs w:val="21"/>
              </w:rPr>
              <w:t>标设有最高限价</w:t>
            </w:r>
            <w:r>
              <w:rPr>
                <w:rFonts w:hint="eastAsia" w:ascii="宋体" w:hAnsi="宋体" w:cs="宋体"/>
                <w:color w:val="auto"/>
                <w:sz w:val="21"/>
                <w:szCs w:val="21"/>
                <w:lang w:eastAsia="zh-CN"/>
              </w:rPr>
              <w:t>：</w:t>
            </w:r>
            <w:r>
              <w:rPr>
                <w:rFonts w:hint="eastAsia" w:ascii="宋体" w:hAnsi="宋体" w:cs="宋体"/>
                <w:color w:val="auto"/>
                <w:sz w:val="21"/>
                <w:szCs w:val="21"/>
              </w:rPr>
              <w:t>人民币</w:t>
            </w:r>
            <w:r>
              <w:rPr>
                <w:rFonts w:hint="eastAsia" w:ascii="宋体" w:hAnsi="宋体" w:cs="宋体"/>
                <w:color w:val="auto"/>
                <w:sz w:val="21"/>
                <w:szCs w:val="21"/>
                <w:u w:val="single"/>
              </w:rPr>
              <w:t xml:space="preserve"> </w:t>
            </w:r>
            <w:r>
              <w:rPr>
                <w:rFonts w:hint="eastAsia" w:ascii="宋体" w:hAnsi="宋体" w:cs="宋体"/>
                <w:color w:val="auto"/>
                <w:sz w:val="21"/>
                <w:szCs w:val="21"/>
                <w:u w:val="single"/>
                <w:lang w:val="en-US" w:eastAsia="zh-CN"/>
              </w:rPr>
              <w:t>58</w:t>
            </w:r>
            <w:r>
              <w:rPr>
                <w:rFonts w:hint="eastAsia" w:ascii="宋体" w:hAnsi="宋体" w:cs="宋体"/>
                <w:color w:val="auto"/>
                <w:sz w:val="21"/>
                <w:szCs w:val="21"/>
                <w:u w:val="single"/>
              </w:rPr>
              <w:t xml:space="preserve"> </w:t>
            </w:r>
            <w:r>
              <w:rPr>
                <w:rFonts w:hint="eastAsia" w:ascii="宋体" w:hAnsi="宋体" w:cs="宋体"/>
                <w:color w:val="auto"/>
                <w:sz w:val="21"/>
                <w:szCs w:val="21"/>
              </w:rPr>
              <w:t>万元；</w:t>
            </w:r>
            <w:r>
              <w:rPr>
                <w:rFonts w:hint="eastAsia" w:ascii="宋体" w:hAnsi="宋体" w:cs="宋体"/>
                <w:sz w:val="21"/>
                <w:szCs w:val="21"/>
              </w:rPr>
              <w:t>投标报价高于最高限价的作无效标处理。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jc w:val="center"/>
        </w:trPr>
        <w:tc>
          <w:tcPr>
            <w:tcW w:w="720" w:type="dxa"/>
            <w:tcBorders>
              <w:top w:val="single" w:color="auto" w:sz="4" w:space="0"/>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3</w:t>
            </w:r>
          </w:p>
        </w:tc>
        <w:tc>
          <w:tcPr>
            <w:tcW w:w="2712" w:type="dxa"/>
            <w:tcBorders>
              <w:top w:val="single" w:color="auto" w:sz="4" w:space="0"/>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投标文件的签署盖章</w:t>
            </w:r>
          </w:p>
        </w:tc>
        <w:tc>
          <w:tcPr>
            <w:tcW w:w="6156"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符合第三章“供应商须知” 第三（六）的要求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Merge w:val="restart"/>
            <w:tcBorders>
              <w:top w:val="nil"/>
              <w:left w:val="double" w:color="auto" w:sz="2" w:space="0"/>
              <w:bottom w:val="single" w:color="auto" w:sz="4"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sz w:val="21"/>
                <w:szCs w:val="21"/>
              </w:rPr>
              <w:t>4</w:t>
            </w:r>
          </w:p>
        </w:tc>
        <w:tc>
          <w:tcPr>
            <w:tcW w:w="2712" w:type="dxa"/>
            <w:vMerge w:val="restart"/>
            <w:tcBorders>
              <w:top w:val="nil"/>
              <w:left w:val="nil"/>
              <w:bottom w:val="single" w:color="auto" w:sz="4" w:space="0"/>
              <w:right w:val="single" w:color="auto" w:sz="4"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其他</w:t>
            </w:r>
          </w:p>
        </w:tc>
        <w:tc>
          <w:tcPr>
            <w:tcW w:w="6156"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cs="宋体"/>
                <w:sz w:val="21"/>
                <w:szCs w:val="21"/>
              </w:rPr>
            </w:pPr>
            <w:r>
              <w:rPr>
                <w:rFonts w:hint="eastAsia" w:ascii="宋体" w:hAnsi="宋体" w:cs="宋体"/>
                <w:sz w:val="21"/>
                <w:szCs w:val="21"/>
              </w:rPr>
              <w:t>不允许出现报价明显高于市场价或低于成本价的情况。</w:t>
            </w:r>
          </w:p>
          <w:p>
            <w:pPr>
              <w:spacing w:line="400" w:lineRule="exact"/>
              <w:rPr>
                <w:rFonts w:hint="eastAsia" w:ascii="宋体" w:hAnsi="宋体" w:eastAsia="宋体" w:cs="宋体"/>
                <w:sz w:val="21"/>
                <w:szCs w:val="21"/>
              </w:rPr>
            </w:pPr>
            <w:r>
              <w:rPr>
                <w:rFonts w:hint="eastAsia" w:ascii="宋体" w:hAnsi="宋体" w:cs="宋体"/>
                <w:sz w:val="21"/>
                <w:szCs w:val="21"/>
              </w:rPr>
              <w:t>评标委员会认为供应商的报价明显低于其他通过第一阶段评审供应商的报价，有可能影响工作质量或者不能诚信履约的，应当要求其在评标现场合理的时间内提供书面说明，必要时提交相关证明材料；供应商不能证明其报价合理性的，评标委员会应当将其作为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0" w:type="dxa"/>
            <w:vMerge w:val="continue"/>
            <w:tcBorders>
              <w:top w:val="nil"/>
              <w:left w:val="double" w:color="auto" w:sz="2" w:space="0"/>
              <w:bottom w:val="single" w:color="auto" w:sz="4" w:space="0"/>
              <w:right w:val="single" w:color="auto" w:sz="4" w:space="0"/>
            </w:tcBorders>
            <w:noWrap w:val="0"/>
            <w:vAlign w:val="center"/>
          </w:tcPr>
          <w:p>
            <w:pPr>
              <w:widowControl/>
              <w:jc w:val="left"/>
              <w:rPr>
                <w:rFonts w:hint="eastAsia" w:ascii="宋体" w:hAnsi="宋体" w:eastAsia="宋体" w:cs="宋体"/>
                <w:sz w:val="21"/>
                <w:szCs w:val="21"/>
              </w:rPr>
            </w:pPr>
          </w:p>
        </w:tc>
        <w:tc>
          <w:tcPr>
            <w:tcW w:w="2712" w:type="dxa"/>
            <w:vMerge w:val="continue"/>
            <w:tcBorders>
              <w:top w:val="nil"/>
              <w:left w:val="nil"/>
              <w:bottom w:val="single" w:color="auto" w:sz="4" w:space="0"/>
              <w:right w:val="single" w:color="auto" w:sz="4" w:space="0"/>
            </w:tcBorders>
            <w:noWrap w:val="0"/>
            <w:vAlign w:val="center"/>
          </w:tcPr>
          <w:p>
            <w:pPr>
              <w:widowControl/>
              <w:jc w:val="left"/>
              <w:rPr>
                <w:rFonts w:hint="eastAsia" w:ascii="宋体" w:hAnsi="宋体" w:eastAsia="宋体" w:cs="宋体"/>
                <w:sz w:val="21"/>
                <w:szCs w:val="21"/>
              </w:rPr>
            </w:pPr>
          </w:p>
        </w:tc>
        <w:tc>
          <w:tcPr>
            <w:tcW w:w="6156" w:type="dxa"/>
            <w:tcBorders>
              <w:top w:val="single" w:color="auto" w:sz="4" w:space="0"/>
              <w:left w:val="nil"/>
              <w:bottom w:val="single" w:color="auto" w:sz="4" w:space="0"/>
              <w:right w:val="double" w:color="auto" w:sz="2" w:space="0"/>
            </w:tcBorders>
            <w:noWrap w:val="0"/>
            <w:vAlign w:val="center"/>
          </w:tcPr>
          <w:p>
            <w:pPr>
              <w:spacing w:line="400" w:lineRule="exact"/>
              <w:rPr>
                <w:rFonts w:hint="eastAsia" w:ascii="宋体" w:hAnsi="宋体" w:eastAsia="宋体" w:cs="宋体"/>
                <w:sz w:val="21"/>
                <w:szCs w:val="21"/>
              </w:rPr>
            </w:pPr>
            <w:r>
              <w:rPr>
                <w:rFonts w:hint="eastAsia" w:ascii="宋体" w:hAnsi="宋体" w:eastAsia="宋体" w:cs="宋体"/>
                <w:sz w:val="21"/>
                <w:szCs w:val="21"/>
              </w:rPr>
              <w:t>符合法律、法规和招标文件中规定的其他实质性要求（实质性要求招标文件中“*”标记）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3432" w:type="dxa"/>
            <w:gridSpan w:val="2"/>
            <w:tcBorders>
              <w:top w:val="single" w:color="auto" w:sz="4" w:space="0"/>
              <w:left w:val="double" w:color="auto" w:sz="2" w:space="0"/>
              <w:bottom w:val="double" w:color="auto" w:sz="2" w:space="0"/>
              <w:right w:val="single" w:color="auto" w:sz="4" w:space="0"/>
            </w:tcBorders>
            <w:noWrap w:val="0"/>
            <w:vAlign w:val="center"/>
          </w:tcPr>
          <w:p>
            <w:pPr>
              <w:spacing w:line="400" w:lineRule="exact"/>
              <w:jc w:val="center"/>
              <w:rPr>
                <w:rFonts w:hint="eastAsia" w:ascii="宋体" w:hAnsi="宋体" w:eastAsia="宋体" w:cs="宋体"/>
                <w:sz w:val="21"/>
                <w:szCs w:val="21"/>
              </w:rPr>
            </w:pPr>
            <w:r>
              <w:rPr>
                <w:rFonts w:hint="eastAsia" w:ascii="宋体" w:hAnsi="宋体" w:eastAsia="宋体" w:cs="宋体"/>
                <w:b/>
                <w:bCs/>
                <w:sz w:val="21"/>
                <w:szCs w:val="21"/>
              </w:rPr>
              <w:t>初步审查结论</w:t>
            </w:r>
          </w:p>
        </w:tc>
        <w:tc>
          <w:tcPr>
            <w:tcW w:w="6156" w:type="dxa"/>
            <w:tcBorders>
              <w:top w:val="single" w:color="auto" w:sz="4" w:space="0"/>
              <w:left w:val="nil"/>
              <w:bottom w:val="double" w:color="auto" w:sz="2" w:space="0"/>
              <w:right w:val="double" w:color="auto" w:sz="2" w:space="0"/>
            </w:tcBorders>
            <w:noWrap w:val="0"/>
            <w:vAlign w:val="center"/>
          </w:tcPr>
          <w:p>
            <w:pPr>
              <w:spacing w:line="400" w:lineRule="exact"/>
              <w:rPr>
                <w:rFonts w:hint="eastAsia" w:ascii="宋体" w:hAnsi="宋体" w:eastAsia="宋体" w:cs="宋体"/>
                <w:sz w:val="21"/>
                <w:szCs w:val="21"/>
              </w:rPr>
            </w:pPr>
          </w:p>
        </w:tc>
      </w:tr>
    </w:tbl>
    <w:p>
      <w:pPr>
        <w:spacing w:line="440" w:lineRule="exact"/>
        <w:rPr>
          <w:rFonts w:hint="eastAsia" w:ascii="宋体" w:hAnsi="宋体" w:eastAsia="宋体" w:cs="宋体"/>
          <w:sz w:val="21"/>
          <w:szCs w:val="21"/>
        </w:rPr>
      </w:pPr>
      <w:r>
        <w:rPr>
          <w:rFonts w:hint="eastAsia" w:ascii="宋体" w:hAnsi="宋体" w:eastAsia="宋体" w:cs="宋体"/>
          <w:b/>
          <w:bCs/>
          <w:sz w:val="21"/>
          <w:szCs w:val="21"/>
        </w:rPr>
        <w:t>注：上述审查项目中，任意一项不符合的，初步审查不合格。</w:t>
      </w:r>
    </w:p>
    <w:p>
      <w:pPr>
        <w:spacing w:line="440" w:lineRule="exact"/>
        <w:jc w:val="center"/>
        <w:rPr>
          <w:rFonts w:hint="eastAsia" w:ascii="宋体" w:hAnsi="宋体" w:eastAsia="宋体" w:cs="宋体"/>
          <w:b/>
          <w:bCs/>
          <w:sz w:val="21"/>
          <w:szCs w:val="21"/>
        </w:rPr>
      </w:pPr>
      <w:r>
        <w:rPr>
          <w:rFonts w:hint="eastAsia" w:ascii="宋体" w:hAnsi="宋体" w:eastAsia="宋体" w:cs="宋体"/>
          <w:sz w:val="21"/>
          <w:szCs w:val="21"/>
        </w:rPr>
        <w:br w:type="page"/>
      </w:r>
      <w:r>
        <w:rPr>
          <w:rFonts w:hint="eastAsia" w:ascii="宋体" w:hAnsi="宋体" w:eastAsia="宋体" w:cs="宋体"/>
          <w:b/>
          <w:bCs/>
          <w:sz w:val="21"/>
          <w:szCs w:val="21"/>
          <w:lang w:eastAsia="zh-CN"/>
        </w:rPr>
        <w:t>（五）</w:t>
      </w:r>
      <w:r>
        <w:rPr>
          <w:rFonts w:hint="eastAsia" w:ascii="宋体" w:hAnsi="宋体" w:eastAsia="宋体" w:cs="宋体"/>
          <w:b/>
          <w:bCs/>
          <w:sz w:val="21"/>
          <w:szCs w:val="21"/>
        </w:rPr>
        <w:t>价格评分表</w:t>
      </w:r>
    </w:p>
    <w:tbl>
      <w:tblPr>
        <w:tblStyle w:val="28"/>
        <w:tblW w:w="9011" w:type="dxa"/>
        <w:tblInd w:w="99"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36"/>
        <w:gridCol w:w="767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9011" w:type="dxa"/>
            <w:gridSpan w:val="2"/>
            <w:noWrap w:val="0"/>
            <w:vAlign w:val="center"/>
          </w:tcPr>
          <w:p>
            <w:pPr>
              <w:snapToGrid w:val="0"/>
              <w:spacing w:line="400" w:lineRule="exact"/>
              <w:contextualSpacing/>
              <w:jc w:val="center"/>
              <w:rPr>
                <w:rFonts w:hint="eastAsia" w:ascii="宋体" w:hAnsi="宋体" w:cs="宋体"/>
                <w:color w:val="auto"/>
                <w:sz w:val="21"/>
                <w:szCs w:val="21"/>
                <w:shd w:val="clear" w:color="auto" w:fill="auto"/>
              </w:rPr>
            </w:pPr>
            <w:r>
              <w:rPr>
                <w:rFonts w:hint="eastAsia" w:ascii="宋体" w:hAnsi="宋体" w:cs="宋体"/>
                <w:sz w:val="21"/>
                <w:szCs w:val="21"/>
              </w:rPr>
              <w:t>供应商分值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91" w:hRule="atLeast"/>
        </w:trPr>
        <w:tc>
          <w:tcPr>
            <w:tcW w:w="1336" w:type="dxa"/>
            <w:noWrap w:val="0"/>
            <w:vAlign w:val="center"/>
          </w:tcPr>
          <w:p>
            <w:pPr>
              <w:snapToGrid w:val="0"/>
              <w:spacing w:line="400" w:lineRule="exact"/>
              <w:contextualSpacing/>
              <w:jc w:val="center"/>
              <w:rPr>
                <w:rFonts w:ascii="Arial" w:hAnsi="Arial"/>
                <w:b/>
                <w:bCs/>
                <w:color w:val="auto"/>
                <w:sz w:val="21"/>
                <w:szCs w:val="21"/>
                <w:shd w:val="clear" w:color="auto" w:fill="auto"/>
              </w:rPr>
            </w:pPr>
            <w:bookmarkStart w:id="49" w:name="_Toc486867993"/>
            <w:bookmarkEnd w:id="49"/>
            <w:r>
              <w:rPr>
                <w:rFonts w:hint="eastAsia" w:ascii="Arial" w:hAnsi="Arial"/>
                <w:b/>
                <w:bCs/>
                <w:color w:val="auto"/>
                <w:sz w:val="21"/>
                <w:szCs w:val="21"/>
                <w:shd w:val="clear" w:color="auto" w:fill="auto"/>
              </w:rPr>
              <w:t>价格分</w:t>
            </w:r>
          </w:p>
          <w:p>
            <w:pPr>
              <w:snapToGrid w:val="0"/>
              <w:spacing w:line="400" w:lineRule="exact"/>
              <w:contextualSpacing/>
              <w:jc w:val="center"/>
              <w:rPr>
                <w:rFonts w:ascii="Arial" w:hAnsi="Arial"/>
                <w:b/>
                <w:bCs/>
                <w:color w:val="auto"/>
                <w:sz w:val="21"/>
                <w:szCs w:val="21"/>
                <w:shd w:val="clear" w:color="auto" w:fill="auto"/>
              </w:rPr>
            </w:pPr>
            <w:r>
              <w:rPr>
                <w:rFonts w:hint="eastAsia" w:ascii="Arial" w:hAnsi="Arial"/>
                <w:b/>
                <w:bCs/>
                <w:color w:val="auto"/>
                <w:sz w:val="21"/>
                <w:szCs w:val="21"/>
                <w:shd w:val="clear" w:color="auto" w:fill="auto"/>
              </w:rPr>
              <w:t>（</w:t>
            </w:r>
            <w:r>
              <w:rPr>
                <w:rFonts w:hint="eastAsia" w:ascii="Arial" w:hAnsi="Arial"/>
                <w:b/>
                <w:bCs/>
                <w:color w:val="auto"/>
                <w:sz w:val="21"/>
                <w:szCs w:val="21"/>
                <w:shd w:val="clear" w:color="auto" w:fill="auto"/>
                <w:lang w:val="en-US" w:eastAsia="zh-CN"/>
              </w:rPr>
              <w:t>40</w:t>
            </w:r>
            <w:r>
              <w:rPr>
                <w:rFonts w:hint="eastAsia" w:ascii="Arial" w:hAnsi="Arial"/>
                <w:b/>
                <w:bCs/>
                <w:color w:val="auto"/>
                <w:sz w:val="21"/>
                <w:szCs w:val="21"/>
                <w:shd w:val="clear" w:color="auto" w:fill="auto"/>
              </w:rPr>
              <w:t>分）</w:t>
            </w:r>
          </w:p>
        </w:tc>
        <w:tc>
          <w:tcPr>
            <w:tcW w:w="7675" w:type="dxa"/>
            <w:noWrap w:val="0"/>
            <w:vAlign w:val="center"/>
          </w:tcPr>
          <w:p>
            <w:pPr>
              <w:spacing w:line="360" w:lineRule="exact"/>
              <w:rPr>
                <w:rFonts w:hint="eastAsia" w:ascii="宋体" w:hAnsi="宋体" w:cs="宋体"/>
                <w:color w:val="auto"/>
                <w:sz w:val="21"/>
                <w:szCs w:val="21"/>
                <w:shd w:val="clear" w:color="auto" w:fill="auto"/>
                <w:lang w:eastAsia="zh-CN"/>
              </w:rPr>
            </w:pPr>
            <w:r>
              <w:rPr>
                <w:rFonts w:hint="eastAsia" w:ascii="宋体" w:hAnsi="宋体" w:cs="宋体"/>
                <w:color w:val="auto"/>
                <w:sz w:val="21"/>
                <w:szCs w:val="21"/>
                <w:shd w:val="clear" w:color="auto" w:fill="auto"/>
              </w:rPr>
              <w:t>评标基准价=满足招标文件要求且投标价格最低的投标报价</w:t>
            </w:r>
            <w:r>
              <w:rPr>
                <w:rFonts w:hint="eastAsia" w:ascii="宋体" w:hAnsi="宋体" w:cs="宋体"/>
                <w:color w:val="auto"/>
                <w:sz w:val="21"/>
                <w:szCs w:val="21"/>
                <w:shd w:val="clear" w:color="auto" w:fill="auto"/>
                <w:lang w:eastAsia="zh-CN"/>
              </w:rPr>
              <w:t>、</w:t>
            </w:r>
          </w:p>
          <w:p>
            <w:pPr>
              <w:spacing w:line="360" w:lineRule="exact"/>
              <w:rPr>
                <w:rFonts w:ascii="宋体" w:hAnsi="宋体" w:cs="宋体"/>
                <w:color w:val="auto"/>
                <w:sz w:val="21"/>
                <w:szCs w:val="21"/>
                <w:shd w:val="clear" w:color="auto" w:fill="auto"/>
              </w:rPr>
            </w:pPr>
            <w:r>
              <w:rPr>
                <w:rFonts w:hint="eastAsia" w:ascii="宋体" w:hAnsi="宋体" w:cs="宋体"/>
                <w:color w:val="auto"/>
                <w:sz w:val="21"/>
                <w:szCs w:val="21"/>
                <w:shd w:val="clear" w:color="auto" w:fill="auto"/>
              </w:rPr>
              <w:t>参与评审的价格=投标报价</w:t>
            </w:r>
          </w:p>
          <w:p>
            <w:pPr>
              <w:spacing w:line="360" w:lineRule="exact"/>
              <w:ind w:left="105" w:hanging="105" w:hangingChars="50"/>
              <w:rPr>
                <w:rFonts w:ascii="宋体" w:hAnsi="宋体" w:cs="宋体"/>
                <w:color w:val="auto"/>
                <w:sz w:val="21"/>
                <w:szCs w:val="21"/>
                <w:shd w:val="clear" w:color="auto" w:fill="auto"/>
              </w:rPr>
            </w:pPr>
            <w:r>
              <w:rPr>
                <w:rFonts w:hint="eastAsia" w:ascii="宋体" w:hAnsi="宋体" w:cs="宋体"/>
                <w:color w:val="auto"/>
                <w:sz w:val="21"/>
                <w:szCs w:val="21"/>
                <w:shd w:val="clear" w:color="auto" w:fill="auto"/>
              </w:rPr>
              <w:t>基准价得分为满分。</w:t>
            </w:r>
          </w:p>
          <w:p>
            <w:pPr>
              <w:spacing w:line="360" w:lineRule="exact"/>
              <w:rPr>
                <w:rFonts w:ascii="宋体" w:hAnsi="宋体" w:cs="宋体"/>
                <w:color w:val="auto"/>
                <w:sz w:val="21"/>
                <w:szCs w:val="21"/>
                <w:shd w:val="clear" w:color="auto" w:fill="auto"/>
              </w:rPr>
            </w:pPr>
            <w:r>
              <w:rPr>
                <w:rFonts w:hint="eastAsia" w:ascii="宋体" w:hAnsi="宋体" w:cs="宋体"/>
                <w:color w:val="auto"/>
                <w:sz w:val="21"/>
                <w:szCs w:val="21"/>
                <w:shd w:val="clear" w:color="auto" w:fill="auto"/>
              </w:rPr>
              <w:t>投标报价得分=(评标基准价/参与评审的价格价)×价格权重（</w:t>
            </w:r>
            <w:r>
              <w:rPr>
                <w:rFonts w:hint="eastAsia" w:ascii="宋体" w:hAnsi="宋体" w:cs="宋体"/>
                <w:color w:val="auto"/>
                <w:sz w:val="21"/>
                <w:szCs w:val="21"/>
                <w:shd w:val="clear" w:color="auto" w:fill="auto"/>
                <w:lang w:val="en-US" w:eastAsia="zh-CN"/>
              </w:rPr>
              <w:t>40</w:t>
            </w:r>
            <w:r>
              <w:rPr>
                <w:rFonts w:hint="eastAsia" w:ascii="宋体" w:hAnsi="宋体" w:cs="宋体"/>
                <w:color w:val="auto"/>
                <w:sz w:val="21"/>
                <w:szCs w:val="21"/>
                <w:shd w:val="clear" w:color="auto" w:fill="auto"/>
              </w:rPr>
              <w:t>分）</w:t>
            </w:r>
          </w:p>
          <w:p>
            <w:pPr>
              <w:spacing w:line="400" w:lineRule="exact"/>
              <w:rPr>
                <w:rFonts w:hint="eastAsia" w:ascii="宋体" w:hAnsi="宋体" w:cs="宋体"/>
                <w:color w:val="auto"/>
                <w:sz w:val="21"/>
                <w:szCs w:val="21"/>
                <w:shd w:val="clear" w:color="auto" w:fill="auto"/>
              </w:rPr>
            </w:pPr>
            <w:r>
              <w:rPr>
                <w:rFonts w:hint="eastAsia" w:ascii="宋体" w:hAnsi="宋体" w:eastAsia="宋体" w:cs="宋体"/>
                <w:b/>
                <w:bCs/>
                <w:color w:val="auto"/>
                <w:sz w:val="21"/>
                <w:szCs w:val="21"/>
                <w:lang w:val="en-US" w:eastAsia="zh-CN"/>
              </w:rPr>
              <w:t>注：本次采购专门面向中小企业，对中小企业声明函满足要求的</w:t>
            </w:r>
            <w:r>
              <w:rPr>
                <w:rFonts w:hint="eastAsia" w:ascii="宋体" w:hAnsi="宋体" w:cs="宋体"/>
                <w:b/>
                <w:bCs/>
                <w:color w:val="auto"/>
                <w:sz w:val="21"/>
                <w:szCs w:val="21"/>
                <w:lang w:val="en-US" w:eastAsia="zh-CN"/>
              </w:rPr>
              <w:t>中小</w:t>
            </w:r>
            <w:r>
              <w:rPr>
                <w:rFonts w:hint="eastAsia" w:ascii="宋体" w:hAnsi="宋体" w:eastAsia="宋体" w:cs="宋体"/>
                <w:b/>
                <w:bCs/>
                <w:color w:val="auto"/>
                <w:sz w:val="21"/>
                <w:szCs w:val="21"/>
                <w:lang w:val="en-US" w:eastAsia="zh-CN"/>
              </w:rPr>
              <w:t>企业（或视同小微企业）的报价不再给予评审优惠。</w:t>
            </w:r>
          </w:p>
          <w:p>
            <w:pPr>
              <w:snapToGrid w:val="0"/>
              <w:spacing w:line="400" w:lineRule="exact"/>
              <w:contextualSpacing/>
              <w:rPr>
                <w:rFonts w:ascii="Arial" w:hAnsi="Arial"/>
                <w:color w:val="auto"/>
                <w:sz w:val="21"/>
                <w:szCs w:val="21"/>
                <w:shd w:val="clear" w:color="auto" w:fill="auto"/>
              </w:rPr>
            </w:pPr>
            <w:r>
              <w:rPr>
                <w:rFonts w:hint="eastAsia" w:ascii="宋体" w:hAnsi="宋体" w:cs="宋体"/>
                <w:color w:val="auto"/>
                <w:sz w:val="21"/>
                <w:szCs w:val="21"/>
                <w:shd w:val="clear" w:color="auto" w:fill="auto"/>
              </w:rPr>
              <w:t>投标报价得分以四舍五入保留小数点后两位。</w:t>
            </w:r>
          </w:p>
        </w:tc>
      </w:tr>
    </w:tbl>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30"/>
          <w:szCs w:val="30"/>
        </w:rPr>
      </w:pPr>
      <w:r>
        <w:rPr>
          <w:rFonts w:hint="eastAsia" w:ascii="宋体" w:hAnsi="宋体" w:eastAsia="宋体" w:cs="宋体"/>
          <w:b/>
          <w:bCs/>
          <w:sz w:val="21"/>
          <w:szCs w:val="21"/>
        </w:rPr>
        <w:br w:type="page"/>
      </w:r>
      <w:bookmarkStart w:id="50" w:name="_Toc20500"/>
      <w:r>
        <w:rPr>
          <w:rFonts w:hint="eastAsia" w:ascii="宋体" w:hAnsi="宋体" w:eastAsia="宋体" w:cs="宋体"/>
          <w:b/>
          <w:bCs/>
          <w:sz w:val="30"/>
          <w:szCs w:val="30"/>
        </w:rPr>
        <w:t>第五章  合同主要条款</w:t>
      </w:r>
      <w:bookmarkEnd w:id="50"/>
      <w:bookmarkStart w:id="51" w:name="_Toc355766591"/>
      <w:bookmarkStart w:id="52" w:name="_Toc386115094"/>
    </w:p>
    <w:bookmarkEnd w:id="51"/>
    <w:bookmarkEnd w:id="52"/>
    <w:p>
      <w:pPr>
        <w:spacing w:line="400" w:lineRule="exact"/>
        <w:ind w:firstLine="420" w:firstLineChars="200"/>
        <w:contextualSpacing/>
        <w:rPr>
          <w:rFonts w:hint="eastAsia" w:ascii="宋体" w:hAnsi="宋体" w:eastAsia="宋体" w:cs="宋体"/>
          <w:bCs/>
          <w:sz w:val="21"/>
          <w:szCs w:val="21"/>
        </w:rPr>
      </w:pPr>
    </w:p>
    <w:p>
      <w:pPr>
        <w:spacing w:line="440" w:lineRule="exact"/>
        <w:contextualSpacing/>
        <w:rPr>
          <w:rFonts w:hint="eastAsia" w:ascii="宋体" w:hAnsi="宋体" w:cs="宋体"/>
          <w:bCs/>
          <w:sz w:val="21"/>
          <w:szCs w:val="21"/>
        </w:rPr>
      </w:pPr>
      <w:r>
        <w:rPr>
          <w:rFonts w:hint="eastAsia" w:ascii="宋体" w:hAnsi="宋体" w:cs="宋体"/>
          <w:bCs/>
          <w:sz w:val="21"/>
          <w:szCs w:val="21"/>
        </w:rPr>
        <w:t xml:space="preserve">甲    方（买方）： </w:t>
      </w:r>
    </w:p>
    <w:p>
      <w:pPr>
        <w:spacing w:line="440" w:lineRule="exact"/>
        <w:contextualSpacing/>
        <w:rPr>
          <w:rFonts w:hint="eastAsia" w:ascii="宋体" w:hAnsi="宋体" w:cs="宋体"/>
          <w:bCs/>
          <w:sz w:val="21"/>
          <w:szCs w:val="21"/>
        </w:rPr>
      </w:pPr>
      <w:r>
        <w:rPr>
          <w:rFonts w:hint="eastAsia" w:ascii="宋体" w:hAnsi="宋体" w:cs="宋体"/>
          <w:bCs/>
          <w:sz w:val="21"/>
          <w:szCs w:val="21"/>
        </w:rPr>
        <w:t xml:space="preserve">乙    方（卖方）： </w:t>
      </w:r>
    </w:p>
    <w:p>
      <w:pPr>
        <w:spacing w:line="440" w:lineRule="exact"/>
        <w:ind w:firstLine="420" w:firstLineChars="200"/>
        <w:contextualSpacing/>
        <w:rPr>
          <w:rFonts w:hint="eastAsia" w:ascii="宋体" w:hAnsi="宋体" w:cs="宋体"/>
          <w:bCs/>
          <w:sz w:val="21"/>
          <w:szCs w:val="21"/>
        </w:rPr>
      </w:pPr>
    </w:p>
    <w:p>
      <w:pPr>
        <w:spacing w:line="440" w:lineRule="exact"/>
        <w:ind w:firstLine="420" w:firstLineChars="200"/>
        <w:contextualSpacing/>
        <w:rPr>
          <w:rFonts w:hint="eastAsia" w:ascii="宋体" w:hAnsi="宋体" w:cs="宋体"/>
          <w:bCs/>
          <w:sz w:val="21"/>
          <w:szCs w:val="21"/>
        </w:rPr>
      </w:pPr>
      <w:r>
        <w:rPr>
          <w:rFonts w:hint="eastAsia" w:ascii="宋体" w:hAnsi="宋体" w:cs="宋体"/>
          <w:bCs/>
          <w:sz w:val="21"/>
          <w:szCs w:val="21"/>
        </w:rPr>
        <w:t>根据</w:t>
      </w:r>
      <w:r>
        <w:rPr>
          <w:rFonts w:hint="eastAsia" w:ascii="宋体" w:hAnsi="宋体" w:cs="宋体"/>
          <w:sz w:val="21"/>
          <w:szCs w:val="21"/>
          <w:u w:val="single"/>
        </w:rPr>
        <w:t xml:space="preserve">        </w:t>
      </w:r>
      <w:r>
        <w:rPr>
          <w:rFonts w:hint="eastAsia" w:ascii="宋体" w:hAnsi="宋体" w:cs="宋体"/>
          <w:bCs/>
          <w:sz w:val="21"/>
          <w:szCs w:val="21"/>
        </w:rPr>
        <w:t>招标文件</w:t>
      </w:r>
      <w:r>
        <w:rPr>
          <w:rFonts w:hint="eastAsia" w:ascii="宋体" w:hAnsi="宋体" w:cs="宋体"/>
          <w:bCs/>
          <w:sz w:val="21"/>
          <w:szCs w:val="21"/>
          <w:lang w:eastAsia="zh-CN"/>
        </w:rPr>
        <w:t>、</w:t>
      </w:r>
      <w:r>
        <w:rPr>
          <w:rFonts w:hint="eastAsia" w:ascii="宋体" w:hAnsi="宋体" w:cs="宋体"/>
          <w:bCs/>
          <w:sz w:val="21"/>
          <w:szCs w:val="21"/>
          <w:lang w:val="en-US" w:eastAsia="zh-CN"/>
        </w:rPr>
        <w:t>中标结果</w:t>
      </w:r>
      <w:r>
        <w:rPr>
          <w:rFonts w:hint="eastAsia" w:ascii="宋体" w:hAnsi="宋体" w:cs="宋体"/>
          <w:bCs/>
          <w:sz w:val="21"/>
          <w:szCs w:val="21"/>
        </w:rPr>
        <w:t>和中标通知书，甲、乙双方就此次成交的</w:t>
      </w:r>
      <w:r>
        <w:rPr>
          <w:rFonts w:hint="eastAsia" w:ascii="宋体" w:hAnsi="宋体" w:cs="宋体"/>
          <w:bCs/>
          <w:sz w:val="21"/>
          <w:szCs w:val="21"/>
          <w:u w:val="single"/>
        </w:rPr>
        <w:t xml:space="preserve">              </w:t>
      </w:r>
      <w:r>
        <w:rPr>
          <w:rFonts w:hint="eastAsia" w:ascii="宋体" w:hAnsi="宋体" w:cs="宋体"/>
          <w:bCs/>
          <w:sz w:val="21"/>
          <w:szCs w:val="21"/>
        </w:rPr>
        <w:t>购销事宜，签订本合同书。</w:t>
      </w:r>
    </w:p>
    <w:p>
      <w:pPr>
        <w:spacing w:line="440" w:lineRule="exact"/>
        <w:contextualSpacing/>
        <w:rPr>
          <w:rFonts w:hint="eastAsia" w:ascii="宋体" w:hAnsi="宋体" w:cs="宋体"/>
          <w:sz w:val="21"/>
          <w:szCs w:val="21"/>
        </w:rPr>
      </w:pPr>
      <w:r>
        <w:rPr>
          <w:rFonts w:hint="eastAsia" w:ascii="宋体" w:hAnsi="宋体" w:cs="宋体"/>
          <w:b/>
          <w:bCs/>
          <w:sz w:val="21"/>
          <w:szCs w:val="21"/>
        </w:rPr>
        <w:t>一、合同内容：</w:t>
      </w:r>
      <w:r>
        <w:rPr>
          <w:rFonts w:hint="eastAsia" w:ascii="宋体" w:hAnsi="宋体" w:cs="宋体"/>
          <w:sz w:val="21"/>
          <w:szCs w:val="21"/>
        </w:rPr>
        <w:t>甲方向乙方购买____________________，同时乙方须向甲方提供如下配套服务：商品的包装、运输、装卸、运杂、卸货、组装、安全保护、现场清理、保险、安装、调试、检测、售后服务、技术培训等。</w:t>
      </w:r>
    </w:p>
    <w:p>
      <w:pPr>
        <w:spacing w:line="440" w:lineRule="exact"/>
        <w:contextualSpacing/>
        <w:rPr>
          <w:rFonts w:hint="eastAsia" w:ascii="宋体" w:hAnsi="宋体" w:cs="宋体"/>
          <w:sz w:val="21"/>
          <w:szCs w:val="21"/>
        </w:rPr>
      </w:pPr>
      <w:r>
        <w:rPr>
          <w:rFonts w:hint="eastAsia" w:ascii="宋体" w:hAnsi="宋体" w:cs="宋体"/>
          <w:b/>
          <w:sz w:val="21"/>
          <w:szCs w:val="21"/>
        </w:rPr>
        <w:t>二、下列文件为本合同不可分割部分</w:t>
      </w:r>
      <w:r>
        <w:rPr>
          <w:rFonts w:hint="eastAsia" w:ascii="宋体" w:hAnsi="宋体" w:cs="宋体"/>
          <w:sz w:val="21"/>
          <w:szCs w:val="21"/>
        </w:rPr>
        <w:t>：</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招标文件、中标通知书；乙方成交的投标文件。</w:t>
      </w:r>
    </w:p>
    <w:p>
      <w:pPr>
        <w:spacing w:line="440" w:lineRule="exact"/>
        <w:outlineLvl w:val="0"/>
        <w:rPr>
          <w:rFonts w:hint="eastAsia" w:ascii="宋体" w:hAnsi="宋体" w:cs="宋体"/>
          <w:b/>
          <w:bCs/>
          <w:sz w:val="21"/>
          <w:szCs w:val="21"/>
        </w:rPr>
      </w:pPr>
      <w:r>
        <w:rPr>
          <w:rFonts w:hint="eastAsia" w:ascii="宋体" w:hAnsi="宋体" w:cs="宋体"/>
          <w:bCs/>
          <w:sz w:val="21"/>
          <w:szCs w:val="21"/>
        </w:rPr>
        <w:t>三、</w:t>
      </w:r>
      <w:r>
        <w:rPr>
          <w:rFonts w:hint="eastAsia" w:ascii="宋体" w:hAnsi="宋体" w:cs="宋体"/>
          <w:b/>
          <w:bCs/>
          <w:sz w:val="21"/>
          <w:szCs w:val="21"/>
        </w:rPr>
        <w:t>货物名称、规格型号、技术参数、数量及品牌：</w:t>
      </w:r>
    </w:p>
    <w:p>
      <w:pPr>
        <w:spacing w:line="440" w:lineRule="exact"/>
        <w:contextualSpacing/>
        <w:rPr>
          <w:rFonts w:hint="eastAsia" w:ascii="宋体" w:hAnsi="宋体" w:cs="宋体"/>
          <w:b/>
          <w:bCs/>
          <w:sz w:val="21"/>
          <w:szCs w:val="21"/>
        </w:rPr>
      </w:pPr>
    </w:p>
    <w:p>
      <w:pPr>
        <w:spacing w:line="440" w:lineRule="exact"/>
        <w:contextualSpacing/>
        <w:rPr>
          <w:rFonts w:hint="eastAsia" w:ascii="宋体" w:hAnsi="宋体" w:cs="宋体"/>
          <w:b/>
          <w:bCs/>
          <w:sz w:val="21"/>
          <w:szCs w:val="21"/>
        </w:rPr>
      </w:pPr>
    </w:p>
    <w:p>
      <w:pPr>
        <w:spacing w:line="440" w:lineRule="exact"/>
        <w:contextualSpacing/>
        <w:rPr>
          <w:rFonts w:hint="eastAsia" w:ascii="宋体" w:hAnsi="宋体" w:cs="宋体"/>
          <w:b/>
          <w:bCs/>
          <w:sz w:val="21"/>
          <w:szCs w:val="21"/>
        </w:rPr>
      </w:pPr>
      <w:r>
        <w:rPr>
          <w:rFonts w:hint="eastAsia" w:ascii="宋体" w:hAnsi="宋体" w:cs="宋体"/>
          <w:b/>
          <w:bCs/>
          <w:sz w:val="21"/>
          <w:szCs w:val="21"/>
        </w:rPr>
        <w:t>四、价格与支付：</w:t>
      </w:r>
    </w:p>
    <w:p>
      <w:pPr>
        <w:adjustRightInd w:val="0"/>
        <w:snapToGrid w:val="0"/>
        <w:spacing w:before="142" w:beforeLines="50" w:after="142" w:afterLines="50" w:line="440" w:lineRule="exact"/>
        <w:ind w:firstLine="420" w:firstLineChars="200"/>
        <w:rPr>
          <w:rFonts w:hint="eastAsia" w:ascii="宋体" w:hAnsi="宋体" w:cs="宋体"/>
          <w:sz w:val="21"/>
          <w:szCs w:val="21"/>
        </w:rPr>
      </w:pPr>
      <w:r>
        <w:rPr>
          <w:rFonts w:hint="eastAsia" w:ascii="宋体" w:hAnsi="宋体" w:cs="宋体"/>
          <w:sz w:val="21"/>
          <w:szCs w:val="21"/>
        </w:rPr>
        <w:t xml:space="preserve">1、甲方支付总金额为(大写) </w:t>
      </w:r>
      <w:r>
        <w:rPr>
          <w:rFonts w:hint="eastAsia" w:ascii="宋体" w:hAnsi="宋体" w:cs="宋体"/>
          <w:sz w:val="21"/>
          <w:szCs w:val="21"/>
          <w:u w:val="single"/>
        </w:rPr>
        <w:t xml:space="preserve">                  </w:t>
      </w:r>
      <w:r>
        <w:rPr>
          <w:rFonts w:hint="eastAsia" w:ascii="宋体" w:hAnsi="宋体" w:cs="宋体"/>
          <w:sz w:val="21"/>
          <w:szCs w:val="21"/>
        </w:rPr>
        <w:t>元人民币</w:t>
      </w:r>
      <w:r>
        <w:rPr>
          <w:rFonts w:hint="eastAsia" w:ascii="宋体" w:hAnsi="宋体" w:cs="宋体"/>
          <w:b/>
          <w:sz w:val="21"/>
          <w:szCs w:val="21"/>
        </w:rPr>
        <w:t>（含税开票价</w:t>
      </w:r>
      <w:r>
        <w:rPr>
          <w:rFonts w:hint="eastAsia" w:ascii="宋体" w:hAnsi="宋体" w:cs="宋体"/>
          <w:sz w:val="21"/>
          <w:szCs w:val="21"/>
        </w:rPr>
        <w:t>）。</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2、本项目为交钥匙工程【货到甲方指定地点并安装调试完毕至试运行验收合格所包含的所有价格】，乙方价格中如有漏项，视同已包含在总项目中。因</w:t>
      </w:r>
      <w:r>
        <w:rPr>
          <w:rFonts w:hint="eastAsia" w:ascii="宋体" w:hAnsi="宋体" w:cs="宋体"/>
          <w:sz w:val="21"/>
          <w:szCs w:val="21"/>
          <w:lang w:val="en-US" w:eastAsia="zh-CN"/>
        </w:rPr>
        <w:t>甲方</w:t>
      </w:r>
      <w:r>
        <w:rPr>
          <w:rFonts w:hint="eastAsia" w:ascii="宋体" w:hAnsi="宋体" w:cs="宋体"/>
          <w:sz w:val="21"/>
          <w:szCs w:val="21"/>
        </w:rPr>
        <w:t>特殊要求，增加部分工程量按实结算。采购清单中未</w:t>
      </w:r>
      <w:r>
        <w:rPr>
          <w:rFonts w:hint="eastAsia" w:ascii="宋体" w:hAnsi="宋体" w:cs="宋体"/>
          <w:sz w:val="21"/>
          <w:szCs w:val="21"/>
          <w:lang w:val="en-US" w:eastAsia="zh-CN"/>
        </w:rPr>
        <w:t>供货</w:t>
      </w:r>
      <w:r>
        <w:rPr>
          <w:rFonts w:hint="eastAsia" w:ascii="宋体" w:hAnsi="宋体" w:cs="宋体"/>
          <w:sz w:val="21"/>
          <w:szCs w:val="21"/>
        </w:rPr>
        <w:t>部分按实扣减。</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3、合同价格应包括完</w:t>
      </w:r>
      <w:r>
        <w:rPr>
          <w:rFonts w:hint="eastAsia" w:ascii="宋体" w:hAnsi="宋体" w:cs="宋体"/>
          <w:color w:val="auto"/>
          <w:sz w:val="21"/>
          <w:szCs w:val="21"/>
        </w:rPr>
        <w:t>成整个项目所需的</w:t>
      </w:r>
      <w:r>
        <w:rPr>
          <w:rFonts w:hint="eastAsia" w:ascii="宋体" w:hAnsi="宋体" w:eastAsia="宋体" w:cs="宋体"/>
          <w:color w:val="auto"/>
          <w:sz w:val="21"/>
          <w:szCs w:val="21"/>
          <w:shd w:val="clear" w:color="auto" w:fill="auto"/>
          <w:lang w:eastAsia="zh-CN"/>
        </w:rPr>
        <w:t>设备材料费、机械费、运费、保险费、现场指导、组装、安全保护、现场清理、安装（含管线）及调试费、试运行、验收、技术培训、检测、售后服务、税金及质保期内的服务等所发生的一切费用</w:t>
      </w:r>
      <w:r>
        <w:rPr>
          <w:rFonts w:hint="eastAsia" w:ascii="宋体" w:hAnsi="宋体" w:cs="宋体"/>
          <w:sz w:val="21"/>
          <w:szCs w:val="21"/>
        </w:rPr>
        <w:t>。</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4、付款步骤：甲方签收的送货回单；合格销售发票；</w:t>
      </w:r>
    </w:p>
    <w:p>
      <w:pPr>
        <w:snapToGrid w:val="0"/>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5、付款方式：</w:t>
      </w:r>
    </w:p>
    <w:p>
      <w:pPr>
        <w:autoSpaceDE w:val="0"/>
        <w:autoSpaceDN w:val="0"/>
        <w:snapToGrid w:val="0"/>
        <w:spacing w:line="440" w:lineRule="exact"/>
        <w:ind w:firstLine="630" w:firstLineChars="300"/>
        <w:textAlignment w:val="bottom"/>
        <w:rPr>
          <w:rFonts w:hint="eastAsia" w:ascii="宋体" w:hAnsi="宋体" w:cs="宋体"/>
          <w:sz w:val="21"/>
          <w:szCs w:val="21"/>
        </w:rPr>
      </w:pPr>
      <w:r>
        <w:rPr>
          <w:rFonts w:hint="eastAsia" w:ascii="宋体" w:hAnsi="宋体" w:cs="宋体"/>
          <w:sz w:val="21"/>
          <w:szCs w:val="21"/>
          <w:lang w:val="en-US" w:eastAsia="zh-CN"/>
        </w:rPr>
        <w:t>1）合同签订后7个工作日内，甲方向乙方预付合同总金额的40%，同时乙方向甲方提交同等金额的预付款保函；</w:t>
      </w:r>
    </w:p>
    <w:p>
      <w:pPr>
        <w:autoSpaceDE w:val="0"/>
        <w:autoSpaceDN w:val="0"/>
        <w:snapToGrid w:val="0"/>
        <w:spacing w:line="440" w:lineRule="exact"/>
        <w:ind w:firstLine="630" w:firstLineChars="300"/>
        <w:textAlignment w:val="bottom"/>
        <w:rPr>
          <w:rFonts w:hint="eastAsia" w:ascii="宋体" w:hAnsi="宋体" w:cs="宋体"/>
          <w:sz w:val="21"/>
          <w:szCs w:val="21"/>
          <w:lang w:val="en-US" w:eastAsia="zh-CN"/>
        </w:rPr>
      </w:pPr>
      <w:r>
        <w:rPr>
          <w:rFonts w:hint="eastAsia" w:ascii="宋体" w:hAnsi="宋体" w:cs="宋体"/>
          <w:sz w:val="21"/>
          <w:szCs w:val="21"/>
          <w:lang w:val="en-US" w:eastAsia="zh-CN"/>
        </w:rPr>
        <w:t>2）</w:t>
      </w:r>
      <w:r>
        <w:rPr>
          <w:rFonts w:hint="eastAsia" w:ascii="宋体" w:hAnsi="宋体" w:cs="宋体"/>
          <w:sz w:val="21"/>
          <w:szCs w:val="21"/>
        </w:rPr>
        <w:t>完成全部工作</w:t>
      </w:r>
      <w:r>
        <w:rPr>
          <w:rFonts w:hint="eastAsia" w:ascii="宋体" w:hAnsi="宋体" w:cs="宋体"/>
          <w:sz w:val="21"/>
          <w:szCs w:val="21"/>
          <w:lang w:eastAsia="zh-CN"/>
        </w:rPr>
        <w:t>，</w:t>
      </w:r>
      <w:r>
        <w:rPr>
          <w:rFonts w:hint="eastAsia" w:ascii="宋体" w:hAnsi="宋体" w:cs="宋体"/>
          <w:sz w:val="21"/>
          <w:szCs w:val="21"/>
          <w:lang w:val="en-US" w:eastAsia="zh-CN"/>
        </w:rPr>
        <w:t>乙方移交</w:t>
      </w:r>
      <w:r>
        <w:rPr>
          <w:rFonts w:hint="eastAsia" w:ascii="宋体" w:hAnsi="宋体" w:cs="宋体"/>
          <w:sz w:val="21"/>
          <w:szCs w:val="21"/>
          <w:lang w:eastAsia="zh-CN"/>
        </w:rPr>
        <w:t>完整的项目归档资料</w:t>
      </w:r>
      <w:r>
        <w:rPr>
          <w:rFonts w:hint="eastAsia" w:ascii="宋体" w:hAnsi="宋体" w:cs="宋体"/>
          <w:sz w:val="21"/>
          <w:szCs w:val="21"/>
          <w:lang w:val="en-US" w:eastAsia="zh-CN"/>
        </w:rPr>
        <w:t>后7个工作日内，支付合同总金额的40%。</w:t>
      </w:r>
    </w:p>
    <w:p>
      <w:pPr>
        <w:autoSpaceDE w:val="0"/>
        <w:autoSpaceDN w:val="0"/>
        <w:snapToGrid w:val="0"/>
        <w:spacing w:line="440" w:lineRule="exact"/>
        <w:ind w:firstLine="630" w:firstLineChars="300"/>
        <w:textAlignment w:val="bottom"/>
        <w:rPr>
          <w:rFonts w:hint="eastAsia" w:ascii="宋体" w:hAnsi="宋体" w:cs="宋体"/>
          <w:sz w:val="21"/>
          <w:szCs w:val="21"/>
        </w:rPr>
      </w:pPr>
      <w:r>
        <w:rPr>
          <w:rFonts w:hint="eastAsia" w:ascii="宋体" w:hAnsi="宋体" w:cs="宋体"/>
          <w:sz w:val="21"/>
          <w:szCs w:val="21"/>
          <w:lang w:val="en-US" w:eastAsia="zh-CN"/>
        </w:rPr>
        <w:t>3）</w:t>
      </w:r>
      <w:r>
        <w:rPr>
          <w:rFonts w:hint="eastAsia" w:ascii="宋体" w:hAnsi="宋体" w:cs="宋体"/>
          <w:sz w:val="21"/>
          <w:szCs w:val="21"/>
        </w:rPr>
        <w:t>经</w:t>
      </w:r>
      <w:r>
        <w:rPr>
          <w:rFonts w:hint="eastAsia" w:ascii="宋体" w:hAnsi="宋体" w:cs="宋体"/>
          <w:sz w:val="21"/>
          <w:szCs w:val="21"/>
          <w:lang w:val="en-US" w:eastAsia="zh-CN"/>
        </w:rPr>
        <w:t>甲方</w:t>
      </w:r>
      <w:r>
        <w:rPr>
          <w:rFonts w:hint="eastAsia" w:ascii="宋体" w:hAnsi="宋体" w:cs="宋体"/>
          <w:sz w:val="21"/>
          <w:szCs w:val="21"/>
        </w:rPr>
        <w:t>组织验收合格</w:t>
      </w:r>
      <w:r>
        <w:rPr>
          <w:rFonts w:hint="eastAsia" w:ascii="宋体" w:hAnsi="宋体" w:cs="宋体"/>
          <w:sz w:val="21"/>
          <w:szCs w:val="21"/>
          <w:lang w:eastAsia="zh-CN"/>
        </w:rPr>
        <w:t>，并经</w:t>
      </w:r>
      <w:r>
        <w:rPr>
          <w:rFonts w:hint="eastAsia" w:ascii="宋体" w:hAnsi="宋体" w:cs="宋体"/>
          <w:sz w:val="21"/>
          <w:szCs w:val="21"/>
          <w:lang w:val="en-US" w:eastAsia="zh-CN"/>
        </w:rPr>
        <w:t>有关单位审核后7个工作日内，</w:t>
      </w:r>
      <w:r>
        <w:rPr>
          <w:rFonts w:hint="eastAsia" w:ascii="宋体" w:hAnsi="宋体" w:cs="宋体"/>
          <w:sz w:val="21"/>
          <w:szCs w:val="21"/>
        </w:rPr>
        <w:t>付清结算款</w:t>
      </w:r>
      <w:r>
        <w:rPr>
          <w:rFonts w:hint="eastAsia" w:ascii="宋体" w:hAnsi="宋体" w:cs="宋体"/>
          <w:sz w:val="21"/>
          <w:szCs w:val="21"/>
          <w:lang w:eastAsia="zh-CN"/>
        </w:rPr>
        <w:t>。</w:t>
      </w:r>
    </w:p>
    <w:p>
      <w:pPr>
        <w:snapToGrid w:val="0"/>
        <w:spacing w:line="440" w:lineRule="exact"/>
        <w:ind w:firstLine="420" w:firstLineChars="200"/>
        <w:contextualSpacing/>
        <w:rPr>
          <w:rFonts w:hint="eastAsia" w:ascii="宋体" w:hAnsi="宋体" w:cs="宋体"/>
          <w:bCs/>
          <w:sz w:val="21"/>
          <w:szCs w:val="21"/>
        </w:rPr>
      </w:pPr>
      <w:r>
        <w:rPr>
          <w:rFonts w:hint="eastAsia" w:ascii="宋体" w:hAnsi="宋体" w:cs="宋体"/>
          <w:bCs/>
          <w:sz w:val="21"/>
          <w:szCs w:val="21"/>
        </w:rPr>
        <w:t>6、为保证所有设备能正常运行，未在清单中列明的配套附件及备品备件价格已包含在合同总价中，不予另行计取。</w:t>
      </w:r>
    </w:p>
    <w:p>
      <w:pPr>
        <w:snapToGrid w:val="0"/>
        <w:spacing w:line="440" w:lineRule="exact"/>
        <w:contextualSpacing/>
        <w:rPr>
          <w:rFonts w:hint="eastAsia" w:ascii="宋体" w:hAnsi="宋体" w:cs="宋体"/>
          <w:b/>
          <w:bCs/>
          <w:sz w:val="21"/>
          <w:szCs w:val="21"/>
        </w:rPr>
      </w:pPr>
      <w:r>
        <w:rPr>
          <w:rFonts w:hint="eastAsia" w:ascii="宋体" w:hAnsi="宋体" w:cs="宋体"/>
          <w:b/>
          <w:bCs/>
          <w:sz w:val="21"/>
          <w:szCs w:val="21"/>
        </w:rPr>
        <w:t>五、履约担保</w:t>
      </w:r>
    </w:p>
    <w:p>
      <w:pPr>
        <w:snapToGrid w:val="0"/>
        <w:spacing w:line="440" w:lineRule="exact"/>
        <w:ind w:firstLine="420" w:firstLineChars="200"/>
        <w:contextualSpacing/>
        <w:rPr>
          <w:rFonts w:hint="default" w:ascii="宋体" w:hAnsi="宋体" w:eastAsia="宋体" w:cs="宋体"/>
          <w:sz w:val="21"/>
          <w:szCs w:val="21"/>
          <w:lang w:val="en-US" w:eastAsia="zh-CN"/>
        </w:rPr>
      </w:pPr>
      <w:r>
        <w:rPr>
          <w:rFonts w:hint="eastAsia" w:ascii="宋体" w:hAnsi="宋体" w:cs="宋体"/>
          <w:sz w:val="21"/>
          <w:szCs w:val="21"/>
          <w:lang w:val="en-US" w:eastAsia="zh-CN"/>
        </w:rPr>
        <w:t>本项目无须提供履约担保。</w:t>
      </w:r>
    </w:p>
    <w:p>
      <w:pPr>
        <w:spacing w:line="440" w:lineRule="exact"/>
        <w:contextualSpacing/>
        <w:rPr>
          <w:rFonts w:hint="eastAsia" w:ascii="宋体" w:hAnsi="宋体" w:cs="宋体"/>
          <w:b/>
          <w:bCs/>
          <w:sz w:val="21"/>
          <w:szCs w:val="21"/>
        </w:rPr>
      </w:pPr>
      <w:r>
        <w:rPr>
          <w:rFonts w:hint="eastAsia" w:ascii="宋体" w:hAnsi="宋体" w:cs="宋体"/>
          <w:b/>
          <w:bCs/>
          <w:sz w:val="21"/>
          <w:szCs w:val="21"/>
        </w:rPr>
        <w:t>六、质保期：</w:t>
      </w:r>
    </w:p>
    <w:p>
      <w:pPr>
        <w:snapToGrid w:val="0"/>
        <w:spacing w:line="440" w:lineRule="exact"/>
        <w:ind w:firstLine="420" w:firstLineChars="200"/>
        <w:contextualSpacing/>
        <w:rPr>
          <w:rFonts w:hint="eastAsia" w:ascii="宋体" w:hAnsi="宋体" w:cs="宋体"/>
          <w:sz w:val="21"/>
          <w:szCs w:val="21"/>
          <w:u w:val="single"/>
        </w:rPr>
      </w:pPr>
      <w:r>
        <w:rPr>
          <w:rFonts w:hint="eastAsia" w:ascii="宋体" w:hAnsi="宋体" w:cs="宋体"/>
          <w:sz w:val="21"/>
          <w:szCs w:val="21"/>
          <w:u w:val="single"/>
        </w:rPr>
        <w:t>（根据乙方投标承诺，在确定合同时明确）。</w:t>
      </w:r>
    </w:p>
    <w:p>
      <w:pPr>
        <w:spacing w:line="440" w:lineRule="exact"/>
        <w:contextualSpacing/>
        <w:rPr>
          <w:rFonts w:hint="eastAsia" w:ascii="宋体" w:hAnsi="宋体" w:cs="宋体"/>
          <w:b/>
          <w:bCs/>
          <w:sz w:val="21"/>
          <w:szCs w:val="21"/>
        </w:rPr>
      </w:pPr>
      <w:r>
        <w:rPr>
          <w:rFonts w:hint="eastAsia" w:ascii="宋体" w:hAnsi="宋体" w:cs="宋体"/>
          <w:b/>
          <w:bCs/>
          <w:sz w:val="21"/>
          <w:szCs w:val="21"/>
        </w:rPr>
        <w:t>七、质量与检验：</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1、乙方应严格按照标书的有关规定提供合格标的物；交货时须提供该产品的合格证明。</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货物验收只能在甲方要求的分项货物到达后才可进行，验收时甲、乙双方一起当场开箱验货，如发现货物质次、损坏、产地和规格不符等问题，应作详细记录，由乙方立即无条件为甲方调换或补齐，同时由乙方承担因此而产生的一切后果。</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3、乙方应保证货物是全新的、先进的、成熟的、完整的、安全可靠的、未使用过的，是用一流的工艺和最佳材料制造而成的，并完全符合合同规定的质量、规格和性能的要求。乙方应保证所提供的货物经正确安装、正常运转和保养在其使用寿命期内应具有满意的性能。在货物质量保证期之内，乙方应对由于设计、工艺或材料的缺陷而发生的任何不足或故障负责。</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4、乙方应保证所有设备为原装正规渠道货源，所有产品、配置必须在原厂原装出厂，保证完整包装不开封，原包装到用户单位并当场开箱验货，同时提供该设备相关技术参数的书面说明，如不符招标文件技术要求的，所有责任由乙方承担。</w:t>
      </w:r>
    </w:p>
    <w:p>
      <w:pPr>
        <w:spacing w:line="440" w:lineRule="exact"/>
        <w:contextualSpacing/>
        <w:rPr>
          <w:rFonts w:hint="eastAsia" w:ascii="宋体" w:hAnsi="宋体" w:cs="宋体"/>
          <w:b/>
          <w:bCs/>
          <w:sz w:val="21"/>
          <w:szCs w:val="21"/>
        </w:rPr>
      </w:pPr>
      <w:r>
        <w:rPr>
          <w:rFonts w:hint="eastAsia" w:ascii="宋体" w:hAnsi="宋体" w:cs="宋体"/>
          <w:b/>
          <w:bCs/>
          <w:sz w:val="21"/>
          <w:szCs w:val="21"/>
        </w:rPr>
        <w:t>八、验收标准：</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1、乙方提供的标的物必须符合我国最新颁布的与之相关的技术规范与标准，同时必须满足招标书中所列全部规格、具体配置、技术条件及功能要求和乙方承诺的其它指标。</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设备经过试运行考核无故障（或存在的故障和隐患均已全部排除或解决），并经有关部门检验合格，所有的技术资料和图纸已向甲方提交并被接受，验收视为合格，双方签署验收合格证书。若因乙方产品质量或安装技术问题达不到验收标准，乙方应及时予以解决，期间发生的一切相关费用由乙方承担，甲方保留向乙方索赔的权利。</w:t>
      </w:r>
    </w:p>
    <w:p>
      <w:pPr>
        <w:spacing w:line="440" w:lineRule="exact"/>
        <w:contextualSpacing/>
        <w:rPr>
          <w:rFonts w:hint="eastAsia" w:ascii="宋体" w:hAnsi="宋体" w:cs="宋体"/>
          <w:b/>
          <w:bCs/>
          <w:sz w:val="21"/>
          <w:szCs w:val="21"/>
        </w:rPr>
      </w:pPr>
      <w:r>
        <w:rPr>
          <w:rFonts w:hint="eastAsia" w:ascii="宋体" w:hAnsi="宋体" w:cs="宋体"/>
          <w:b/>
          <w:bCs/>
          <w:sz w:val="21"/>
          <w:szCs w:val="21"/>
        </w:rPr>
        <w:t>九、交货条件：</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1、交货地点：</w:t>
      </w:r>
      <w:r>
        <w:rPr>
          <w:rFonts w:hint="eastAsia" w:ascii="宋体" w:hAnsi="宋体" w:cs="宋体"/>
          <w:sz w:val="21"/>
          <w:szCs w:val="21"/>
          <w:u w:val="single"/>
        </w:rPr>
        <w:t xml:space="preserve">   （签订合同时明确）   </w:t>
      </w:r>
      <w:r>
        <w:rPr>
          <w:rFonts w:hint="eastAsia" w:ascii="宋体" w:hAnsi="宋体" w:cs="宋体"/>
          <w:sz w:val="21"/>
          <w:szCs w:val="21"/>
        </w:rPr>
        <w:t>。</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2、产品的外观、包装、运输应按国家规定或部颁标准执行，如因乙方包装不当以及其它原因造成损坏或丢失，应由乙方负责修复或补缺。</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3、交货方式：由乙方负责运送货物至现场卸货，并负责保管、安装、调试、直至通过相关部门验收合格。</w:t>
      </w:r>
    </w:p>
    <w:p>
      <w:pPr>
        <w:pStyle w:val="27"/>
        <w:spacing w:line="440" w:lineRule="exact"/>
        <w:ind w:leftChars="0"/>
        <w:rPr>
          <w:rFonts w:hint="eastAsia"/>
          <w:u w:val="single"/>
        </w:rPr>
      </w:pPr>
      <w:r>
        <w:rPr>
          <w:rFonts w:hint="eastAsia" w:ascii="宋体" w:hAnsi="宋体" w:cs="宋体"/>
          <w:sz w:val="21"/>
          <w:szCs w:val="21"/>
        </w:rPr>
        <w:t>4、交货进度：</w:t>
      </w:r>
      <w:r>
        <w:rPr>
          <w:rFonts w:hint="eastAsia" w:ascii="宋体" w:hAnsi="宋体" w:cs="宋体"/>
          <w:sz w:val="21"/>
          <w:szCs w:val="21"/>
          <w:u w:val="single"/>
        </w:rPr>
        <w:t xml:space="preserve">    （根据中标人投标响应填写）      </w:t>
      </w:r>
      <w:r>
        <w:rPr>
          <w:rFonts w:hint="eastAsia" w:ascii="宋体" w:hAnsi="宋体" w:cs="宋体"/>
          <w:sz w:val="21"/>
          <w:szCs w:val="21"/>
        </w:rPr>
        <w:t>。</w:t>
      </w:r>
    </w:p>
    <w:p>
      <w:pPr>
        <w:spacing w:line="440" w:lineRule="exact"/>
        <w:contextualSpacing/>
        <w:rPr>
          <w:rFonts w:hint="eastAsia" w:ascii="宋体" w:hAnsi="宋体" w:cs="宋体"/>
          <w:b/>
          <w:bCs/>
          <w:sz w:val="21"/>
          <w:szCs w:val="21"/>
        </w:rPr>
      </w:pPr>
      <w:r>
        <w:rPr>
          <w:rFonts w:hint="eastAsia" w:ascii="宋体" w:hAnsi="宋体" w:cs="宋体"/>
          <w:b/>
          <w:bCs/>
          <w:sz w:val="21"/>
          <w:szCs w:val="21"/>
        </w:rPr>
        <w:t>十、安装施工期</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1、根据甲方使用需要，在接到甲方通知后，</w:t>
      </w:r>
      <w:r>
        <w:rPr>
          <w:rFonts w:hint="eastAsia" w:ascii="宋体" w:hAnsi="宋体" w:cs="宋体"/>
          <w:sz w:val="21"/>
          <w:szCs w:val="21"/>
          <w:u w:val="single"/>
        </w:rPr>
        <w:t xml:space="preserve">    </w:t>
      </w:r>
      <w:r>
        <w:rPr>
          <w:rFonts w:hint="eastAsia" w:ascii="宋体" w:hAnsi="宋体" w:cs="宋体"/>
          <w:sz w:val="21"/>
          <w:szCs w:val="21"/>
        </w:rPr>
        <w:t>天内完成供供货、安装及调试。</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2、乙方应按照甲方进度计划要求，合理安排设备安装进度计划，并报甲方认可后方可施工，以便相互配合，确保安装工程进度满足项目需要，如期交付。</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3、供货前7天内，乙方向甲方发出供货书面通知书。</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4、如遇下列情况，经甲方代表签证后，工期相应顺延：</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①因甲方原因导致乙方不能及时安装按延误的天数，经甲方代表签证后，安装工期予以相应顺延；</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②因人力不可抗拒的因素而延误的天数。</w:t>
      </w:r>
    </w:p>
    <w:p>
      <w:pPr>
        <w:spacing w:line="440" w:lineRule="exact"/>
        <w:contextualSpacing/>
        <w:rPr>
          <w:rFonts w:hint="eastAsia" w:ascii="宋体" w:hAnsi="宋体" w:cs="宋体"/>
          <w:b/>
          <w:bCs/>
          <w:sz w:val="21"/>
          <w:szCs w:val="21"/>
        </w:rPr>
      </w:pPr>
      <w:r>
        <w:rPr>
          <w:rFonts w:hint="eastAsia" w:ascii="宋体" w:hAnsi="宋体" w:cs="宋体"/>
          <w:b/>
          <w:bCs/>
          <w:sz w:val="21"/>
          <w:szCs w:val="21"/>
        </w:rPr>
        <w:t>十一、安全施工</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乙方应遵守安全生产有关管理规定，严格按安全生产标准组织施工，并接受安全检查人员依法实施的监督检查，采取必要的安全防护措施，消除事故隐患。由于乙方安全防护措施不力造成事故的责任和由此产生的费用由乙方承担。</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2、乙方必须加强施工区域范围内的安全管理工作，禁止本工程设备安装以外的闲杂人员进入，若发生安全事故，责任和由此产生的费用由乙方承担。</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3、乙方应对其在施工现场的工作人员进行安全教育。并接受甲方的教育安排。</w:t>
      </w:r>
    </w:p>
    <w:p>
      <w:pPr>
        <w:spacing w:line="440" w:lineRule="exact"/>
        <w:contextualSpacing/>
        <w:rPr>
          <w:rFonts w:hint="eastAsia" w:ascii="宋体" w:hAnsi="宋体" w:cs="宋体"/>
          <w:b/>
          <w:bCs/>
          <w:sz w:val="21"/>
          <w:szCs w:val="21"/>
        </w:rPr>
      </w:pPr>
      <w:r>
        <w:rPr>
          <w:rFonts w:hint="eastAsia" w:ascii="宋体" w:hAnsi="宋体" w:cs="宋体"/>
          <w:b/>
          <w:bCs/>
          <w:sz w:val="21"/>
          <w:szCs w:val="21"/>
        </w:rPr>
        <w:t>十二、售后服务：</w:t>
      </w:r>
    </w:p>
    <w:p>
      <w:pPr>
        <w:snapToGrid w:val="0"/>
        <w:spacing w:line="440" w:lineRule="exact"/>
        <w:ind w:firstLine="420" w:firstLineChars="200"/>
        <w:contextualSpacing/>
        <w:rPr>
          <w:rFonts w:hint="eastAsia" w:ascii="宋体" w:hAnsi="宋体" w:cs="宋体"/>
          <w:sz w:val="21"/>
          <w:szCs w:val="21"/>
          <w:u w:val="single"/>
        </w:rPr>
      </w:pPr>
      <w:r>
        <w:rPr>
          <w:rFonts w:hint="eastAsia" w:ascii="宋体" w:hAnsi="宋体" w:cs="宋体"/>
          <w:sz w:val="21"/>
          <w:szCs w:val="21"/>
          <w:u w:val="single"/>
        </w:rPr>
        <w:t>（根据乙方投标承诺，在确定合同时明确）。</w:t>
      </w:r>
    </w:p>
    <w:p>
      <w:pPr>
        <w:spacing w:line="440" w:lineRule="exact"/>
        <w:contextualSpacing/>
        <w:rPr>
          <w:rFonts w:hint="eastAsia" w:ascii="宋体" w:hAnsi="宋体" w:cs="宋体"/>
          <w:b/>
          <w:bCs/>
          <w:sz w:val="21"/>
          <w:szCs w:val="21"/>
        </w:rPr>
      </w:pPr>
      <w:r>
        <w:rPr>
          <w:rFonts w:hint="eastAsia" w:ascii="宋体" w:hAnsi="宋体" w:cs="宋体"/>
          <w:b/>
          <w:bCs/>
          <w:sz w:val="21"/>
          <w:szCs w:val="21"/>
        </w:rPr>
        <w:t>十三、双方责任及费用</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1、甲方责任</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（1）协调提供符合安装要求的电源和照明电源。</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（2）负责协调安装现场工作。</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（3）按合同规定时间节点支付乙方货物款。</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（4）其他责任：</w:t>
      </w:r>
      <w:r>
        <w:rPr>
          <w:rFonts w:hint="eastAsia" w:ascii="宋体" w:hAnsi="宋体" w:cs="宋体"/>
          <w:sz w:val="21"/>
          <w:szCs w:val="21"/>
          <w:u w:val="single"/>
        </w:rPr>
        <w:t xml:space="preserve">   （签订合同时明确）    </w:t>
      </w:r>
      <w:r>
        <w:rPr>
          <w:rFonts w:hint="eastAsia" w:ascii="宋体" w:hAnsi="宋体" w:cs="宋体"/>
          <w:sz w:val="21"/>
          <w:szCs w:val="21"/>
        </w:rPr>
        <w:t>。</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2、乙方责任</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（1）在安装时间前，负责派员前往安装现场进行勘测，确认工地安装条件，向甲方提供咨询服务和提出整改要求，与甲方约定具体开工日期。具体安装进度必须服从甲方的工程进度安排。</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在货物到场后，会同甲方代表根据发运资料共同对货物包装完整性和装箱数量等进行清点。到货查验的具体内容要求按甲、乙双方要求及合同相关条款内容执行。由于质量、材料、工艺、制造、安装要求不达标等问题而对本项目造成任何影响的，由乙方负责。</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（3）货物进场后，负责货物的到货后领取、储存、保管、起吊、定位、安全保护、现场清理等等，并承担一切费用和责任，直至乙方设备安装完成，并通过甲方组织的竣工验收合格后止。</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（4）按照国家相关规范和乙方的质量标准完成设备的安装和调试工作，并服从</w:t>
      </w:r>
      <w:r>
        <w:rPr>
          <w:rFonts w:hint="eastAsia" w:ascii="宋体" w:hAnsi="宋体" w:cs="宋体"/>
          <w:bCs/>
          <w:sz w:val="21"/>
          <w:szCs w:val="21"/>
        </w:rPr>
        <w:t>甲方</w:t>
      </w:r>
      <w:r>
        <w:rPr>
          <w:rFonts w:hint="eastAsia" w:ascii="宋体" w:hAnsi="宋体" w:cs="宋体"/>
          <w:sz w:val="21"/>
          <w:szCs w:val="21"/>
        </w:rPr>
        <w:t>的质量管理。</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（5）遵守施工现场的有关规章制度，并服从配合</w:t>
      </w:r>
      <w:r>
        <w:rPr>
          <w:rFonts w:hint="eastAsia" w:ascii="宋体" w:hAnsi="宋体" w:cs="宋体"/>
          <w:bCs/>
          <w:sz w:val="21"/>
          <w:szCs w:val="21"/>
        </w:rPr>
        <w:t>甲方</w:t>
      </w:r>
      <w:r>
        <w:rPr>
          <w:rFonts w:hint="eastAsia" w:ascii="宋体" w:hAnsi="宋体" w:cs="宋体"/>
          <w:sz w:val="21"/>
          <w:szCs w:val="21"/>
        </w:rPr>
        <w:t>做好安全文明施工相关工作。</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（6）负责为乙方现场施工人员购买劳动保险和人身保险，由于乙方自身原因导致发生事故，乙方将承担由此产生的人生伤害责任和经济损失责任。</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（7）设备附近管道接入管的连接由乙方自行处理。</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（8）负责安装质量的自检验收，配合甲方或甲方指定的监督管理部门进行验收。</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（9）负责由于安装质量问题造成的二次检验的整改和费用。</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（10）提供四套安装检测记录、调试报告、验收报告、竣工验收证书等安装工程资料。</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（11）负责货物安装期间的现场安全防护、防火、防盗、并清除施工现场积水和杂物等工作。</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（12）成品保护：乙方须做好成品保护工作，在移交前做好部品、成品的保管工作，对其他可能危及成品保护的施工内容应及时通报甲方，同时做好对相关工程的成品保护工作。承担由此带来的费用及损坏赔偿。</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（13）本合同执行中相关的一切税费均由乙方负担。</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（14）其他责任：</w:t>
      </w:r>
      <w:r>
        <w:rPr>
          <w:rFonts w:hint="eastAsia" w:ascii="宋体" w:hAnsi="宋体" w:cs="宋体"/>
          <w:sz w:val="21"/>
          <w:szCs w:val="21"/>
          <w:u w:val="single"/>
        </w:rPr>
        <w:t xml:space="preserve">   （签订合同时明确）    </w:t>
      </w:r>
      <w:r>
        <w:rPr>
          <w:rFonts w:hint="eastAsia" w:ascii="宋体" w:hAnsi="宋体" w:cs="宋体"/>
          <w:sz w:val="21"/>
          <w:szCs w:val="21"/>
        </w:rPr>
        <w:t>。</w:t>
      </w:r>
    </w:p>
    <w:p>
      <w:pPr>
        <w:spacing w:line="440" w:lineRule="exact"/>
        <w:contextualSpacing/>
        <w:rPr>
          <w:rFonts w:hint="eastAsia" w:ascii="宋体" w:hAnsi="宋体" w:cs="宋体"/>
          <w:b/>
          <w:bCs/>
          <w:sz w:val="21"/>
          <w:szCs w:val="21"/>
        </w:rPr>
      </w:pPr>
      <w:r>
        <w:rPr>
          <w:rFonts w:hint="eastAsia" w:ascii="宋体" w:hAnsi="宋体" w:cs="宋体"/>
          <w:b/>
          <w:bCs/>
          <w:sz w:val="21"/>
          <w:szCs w:val="21"/>
        </w:rPr>
        <w:t>十四、违约责任</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 甲方无正当理由拒收货物的，甲方向乙方偿付拒收货款总值的百分之五违约金。</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 甲方无故逾期验收和办理货款支付手续的,甲方应按逾期付款总额每日万分之</w:t>
      </w:r>
      <w:r>
        <w:rPr>
          <w:rFonts w:hint="eastAsia" w:ascii="宋体" w:hAnsi="宋体" w:cs="宋体"/>
          <w:sz w:val="21"/>
          <w:szCs w:val="21"/>
          <w:lang w:val="en-US" w:eastAsia="zh-CN"/>
        </w:rPr>
        <w:t>二</w:t>
      </w:r>
      <w:r>
        <w:rPr>
          <w:rFonts w:hint="eastAsia" w:ascii="宋体" w:hAnsi="宋体" w:cs="宋体"/>
          <w:sz w:val="21"/>
          <w:szCs w:val="21"/>
        </w:rPr>
        <w:t>向乙方支付违约金。</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 xml:space="preserve">3. 乙方逾期交付货物的，乙方应按逾期交货总额每日千分之六向甲方支付违约金，由甲方从待付货款中扣除。逾期超过约定日期10个工作日不能供货、安装及调试的，甲方可解除本合同，且要求乙方退回甲方已支付的款项。乙方因逾期供货、安装及调试或因其他违约行为导致甲方解除合同的，乙方应向甲方支付合同总值5%的违约金，如造成甲方损失超过违约金的，超出部分由乙方继续承担赔偿责任。 </w:t>
      </w:r>
    </w:p>
    <w:p>
      <w:pPr>
        <w:spacing w:line="440" w:lineRule="exact"/>
        <w:ind w:firstLine="420" w:firstLineChars="200"/>
        <w:contextualSpacing/>
        <w:rPr>
          <w:rFonts w:hint="eastAsia" w:ascii="宋体" w:hAnsi="宋体" w:eastAsia="宋体" w:cs="宋体"/>
          <w:sz w:val="21"/>
          <w:szCs w:val="21"/>
          <w:lang w:eastAsia="zh-CN"/>
        </w:rPr>
      </w:pPr>
      <w:r>
        <w:rPr>
          <w:rFonts w:hint="eastAsia" w:ascii="宋体" w:hAnsi="宋体" w:cs="宋体"/>
          <w:sz w:val="21"/>
          <w:szCs w:val="21"/>
        </w:rPr>
        <w:t>4. 乙方所交的货物品种、型号、规格、技术参数、质量不符合合同规定及招标文件规定标准的，甲方有权拒收该货物，乙方愿意更换货物但逾期交货的，按乙方逾期交货处理。乙方拒绝更换货物的，甲方可单方面解除合同，并要求退回已支付的款项</w:t>
      </w:r>
      <w:r>
        <w:rPr>
          <w:rFonts w:hint="eastAsia" w:ascii="宋体" w:hAnsi="宋体" w:cs="宋体"/>
          <w:sz w:val="21"/>
          <w:szCs w:val="21"/>
          <w:lang w:eastAsia="zh-CN"/>
        </w:rPr>
        <w:t>，</w:t>
      </w:r>
      <w:r>
        <w:rPr>
          <w:rFonts w:hint="eastAsia" w:ascii="宋体" w:hAnsi="宋体" w:cs="宋体"/>
          <w:sz w:val="21"/>
          <w:szCs w:val="21"/>
          <w:lang w:val="en-US" w:eastAsia="zh-CN"/>
        </w:rPr>
        <w:t>并</w:t>
      </w:r>
      <w:r>
        <w:rPr>
          <w:rFonts w:hint="eastAsia" w:ascii="宋体" w:hAnsi="宋体" w:cs="宋体"/>
          <w:sz w:val="21"/>
          <w:szCs w:val="21"/>
        </w:rPr>
        <w:t>向甲方支付合同总值5%的违约金，如造成甲方损失超过违约金的，超出部分由乙方继续承担赔偿责任。</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5. 质保期间，乙方应在合同规定的时间内，免费维修或更换有缺陷产品或部件；如在规定时间内没有弥补缺陷的，甲方可采取必要的补救措施，但风险和费用将由乙方承担，乙方连续三次未到场维护的，须赔付合同总价百分之十的违约金。</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6. 在未得到对方许可的情况下，甲方或乙方均不得擅自终止本合同，如双方中的任何一方造成前述事实，则违约方将向另一方支付中途毁约违约金，金额为本合同总价的百分之三十。</w:t>
      </w:r>
    </w:p>
    <w:p>
      <w:pPr>
        <w:spacing w:line="440" w:lineRule="exact"/>
        <w:contextualSpacing/>
        <w:rPr>
          <w:rFonts w:hint="eastAsia" w:ascii="宋体" w:hAnsi="宋体" w:cs="宋体"/>
          <w:b/>
          <w:bCs/>
          <w:sz w:val="21"/>
          <w:szCs w:val="21"/>
        </w:rPr>
      </w:pPr>
      <w:r>
        <w:rPr>
          <w:rFonts w:hint="eastAsia" w:ascii="宋体" w:hAnsi="宋体" w:cs="宋体"/>
          <w:b/>
          <w:bCs/>
          <w:sz w:val="21"/>
          <w:szCs w:val="21"/>
        </w:rPr>
        <w:t>十五、不可抗力事件处理</w:t>
      </w:r>
    </w:p>
    <w:p>
      <w:pPr>
        <w:spacing w:line="440" w:lineRule="exact"/>
        <w:ind w:firstLine="411" w:firstLineChars="196"/>
        <w:contextualSpacing/>
        <w:rPr>
          <w:rFonts w:hint="eastAsia" w:ascii="宋体" w:hAnsi="宋体" w:cs="宋体"/>
          <w:sz w:val="21"/>
          <w:szCs w:val="21"/>
        </w:rPr>
      </w:pPr>
      <w:r>
        <w:rPr>
          <w:rFonts w:hint="eastAsia" w:ascii="宋体" w:hAnsi="宋体" w:cs="宋体"/>
          <w:sz w:val="21"/>
          <w:szCs w:val="21"/>
        </w:rPr>
        <w:t>1. 在合同有效期内，任何一方因不可抗力事件导致不能履行合同，则合同履行期可延长，其延长期与不可抗力影响期相同。</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 不可抗力事件发生后，应立即通知对方，并寄送有关权威机构出具的证明。</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3. 不可抗力事件延续120天以上，双方应通过友好协商，确定是否继续履行合同。</w:t>
      </w:r>
    </w:p>
    <w:p>
      <w:pPr>
        <w:spacing w:line="440" w:lineRule="exact"/>
        <w:contextualSpacing/>
        <w:rPr>
          <w:rFonts w:hint="eastAsia" w:ascii="宋体" w:hAnsi="宋体" w:cs="宋体"/>
          <w:b/>
          <w:bCs/>
          <w:sz w:val="21"/>
          <w:szCs w:val="21"/>
        </w:rPr>
      </w:pPr>
      <w:r>
        <w:rPr>
          <w:rFonts w:hint="eastAsia" w:ascii="宋体" w:hAnsi="宋体" w:cs="宋体"/>
          <w:b/>
          <w:bCs/>
          <w:sz w:val="21"/>
          <w:szCs w:val="21"/>
        </w:rPr>
        <w:t>十六、诉讼</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双方在执行合同中所发生的一切争议，当事人应通过协商解决。如协商不成，可向甲方所在地法院起诉。</w:t>
      </w:r>
    </w:p>
    <w:p>
      <w:pPr>
        <w:pStyle w:val="14"/>
        <w:spacing w:line="440" w:lineRule="exact"/>
        <w:ind w:left="0" w:leftChars="0" w:right="482"/>
        <w:contextualSpacing/>
        <w:rPr>
          <w:rFonts w:hint="eastAsia" w:ascii="宋体" w:hAnsi="宋体" w:cs="宋体"/>
          <w:bCs/>
          <w:sz w:val="21"/>
          <w:szCs w:val="21"/>
        </w:rPr>
      </w:pPr>
      <w:r>
        <w:rPr>
          <w:rFonts w:hint="eastAsia" w:ascii="宋体" w:hAnsi="宋体" w:cs="宋体"/>
          <w:b/>
          <w:bCs/>
          <w:sz w:val="21"/>
          <w:szCs w:val="21"/>
        </w:rPr>
        <w:t>十七 、合同生效及其它</w:t>
      </w:r>
      <w:r>
        <w:rPr>
          <w:rFonts w:hint="eastAsia" w:ascii="宋体" w:hAnsi="宋体" w:cs="宋体"/>
          <w:bCs/>
          <w:sz w:val="21"/>
          <w:szCs w:val="21"/>
        </w:rPr>
        <w:t>：</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1、合同经甲乙双方代表签字并加盖公章（或合同章）后即生效。</w:t>
      </w:r>
    </w:p>
    <w:p>
      <w:pPr>
        <w:spacing w:line="440" w:lineRule="exact"/>
        <w:ind w:firstLine="420" w:firstLineChars="200"/>
        <w:contextualSpacing/>
        <w:rPr>
          <w:rFonts w:hint="eastAsia" w:ascii="宋体" w:hAnsi="宋体" w:cs="宋体"/>
          <w:sz w:val="21"/>
          <w:szCs w:val="21"/>
        </w:rPr>
      </w:pPr>
      <w:r>
        <w:rPr>
          <w:rFonts w:hint="eastAsia" w:ascii="宋体" w:hAnsi="宋体" w:cs="宋体"/>
          <w:sz w:val="21"/>
          <w:szCs w:val="21"/>
        </w:rPr>
        <w:t>2、合同签订后甲乙双方即直接产生权利与义务的关系，合同执行过程中出现的问题应按照《招标文件》、《投标文件》、《</w:t>
      </w:r>
      <w:r>
        <w:rPr>
          <w:rFonts w:hint="eastAsia" w:ascii="宋体" w:hAnsi="宋体" w:cs="宋体"/>
          <w:sz w:val="21"/>
          <w:szCs w:val="21"/>
          <w:lang w:val="en-US" w:eastAsia="zh-CN"/>
        </w:rPr>
        <w:t>民法典</w:t>
      </w:r>
      <w:r>
        <w:rPr>
          <w:rFonts w:hint="eastAsia" w:ascii="宋体" w:hAnsi="宋体" w:cs="宋体"/>
          <w:sz w:val="21"/>
          <w:szCs w:val="21"/>
        </w:rPr>
        <w:t>》的规定办理，在合同履行过程中，双方如有争议，经协商无效，任何一方可向招标单位所在地人民法院提起诉讼。</w:t>
      </w:r>
    </w:p>
    <w:p>
      <w:pPr>
        <w:spacing w:line="440" w:lineRule="exact"/>
        <w:contextualSpacing/>
        <w:jc w:val="left"/>
        <w:rPr>
          <w:rFonts w:hint="eastAsia" w:ascii="宋体" w:hAnsi="宋体" w:cs="宋体"/>
          <w:b/>
          <w:bCs/>
          <w:sz w:val="21"/>
          <w:szCs w:val="21"/>
        </w:rPr>
      </w:pPr>
      <w:r>
        <w:rPr>
          <w:rFonts w:hint="eastAsia" w:ascii="宋体" w:hAnsi="宋体" w:cs="宋体"/>
          <w:b/>
          <w:bCs/>
          <w:sz w:val="21"/>
          <w:szCs w:val="21"/>
        </w:rPr>
        <w:t>十八、合同签订：</w:t>
      </w:r>
    </w:p>
    <w:p>
      <w:pPr>
        <w:spacing w:line="440" w:lineRule="exact"/>
        <w:ind w:firstLine="420" w:firstLineChars="200"/>
        <w:contextualSpacing/>
        <w:jc w:val="left"/>
        <w:rPr>
          <w:rFonts w:hint="eastAsia" w:ascii="宋体" w:hAnsi="宋体" w:cs="宋体"/>
          <w:sz w:val="21"/>
          <w:szCs w:val="21"/>
        </w:rPr>
      </w:pPr>
      <w:r>
        <w:rPr>
          <w:rFonts w:hint="eastAsia" w:ascii="宋体" w:hAnsi="宋体" w:cs="宋体"/>
          <w:sz w:val="21"/>
          <w:szCs w:val="21"/>
        </w:rPr>
        <w:t>1、本合同正本一式</w:t>
      </w:r>
      <w:r>
        <w:rPr>
          <w:rFonts w:hint="eastAsia" w:ascii="宋体" w:hAnsi="宋体" w:cs="宋体"/>
          <w:sz w:val="21"/>
          <w:szCs w:val="21"/>
          <w:u w:val="single"/>
        </w:rPr>
        <w:t xml:space="preserve">    </w:t>
      </w:r>
      <w:r>
        <w:rPr>
          <w:rFonts w:hint="eastAsia" w:ascii="宋体" w:hAnsi="宋体" w:cs="宋体"/>
          <w:sz w:val="21"/>
          <w:szCs w:val="21"/>
        </w:rPr>
        <w:t>份，甲、乙双方各持</w:t>
      </w:r>
      <w:r>
        <w:rPr>
          <w:rFonts w:hint="eastAsia" w:ascii="宋体" w:hAnsi="宋体" w:cs="宋体"/>
          <w:sz w:val="21"/>
          <w:szCs w:val="21"/>
          <w:u w:val="single"/>
        </w:rPr>
        <w:t xml:space="preserve">    </w:t>
      </w:r>
      <w:r>
        <w:rPr>
          <w:rFonts w:hint="eastAsia" w:ascii="宋体" w:hAnsi="宋体" w:cs="宋体"/>
          <w:sz w:val="21"/>
          <w:szCs w:val="21"/>
        </w:rPr>
        <w:t>份；副本一式</w:t>
      </w:r>
      <w:r>
        <w:rPr>
          <w:rFonts w:hint="eastAsia" w:ascii="宋体" w:hAnsi="宋体" w:cs="宋体"/>
          <w:sz w:val="21"/>
          <w:szCs w:val="21"/>
          <w:u w:val="single"/>
        </w:rPr>
        <w:t xml:space="preserve">    </w:t>
      </w:r>
      <w:r>
        <w:rPr>
          <w:rFonts w:hint="eastAsia" w:ascii="宋体" w:hAnsi="宋体" w:cs="宋体"/>
          <w:sz w:val="21"/>
          <w:szCs w:val="21"/>
        </w:rPr>
        <w:t>份，均具有同等法律效力</w:t>
      </w:r>
    </w:p>
    <w:p>
      <w:pPr>
        <w:spacing w:line="440" w:lineRule="exact"/>
        <w:ind w:firstLine="420" w:firstLineChars="200"/>
        <w:contextualSpacing/>
        <w:jc w:val="left"/>
        <w:rPr>
          <w:rFonts w:hint="eastAsia" w:ascii="宋体" w:hAnsi="宋体" w:cs="宋体"/>
          <w:sz w:val="21"/>
          <w:szCs w:val="21"/>
        </w:rPr>
      </w:pPr>
      <w:r>
        <w:rPr>
          <w:rFonts w:hint="eastAsia" w:ascii="宋体" w:hAnsi="宋体" w:cs="宋体"/>
          <w:sz w:val="21"/>
          <w:szCs w:val="21"/>
        </w:rPr>
        <w:t>2、合同签订地点：宁波市象山县</w:t>
      </w:r>
    </w:p>
    <w:p>
      <w:pPr>
        <w:spacing w:line="440" w:lineRule="exact"/>
        <w:ind w:firstLine="413" w:firstLineChars="196"/>
        <w:contextualSpacing/>
        <w:rPr>
          <w:rFonts w:hint="eastAsia" w:ascii="宋体" w:hAnsi="宋体" w:cs="宋体"/>
          <w:b/>
          <w:sz w:val="21"/>
          <w:szCs w:val="21"/>
        </w:rPr>
      </w:pPr>
      <w:r>
        <w:rPr>
          <w:rFonts w:hint="eastAsia" w:ascii="宋体" w:hAnsi="宋体" w:cs="宋体"/>
          <w:b/>
          <w:sz w:val="21"/>
          <w:szCs w:val="21"/>
        </w:rPr>
        <w:t>本合同未尽事宜，遵照《</w:t>
      </w:r>
      <w:r>
        <w:rPr>
          <w:rFonts w:hint="eastAsia" w:ascii="宋体" w:hAnsi="宋体" w:cs="宋体"/>
          <w:b/>
          <w:sz w:val="21"/>
          <w:szCs w:val="21"/>
          <w:lang w:val="en-US" w:eastAsia="zh-CN"/>
        </w:rPr>
        <w:t>民法典</w:t>
      </w:r>
      <w:r>
        <w:rPr>
          <w:rFonts w:hint="eastAsia" w:ascii="宋体" w:hAnsi="宋体" w:cs="宋体"/>
          <w:b/>
          <w:sz w:val="21"/>
          <w:szCs w:val="21"/>
        </w:rPr>
        <w:t>》有关条文执行。</w:t>
      </w:r>
    </w:p>
    <w:p>
      <w:pPr>
        <w:spacing w:line="420" w:lineRule="exact"/>
        <w:ind w:firstLine="413" w:firstLineChars="196"/>
        <w:contextualSpacing/>
        <w:rPr>
          <w:rFonts w:hint="eastAsia" w:ascii="宋体" w:hAnsi="宋体" w:cs="宋体"/>
          <w:b/>
          <w:sz w:val="21"/>
          <w:szCs w:val="21"/>
        </w:rPr>
      </w:pPr>
    </w:p>
    <w:p>
      <w:pPr>
        <w:pStyle w:val="83"/>
        <w:shd w:val="clear" w:color="auto" w:fill="FFFFFF"/>
        <w:spacing w:before="0" w:beforeAutospacing="0" w:after="0" w:afterAutospacing="0" w:line="440" w:lineRule="exact"/>
        <w:rPr>
          <w:rFonts w:hint="eastAsia"/>
          <w:sz w:val="21"/>
          <w:szCs w:val="21"/>
        </w:rPr>
      </w:pPr>
      <w:r>
        <w:rPr>
          <w:rFonts w:hint="eastAsia"/>
          <w:sz w:val="21"/>
          <w:szCs w:val="21"/>
        </w:rPr>
        <w:t>甲方                                        乙方</w:t>
      </w:r>
    </w:p>
    <w:p>
      <w:pPr>
        <w:pStyle w:val="83"/>
        <w:shd w:val="clear" w:color="auto" w:fill="FFFFFF"/>
        <w:spacing w:before="0" w:beforeAutospacing="0" w:after="0" w:afterAutospacing="0" w:line="440" w:lineRule="exact"/>
        <w:rPr>
          <w:rFonts w:hint="eastAsia"/>
          <w:sz w:val="21"/>
          <w:szCs w:val="21"/>
        </w:rPr>
      </w:pPr>
      <w:r>
        <w:rPr>
          <w:rFonts w:hint="eastAsia"/>
          <w:sz w:val="21"/>
          <w:szCs w:val="21"/>
        </w:rPr>
        <w:t>单位名称：（公章）                          单位名称：（公章）</w:t>
      </w:r>
    </w:p>
    <w:p>
      <w:pPr>
        <w:pStyle w:val="83"/>
        <w:shd w:val="clear" w:color="auto" w:fill="FFFFFF"/>
        <w:spacing w:before="0" w:beforeAutospacing="0" w:after="0" w:afterAutospacing="0" w:line="440" w:lineRule="exact"/>
        <w:rPr>
          <w:rFonts w:hint="eastAsia"/>
          <w:sz w:val="21"/>
          <w:szCs w:val="21"/>
        </w:rPr>
      </w:pPr>
      <w:r>
        <w:rPr>
          <w:rFonts w:hint="eastAsia"/>
          <w:sz w:val="21"/>
          <w:szCs w:val="21"/>
        </w:rPr>
        <w:t>法定代表人：（签字）                        法定代表人：（签字）</w:t>
      </w:r>
    </w:p>
    <w:p>
      <w:pPr>
        <w:pStyle w:val="83"/>
        <w:shd w:val="clear" w:color="auto" w:fill="FFFFFF"/>
        <w:spacing w:before="0" w:beforeAutospacing="0" w:after="0" w:afterAutospacing="0" w:line="440" w:lineRule="exact"/>
        <w:rPr>
          <w:rFonts w:hint="eastAsia"/>
          <w:sz w:val="21"/>
          <w:szCs w:val="21"/>
        </w:rPr>
      </w:pPr>
      <w:r>
        <w:rPr>
          <w:rFonts w:hint="eastAsia"/>
          <w:sz w:val="21"/>
          <w:szCs w:val="21"/>
        </w:rPr>
        <w:t>委托代理人：（签字）                        委托代理人：（签字）</w:t>
      </w:r>
    </w:p>
    <w:p>
      <w:pPr>
        <w:pStyle w:val="83"/>
        <w:shd w:val="clear" w:color="auto" w:fill="FFFFFF"/>
        <w:spacing w:before="0" w:beforeAutospacing="0" w:after="0" w:afterAutospacing="0" w:line="440" w:lineRule="exact"/>
        <w:rPr>
          <w:rFonts w:hint="eastAsia"/>
          <w:sz w:val="21"/>
          <w:szCs w:val="21"/>
        </w:rPr>
      </w:pPr>
      <w:r>
        <w:rPr>
          <w:rFonts w:hint="eastAsia"/>
          <w:sz w:val="21"/>
          <w:szCs w:val="21"/>
        </w:rPr>
        <w:t>开户银行：                                  开户银行：</w:t>
      </w:r>
    </w:p>
    <w:p>
      <w:pPr>
        <w:pStyle w:val="83"/>
        <w:shd w:val="clear" w:color="auto" w:fill="FFFFFF"/>
        <w:spacing w:before="0" w:beforeAutospacing="0" w:after="0" w:afterAutospacing="0" w:line="440" w:lineRule="exact"/>
        <w:rPr>
          <w:rFonts w:hint="eastAsia"/>
          <w:sz w:val="21"/>
          <w:szCs w:val="21"/>
        </w:rPr>
      </w:pPr>
      <w:r>
        <w:rPr>
          <w:rFonts w:hint="eastAsia"/>
          <w:sz w:val="21"/>
          <w:szCs w:val="21"/>
        </w:rPr>
        <w:t>账号：                                      账号：</w:t>
      </w:r>
    </w:p>
    <w:p>
      <w:pPr>
        <w:pStyle w:val="83"/>
        <w:shd w:val="clear" w:color="auto" w:fill="FFFFFF"/>
        <w:spacing w:before="0" w:beforeAutospacing="0" w:after="0" w:afterAutospacing="0" w:line="440" w:lineRule="exact"/>
        <w:rPr>
          <w:rFonts w:hint="eastAsia"/>
          <w:sz w:val="21"/>
          <w:szCs w:val="21"/>
        </w:rPr>
      </w:pPr>
      <w:r>
        <w:rPr>
          <w:rFonts w:hint="eastAsia"/>
          <w:sz w:val="21"/>
          <w:szCs w:val="21"/>
        </w:rPr>
        <w:t>地址：                                      地址：</w:t>
      </w:r>
    </w:p>
    <w:p>
      <w:pPr>
        <w:pStyle w:val="83"/>
        <w:shd w:val="clear" w:color="auto" w:fill="FFFFFF"/>
        <w:spacing w:before="0" w:beforeAutospacing="0" w:after="0" w:afterAutospacing="0" w:line="440" w:lineRule="exact"/>
        <w:rPr>
          <w:rFonts w:hint="eastAsia"/>
          <w:sz w:val="21"/>
          <w:szCs w:val="21"/>
        </w:rPr>
      </w:pPr>
      <w:r>
        <w:rPr>
          <w:rFonts w:hint="eastAsia"/>
          <w:sz w:val="21"/>
          <w:szCs w:val="21"/>
        </w:rPr>
        <w:t>电话：                                      电话：</w:t>
      </w:r>
    </w:p>
    <w:p>
      <w:pPr>
        <w:pStyle w:val="83"/>
        <w:shd w:val="clear" w:color="auto" w:fill="FFFFFF"/>
        <w:spacing w:before="0" w:beforeAutospacing="0" w:after="0" w:afterAutospacing="0" w:line="440" w:lineRule="exact"/>
        <w:rPr>
          <w:rFonts w:hint="eastAsia"/>
          <w:sz w:val="21"/>
          <w:szCs w:val="21"/>
        </w:rPr>
      </w:pPr>
      <w:r>
        <w:rPr>
          <w:rFonts w:hint="eastAsia"/>
          <w:sz w:val="21"/>
          <w:szCs w:val="21"/>
        </w:rPr>
        <w:t>签订日期：    年    月   日                 签订日期：    年    月   日</w:t>
      </w:r>
    </w:p>
    <w:p>
      <w:pPr>
        <w:pStyle w:val="83"/>
        <w:shd w:val="clear" w:color="auto" w:fill="FFFFFF"/>
        <w:spacing w:before="0" w:beforeAutospacing="0" w:after="0" w:afterAutospacing="0" w:line="440" w:lineRule="exact"/>
        <w:rPr>
          <w:rFonts w:hint="eastAsia" w:ascii="宋体" w:hAnsi="宋体" w:eastAsia="宋体" w:cs="宋体"/>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30"/>
          <w:szCs w:val="30"/>
        </w:rPr>
      </w:pPr>
      <w:r>
        <w:rPr>
          <w:rFonts w:hint="eastAsia" w:ascii="宋体" w:hAnsi="宋体" w:eastAsia="宋体" w:cs="宋体"/>
          <w:b/>
          <w:bCs/>
          <w:sz w:val="21"/>
          <w:szCs w:val="21"/>
        </w:rPr>
        <w:br w:type="page"/>
      </w:r>
      <w:r>
        <w:rPr>
          <w:rFonts w:hint="eastAsia" w:ascii="宋体" w:hAnsi="宋体" w:eastAsia="宋体" w:cs="宋体"/>
          <w:b/>
          <w:bCs/>
          <w:sz w:val="30"/>
          <w:szCs w:val="30"/>
        </w:rPr>
        <w:t>第六章  投标文件格式</w:t>
      </w:r>
    </w:p>
    <w:p>
      <w:pPr>
        <w:pStyle w:val="21"/>
        <w:spacing w:line="440" w:lineRule="exact"/>
        <w:jc w:val="left"/>
        <w:rPr>
          <w:rFonts w:hint="eastAsia" w:ascii="宋体" w:hAnsi="宋体" w:eastAsia="宋体" w:cs="宋体"/>
          <w:sz w:val="21"/>
          <w:szCs w:val="21"/>
        </w:rPr>
      </w:pPr>
      <w:bookmarkStart w:id="53" w:name="_Toc426556835"/>
      <w:bookmarkEnd w:id="53"/>
      <w:r>
        <w:rPr>
          <w:rFonts w:hint="eastAsia" w:ascii="宋体" w:hAnsi="宋体" w:eastAsia="宋体" w:cs="宋体"/>
          <w:b w:val="0"/>
          <w:bCs w:val="0"/>
          <w:kern w:val="2"/>
          <w:sz w:val="21"/>
          <w:szCs w:val="21"/>
        </w:rPr>
        <w:t>投标文件封面格式</w:t>
      </w:r>
    </w:p>
    <w:p>
      <w:pPr>
        <w:spacing w:line="440" w:lineRule="exact"/>
        <w:ind w:right="240"/>
        <w:jc w:val="right"/>
        <w:rPr>
          <w:rFonts w:hint="eastAsia" w:ascii="宋体" w:hAnsi="宋体" w:eastAsia="宋体" w:cs="宋体"/>
          <w:sz w:val="21"/>
          <w:szCs w:val="21"/>
        </w:rPr>
      </w:pPr>
      <w:r>
        <w:rPr>
          <w:rFonts w:hint="eastAsia" w:ascii="宋体" w:hAnsi="宋体" w:eastAsia="宋体" w:cs="宋体"/>
          <w:sz w:val="21"/>
          <w:szCs w:val="21"/>
        </w:rPr>
        <w:t xml:space="preserve"> </w:t>
      </w:r>
    </w:p>
    <w:p>
      <w:pPr>
        <w:pStyle w:val="21"/>
        <w:spacing w:line="440" w:lineRule="exact"/>
        <w:jc w:val="right"/>
        <w:rPr>
          <w:rFonts w:hint="eastAsia" w:ascii="宋体" w:hAnsi="宋体" w:eastAsia="宋体" w:cs="宋体"/>
          <w:b w:val="0"/>
          <w:bCs w:val="0"/>
          <w:kern w:val="2"/>
          <w:sz w:val="21"/>
          <w:szCs w:val="21"/>
        </w:rPr>
      </w:pPr>
    </w:p>
    <w:p>
      <w:pPr>
        <w:spacing w:line="440" w:lineRule="exact"/>
        <w:jc w:val="center"/>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投标文件</w:t>
      </w:r>
    </w:p>
    <w:p>
      <w:pPr>
        <w:spacing w:line="440" w:lineRule="exact"/>
        <w:rPr>
          <w:rFonts w:hint="eastAsia" w:ascii="宋体" w:hAnsi="宋体" w:eastAsia="宋体" w:cs="宋体"/>
          <w:b/>
          <w:bCs/>
          <w:sz w:val="21"/>
          <w:szCs w:val="21"/>
          <w:lang w:eastAsia="zh-CN"/>
        </w:rPr>
      </w:pPr>
    </w:p>
    <w:p>
      <w:pPr>
        <w:spacing w:line="440" w:lineRule="exact"/>
        <w:jc w:val="center"/>
        <w:outlineLvl w:val="0"/>
        <w:rPr>
          <w:rFonts w:hint="eastAsia" w:ascii="宋体" w:hAnsi="宋体" w:eastAsia="宋体" w:cs="宋体"/>
          <w:sz w:val="21"/>
          <w:szCs w:val="21"/>
        </w:rPr>
      </w:pPr>
      <w:r>
        <w:rPr>
          <w:rFonts w:hint="eastAsia" w:ascii="宋体" w:hAnsi="宋体" w:eastAsia="宋体" w:cs="宋体"/>
          <w:sz w:val="21"/>
          <w:szCs w:val="21"/>
        </w:rPr>
        <w:t>报价文件／资格证明文件／技术商务文件</w:t>
      </w:r>
    </w:p>
    <w:p>
      <w:pPr>
        <w:spacing w:line="440" w:lineRule="exact"/>
        <w:ind w:firstLine="1260" w:firstLineChars="600"/>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rPr>
          <w:rFonts w:hint="eastAsia" w:ascii="宋体" w:hAnsi="宋体" w:eastAsia="宋体" w:cs="宋体"/>
          <w:sz w:val="21"/>
          <w:szCs w:val="21"/>
        </w:rPr>
      </w:pPr>
      <w:r>
        <w:rPr>
          <w:rFonts w:hint="eastAsia" w:ascii="宋体" w:hAnsi="宋体" w:eastAsia="宋体" w:cs="宋体"/>
          <w:sz w:val="21"/>
          <w:szCs w:val="21"/>
        </w:rPr>
        <w:t>项目名称：</w:t>
      </w:r>
    </w:p>
    <w:p>
      <w:pPr>
        <w:snapToGrid w:val="0"/>
        <w:spacing w:line="440" w:lineRule="exact"/>
        <w:ind w:firstLine="932" w:firstLineChars="444"/>
        <w:rPr>
          <w:rFonts w:hint="eastAsia" w:ascii="宋体" w:hAnsi="宋体" w:eastAsia="宋体" w:cs="宋体"/>
          <w:sz w:val="21"/>
          <w:szCs w:val="21"/>
        </w:rPr>
      </w:pPr>
      <w:r>
        <w:rPr>
          <w:rFonts w:hint="eastAsia" w:ascii="宋体" w:hAnsi="宋体" w:eastAsia="宋体" w:cs="宋体"/>
          <w:sz w:val="21"/>
          <w:szCs w:val="21"/>
        </w:rPr>
        <w:t>采购编号：</w:t>
      </w:r>
    </w:p>
    <w:p>
      <w:pPr>
        <w:snapToGrid w:val="0"/>
        <w:spacing w:line="440" w:lineRule="exact"/>
        <w:ind w:firstLine="932" w:firstLineChars="444"/>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rPr>
          <w:rFonts w:hint="eastAsia" w:ascii="宋体" w:hAnsi="宋体" w:eastAsia="宋体" w:cs="宋体"/>
          <w:sz w:val="21"/>
          <w:szCs w:val="21"/>
        </w:rPr>
      </w:pPr>
      <w:r>
        <w:rPr>
          <w:rFonts w:hint="eastAsia" w:ascii="宋体" w:hAnsi="宋体" w:eastAsia="宋体" w:cs="宋体"/>
          <w:sz w:val="21"/>
          <w:szCs w:val="21"/>
        </w:rPr>
        <w:t>供应商名称：</w:t>
      </w:r>
    </w:p>
    <w:p>
      <w:pPr>
        <w:snapToGrid w:val="0"/>
        <w:spacing w:line="440" w:lineRule="exact"/>
        <w:ind w:firstLine="932" w:firstLineChars="444"/>
        <w:rPr>
          <w:rFonts w:hint="eastAsia" w:ascii="宋体" w:hAnsi="宋体" w:eastAsia="宋体" w:cs="宋体"/>
          <w:sz w:val="21"/>
          <w:szCs w:val="21"/>
        </w:rPr>
      </w:pPr>
      <w:r>
        <w:rPr>
          <w:rFonts w:hint="eastAsia" w:ascii="宋体" w:hAnsi="宋体" w:eastAsia="宋体" w:cs="宋体"/>
          <w:sz w:val="21"/>
          <w:szCs w:val="21"/>
        </w:rPr>
        <w:t>供应商地址：</w:t>
      </w:r>
    </w:p>
    <w:p>
      <w:pPr>
        <w:snapToGrid w:val="0"/>
        <w:spacing w:line="440" w:lineRule="exact"/>
        <w:ind w:firstLine="932" w:firstLineChars="444"/>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jc w:val="righ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jc w:val="right"/>
        <w:rPr>
          <w:rFonts w:hint="eastAsia" w:ascii="宋体" w:hAnsi="宋体" w:eastAsia="宋体" w:cs="宋体"/>
          <w:sz w:val="21"/>
          <w:szCs w:val="21"/>
        </w:rPr>
      </w:pPr>
      <w:r>
        <w:rPr>
          <w:rFonts w:hint="eastAsia" w:ascii="宋体" w:hAnsi="宋体" w:eastAsia="宋体" w:cs="宋体"/>
          <w:sz w:val="21"/>
          <w:szCs w:val="21"/>
        </w:rPr>
        <w:t>供应商单位全称（盖章）</w:t>
      </w:r>
    </w:p>
    <w:p>
      <w:pPr>
        <w:snapToGrid w:val="0"/>
        <w:spacing w:line="440" w:lineRule="exact"/>
        <w:ind w:firstLine="932" w:firstLineChars="444"/>
        <w:jc w:val="right"/>
        <w:rPr>
          <w:rFonts w:hint="eastAsia" w:ascii="宋体" w:hAnsi="宋体" w:eastAsia="宋体" w:cs="宋体"/>
          <w:sz w:val="21"/>
          <w:szCs w:val="21"/>
        </w:rPr>
      </w:pPr>
      <w:r>
        <w:rPr>
          <w:rFonts w:hint="eastAsia" w:ascii="宋体" w:hAnsi="宋体" w:eastAsia="宋体" w:cs="宋体"/>
          <w:sz w:val="21"/>
          <w:szCs w:val="21"/>
        </w:rPr>
        <w:t xml:space="preserve">    年  月  日</w:t>
      </w:r>
    </w:p>
    <w:p>
      <w:pPr>
        <w:snapToGrid w:val="0"/>
        <w:spacing w:line="440" w:lineRule="exact"/>
        <w:ind w:firstLine="932" w:firstLineChars="444"/>
        <w:jc w:val="righ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jc w:val="righ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jc w:val="righ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932" w:firstLineChars="444"/>
        <w:jc w:val="righ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360" w:lineRule="auto"/>
        <w:rPr>
          <w:rFonts w:hint="eastAsia" w:ascii="宋体" w:hAnsi="宋体" w:eastAsia="宋体" w:cs="宋体"/>
          <w:sz w:val="21"/>
          <w:szCs w:val="21"/>
        </w:rPr>
      </w:pPr>
    </w:p>
    <w:p>
      <w:pPr>
        <w:snapToGrid w:val="0"/>
        <w:spacing w:line="360" w:lineRule="auto"/>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360" w:lineRule="auto"/>
        <w:rPr>
          <w:rFonts w:hint="eastAsia" w:ascii="宋体" w:hAnsi="宋体" w:eastAsia="宋体" w:cs="宋体"/>
          <w:sz w:val="21"/>
          <w:szCs w:val="21"/>
        </w:rPr>
      </w:pPr>
    </w:p>
    <w:p>
      <w:pPr>
        <w:snapToGrid w:val="0"/>
        <w:spacing w:line="360" w:lineRule="auto"/>
        <w:rPr>
          <w:rFonts w:hint="eastAsia" w:ascii="宋体" w:hAnsi="宋体" w:eastAsia="宋体" w:cs="宋体"/>
          <w:b/>
          <w:bCs/>
          <w:sz w:val="21"/>
          <w:szCs w:val="21"/>
        </w:rPr>
      </w:pPr>
      <w:r>
        <w:rPr>
          <w:rFonts w:hint="eastAsia" w:ascii="宋体" w:hAnsi="宋体" w:eastAsia="宋体" w:cs="宋体"/>
          <w:sz w:val="21"/>
          <w:szCs w:val="21"/>
        </w:rPr>
        <w:t xml:space="preserve"> </w:t>
      </w:r>
      <w:bookmarkStart w:id="54" w:name="_Toc3486_WPSOffice_Level1"/>
      <w:bookmarkEnd w:id="54"/>
      <w:r>
        <w:rPr>
          <w:rFonts w:hint="eastAsia" w:ascii="宋体" w:hAnsi="宋体" w:eastAsia="宋体" w:cs="宋体"/>
          <w:b/>
          <w:bCs/>
          <w:sz w:val="21"/>
          <w:szCs w:val="21"/>
        </w:rPr>
        <w:t>附件一：</w:t>
      </w:r>
    </w:p>
    <w:p>
      <w:pPr>
        <w:snapToGrid w:val="0"/>
        <w:spacing w:line="440" w:lineRule="exact"/>
        <w:jc w:val="center"/>
        <w:rPr>
          <w:rFonts w:hint="eastAsia" w:ascii="宋体" w:hAnsi="宋体" w:eastAsia="宋体" w:cs="宋体"/>
          <w:b/>
          <w:bCs/>
          <w:sz w:val="21"/>
          <w:szCs w:val="21"/>
        </w:rPr>
      </w:pPr>
      <w:r>
        <w:rPr>
          <w:rFonts w:hint="eastAsia" w:ascii="宋体" w:hAnsi="宋体" w:eastAsia="宋体" w:cs="宋体"/>
          <w:b/>
          <w:bCs/>
          <w:sz w:val="21"/>
          <w:szCs w:val="21"/>
        </w:rPr>
        <w:t>投标函</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xml:space="preserve">      （招标采购人名称）      </w:t>
      </w:r>
    </w:p>
    <w:p>
      <w:pPr>
        <w:snapToGrid w:val="0"/>
        <w:spacing w:line="440" w:lineRule="exact"/>
        <w:ind w:firstLine="480"/>
        <w:rPr>
          <w:rFonts w:hint="eastAsia" w:ascii="宋体" w:hAnsi="宋体" w:eastAsia="宋体" w:cs="宋体"/>
          <w:sz w:val="21"/>
          <w:szCs w:val="21"/>
        </w:rPr>
      </w:pPr>
      <w:r>
        <w:rPr>
          <w:rFonts w:hint="eastAsia" w:ascii="宋体" w:hAnsi="宋体" w:eastAsia="宋体" w:cs="宋体"/>
          <w:sz w:val="21"/>
          <w:szCs w:val="21"/>
        </w:rPr>
        <w:t>根据贵方为</w:t>
      </w:r>
      <w:r>
        <w:rPr>
          <w:rFonts w:hint="eastAsia" w:ascii="宋体" w:hAnsi="宋体" w:eastAsia="宋体" w:cs="宋体"/>
          <w:sz w:val="21"/>
          <w:szCs w:val="21"/>
          <w:u w:val="single"/>
        </w:rPr>
        <w:t xml:space="preserve">                   </w:t>
      </w:r>
      <w:r>
        <w:rPr>
          <w:rFonts w:hint="eastAsia" w:ascii="宋体" w:hAnsi="宋体" w:eastAsia="宋体" w:cs="宋体"/>
          <w:sz w:val="21"/>
          <w:szCs w:val="21"/>
        </w:rPr>
        <w:t>项目的招标公告（采购编号：</w:t>
      </w:r>
      <w:r>
        <w:rPr>
          <w:rFonts w:hint="eastAsia" w:ascii="宋体" w:hAnsi="宋体" w:eastAsia="宋体" w:cs="宋体"/>
          <w:sz w:val="21"/>
          <w:szCs w:val="21"/>
          <w:u w:val="single"/>
        </w:rPr>
        <w:t xml:space="preserve">         </w:t>
      </w:r>
      <w:r>
        <w:rPr>
          <w:rFonts w:hint="eastAsia" w:ascii="宋体" w:hAnsi="宋体" w:eastAsia="宋体" w:cs="宋体"/>
          <w:sz w:val="21"/>
          <w:szCs w:val="21"/>
        </w:rPr>
        <w:t>），签字代表</w:t>
      </w:r>
      <w:r>
        <w:rPr>
          <w:rFonts w:hint="eastAsia" w:ascii="宋体" w:hAnsi="宋体" w:eastAsia="宋体" w:cs="宋体"/>
          <w:sz w:val="21"/>
          <w:szCs w:val="21"/>
          <w:u w:val="single"/>
        </w:rPr>
        <w:t xml:space="preserve">    （全名）   </w:t>
      </w:r>
      <w:r>
        <w:rPr>
          <w:rFonts w:hint="eastAsia" w:ascii="宋体" w:hAnsi="宋体" w:eastAsia="宋体" w:cs="宋体"/>
          <w:sz w:val="21"/>
          <w:szCs w:val="21"/>
        </w:rPr>
        <w:t>经正式授权并代表供应商</w:t>
      </w:r>
      <w:r>
        <w:rPr>
          <w:rFonts w:hint="eastAsia" w:ascii="宋体" w:hAnsi="宋体" w:eastAsia="宋体" w:cs="宋体"/>
          <w:sz w:val="21"/>
          <w:szCs w:val="21"/>
          <w:u w:val="single"/>
        </w:rPr>
        <w:t xml:space="preserve">     （供应商名称）    </w:t>
      </w:r>
      <w:r>
        <w:rPr>
          <w:rFonts w:hint="eastAsia" w:ascii="宋体" w:hAnsi="宋体" w:eastAsia="宋体" w:cs="宋体"/>
          <w:sz w:val="21"/>
          <w:szCs w:val="21"/>
        </w:rPr>
        <w:t>提交报价文件、资格证明文件及技术商务文件。</w:t>
      </w:r>
    </w:p>
    <w:p>
      <w:pPr>
        <w:snapToGrid w:val="0"/>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据此函，签字代表宣布同意如下：</w:t>
      </w:r>
    </w:p>
    <w:p>
      <w:pPr>
        <w:snapToGrid w:val="0"/>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1、供应商已详细审查全部“招标文件”，包括修改文件（如有的话）以及全部参考资料和有关附件，已经了解我方对于招标文件、采购过程、采购结果有依法进行询问、质疑、投诉的权利及相关渠道和要求。</w:t>
      </w:r>
    </w:p>
    <w:p>
      <w:pPr>
        <w:snapToGrid w:val="0"/>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2、供应商在投标之前已经与贵方进行了充分的沟通，完全理解并接受招标文件的各项规定和要求，对招标文件的合理性、合法性不再有异议。</w:t>
      </w:r>
    </w:p>
    <w:p>
      <w:pPr>
        <w:snapToGrid w:val="0"/>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3、本投标有效期自开标日起</w:t>
      </w:r>
      <w:r>
        <w:rPr>
          <w:rFonts w:hint="eastAsia" w:ascii="宋体" w:hAnsi="宋体" w:eastAsia="宋体" w:cs="宋体"/>
          <w:sz w:val="21"/>
          <w:szCs w:val="21"/>
          <w:u w:val="single"/>
        </w:rPr>
        <w:t xml:space="preserve">        </w:t>
      </w:r>
      <w:r>
        <w:rPr>
          <w:rFonts w:hint="eastAsia" w:ascii="宋体" w:hAnsi="宋体" w:cs="宋体"/>
          <w:sz w:val="21"/>
          <w:szCs w:val="21"/>
          <w:lang w:val="en-US" w:eastAsia="zh-CN"/>
        </w:rPr>
        <w:t>天</w:t>
      </w:r>
      <w:r>
        <w:rPr>
          <w:rFonts w:hint="eastAsia" w:ascii="宋体" w:hAnsi="宋体" w:eastAsia="宋体" w:cs="宋体"/>
          <w:sz w:val="21"/>
          <w:szCs w:val="21"/>
        </w:rPr>
        <w:t>。</w:t>
      </w:r>
    </w:p>
    <w:p>
      <w:pPr>
        <w:snapToGrid w:val="0"/>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4、如中标，本投标文件至本项目合同履行完毕止均保持有效，本供应商将按“招标文件”及政府采购法律、法规的规定履行合同责任和义务。</w:t>
      </w:r>
    </w:p>
    <w:p>
      <w:pPr>
        <w:snapToGrid w:val="0"/>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5、供应商同意按照贵方要求提供与投标有关的一切数据或资料。</w:t>
      </w:r>
    </w:p>
    <w:p>
      <w:pPr>
        <w:snapToGrid w:val="0"/>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6、与本投标有关的一切正式往来信函请寄：</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地址： </w:t>
      </w:r>
      <w:r>
        <w:rPr>
          <w:rFonts w:hint="eastAsia" w:ascii="宋体" w:hAnsi="宋体" w:eastAsia="宋体" w:cs="宋体"/>
          <w:sz w:val="21"/>
          <w:szCs w:val="21"/>
          <w:u w:val="single"/>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邮编：__________电话：______________</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传真：______________</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供应商代表姓名___________职务：</w:t>
      </w:r>
      <w:r>
        <w:rPr>
          <w:rFonts w:hint="eastAsia" w:ascii="宋体" w:hAnsi="宋体" w:eastAsia="宋体" w:cs="宋体"/>
          <w:sz w:val="21"/>
          <w:szCs w:val="21"/>
          <w:u w:val="single"/>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法定代表人或授权代表</w:t>
      </w:r>
      <w:r>
        <w:rPr>
          <w:rFonts w:hint="eastAsia" w:ascii="宋体" w:hAnsi="宋体" w:eastAsia="宋体" w:cs="宋体"/>
          <w:sz w:val="21"/>
          <w:szCs w:val="21"/>
          <w:lang w:eastAsia="zh-CN"/>
        </w:rPr>
        <w:t>（签字或盖章）</w:t>
      </w:r>
      <w:r>
        <w:rPr>
          <w:rFonts w:hint="eastAsia" w:ascii="宋体" w:hAnsi="宋体" w:eastAsia="宋体" w:cs="宋体"/>
          <w:sz w:val="21"/>
          <w:szCs w:val="21"/>
        </w:rPr>
        <w:t>:___________</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供应商名称(公章):___________________</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日期:_____年___月___日</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b/>
          <w:bCs/>
          <w:sz w:val="21"/>
          <w:szCs w:val="21"/>
        </w:rPr>
      </w:pPr>
      <w:bookmarkStart w:id="55" w:name="_Toc30515_WPSOffice_Level1"/>
      <w:bookmarkEnd w:id="55"/>
      <w:r>
        <w:rPr>
          <w:rFonts w:hint="eastAsia" w:ascii="宋体" w:hAnsi="宋体" w:eastAsia="宋体" w:cs="宋体"/>
          <w:b/>
          <w:bCs/>
          <w:sz w:val="21"/>
          <w:szCs w:val="21"/>
        </w:rPr>
        <w:t>附件二：</w:t>
      </w:r>
    </w:p>
    <w:p>
      <w:pPr>
        <w:spacing w:line="440" w:lineRule="exact"/>
        <w:ind w:firstLine="420"/>
        <w:jc w:val="center"/>
        <w:rPr>
          <w:rFonts w:hint="eastAsia" w:ascii="宋体" w:hAnsi="宋体" w:eastAsia="宋体" w:cs="宋体"/>
          <w:b/>
          <w:bCs/>
          <w:sz w:val="21"/>
          <w:szCs w:val="21"/>
        </w:rPr>
      </w:pPr>
      <w:r>
        <w:rPr>
          <w:rFonts w:hint="eastAsia" w:ascii="宋体" w:hAnsi="宋体" w:eastAsia="宋体" w:cs="宋体"/>
          <w:b/>
          <w:bCs/>
          <w:sz w:val="21"/>
          <w:szCs w:val="21"/>
        </w:rPr>
        <w:t>（一）法定代表人身份证明</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供应商名称：</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单位性质：</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地址：</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成立时间：</w:t>
      </w:r>
      <w:r>
        <w:rPr>
          <w:rFonts w:hint="eastAsia" w:ascii="宋体" w:hAnsi="宋体" w:eastAsia="宋体" w:cs="宋体"/>
          <w:sz w:val="21"/>
          <w:szCs w:val="21"/>
          <w:u w:val="single"/>
        </w:rPr>
        <w:t xml:space="preserve">        </w:t>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经营期限：</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姓名：</w:t>
      </w:r>
      <w:r>
        <w:rPr>
          <w:rFonts w:hint="eastAsia" w:ascii="宋体" w:hAnsi="宋体" w:eastAsia="宋体" w:cs="宋体"/>
          <w:sz w:val="21"/>
          <w:szCs w:val="21"/>
          <w:u w:val="single"/>
        </w:rPr>
        <w:t xml:space="preserve">           </w:t>
      </w:r>
      <w:r>
        <w:rPr>
          <w:rFonts w:hint="eastAsia" w:ascii="宋体" w:hAnsi="宋体" w:eastAsia="宋体" w:cs="宋体"/>
          <w:sz w:val="21"/>
          <w:szCs w:val="21"/>
        </w:rPr>
        <w:t>性别：</w:t>
      </w:r>
      <w:r>
        <w:rPr>
          <w:rFonts w:hint="eastAsia" w:ascii="宋体" w:hAnsi="宋体" w:eastAsia="宋体" w:cs="宋体"/>
          <w:sz w:val="21"/>
          <w:szCs w:val="21"/>
          <w:u w:val="single"/>
        </w:rPr>
        <w:t xml:space="preserve">        </w:t>
      </w:r>
      <w:r>
        <w:rPr>
          <w:rFonts w:hint="eastAsia" w:ascii="宋体" w:hAnsi="宋体" w:eastAsia="宋体" w:cs="宋体"/>
          <w:sz w:val="21"/>
          <w:szCs w:val="21"/>
        </w:rPr>
        <w:t>年龄：</w:t>
      </w:r>
      <w:r>
        <w:rPr>
          <w:rFonts w:hint="eastAsia" w:ascii="宋体" w:hAnsi="宋体" w:eastAsia="宋体" w:cs="宋体"/>
          <w:sz w:val="21"/>
          <w:szCs w:val="21"/>
          <w:u w:val="single"/>
        </w:rPr>
        <w:t xml:space="preserve">        </w:t>
      </w:r>
      <w:r>
        <w:rPr>
          <w:rFonts w:hint="eastAsia" w:ascii="宋体" w:hAnsi="宋体" w:eastAsia="宋体" w:cs="宋体"/>
          <w:sz w:val="21"/>
          <w:szCs w:val="21"/>
        </w:rPr>
        <w:t>职务：</w:t>
      </w:r>
      <w:r>
        <w:rPr>
          <w:rFonts w:hint="eastAsia" w:ascii="宋体" w:hAnsi="宋体" w:eastAsia="宋体" w:cs="宋体"/>
          <w:sz w:val="21"/>
          <w:szCs w:val="21"/>
          <w:u w:val="single"/>
        </w:rPr>
        <w:t xml:space="preserve">       </w:t>
      </w:r>
      <w:r>
        <w:rPr>
          <w:rFonts w:hint="eastAsia" w:ascii="宋体" w:hAnsi="宋体" w:eastAsia="宋体" w:cs="宋体"/>
          <w:sz w:val="21"/>
          <w:szCs w:val="21"/>
        </w:rPr>
        <w:t>_</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系</w:t>
      </w:r>
      <w:r>
        <w:rPr>
          <w:rFonts w:hint="eastAsia" w:ascii="宋体" w:hAnsi="宋体" w:eastAsia="宋体" w:cs="宋体"/>
          <w:sz w:val="21"/>
          <w:szCs w:val="21"/>
          <w:u w:val="single"/>
        </w:rPr>
        <w:t xml:space="preserve">                                </w:t>
      </w:r>
      <w:r>
        <w:rPr>
          <w:rFonts w:hint="eastAsia" w:ascii="宋体" w:hAnsi="宋体" w:eastAsia="宋体" w:cs="宋体"/>
          <w:sz w:val="21"/>
          <w:szCs w:val="21"/>
        </w:rPr>
        <w:t>（供应商名称）的法定代表人。</w:t>
      </w:r>
    </w:p>
    <w:p>
      <w:pPr>
        <w:spacing w:line="440" w:lineRule="exact"/>
        <w:ind w:firstLine="840" w:firstLineChars="400"/>
        <w:rPr>
          <w:rFonts w:hint="eastAsia" w:ascii="宋体" w:hAnsi="宋体" w:eastAsia="宋体" w:cs="宋体"/>
          <w:sz w:val="21"/>
          <w:szCs w:val="21"/>
        </w:rPr>
      </w:pPr>
      <w:r>
        <w:rPr>
          <w:rFonts w:hint="eastAsia" w:ascii="宋体" w:hAnsi="宋体" w:eastAsia="宋体" w:cs="宋体"/>
          <w:sz w:val="21"/>
          <w:szCs w:val="21"/>
        </w:rPr>
        <w:t>特此证明。</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附：法定代表人身份证复印件</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0" w:firstLineChars="2000"/>
        <w:rPr>
          <w:rFonts w:hint="eastAsia" w:ascii="宋体" w:hAnsi="宋体" w:eastAsia="宋体" w:cs="宋体"/>
          <w:sz w:val="21"/>
          <w:szCs w:val="21"/>
        </w:rPr>
      </w:pPr>
      <w:r>
        <w:rPr>
          <w:rFonts w:hint="eastAsia" w:ascii="宋体" w:hAnsi="宋体" w:eastAsia="宋体" w:cs="宋体"/>
          <w:sz w:val="21"/>
          <w:szCs w:val="21"/>
        </w:rPr>
        <w:t>供应商全称：</w:t>
      </w:r>
      <w:r>
        <w:rPr>
          <w:rFonts w:hint="eastAsia" w:ascii="宋体" w:hAnsi="宋体" w:eastAsia="宋体" w:cs="宋体"/>
          <w:sz w:val="21"/>
          <w:szCs w:val="21"/>
          <w:u w:val="single"/>
        </w:rPr>
        <w:t xml:space="preserve">                      </w:t>
      </w:r>
      <w:r>
        <w:rPr>
          <w:rFonts w:hint="eastAsia" w:ascii="宋体" w:hAnsi="宋体" w:eastAsia="宋体" w:cs="宋体"/>
          <w:sz w:val="21"/>
          <w:szCs w:val="21"/>
        </w:rPr>
        <w:t>（盖章）</w:t>
      </w:r>
    </w:p>
    <w:p>
      <w:pPr>
        <w:spacing w:line="440" w:lineRule="exact"/>
        <w:ind w:firstLine="4515" w:firstLineChars="2150"/>
        <w:rPr>
          <w:rFonts w:hint="eastAsia" w:ascii="宋体" w:hAnsi="宋体" w:eastAsia="宋体" w:cs="宋体"/>
          <w:sz w:val="21"/>
          <w:szCs w:val="21"/>
          <w:u w:val="single"/>
        </w:rPr>
      </w:pPr>
    </w:p>
    <w:p>
      <w:pPr>
        <w:spacing w:line="440" w:lineRule="exact"/>
        <w:ind w:firstLine="4515" w:firstLineChars="2150"/>
        <w:rPr>
          <w:rFonts w:hint="eastAsia" w:ascii="宋体" w:hAnsi="宋体" w:eastAsia="宋体" w:cs="宋体"/>
          <w:sz w:val="21"/>
          <w:szCs w:val="21"/>
        </w:rPr>
      </w:pPr>
      <w:r>
        <w:rPr>
          <w:rFonts w:hint="eastAsia" w:ascii="宋体" w:hAnsi="宋体" w:eastAsia="宋体" w:cs="宋体"/>
          <w:sz w:val="21"/>
          <w:szCs w:val="21"/>
          <w:u w:val="single"/>
        </w:rPr>
        <w:t xml:space="preserve">        </w:t>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ind w:firstLine="480"/>
        <w:rPr>
          <w:rFonts w:hint="eastAsia" w:ascii="宋体" w:hAnsi="宋体" w:eastAsia="宋体" w:cs="宋体"/>
          <w:sz w:val="21"/>
          <w:szCs w:val="21"/>
        </w:rPr>
      </w:pPr>
      <w:r>
        <w:rPr>
          <w:rFonts w:hint="eastAsia" w:ascii="宋体" w:hAnsi="宋体" w:eastAsia="宋体" w:cs="宋体"/>
          <w:sz w:val="21"/>
          <w:szCs w:val="21"/>
        </w:rPr>
        <w:t xml:space="preserve"> </w:t>
      </w:r>
    </w:p>
    <w:tbl>
      <w:tblPr>
        <w:tblStyle w:val="28"/>
        <w:tblW w:w="0" w:type="auto"/>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2" w:hRule="atLeast"/>
        </w:trPr>
        <w:tc>
          <w:tcPr>
            <w:tcW w:w="884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sz w:val="21"/>
                <w:szCs w:val="21"/>
                <w:u w:val="single"/>
              </w:rPr>
            </w:pPr>
            <w:r>
              <w:rPr>
                <w:rFonts w:hint="eastAsia" w:ascii="宋体" w:hAnsi="宋体" w:eastAsia="宋体" w:cs="宋体"/>
                <w:sz w:val="21"/>
                <w:szCs w:val="21"/>
                <w:u w:val="single"/>
              </w:rPr>
              <w:t>身份证复印件粘贴处（正、反面）</w:t>
            </w:r>
          </w:p>
          <w:p>
            <w:pPr>
              <w:pStyle w:val="24"/>
              <w:spacing w:before="120" w:beforeAutospacing="0" w:after="120" w:afterAutospacing="0"/>
              <w:jc w:val="center"/>
              <w:rPr>
                <w:rFonts w:hint="eastAsia" w:ascii="宋体" w:hAnsi="宋体" w:eastAsia="宋体" w:cs="宋体"/>
                <w:b/>
                <w:bCs/>
                <w:sz w:val="21"/>
                <w:szCs w:val="21"/>
              </w:rPr>
            </w:pPr>
          </w:p>
        </w:tc>
      </w:tr>
    </w:tbl>
    <w:p>
      <w:pPr>
        <w:spacing w:line="440" w:lineRule="exact"/>
        <w:jc w:val="center"/>
        <w:rPr>
          <w:rFonts w:hint="eastAsia" w:ascii="宋体" w:hAnsi="宋体" w:eastAsia="宋体" w:cs="宋体"/>
          <w:b/>
          <w:bCs/>
          <w:sz w:val="21"/>
          <w:szCs w:val="21"/>
        </w:rPr>
      </w:pPr>
      <w:r>
        <w:rPr>
          <w:rFonts w:hint="eastAsia" w:ascii="宋体" w:hAnsi="宋体" w:eastAsia="宋体" w:cs="宋体"/>
          <w:sz w:val="21"/>
          <w:szCs w:val="21"/>
        </w:rPr>
        <w:br w:type="page"/>
      </w:r>
      <w:r>
        <w:rPr>
          <w:rFonts w:hint="eastAsia" w:ascii="宋体" w:hAnsi="宋体" w:eastAsia="宋体" w:cs="宋体"/>
          <w:b/>
          <w:bCs/>
          <w:sz w:val="21"/>
          <w:szCs w:val="21"/>
        </w:rPr>
        <w:t>（二）法定代表人授权书</w:t>
      </w:r>
    </w:p>
    <w:p>
      <w:pPr>
        <w:spacing w:line="440" w:lineRule="exact"/>
        <w:jc w:val="center"/>
        <w:rPr>
          <w:rFonts w:hint="eastAsia" w:ascii="宋体" w:hAnsi="宋体" w:eastAsia="宋体" w:cs="宋体"/>
          <w:b/>
          <w:bCs/>
          <w:sz w:val="21"/>
          <w:szCs w:val="21"/>
        </w:rPr>
      </w:pPr>
      <w:r>
        <w:rPr>
          <w:rFonts w:hint="eastAsia" w:ascii="宋体" w:hAnsi="宋体" w:eastAsia="宋体" w:cs="宋体"/>
          <w:b/>
          <w:bCs/>
          <w:sz w:val="21"/>
          <w:szCs w:val="21"/>
        </w:rPr>
        <w:t>（供应商代表非法定代表人时提供）</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本人</w:t>
      </w:r>
      <w:r>
        <w:rPr>
          <w:rFonts w:hint="eastAsia" w:ascii="宋体" w:hAnsi="宋体" w:eastAsia="宋体" w:cs="宋体"/>
          <w:sz w:val="21"/>
          <w:szCs w:val="21"/>
          <w:u w:val="single"/>
        </w:rPr>
        <w:t xml:space="preserve">  （姓名）  </w:t>
      </w:r>
      <w:r>
        <w:rPr>
          <w:rFonts w:hint="eastAsia" w:ascii="宋体" w:hAnsi="宋体" w:eastAsia="宋体" w:cs="宋体"/>
          <w:sz w:val="21"/>
          <w:szCs w:val="21"/>
        </w:rPr>
        <w:t>系</w:t>
      </w:r>
      <w:r>
        <w:rPr>
          <w:rFonts w:hint="eastAsia" w:ascii="宋体" w:hAnsi="宋体" w:eastAsia="宋体" w:cs="宋体"/>
          <w:sz w:val="21"/>
          <w:szCs w:val="21"/>
          <w:u w:val="single"/>
        </w:rPr>
        <w:t xml:space="preserve">       （供应商名称）       </w:t>
      </w:r>
      <w:r>
        <w:rPr>
          <w:rFonts w:hint="eastAsia" w:ascii="宋体" w:hAnsi="宋体" w:eastAsia="宋体" w:cs="宋体"/>
          <w:sz w:val="21"/>
          <w:szCs w:val="21"/>
        </w:rPr>
        <w:t>的法定代表人，现委托</w:t>
      </w:r>
      <w:r>
        <w:rPr>
          <w:rFonts w:hint="eastAsia" w:ascii="宋体" w:hAnsi="宋体" w:eastAsia="宋体" w:cs="宋体"/>
          <w:sz w:val="21"/>
          <w:szCs w:val="21"/>
          <w:u w:val="single"/>
        </w:rPr>
        <w:t xml:space="preserve">   （姓名）  </w:t>
      </w:r>
      <w:r>
        <w:rPr>
          <w:rFonts w:hint="eastAsia" w:ascii="宋体" w:hAnsi="宋体" w:eastAsia="宋体" w:cs="宋体"/>
          <w:sz w:val="21"/>
          <w:szCs w:val="21"/>
        </w:rPr>
        <w:t>为我方委托代理人。委托代理人根据授权，以我方名义签署、澄清、说明、补正、递交、撤回、修改</w:t>
      </w:r>
      <w:r>
        <w:rPr>
          <w:rFonts w:hint="eastAsia" w:ascii="宋体" w:hAnsi="宋体" w:eastAsia="宋体" w:cs="宋体"/>
          <w:sz w:val="21"/>
          <w:szCs w:val="21"/>
          <w:u w:val="single"/>
        </w:rPr>
        <w:t>（项目名称）</w:t>
      </w:r>
      <w:r>
        <w:rPr>
          <w:rFonts w:hint="eastAsia" w:ascii="宋体" w:hAnsi="宋体" w:eastAsia="宋体" w:cs="宋体"/>
          <w:sz w:val="21"/>
          <w:szCs w:val="21"/>
        </w:rPr>
        <w:t>投标文件、签订合同和处理有关事宜，其法律后果由我方承担。</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委托期限：</w:t>
      </w:r>
      <w:r>
        <w:rPr>
          <w:rFonts w:hint="eastAsia" w:ascii="宋体" w:hAnsi="宋体" w:eastAsia="宋体" w:cs="宋体"/>
          <w:sz w:val="21"/>
          <w:szCs w:val="21"/>
          <w:u w:val="single"/>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委托代理人无转委托权。</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附：委托代理人身份证复印件</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供应商全称：</w:t>
      </w:r>
      <w:r>
        <w:rPr>
          <w:rFonts w:hint="eastAsia" w:ascii="宋体" w:hAnsi="宋体" w:eastAsia="宋体" w:cs="宋体"/>
          <w:sz w:val="21"/>
          <w:szCs w:val="21"/>
          <w:u w:val="single"/>
        </w:rPr>
        <w:t xml:space="preserve">                         </w:t>
      </w:r>
      <w:r>
        <w:rPr>
          <w:rFonts w:hint="eastAsia" w:ascii="宋体" w:hAnsi="宋体" w:eastAsia="宋体" w:cs="宋体"/>
          <w:sz w:val="21"/>
          <w:szCs w:val="21"/>
        </w:rPr>
        <w:t>（盖章）</w:t>
      </w:r>
    </w:p>
    <w:p>
      <w:pPr>
        <w:spacing w:line="440" w:lineRule="exact"/>
        <w:rPr>
          <w:rFonts w:hint="eastAsia" w:ascii="宋体" w:hAnsi="宋体" w:eastAsia="宋体" w:cs="宋体"/>
          <w:sz w:val="21"/>
          <w:szCs w:val="21"/>
        </w:rPr>
      </w:pPr>
      <w:r>
        <w:rPr>
          <w:rFonts w:hint="eastAsia" w:ascii="宋体" w:hAnsi="宋体" w:eastAsia="宋体" w:cs="宋体"/>
          <w:sz w:val="21"/>
          <w:szCs w:val="21"/>
        </w:rPr>
        <w:t>法定代表人：</w:t>
      </w:r>
      <w:r>
        <w:rPr>
          <w:rFonts w:hint="eastAsia" w:ascii="宋体" w:hAnsi="宋体" w:eastAsia="宋体" w:cs="宋体"/>
          <w:sz w:val="21"/>
          <w:szCs w:val="21"/>
          <w:u w:val="single"/>
        </w:rPr>
        <w:t xml:space="preserve">                   </w:t>
      </w:r>
      <w:r>
        <w:rPr>
          <w:rFonts w:hint="eastAsia" w:ascii="宋体" w:hAnsi="宋体" w:eastAsia="宋体" w:cs="宋体"/>
          <w:sz w:val="21"/>
          <w:szCs w:val="21"/>
        </w:rPr>
        <w:t>（签字或盖章）</w:t>
      </w:r>
    </w:p>
    <w:p>
      <w:pPr>
        <w:spacing w:line="440" w:lineRule="exact"/>
        <w:rPr>
          <w:rFonts w:hint="eastAsia" w:ascii="宋体" w:hAnsi="宋体" w:eastAsia="宋体" w:cs="宋体"/>
          <w:sz w:val="21"/>
          <w:szCs w:val="21"/>
        </w:rPr>
      </w:pPr>
      <w:r>
        <w:rPr>
          <w:rFonts w:hint="eastAsia" w:ascii="宋体" w:hAnsi="宋体" w:eastAsia="宋体" w:cs="宋体"/>
          <w:sz w:val="21"/>
          <w:szCs w:val="21"/>
        </w:rPr>
        <w:t>身份证号码：</w:t>
      </w:r>
      <w:r>
        <w:rPr>
          <w:rFonts w:hint="eastAsia" w:ascii="宋体" w:hAnsi="宋体" w:eastAsia="宋体" w:cs="宋体"/>
          <w:sz w:val="21"/>
          <w:szCs w:val="21"/>
          <w:u w:val="single"/>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委托代理人：</w:t>
      </w:r>
      <w:r>
        <w:rPr>
          <w:rFonts w:hint="eastAsia" w:ascii="宋体" w:hAnsi="宋体" w:eastAsia="宋体" w:cs="宋体"/>
          <w:sz w:val="21"/>
          <w:szCs w:val="21"/>
          <w:u w:val="single"/>
        </w:rPr>
        <w:t xml:space="preserve">                   </w:t>
      </w:r>
      <w:r>
        <w:rPr>
          <w:rFonts w:hint="eastAsia" w:ascii="宋体" w:hAnsi="宋体" w:eastAsia="宋体" w:cs="宋体"/>
          <w:sz w:val="21"/>
          <w:szCs w:val="21"/>
        </w:rPr>
        <w:t>（签字或盖章）</w:t>
      </w:r>
    </w:p>
    <w:p>
      <w:pPr>
        <w:spacing w:line="440" w:lineRule="exact"/>
        <w:rPr>
          <w:rFonts w:hint="eastAsia" w:ascii="宋体" w:hAnsi="宋体" w:eastAsia="宋体" w:cs="宋体"/>
          <w:sz w:val="21"/>
          <w:szCs w:val="21"/>
        </w:rPr>
      </w:pPr>
      <w:r>
        <w:rPr>
          <w:rFonts w:hint="eastAsia" w:ascii="宋体" w:hAnsi="宋体" w:eastAsia="宋体" w:cs="宋体"/>
          <w:sz w:val="21"/>
          <w:szCs w:val="21"/>
        </w:rPr>
        <w:t>身份证号码：</w:t>
      </w:r>
      <w:r>
        <w:rPr>
          <w:rFonts w:hint="eastAsia" w:ascii="宋体" w:hAnsi="宋体" w:eastAsia="宋体" w:cs="宋体"/>
          <w:sz w:val="21"/>
          <w:szCs w:val="21"/>
          <w:u w:val="single"/>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u w:val="single"/>
        </w:rPr>
        <w:t xml:space="preserve">      </w:t>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tbl>
      <w:tblPr>
        <w:tblStyle w:val="28"/>
        <w:tblW w:w="0" w:type="auto"/>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2" w:hRule="atLeast"/>
        </w:trPr>
        <w:tc>
          <w:tcPr>
            <w:tcW w:w="880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eastAsia="宋体" w:cs="宋体"/>
                <w:b/>
                <w:bCs/>
                <w:sz w:val="21"/>
                <w:szCs w:val="21"/>
              </w:rPr>
            </w:pPr>
            <w:r>
              <w:rPr>
                <w:rFonts w:hint="eastAsia" w:ascii="宋体" w:hAnsi="宋体" w:eastAsia="宋体" w:cs="宋体"/>
                <w:sz w:val="21"/>
                <w:szCs w:val="21"/>
                <w:u w:val="single"/>
              </w:rPr>
              <w:t>身份证复印件粘贴处（正、反面）</w:t>
            </w:r>
          </w:p>
        </w:tc>
      </w:tr>
    </w:tbl>
    <w:p>
      <w:pPr>
        <w:widowControl/>
        <w:jc w:val="left"/>
        <w:rPr>
          <w:rFonts w:hint="eastAsia" w:ascii="宋体" w:hAnsi="宋体" w:eastAsia="宋体" w:cs="宋体"/>
          <w:b/>
          <w:bCs/>
          <w:sz w:val="21"/>
          <w:szCs w:val="21"/>
        </w:rPr>
        <w:sectPr>
          <w:headerReference r:id="rId14" w:type="default"/>
          <w:footerReference r:id="rId15" w:type="default"/>
          <w:pgSz w:w="11907" w:h="16840"/>
          <w:pgMar w:top="1134" w:right="1474" w:bottom="1134" w:left="1474" w:header="1134" w:footer="1134" w:gutter="0"/>
          <w:pgBorders w:offsetFrom="page">
            <w:top w:val="none" w:sz="0" w:space="0"/>
            <w:left w:val="none" w:sz="0" w:space="0"/>
            <w:bottom w:val="none" w:sz="0" w:space="0"/>
            <w:right w:val="none" w:sz="0" w:space="0"/>
          </w:pgBorders>
          <w:cols w:space="720" w:num="1"/>
          <w:docGrid w:type="lines" w:linePitch="285" w:charSpace="0"/>
        </w:sectPr>
      </w:pPr>
    </w:p>
    <w:p>
      <w:pPr>
        <w:spacing w:line="440" w:lineRule="exact"/>
        <w:rPr>
          <w:rFonts w:hint="eastAsia" w:ascii="宋体" w:hAnsi="宋体" w:eastAsia="宋体" w:cs="宋体"/>
          <w:b/>
          <w:bCs/>
          <w:sz w:val="21"/>
          <w:szCs w:val="21"/>
        </w:rPr>
      </w:pPr>
      <w:bookmarkStart w:id="56" w:name="_Toc19660_WPSOffice_Level1"/>
      <w:bookmarkEnd w:id="56"/>
      <w:r>
        <w:rPr>
          <w:rFonts w:hint="eastAsia" w:ascii="宋体" w:hAnsi="宋体" w:eastAsia="宋体" w:cs="宋体"/>
          <w:b/>
          <w:bCs/>
          <w:sz w:val="21"/>
          <w:szCs w:val="21"/>
        </w:rPr>
        <w:t>附件三：</w:t>
      </w:r>
    </w:p>
    <w:p>
      <w:pPr>
        <w:spacing w:line="440" w:lineRule="exact"/>
        <w:jc w:val="center"/>
        <w:outlineLvl w:val="1"/>
        <w:rPr>
          <w:rFonts w:hint="eastAsia" w:ascii="宋体" w:hAnsi="宋体" w:eastAsia="宋体" w:cs="宋体"/>
          <w:b/>
          <w:bCs/>
          <w:sz w:val="21"/>
          <w:szCs w:val="21"/>
        </w:rPr>
      </w:pPr>
      <w:r>
        <w:rPr>
          <w:rFonts w:hint="eastAsia" w:ascii="宋体" w:hAnsi="宋体" w:eastAsia="宋体" w:cs="宋体"/>
          <w:b/>
          <w:bCs/>
          <w:sz w:val="21"/>
          <w:szCs w:val="21"/>
        </w:rPr>
        <w:t>关于资格的声明函</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 xml:space="preserve">   （采购人名称）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关于贵方对采购编号为</w:t>
      </w:r>
      <w:r>
        <w:rPr>
          <w:rFonts w:hint="eastAsia" w:ascii="宋体" w:hAnsi="宋体" w:eastAsia="宋体" w:cs="宋体"/>
          <w:sz w:val="21"/>
          <w:szCs w:val="21"/>
          <w:u w:val="single"/>
        </w:rPr>
        <w:t xml:space="preserve"> （采购编号）   </w:t>
      </w:r>
      <w:r>
        <w:rPr>
          <w:rFonts w:hint="eastAsia" w:ascii="宋体" w:hAnsi="宋体" w:eastAsia="宋体" w:cs="宋体"/>
          <w:sz w:val="21"/>
          <w:szCs w:val="21"/>
        </w:rPr>
        <w:t>的</w:t>
      </w:r>
      <w:r>
        <w:rPr>
          <w:rFonts w:hint="eastAsia" w:ascii="宋体" w:hAnsi="宋体" w:eastAsia="宋体" w:cs="宋体"/>
          <w:sz w:val="21"/>
          <w:szCs w:val="21"/>
          <w:u w:val="single"/>
        </w:rPr>
        <w:t xml:space="preserve">  （项目名称）   </w:t>
      </w:r>
      <w:r>
        <w:rPr>
          <w:rFonts w:hint="eastAsia" w:ascii="宋体" w:hAnsi="宋体" w:eastAsia="宋体" w:cs="宋体"/>
          <w:sz w:val="21"/>
          <w:szCs w:val="21"/>
        </w:rPr>
        <w:t xml:space="preserve">发出的招标公告，本单位申明如下：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1、我单位符合《中华人民共和国政府采购法》第22条的一般资格条件的规定：</w:t>
      </w:r>
    </w:p>
    <w:p>
      <w:pPr>
        <w:keepNext w:val="0"/>
        <w:keepLines w:val="0"/>
        <w:pageBreakBefore w:val="0"/>
        <w:widowControl w:val="0"/>
        <w:kinsoku/>
        <w:wordWrap/>
        <w:overflowPunct/>
        <w:topLinePunct w:val="0"/>
        <w:autoSpaceDE/>
        <w:autoSpaceDN/>
        <w:bidi w:val="0"/>
        <w:adjustRightInd/>
        <w:snapToGrid/>
        <w:spacing w:line="40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1.1具有独立承担民事责任的能力；</w:t>
      </w:r>
    </w:p>
    <w:p>
      <w:pPr>
        <w:keepNext w:val="0"/>
        <w:keepLines w:val="0"/>
        <w:pageBreakBefore w:val="0"/>
        <w:widowControl w:val="0"/>
        <w:kinsoku/>
        <w:wordWrap/>
        <w:overflowPunct/>
        <w:topLinePunct w:val="0"/>
        <w:autoSpaceDE/>
        <w:autoSpaceDN/>
        <w:bidi w:val="0"/>
        <w:adjustRightInd/>
        <w:snapToGrid/>
        <w:spacing w:line="40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1.2具有良好的商业信誉和健全的财务会计制度；</w:t>
      </w:r>
    </w:p>
    <w:p>
      <w:pPr>
        <w:keepNext w:val="0"/>
        <w:keepLines w:val="0"/>
        <w:pageBreakBefore w:val="0"/>
        <w:widowControl w:val="0"/>
        <w:kinsoku/>
        <w:wordWrap/>
        <w:overflowPunct/>
        <w:topLinePunct w:val="0"/>
        <w:autoSpaceDE/>
        <w:autoSpaceDN/>
        <w:bidi w:val="0"/>
        <w:adjustRightInd/>
        <w:snapToGrid/>
        <w:spacing w:line="40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1.3具有履行合同所必需的设备和专业技术能力；</w:t>
      </w:r>
    </w:p>
    <w:p>
      <w:pPr>
        <w:keepNext w:val="0"/>
        <w:keepLines w:val="0"/>
        <w:pageBreakBefore w:val="0"/>
        <w:widowControl w:val="0"/>
        <w:kinsoku/>
        <w:wordWrap/>
        <w:overflowPunct/>
        <w:topLinePunct w:val="0"/>
        <w:autoSpaceDE/>
        <w:autoSpaceDN/>
        <w:bidi w:val="0"/>
        <w:adjustRightInd/>
        <w:snapToGrid/>
        <w:spacing w:line="40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1.4有依法缴纳税收和社会保障资金的良好记录；</w:t>
      </w:r>
    </w:p>
    <w:p>
      <w:pPr>
        <w:keepNext w:val="0"/>
        <w:keepLines w:val="0"/>
        <w:pageBreakBefore w:val="0"/>
        <w:widowControl w:val="0"/>
        <w:kinsoku/>
        <w:wordWrap/>
        <w:overflowPunct/>
        <w:topLinePunct w:val="0"/>
        <w:autoSpaceDE/>
        <w:autoSpaceDN/>
        <w:bidi w:val="0"/>
        <w:adjustRightInd/>
        <w:snapToGrid/>
        <w:spacing w:line="400" w:lineRule="exact"/>
        <w:ind w:firstLine="630" w:firstLineChars="300"/>
        <w:textAlignment w:val="auto"/>
        <w:rPr>
          <w:rFonts w:hint="eastAsia"/>
        </w:rPr>
      </w:pPr>
      <w:r>
        <w:rPr>
          <w:rFonts w:hint="eastAsia" w:ascii="宋体" w:hAnsi="宋体" w:eastAsia="宋体" w:cs="宋体"/>
          <w:sz w:val="21"/>
          <w:szCs w:val="21"/>
        </w:rPr>
        <w:t>1.5参加政府采购活动前三年内，在经营活动中没有重大违法记录；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snapToGrid/>
        <w:spacing w:line="40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1.6法律、行政法规规定的其他条件。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2</w:t>
      </w:r>
      <w:r>
        <w:rPr>
          <w:rFonts w:hint="eastAsia" w:ascii="宋体" w:hAnsi="宋体" w:eastAsia="宋体" w:cs="宋体"/>
          <w:sz w:val="21"/>
          <w:szCs w:val="21"/>
        </w:rPr>
        <w:t>、我司没有为本项目提供整体设计、规范编制或者项目管理、监理、检测等服务</w:t>
      </w:r>
      <w:r>
        <w:rPr>
          <w:rFonts w:hint="eastAsia" w:ascii="宋体" w:hAnsi="宋体" w:eastAsia="宋体" w:cs="宋体"/>
          <w:sz w:val="21"/>
          <w:szCs w:val="21"/>
          <w:lang w:eastAsia="zh-CN"/>
        </w:rPr>
        <w:t>。</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1"/>
          <w:szCs w:val="21"/>
        </w:rPr>
      </w:pPr>
      <w:r>
        <w:rPr>
          <w:rFonts w:hint="eastAsia" w:ascii="宋体" w:hAnsi="宋体" w:eastAsia="宋体" w:cs="宋体"/>
          <w:sz w:val="21"/>
          <w:szCs w:val="21"/>
        </w:rPr>
        <w:t xml:space="preserve"> </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后附上述证明文件：</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1、营业执照副本复印件或事业单位法人证书副本复印件加盖投标供应商公章；</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2、税务登记证副本复印件加盖投标供应商公章；</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3、组织机构代码证副本复印件加盖投标供应商公章；</w:t>
      </w:r>
    </w:p>
    <w:p>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4</w:t>
      </w:r>
      <w:r>
        <w:rPr>
          <w:rFonts w:hint="eastAsia" w:ascii="宋体" w:hAnsi="宋体" w:eastAsia="宋体" w:cs="宋体"/>
          <w:sz w:val="21"/>
          <w:szCs w:val="21"/>
        </w:rPr>
        <w:t>、供应商企业情况表</w:t>
      </w:r>
      <w:r>
        <w:rPr>
          <w:rFonts w:hint="eastAsia" w:ascii="宋体" w:hAnsi="宋体" w:eastAsia="宋体" w:cs="宋体"/>
          <w:sz w:val="21"/>
          <w:szCs w:val="21"/>
          <w:lang w:eastAsia="zh-CN"/>
        </w:rPr>
        <w:t>。</w:t>
      </w:r>
    </w:p>
    <w:p>
      <w:pPr>
        <w:spacing w:line="440" w:lineRule="exact"/>
        <w:ind w:firstLine="422" w:firstLineChars="200"/>
        <w:rPr>
          <w:rFonts w:hint="eastAsia" w:ascii="宋体" w:hAnsi="宋体" w:eastAsia="宋体" w:cs="宋体"/>
          <w:sz w:val="21"/>
          <w:szCs w:val="21"/>
        </w:rPr>
      </w:pPr>
      <w:r>
        <w:rPr>
          <w:rFonts w:hint="eastAsia" w:ascii="宋体" w:hAnsi="宋体" w:eastAsia="宋体" w:cs="宋体"/>
          <w:b/>
          <w:bCs/>
          <w:sz w:val="21"/>
          <w:szCs w:val="21"/>
        </w:rPr>
        <w:t>如供应商所提供的营业执照为“多证合一”则无需提供：税务登记证副本复印件、组织机构代码证副本复印件。</w:t>
      </w:r>
    </w:p>
    <w:p>
      <w:pPr>
        <w:spacing w:line="440" w:lineRule="exact"/>
        <w:ind w:firstLine="420" w:firstLineChars="200"/>
        <w:rPr>
          <w:rFonts w:hint="eastAsia" w:ascii="宋体" w:hAnsi="宋体" w:eastAsia="宋体" w:cs="宋体"/>
          <w:sz w:val="21"/>
          <w:szCs w:val="21"/>
        </w:rPr>
      </w:pP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供应商：（盖章）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法定代表人或授权代表：（签字</w:t>
      </w:r>
      <w:r>
        <w:rPr>
          <w:rFonts w:hint="eastAsia" w:ascii="宋体" w:hAnsi="宋体" w:eastAsia="宋体" w:cs="宋体"/>
          <w:sz w:val="21"/>
          <w:szCs w:val="21"/>
          <w:lang w:eastAsia="zh-CN"/>
        </w:rPr>
        <w:t>或盖章</w:t>
      </w:r>
      <w:r>
        <w:rPr>
          <w:rFonts w:hint="eastAsia" w:ascii="宋体" w:hAnsi="宋体" w:eastAsia="宋体" w:cs="宋体"/>
          <w:sz w:val="21"/>
          <w:szCs w:val="21"/>
        </w:rPr>
        <w:t>）</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日期：</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outlineLvl w:val="1"/>
        <w:rPr>
          <w:rFonts w:hint="eastAsia" w:ascii="宋体" w:hAnsi="宋体" w:eastAsia="宋体" w:cs="宋体"/>
          <w:b/>
          <w:bCs/>
          <w:sz w:val="21"/>
          <w:szCs w:val="21"/>
        </w:rPr>
      </w:pPr>
    </w:p>
    <w:p>
      <w:pPr>
        <w:spacing w:line="440" w:lineRule="exact"/>
        <w:outlineLvl w:val="1"/>
        <w:rPr>
          <w:rFonts w:hint="eastAsia" w:ascii="宋体" w:hAnsi="宋体" w:eastAsia="宋体" w:cs="宋体"/>
          <w:b/>
          <w:bCs/>
          <w:sz w:val="21"/>
          <w:szCs w:val="21"/>
        </w:rPr>
      </w:pPr>
    </w:p>
    <w:p>
      <w:pPr>
        <w:spacing w:line="440" w:lineRule="exact"/>
        <w:jc w:val="center"/>
        <w:rPr>
          <w:rFonts w:hint="eastAsia" w:ascii="宋体" w:hAnsi="宋体" w:eastAsia="宋体" w:cs="宋体"/>
          <w:b/>
          <w:bCs/>
          <w:sz w:val="21"/>
          <w:szCs w:val="21"/>
        </w:rPr>
      </w:pPr>
      <w:r>
        <w:rPr>
          <w:rFonts w:hint="eastAsia" w:ascii="宋体" w:hAnsi="宋体" w:eastAsia="宋体" w:cs="宋体"/>
          <w:b/>
          <w:bCs/>
          <w:sz w:val="21"/>
          <w:szCs w:val="21"/>
        </w:rPr>
        <w:br w:type="page"/>
      </w:r>
      <w:r>
        <w:rPr>
          <w:rFonts w:hint="eastAsia" w:ascii="宋体" w:hAnsi="宋体" w:eastAsia="宋体" w:cs="宋体"/>
          <w:b/>
          <w:bCs/>
          <w:sz w:val="21"/>
          <w:szCs w:val="21"/>
        </w:rPr>
        <w:t>供应商企业情况表</w:t>
      </w:r>
    </w:p>
    <w:p>
      <w:pPr>
        <w:pStyle w:val="13"/>
        <w:adjustRightInd w:val="0"/>
        <w:spacing w:line="440" w:lineRule="exact"/>
        <w:ind w:firstLine="420" w:firstLineChars="200"/>
        <w:rPr>
          <w:rFonts w:hint="eastAsia" w:ascii="宋体" w:hAnsi="宋体" w:eastAsia="宋体" w:cs="宋体"/>
          <w:b/>
          <w:bCs/>
          <w:sz w:val="21"/>
          <w:szCs w:val="21"/>
        </w:rPr>
      </w:pPr>
      <w:r>
        <w:rPr>
          <w:rFonts w:hint="eastAsia" w:ascii="宋体" w:hAnsi="宋体" w:eastAsia="宋体" w:cs="宋体"/>
          <w:sz w:val="21"/>
          <w:szCs w:val="21"/>
        </w:rPr>
        <w:t>项目名称：</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采购编号：</w:t>
      </w:r>
      <w:r>
        <w:rPr>
          <w:rFonts w:hint="eastAsia" w:ascii="宋体" w:hAnsi="宋体" w:eastAsia="宋体" w:cs="宋体"/>
          <w:sz w:val="21"/>
          <w:szCs w:val="21"/>
          <w:u w:val="single"/>
        </w:rPr>
        <w:t xml:space="preserve">                     </w:t>
      </w:r>
    </w:p>
    <w:tbl>
      <w:tblPr>
        <w:tblStyle w:val="2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1"/>
        <w:gridCol w:w="3780"/>
        <w:gridCol w:w="1344"/>
        <w:gridCol w:w="28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081" w:type="dxa"/>
            <w:tcBorders>
              <w:top w:val="double" w:color="auto" w:sz="2"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企业全称</w:t>
            </w:r>
          </w:p>
        </w:tc>
        <w:tc>
          <w:tcPr>
            <w:tcW w:w="3780" w:type="dxa"/>
            <w:tcBorders>
              <w:top w:val="double" w:color="auto" w:sz="2"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44" w:type="dxa"/>
            <w:tcBorders>
              <w:top w:val="double" w:color="auto" w:sz="2"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企业性质</w:t>
            </w:r>
          </w:p>
        </w:tc>
        <w:tc>
          <w:tcPr>
            <w:tcW w:w="2874" w:type="dxa"/>
            <w:tcBorders>
              <w:top w:val="double" w:color="auto" w:sz="2"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trPr>
        <w:tc>
          <w:tcPr>
            <w:tcW w:w="1081"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地    址</w:t>
            </w:r>
          </w:p>
        </w:tc>
        <w:tc>
          <w:tcPr>
            <w:tcW w:w="378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4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电话/传真</w:t>
            </w:r>
          </w:p>
        </w:tc>
        <w:tc>
          <w:tcPr>
            <w:tcW w:w="2874"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1081"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成立年月</w:t>
            </w:r>
          </w:p>
        </w:tc>
        <w:tc>
          <w:tcPr>
            <w:tcW w:w="378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4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营业执照</w:t>
            </w:r>
          </w:p>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号    码</w:t>
            </w:r>
          </w:p>
        </w:tc>
        <w:tc>
          <w:tcPr>
            <w:tcW w:w="2874"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54" w:hRule="atLeast"/>
        </w:trPr>
        <w:tc>
          <w:tcPr>
            <w:tcW w:w="1081"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经营范围</w:t>
            </w:r>
          </w:p>
        </w:tc>
        <w:tc>
          <w:tcPr>
            <w:tcW w:w="7998" w:type="dxa"/>
            <w:gridSpan w:val="3"/>
            <w:tcBorders>
              <w:top w:val="single" w:color="auto" w:sz="4" w:space="0"/>
              <w:left w:val="nil"/>
              <w:bottom w:val="single" w:color="auto" w:sz="4" w:space="0"/>
              <w:right w:val="double" w:color="auto" w:sz="2" w:space="0"/>
            </w:tcBorders>
            <w:noWrap w:val="0"/>
            <w:vAlign w:val="center"/>
          </w:tcPr>
          <w:p>
            <w:pPr>
              <w:spacing w:line="360" w:lineRule="exact"/>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1" w:hRule="atLeast"/>
        </w:trPr>
        <w:tc>
          <w:tcPr>
            <w:tcW w:w="1081"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职工全员人    数</w:t>
            </w:r>
          </w:p>
        </w:tc>
        <w:tc>
          <w:tcPr>
            <w:tcW w:w="7998" w:type="dxa"/>
            <w:gridSpan w:val="3"/>
            <w:tcBorders>
              <w:top w:val="single" w:color="auto" w:sz="4" w:space="0"/>
              <w:left w:val="nil"/>
              <w:bottom w:val="single" w:color="auto" w:sz="4" w:space="0"/>
              <w:right w:val="double" w:color="auto" w:sz="2" w:space="0"/>
            </w:tcBorders>
            <w:noWrap w:val="0"/>
            <w:vAlign w:val="center"/>
          </w:tcPr>
          <w:p>
            <w:pPr>
              <w:spacing w:line="360" w:lineRule="exact"/>
              <w:rPr>
                <w:rFonts w:hint="eastAsia" w:ascii="宋体" w:hAnsi="宋体" w:eastAsia="宋体" w:cs="宋体"/>
                <w:sz w:val="21"/>
                <w:szCs w:val="21"/>
              </w:rPr>
            </w:pPr>
            <w:r>
              <w:rPr>
                <w:rFonts w:hint="eastAsia" w:ascii="宋体" w:hAnsi="宋体" w:eastAsia="宋体" w:cs="宋体"/>
                <w:sz w:val="21"/>
                <w:szCs w:val="21"/>
                <w:u w:val="single"/>
              </w:rPr>
              <w:t xml:space="preserve">        </w:t>
            </w:r>
            <w:r>
              <w:rPr>
                <w:rFonts w:hint="eastAsia" w:ascii="宋体" w:hAnsi="宋体" w:eastAsia="宋体" w:cs="宋体"/>
                <w:sz w:val="21"/>
                <w:szCs w:val="21"/>
              </w:rPr>
              <w:t>名。其中：管理人员</w:t>
            </w:r>
            <w:r>
              <w:rPr>
                <w:rFonts w:hint="eastAsia" w:ascii="宋体" w:hAnsi="宋体" w:eastAsia="宋体" w:cs="宋体"/>
                <w:sz w:val="21"/>
                <w:szCs w:val="21"/>
                <w:u w:val="single"/>
              </w:rPr>
              <w:t xml:space="preserve">      </w:t>
            </w:r>
            <w:r>
              <w:rPr>
                <w:rFonts w:hint="eastAsia" w:ascii="宋体" w:hAnsi="宋体" w:eastAsia="宋体" w:cs="宋体"/>
                <w:sz w:val="21"/>
                <w:szCs w:val="21"/>
              </w:rPr>
              <w:t>名、技术人员</w:t>
            </w:r>
            <w:r>
              <w:rPr>
                <w:rFonts w:hint="eastAsia" w:ascii="宋体" w:hAnsi="宋体" w:eastAsia="宋体" w:cs="宋体"/>
                <w:sz w:val="21"/>
                <w:szCs w:val="21"/>
                <w:u w:val="single"/>
              </w:rPr>
              <w:t xml:space="preserve">      </w:t>
            </w:r>
            <w:r>
              <w:rPr>
                <w:rFonts w:hint="eastAsia" w:ascii="宋体" w:hAnsi="宋体" w:eastAsia="宋体" w:cs="宋体"/>
                <w:sz w:val="21"/>
                <w:szCs w:val="21"/>
              </w:rPr>
              <w:t>名、工人</w:t>
            </w:r>
            <w:r>
              <w:rPr>
                <w:rFonts w:hint="eastAsia" w:ascii="宋体" w:hAnsi="宋体" w:eastAsia="宋体" w:cs="宋体"/>
                <w:sz w:val="21"/>
                <w:szCs w:val="21"/>
                <w:u w:val="single"/>
              </w:rPr>
              <w:t xml:space="preserve">     </w:t>
            </w:r>
            <w:r>
              <w:rPr>
                <w:rFonts w:hint="eastAsia" w:ascii="宋体" w:hAnsi="宋体" w:eastAsia="宋体" w:cs="宋体"/>
                <w:sz w:val="21"/>
                <w:szCs w:val="21"/>
              </w:rPr>
              <w:t>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1081" w:type="dxa"/>
            <w:vMerge w:val="restart"/>
            <w:tcBorders>
              <w:top w:val="nil"/>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固定资产</w:t>
            </w:r>
          </w:p>
        </w:tc>
        <w:tc>
          <w:tcPr>
            <w:tcW w:w="3780" w:type="dxa"/>
            <w:tcBorders>
              <w:top w:val="single" w:color="auto" w:sz="4" w:space="0"/>
              <w:left w:val="nil"/>
              <w:bottom w:val="single" w:color="auto" w:sz="4" w:space="0"/>
              <w:right w:val="single" w:color="auto" w:sz="4" w:space="0"/>
            </w:tcBorders>
            <w:noWrap w:val="0"/>
            <w:vAlign w:val="center"/>
          </w:tcPr>
          <w:p>
            <w:pPr>
              <w:spacing w:line="360" w:lineRule="exact"/>
              <w:rPr>
                <w:rFonts w:hint="eastAsia" w:ascii="宋体" w:hAnsi="宋体" w:eastAsia="宋体" w:cs="宋体"/>
                <w:sz w:val="21"/>
                <w:szCs w:val="21"/>
              </w:rPr>
            </w:pPr>
            <w:r>
              <w:rPr>
                <w:rFonts w:hint="eastAsia" w:ascii="宋体" w:hAnsi="宋体" w:eastAsia="宋体" w:cs="宋体"/>
                <w:sz w:val="21"/>
                <w:szCs w:val="21"/>
              </w:rPr>
              <w:t>原值</w:t>
            </w:r>
            <w:r>
              <w:rPr>
                <w:rFonts w:hint="eastAsia" w:ascii="宋体" w:hAnsi="宋体" w:eastAsia="宋体" w:cs="宋体"/>
                <w:sz w:val="21"/>
                <w:szCs w:val="21"/>
                <w:u w:val="single"/>
              </w:rPr>
              <w:t xml:space="preserve">       </w:t>
            </w:r>
            <w:r>
              <w:rPr>
                <w:rFonts w:hint="eastAsia" w:ascii="宋体" w:hAnsi="宋体" w:eastAsia="宋体" w:cs="宋体"/>
                <w:sz w:val="21"/>
                <w:szCs w:val="21"/>
              </w:rPr>
              <w:t>万元</w:t>
            </w:r>
          </w:p>
        </w:tc>
        <w:tc>
          <w:tcPr>
            <w:tcW w:w="1344" w:type="dxa"/>
            <w:vMerge w:val="restart"/>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流动资金</w:t>
            </w:r>
          </w:p>
        </w:tc>
        <w:tc>
          <w:tcPr>
            <w:tcW w:w="2874" w:type="dxa"/>
            <w:vMerge w:val="restart"/>
            <w:tcBorders>
              <w:top w:val="single" w:color="auto" w:sz="4" w:space="0"/>
              <w:left w:val="nil"/>
              <w:bottom w:val="single" w:color="auto" w:sz="4" w:space="0"/>
              <w:right w:val="double" w:color="auto" w:sz="2" w:space="0"/>
            </w:tcBorders>
            <w:noWrap w:val="0"/>
            <w:vAlign w:val="center"/>
          </w:tcPr>
          <w:p>
            <w:pPr>
              <w:spacing w:line="360" w:lineRule="exact"/>
              <w:rPr>
                <w:rFonts w:hint="eastAsia" w:ascii="宋体" w:hAnsi="宋体" w:eastAsia="宋体" w:cs="宋体"/>
                <w:sz w:val="21"/>
                <w:szCs w:val="21"/>
              </w:rPr>
            </w:pPr>
            <w:r>
              <w:rPr>
                <w:rFonts w:hint="eastAsia" w:ascii="宋体" w:hAnsi="宋体" w:eastAsia="宋体" w:cs="宋体"/>
                <w:sz w:val="21"/>
                <w:szCs w:val="21"/>
                <w:u w:val="single"/>
              </w:rPr>
              <w:t xml:space="preserve">       </w:t>
            </w:r>
            <w:r>
              <w:rPr>
                <w:rFonts w:hint="eastAsia" w:ascii="宋体" w:hAnsi="宋体" w:eastAsia="宋体" w:cs="宋体"/>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1081" w:type="dxa"/>
            <w:vMerge w:val="continue"/>
            <w:tcBorders>
              <w:top w:val="nil"/>
              <w:left w:val="double" w:color="auto" w:sz="2" w:space="0"/>
              <w:bottom w:val="single" w:color="auto" w:sz="4" w:space="0"/>
              <w:right w:val="single" w:color="auto" w:sz="4" w:space="0"/>
            </w:tcBorders>
            <w:noWrap w:val="0"/>
            <w:vAlign w:val="center"/>
          </w:tcPr>
          <w:p>
            <w:pPr>
              <w:widowControl/>
              <w:jc w:val="left"/>
              <w:rPr>
                <w:rFonts w:hint="eastAsia" w:ascii="宋体" w:hAnsi="宋体" w:eastAsia="宋体" w:cs="宋体"/>
                <w:sz w:val="21"/>
                <w:szCs w:val="21"/>
              </w:rPr>
            </w:pPr>
          </w:p>
        </w:tc>
        <w:tc>
          <w:tcPr>
            <w:tcW w:w="3780" w:type="dxa"/>
            <w:tcBorders>
              <w:top w:val="single" w:color="auto" w:sz="4" w:space="0"/>
              <w:left w:val="nil"/>
              <w:bottom w:val="single" w:color="auto" w:sz="4" w:space="0"/>
              <w:right w:val="single" w:color="auto" w:sz="4" w:space="0"/>
            </w:tcBorders>
            <w:noWrap w:val="0"/>
            <w:vAlign w:val="center"/>
          </w:tcPr>
          <w:p>
            <w:pPr>
              <w:spacing w:line="360" w:lineRule="exact"/>
              <w:rPr>
                <w:rFonts w:hint="eastAsia" w:ascii="宋体" w:hAnsi="宋体" w:eastAsia="宋体" w:cs="宋体"/>
                <w:sz w:val="21"/>
                <w:szCs w:val="21"/>
              </w:rPr>
            </w:pPr>
            <w:r>
              <w:rPr>
                <w:rFonts w:hint="eastAsia" w:ascii="宋体" w:hAnsi="宋体" w:eastAsia="宋体" w:cs="宋体"/>
                <w:sz w:val="21"/>
                <w:szCs w:val="21"/>
              </w:rPr>
              <w:t>净值</w:t>
            </w:r>
            <w:r>
              <w:rPr>
                <w:rFonts w:hint="eastAsia" w:ascii="宋体" w:hAnsi="宋体" w:eastAsia="宋体" w:cs="宋体"/>
                <w:sz w:val="21"/>
                <w:szCs w:val="21"/>
                <w:u w:val="single"/>
              </w:rPr>
              <w:t xml:space="preserve">       </w:t>
            </w:r>
            <w:r>
              <w:rPr>
                <w:rFonts w:hint="eastAsia" w:ascii="宋体" w:hAnsi="宋体" w:eastAsia="宋体" w:cs="宋体"/>
                <w:sz w:val="21"/>
                <w:szCs w:val="21"/>
              </w:rPr>
              <w:t>万元</w:t>
            </w:r>
          </w:p>
        </w:tc>
        <w:tc>
          <w:tcPr>
            <w:tcW w:w="1344"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hint="eastAsia" w:ascii="宋体" w:hAnsi="宋体" w:eastAsia="宋体" w:cs="宋体"/>
                <w:sz w:val="21"/>
                <w:szCs w:val="21"/>
              </w:rPr>
            </w:pPr>
          </w:p>
        </w:tc>
        <w:tc>
          <w:tcPr>
            <w:tcW w:w="2874" w:type="dxa"/>
            <w:vMerge w:val="continue"/>
            <w:tcBorders>
              <w:top w:val="single" w:color="auto" w:sz="4" w:space="0"/>
              <w:left w:val="nil"/>
              <w:bottom w:val="single" w:color="auto" w:sz="4" w:space="0"/>
              <w:right w:val="double" w:color="auto" w:sz="2" w:space="0"/>
            </w:tcBorders>
            <w:noWrap w:val="0"/>
            <w:vAlign w:val="center"/>
          </w:tcPr>
          <w:p>
            <w:pPr>
              <w:widowControl/>
              <w:jc w:val="left"/>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1081" w:type="dxa"/>
            <w:vMerge w:val="restart"/>
            <w:tcBorders>
              <w:top w:val="nil"/>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上年度</w:t>
            </w:r>
          </w:p>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主要经</w:t>
            </w:r>
          </w:p>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济指标</w:t>
            </w:r>
          </w:p>
        </w:tc>
        <w:tc>
          <w:tcPr>
            <w:tcW w:w="7998" w:type="dxa"/>
            <w:gridSpan w:val="3"/>
            <w:tcBorders>
              <w:top w:val="single" w:color="auto" w:sz="4" w:space="0"/>
              <w:left w:val="nil"/>
              <w:bottom w:val="single" w:color="auto" w:sz="4" w:space="0"/>
              <w:right w:val="double" w:color="auto" w:sz="2" w:space="0"/>
            </w:tcBorders>
            <w:noWrap w:val="0"/>
            <w:vAlign w:val="center"/>
          </w:tcPr>
          <w:p>
            <w:pPr>
              <w:spacing w:line="360" w:lineRule="exact"/>
              <w:rPr>
                <w:rFonts w:hint="eastAsia" w:ascii="宋体" w:hAnsi="宋体" w:eastAsia="宋体" w:cs="宋体"/>
                <w:sz w:val="21"/>
                <w:szCs w:val="21"/>
              </w:rPr>
            </w:pPr>
            <w:r>
              <w:rPr>
                <w:rFonts w:hint="eastAsia" w:ascii="宋体" w:hAnsi="宋体" w:eastAsia="宋体" w:cs="宋体"/>
                <w:sz w:val="21"/>
                <w:szCs w:val="21"/>
              </w:rPr>
              <w:t>总产值</w:t>
            </w:r>
            <w:r>
              <w:rPr>
                <w:rFonts w:hint="eastAsia" w:ascii="宋体" w:hAnsi="宋体" w:eastAsia="宋体" w:cs="宋体"/>
                <w:sz w:val="21"/>
                <w:szCs w:val="21"/>
                <w:u w:val="single"/>
              </w:rPr>
              <w:t xml:space="preserve">         </w:t>
            </w:r>
            <w:r>
              <w:rPr>
                <w:rFonts w:hint="eastAsia" w:ascii="宋体" w:hAnsi="宋体" w:eastAsia="宋体" w:cs="宋体"/>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1081" w:type="dxa"/>
            <w:vMerge w:val="continue"/>
            <w:tcBorders>
              <w:top w:val="nil"/>
              <w:left w:val="double" w:color="auto" w:sz="2" w:space="0"/>
              <w:bottom w:val="single" w:color="auto" w:sz="4" w:space="0"/>
              <w:right w:val="single" w:color="auto" w:sz="4" w:space="0"/>
            </w:tcBorders>
            <w:noWrap w:val="0"/>
            <w:vAlign w:val="center"/>
          </w:tcPr>
          <w:p>
            <w:pPr>
              <w:widowControl/>
              <w:jc w:val="left"/>
              <w:rPr>
                <w:rFonts w:hint="eastAsia" w:ascii="宋体" w:hAnsi="宋体" w:eastAsia="宋体" w:cs="宋体"/>
                <w:sz w:val="21"/>
                <w:szCs w:val="21"/>
              </w:rPr>
            </w:pPr>
          </w:p>
        </w:tc>
        <w:tc>
          <w:tcPr>
            <w:tcW w:w="7998" w:type="dxa"/>
            <w:gridSpan w:val="3"/>
            <w:tcBorders>
              <w:top w:val="single" w:color="auto" w:sz="4" w:space="0"/>
              <w:left w:val="nil"/>
              <w:bottom w:val="single" w:color="auto" w:sz="4" w:space="0"/>
              <w:right w:val="double" w:color="auto" w:sz="2" w:space="0"/>
            </w:tcBorders>
            <w:noWrap w:val="0"/>
            <w:vAlign w:val="center"/>
          </w:tcPr>
          <w:p>
            <w:pPr>
              <w:spacing w:line="360" w:lineRule="exact"/>
              <w:rPr>
                <w:rFonts w:hint="eastAsia" w:ascii="宋体" w:hAnsi="宋体" w:eastAsia="宋体" w:cs="宋体"/>
                <w:sz w:val="21"/>
                <w:szCs w:val="21"/>
              </w:rPr>
            </w:pPr>
            <w:r>
              <w:rPr>
                <w:rFonts w:hint="eastAsia" w:ascii="宋体" w:hAnsi="宋体" w:eastAsia="宋体" w:cs="宋体"/>
                <w:sz w:val="21"/>
                <w:szCs w:val="21"/>
              </w:rPr>
              <w:t>实现利润</w:t>
            </w:r>
            <w:r>
              <w:rPr>
                <w:rFonts w:hint="eastAsia" w:ascii="宋体" w:hAnsi="宋体" w:eastAsia="宋体" w:cs="宋体"/>
                <w:sz w:val="21"/>
                <w:szCs w:val="21"/>
                <w:u w:val="single"/>
              </w:rPr>
              <w:t xml:space="preserve">       </w:t>
            </w:r>
            <w:r>
              <w:rPr>
                <w:rFonts w:hint="eastAsia" w:ascii="宋体" w:hAnsi="宋体" w:eastAsia="宋体" w:cs="宋体"/>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7" w:hRule="atLeast"/>
        </w:trPr>
        <w:tc>
          <w:tcPr>
            <w:tcW w:w="1081" w:type="dxa"/>
            <w:tcBorders>
              <w:top w:val="single" w:color="auto" w:sz="4" w:space="0"/>
              <w:left w:val="double" w:color="auto" w:sz="2"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企业优势及特长</w:t>
            </w:r>
          </w:p>
        </w:tc>
        <w:tc>
          <w:tcPr>
            <w:tcW w:w="7998" w:type="dxa"/>
            <w:gridSpan w:val="3"/>
            <w:tcBorders>
              <w:top w:val="single" w:color="auto" w:sz="4" w:space="0"/>
              <w:left w:val="nil"/>
              <w:bottom w:val="double" w:color="auto" w:sz="2"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bl>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供应商：（盖章）</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法定代表人或授权代表：（签字</w:t>
      </w:r>
      <w:r>
        <w:rPr>
          <w:rFonts w:hint="eastAsia" w:ascii="宋体" w:hAnsi="宋体" w:eastAsia="宋体" w:cs="宋体"/>
          <w:sz w:val="21"/>
          <w:szCs w:val="21"/>
          <w:lang w:eastAsia="zh-CN"/>
        </w:rPr>
        <w:t>或盖章</w:t>
      </w:r>
      <w:r>
        <w:rPr>
          <w:rFonts w:hint="eastAsia" w:ascii="宋体" w:hAnsi="宋体" w:eastAsia="宋体" w:cs="宋体"/>
          <w:sz w:val="21"/>
          <w:szCs w:val="21"/>
        </w:rPr>
        <w:t>）</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日期：</w:t>
      </w:r>
    </w:p>
    <w:p>
      <w:pPr>
        <w:spacing w:line="440" w:lineRule="exact"/>
        <w:rPr>
          <w:rFonts w:hint="eastAsia" w:ascii="宋体" w:hAnsi="宋体" w:eastAsia="宋体" w:cs="宋体"/>
          <w:b/>
          <w:bCs/>
          <w:sz w:val="21"/>
          <w:szCs w:val="21"/>
        </w:rPr>
      </w:pPr>
      <w:r>
        <w:rPr>
          <w:rFonts w:hint="eastAsia" w:ascii="宋体" w:hAnsi="宋体" w:eastAsia="宋体" w:cs="宋体"/>
          <w:b/>
          <w:bCs/>
          <w:sz w:val="21"/>
          <w:szCs w:val="21"/>
        </w:rPr>
        <w:t xml:space="preserve"> </w:t>
      </w:r>
    </w:p>
    <w:p>
      <w:pPr>
        <w:spacing w:line="440" w:lineRule="exact"/>
        <w:outlineLvl w:val="1"/>
        <w:rPr>
          <w:rFonts w:hint="eastAsia" w:ascii="宋体" w:hAnsi="宋体" w:eastAsia="宋体" w:cs="宋体"/>
          <w:b/>
          <w:bCs/>
          <w:sz w:val="21"/>
          <w:szCs w:val="21"/>
        </w:rPr>
      </w:pPr>
      <w:bookmarkStart w:id="57" w:name="_Toc12580_WPSOffice_Level1"/>
      <w:bookmarkEnd w:id="57"/>
    </w:p>
    <w:p>
      <w:pPr>
        <w:spacing w:line="440" w:lineRule="exact"/>
        <w:rPr>
          <w:rFonts w:hint="eastAsia" w:ascii="宋体" w:hAnsi="宋体" w:eastAsia="宋体" w:cs="宋体"/>
          <w:b/>
          <w:bCs/>
          <w:sz w:val="21"/>
          <w:szCs w:val="21"/>
        </w:rPr>
      </w:pPr>
    </w:p>
    <w:p>
      <w:pPr>
        <w:spacing w:line="440" w:lineRule="exact"/>
        <w:rPr>
          <w:rFonts w:hint="eastAsia" w:ascii="宋体" w:hAnsi="宋体" w:eastAsia="宋体" w:cs="宋体"/>
          <w:b/>
          <w:bCs/>
          <w:sz w:val="21"/>
          <w:szCs w:val="21"/>
        </w:rPr>
      </w:pPr>
      <w:r>
        <w:rPr>
          <w:rFonts w:hint="eastAsia" w:ascii="宋体" w:hAnsi="宋体" w:eastAsia="宋体" w:cs="宋体"/>
          <w:b/>
          <w:bCs/>
          <w:sz w:val="21"/>
          <w:szCs w:val="21"/>
        </w:rPr>
        <w:t>附件四：</w:t>
      </w:r>
    </w:p>
    <w:p>
      <w:pPr>
        <w:spacing w:line="440" w:lineRule="exact"/>
        <w:jc w:val="center"/>
        <w:rPr>
          <w:rFonts w:hint="eastAsia" w:ascii="宋体" w:hAnsi="宋体" w:eastAsia="宋体" w:cs="宋体"/>
          <w:b/>
          <w:bCs/>
          <w:sz w:val="21"/>
          <w:szCs w:val="21"/>
        </w:rPr>
      </w:pPr>
      <w:r>
        <w:rPr>
          <w:rFonts w:hint="eastAsia" w:ascii="宋体" w:hAnsi="宋体" w:eastAsia="宋体" w:cs="宋体"/>
          <w:b/>
          <w:bCs/>
          <w:sz w:val="21"/>
          <w:szCs w:val="21"/>
        </w:rPr>
        <w:t>商务条款响应偏离表</w:t>
      </w:r>
    </w:p>
    <w:p>
      <w:pPr>
        <w:snapToGrid w:val="0"/>
        <w:spacing w:line="440" w:lineRule="exact"/>
        <w:ind w:firstLine="315" w:firstLineChars="150"/>
        <w:rPr>
          <w:rFonts w:hint="eastAsia" w:ascii="宋体" w:hAnsi="宋体" w:eastAsia="宋体" w:cs="宋体"/>
          <w:sz w:val="21"/>
          <w:szCs w:val="21"/>
        </w:rPr>
      </w:pPr>
      <w:r>
        <w:rPr>
          <w:rFonts w:hint="eastAsia" w:ascii="宋体" w:hAnsi="宋体" w:eastAsia="宋体" w:cs="宋体"/>
          <w:sz w:val="21"/>
          <w:szCs w:val="21"/>
        </w:rPr>
        <w:t>项目名称：</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采购编号：</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p>
    <w:tbl>
      <w:tblPr>
        <w:tblStyle w:val="28"/>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2880"/>
        <w:gridCol w:w="1642"/>
        <w:gridCol w:w="1800"/>
        <w:gridCol w:w="12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072" w:type="dxa"/>
            <w:tcBorders>
              <w:top w:val="double" w:color="auto" w:sz="2" w:space="0"/>
              <w:left w:val="double" w:color="auto" w:sz="2" w:space="0"/>
              <w:bottom w:val="double" w:color="auto" w:sz="2" w:space="0"/>
              <w:right w:val="single" w:color="auto" w:sz="4" w:space="0"/>
            </w:tcBorders>
            <w:noWrap w:val="0"/>
            <w:vAlign w:val="center"/>
          </w:tcPr>
          <w:p>
            <w:pPr>
              <w:autoSpaceDE w:val="0"/>
              <w:autoSpaceDN w:val="0"/>
              <w:adjustRightInd w:val="0"/>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2880" w:type="dxa"/>
            <w:tcBorders>
              <w:top w:val="double" w:color="auto" w:sz="2" w:space="0"/>
              <w:left w:val="single" w:color="auto" w:sz="4" w:space="0"/>
              <w:bottom w:val="double" w:color="auto" w:sz="2" w:space="0"/>
              <w:right w:val="single" w:color="auto" w:sz="4" w:space="0"/>
            </w:tcBorders>
            <w:noWrap w:val="0"/>
            <w:vAlign w:val="center"/>
          </w:tcPr>
          <w:p>
            <w:pPr>
              <w:snapToGrid w:val="0"/>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招标文件要求</w:t>
            </w:r>
          </w:p>
        </w:tc>
        <w:tc>
          <w:tcPr>
            <w:tcW w:w="1642" w:type="dxa"/>
            <w:tcBorders>
              <w:top w:val="double" w:color="auto" w:sz="2" w:space="0"/>
              <w:left w:val="single" w:color="auto" w:sz="4" w:space="0"/>
              <w:bottom w:val="double" w:color="auto" w:sz="2" w:space="0"/>
              <w:right w:val="single" w:color="auto" w:sz="4" w:space="0"/>
            </w:tcBorders>
            <w:noWrap w:val="0"/>
            <w:vAlign w:val="center"/>
          </w:tcPr>
          <w:p>
            <w:pPr>
              <w:adjustRightInd w:val="0"/>
              <w:snapToGrid w:val="0"/>
              <w:spacing w:line="360" w:lineRule="exact"/>
              <w:jc w:val="center"/>
              <w:rPr>
                <w:rFonts w:hint="eastAsia" w:ascii="宋体" w:hAnsi="宋体" w:eastAsia="宋体" w:cs="宋体"/>
                <w:b/>
                <w:bCs/>
                <w:spacing w:val="20"/>
                <w:sz w:val="21"/>
                <w:szCs w:val="21"/>
                <w:lang w:eastAsia="zh-CN"/>
              </w:rPr>
            </w:pPr>
            <w:r>
              <w:rPr>
                <w:rFonts w:hint="eastAsia" w:ascii="宋体" w:hAnsi="宋体" w:eastAsia="宋体" w:cs="宋体"/>
                <w:b/>
                <w:bCs/>
                <w:spacing w:val="20"/>
                <w:sz w:val="21"/>
                <w:szCs w:val="21"/>
              </w:rPr>
              <w:t>投标文件的</w:t>
            </w:r>
            <w:r>
              <w:rPr>
                <w:rFonts w:hint="eastAsia" w:ascii="宋体" w:hAnsi="宋体" w:eastAsia="宋体" w:cs="宋体"/>
                <w:b/>
                <w:bCs/>
                <w:spacing w:val="20"/>
                <w:sz w:val="21"/>
                <w:szCs w:val="21"/>
                <w:lang w:eastAsia="zh-CN"/>
              </w:rPr>
              <w:t>响应</w:t>
            </w:r>
          </w:p>
        </w:tc>
        <w:tc>
          <w:tcPr>
            <w:tcW w:w="1800" w:type="dxa"/>
            <w:tcBorders>
              <w:top w:val="double" w:color="auto" w:sz="2" w:space="0"/>
              <w:left w:val="single" w:color="auto" w:sz="4" w:space="0"/>
              <w:bottom w:val="double" w:color="auto" w:sz="2" w:space="0"/>
              <w:right w:val="single" w:color="auto" w:sz="4" w:space="0"/>
            </w:tcBorders>
            <w:noWrap w:val="0"/>
            <w:vAlign w:val="center"/>
          </w:tcPr>
          <w:p>
            <w:pPr>
              <w:adjustRightInd w:val="0"/>
              <w:snapToGrid w:val="0"/>
              <w:spacing w:line="360" w:lineRule="exact"/>
              <w:jc w:val="center"/>
              <w:rPr>
                <w:rFonts w:hint="eastAsia" w:ascii="宋体" w:hAnsi="宋体" w:eastAsia="宋体" w:cs="宋体"/>
                <w:b/>
                <w:bCs/>
                <w:spacing w:val="20"/>
                <w:sz w:val="21"/>
                <w:szCs w:val="21"/>
              </w:rPr>
            </w:pPr>
            <w:r>
              <w:rPr>
                <w:rFonts w:hint="eastAsia" w:ascii="宋体" w:hAnsi="宋体" w:eastAsia="宋体" w:cs="宋体"/>
                <w:b/>
                <w:bCs/>
                <w:spacing w:val="20"/>
                <w:sz w:val="21"/>
                <w:szCs w:val="21"/>
              </w:rPr>
              <w:t>偏离情况</w:t>
            </w:r>
          </w:p>
          <w:p>
            <w:pPr>
              <w:adjustRightInd w:val="0"/>
              <w:snapToGrid w:val="0"/>
              <w:spacing w:line="360" w:lineRule="exact"/>
              <w:jc w:val="center"/>
              <w:rPr>
                <w:rFonts w:hint="eastAsia" w:ascii="宋体" w:hAnsi="宋体" w:eastAsia="宋体" w:cs="宋体"/>
                <w:b/>
                <w:bCs/>
                <w:spacing w:val="20"/>
                <w:sz w:val="21"/>
                <w:szCs w:val="21"/>
              </w:rPr>
            </w:pPr>
            <w:r>
              <w:rPr>
                <w:rFonts w:hint="eastAsia" w:ascii="宋体" w:hAnsi="宋体" w:eastAsia="宋体" w:cs="宋体"/>
                <w:b/>
                <w:bCs/>
                <w:spacing w:val="20"/>
                <w:sz w:val="21"/>
                <w:szCs w:val="21"/>
                <w:lang w:eastAsia="zh-CN"/>
              </w:rPr>
              <w:t>（</w:t>
            </w:r>
            <w:r>
              <w:rPr>
                <w:rFonts w:hint="eastAsia" w:ascii="宋体" w:hAnsi="宋体" w:eastAsia="宋体" w:cs="宋体"/>
                <w:b/>
                <w:bCs/>
                <w:spacing w:val="20"/>
                <w:sz w:val="21"/>
                <w:szCs w:val="21"/>
              </w:rPr>
              <w:t>正偏离/完全响应/负偏离</w:t>
            </w:r>
            <w:r>
              <w:rPr>
                <w:rFonts w:hint="eastAsia" w:ascii="宋体" w:hAnsi="宋体" w:eastAsia="宋体" w:cs="宋体"/>
                <w:b/>
                <w:bCs/>
                <w:spacing w:val="20"/>
                <w:sz w:val="21"/>
                <w:szCs w:val="21"/>
                <w:lang w:eastAsia="zh-CN"/>
              </w:rPr>
              <w:t>）</w:t>
            </w:r>
          </w:p>
        </w:tc>
        <w:tc>
          <w:tcPr>
            <w:tcW w:w="1260" w:type="dxa"/>
            <w:tcBorders>
              <w:top w:val="double" w:color="auto" w:sz="2" w:space="0"/>
              <w:left w:val="single" w:color="auto" w:sz="4" w:space="0"/>
              <w:bottom w:val="double" w:color="auto" w:sz="2" w:space="0"/>
              <w:right w:val="double" w:color="auto" w:sz="2" w:space="0"/>
            </w:tcBorders>
            <w:noWrap w:val="0"/>
            <w:vAlign w:val="center"/>
          </w:tcPr>
          <w:p>
            <w:pPr>
              <w:adjustRightInd w:val="0"/>
              <w:snapToGrid w:val="0"/>
              <w:spacing w:line="360" w:lineRule="exact"/>
              <w:jc w:val="center"/>
              <w:rPr>
                <w:rFonts w:hint="eastAsia" w:ascii="宋体" w:hAnsi="宋体" w:eastAsia="宋体" w:cs="宋体"/>
                <w:b/>
                <w:bCs/>
                <w:spacing w:val="20"/>
                <w:sz w:val="21"/>
                <w:szCs w:val="21"/>
              </w:rPr>
            </w:pPr>
            <w:r>
              <w:rPr>
                <w:rFonts w:hint="eastAsia" w:ascii="宋体" w:hAnsi="宋体" w:eastAsia="宋体" w:cs="宋体"/>
                <w:b/>
                <w:bCs/>
                <w:spacing w:val="20"/>
                <w:sz w:val="21"/>
                <w:szCs w:val="21"/>
              </w:rPr>
              <w:t>承诺或说明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072" w:type="dxa"/>
            <w:tcBorders>
              <w:top w:val="double" w:color="auto" w:sz="2" w:space="0"/>
              <w:left w:val="double" w:color="auto" w:sz="2" w:space="0"/>
              <w:bottom w:val="single" w:color="auto" w:sz="4" w:space="0"/>
              <w:right w:val="single" w:color="auto" w:sz="4" w:space="0"/>
            </w:tcBorders>
            <w:noWrap w:val="0"/>
            <w:vAlign w:val="center"/>
          </w:tcPr>
          <w:p>
            <w:pPr>
              <w:snapToGrid w:val="0"/>
              <w:spacing w:line="360" w:lineRule="exact"/>
              <w:jc w:val="center"/>
              <w:rPr>
                <w:rFonts w:hint="eastAsia" w:ascii="宋体" w:hAnsi="宋体" w:eastAsia="宋体" w:cs="宋体"/>
                <w:sz w:val="21"/>
                <w:szCs w:val="21"/>
              </w:rPr>
            </w:pPr>
          </w:p>
        </w:tc>
        <w:tc>
          <w:tcPr>
            <w:tcW w:w="2880" w:type="dxa"/>
            <w:tcBorders>
              <w:top w:val="double" w:color="auto" w:sz="2" w:space="0"/>
              <w:left w:val="single" w:color="auto" w:sz="4" w:space="0"/>
              <w:bottom w:val="single" w:color="auto" w:sz="4" w:space="0"/>
              <w:right w:val="single" w:color="auto" w:sz="4" w:space="0"/>
            </w:tcBorders>
            <w:noWrap w:val="0"/>
            <w:vAlign w:val="center"/>
          </w:tcPr>
          <w:p>
            <w:pPr>
              <w:snapToGrid w:val="0"/>
              <w:spacing w:line="360" w:lineRule="exact"/>
              <w:jc w:val="both"/>
              <w:rPr>
                <w:rFonts w:hint="eastAsia" w:ascii="宋体" w:hAnsi="宋体" w:eastAsia="宋体" w:cs="宋体"/>
                <w:sz w:val="21"/>
                <w:szCs w:val="21"/>
                <w:lang w:val="en-US" w:eastAsia="zh-CN" w:bidi="ar-SA"/>
              </w:rPr>
            </w:pPr>
            <w:r>
              <w:rPr>
                <w:rFonts w:hint="eastAsia" w:ascii="宋体" w:hAnsi="宋体" w:eastAsia="宋体" w:cs="宋体"/>
                <w:sz w:val="21"/>
                <w:szCs w:val="21"/>
              </w:rPr>
              <w:t>合同履行期限</w:t>
            </w:r>
            <w:r>
              <w:rPr>
                <w:rFonts w:hint="eastAsia" w:ascii="宋体" w:hAnsi="宋体" w:eastAsia="宋体" w:cs="宋体"/>
                <w:sz w:val="21"/>
                <w:szCs w:val="21"/>
                <w:lang w:eastAsia="zh-CN"/>
              </w:rPr>
              <w:t>：</w:t>
            </w:r>
          </w:p>
        </w:tc>
        <w:tc>
          <w:tcPr>
            <w:tcW w:w="1642" w:type="dxa"/>
            <w:tcBorders>
              <w:top w:val="double" w:color="auto" w:sz="2" w:space="0"/>
              <w:left w:val="single" w:color="auto" w:sz="4" w:space="0"/>
              <w:bottom w:val="single" w:color="auto" w:sz="4" w:space="0"/>
              <w:right w:val="single" w:color="auto" w:sz="4" w:space="0"/>
            </w:tcBorders>
            <w:noWrap w:val="0"/>
            <w:vAlign w:val="center"/>
          </w:tcPr>
          <w:p>
            <w:pPr>
              <w:snapToGrid w:val="0"/>
              <w:spacing w:line="360" w:lineRule="exact"/>
              <w:jc w:val="center"/>
              <w:rPr>
                <w:rFonts w:hint="eastAsia" w:ascii="宋体" w:hAnsi="宋体" w:eastAsia="宋体" w:cs="宋体"/>
                <w:sz w:val="21"/>
                <w:szCs w:val="21"/>
              </w:rPr>
            </w:pPr>
          </w:p>
        </w:tc>
        <w:tc>
          <w:tcPr>
            <w:tcW w:w="1800" w:type="dxa"/>
            <w:tcBorders>
              <w:top w:val="double" w:color="auto" w:sz="2" w:space="0"/>
              <w:left w:val="single" w:color="auto" w:sz="4" w:space="0"/>
              <w:bottom w:val="single" w:color="auto" w:sz="4" w:space="0"/>
              <w:right w:val="single" w:color="auto" w:sz="4" w:space="0"/>
            </w:tcBorders>
            <w:noWrap w:val="0"/>
            <w:vAlign w:val="center"/>
          </w:tcPr>
          <w:p>
            <w:pPr>
              <w:snapToGrid w:val="0"/>
              <w:spacing w:line="360" w:lineRule="exact"/>
              <w:jc w:val="center"/>
              <w:rPr>
                <w:rFonts w:hint="eastAsia" w:ascii="宋体" w:hAnsi="宋体" w:eastAsia="宋体" w:cs="宋体"/>
                <w:sz w:val="21"/>
                <w:szCs w:val="21"/>
              </w:rPr>
            </w:pPr>
          </w:p>
        </w:tc>
        <w:tc>
          <w:tcPr>
            <w:tcW w:w="1260" w:type="dxa"/>
            <w:tcBorders>
              <w:top w:val="double" w:color="auto" w:sz="2" w:space="0"/>
              <w:left w:val="single" w:color="auto" w:sz="4" w:space="0"/>
              <w:bottom w:val="single" w:color="auto" w:sz="4" w:space="0"/>
              <w:right w:val="double" w:color="auto" w:sz="2" w:space="0"/>
            </w:tcBorders>
            <w:noWrap w:val="0"/>
            <w:vAlign w:val="center"/>
          </w:tcPr>
          <w:p>
            <w:pPr>
              <w:snapToGrid w:val="0"/>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072" w:type="dxa"/>
            <w:tcBorders>
              <w:top w:val="single" w:color="auto" w:sz="4" w:space="0"/>
              <w:left w:val="double" w:color="auto" w:sz="2" w:space="0"/>
              <w:bottom w:val="single" w:color="auto" w:sz="4" w:space="0"/>
              <w:right w:val="single" w:color="auto" w:sz="4" w:space="0"/>
            </w:tcBorders>
            <w:noWrap w:val="0"/>
            <w:vAlign w:val="center"/>
          </w:tcPr>
          <w:p>
            <w:pPr>
              <w:snapToGrid w:val="0"/>
              <w:spacing w:line="360" w:lineRule="exact"/>
              <w:jc w:val="center"/>
              <w:rPr>
                <w:rFonts w:hint="eastAsia" w:ascii="宋体" w:hAnsi="宋体" w:eastAsia="宋体" w:cs="宋体"/>
                <w:sz w:val="21"/>
                <w:szCs w:val="21"/>
              </w:rPr>
            </w:pPr>
          </w:p>
        </w:tc>
        <w:tc>
          <w:tcPr>
            <w:tcW w:w="28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jc w:val="both"/>
              <w:rPr>
                <w:rFonts w:hint="eastAsia" w:ascii="宋体" w:hAnsi="宋体" w:eastAsia="宋体" w:cs="宋体"/>
                <w:sz w:val="21"/>
                <w:szCs w:val="21"/>
                <w:lang w:val="en-US" w:eastAsia="zh-CN" w:bidi="ar-SA"/>
              </w:rPr>
            </w:pPr>
            <w:r>
              <w:rPr>
                <w:rFonts w:hint="eastAsia" w:ascii="宋体" w:hAnsi="宋体" w:eastAsia="宋体" w:cs="宋体"/>
                <w:sz w:val="21"/>
                <w:szCs w:val="21"/>
                <w:lang w:eastAsia="zh-CN"/>
              </w:rPr>
              <w:t>付款方式：</w:t>
            </w:r>
          </w:p>
        </w:tc>
        <w:tc>
          <w:tcPr>
            <w:tcW w:w="164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072" w:type="dxa"/>
            <w:tcBorders>
              <w:top w:val="single" w:color="auto" w:sz="4" w:space="0"/>
              <w:left w:val="double" w:color="auto" w:sz="2" w:space="0"/>
              <w:bottom w:val="single" w:color="auto" w:sz="4" w:space="0"/>
              <w:right w:val="single" w:color="auto" w:sz="4" w:space="0"/>
            </w:tcBorders>
            <w:noWrap w:val="0"/>
            <w:vAlign w:val="center"/>
          </w:tcPr>
          <w:p>
            <w:pPr>
              <w:snapToGrid w:val="0"/>
              <w:spacing w:line="360" w:lineRule="exact"/>
              <w:jc w:val="center"/>
              <w:rPr>
                <w:rFonts w:hint="eastAsia" w:ascii="宋体" w:hAnsi="宋体" w:eastAsia="宋体" w:cs="宋体"/>
                <w:sz w:val="21"/>
                <w:szCs w:val="21"/>
              </w:rPr>
            </w:pPr>
          </w:p>
        </w:tc>
        <w:tc>
          <w:tcPr>
            <w:tcW w:w="28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jc w:val="both"/>
              <w:rPr>
                <w:rFonts w:hint="eastAsia" w:ascii="宋体" w:hAnsi="宋体" w:eastAsia="宋体" w:cs="宋体"/>
                <w:sz w:val="21"/>
                <w:szCs w:val="21"/>
                <w:lang w:val="en-US" w:eastAsia="zh-CN" w:bidi="ar-SA"/>
              </w:rPr>
            </w:pPr>
            <w:r>
              <w:rPr>
                <w:rFonts w:hint="eastAsia" w:ascii="宋体" w:hAnsi="宋体" w:eastAsia="宋体" w:cs="宋体"/>
                <w:sz w:val="21"/>
                <w:szCs w:val="21"/>
              </w:rPr>
              <w:t>投标文件有效期</w:t>
            </w:r>
            <w:r>
              <w:rPr>
                <w:rFonts w:hint="eastAsia" w:ascii="宋体" w:hAnsi="宋体" w:eastAsia="宋体" w:cs="宋体"/>
                <w:sz w:val="21"/>
                <w:szCs w:val="21"/>
                <w:lang w:eastAsia="zh-CN"/>
              </w:rPr>
              <w:t>：</w:t>
            </w:r>
          </w:p>
        </w:tc>
        <w:tc>
          <w:tcPr>
            <w:tcW w:w="1642"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jc w:val="center"/>
              <w:rPr>
                <w:rFonts w:hint="eastAsia" w:ascii="宋体" w:hAnsi="宋体" w:eastAsia="宋体" w:cs="宋体"/>
                <w:sz w:val="21"/>
                <w:szCs w:val="21"/>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072" w:type="dxa"/>
            <w:tcBorders>
              <w:top w:val="single" w:color="auto" w:sz="4" w:space="0"/>
              <w:left w:val="double" w:color="auto" w:sz="2" w:space="0"/>
              <w:bottom w:val="single" w:color="auto" w:sz="4" w:space="0"/>
              <w:right w:val="single" w:color="auto" w:sz="4" w:space="0"/>
            </w:tcBorders>
            <w:noWrap w:val="0"/>
            <w:vAlign w:val="center"/>
          </w:tcPr>
          <w:p>
            <w:pPr>
              <w:snapToGrid w:val="0"/>
              <w:spacing w:line="360" w:lineRule="exact"/>
              <w:jc w:val="center"/>
              <w:rPr>
                <w:rFonts w:hint="eastAsia" w:ascii="宋体" w:hAnsi="宋体" w:eastAsia="宋体" w:cs="宋体"/>
                <w:sz w:val="21"/>
                <w:szCs w:val="21"/>
              </w:rPr>
            </w:pPr>
          </w:p>
        </w:tc>
        <w:tc>
          <w:tcPr>
            <w:tcW w:w="28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jc w:val="both"/>
              <w:rPr>
                <w:rFonts w:hint="eastAsia" w:ascii="宋体" w:hAnsi="宋体" w:eastAsia="宋体" w:cs="宋体"/>
                <w:sz w:val="21"/>
                <w:szCs w:val="21"/>
                <w:lang w:val="en-US" w:eastAsia="zh-CN" w:bidi="ar-SA"/>
              </w:rPr>
            </w:pPr>
            <w:r>
              <w:rPr>
                <w:rFonts w:hint="eastAsia" w:ascii="宋体" w:hAnsi="宋体" w:cs="宋体"/>
                <w:sz w:val="21"/>
                <w:szCs w:val="21"/>
              </w:rPr>
              <w:t>签订合同时间</w:t>
            </w:r>
            <w:r>
              <w:rPr>
                <w:rFonts w:hint="eastAsia" w:ascii="宋体" w:hAnsi="宋体" w:cs="宋体"/>
                <w:sz w:val="21"/>
                <w:szCs w:val="21"/>
                <w:lang w:eastAsia="zh-CN"/>
              </w:rPr>
              <w:t>：</w:t>
            </w:r>
          </w:p>
        </w:tc>
        <w:tc>
          <w:tcPr>
            <w:tcW w:w="164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072" w:type="dxa"/>
            <w:tcBorders>
              <w:top w:val="single" w:color="auto" w:sz="4" w:space="0"/>
              <w:left w:val="double" w:color="auto" w:sz="2" w:space="0"/>
              <w:bottom w:val="single" w:color="auto" w:sz="4" w:space="0"/>
              <w:right w:val="single" w:color="auto" w:sz="4" w:space="0"/>
            </w:tcBorders>
            <w:noWrap w:val="0"/>
            <w:vAlign w:val="center"/>
          </w:tcPr>
          <w:p>
            <w:pPr>
              <w:snapToGrid w:val="0"/>
              <w:spacing w:line="360" w:lineRule="exact"/>
              <w:jc w:val="center"/>
              <w:rPr>
                <w:rFonts w:hint="eastAsia" w:ascii="宋体" w:hAnsi="宋体" w:eastAsia="宋体" w:cs="宋体"/>
                <w:sz w:val="21"/>
                <w:szCs w:val="21"/>
              </w:rPr>
            </w:pPr>
          </w:p>
        </w:tc>
        <w:tc>
          <w:tcPr>
            <w:tcW w:w="2880"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exact"/>
              <w:jc w:val="both"/>
              <w:rPr>
                <w:rFonts w:hint="eastAsia" w:ascii="宋体" w:hAnsi="宋体" w:cs="宋体"/>
                <w:sz w:val="21"/>
                <w:szCs w:val="21"/>
                <w:lang w:val="en-US" w:eastAsia="zh-CN" w:bidi="ar-SA"/>
              </w:rPr>
            </w:pPr>
            <w:r>
              <w:rPr>
                <w:rFonts w:hint="eastAsia" w:ascii="宋体" w:hAnsi="宋体" w:cs="宋体"/>
                <w:sz w:val="21"/>
                <w:szCs w:val="21"/>
                <w:lang w:eastAsia="zh-CN"/>
              </w:rPr>
              <w:t>违约责任：</w:t>
            </w:r>
          </w:p>
        </w:tc>
        <w:tc>
          <w:tcPr>
            <w:tcW w:w="1642"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072" w:type="dxa"/>
            <w:tcBorders>
              <w:top w:val="single" w:color="auto" w:sz="4" w:space="0"/>
              <w:left w:val="double" w:color="auto" w:sz="2" w:space="0"/>
              <w:bottom w:val="double" w:color="auto" w:sz="2" w:space="0"/>
              <w:right w:val="single" w:color="auto" w:sz="4" w:space="0"/>
            </w:tcBorders>
            <w:noWrap w:val="0"/>
            <w:vAlign w:val="center"/>
          </w:tcPr>
          <w:p>
            <w:pPr>
              <w:snapToGrid w:val="0"/>
              <w:spacing w:line="360" w:lineRule="exact"/>
              <w:jc w:val="center"/>
              <w:rPr>
                <w:rFonts w:hint="eastAsia" w:ascii="宋体" w:hAnsi="宋体" w:eastAsia="宋体" w:cs="宋体"/>
                <w:sz w:val="21"/>
                <w:szCs w:val="21"/>
              </w:rPr>
            </w:pPr>
          </w:p>
        </w:tc>
        <w:tc>
          <w:tcPr>
            <w:tcW w:w="2880" w:type="dxa"/>
            <w:tcBorders>
              <w:top w:val="single" w:color="auto" w:sz="4" w:space="0"/>
              <w:left w:val="single" w:color="auto" w:sz="4" w:space="0"/>
              <w:bottom w:val="double" w:color="auto" w:sz="2" w:space="0"/>
              <w:right w:val="single" w:color="auto" w:sz="4" w:space="0"/>
            </w:tcBorders>
            <w:noWrap w:val="0"/>
            <w:vAlign w:val="center"/>
          </w:tcPr>
          <w:p>
            <w:pPr>
              <w:spacing w:line="400" w:lineRule="exact"/>
              <w:rPr>
                <w:rFonts w:hint="eastAsia" w:ascii="宋体" w:hAnsi="宋体" w:eastAsia="宋体" w:cs="宋体"/>
                <w:sz w:val="21"/>
                <w:szCs w:val="21"/>
              </w:rPr>
            </w:pPr>
          </w:p>
        </w:tc>
        <w:tc>
          <w:tcPr>
            <w:tcW w:w="1642" w:type="dxa"/>
            <w:tcBorders>
              <w:top w:val="single" w:color="auto" w:sz="4"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0" w:type="dxa"/>
            <w:tcBorders>
              <w:top w:val="single" w:color="auto" w:sz="4"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single" w:color="auto" w:sz="4" w:space="0"/>
              <w:bottom w:val="double" w:color="auto" w:sz="2"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bl>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供应商：（盖章）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法定代表人或授权代表：（签字</w:t>
      </w:r>
      <w:r>
        <w:rPr>
          <w:rFonts w:hint="eastAsia" w:ascii="宋体" w:hAnsi="宋体" w:eastAsia="宋体" w:cs="宋体"/>
          <w:sz w:val="21"/>
          <w:szCs w:val="21"/>
          <w:lang w:eastAsia="zh-CN"/>
        </w:rPr>
        <w:t>或盖章</w:t>
      </w:r>
      <w:r>
        <w:rPr>
          <w:rFonts w:hint="eastAsia" w:ascii="宋体" w:hAnsi="宋体" w:eastAsia="宋体" w:cs="宋体"/>
          <w:sz w:val="21"/>
          <w:szCs w:val="21"/>
        </w:rPr>
        <w:t>）</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日期：</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p>
    <w:p>
      <w:pPr>
        <w:spacing w:line="440" w:lineRule="exact"/>
        <w:rPr>
          <w:rFonts w:hint="eastAsia" w:ascii="宋体" w:hAnsi="宋体" w:eastAsia="宋体" w:cs="宋体"/>
          <w:sz w:val="21"/>
          <w:szCs w:val="21"/>
        </w:rPr>
      </w:pP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pStyle w:val="27"/>
        <w:rPr>
          <w:rFonts w:hint="eastAsia"/>
        </w:rPr>
      </w:pP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b/>
          <w:bCs/>
          <w:sz w:val="21"/>
          <w:szCs w:val="21"/>
        </w:rPr>
      </w:pPr>
      <w:bookmarkStart w:id="58" w:name="_Toc16416_WPSOffice_Level1"/>
      <w:bookmarkEnd w:id="58"/>
      <w:r>
        <w:rPr>
          <w:rFonts w:hint="eastAsia" w:ascii="宋体" w:hAnsi="宋体" w:eastAsia="宋体" w:cs="宋体"/>
          <w:sz w:val="21"/>
          <w:szCs w:val="21"/>
        </w:rPr>
        <w:t xml:space="preserve"> </w:t>
      </w:r>
      <w:r>
        <w:rPr>
          <w:rFonts w:hint="eastAsia" w:ascii="宋体" w:hAnsi="宋体" w:eastAsia="宋体" w:cs="宋体"/>
          <w:b/>
          <w:bCs/>
          <w:sz w:val="21"/>
          <w:szCs w:val="21"/>
        </w:rPr>
        <w:t>附件五：</w:t>
      </w:r>
    </w:p>
    <w:p>
      <w:pPr>
        <w:spacing w:line="360" w:lineRule="exact"/>
        <w:jc w:val="center"/>
        <w:outlineLvl w:val="1"/>
        <w:rPr>
          <w:rFonts w:hint="eastAsia" w:ascii="宋体" w:hAnsi="宋体" w:eastAsia="宋体" w:cs="宋体"/>
          <w:b/>
          <w:bCs/>
          <w:sz w:val="21"/>
          <w:szCs w:val="21"/>
        </w:rPr>
      </w:pPr>
      <w:r>
        <w:rPr>
          <w:rFonts w:hint="eastAsia" w:ascii="宋体" w:hAnsi="宋体" w:eastAsia="宋体" w:cs="宋体"/>
          <w:b/>
          <w:bCs/>
          <w:sz w:val="21"/>
          <w:szCs w:val="21"/>
        </w:rPr>
        <w:t>技术/服务响应偏离表</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项目名称：</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采购编号：</w:t>
      </w:r>
      <w:r>
        <w:rPr>
          <w:rFonts w:hint="eastAsia" w:ascii="宋体" w:hAnsi="宋体" w:eastAsia="宋体" w:cs="宋体"/>
          <w:sz w:val="21"/>
          <w:szCs w:val="21"/>
          <w:u w:val="single"/>
        </w:rPr>
        <w:t xml:space="preserve">                     </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6"/>
        <w:gridCol w:w="3134"/>
        <w:gridCol w:w="3134"/>
        <w:gridCol w:w="2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double" w:color="auto" w:sz="2" w:space="0"/>
              <w:left w:val="double" w:color="auto" w:sz="2"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3134" w:type="dxa"/>
            <w:tcBorders>
              <w:top w:val="double" w:color="auto" w:sz="2"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招标文件要求</w:t>
            </w:r>
          </w:p>
        </w:tc>
        <w:tc>
          <w:tcPr>
            <w:tcW w:w="3134" w:type="dxa"/>
            <w:tcBorders>
              <w:top w:val="double" w:color="auto" w:sz="2"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投标文件对应描述</w:t>
            </w:r>
          </w:p>
        </w:tc>
        <w:tc>
          <w:tcPr>
            <w:tcW w:w="2073" w:type="dxa"/>
            <w:tcBorders>
              <w:top w:val="double" w:color="auto" w:sz="2" w:space="0"/>
              <w:left w:val="nil"/>
              <w:bottom w:val="double" w:color="auto" w:sz="2" w:space="0"/>
              <w:right w:val="double" w:color="auto" w:sz="2"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double" w:color="auto" w:sz="2"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double" w:color="auto" w:sz="2"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double" w:color="auto" w:sz="2"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double" w:color="auto" w:sz="2"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80" w:hRule="atLeast"/>
          <w:jc w:val="center"/>
        </w:trPr>
        <w:tc>
          <w:tcPr>
            <w:tcW w:w="686"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86" w:type="dxa"/>
            <w:tcBorders>
              <w:top w:val="single" w:color="auto" w:sz="4" w:space="0"/>
              <w:left w:val="double" w:color="auto" w:sz="2"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3134" w:type="dxa"/>
            <w:tcBorders>
              <w:top w:val="single" w:color="auto" w:sz="4"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2073" w:type="dxa"/>
            <w:tcBorders>
              <w:top w:val="single" w:color="auto" w:sz="4" w:space="0"/>
              <w:left w:val="nil"/>
              <w:bottom w:val="double" w:color="auto" w:sz="2"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bl>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注：</w:t>
      </w:r>
      <w:r>
        <w:rPr>
          <w:rFonts w:hint="eastAsia" w:ascii="宋体" w:hAnsi="宋体" w:eastAsia="宋体" w:cs="宋体"/>
          <w:sz w:val="21"/>
          <w:szCs w:val="21"/>
          <w:lang w:eastAsia="zh-CN"/>
        </w:rPr>
        <w:t>供应商</w:t>
      </w:r>
      <w:r>
        <w:rPr>
          <w:rFonts w:hint="eastAsia" w:ascii="宋体" w:hAnsi="宋体" w:eastAsia="宋体" w:cs="宋体"/>
          <w:sz w:val="21"/>
          <w:szCs w:val="21"/>
        </w:rPr>
        <w:t>对第二章《采购需求》中的条款进行响应。</w:t>
      </w:r>
    </w:p>
    <w:p>
      <w:pPr>
        <w:snapToGrid w:val="0"/>
        <w:spacing w:line="440" w:lineRule="exact"/>
        <w:rPr>
          <w:rFonts w:hint="eastAsia" w:ascii="宋体" w:hAnsi="宋体" w:eastAsia="宋体" w:cs="宋体"/>
          <w:sz w:val="21"/>
          <w:szCs w:val="21"/>
        </w:rPr>
      </w:pP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供应商：（盖章）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法定代表人或授权代表：（签字</w:t>
      </w:r>
      <w:r>
        <w:rPr>
          <w:rFonts w:hint="eastAsia" w:ascii="宋体" w:hAnsi="宋体" w:eastAsia="宋体" w:cs="宋体"/>
          <w:sz w:val="21"/>
          <w:szCs w:val="21"/>
          <w:lang w:eastAsia="zh-CN"/>
        </w:rPr>
        <w:t>或盖章</w:t>
      </w:r>
      <w:r>
        <w:rPr>
          <w:rFonts w:hint="eastAsia" w:ascii="宋体" w:hAnsi="宋体" w:eastAsia="宋体" w:cs="宋体"/>
          <w:sz w:val="21"/>
          <w:szCs w:val="21"/>
        </w:rPr>
        <w:t>）</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日期：</w:t>
      </w:r>
    </w:p>
    <w:p>
      <w:pPr>
        <w:spacing w:line="440" w:lineRule="exact"/>
        <w:rPr>
          <w:rFonts w:hint="eastAsia" w:ascii="宋体" w:hAnsi="宋体" w:eastAsia="宋体" w:cs="宋体"/>
          <w:b/>
          <w:bCs/>
          <w:sz w:val="21"/>
          <w:szCs w:val="21"/>
        </w:rPr>
      </w:pPr>
    </w:p>
    <w:p>
      <w:pPr>
        <w:pStyle w:val="27"/>
        <w:ind w:left="400" w:firstLine="422"/>
        <w:rPr>
          <w:rFonts w:hint="eastAsia" w:ascii="宋体" w:hAnsi="宋体" w:eastAsia="宋体" w:cs="宋体"/>
          <w:b/>
          <w:bCs/>
          <w:sz w:val="21"/>
          <w:szCs w:val="21"/>
        </w:rPr>
      </w:pPr>
    </w:p>
    <w:p>
      <w:pPr>
        <w:spacing w:line="440" w:lineRule="exact"/>
        <w:rPr>
          <w:rFonts w:hint="eastAsia" w:ascii="宋体" w:hAnsi="宋体" w:eastAsia="宋体" w:cs="宋体"/>
          <w:sz w:val="21"/>
          <w:szCs w:val="21"/>
        </w:rPr>
      </w:pPr>
      <w:r>
        <w:rPr>
          <w:rFonts w:hint="eastAsia" w:ascii="宋体" w:hAnsi="宋体" w:eastAsia="宋体" w:cs="宋体"/>
          <w:b/>
          <w:bCs/>
          <w:sz w:val="21"/>
          <w:szCs w:val="21"/>
        </w:rPr>
        <w:t>附件六：</w:t>
      </w:r>
    </w:p>
    <w:p>
      <w:pPr>
        <w:adjustRightInd w:val="0"/>
        <w:snapToGrid w:val="0"/>
        <w:spacing w:line="440" w:lineRule="exact"/>
        <w:jc w:val="center"/>
        <w:rPr>
          <w:rFonts w:hint="eastAsia" w:ascii="宋体" w:hAnsi="宋体" w:eastAsia="宋体" w:cs="宋体"/>
          <w:b/>
          <w:bCs/>
          <w:sz w:val="21"/>
          <w:szCs w:val="21"/>
        </w:rPr>
      </w:pPr>
      <w:r>
        <w:rPr>
          <w:rFonts w:hint="eastAsia" w:ascii="宋体" w:hAnsi="宋体" w:eastAsia="宋体" w:cs="宋体"/>
          <w:b/>
          <w:bCs/>
          <w:sz w:val="21"/>
          <w:szCs w:val="21"/>
        </w:rPr>
        <w:t>拟派项目负责人及主要成员配备情况</w:t>
      </w:r>
    </w:p>
    <w:p>
      <w:pPr>
        <w:adjustRightInd w:val="0"/>
        <w:snapToGrid w:val="0"/>
        <w:spacing w:line="440" w:lineRule="exact"/>
        <w:jc w:val="center"/>
        <w:rPr>
          <w:rFonts w:hint="eastAsia" w:ascii="宋体" w:hAnsi="宋体" w:eastAsia="宋体" w:cs="宋体"/>
          <w:b/>
          <w:bCs/>
          <w:sz w:val="21"/>
          <w:szCs w:val="21"/>
        </w:rPr>
      </w:pPr>
      <w:r>
        <w:rPr>
          <w:rFonts w:hint="eastAsia" w:ascii="宋体" w:hAnsi="宋体" w:eastAsia="宋体" w:cs="宋体"/>
          <w:b/>
          <w:bCs/>
          <w:sz w:val="21"/>
          <w:szCs w:val="21"/>
        </w:rPr>
        <w:t>（一）项目组主要成员情况表</w:t>
      </w:r>
    </w:p>
    <w:p>
      <w:pPr>
        <w:spacing w:line="440" w:lineRule="exact"/>
        <w:rPr>
          <w:rFonts w:hint="eastAsia" w:ascii="宋体" w:hAnsi="宋体" w:eastAsia="宋体" w:cs="宋体"/>
          <w:sz w:val="21"/>
          <w:szCs w:val="21"/>
        </w:rPr>
      </w:pPr>
      <w:r>
        <w:rPr>
          <w:rFonts w:hint="eastAsia" w:ascii="宋体" w:hAnsi="宋体" w:eastAsia="宋体" w:cs="宋体"/>
          <w:sz w:val="21"/>
          <w:szCs w:val="21"/>
        </w:rPr>
        <w:t>项目名称：</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采购编号：</w:t>
      </w:r>
      <w:r>
        <w:rPr>
          <w:rFonts w:hint="eastAsia" w:ascii="宋体" w:hAnsi="宋体" w:eastAsia="宋体" w:cs="宋体"/>
          <w:sz w:val="21"/>
          <w:szCs w:val="21"/>
          <w:u w:val="single"/>
        </w:rPr>
        <w:t xml:space="preserve">                     </w:t>
      </w:r>
    </w:p>
    <w:tbl>
      <w:tblPr>
        <w:tblStyle w:val="28"/>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270"/>
        <w:gridCol w:w="1260"/>
        <w:gridCol w:w="1532"/>
        <w:gridCol w:w="1168"/>
        <w:gridCol w:w="1839"/>
        <w:gridCol w:w="14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5" w:hRule="atLeast"/>
        </w:trPr>
        <w:tc>
          <w:tcPr>
            <w:tcW w:w="710" w:type="dxa"/>
            <w:tcBorders>
              <w:top w:val="double" w:color="auto" w:sz="2" w:space="0"/>
              <w:left w:val="double" w:color="auto" w:sz="2"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1270" w:type="dxa"/>
            <w:tcBorders>
              <w:top w:val="double" w:color="auto" w:sz="2"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姓名</w:t>
            </w:r>
          </w:p>
        </w:tc>
        <w:tc>
          <w:tcPr>
            <w:tcW w:w="1260" w:type="dxa"/>
            <w:tcBorders>
              <w:top w:val="double" w:color="auto" w:sz="2"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性别</w:t>
            </w:r>
          </w:p>
        </w:tc>
        <w:tc>
          <w:tcPr>
            <w:tcW w:w="1532" w:type="dxa"/>
            <w:tcBorders>
              <w:top w:val="double" w:color="auto" w:sz="2"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职务、职称</w:t>
            </w:r>
          </w:p>
        </w:tc>
        <w:tc>
          <w:tcPr>
            <w:tcW w:w="1168" w:type="dxa"/>
            <w:tcBorders>
              <w:top w:val="double" w:color="auto" w:sz="2"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专业</w:t>
            </w:r>
          </w:p>
        </w:tc>
        <w:tc>
          <w:tcPr>
            <w:tcW w:w="1839" w:type="dxa"/>
            <w:tcBorders>
              <w:top w:val="double" w:color="auto" w:sz="2"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本项目职责</w:t>
            </w:r>
          </w:p>
        </w:tc>
        <w:tc>
          <w:tcPr>
            <w:tcW w:w="1401" w:type="dxa"/>
            <w:tcBorders>
              <w:top w:val="double" w:color="auto" w:sz="2" w:space="0"/>
              <w:left w:val="nil"/>
              <w:bottom w:val="double" w:color="auto" w:sz="2" w:space="0"/>
              <w:right w:val="double" w:color="auto" w:sz="2"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double" w:color="auto" w:sz="2"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1</w:t>
            </w:r>
          </w:p>
        </w:tc>
        <w:tc>
          <w:tcPr>
            <w:tcW w:w="1270" w:type="dxa"/>
            <w:tcBorders>
              <w:top w:val="double" w:color="auto" w:sz="2"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double" w:color="auto" w:sz="2"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double" w:color="auto" w:sz="2"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double" w:color="auto" w:sz="2"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double" w:color="auto" w:sz="2"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double" w:color="auto" w:sz="2"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2</w:t>
            </w: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3</w:t>
            </w: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4</w:t>
            </w: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5</w:t>
            </w: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w:t>
            </w: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7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710" w:type="dxa"/>
            <w:tcBorders>
              <w:top w:val="single" w:color="auto" w:sz="4" w:space="0"/>
              <w:left w:val="double" w:color="auto" w:sz="2"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70" w:type="dxa"/>
            <w:tcBorders>
              <w:top w:val="single" w:color="auto" w:sz="4"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60" w:type="dxa"/>
            <w:tcBorders>
              <w:top w:val="single" w:color="auto" w:sz="4"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32" w:type="dxa"/>
            <w:tcBorders>
              <w:top w:val="single" w:color="auto" w:sz="4"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168" w:type="dxa"/>
            <w:tcBorders>
              <w:top w:val="single" w:color="auto" w:sz="4"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39" w:type="dxa"/>
            <w:tcBorders>
              <w:top w:val="single" w:color="auto" w:sz="4" w:space="0"/>
              <w:left w:val="nil"/>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401" w:type="dxa"/>
            <w:tcBorders>
              <w:top w:val="single" w:color="auto" w:sz="4" w:space="0"/>
              <w:left w:val="nil"/>
              <w:bottom w:val="double" w:color="auto" w:sz="2"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bl>
    <w:p>
      <w:pPr>
        <w:spacing w:line="440" w:lineRule="exact"/>
        <w:rPr>
          <w:rFonts w:hint="eastAsia" w:ascii="宋体" w:hAnsi="宋体" w:eastAsia="宋体" w:cs="宋体"/>
          <w:sz w:val="21"/>
          <w:szCs w:val="21"/>
        </w:rPr>
      </w:pPr>
    </w:p>
    <w:p>
      <w:pPr>
        <w:spacing w:line="440" w:lineRule="exact"/>
        <w:rPr>
          <w:rFonts w:hint="eastAsia" w:ascii="宋体" w:hAnsi="宋体" w:eastAsia="宋体" w:cs="宋体"/>
          <w:sz w:val="21"/>
          <w:szCs w:val="21"/>
        </w:rPr>
      </w:pP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供应商：（盖章）</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法定代表人或授权代表：（签字</w:t>
      </w:r>
      <w:r>
        <w:rPr>
          <w:rFonts w:hint="eastAsia" w:ascii="宋体" w:hAnsi="宋体" w:eastAsia="宋体" w:cs="宋体"/>
          <w:sz w:val="21"/>
          <w:szCs w:val="21"/>
          <w:lang w:eastAsia="zh-CN"/>
        </w:rPr>
        <w:t>或盖章</w:t>
      </w:r>
      <w:r>
        <w:rPr>
          <w:rFonts w:hint="eastAsia" w:ascii="宋体" w:hAnsi="宋体" w:eastAsia="宋体" w:cs="宋体"/>
          <w:sz w:val="21"/>
          <w:szCs w:val="21"/>
        </w:rPr>
        <w:t>）</w:t>
      </w:r>
    </w:p>
    <w:p>
      <w:pPr>
        <w:spacing w:line="440" w:lineRule="exact"/>
        <w:rPr>
          <w:rFonts w:hint="eastAsia" w:ascii="宋体" w:hAnsi="宋体" w:eastAsia="宋体" w:cs="宋体"/>
          <w:sz w:val="21"/>
          <w:szCs w:val="21"/>
        </w:rPr>
      </w:pPr>
      <w:r>
        <w:rPr>
          <w:rFonts w:hint="eastAsia" w:ascii="宋体" w:hAnsi="宋体" w:eastAsia="宋体" w:cs="宋体"/>
          <w:sz w:val="21"/>
          <w:szCs w:val="21"/>
        </w:rPr>
        <w:t>日期：</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b/>
          <w:bCs/>
          <w:sz w:val="21"/>
          <w:szCs w:val="21"/>
        </w:rPr>
      </w:pPr>
      <w:r>
        <w:rPr>
          <w:rFonts w:hint="eastAsia" w:ascii="宋体" w:hAnsi="宋体" w:eastAsia="宋体" w:cs="宋体"/>
          <w:b/>
          <w:bCs/>
          <w:sz w:val="21"/>
          <w:szCs w:val="21"/>
          <w:lang w:eastAsia="zh-CN"/>
        </w:rPr>
        <w:t>注：采购文件及商务和技术评分表对</w:t>
      </w:r>
      <w:r>
        <w:rPr>
          <w:rFonts w:hint="eastAsia" w:ascii="宋体" w:hAnsi="宋体" w:eastAsia="宋体" w:cs="宋体"/>
          <w:b/>
          <w:bCs/>
          <w:sz w:val="21"/>
          <w:szCs w:val="21"/>
        </w:rPr>
        <w:t>拟派成员配备</w:t>
      </w:r>
      <w:r>
        <w:rPr>
          <w:rFonts w:hint="eastAsia" w:ascii="宋体" w:hAnsi="宋体" w:eastAsia="宋体" w:cs="宋体"/>
          <w:b/>
          <w:bCs/>
          <w:sz w:val="21"/>
          <w:szCs w:val="21"/>
          <w:lang w:eastAsia="zh-CN"/>
        </w:rPr>
        <w:t>无具体打分要求的，本表可不提供。</w:t>
      </w:r>
    </w:p>
    <w:p>
      <w:pPr>
        <w:spacing w:line="440" w:lineRule="exact"/>
        <w:jc w:val="center"/>
        <w:rPr>
          <w:rFonts w:hint="eastAsia" w:ascii="宋体" w:hAnsi="宋体" w:eastAsia="宋体" w:cs="宋体"/>
          <w:b/>
          <w:sz w:val="21"/>
          <w:szCs w:val="21"/>
        </w:rPr>
      </w:pPr>
      <w:bookmarkStart w:id="59" w:name="_Toc25126_WPSOffice_Level1"/>
      <w:bookmarkEnd w:id="59"/>
      <w:r>
        <w:rPr>
          <w:rFonts w:hint="eastAsia" w:ascii="宋体" w:hAnsi="宋体" w:eastAsia="宋体" w:cs="宋体"/>
          <w:b/>
          <w:sz w:val="21"/>
          <w:szCs w:val="21"/>
        </w:rPr>
        <w:t>（二）拟派项目负责人简历表/项目组成员简历表</w:t>
      </w:r>
    </w:p>
    <w:p>
      <w:pPr>
        <w:spacing w:line="440" w:lineRule="exact"/>
        <w:rPr>
          <w:rFonts w:hint="eastAsia" w:ascii="宋体" w:hAnsi="宋体" w:eastAsia="宋体" w:cs="宋体"/>
          <w:b/>
          <w:sz w:val="21"/>
          <w:szCs w:val="21"/>
        </w:rPr>
      </w:pPr>
      <w:r>
        <w:rPr>
          <w:rFonts w:hint="eastAsia" w:ascii="宋体" w:hAnsi="宋体" w:eastAsia="宋体" w:cs="宋体"/>
          <w:sz w:val="21"/>
          <w:szCs w:val="21"/>
        </w:rPr>
        <w:t>项目名称：</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采购编号：</w:t>
      </w:r>
      <w:r>
        <w:rPr>
          <w:rFonts w:hint="eastAsia" w:ascii="宋体" w:hAnsi="宋体" w:eastAsia="宋体" w:cs="宋体"/>
          <w:sz w:val="21"/>
          <w:szCs w:val="21"/>
          <w:u w:val="single"/>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336"/>
        <w:gridCol w:w="2580"/>
        <w:gridCol w:w="1064"/>
        <w:gridCol w:w="2140"/>
        <w:gridCol w:w="1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704" w:type="dxa"/>
            <w:gridSpan w:val="2"/>
            <w:tcBorders>
              <w:top w:val="double" w:color="auto" w:sz="4" w:space="0"/>
              <w:left w:val="double" w:color="auto" w:sz="4" w:space="0"/>
            </w:tcBorders>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姓名</w:t>
            </w:r>
          </w:p>
        </w:tc>
        <w:tc>
          <w:tcPr>
            <w:tcW w:w="3644" w:type="dxa"/>
            <w:gridSpan w:val="2"/>
            <w:tcBorders>
              <w:top w:val="double" w:color="auto" w:sz="4" w:space="0"/>
            </w:tcBorders>
            <w:noWrap w:val="0"/>
            <w:vAlign w:val="center"/>
          </w:tcPr>
          <w:p>
            <w:pPr>
              <w:jc w:val="center"/>
              <w:rPr>
                <w:rFonts w:hint="eastAsia" w:ascii="宋体" w:hAnsi="宋体" w:eastAsia="宋体" w:cs="宋体"/>
                <w:sz w:val="21"/>
                <w:szCs w:val="21"/>
              </w:rPr>
            </w:pPr>
          </w:p>
        </w:tc>
        <w:tc>
          <w:tcPr>
            <w:tcW w:w="2140" w:type="dxa"/>
            <w:tcBorders>
              <w:top w:val="double" w:color="auto" w:sz="4" w:space="0"/>
            </w:tcBorders>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性别</w:t>
            </w:r>
          </w:p>
        </w:tc>
        <w:tc>
          <w:tcPr>
            <w:tcW w:w="1515" w:type="dxa"/>
            <w:tcBorders>
              <w:top w:val="double" w:color="auto" w:sz="4" w:space="0"/>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704" w:type="dxa"/>
            <w:gridSpan w:val="2"/>
            <w:tcBorders>
              <w:left w:val="double" w:color="auto" w:sz="4" w:space="0"/>
            </w:tcBorders>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执业资格</w:t>
            </w:r>
          </w:p>
        </w:tc>
        <w:tc>
          <w:tcPr>
            <w:tcW w:w="3644" w:type="dxa"/>
            <w:gridSpan w:val="2"/>
            <w:noWrap w:val="0"/>
            <w:vAlign w:val="center"/>
          </w:tcPr>
          <w:p>
            <w:pPr>
              <w:jc w:val="center"/>
              <w:rPr>
                <w:rFonts w:hint="eastAsia" w:ascii="宋体" w:hAnsi="宋体" w:eastAsia="宋体" w:cs="宋体"/>
                <w:sz w:val="21"/>
                <w:szCs w:val="21"/>
              </w:rPr>
            </w:pPr>
          </w:p>
        </w:tc>
        <w:tc>
          <w:tcPr>
            <w:tcW w:w="2140"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职称</w:t>
            </w:r>
          </w:p>
        </w:tc>
        <w:tc>
          <w:tcPr>
            <w:tcW w:w="1515" w:type="dxa"/>
            <w:tcBorders>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704" w:type="dxa"/>
            <w:gridSpan w:val="2"/>
            <w:tcBorders>
              <w:left w:val="double" w:color="auto" w:sz="4" w:space="0"/>
            </w:tcBorders>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学历</w:t>
            </w:r>
          </w:p>
        </w:tc>
        <w:tc>
          <w:tcPr>
            <w:tcW w:w="3644" w:type="dxa"/>
            <w:gridSpan w:val="2"/>
            <w:noWrap w:val="0"/>
            <w:vAlign w:val="center"/>
          </w:tcPr>
          <w:p>
            <w:pPr>
              <w:jc w:val="center"/>
              <w:rPr>
                <w:rFonts w:hint="eastAsia" w:ascii="宋体" w:hAnsi="宋体" w:eastAsia="宋体" w:cs="宋体"/>
                <w:sz w:val="21"/>
                <w:szCs w:val="21"/>
              </w:rPr>
            </w:pPr>
          </w:p>
        </w:tc>
        <w:tc>
          <w:tcPr>
            <w:tcW w:w="2140" w:type="dxa"/>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年龄</w:t>
            </w:r>
          </w:p>
        </w:tc>
        <w:tc>
          <w:tcPr>
            <w:tcW w:w="1515" w:type="dxa"/>
            <w:tcBorders>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5" w:hRule="atLeast"/>
        </w:trPr>
        <w:tc>
          <w:tcPr>
            <w:tcW w:w="1704" w:type="dxa"/>
            <w:gridSpan w:val="2"/>
            <w:tcBorders>
              <w:left w:val="double" w:color="auto" w:sz="4" w:space="0"/>
              <w:bottom w:val="double" w:color="auto" w:sz="4" w:space="0"/>
            </w:tcBorders>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参加工作时间</w:t>
            </w:r>
          </w:p>
        </w:tc>
        <w:tc>
          <w:tcPr>
            <w:tcW w:w="3644" w:type="dxa"/>
            <w:gridSpan w:val="2"/>
            <w:tcBorders>
              <w:bottom w:val="double" w:color="auto" w:sz="4" w:space="0"/>
            </w:tcBorders>
            <w:noWrap w:val="0"/>
            <w:vAlign w:val="center"/>
          </w:tcPr>
          <w:p>
            <w:pPr>
              <w:jc w:val="center"/>
              <w:rPr>
                <w:rFonts w:hint="eastAsia" w:ascii="宋体" w:hAnsi="宋体" w:eastAsia="宋体" w:cs="宋体"/>
                <w:sz w:val="21"/>
                <w:szCs w:val="21"/>
              </w:rPr>
            </w:pPr>
          </w:p>
        </w:tc>
        <w:tc>
          <w:tcPr>
            <w:tcW w:w="2140" w:type="dxa"/>
            <w:tcBorders>
              <w:bottom w:val="double" w:color="auto" w:sz="4" w:space="0"/>
            </w:tcBorders>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从事本专业工作年限</w:t>
            </w:r>
          </w:p>
        </w:tc>
        <w:tc>
          <w:tcPr>
            <w:tcW w:w="1515" w:type="dxa"/>
            <w:tcBorders>
              <w:bottom w:val="double" w:color="auto" w:sz="4" w:space="0"/>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4284" w:type="dxa"/>
            <w:gridSpan w:val="3"/>
            <w:tcBorders>
              <w:top w:val="double" w:color="auto" w:sz="4" w:space="0"/>
              <w:left w:val="double" w:color="auto" w:sz="4" w:space="0"/>
            </w:tcBorders>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项目名称</w:t>
            </w:r>
          </w:p>
        </w:tc>
        <w:tc>
          <w:tcPr>
            <w:tcW w:w="4719" w:type="dxa"/>
            <w:gridSpan w:val="3"/>
            <w:tcBorders>
              <w:top w:val="double" w:color="auto" w:sz="4" w:space="0"/>
              <w:right w:val="double" w:color="auto" w:sz="4" w:space="0"/>
            </w:tcBorders>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业绩内容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4284" w:type="dxa"/>
            <w:gridSpan w:val="3"/>
            <w:tcBorders>
              <w:left w:val="double" w:color="auto" w:sz="4" w:space="0"/>
            </w:tcBorders>
            <w:noWrap w:val="0"/>
            <w:vAlign w:val="center"/>
          </w:tcPr>
          <w:p>
            <w:pPr>
              <w:jc w:val="center"/>
              <w:rPr>
                <w:rFonts w:hint="eastAsia" w:ascii="宋体" w:hAnsi="宋体" w:eastAsia="宋体" w:cs="宋体"/>
                <w:sz w:val="21"/>
                <w:szCs w:val="21"/>
              </w:rPr>
            </w:pPr>
          </w:p>
        </w:tc>
        <w:tc>
          <w:tcPr>
            <w:tcW w:w="4719" w:type="dxa"/>
            <w:gridSpan w:val="3"/>
            <w:tcBorders>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4284" w:type="dxa"/>
            <w:gridSpan w:val="3"/>
            <w:tcBorders>
              <w:left w:val="double" w:color="auto" w:sz="4" w:space="0"/>
            </w:tcBorders>
            <w:noWrap w:val="0"/>
            <w:vAlign w:val="center"/>
          </w:tcPr>
          <w:p>
            <w:pPr>
              <w:jc w:val="center"/>
              <w:rPr>
                <w:rFonts w:hint="eastAsia" w:ascii="宋体" w:hAnsi="宋体" w:eastAsia="宋体" w:cs="宋体"/>
                <w:sz w:val="21"/>
                <w:szCs w:val="21"/>
              </w:rPr>
            </w:pPr>
          </w:p>
        </w:tc>
        <w:tc>
          <w:tcPr>
            <w:tcW w:w="4719" w:type="dxa"/>
            <w:gridSpan w:val="3"/>
            <w:tcBorders>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4284" w:type="dxa"/>
            <w:gridSpan w:val="3"/>
            <w:tcBorders>
              <w:left w:val="double" w:color="auto" w:sz="4" w:space="0"/>
            </w:tcBorders>
            <w:noWrap w:val="0"/>
            <w:vAlign w:val="center"/>
          </w:tcPr>
          <w:p>
            <w:pPr>
              <w:jc w:val="center"/>
              <w:rPr>
                <w:rFonts w:hint="eastAsia" w:ascii="宋体" w:hAnsi="宋体" w:eastAsia="宋体" w:cs="宋体"/>
                <w:sz w:val="21"/>
                <w:szCs w:val="21"/>
              </w:rPr>
            </w:pPr>
          </w:p>
        </w:tc>
        <w:tc>
          <w:tcPr>
            <w:tcW w:w="4719" w:type="dxa"/>
            <w:gridSpan w:val="3"/>
            <w:tcBorders>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4284" w:type="dxa"/>
            <w:gridSpan w:val="3"/>
            <w:tcBorders>
              <w:left w:val="double" w:color="auto" w:sz="4" w:space="0"/>
            </w:tcBorders>
            <w:noWrap w:val="0"/>
            <w:vAlign w:val="center"/>
          </w:tcPr>
          <w:p>
            <w:pPr>
              <w:jc w:val="center"/>
              <w:rPr>
                <w:rFonts w:hint="eastAsia" w:ascii="宋体" w:hAnsi="宋体" w:eastAsia="宋体" w:cs="宋体"/>
                <w:sz w:val="21"/>
                <w:szCs w:val="21"/>
              </w:rPr>
            </w:pPr>
          </w:p>
        </w:tc>
        <w:tc>
          <w:tcPr>
            <w:tcW w:w="4719" w:type="dxa"/>
            <w:gridSpan w:val="3"/>
            <w:tcBorders>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4284" w:type="dxa"/>
            <w:gridSpan w:val="3"/>
            <w:tcBorders>
              <w:left w:val="double" w:color="auto" w:sz="4" w:space="0"/>
            </w:tcBorders>
            <w:noWrap w:val="0"/>
            <w:vAlign w:val="center"/>
          </w:tcPr>
          <w:p>
            <w:pPr>
              <w:jc w:val="center"/>
              <w:rPr>
                <w:rFonts w:hint="eastAsia" w:ascii="宋体" w:hAnsi="宋体" w:eastAsia="宋体" w:cs="宋体"/>
                <w:sz w:val="21"/>
                <w:szCs w:val="21"/>
              </w:rPr>
            </w:pPr>
          </w:p>
        </w:tc>
        <w:tc>
          <w:tcPr>
            <w:tcW w:w="4719" w:type="dxa"/>
            <w:gridSpan w:val="3"/>
            <w:tcBorders>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4284" w:type="dxa"/>
            <w:gridSpan w:val="3"/>
            <w:tcBorders>
              <w:left w:val="double" w:color="auto" w:sz="4" w:space="0"/>
            </w:tcBorders>
            <w:noWrap w:val="0"/>
            <w:vAlign w:val="center"/>
          </w:tcPr>
          <w:p>
            <w:pPr>
              <w:jc w:val="center"/>
              <w:rPr>
                <w:rFonts w:hint="eastAsia" w:ascii="宋体" w:hAnsi="宋体" w:eastAsia="宋体" w:cs="宋体"/>
                <w:sz w:val="21"/>
                <w:szCs w:val="21"/>
              </w:rPr>
            </w:pPr>
          </w:p>
        </w:tc>
        <w:tc>
          <w:tcPr>
            <w:tcW w:w="4719" w:type="dxa"/>
            <w:gridSpan w:val="3"/>
            <w:tcBorders>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4284" w:type="dxa"/>
            <w:gridSpan w:val="3"/>
            <w:tcBorders>
              <w:left w:val="double" w:color="auto" w:sz="4" w:space="0"/>
            </w:tcBorders>
            <w:noWrap w:val="0"/>
            <w:vAlign w:val="center"/>
          </w:tcPr>
          <w:p>
            <w:pPr>
              <w:jc w:val="center"/>
              <w:rPr>
                <w:rFonts w:hint="eastAsia" w:ascii="宋体" w:hAnsi="宋体" w:eastAsia="宋体" w:cs="宋体"/>
                <w:sz w:val="21"/>
                <w:szCs w:val="21"/>
              </w:rPr>
            </w:pPr>
          </w:p>
        </w:tc>
        <w:tc>
          <w:tcPr>
            <w:tcW w:w="4719" w:type="dxa"/>
            <w:gridSpan w:val="3"/>
            <w:tcBorders>
              <w:right w:val="double" w:color="auto" w:sz="4" w:space="0"/>
            </w:tcBorders>
            <w:noWrap w:val="0"/>
            <w:vAlign w:val="center"/>
          </w:tcPr>
          <w:p>
            <w:pPr>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5" w:hRule="atLeast"/>
        </w:trPr>
        <w:tc>
          <w:tcPr>
            <w:tcW w:w="1368" w:type="dxa"/>
            <w:tcBorders>
              <w:left w:val="double" w:color="auto" w:sz="4" w:space="0"/>
              <w:bottom w:val="double" w:color="auto" w:sz="4" w:space="0"/>
            </w:tcBorders>
            <w:noWrap w:val="0"/>
            <w:vAlign w:val="center"/>
          </w:tcPr>
          <w:p>
            <w:pPr>
              <w:jc w:val="center"/>
              <w:rPr>
                <w:rFonts w:hint="eastAsia" w:ascii="宋体" w:hAnsi="宋体" w:eastAsia="宋体" w:cs="宋体"/>
                <w:sz w:val="21"/>
                <w:szCs w:val="21"/>
              </w:rPr>
            </w:pPr>
            <w:r>
              <w:rPr>
                <w:rFonts w:hint="eastAsia" w:ascii="宋体" w:hAnsi="宋体" w:eastAsia="宋体" w:cs="宋体"/>
                <w:sz w:val="21"/>
                <w:szCs w:val="21"/>
              </w:rPr>
              <w:t xml:space="preserve">备  注 </w:t>
            </w:r>
          </w:p>
        </w:tc>
        <w:tc>
          <w:tcPr>
            <w:tcW w:w="7635" w:type="dxa"/>
            <w:gridSpan w:val="5"/>
            <w:tcBorders>
              <w:bottom w:val="double" w:color="auto" w:sz="4" w:space="0"/>
              <w:right w:val="double" w:color="auto" w:sz="4" w:space="0"/>
            </w:tcBorders>
            <w:noWrap w:val="0"/>
            <w:vAlign w:val="center"/>
          </w:tcPr>
          <w:p>
            <w:pPr>
              <w:jc w:val="center"/>
              <w:rPr>
                <w:rFonts w:hint="eastAsia" w:ascii="宋体" w:hAnsi="宋体" w:eastAsia="宋体" w:cs="宋体"/>
                <w:sz w:val="21"/>
                <w:szCs w:val="21"/>
              </w:rPr>
            </w:pPr>
          </w:p>
        </w:tc>
      </w:tr>
    </w:tbl>
    <w:p>
      <w:pPr>
        <w:spacing w:line="440" w:lineRule="exact"/>
        <w:jc w:val="left"/>
        <w:rPr>
          <w:rFonts w:hint="eastAsia" w:ascii="宋体" w:hAnsi="宋体" w:eastAsia="宋体" w:cs="宋体"/>
          <w:b/>
          <w:sz w:val="21"/>
          <w:szCs w:val="21"/>
        </w:rPr>
      </w:pPr>
      <w:r>
        <w:rPr>
          <w:rFonts w:hint="eastAsia" w:ascii="宋体" w:hAnsi="宋体" w:eastAsia="宋体" w:cs="宋体"/>
          <w:sz w:val="21"/>
          <w:szCs w:val="21"/>
        </w:rPr>
        <w:t>注：本表后应附身份证、人员证书或职称（如有）、从业经验履历介绍等的复印件并加盖单位章。</w:t>
      </w:r>
    </w:p>
    <w:p>
      <w:pPr>
        <w:spacing w:line="440" w:lineRule="exact"/>
        <w:jc w:val="center"/>
        <w:rPr>
          <w:rFonts w:hint="eastAsia" w:ascii="宋体" w:hAnsi="宋体" w:eastAsia="宋体" w:cs="宋体"/>
          <w:sz w:val="21"/>
          <w:szCs w:val="21"/>
        </w:rPr>
      </w:pP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供应商：（盖章）</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法定代表人或授权代表：（签字</w:t>
      </w:r>
      <w:r>
        <w:rPr>
          <w:rFonts w:hint="eastAsia" w:ascii="宋体" w:hAnsi="宋体" w:eastAsia="宋体" w:cs="宋体"/>
          <w:sz w:val="21"/>
          <w:szCs w:val="21"/>
          <w:lang w:eastAsia="zh-CN"/>
        </w:rPr>
        <w:t>或盖章</w:t>
      </w:r>
      <w:r>
        <w:rPr>
          <w:rFonts w:hint="eastAsia" w:ascii="宋体" w:hAnsi="宋体" w:eastAsia="宋体" w:cs="宋体"/>
          <w:sz w:val="21"/>
          <w:szCs w:val="21"/>
        </w:rPr>
        <w:t>）</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日期：</w:t>
      </w:r>
    </w:p>
    <w:p>
      <w:pPr>
        <w:snapToGrid w:val="0"/>
        <w:spacing w:line="440" w:lineRule="exact"/>
        <w:rPr>
          <w:rFonts w:hint="eastAsia" w:ascii="宋体" w:hAnsi="宋体" w:eastAsia="宋体" w:cs="宋体"/>
          <w:b/>
          <w:bCs/>
          <w:sz w:val="21"/>
          <w:szCs w:val="21"/>
          <w:lang w:eastAsia="zh-CN"/>
        </w:rPr>
      </w:pPr>
    </w:p>
    <w:p>
      <w:pPr>
        <w:snapToGrid w:val="0"/>
        <w:spacing w:line="440" w:lineRule="exact"/>
        <w:rPr>
          <w:rFonts w:hint="eastAsia" w:ascii="宋体" w:hAnsi="宋体" w:eastAsia="宋体" w:cs="宋体"/>
          <w:b/>
          <w:bCs/>
          <w:sz w:val="21"/>
          <w:szCs w:val="21"/>
          <w:lang w:eastAsia="zh-CN"/>
        </w:rPr>
      </w:pPr>
    </w:p>
    <w:p>
      <w:pPr>
        <w:pStyle w:val="3"/>
        <w:rPr>
          <w:rFonts w:hint="eastAsia"/>
          <w:lang w:eastAsia="zh-CN"/>
        </w:rPr>
      </w:pPr>
    </w:p>
    <w:p>
      <w:pPr>
        <w:snapToGrid w:val="0"/>
        <w:spacing w:line="440" w:lineRule="exact"/>
        <w:rPr>
          <w:rFonts w:hint="eastAsia" w:ascii="宋体" w:hAnsi="宋体" w:eastAsia="宋体" w:cs="宋体"/>
          <w:b/>
          <w:bCs/>
          <w:sz w:val="21"/>
          <w:szCs w:val="21"/>
        </w:rPr>
      </w:pPr>
      <w:r>
        <w:rPr>
          <w:rFonts w:hint="eastAsia" w:ascii="宋体" w:hAnsi="宋体" w:eastAsia="宋体" w:cs="宋体"/>
          <w:b/>
          <w:bCs/>
          <w:sz w:val="21"/>
          <w:szCs w:val="21"/>
          <w:lang w:eastAsia="zh-CN"/>
        </w:rPr>
        <w:t>注：采购文件及商务和技术评分表对</w:t>
      </w:r>
      <w:r>
        <w:rPr>
          <w:rFonts w:hint="eastAsia" w:ascii="宋体" w:hAnsi="宋体" w:eastAsia="宋体" w:cs="宋体"/>
          <w:b/>
          <w:bCs/>
          <w:sz w:val="21"/>
          <w:szCs w:val="21"/>
        </w:rPr>
        <w:t>拟派成员配备</w:t>
      </w:r>
      <w:r>
        <w:rPr>
          <w:rFonts w:hint="eastAsia" w:ascii="宋体" w:hAnsi="宋体" w:eastAsia="宋体" w:cs="宋体"/>
          <w:b/>
          <w:bCs/>
          <w:sz w:val="21"/>
          <w:szCs w:val="21"/>
          <w:lang w:eastAsia="zh-CN"/>
        </w:rPr>
        <w:t>无具体打分要求的，本表可不提供。</w:t>
      </w:r>
    </w:p>
    <w:p>
      <w:pPr>
        <w:spacing w:line="440" w:lineRule="exact"/>
        <w:rPr>
          <w:rFonts w:hint="eastAsia" w:ascii="宋体" w:hAnsi="宋体" w:eastAsia="宋体" w:cs="宋体"/>
          <w:sz w:val="21"/>
          <w:szCs w:val="21"/>
        </w:rPr>
      </w:pPr>
      <w:r>
        <w:rPr>
          <w:rFonts w:hint="eastAsia" w:ascii="宋体" w:hAnsi="宋体" w:eastAsia="宋体" w:cs="宋体"/>
          <w:b/>
          <w:bCs/>
          <w:sz w:val="21"/>
          <w:szCs w:val="21"/>
        </w:rPr>
        <w:t>附件七：</w:t>
      </w:r>
    </w:p>
    <w:p>
      <w:pPr>
        <w:snapToGrid w:val="0"/>
        <w:spacing w:line="440" w:lineRule="exact"/>
        <w:jc w:val="center"/>
        <w:rPr>
          <w:rFonts w:hint="eastAsia" w:ascii="宋体" w:hAnsi="宋体" w:eastAsia="宋体" w:cs="宋体"/>
          <w:sz w:val="21"/>
          <w:szCs w:val="21"/>
        </w:rPr>
      </w:pPr>
      <w:r>
        <w:rPr>
          <w:rFonts w:hint="eastAsia" w:ascii="宋体" w:hAnsi="宋体" w:eastAsia="宋体" w:cs="宋体"/>
          <w:b/>
          <w:bCs/>
          <w:sz w:val="21"/>
          <w:szCs w:val="21"/>
        </w:rPr>
        <w:t>项目业绩表</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项目名称：</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采购编号：</w:t>
      </w:r>
      <w:r>
        <w:rPr>
          <w:rFonts w:hint="eastAsia" w:ascii="宋体" w:hAnsi="宋体" w:eastAsia="宋体" w:cs="宋体"/>
          <w:sz w:val="21"/>
          <w:szCs w:val="21"/>
          <w:u w:val="single"/>
        </w:rPr>
        <w:t xml:space="preserve">                      </w:t>
      </w:r>
    </w:p>
    <w:tbl>
      <w:tblPr>
        <w:tblStyle w:val="28"/>
        <w:tblW w:w="0" w:type="auto"/>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5"/>
        <w:gridCol w:w="2145"/>
        <w:gridCol w:w="1200"/>
        <w:gridCol w:w="1553"/>
        <w:gridCol w:w="1807"/>
        <w:gridCol w:w="138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55" w:type="dxa"/>
            <w:tcBorders>
              <w:top w:val="double" w:color="auto" w:sz="2" w:space="0"/>
              <w:left w:val="double" w:color="auto" w:sz="2"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2145" w:type="dxa"/>
            <w:tcBorders>
              <w:top w:val="double" w:color="auto" w:sz="2"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项目名称</w:t>
            </w:r>
          </w:p>
        </w:tc>
        <w:tc>
          <w:tcPr>
            <w:tcW w:w="1200" w:type="dxa"/>
            <w:tcBorders>
              <w:top w:val="double" w:color="auto" w:sz="2"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合同时间</w:t>
            </w:r>
          </w:p>
        </w:tc>
        <w:tc>
          <w:tcPr>
            <w:tcW w:w="1553" w:type="dxa"/>
            <w:tcBorders>
              <w:top w:val="double" w:color="auto" w:sz="2"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甲方单位名称</w:t>
            </w:r>
          </w:p>
        </w:tc>
        <w:tc>
          <w:tcPr>
            <w:tcW w:w="1807" w:type="dxa"/>
            <w:tcBorders>
              <w:top w:val="double" w:color="auto" w:sz="2"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联系人及方式</w:t>
            </w:r>
          </w:p>
        </w:tc>
        <w:tc>
          <w:tcPr>
            <w:tcW w:w="1380" w:type="dxa"/>
            <w:tcBorders>
              <w:top w:val="double" w:color="auto" w:sz="2" w:space="0"/>
              <w:left w:val="single" w:color="auto" w:sz="4" w:space="0"/>
              <w:bottom w:val="double" w:color="auto" w:sz="2" w:space="0"/>
              <w:right w:val="double" w:color="auto" w:sz="2" w:space="0"/>
            </w:tcBorders>
            <w:noWrap w:val="0"/>
            <w:vAlign w:val="center"/>
          </w:tcPr>
          <w:p>
            <w:pPr>
              <w:spacing w:line="360" w:lineRule="exact"/>
              <w:jc w:val="center"/>
              <w:rPr>
                <w:rFonts w:hint="eastAsia" w:ascii="宋体" w:hAnsi="宋体" w:eastAsia="宋体" w:cs="宋体"/>
                <w:b/>
                <w:bCs/>
                <w:sz w:val="21"/>
                <w:szCs w:val="21"/>
              </w:rPr>
            </w:pPr>
            <w:r>
              <w:rPr>
                <w:rFonts w:hint="eastAsia" w:ascii="宋体" w:hAnsi="宋体" w:eastAsia="宋体" w:cs="宋体"/>
                <w:b/>
                <w:bCs/>
                <w:sz w:val="21"/>
                <w:szCs w:val="21"/>
              </w:rPr>
              <w:t>合同金额</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55" w:type="dxa"/>
            <w:tcBorders>
              <w:top w:val="double" w:color="auto" w:sz="2"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1</w:t>
            </w:r>
          </w:p>
        </w:tc>
        <w:tc>
          <w:tcPr>
            <w:tcW w:w="2145" w:type="dxa"/>
            <w:tcBorders>
              <w:top w:val="double" w:color="auto" w:sz="2"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00" w:type="dxa"/>
            <w:tcBorders>
              <w:top w:val="double" w:color="auto" w:sz="2"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53" w:type="dxa"/>
            <w:tcBorders>
              <w:top w:val="double" w:color="auto" w:sz="2"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7" w:type="dxa"/>
            <w:tcBorders>
              <w:top w:val="double" w:color="auto" w:sz="2"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80" w:type="dxa"/>
            <w:tcBorders>
              <w:top w:val="double" w:color="auto" w:sz="2"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55"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2</w:t>
            </w:r>
          </w:p>
        </w:tc>
        <w:tc>
          <w:tcPr>
            <w:tcW w:w="214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53"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80" w:type="dxa"/>
            <w:tcBorders>
              <w:top w:val="single" w:color="auto" w:sz="4"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55"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3</w:t>
            </w:r>
          </w:p>
        </w:tc>
        <w:tc>
          <w:tcPr>
            <w:tcW w:w="214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53"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80" w:type="dxa"/>
            <w:tcBorders>
              <w:top w:val="single" w:color="auto" w:sz="4"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55"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4</w:t>
            </w:r>
          </w:p>
        </w:tc>
        <w:tc>
          <w:tcPr>
            <w:tcW w:w="214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53"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80" w:type="dxa"/>
            <w:tcBorders>
              <w:top w:val="single" w:color="auto" w:sz="4"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55"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5</w:t>
            </w:r>
          </w:p>
        </w:tc>
        <w:tc>
          <w:tcPr>
            <w:tcW w:w="214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53"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80" w:type="dxa"/>
            <w:tcBorders>
              <w:top w:val="single" w:color="auto" w:sz="4"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55" w:type="dxa"/>
            <w:tcBorders>
              <w:top w:val="single" w:color="auto" w:sz="4" w:space="0"/>
              <w:left w:val="double" w:color="auto" w:sz="2"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6</w:t>
            </w:r>
          </w:p>
        </w:tc>
        <w:tc>
          <w:tcPr>
            <w:tcW w:w="2145"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0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53"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7"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80" w:type="dxa"/>
            <w:tcBorders>
              <w:top w:val="single" w:color="auto" w:sz="4" w:space="0"/>
              <w:left w:val="single" w:color="auto" w:sz="4" w:space="0"/>
              <w:bottom w:val="single" w:color="auto" w:sz="4"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55" w:type="dxa"/>
            <w:tcBorders>
              <w:top w:val="single" w:color="auto" w:sz="4" w:space="0"/>
              <w:left w:val="double" w:color="auto" w:sz="2"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r>
              <w:rPr>
                <w:rFonts w:hint="eastAsia" w:ascii="宋体" w:hAnsi="宋体" w:eastAsia="宋体" w:cs="宋体"/>
                <w:sz w:val="21"/>
                <w:szCs w:val="21"/>
              </w:rPr>
              <w:t>…</w:t>
            </w:r>
          </w:p>
        </w:tc>
        <w:tc>
          <w:tcPr>
            <w:tcW w:w="2145" w:type="dxa"/>
            <w:tcBorders>
              <w:top w:val="single" w:color="auto" w:sz="4"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200" w:type="dxa"/>
            <w:tcBorders>
              <w:top w:val="single" w:color="auto" w:sz="4"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553" w:type="dxa"/>
            <w:tcBorders>
              <w:top w:val="single" w:color="auto" w:sz="4"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807" w:type="dxa"/>
            <w:tcBorders>
              <w:top w:val="single" w:color="auto" w:sz="4" w:space="0"/>
              <w:left w:val="single" w:color="auto" w:sz="4" w:space="0"/>
              <w:bottom w:val="double" w:color="auto" w:sz="2" w:space="0"/>
              <w:right w:val="single" w:color="auto" w:sz="4" w:space="0"/>
            </w:tcBorders>
            <w:noWrap w:val="0"/>
            <w:vAlign w:val="center"/>
          </w:tcPr>
          <w:p>
            <w:pPr>
              <w:spacing w:line="360" w:lineRule="exact"/>
              <w:jc w:val="center"/>
              <w:rPr>
                <w:rFonts w:hint="eastAsia" w:ascii="宋体" w:hAnsi="宋体" w:eastAsia="宋体" w:cs="宋体"/>
                <w:sz w:val="21"/>
                <w:szCs w:val="21"/>
              </w:rPr>
            </w:pPr>
          </w:p>
        </w:tc>
        <w:tc>
          <w:tcPr>
            <w:tcW w:w="1380" w:type="dxa"/>
            <w:tcBorders>
              <w:top w:val="single" w:color="auto" w:sz="4" w:space="0"/>
              <w:left w:val="single" w:color="auto" w:sz="4" w:space="0"/>
              <w:bottom w:val="double" w:color="auto" w:sz="2" w:space="0"/>
              <w:right w:val="double" w:color="auto" w:sz="2" w:space="0"/>
            </w:tcBorders>
            <w:noWrap w:val="0"/>
            <w:vAlign w:val="center"/>
          </w:tcPr>
          <w:p>
            <w:pPr>
              <w:spacing w:line="360" w:lineRule="exact"/>
              <w:jc w:val="center"/>
              <w:rPr>
                <w:rFonts w:hint="eastAsia" w:ascii="宋体" w:hAnsi="宋体" w:eastAsia="宋体" w:cs="宋体"/>
                <w:sz w:val="21"/>
                <w:szCs w:val="21"/>
              </w:rPr>
            </w:pPr>
          </w:p>
        </w:tc>
      </w:tr>
    </w:tbl>
    <w:p>
      <w:pPr>
        <w:spacing w:line="44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注：后附商务和技术评分表</w:t>
      </w:r>
      <w:r>
        <w:rPr>
          <w:rFonts w:hint="eastAsia" w:ascii="宋体" w:hAnsi="宋体" w:eastAsia="宋体" w:cs="宋体"/>
          <w:sz w:val="21"/>
          <w:szCs w:val="21"/>
          <w:lang w:val="en-US" w:eastAsia="zh-CN"/>
        </w:rPr>
        <w:t>相关评分标准要求的资料</w:t>
      </w:r>
      <w:r>
        <w:rPr>
          <w:rFonts w:hint="eastAsia" w:ascii="宋体" w:hAnsi="宋体" w:eastAsia="宋体" w:cs="宋体"/>
          <w:sz w:val="21"/>
          <w:szCs w:val="21"/>
          <w:lang w:eastAsia="zh-CN"/>
        </w:rPr>
        <w:t>，加盖公章</w:t>
      </w:r>
      <w:r>
        <w:rPr>
          <w:rFonts w:hint="eastAsia" w:ascii="宋体" w:hAnsi="宋体" w:eastAsia="宋体" w:cs="宋体"/>
          <w:sz w:val="21"/>
          <w:szCs w:val="21"/>
        </w:rPr>
        <w:t>。</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供应商：（盖章）              </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法定代表人或授权代表：（签字</w:t>
      </w:r>
      <w:r>
        <w:rPr>
          <w:rFonts w:hint="eastAsia" w:ascii="宋体" w:hAnsi="宋体" w:eastAsia="宋体" w:cs="宋体"/>
          <w:sz w:val="21"/>
          <w:szCs w:val="21"/>
          <w:lang w:eastAsia="zh-CN"/>
        </w:rPr>
        <w:t>或盖章</w:t>
      </w:r>
      <w:r>
        <w:rPr>
          <w:rFonts w:hint="eastAsia" w:ascii="宋体" w:hAnsi="宋体" w:eastAsia="宋体" w:cs="宋体"/>
          <w:sz w:val="21"/>
          <w:szCs w:val="21"/>
        </w:rPr>
        <w:t>）</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日期：</w:t>
      </w:r>
    </w:p>
    <w:p>
      <w:pPr>
        <w:snapToGrid w:val="0"/>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right="24" w:rightChars="12"/>
        <w:jc w:val="lef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right="24" w:rightChars="12"/>
        <w:jc w:val="lef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right="24" w:rightChars="12"/>
        <w:jc w:val="lef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right="24" w:rightChars="12"/>
        <w:jc w:val="lef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right="24" w:rightChars="12"/>
        <w:jc w:val="lef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right="24" w:rightChars="12"/>
        <w:jc w:val="lef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right="24" w:rightChars="12"/>
        <w:jc w:val="left"/>
        <w:rPr>
          <w:rFonts w:hint="eastAsia" w:ascii="宋体" w:hAnsi="宋体" w:eastAsia="宋体" w:cs="宋体"/>
          <w:sz w:val="21"/>
          <w:szCs w:val="21"/>
        </w:rPr>
      </w:pPr>
      <w:r>
        <w:rPr>
          <w:rFonts w:hint="eastAsia" w:ascii="宋体" w:hAnsi="宋体" w:eastAsia="宋体" w:cs="宋体"/>
          <w:sz w:val="21"/>
          <w:szCs w:val="21"/>
        </w:rPr>
        <w:t xml:space="preserve"> </w:t>
      </w:r>
    </w:p>
    <w:p>
      <w:pPr>
        <w:pStyle w:val="27"/>
        <w:ind w:left="400" w:firstLine="400"/>
        <w:rPr>
          <w:rFonts w:hint="eastAsia" w:ascii="宋体" w:hAnsi="宋体" w:eastAsia="宋体" w:cs="宋体"/>
          <w:sz w:val="21"/>
          <w:szCs w:val="21"/>
        </w:rPr>
      </w:pPr>
    </w:p>
    <w:p>
      <w:pPr>
        <w:spacing w:line="440" w:lineRule="exact"/>
        <w:ind w:right="24" w:rightChars="12"/>
        <w:jc w:val="lef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b/>
          <w:bCs/>
          <w:sz w:val="21"/>
          <w:szCs w:val="21"/>
        </w:rPr>
      </w:pPr>
      <w:bookmarkStart w:id="60" w:name="_Toc1239_WPSOffice_Level1"/>
      <w:bookmarkEnd w:id="60"/>
      <w:r>
        <w:rPr>
          <w:rFonts w:hint="eastAsia" w:ascii="宋体" w:hAnsi="宋体" w:eastAsia="宋体" w:cs="宋体"/>
          <w:b/>
          <w:bCs/>
          <w:sz w:val="21"/>
          <w:szCs w:val="21"/>
        </w:rPr>
        <w:t>附件八：</w:t>
      </w:r>
    </w:p>
    <w:p>
      <w:pPr>
        <w:spacing w:line="360" w:lineRule="exact"/>
        <w:jc w:val="center"/>
        <w:outlineLvl w:val="1"/>
        <w:rPr>
          <w:rFonts w:hint="eastAsia" w:ascii="宋体" w:hAnsi="宋体" w:eastAsia="宋体" w:cs="宋体"/>
          <w:b/>
          <w:bCs/>
          <w:sz w:val="21"/>
          <w:szCs w:val="21"/>
        </w:rPr>
      </w:pPr>
      <w:r>
        <w:rPr>
          <w:rFonts w:hint="eastAsia" w:ascii="宋体" w:hAnsi="宋体" w:eastAsia="宋体" w:cs="宋体"/>
          <w:b/>
          <w:bCs/>
          <w:sz w:val="21"/>
          <w:szCs w:val="21"/>
        </w:rPr>
        <w:t>开标一览表</w:t>
      </w:r>
    </w:p>
    <w:p>
      <w:pPr>
        <w:pStyle w:val="11"/>
        <w:spacing w:line="440" w:lineRule="exact"/>
        <w:ind w:leftChars="0" w:firstLine="210" w:firstLineChars="100"/>
        <w:rPr>
          <w:rFonts w:hint="eastAsia" w:ascii="宋体" w:hAnsi="宋体" w:eastAsia="宋体" w:cs="宋体"/>
          <w:sz w:val="21"/>
          <w:szCs w:val="21"/>
          <w:u w:val="single"/>
        </w:rPr>
      </w:pPr>
      <w:r>
        <w:rPr>
          <w:rFonts w:hint="eastAsia" w:ascii="宋体" w:hAnsi="宋体" w:eastAsia="宋体" w:cs="宋体"/>
          <w:sz w:val="21"/>
          <w:szCs w:val="21"/>
        </w:rPr>
        <w:t>项目名称：</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采购编号：</w:t>
      </w:r>
      <w:r>
        <w:rPr>
          <w:rFonts w:hint="eastAsia" w:ascii="宋体" w:hAnsi="宋体" w:eastAsia="宋体" w:cs="宋体"/>
          <w:sz w:val="21"/>
          <w:szCs w:val="21"/>
          <w:u w:val="single"/>
        </w:rPr>
        <w:t xml:space="preserve">                     </w:t>
      </w:r>
    </w:p>
    <w:tbl>
      <w:tblPr>
        <w:tblStyle w:val="2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2"/>
        <w:gridCol w:w="1920"/>
        <w:gridCol w:w="40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3032" w:type="dxa"/>
            <w:tcBorders>
              <w:top w:val="double" w:color="auto" w:sz="4" w:space="0"/>
              <w:left w:val="double" w:color="auto" w:sz="4" w:space="0"/>
              <w:bottom w:val="double" w:color="auto" w:sz="4" w:space="0"/>
              <w:right w:val="single" w:color="auto" w:sz="4" w:space="0"/>
            </w:tcBorders>
            <w:noWrap w:val="0"/>
            <w:vAlign w:val="center"/>
          </w:tcPr>
          <w:p>
            <w:pPr>
              <w:spacing w:line="400" w:lineRule="exact"/>
              <w:jc w:val="center"/>
              <w:rPr>
                <w:rFonts w:ascii="宋体" w:hAnsi="宋体" w:cs="宋体"/>
                <w:b/>
                <w:sz w:val="21"/>
                <w:szCs w:val="21"/>
              </w:rPr>
            </w:pPr>
            <w:r>
              <w:rPr>
                <w:rFonts w:hint="eastAsia" w:ascii="宋体" w:hAnsi="宋体" w:cs="宋体"/>
                <w:b/>
                <w:sz w:val="21"/>
                <w:szCs w:val="21"/>
              </w:rPr>
              <w:t>项目名称</w:t>
            </w:r>
          </w:p>
        </w:tc>
        <w:tc>
          <w:tcPr>
            <w:tcW w:w="1920" w:type="dxa"/>
            <w:tcBorders>
              <w:top w:val="double" w:color="auto" w:sz="4" w:space="0"/>
              <w:left w:val="single" w:color="auto" w:sz="4" w:space="0"/>
              <w:bottom w:val="double" w:color="auto" w:sz="4" w:space="0"/>
              <w:right w:val="single" w:color="auto" w:sz="4" w:space="0"/>
            </w:tcBorders>
            <w:noWrap w:val="0"/>
            <w:vAlign w:val="center"/>
          </w:tcPr>
          <w:p>
            <w:pPr>
              <w:spacing w:line="360" w:lineRule="exact"/>
              <w:jc w:val="center"/>
              <w:rPr>
                <w:rFonts w:hint="eastAsia" w:ascii="宋体" w:hAnsi="宋体" w:cs="宋体"/>
                <w:b/>
                <w:sz w:val="21"/>
                <w:szCs w:val="21"/>
              </w:rPr>
            </w:pPr>
            <w:r>
              <w:rPr>
                <w:rFonts w:hint="eastAsia" w:ascii="宋体" w:hAnsi="宋体" w:cs="宋体"/>
                <w:b/>
                <w:bCs/>
                <w:sz w:val="21"/>
                <w:szCs w:val="21"/>
              </w:rPr>
              <w:t>标项</w:t>
            </w:r>
          </w:p>
        </w:tc>
        <w:tc>
          <w:tcPr>
            <w:tcW w:w="4048" w:type="dxa"/>
            <w:tcBorders>
              <w:top w:val="double" w:color="auto" w:sz="4" w:space="0"/>
              <w:bottom w:val="double" w:color="auto" w:sz="4" w:space="0"/>
              <w:right w:val="double" w:color="auto" w:sz="4" w:space="0"/>
            </w:tcBorders>
            <w:noWrap w:val="0"/>
            <w:vAlign w:val="center"/>
          </w:tcPr>
          <w:p>
            <w:pPr>
              <w:spacing w:line="400" w:lineRule="exact"/>
              <w:jc w:val="center"/>
              <w:rPr>
                <w:rFonts w:ascii="宋体" w:hAnsi="宋体" w:cs="宋体"/>
                <w:b/>
                <w:sz w:val="21"/>
                <w:szCs w:val="21"/>
              </w:rPr>
            </w:pPr>
            <w:r>
              <w:rPr>
                <w:rFonts w:hint="eastAsia" w:ascii="宋体" w:hAnsi="宋体" w:cs="宋体"/>
                <w:b/>
                <w:sz w:val="21"/>
                <w:szCs w:val="21"/>
              </w:rPr>
              <w:t>投标价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2" w:hRule="atLeast"/>
        </w:trPr>
        <w:tc>
          <w:tcPr>
            <w:tcW w:w="3032" w:type="dxa"/>
            <w:tcBorders>
              <w:top w:val="double" w:color="auto" w:sz="4" w:space="0"/>
              <w:left w:val="double" w:color="auto" w:sz="4" w:space="0"/>
              <w:right w:val="single" w:color="auto" w:sz="4" w:space="0"/>
            </w:tcBorders>
            <w:noWrap w:val="0"/>
            <w:vAlign w:val="center"/>
          </w:tcPr>
          <w:p>
            <w:pPr>
              <w:spacing w:line="360" w:lineRule="auto"/>
              <w:jc w:val="center"/>
              <w:rPr>
                <w:rFonts w:hint="eastAsia" w:ascii="宋体" w:hAnsi="宋体" w:cs="宋体"/>
                <w:sz w:val="21"/>
                <w:szCs w:val="21"/>
              </w:rPr>
            </w:pPr>
          </w:p>
        </w:tc>
        <w:tc>
          <w:tcPr>
            <w:tcW w:w="1920" w:type="dxa"/>
            <w:tcBorders>
              <w:top w:val="double" w:color="auto" w:sz="4" w:space="0"/>
              <w:left w:val="single" w:color="auto" w:sz="4" w:space="0"/>
              <w:right w:val="single" w:color="auto" w:sz="4" w:space="0"/>
            </w:tcBorders>
            <w:noWrap w:val="0"/>
            <w:vAlign w:val="center"/>
          </w:tcPr>
          <w:p>
            <w:pPr>
              <w:spacing w:line="360" w:lineRule="exact"/>
              <w:jc w:val="center"/>
              <w:rPr>
                <w:rFonts w:hint="eastAsia" w:ascii="宋体" w:hAnsi="宋体" w:cs="宋体"/>
                <w:sz w:val="21"/>
                <w:szCs w:val="21"/>
              </w:rPr>
            </w:pPr>
            <w:r>
              <w:rPr>
                <w:rFonts w:hint="eastAsia" w:ascii="宋体" w:hAnsi="宋体" w:cs="宋体"/>
                <w:sz w:val="21"/>
                <w:szCs w:val="21"/>
              </w:rPr>
              <w:t>1</w:t>
            </w:r>
          </w:p>
        </w:tc>
        <w:tc>
          <w:tcPr>
            <w:tcW w:w="4048" w:type="dxa"/>
            <w:tcBorders>
              <w:top w:val="double" w:color="auto" w:sz="4" w:space="0"/>
              <w:right w:val="double" w:color="auto" w:sz="4" w:space="0"/>
            </w:tcBorders>
            <w:noWrap w:val="0"/>
            <w:vAlign w:val="center"/>
          </w:tcPr>
          <w:p>
            <w:pPr>
              <w:spacing w:line="320" w:lineRule="exact"/>
              <w:rPr>
                <w:rFonts w:hint="eastAsia" w:ascii="宋体" w:hAnsi="宋体" w:cs="宋体"/>
                <w:sz w:val="21"/>
                <w:szCs w:val="21"/>
              </w:rPr>
            </w:pPr>
            <w:r>
              <w:rPr>
                <w:rFonts w:hint="eastAsia" w:ascii="宋体" w:hAnsi="宋体" w:cs="宋体"/>
                <w:sz w:val="21"/>
                <w:szCs w:val="21"/>
              </w:rPr>
              <w:t>大写：</w:t>
            </w:r>
            <w:r>
              <w:rPr>
                <w:rFonts w:hint="eastAsia" w:ascii="宋体" w:hAnsi="宋体" w:cs="宋体"/>
                <w:sz w:val="21"/>
                <w:szCs w:val="21"/>
                <w:u w:val="single"/>
              </w:rPr>
              <w:t xml:space="preserve">                            </w:t>
            </w:r>
          </w:p>
          <w:p>
            <w:pPr>
              <w:spacing w:line="320" w:lineRule="exact"/>
              <w:rPr>
                <w:rFonts w:hint="eastAsia" w:ascii="宋体" w:hAnsi="宋体" w:cs="宋体"/>
                <w:sz w:val="21"/>
                <w:szCs w:val="21"/>
              </w:rPr>
            </w:pPr>
          </w:p>
          <w:p>
            <w:pPr>
              <w:spacing w:line="320" w:lineRule="exact"/>
              <w:rPr>
                <w:rFonts w:hint="eastAsia" w:ascii="宋体" w:hAnsi="宋体" w:eastAsia="宋体" w:cs="宋体"/>
                <w:sz w:val="21"/>
                <w:szCs w:val="21"/>
                <w:lang w:val="en-US" w:eastAsia="zh-CN" w:bidi="ar-SA"/>
              </w:rPr>
            </w:pPr>
            <w:r>
              <w:rPr>
                <w:rFonts w:hint="eastAsia" w:ascii="宋体" w:hAnsi="宋体" w:cs="宋体"/>
                <w:sz w:val="21"/>
                <w:szCs w:val="21"/>
              </w:rPr>
              <w:t>¥：</w:t>
            </w:r>
            <w:r>
              <w:rPr>
                <w:rFonts w:hint="eastAsia" w:ascii="宋体" w:hAnsi="宋体" w:cs="宋体"/>
                <w:sz w:val="21"/>
                <w:szCs w:val="21"/>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7" w:hRule="atLeast"/>
        </w:trPr>
        <w:tc>
          <w:tcPr>
            <w:tcW w:w="4952" w:type="dxa"/>
            <w:gridSpan w:val="2"/>
            <w:tcBorders>
              <w:top w:val="double" w:color="auto" w:sz="4" w:space="0"/>
              <w:left w:val="double" w:color="auto" w:sz="4" w:space="0"/>
              <w:right w:val="single" w:color="auto" w:sz="4" w:space="0"/>
            </w:tcBorders>
            <w:noWrap w:val="0"/>
            <w:vAlign w:val="center"/>
          </w:tcPr>
          <w:p>
            <w:pPr>
              <w:spacing w:line="320" w:lineRule="exact"/>
              <w:jc w:val="center"/>
              <w:rPr>
                <w:rFonts w:hint="eastAsia" w:ascii="宋体" w:hAnsi="宋体" w:cs="宋体"/>
                <w:sz w:val="21"/>
                <w:szCs w:val="21"/>
              </w:rPr>
            </w:pPr>
            <w:r>
              <w:rPr>
                <w:rFonts w:hint="eastAsia" w:ascii="宋体"/>
                <w:sz w:val="21"/>
                <w:szCs w:val="21"/>
              </w:rPr>
              <w:t xml:space="preserve">合计投标总价（大写）：   </w:t>
            </w:r>
          </w:p>
        </w:tc>
        <w:tc>
          <w:tcPr>
            <w:tcW w:w="4048" w:type="dxa"/>
            <w:tcBorders>
              <w:top w:val="double" w:color="auto" w:sz="4" w:space="0"/>
              <w:right w:val="double" w:color="auto" w:sz="4" w:space="0"/>
            </w:tcBorders>
            <w:noWrap w:val="0"/>
            <w:vAlign w:val="center"/>
          </w:tcPr>
          <w:p>
            <w:pPr>
              <w:spacing w:line="320" w:lineRule="exact"/>
              <w:rPr>
                <w:rFonts w:hint="eastAsia"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0" w:hRule="atLeast"/>
        </w:trPr>
        <w:tc>
          <w:tcPr>
            <w:tcW w:w="4952" w:type="dxa"/>
            <w:gridSpan w:val="2"/>
            <w:tcBorders>
              <w:left w:val="double" w:color="auto" w:sz="4" w:space="0"/>
              <w:bottom w:val="double" w:color="auto" w:sz="4" w:space="0"/>
              <w:right w:val="single" w:color="auto" w:sz="4" w:space="0"/>
            </w:tcBorders>
            <w:noWrap w:val="0"/>
            <w:vAlign w:val="center"/>
          </w:tcPr>
          <w:p>
            <w:pPr>
              <w:spacing w:line="320" w:lineRule="exact"/>
              <w:jc w:val="center"/>
              <w:rPr>
                <w:rFonts w:hint="eastAsia" w:ascii="宋体" w:hAnsi="宋体" w:cs="宋体"/>
                <w:sz w:val="21"/>
                <w:szCs w:val="21"/>
              </w:rPr>
            </w:pPr>
            <w:r>
              <w:rPr>
                <w:rFonts w:hint="eastAsia" w:ascii="宋体" w:hAnsi="宋体" w:cs="宋体"/>
                <w:sz w:val="21"/>
                <w:szCs w:val="21"/>
              </w:rPr>
              <w:t>合同履行期限</w:t>
            </w:r>
          </w:p>
        </w:tc>
        <w:tc>
          <w:tcPr>
            <w:tcW w:w="4048" w:type="dxa"/>
            <w:tcBorders>
              <w:top w:val="single" w:color="auto" w:sz="4" w:space="0"/>
              <w:bottom w:val="double" w:color="auto" w:sz="4" w:space="0"/>
              <w:right w:val="double" w:color="auto" w:sz="4" w:space="0"/>
            </w:tcBorders>
            <w:noWrap w:val="0"/>
            <w:vAlign w:val="center"/>
          </w:tcPr>
          <w:p>
            <w:pPr>
              <w:spacing w:line="320" w:lineRule="exact"/>
              <w:jc w:val="center"/>
              <w:rPr>
                <w:rFonts w:ascii="宋体" w:hAnsi="宋体" w:cs="宋体"/>
                <w:sz w:val="21"/>
                <w:szCs w:val="21"/>
              </w:rPr>
            </w:pPr>
          </w:p>
        </w:tc>
      </w:tr>
    </w:tbl>
    <w:p>
      <w:pPr>
        <w:snapToGrid w:val="0"/>
        <w:spacing w:before="50" w:after="50" w:line="440" w:lineRule="exact"/>
        <w:ind w:firstLine="420" w:firstLineChars="200"/>
        <w:jc w:val="left"/>
        <w:rPr>
          <w:rFonts w:hint="eastAsia" w:ascii="宋体" w:hAnsi="宋体" w:cs="宋体"/>
          <w:sz w:val="21"/>
          <w:szCs w:val="21"/>
        </w:rPr>
      </w:pPr>
      <w:r>
        <w:rPr>
          <w:rFonts w:hint="eastAsia" w:ascii="宋体" w:hAnsi="宋体" w:cs="宋体"/>
          <w:sz w:val="21"/>
          <w:szCs w:val="21"/>
        </w:rPr>
        <w:t>注：1、投标总价指招标文件中所规定的完成本项所需的全部费用的总报价。</w:t>
      </w:r>
    </w:p>
    <w:p>
      <w:pPr>
        <w:snapToGrid w:val="0"/>
        <w:spacing w:before="50" w:after="50" w:line="440" w:lineRule="exact"/>
        <w:ind w:firstLine="420" w:firstLineChars="200"/>
        <w:jc w:val="left"/>
        <w:rPr>
          <w:rFonts w:hint="eastAsia" w:ascii="宋体" w:hAnsi="宋体" w:cs="宋体"/>
          <w:sz w:val="21"/>
          <w:szCs w:val="21"/>
        </w:rPr>
      </w:pPr>
      <w:r>
        <w:rPr>
          <w:rFonts w:hint="eastAsia" w:ascii="宋体" w:hAnsi="宋体" w:cs="宋体"/>
          <w:sz w:val="21"/>
          <w:szCs w:val="21"/>
        </w:rPr>
        <w:t>2、报价如涂改，应在涂改处加盖单位公章或者由法定代表人或授权委托人签字或盖章，否则其投标作无效标处理。</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 xml:space="preserve">供应商：（盖章）              </w:t>
      </w:r>
    </w:p>
    <w:p>
      <w:pPr>
        <w:snapToGrid w:val="0"/>
        <w:spacing w:line="44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法定代表人或授权代表：（签字</w:t>
      </w:r>
      <w:r>
        <w:rPr>
          <w:rFonts w:hint="eastAsia" w:ascii="宋体" w:hAnsi="宋体" w:eastAsia="宋体" w:cs="宋体"/>
          <w:sz w:val="21"/>
          <w:szCs w:val="21"/>
          <w:lang w:eastAsia="zh-CN"/>
        </w:rPr>
        <w:t>或盖章</w:t>
      </w:r>
      <w:r>
        <w:rPr>
          <w:rFonts w:hint="eastAsia" w:ascii="宋体" w:hAnsi="宋体" w:eastAsia="宋体" w:cs="宋体"/>
          <w:sz w:val="21"/>
          <w:szCs w:val="21"/>
        </w:rPr>
        <w:t>）</w:t>
      </w:r>
    </w:p>
    <w:p>
      <w:pPr>
        <w:spacing w:line="440" w:lineRule="exact"/>
        <w:ind w:right="24" w:rightChars="12" w:firstLine="210" w:firstLineChars="100"/>
        <w:jc w:val="left"/>
        <w:rPr>
          <w:rFonts w:hint="eastAsia" w:ascii="宋体" w:hAnsi="宋体" w:eastAsia="宋体" w:cs="宋体"/>
          <w:sz w:val="21"/>
          <w:szCs w:val="21"/>
        </w:rPr>
      </w:pPr>
      <w:r>
        <w:rPr>
          <w:rFonts w:hint="eastAsia" w:ascii="宋体" w:hAnsi="宋体" w:eastAsia="宋体" w:cs="宋体"/>
          <w:sz w:val="21"/>
          <w:szCs w:val="21"/>
        </w:rPr>
        <w:t>日期：</w:t>
      </w:r>
    </w:p>
    <w:p>
      <w:pPr>
        <w:spacing w:line="440" w:lineRule="exact"/>
        <w:ind w:right="24" w:rightChars="12" w:firstLine="210" w:firstLineChars="100"/>
        <w:jc w:val="lef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right="24" w:rightChars="12" w:firstLine="211" w:firstLineChars="100"/>
        <w:jc w:val="left"/>
        <w:rPr>
          <w:rFonts w:hint="eastAsia" w:ascii="宋体" w:hAnsi="宋体" w:eastAsia="宋体" w:cs="宋体"/>
          <w:sz w:val="21"/>
          <w:szCs w:val="21"/>
        </w:rPr>
      </w:pPr>
      <w:r>
        <w:rPr>
          <w:rFonts w:hint="eastAsia" w:ascii="宋体" w:hAnsi="宋体" w:eastAsia="宋体" w:cs="宋体"/>
          <w:b/>
          <w:bCs/>
          <w:sz w:val="21"/>
          <w:szCs w:val="21"/>
        </w:rPr>
        <w:t>附件九：</w:t>
      </w:r>
    </w:p>
    <w:p>
      <w:pPr>
        <w:spacing w:line="440" w:lineRule="exact"/>
        <w:ind w:right="420"/>
        <w:jc w:val="center"/>
        <w:rPr>
          <w:rFonts w:hint="eastAsia" w:ascii="宋体" w:hAnsi="宋体" w:eastAsia="宋体" w:cs="宋体"/>
          <w:b/>
          <w:bCs/>
          <w:sz w:val="21"/>
          <w:szCs w:val="21"/>
        </w:rPr>
      </w:pPr>
      <w:r>
        <w:rPr>
          <w:rFonts w:hint="eastAsia" w:ascii="宋体" w:hAnsi="宋体" w:eastAsia="宋体" w:cs="宋体"/>
          <w:b/>
          <w:bCs/>
          <w:sz w:val="21"/>
          <w:szCs w:val="21"/>
        </w:rPr>
        <w:t>分项报价表</w:t>
      </w:r>
    </w:p>
    <w:p>
      <w:pPr>
        <w:snapToGrid w:val="0"/>
        <w:spacing w:line="440" w:lineRule="exact"/>
        <w:ind w:left="6185" w:leftChars="100" w:hanging="5985" w:hangingChars="2850"/>
        <w:jc w:val="left"/>
        <w:rPr>
          <w:rFonts w:hint="eastAsia" w:ascii="宋体" w:hAnsi="宋体" w:eastAsia="宋体" w:cs="宋体"/>
          <w:sz w:val="21"/>
          <w:szCs w:val="21"/>
        </w:rPr>
      </w:pPr>
      <w:r>
        <w:rPr>
          <w:rFonts w:hint="eastAsia" w:ascii="宋体" w:hAnsi="宋体" w:eastAsia="宋体" w:cs="宋体"/>
          <w:sz w:val="21"/>
          <w:szCs w:val="21"/>
        </w:rPr>
        <w:t>项目名称：</w:t>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采购编号：</w:t>
      </w:r>
      <w:r>
        <w:rPr>
          <w:rFonts w:hint="eastAsia" w:ascii="宋体" w:hAnsi="宋体" w:eastAsia="宋体" w:cs="宋体"/>
          <w:sz w:val="21"/>
          <w:szCs w:val="21"/>
          <w:u w:val="single"/>
        </w:rPr>
        <w:t xml:space="preserve">                     </w:t>
      </w: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p>
    <w:p>
      <w:pPr>
        <w:pStyle w:val="27"/>
        <w:ind w:left="0" w:leftChars="0" w:firstLine="0" w:firstLineChars="0"/>
        <w:rPr>
          <w:rFonts w:hint="eastAsia" w:ascii="宋体" w:hAnsi="宋体" w:eastAsia="宋体" w:cs="宋体"/>
          <w:sz w:val="21"/>
          <w:szCs w:val="21"/>
        </w:rPr>
      </w:pPr>
      <w:r>
        <w:rPr>
          <w:rFonts w:hint="eastAsia" w:ascii="宋体" w:hAnsi="宋体" w:eastAsia="宋体" w:cs="宋体"/>
          <w:sz w:val="21"/>
          <w:szCs w:val="21"/>
        </w:rPr>
        <w:t>注：</w:t>
      </w:r>
      <w:r>
        <w:rPr>
          <w:rFonts w:hint="eastAsia" w:ascii="宋体" w:hAnsi="宋体" w:eastAsia="宋体" w:cs="宋体"/>
          <w:sz w:val="21"/>
          <w:szCs w:val="21"/>
          <w:lang w:val="en-US" w:eastAsia="zh-CN"/>
        </w:rPr>
        <w:t>本表由供应商</w:t>
      </w:r>
      <w:r>
        <w:rPr>
          <w:rFonts w:hint="eastAsia" w:ascii="宋体" w:hAnsi="宋体" w:eastAsia="宋体" w:cs="宋体"/>
          <w:sz w:val="21"/>
          <w:szCs w:val="21"/>
        </w:rPr>
        <w:t>按照招标文件第二章招标需求</w:t>
      </w:r>
      <w:r>
        <w:rPr>
          <w:rFonts w:hint="eastAsia" w:ascii="宋体" w:hAnsi="宋体" w:eastAsia="宋体" w:cs="宋体"/>
          <w:sz w:val="21"/>
          <w:szCs w:val="21"/>
          <w:lang w:eastAsia="zh-CN"/>
        </w:rPr>
        <w:t>的</w:t>
      </w:r>
      <w:r>
        <w:rPr>
          <w:rFonts w:hint="eastAsia" w:ascii="宋体" w:hAnsi="宋体" w:eastAsia="宋体" w:cs="宋体"/>
          <w:sz w:val="21"/>
          <w:szCs w:val="21"/>
          <w:lang w:val="en-US" w:eastAsia="zh-CN"/>
        </w:rPr>
        <w:t>相关</w:t>
      </w:r>
      <w:r>
        <w:rPr>
          <w:rFonts w:hint="eastAsia" w:ascii="宋体" w:hAnsi="宋体" w:eastAsia="宋体" w:cs="宋体"/>
          <w:sz w:val="21"/>
          <w:szCs w:val="21"/>
          <w:lang w:eastAsia="zh-CN"/>
        </w:rPr>
        <w:t>设备清单</w:t>
      </w:r>
      <w:r>
        <w:rPr>
          <w:rFonts w:hint="eastAsia" w:ascii="宋体" w:hAnsi="宋体" w:eastAsia="宋体" w:cs="宋体"/>
          <w:sz w:val="21"/>
          <w:szCs w:val="21"/>
          <w:lang w:val="en-US" w:eastAsia="zh-CN"/>
        </w:rPr>
        <w:t>配置及</w:t>
      </w:r>
      <w:r>
        <w:rPr>
          <w:rFonts w:hint="eastAsia" w:ascii="宋体" w:hAnsi="宋体" w:eastAsia="宋体" w:cs="宋体"/>
          <w:sz w:val="21"/>
          <w:szCs w:val="21"/>
          <w:lang w:eastAsia="zh-CN"/>
        </w:rPr>
        <w:t>材料</w:t>
      </w:r>
      <w:r>
        <w:rPr>
          <w:rFonts w:hint="eastAsia" w:ascii="宋体" w:hAnsi="宋体" w:eastAsia="宋体" w:cs="宋体"/>
          <w:sz w:val="21"/>
          <w:szCs w:val="21"/>
          <w:lang w:val="en-US" w:eastAsia="zh-CN"/>
        </w:rPr>
        <w:t>进行</w:t>
      </w:r>
      <w:r>
        <w:rPr>
          <w:rFonts w:hint="eastAsia" w:ascii="宋体" w:hAnsi="宋体" w:eastAsia="宋体" w:cs="宋体"/>
          <w:sz w:val="21"/>
          <w:szCs w:val="21"/>
        </w:rPr>
        <w:t>填写。</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sz w:val="21"/>
          <w:szCs w:val="21"/>
        </w:rPr>
      </w:pPr>
      <w:r>
        <w:rPr>
          <w:rFonts w:hint="eastAsia" w:ascii="宋体" w:hAnsi="宋体" w:eastAsia="宋体" w:cs="宋体"/>
          <w:sz w:val="21"/>
          <w:szCs w:val="21"/>
        </w:rPr>
        <w:t xml:space="preserve"> </w:t>
      </w:r>
    </w:p>
    <w:p>
      <w:pPr>
        <w:snapToGrid w:val="0"/>
        <w:spacing w:line="44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 xml:space="preserve">供应商：（盖章）              </w:t>
      </w:r>
    </w:p>
    <w:p>
      <w:pPr>
        <w:snapToGrid w:val="0"/>
        <w:spacing w:line="440" w:lineRule="exact"/>
        <w:ind w:firstLine="210" w:firstLineChars="100"/>
        <w:rPr>
          <w:rFonts w:hint="eastAsia" w:ascii="宋体" w:hAnsi="宋体" w:eastAsia="宋体" w:cs="宋体"/>
          <w:sz w:val="21"/>
          <w:szCs w:val="21"/>
        </w:rPr>
      </w:pPr>
      <w:r>
        <w:rPr>
          <w:rFonts w:hint="eastAsia" w:ascii="宋体" w:hAnsi="宋体" w:eastAsia="宋体" w:cs="宋体"/>
          <w:sz w:val="21"/>
          <w:szCs w:val="21"/>
        </w:rPr>
        <w:t>法定代表人或授权代表：（签字</w:t>
      </w:r>
      <w:r>
        <w:rPr>
          <w:rFonts w:hint="eastAsia" w:ascii="宋体" w:hAnsi="宋体" w:eastAsia="宋体" w:cs="宋体"/>
          <w:sz w:val="21"/>
          <w:szCs w:val="21"/>
          <w:lang w:eastAsia="zh-CN"/>
        </w:rPr>
        <w:t>或盖章</w:t>
      </w:r>
      <w:r>
        <w:rPr>
          <w:rFonts w:hint="eastAsia" w:ascii="宋体" w:hAnsi="宋体" w:eastAsia="宋体" w:cs="宋体"/>
          <w:sz w:val="21"/>
          <w:szCs w:val="21"/>
        </w:rPr>
        <w:t>）</w:t>
      </w:r>
    </w:p>
    <w:p>
      <w:pPr>
        <w:spacing w:line="440" w:lineRule="exact"/>
        <w:ind w:right="24" w:rightChars="12" w:firstLine="210" w:firstLineChars="100"/>
        <w:jc w:val="left"/>
        <w:rPr>
          <w:rFonts w:hint="eastAsia" w:ascii="宋体" w:hAnsi="宋体" w:eastAsia="宋体" w:cs="宋体"/>
          <w:sz w:val="21"/>
          <w:szCs w:val="21"/>
        </w:rPr>
      </w:pPr>
      <w:r>
        <w:rPr>
          <w:rFonts w:hint="eastAsia" w:ascii="宋体" w:hAnsi="宋体" w:eastAsia="宋体" w:cs="宋体"/>
          <w:sz w:val="21"/>
          <w:szCs w:val="21"/>
        </w:rPr>
        <w:t>日期：</w:t>
      </w:r>
    </w:p>
    <w:p>
      <w:pPr>
        <w:spacing w:line="440" w:lineRule="exact"/>
        <w:ind w:right="24" w:rightChars="12" w:firstLine="210" w:firstLineChars="100"/>
        <w:jc w:val="left"/>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rPr>
          <w:rFonts w:hint="eastAsia" w:ascii="宋体" w:hAnsi="宋体" w:eastAsia="宋体" w:cs="宋体"/>
          <w:b/>
          <w:bCs/>
          <w:sz w:val="21"/>
          <w:szCs w:val="21"/>
        </w:rPr>
      </w:pPr>
      <w:bookmarkStart w:id="61" w:name="_Toc7097_WPSOffice_Level1"/>
      <w:bookmarkEnd w:id="61"/>
      <w:bookmarkStart w:id="62" w:name="_Toc26414_WPSOffice_Level1"/>
      <w:bookmarkEnd w:id="62"/>
      <w:r>
        <w:rPr>
          <w:rFonts w:hint="eastAsia" w:ascii="宋体" w:hAnsi="宋体" w:eastAsia="宋体" w:cs="宋体"/>
          <w:b/>
          <w:bCs/>
          <w:sz w:val="21"/>
          <w:szCs w:val="21"/>
        </w:rPr>
        <w:t>附件十：</w:t>
      </w:r>
    </w:p>
    <w:p>
      <w:pPr>
        <w:spacing w:line="440" w:lineRule="exact"/>
        <w:jc w:val="center"/>
        <w:outlineLvl w:val="0"/>
        <w:rPr>
          <w:rFonts w:hint="eastAsia" w:ascii="宋体" w:hAnsi="宋体" w:cs="宋体"/>
          <w:b/>
          <w:bCs/>
          <w:sz w:val="21"/>
          <w:szCs w:val="21"/>
        </w:rPr>
      </w:pPr>
      <w:r>
        <w:rPr>
          <w:rFonts w:hint="eastAsia" w:ascii="宋体" w:hAnsi="宋体" w:cs="宋体"/>
          <w:b/>
          <w:bCs/>
          <w:sz w:val="21"/>
          <w:szCs w:val="21"/>
        </w:rPr>
        <w:t>中小企业声明函（货物）</w:t>
      </w:r>
    </w:p>
    <w:p>
      <w:pPr>
        <w:spacing w:line="440" w:lineRule="exact"/>
        <w:rPr>
          <w:rFonts w:hint="eastAsia" w:ascii="宋体" w:hAnsi="宋体" w:cs="宋体"/>
          <w:b/>
          <w:bCs/>
          <w:spacing w:val="6"/>
          <w:sz w:val="21"/>
          <w:szCs w:val="21"/>
        </w:rPr>
      </w:pPr>
      <w:r>
        <w:rPr>
          <w:rFonts w:hint="eastAsia" w:ascii="宋体" w:hAnsi="宋体" w:cs="宋体"/>
          <w:b/>
          <w:bCs/>
          <w:spacing w:val="6"/>
          <w:sz w:val="21"/>
          <w:szCs w:val="21"/>
        </w:rPr>
        <w:t xml:space="preserve"> </w:t>
      </w:r>
    </w:p>
    <w:p>
      <w:pPr>
        <w:spacing w:line="480" w:lineRule="exact"/>
        <w:ind w:firstLine="420" w:firstLineChars="200"/>
        <w:rPr>
          <w:rFonts w:hint="eastAsia" w:ascii="宋体" w:hAnsi="宋体" w:cs="宋体"/>
          <w:sz w:val="21"/>
          <w:szCs w:val="21"/>
        </w:rPr>
      </w:pPr>
      <w:r>
        <w:rPr>
          <w:rFonts w:hint="eastAsia" w:ascii="宋体" w:hAnsi="宋体" w:cs="宋体"/>
          <w:sz w:val="21"/>
          <w:szCs w:val="21"/>
        </w:rPr>
        <w:t>本公司（联合体）郑重声明，根据《政府采购促进中小企业发展管理办法》（财库﹝2020﹞46 号）的规定，本公司（联合体）参加</w:t>
      </w:r>
      <w:r>
        <w:rPr>
          <w:rFonts w:hint="eastAsia" w:ascii="宋体" w:hAnsi="宋体" w:cs="宋体"/>
          <w:sz w:val="21"/>
          <w:szCs w:val="21"/>
          <w:u w:val="single"/>
        </w:rPr>
        <w:t xml:space="preserve">   （单位名称）   </w:t>
      </w:r>
      <w:r>
        <w:rPr>
          <w:rFonts w:hint="eastAsia" w:ascii="宋体" w:hAnsi="宋体" w:cs="宋体"/>
          <w:sz w:val="21"/>
          <w:szCs w:val="21"/>
        </w:rPr>
        <w:t>的</w:t>
      </w:r>
      <w:r>
        <w:rPr>
          <w:rFonts w:hint="eastAsia" w:ascii="宋体" w:hAnsi="宋体" w:cs="宋体"/>
          <w:sz w:val="21"/>
          <w:szCs w:val="21"/>
          <w:u w:val="single"/>
        </w:rPr>
        <w:t xml:space="preserve">    （项目名称）    </w:t>
      </w:r>
      <w:r>
        <w:rPr>
          <w:rFonts w:hint="eastAsia" w:ascii="宋体" w:hAnsi="宋体" w:cs="宋体"/>
          <w:sz w:val="21"/>
          <w:szCs w:val="21"/>
        </w:rPr>
        <w:t>采购活动，提供的货物全部由符合政策要求的中小企业制造。相关企业（含联合体中的中小企业、签订分包意向协议的中小企业）的具体情况如下：</w:t>
      </w:r>
    </w:p>
    <w:p>
      <w:pPr>
        <w:spacing w:line="480" w:lineRule="exact"/>
        <w:ind w:firstLine="420" w:firstLineChars="200"/>
        <w:rPr>
          <w:rFonts w:hint="eastAsia" w:ascii="宋体" w:hAnsi="宋体" w:cs="宋体"/>
          <w:sz w:val="21"/>
          <w:szCs w:val="21"/>
          <w:u w:val="single"/>
        </w:rPr>
      </w:pPr>
      <w:r>
        <w:rPr>
          <w:rFonts w:hint="eastAsia" w:ascii="宋体" w:hAnsi="宋体" w:cs="宋体"/>
          <w:sz w:val="21"/>
          <w:szCs w:val="21"/>
        </w:rPr>
        <w:t>1.</w:t>
      </w:r>
      <w:r>
        <w:rPr>
          <w:rFonts w:hint="eastAsia" w:ascii="宋体" w:hAnsi="宋体" w:cs="宋体"/>
          <w:sz w:val="21"/>
          <w:szCs w:val="21"/>
          <w:u w:val="single"/>
        </w:rPr>
        <w:t xml:space="preserve">   </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（标的名称）   </w:t>
      </w:r>
      <w:r>
        <w:rPr>
          <w:rFonts w:hint="eastAsia" w:ascii="宋体" w:hAnsi="宋体" w:cs="宋体"/>
          <w:sz w:val="21"/>
          <w:szCs w:val="21"/>
        </w:rPr>
        <w:t>，属于</w:t>
      </w:r>
      <w:r>
        <w:rPr>
          <w:rFonts w:hint="eastAsia" w:ascii="宋体" w:hAnsi="宋体" w:cs="宋体"/>
          <w:sz w:val="21"/>
          <w:szCs w:val="21"/>
          <w:u w:val="single"/>
        </w:rPr>
        <w:t xml:space="preserve">   </w:t>
      </w:r>
      <w:r>
        <w:rPr>
          <w:rFonts w:hint="eastAsia" w:ascii="宋体" w:hAnsi="宋体" w:cs="宋体"/>
          <w:sz w:val="21"/>
          <w:szCs w:val="21"/>
          <w:u w:val="single"/>
          <w:lang w:eastAsia="zh-CN"/>
        </w:rPr>
        <w:t>工业</w:t>
      </w:r>
      <w:r>
        <w:rPr>
          <w:rFonts w:hint="eastAsia" w:ascii="宋体" w:hAnsi="宋体" w:cs="宋体"/>
          <w:sz w:val="21"/>
          <w:szCs w:val="21"/>
          <w:u w:val="single"/>
          <w:lang w:val="en-US" w:eastAsia="zh-CN"/>
        </w:rPr>
        <w:t xml:space="preserve">  </w:t>
      </w:r>
      <w:r>
        <w:rPr>
          <w:rFonts w:hint="eastAsia" w:ascii="宋体" w:hAnsi="宋体" w:cs="宋体"/>
          <w:sz w:val="21"/>
          <w:szCs w:val="21"/>
          <w:u w:val="single"/>
        </w:rPr>
        <w:t xml:space="preserve"> </w:t>
      </w:r>
      <w:r>
        <w:rPr>
          <w:rFonts w:hint="eastAsia" w:ascii="宋体" w:hAnsi="宋体" w:cs="宋体"/>
          <w:sz w:val="21"/>
          <w:szCs w:val="21"/>
        </w:rPr>
        <w:t>；承建（承接）企业为</w:t>
      </w:r>
      <w:r>
        <w:rPr>
          <w:rFonts w:hint="eastAsia" w:ascii="宋体" w:hAnsi="宋体" w:cs="宋体"/>
          <w:sz w:val="21"/>
          <w:szCs w:val="21"/>
          <w:u w:val="single"/>
        </w:rPr>
        <w:t xml:space="preserve">  （企业名称）   </w:t>
      </w:r>
      <w:r>
        <w:rPr>
          <w:rFonts w:hint="eastAsia" w:ascii="宋体" w:hAnsi="宋体" w:cs="宋体"/>
          <w:sz w:val="21"/>
          <w:szCs w:val="21"/>
        </w:rPr>
        <w:t>，制造商为</w:t>
      </w:r>
      <w:r>
        <w:rPr>
          <w:rFonts w:hint="eastAsia" w:ascii="宋体" w:hAnsi="宋体" w:cs="宋体"/>
          <w:sz w:val="21"/>
          <w:szCs w:val="21"/>
          <w:u w:val="single"/>
        </w:rPr>
        <w:t xml:space="preserve">  （企业名称）  </w:t>
      </w:r>
      <w:r>
        <w:rPr>
          <w:rFonts w:hint="eastAsia" w:ascii="宋体" w:hAnsi="宋体" w:cs="宋体"/>
          <w:sz w:val="21"/>
          <w:szCs w:val="21"/>
        </w:rPr>
        <w:t>，从业人员</w:t>
      </w:r>
      <w:r>
        <w:rPr>
          <w:rFonts w:hint="eastAsia" w:ascii="宋体" w:hAnsi="宋体" w:cs="宋体"/>
          <w:sz w:val="21"/>
          <w:szCs w:val="21"/>
          <w:u w:val="single"/>
        </w:rPr>
        <w:t xml:space="preserve">   </w:t>
      </w:r>
      <w:r>
        <w:rPr>
          <w:rFonts w:hint="eastAsia" w:ascii="宋体" w:hAnsi="宋体" w:cs="宋体"/>
          <w:sz w:val="21"/>
          <w:szCs w:val="21"/>
        </w:rPr>
        <w:t>人，营业收入为</w:t>
      </w:r>
      <w:r>
        <w:rPr>
          <w:rFonts w:hint="eastAsia" w:ascii="宋体" w:hAnsi="宋体" w:cs="宋体"/>
          <w:sz w:val="21"/>
          <w:szCs w:val="21"/>
          <w:u w:val="single"/>
        </w:rPr>
        <w:t xml:space="preserve">    </w:t>
      </w:r>
      <w:r>
        <w:rPr>
          <w:rFonts w:hint="eastAsia" w:ascii="宋体" w:hAnsi="宋体" w:cs="宋体"/>
          <w:sz w:val="21"/>
          <w:szCs w:val="21"/>
        </w:rPr>
        <w:t>万元，资产总额为</w:t>
      </w:r>
      <w:r>
        <w:rPr>
          <w:rFonts w:hint="eastAsia" w:ascii="宋体" w:hAnsi="宋体" w:cs="宋体"/>
          <w:sz w:val="21"/>
          <w:szCs w:val="21"/>
          <w:u w:val="single"/>
        </w:rPr>
        <w:t xml:space="preserve">    </w:t>
      </w:r>
      <w:r>
        <w:rPr>
          <w:rFonts w:hint="eastAsia" w:ascii="宋体" w:hAnsi="宋体" w:cs="宋体"/>
          <w:sz w:val="21"/>
          <w:szCs w:val="21"/>
        </w:rPr>
        <w:t>万元，属于</w:t>
      </w:r>
      <w:r>
        <w:rPr>
          <w:rFonts w:hint="eastAsia" w:ascii="宋体" w:hAnsi="宋体" w:cs="宋体"/>
          <w:sz w:val="21"/>
          <w:szCs w:val="21"/>
          <w:u w:val="single"/>
        </w:rPr>
        <w:t xml:space="preserve">     （中型企业、小型企业、微型企业）    ；</w:t>
      </w:r>
    </w:p>
    <w:p>
      <w:pPr>
        <w:spacing w:line="480" w:lineRule="exact"/>
        <w:ind w:firstLine="420" w:firstLineChars="200"/>
        <w:rPr>
          <w:rFonts w:hint="eastAsia" w:ascii="宋体" w:hAnsi="宋体" w:cs="宋体"/>
          <w:sz w:val="21"/>
          <w:szCs w:val="21"/>
        </w:rPr>
      </w:pPr>
      <w:r>
        <w:rPr>
          <w:rFonts w:hint="eastAsia" w:ascii="宋体" w:hAnsi="宋体" w:cs="宋体"/>
          <w:sz w:val="21"/>
          <w:szCs w:val="21"/>
        </w:rPr>
        <w:t>2.</w:t>
      </w:r>
      <w:r>
        <w:rPr>
          <w:rFonts w:hint="eastAsia" w:ascii="宋体" w:hAnsi="宋体" w:cs="宋体"/>
          <w:sz w:val="21"/>
          <w:szCs w:val="21"/>
          <w:u w:val="single"/>
        </w:rPr>
        <w:t xml:space="preserve">   （标的名称）   </w:t>
      </w:r>
      <w:r>
        <w:rPr>
          <w:rFonts w:hint="eastAsia" w:ascii="宋体" w:hAnsi="宋体" w:cs="宋体"/>
          <w:sz w:val="21"/>
          <w:szCs w:val="21"/>
        </w:rPr>
        <w:t>，属于</w:t>
      </w:r>
      <w:r>
        <w:rPr>
          <w:rFonts w:hint="eastAsia" w:ascii="宋体" w:hAnsi="宋体" w:cs="宋体"/>
          <w:sz w:val="21"/>
          <w:szCs w:val="21"/>
          <w:u w:val="single"/>
        </w:rPr>
        <w:t xml:space="preserve">   （采购文件中明确的所属行业）  </w:t>
      </w:r>
      <w:r>
        <w:rPr>
          <w:rFonts w:hint="eastAsia" w:ascii="宋体" w:hAnsi="宋体" w:cs="宋体"/>
          <w:sz w:val="21"/>
          <w:szCs w:val="21"/>
        </w:rPr>
        <w:t>；承建（承接）企业为</w:t>
      </w:r>
      <w:r>
        <w:rPr>
          <w:rFonts w:hint="eastAsia" w:ascii="宋体" w:hAnsi="宋体" w:cs="宋体"/>
          <w:sz w:val="21"/>
          <w:szCs w:val="21"/>
          <w:u w:val="single"/>
        </w:rPr>
        <w:t xml:space="preserve">  （企业名称）   </w:t>
      </w:r>
      <w:r>
        <w:rPr>
          <w:rFonts w:hint="eastAsia" w:ascii="宋体" w:hAnsi="宋体" w:cs="宋体"/>
          <w:sz w:val="21"/>
          <w:szCs w:val="21"/>
        </w:rPr>
        <w:t>，制造商为</w:t>
      </w:r>
      <w:r>
        <w:rPr>
          <w:rFonts w:hint="eastAsia" w:ascii="宋体" w:hAnsi="宋体" w:cs="宋体"/>
          <w:sz w:val="21"/>
          <w:szCs w:val="21"/>
          <w:u w:val="single"/>
        </w:rPr>
        <w:t xml:space="preserve">  （企业名称）  </w:t>
      </w:r>
      <w:r>
        <w:rPr>
          <w:rFonts w:hint="eastAsia" w:ascii="宋体" w:hAnsi="宋体" w:cs="宋体"/>
          <w:sz w:val="21"/>
          <w:szCs w:val="21"/>
        </w:rPr>
        <w:t>，从业人员</w:t>
      </w:r>
      <w:r>
        <w:rPr>
          <w:rFonts w:hint="eastAsia" w:ascii="宋体" w:hAnsi="宋体" w:cs="宋体"/>
          <w:sz w:val="21"/>
          <w:szCs w:val="21"/>
          <w:u w:val="single"/>
        </w:rPr>
        <w:t xml:space="preserve">   </w:t>
      </w:r>
      <w:r>
        <w:rPr>
          <w:rFonts w:hint="eastAsia" w:ascii="宋体" w:hAnsi="宋体" w:cs="宋体"/>
          <w:sz w:val="21"/>
          <w:szCs w:val="21"/>
        </w:rPr>
        <w:t>人，营业收入为</w:t>
      </w:r>
      <w:r>
        <w:rPr>
          <w:rFonts w:hint="eastAsia" w:ascii="宋体" w:hAnsi="宋体" w:cs="宋体"/>
          <w:sz w:val="21"/>
          <w:szCs w:val="21"/>
          <w:u w:val="single"/>
        </w:rPr>
        <w:t xml:space="preserve">    </w:t>
      </w:r>
      <w:r>
        <w:rPr>
          <w:rFonts w:hint="eastAsia" w:ascii="宋体" w:hAnsi="宋体" w:cs="宋体"/>
          <w:sz w:val="21"/>
          <w:szCs w:val="21"/>
        </w:rPr>
        <w:t>万元，资产总额为</w:t>
      </w:r>
      <w:r>
        <w:rPr>
          <w:rFonts w:hint="eastAsia" w:ascii="宋体" w:hAnsi="宋体" w:cs="宋体"/>
          <w:sz w:val="21"/>
          <w:szCs w:val="21"/>
          <w:u w:val="single"/>
        </w:rPr>
        <w:t xml:space="preserve">    </w:t>
      </w:r>
      <w:r>
        <w:rPr>
          <w:rFonts w:hint="eastAsia" w:ascii="宋体" w:hAnsi="宋体" w:cs="宋体"/>
          <w:sz w:val="21"/>
          <w:szCs w:val="21"/>
        </w:rPr>
        <w:t>万元，属于</w:t>
      </w:r>
      <w:r>
        <w:rPr>
          <w:rFonts w:hint="eastAsia" w:ascii="宋体" w:hAnsi="宋体" w:cs="宋体"/>
          <w:sz w:val="21"/>
          <w:szCs w:val="21"/>
          <w:u w:val="single"/>
        </w:rPr>
        <w:t xml:space="preserve">     （中型企业、小型企业、微型企业）    。</w:t>
      </w:r>
    </w:p>
    <w:p>
      <w:pPr>
        <w:pStyle w:val="6"/>
        <w:rPr>
          <w:rFonts w:hint="eastAsia"/>
        </w:rPr>
      </w:pPr>
    </w:p>
    <w:p>
      <w:pPr>
        <w:spacing w:line="480" w:lineRule="exact"/>
        <w:ind w:firstLine="420" w:firstLineChars="200"/>
        <w:rPr>
          <w:rFonts w:hint="eastAsia" w:ascii="宋体" w:hAnsi="宋体" w:cs="宋体"/>
          <w:sz w:val="21"/>
          <w:szCs w:val="21"/>
        </w:rPr>
      </w:pPr>
      <w:r>
        <w:rPr>
          <w:rFonts w:hint="eastAsia" w:ascii="宋体" w:hAnsi="宋体" w:cs="宋体"/>
          <w:sz w:val="21"/>
          <w:szCs w:val="21"/>
        </w:rPr>
        <w:t>以上企业，不属于大企业的分支机构，不存在控股股东为大企业的情形，也不存在与大企业的负责人为同一人的情形。</w:t>
      </w:r>
    </w:p>
    <w:p>
      <w:pPr>
        <w:spacing w:line="480" w:lineRule="exact"/>
        <w:ind w:firstLine="420" w:firstLineChars="200"/>
        <w:rPr>
          <w:rFonts w:hint="eastAsia" w:ascii="宋体" w:hAnsi="宋体" w:cs="宋体"/>
          <w:sz w:val="21"/>
          <w:szCs w:val="21"/>
        </w:rPr>
      </w:pPr>
      <w:r>
        <w:rPr>
          <w:rFonts w:hint="eastAsia" w:ascii="宋体" w:hAnsi="宋体" w:cs="宋体"/>
          <w:sz w:val="21"/>
          <w:szCs w:val="21"/>
        </w:rPr>
        <w:t>本企业对上述声明内容的真实性负责。如有虚假，将依法承担相应责任。</w:t>
      </w:r>
    </w:p>
    <w:p>
      <w:pPr>
        <w:spacing w:line="480" w:lineRule="exact"/>
        <w:ind w:firstLine="420" w:firstLineChars="200"/>
        <w:rPr>
          <w:rFonts w:hint="eastAsia" w:ascii="宋体" w:hAnsi="宋体" w:cs="宋体"/>
          <w:sz w:val="21"/>
          <w:szCs w:val="21"/>
        </w:rPr>
      </w:pPr>
    </w:p>
    <w:p>
      <w:pPr>
        <w:spacing w:line="480" w:lineRule="exact"/>
        <w:ind w:firstLine="420" w:firstLineChars="200"/>
        <w:rPr>
          <w:rFonts w:hint="eastAsia" w:ascii="宋体" w:hAnsi="宋体" w:cs="宋体"/>
          <w:sz w:val="21"/>
          <w:szCs w:val="21"/>
        </w:rPr>
      </w:pPr>
    </w:p>
    <w:p>
      <w:pPr>
        <w:spacing w:line="480" w:lineRule="exact"/>
        <w:ind w:firstLine="420" w:firstLineChars="200"/>
        <w:rPr>
          <w:rFonts w:hint="eastAsia" w:ascii="宋体" w:hAnsi="宋体" w:cs="宋体"/>
          <w:sz w:val="21"/>
          <w:szCs w:val="21"/>
        </w:rPr>
      </w:pPr>
      <w:r>
        <w:rPr>
          <w:rFonts w:hint="eastAsia" w:ascii="宋体" w:hAnsi="宋体" w:cs="宋体"/>
          <w:sz w:val="21"/>
          <w:szCs w:val="21"/>
        </w:rPr>
        <w:t xml:space="preserve">企业名称（盖章）： </w:t>
      </w:r>
    </w:p>
    <w:p>
      <w:pPr>
        <w:spacing w:line="480" w:lineRule="exact"/>
        <w:ind w:firstLine="420" w:firstLineChars="200"/>
        <w:rPr>
          <w:rFonts w:hint="eastAsia" w:ascii="宋体" w:hAnsi="宋体" w:cs="宋体"/>
          <w:sz w:val="21"/>
          <w:szCs w:val="21"/>
        </w:rPr>
      </w:pPr>
    </w:p>
    <w:p>
      <w:pPr>
        <w:spacing w:line="480" w:lineRule="exact"/>
        <w:ind w:firstLine="420" w:firstLineChars="200"/>
        <w:rPr>
          <w:rFonts w:hint="eastAsia" w:ascii="宋体" w:hAnsi="宋体" w:cs="宋体"/>
          <w:sz w:val="21"/>
          <w:szCs w:val="21"/>
        </w:rPr>
      </w:pPr>
      <w:r>
        <w:rPr>
          <w:rFonts w:hint="eastAsia" w:ascii="宋体" w:hAnsi="宋体" w:cs="宋体"/>
          <w:sz w:val="21"/>
          <w:szCs w:val="21"/>
        </w:rPr>
        <w:t>日 期：</w:t>
      </w:r>
    </w:p>
    <w:p>
      <w:pPr>
        <w:spacing w:line="400" w:lineRule="exact"/>
        <w:ind w:firstLine="420" w:firstLineChars="200"/>
        <w:rPr>
          <w:rFonts w:hint="eastAsia" w:ascii="宋体" w:hAnsi="宋体" w:cs="宋体"/>
          <w:sz w:val="21"/>
          <w:szCs w:val="21"/>
        </w:rPr>
      </w:pPr>
      <w:r>
        <w:rPr>
          <w:rFonts w:hint="eastAsia" w:ascii="宋体" w:hAnsi="宋体" w:cs="宋体"/>
          <w:sz w:val="21"/>
          <w:szCs w:val="21"/>
        </w:rPr>
        <w:t xml:space="preserve"> </w:t>
      </w:r>
    </w:p>
    <w:p>
      <w:pPr>
        <w:widowControl/>
        <w:jc w:val="left"/>
        <w:rPr>
          <w:rFonts w:hint="eastAsia" w:ascii="宋体" w:hAnsi="宋体" w:cs="宋体"/>
          <w:b/>
          <w:bCs/>
          <w:sz w:val="21"/>
          <w:szCs w:val="21"/>
        </w:rPr>
      </w:pPr>
    </w:p>
    <w:p>
      <w:pPr>
        <w:widowControl/>
        <w:jc w:val="left"/>
        <w:rPr>
          <w:rFonts w:hint="eastAsia" w:ascii="宋体" w:hAnsi="宋体" w:cs="宋体"/>
          <w:b/>
          <w:bCs/>
          <w:sz w:val="21"/>
          <w:szCs w:val="21"/>
        </w:rPr>
      </w:pPr>
    </w:p>
    <w:p>
      <w:pPr>
        <w:widowControl/>
        <w:jc w:val="left"/>
        <w:rPr>
          <w:rFonts w:hint="eastAsia" w:ascii="宋体" w:hAnsi="宋体" w:cs="宋体"/>
          <w:b/>
          <w:bCs/>
          <w:sz w:val="21"/>
          <w:szCs w:val="21"/>
        </w:rPr>
      </w:pPr>
    </w:p>
    <w:p>
      <w:pPr>
        <w:spacing w:line="400" w:lineRule="exact"/>
        <w:rPr>
          <w:rFonts w:hint="eastAsia" w:ascii="宋体" w:hAnsi="宋体" w:cs="宋体"/>
          <w:sz w:val="21"/>
          <w:szCs w:val="21"/>
        </w:rPr>
      </w:pPr>
      <w:r>
        <w:rPr>
          <w:rFonts w:hint="eastAsia" w:ascii="宋体" w:hAnsi="宋体" w:cs="宋体"/>
          <w:sz w:val="21"/>
          <w:szCs w:val="21"/>
        </w:rPr>
        <w:t xml:space="preserve"> </w:t>
      </w:r>
    </w:p>
    <w:p>
      <w:pPr>
        <w:widowControl/>
        <w:jc w:val="left"/>
        <w:rPr>
          <w:rFonts w:hint="eastAsia" w:ascii="宋体" w:hAnsi="宋体" w:cs="宋体"/>
          <w:b/>
          <w:bCs/>
          <w:sz w:val="21"/>
          <w:szCs w:val="21"/>
        </w:rPr>
      </w:pPr>
    </w:p>
    <w:p>
      <w:pPr>
        <w:widowControl/>
        <w:jc w:val="left"/>
        <w:rPr>
          <w:rFonts w:hint="eastAsia" w:ascii="宋体" w:hAnsi="宋体" w:cs="宋体"/>
          <w:b/>
          <w:bCs/>
          <w:sz w:val="21"/>
          <w:szCs w:val="21"/>
        </w:rPr>
      </w:pPr>
    </w:p>
    <w:p>
      <w:pPr>
        <w:widowControl/>
        <w:jc w:val="left"/>
        <w:rPr>
          <w:rFonts w:hint="eastAsia" w:ascii="宋体" w:hAnsi="宋体" w:cs="宋体"/>
          <w:b/>
          <w:bCs/>
          <w:sz w:val="21"/>
          <w:szCs w:val="21"/>
        </w:rPr>
      </w:pPr>
    </w:p>
    <w:p>
      <w:pPr>
        <w:widowControl/>
        <w:jc w:val="left"/>
        <w:rPr>
          <w:rFonts w:hint="eastAsia" w:ascii="宋体" w:hAnsi="宋体" w:cs="宋体"/>
          <w:b/>
          <w:bCs/>
          <w:sz w:val="21"/>
          <w:szCs w:val="21"/>
        </w:rPr>
      </w:pPr>
    </w:p>
    <w:p>
      <w:pPr>
        <w:widowControl/>
        <w:jc w:val="left"/>
        <w:rPr>
          <w:rFonts w:hint="eastAsia" w:ascii="宋体" w:hAnsi="宋体" w:cs="宋体"/>
          <w:b/>
          <w:bCs/>
          <w:sz w:val="21"/>
          <w:szCs w:val="21"/>
        </w:rPr>
        <w:sectPr>
          <w:pgSz w:w="11907" w:h="16840"/>
          <w:pgMar w:top="1134" w:right="1474" w:bottom="1134" w:left="1474" w:header="1134" w:footer="1134" w:gutter="0"/>
          <w:pgBorders w:offsetFrom="page">
            <w:top w:val="none" w:sz="0" w:space="0"/>
            <w:left w:val="none" w:sz="0" w:space="0"/>
            <w:bottom w:val="none" w:sz="0" w:space="0"/>
            <w:right w:val="none" w:sz="0" w:space="0"/>
          </w:pgBorders>
          <w:cols w:space="720" w:num="1"/>
          <w:docGrid w:type="lines" w:linePitch="286" w:charSpace="0"/>
        </w:sectPr>
      </w:pPr>
      <w:r>
        <w:rPr>
          <w:rFonts w:hint="eastAsia" w:ascii="宋体" w:hAnsi="宋体" w:cs="宋体"/>
          <w:b/>
          <w:bCs/>
          <w:sz w:val="21"/>
          <w:szCs w:val="21"/>
        </w:rPr>
        <w:t>注：从业人员、营业收入、资产总额填报上一年度政府综合统计部门年报数据，无上一年度数据的新成立企业可不填报。</w:t>
      </w:r>
    </w:p>
    <w:p>
      <w:pPr>
        <w:widowControl/>
        <w:jc w:val="center"/>
        <w:rPr>
          <w:rFonts w:hint="eastAsia" w:ascii="宋体" w:hAnsi="宋体" w:cs="宋体"/>
          <w:b/>
          <w:bCs/>
          <w:color w:val="1C1C1C"/>
          <w:sz w:val="21"/>
          <w:szCs w:val="21"/>
          <w:lang w:bidi="ar"/>
        </w:rPr>
      </w:pPr>
      <w:r>
        <w:rPr>
          <w:rFonts w:hint="eastAsia" w:ascii="宋体" w:hAnsi="宋体" w:cs="宋体"/>
          <w:b/>
          <w:bCs/>
          <w:sz w:val="21"/>
          <w:szCs w:val="21"/>
        </w:rPr>
        <w:t>统计上大中小微型企业划分办法（2017）</w:t>
      </w:r>
    </w:p>
    <w:tbl>
      <w:tblPr>
        <w:tblStyle w:val="28"/>
        <w:tblW w:w="9671" w:type="dxa"/>
        <w:tblInd w:w="-278"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0" w:type="dxa"/>
          <w:bottom w:w="0" w:type="dxa"/>
          <w:right w:w="0" w:type="dxa"/>
        </w:tblCellMar>
      </w:tblPr>
      <w:tblGrid>
        <w:gridCol w:w="1545"/>
        <w:gridCol w:w="1425"/>
        <w:gridCol w:w="939"/>
        <w:gridCol w:w="1292"/>
        <w:gridCol w:w="1800"/>
        <w:gridCol w:w="1620"/>
        <w:gridCol w:w="105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noWrap w:val="0"/>
            <w:tcMar>
              <w:left w:w="108" w:type="dxa"/>
              <w:right w:w="108" w:type="dxa"/>
            </w:tcMar>
            <w:vAlign w:val="center"/>
          </w:tcPr>
          <w:p>
            <w:pPr>
              <w:widowControl/>
              <w:jc w:val="center"/>
              <w:rPr>
                <w:rFonts w:hint="eastAsia" w:ascii="宋体" w:hAnsi="宋体" w:cs="宋体"/>
                <w:sz w:val="21"/>
                <w:szCs w:val="21"/>
              </w:rPr>
            </w:pPr>
            <w:r>
              <w:rPr>
                <w:rFonts w:hint="eastAsia" w:ascii="宋体" w:hAnsi="宋体" w:cs="宋体"/>
                <w:color w:val="1C1C1C"/>
                <w:sz w:val="21"/>
                <w:szCs w:val="21"/>
                <w:lang w:bidi="ar"/>
              </w:rPr>
              <w:t>行业名称</w:t>
            </w:r>
          </w:p>
        </w:tc>
        <w:tc>
          <w:tcPr>
            <w:tcW w:w="1425" w:type="dxa"/>
            <w:noWrap w:val="0"/>
            <w:tcMar>
              <w:left w:w="108" w:type="dxa"/>
              <w:right w:w="108" w:type="dxa"/>
            </w:tcMar>
            <w:vAlign w:val="center"/>
          </w:tcPr>
          <w:p>
            <w:pPr>
              <w:widowControl/>
              <w:jc w:val="center"/>
              <w:rPr>
                <w:rFonts w:hint="eastAsia" w:ascii="宋体" w:hAnsi="宋体" w:cs="宋体"/>
                <w:sz w:val="21"/>
                <w:szCs w:val="21"/>
              </w:rPr>
            </w:pPr>
            <w:r>
              <w:rPr>
                <w:rFonts w:hint="eastAsia" w:ascii="宋体" w:hAnsi="宋体" w:cs="宋体"/>
                <w:color w:val="1C1C1C"/>
                <w:sz w:val="21"/>
                <w:szCs w:val="21"/>
                <w:lang w:bidi="ar"/>
              </w:rPr>
              <w:t>指标名称</w:t>
            </w:r>
          </w:p>
        </w:tc>
        <w:tc>
          <w:tcPr>
            <w:tcW w:w="939" w:type="dxa"/>
            <w:noWrap w:val="0"/>
            <w:tcMar>
              <w:left w:w="108" w:type="dxa"/>
              <w:right w:w="108" w:type="dxa"/>
            </w:tcMar>
            <w:vAlign w:val="center"/>
          </w:tcPr>
          <w:p>
            <w:pPr>
              <w:widowControl/>
              <w:jc w:val="center"/>
              <w:rPr>
                <w:rFonts w:hint="eastAsia" w:ascii="宋体" w:hAnsi="宋体" w:cs="宋体"/>
                <w:sz w:val="21"/>
                <w:szCs w:val="21"/>
              </w:rPr>
            </w:pPr>
            <w:r>
              <w:rPr>
                <w:rFonts w:hint="eastAsia" w:ascii="宋体" w:hAnsi="宋体" w:cs="宋体"/>
                <w:color w:val="1C1C1C"/>
                <w:sz w:val="21"/>
                <w:szCs w:val="21"/>
                <w:lang w:bidi="ar"/>
              </w:rPr>
              <w:t>计量</w:t>
            </w:r>
            <w:r>
              <w:rPr>
                <w:rFonts w:hint="eastAsia" w:ascii="宋体" w:hAnsi="宋体" w:cs="宋体"/>
                <w:color w:val="1C1C1C"/>
                <w:sz w:val="21"/>
                <w:szCs w:val="21"/>
                <w:lang w:bidi="ar"/>
              </w:rPr>
              <w:br w:type="textWrapping"/>
            </w:r>
            <w:r>
              <w:rPr>
                <w:rFonts w:hint="eastAsia" w:ascii="宋体" w:hAnsi="宋体" w:cs="宋体"/>
                <w:color w:val="1C1C1C"/>
                <w:sz w:val="21"/>
                <w:szCs w:val="21"/>
                <w:lang w:bidi="ar"/>
              </w:rPr>
              <w:t>单位</w:t>
            </w:r>
          </w:p>
        </w:tc>
        <w:tc>
          <w:tcPr>
            <w:tcW w:w="1292" w:type="dxa"/>
            <w:noWrap w:val="0"/>
            <w:tcMar>
              <w:left w:w="108" w:type="dxa"/>
              <w:right w:w="108" w:type="dxa"/>
            </w:tcMar>
            <w:vAlign w:val="center"/>
          </w:tcPr>
          <w:p>
            <w:pPr>
              <w:widowControl/>
              <w:jc w:val="center"/>
              <w:rPr>
                <w:rFonts w:hint="eastAsia" w:ascii="宋体" w:hAnsi="宋体" w:cs="宋体"/>
                <w:sz w:val="21"/>
                <w:szCs w:val="21"/>
              </w:rPr>
            </w:pPr>
            <w:r>
              <w:rPr>
                <w:rFonts w:hint="eastAsia" w:ascii="宋体" w:hAnsi="宋体" w:cs="宋体"/>
                <w:color w:val="1C1C1C"/>
                <w:sz w:val="21"/>
                <w:szCs w:val="21"/>
                <w:lang w:bidi="ar"/>
              </w:rPr>
              <w:t>大型</w:t>
            </w:r>
          </w:p>
        </w:tc>
        <w:tc>
          <w:tcPr>
            <w:tcW w:w="1800" w:type="dxa"/>
            <w:noWrap w:val="0"/>
            <w:tcMar>
              <w:left w:w="108" w:type="dxa"/>
              <w:right w:w="108" w:type="dxa"/>
            </w:tcMar>
            <w:vAlign w:val="center"/>
          </w:tcPr>
          <w:p>
            <w:pPr>
              <w:widowControl/>
              <w:jc w:val="center"/>
              <w:rPr>
                <w:rFonts w:hint="eastAsia" w:ascii="宋体" w:hAnsi="宋体" w:cs="宋体"/>
                <w:sz w:val="21"/>
                <w:szCs w:val="21"/>
              </w:rPr>
            </w:pPr>
            <w:r>
              <w:rPr>
                <w:rFonts w:hint="eastAsia" w:ascii="宋体" w:hAnsi="宋体" w:cs="宋体"/>
                <w:color w:val="1C1C1C"/>
                <w:sz w:val="21"/>
                <w:szCs w:val="21"/>
                <w:lang w:bidi="ar"/>
              </w:rPr>
              <w:t>中型</w:t>
            </w:r>
          </w:p>
        </w:tc>
        <w:tc>
          <w:tcPr>
            <w:tcW w:w="1620" w:type="dxa"/>
            <w:noWrap w:val="0"/>
            <w:tcMar>
              <w:left w:w="108" w:type="dxa"/>
              <w:right w:w="108" w:type="dxa"/>
            </w:tcMar>
            <w:vAlign w:val="center"/>
          </w:tcPr>
          <w:p>
            <w:pPr>
              <w:widowControl/>
              <w:jc w:val="center"/>
              <w:rPr>
                <w:rFonts w:hint="eastAsia" w:ascii="宋体" w:hAnsi="宋体" w:cs="宋体"/>
                <w:sz w:val="21"/>
                <w:szCs w:val="21"/>
              </w:rPr>
            </w:pPr>
            <w:r>
              <w:rPr>
                <w:rFonts w:hint="eastAsia" w:ascii="宋体" w:hAnsi="宋体" w:cs="宋体"/>
                <w:color w:val="1C1C1C"/>
                <w:sz w:val="21"/>
                <w:szCs w:val="21"/>
                <w:lang w:bidi="ar"/>
              </w:rPr>
              <w:t>小型</w:t>
            </w:r>
          </w:p>
        </w:tc>
        <w:tc>
          <w:tcPr>
            <w:tcW w:w="1050" w:type="dxa"/>
            <w:noWrap w:val="0"/>
            <w:tcMar>
              <w:left w:w="108" w:type="dxa"/>
              <w:right w:w="108" w:type="dxa"/>
            </w:tcMar>
            <w:vAlign w:val="center"/>
          </w:tcPr>
          <w:p>
            <w:pPr>
              <w:widowControl/>
              <w:jc w:val="center"/>
              <w:rPr>
                <w:rFonts w:hint="eastAsia" w:ascii="宋体" w:hAnsi="宋体" w:cs="宋体"/>
                <w:sz w:val="21"/>
                <w:szCs w:val="21"/>
              </w:rPr>
            </w:pPr>
            <w:r>
              <w:rPr>
                <w:rFonts w:hint="eastAsia" w:ascii="宋体" w:hAnsi="宋体" w:cs="宋体"/>
                <w:color w:val="1C1C1C"/>
                <w:sz w:val="21"/>
                <w:szCs w:val="21"/>
                <w:lang w:bidi="ar"/>
              </w:rPr>
              <w:t>微型</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农、林、牧、渔业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Y≥20000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500≤Y＜20000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50≤Y＜500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Y＜50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工业 *</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300≤X＜1000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20≤X＜300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X＜20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Y≥40000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2000≤Y＜40000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300≤Y＜2000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Y＜300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建筑业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Y≥80000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6000≤Y＜80000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300≤Y＜6000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Y＜300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资产总额(Z)</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Z≥80000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5000≤Z＜80000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300≤Z＜5000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Z＜300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批发业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X≥200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20≤X＜200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5≤X＜20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Y≥40000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5000≤Y＜40000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1000≤Y＜5000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零售业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X≥300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50≤X＜300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10≤X＜50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Y≥20000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500≤Y＜20000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100≤Y＜500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交通运输业 *</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300≤X＜1000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20≤X＜300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X＜20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Y≥30000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3000≤Y＜30000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200≤Y＜3000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Y＜200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仓储业*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X≥200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100≤X＜200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20≤X＜100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X＜20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Y≥30000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1000≤Y＜30000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100≤Y＜1000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邮政业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300≤X＜1000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20≤X＜300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X＜20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Y≥30000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2000≤Y＜30000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100≤Y＜2000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住宿业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X≥300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100≤X＜300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10≤X＜100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2000≤Y＜10000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100≤Y＜2000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餐饮业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X≥300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100≤X＜300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10≤X＜100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2000≤Y＜10000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100≤Y＜2000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信息传输业 *</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X≥2000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100≤X＜2000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10≤X＜100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1000≤Y＜100000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100≤Y＜1000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软件和信息技术服务业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X≥300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100≤X＜300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10≤X＜100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1000≤Y＜10000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50≤Y＜1000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Y＜50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房地产开发经营</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Y≥200000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1000≤Y＜200000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100≤Y＜1000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资产总额(Z)</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Z≥10000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5000≤Z＜10000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2000≤Z＜5000  </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Z＜2000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物业管理</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300≤X＜1000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100≤X＜300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营业收入(Y)</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Y≥5000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1000≤Y＜5000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500≤Y＜1000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Y＜500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restart"/>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租赁和商务服务业</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X≥300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100≤X＜300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10≤X＜100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vMerge w:val="continue"/>
            <w:noWrap w:val="0"/>
            <w:tcMar>
              <w:left w:w="108" w:type="dxa"/>
              <w:right w:w="108" w:type="dxa"/>
            </w:tcMar>
            <w:vAlign w:val="center"/>
          </w:tcPr>
          <w:p>
            <w:pPr>
              <w:rPr>
                <w:rFonts w:hint="eastAsia" w:ascii="宋体" w:hAnsi="宋体" w:cs="宋体"/>
                <w:color w:val="1C1C1C"/>
                <w:sz w:val="21"/>
                <w:szCs w:val="21"/>
              </w:rPr>
            </w:pP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资产总额(Z)</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万元</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Z≥120000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8000≤Z＜120000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100≤Z＜8000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Z＜100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97" w:hRule="atLeast"/>
        </w:trPr>
        <w:tc>
          <w:tcPr>
            <w:tcW w:w="154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其他未列明行业 *</w:t>
            </w:r>
          </w:p>
        </w:tc>
        <w:tc>
          <w:tcPr>
            <w:tcW w:w="1425"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从业人员(X)</w:t>
            </w:r>
          </w:p>
        </w:tc>
        <w:tc>
          <w:tcPr>
            <w:tcW w:w="939"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人</w:t>
            </w:r>
          </w:p>
        </w:tc>
        <w:tc>
          <w:tcPr>
            <w:tcW w:w="1292"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X≥300</w:t>
            </w:r>
          </w:p>
        </w:tc>
        <w:tc>
          <w:tcPr>
            <w:tcW w:w="180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100≤X＜300</w:t>
            </w:r>
          </w:p>
        </w:tc>
        <w:tc>
          <w:tcPr>
            <w:tcW w:w="162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10≤X＜100</w:t>
            </w:r>
          </w:p>
        </w:tc>
        <w:tc>
          <w:tcPr>
            <w:tcW w:w="1050" w:type="dxa"/>
            <w:noWrap w:val="0"/>
            <w:tcMar>
              <w:left w:w="108" w:type="dxa"/>
              <w:right w:w="108" w:type="dxa"/>
            </w:tcMar>
            <w:vAlign w:val="center"/>
          </w:tcPr>
          <w:p>
            <w:pPr>
              <w:widowControl/>
              <w:jc w:val="left"/>
              <w:rPr>
                <w:rFonts w:hint="eastAsia" w:ascii="宋体" w:hAnsi="宋体" w:cs="宋体"/>
                <w:sz w:val="21"/>
                <w:szCs w:val="21"/>
              </w:rPr>
            </w:pPr>
            <w:r>
              <w:rPr>
                <w:rFonts w:hint="eastAsia" w:ascii="宋体" w:hAnsi="宋体" w:cs="宋体"/>
                <w:color w:val="1C1C1C"/>
                <w:sz w:val="21"/>
                <w:szCs w:val="21"/>
                <w:lang w:bidi="ar"/>
              </w:rPr>
              <w:t>X＜10</w:t>
            </w:r>
          </w:p>
        </w:tc>
      </w:tr>
    </w:tbl>
    <w:p>
      <w:pPr>
        <w:widowControl/>
        <w:jc w:val="left"/>
        <w:rPr>
          <w:rFonts w:hint="eastAsia" w:ascii="宋体" w:hAnsi="宋体" w:cs="宋体"/>
          <w:color w:val="1C1C1C"/>
          <w:sz w:val="21"/>
          <w:szCs w:val="21"/>
          <w:lang w:bidi="ar"/>
        </w:rPr>
      </w:pPr>
    </w:p>
    <w:p>
      <w:pPr>
        <w:widowControl/>
        <w:jc w:val="left"/>
        <w:rPr>
          <w:rFonts w:hint="eastAsia" w:ascii="宋体" w:hAnsi="宋体" w:cs="宋体"/>
          <w:color w:val="1C1C1C"/>
          <w:sz w:val="21"/>
          <w:szCs w:val="21"/>
          <w:lang w:bidi="ar"/>
        </w:rPr>
      </w:pPr>
    </w:p>
    <w:p>
      <w:pPr>
        <w:widowControl/>
        <w:jc w:val="left"/>
        <w:rPr>
          <w:rFonts w:hint="eastAsia" w:ascii="宋体" w:hAnsi="宋体" w:cs="宋体"/>
          <w:color w:val="1C1C1C"/>
          <w:sz w:val="21"/>
          <w:szCs w:val="21"/>
          <w:lang w:bidi="ar"/>
        </w:rPr>
      </w:pPr>
    </w:p>
    <w:p>
      <w:pPr>
        <w:widowControl/>
        <w:jc w:val="left"/>
        <w:rPr>
          <w:rFonts w:hint="eastAsia" w:ascii="宋体" w:hAnsi="宋体" w:cs="宋体"/>
          <w:color w:val="1C1C1C"/>
          <w:sz w:val="21"/>
          <w:szCs w:val="21"/>
        </w:rPr>
      </w:pPr>
      <w:r>
        <w:rPr>
          <w:rFonts w:hint="eastAsia" w:ascii="宋体" w:hAnsi="宋体" w:cs="宋体"/>
          <w:color w:val="1C1C1C"/>
          <w:sz w:val="21"/>
          <w:szCs w:val="21"/>
          <w:lang w:bidi="ar"/>
        </w:rPr>
        <w:t>说明：</w:t>
      </w:r>
    </w:p>
    <w:p>
      <w:pPr>
        <w:widowControl/>
        <w:jc w:val="left"/>
        <w:rPr>
          <w:rFonts w:hint="eastAsia" w:ascii="宋体" w:hAnsi="宋体" w:cs="宋体"/>
          <w:color w:val="1C1C1C"/>
          <w:sz w:val="21"/>
          <w:szCs w:val="21"/>
        </w:rPr>
      </w:pPr>
      <w:r>
        <w:rPr>
          <w:rFonts w:hint="eastAsia" w:ascii="宋体" w:hAnsi="宋体" w:cs="宋体"/>
          <w:color w:val="1C1C1C"/>
          <w:sz w:val="21"/>
          <w:szCs w:val="21"/>
          <w:lang w:bidi="ar"/>
        </w:rPr>
        <w:t>　　1.大型、中型和小型企业须同时满足所列指标的下限，否则下划一档；微型企业只须满足所列指标中的一项即可。</w:t>
      </w:r>
    </w:p>
    <w:p>
      <w:pPr>
        <w:widowControl/>
        <w:jc w:val="left"/>
        <w:rPr>
          <w:rFonts w:hint="eastAsia" w:ascii="宋体" w:hAnsi="宋体" w:cs="宋体"/>
          <w:color w:val="1C1C1C"/>
          <w:sz w:val="21"/>
          <w:szCs w:val="21"/>
        </w:rPr>
      </w:pPr>
      <w:r>
        <w:rPr>
          <w:rFonts w:hint="eastAsia" w:ascii="宋体" w:hAnsi="宋体" w:cs="宋体"/>
          <w:color w:val="1C1C1C"/>
          <w:sz w:val="21"/>
          <w:szCs w:val="21"/>
          <w:lang w:bidi="ar"/>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spacing w:line="440" w:lineRule="exact"/>
        <w:jc w:val="both"/>
        <w:outlineLvl w:val="0"/>
        <w:rPr>
          <w:rFonts w:hint="eastAsia" w:ascii="宋体" w:hAnsi="宋体" w:eastAsia="宋体" w:cs="宋体"/>
          <w:b/>
          <w:bCs/>
          <w:sz w:val="21"/>
          <w:szCs w:val="21"/>
        </w:rPr>
      </w:pPr>
      <w:r>
        <w:rPr>
          <w:rFonts w:hint="eastAsia" w:ascii="宋体" w:hAnsi="宋体" w:cs="宋体"/>
          <w:color w:val="1C1C1C"/>
          <w:sz w:val="21"/>
          <w:szCs w:val="21"/>
          <w:lang w:bidi="ar"/>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p>
    <w:p>
      <w:pPr>
        <w:spacing w:line="440" w:lineRule="exact"/>
        <w:jc w:val="center"/>
        <w:outlineLvl w:val="0"/>
        <w:rPr>
          <w:rFonts w:hint="eastAsia" w:ascii="宋体" w:hAnsi="宋体" w:eastAsia="宋体" w:cs="宋体"/>
          <w:b/>
          <w:bCs/>
          <w:sz w:val="21"/>
          <w:szCs w:val="21"/>
        </w:rPr>
      </w:pPr>
      <w:r>
        <w:rPr>
          <w:rFonts w:hint="eastAsia" w:ascii="宋体" w:hAnsi="宋体" w:eastAsia="宋体" w:cs="宋体"/>
          <w:b/>
          <w:bCs/>
          <w:sz w:val="21"/>
          <w:szCs w:val="21"/>
        </w:rPr>
        <w:t>残疾人福利性单位声明函（如有需提供）</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本单位对上述声明的真实性负责。如有虚假，将依法承担相应责任。</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单位名称（盖章）：</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日  期：</w:t>
      </w:r>
    </w:p>
    <w:p>
      <w:pPr>
        <w:spacing w:line="440" w:lineRule="exact"/>
        <w:rPr>
          <w:rFonts w:hint="eastAsia" w:ascii="宋体" w:hAnsi="宋体" w:eastAsia="宋体" w:cs="宋体"/>
          <w:sz w:val="21"/>
          <w:szCs w:val="21"/>
        </w:rPr>
      </w:pP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 </w:t>
      </w:r>
    </w:p>
    <w:p>
      <w:pPr>
        <w:spacing w:line="588" w:lineRule="exact"/>
        <w:ind w:right="1560" w:firstLine="420" w:firstLineChars="200"/>
        <w:jc w:val="center"/>
        <w:rPr>
          <w:rFonts w:hint="eastAsia" w:ascii="宋体" w:hAnsi="宋体" w:eastAsia="宋体" w:cs="宋体"/>
          <w:sz w:val="21"/>
          <w:szCs w:val="21"/>
        </w:rPr>
      </w:pPr>
      <w:r>
        <w:rPr>
          <w:rFonts w:hint="eastAsia" w:ascii="宋体" w:hAnsi="宋体" w:eastAsia="宋体" w:cs="宋体"/>
          <w:sz w:val="21"/>
          <w:szCs w:val="21"/>
        </w:rPr>
        <w:t xml:space="preserve"> </w:t>
      </w:r>
    </w:p>
    <w:p>
      <w:pPr>
        <w:spacing w:line="588" w:lineRule="exact"/>
        <w:ind w:right="1560" w:firstLine="420" w:firstLineChars="200"/>
        <w:jc w:val="center"/>
        <w:rPr>
          <w:rFonts w:hint="eastAsia" w:ascii="宋体" w:hAnsi="宋体" w:eastAsia="宋体" w:cs="宋体"/>
          <w:sz w:val="21"/>
          <w:szCs w:val="21"/>
        </w:rPr>
      </w:pPr>
      <w:r>
        <w:rPr>
          <w:rFonts w:hint="eastAsia" w:ascii="宋体" w:hAnsi="宋体" w:eastAsia="宋体" w:cs="宋体"/>
          <w:sz w:val="21"/>
          <w:szCs w:val="21"/>
        </w:rPr>
        <w:t xml:space="preserve"> </w:t>
      </w:r>
    </w:p>
    <w:p>
      <w:pPr>
        <w:spacing w:line="588" w:lineRule="exact"/>
        <w:ind w:right="1560" w:firstLine="420" w:firstLineChars="200"/>
        <w:jc w:val="center"/>
        <w:rPr>
          <w:rFonts w:hint="eastAsia" w:ascii="宋体" w:hAnsi="宋体" w:eastAsia="宋体" w:cs="宋体"/>
          <w:sz w:val="21"/>
          <w:szCs w:val="21"/>
        </w:rPr>
      </w:pPr>
      <w:r>
        <w:rPr>
          <w:rFonts w:hint="eastAsia" w:ascii="宋体" w:hAnsi="宋体" w:eastAsia="宋体" w:cs="宋体"/>
          <w:sz w:val="21"/>
          <w:szCs w:val="21"/>
        </w:rPr>
        <w:t xml:space="preserve"> </w:t>
      </w:r>
    </w:p>
    <w:p>
      <w:pPr>
        <w:spacing w:line="588" w:lineRule="exact"/>
        <w:ind w:right="1560" w:firstLine="420" w:firstLineChars="200"/>
        <w:jc w:val="center"/>
        <w:rPr>
          <w:rFonts w:hint="eastAsia" w:ascii="宋体" w:hAnsi="宋体" w:eastAsia="宋体" w:cs="宋体"/>
          <w:sz w:val="21"/>
          <w:szCs w:val="21"/>
        </w:rPr>
      </w:pPr>
      <w:r>
        <w:rPr>
          <w:rFonts w:hint="eastAsia" w:ascii="宋体" w:hAnsi="宋体" w:eastAsia="宋体" w:cs="宋体"/>
          <w:sz w:val="21"/>
          <w:szCs w:val="21"/>
        </w:rPr>
        <w:t xml:space="preserve"> </w:t>
      </w:r>
    </w:p>
    <w:p>
      <w:pPr>
        <w:spacing w:line="588" w:lineRule="exact"/>
        <w:ind w:right="1560" w:firstLine="420" w:firstLineChars="200"/>
        <w:jc w:val="center"/>
        <w:rPr>
          <w:rFonts w:hint="eastAsia" w:ascii="宋体" w:hAnsi="宋体" w:eastAsia="宋体" w:cs="宋体"/>
          <w:sz w:val="21"/>
          <w:szCs w:val="21"/>
        </w:rPr>
      </w:pPr>
      <w:r>
        <w:rPr>
          <w:rFonts w:hint="eastAsia" w:ascii="宋体" w:hAnsi="宋体" w:eastAsia="宋体" w:cs="宋体"/>
          <w:sz w:val="21"/>
          <w:szCs w:val="21"/>
        </w:rPr>
        <w:t xml:space="preserve"> </w:t>
      </w:r>
    </w:p>
    <w:p>
      <w:pPr>
        <w:spacing w:line="588" w:lineRule="exact"/>
        <w:ind w:right="1560" w:firstLine="420" w:firstLineChars="200"/>
        <w:jc w:val="center"/>
        <w:rPr>
          <w:rFonts w:hint="eastAsia" w:ascii="宋体" w:hAnsi="宋体" w:eastAsia="宋体" w:cs="宋体"/>
          <w:sz w:val="21"/>
          <w:szCs w:val="21"/>
        </w:rPr>
      </w:pPr>
      <w:r>
        <w:rPr>
          <w:rFonts w:hint="eastAsia" w:ascii="宋体" w:hAnsi="宋体" w:eastAsia="宋体" w:cs="宋体"/>
          <w:sz w:val="21"/>
          <w:szCs w:val="21"/>
        </w:rPr>
        <w:t xml:space="preserve"> </w:t>
      </w:r>
    </w:p>
    <w:p>
      <w:pPr>
        <w:spacing w:line="588" w:lineRule="exact"/>
        <w:ind w:right="1560" w:firstLine="420" w:firstLineChars="200"/>
        <w:jc w:val="center"/>
        <w:rPr>
          <w:rFonts w:hint="eastAsia" w:ascii="宋体" w:hAnsi="宋体" w:eastAsia="宋体" w:cs="宋体"/>
          <w:sz w:val="21"/>
          <w:szCs w:val="21"/>
        </w:rPr>
      </w:pPr>
      <w:r>
        <w:rPr>
          <w:rFonts w:hint="eastAsia" w:ascii="宋体" w:hAnsi="宋体" w:eastAsia="宋体" w:cs="宋体"/>
          <w:sz w:val="21"/>
          <w:szCs w:val="21"/>
        </w:rPr>
        <w:t xml:space="preserve"> </w:t>
      </w:r>
    </w:p>
    <w:p>
      <w:pPr>
        <w:spacing w:line="588" w:lineRule="exact"/>
        <w:ind w:right="1560" w:firstLine="420" w:firstLineChars="200"/>
        <w:jc w:val="center"/>
        <w:rPr>
          <w:rFonts w:hint="eastAsia" w:ascii="宋体" w:hAnsi="宋体" w:eastAsia="宋体" w:cs="宋体"/>
          <w:b/>
          <w:sz w:val="21"/>
          <w:szCs w:val="21"/>
        </w:rPr>
      </w:pPr>
      <w:r>
        <w:rPr>
          <w:rFonts w:hint="eastAsia" w:ascii="宋体" w:hAnsi="宋体" w:eastAsia="宋体" w:cs="宋体"/>
          <w:sz w:val="21"/>
          <w:szCs w:val="21"/>
        </w:rPr>
        <w:t xml:space="preserve"> </w:t>
      </w:r>
    </w:p>
    <w:sectPr>
      <w:headerReference r:id="rId16" w:type="default"/>
      <w:pgSz w:w="11906" w:h="16838"/>
      <w:pgMar w:top="1134" w:right="1800" w:bottom="1134" w:left="1800" w:header="851" w:footer="992" w:gutter="0"/>
      <w:pgBorders w:offsetFrom="page">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4"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hdO8oBAACcAwAADgAAAGRycy9lMm9Eb2MueG1srVPNjtMwEL4j8Q6W&#10;79RpWaE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e4CTc3lDhuceSX798uP35dfn4l&#10;y5dZoT5AjYn3AVPT8MYPmD37AZ2Z+KCizV+kRDCO+p6v+sohEZEfrVfrdYUhgbH5gvjs4XmIkN5K&#10;b0k2GhpxgEVXfnoPaUydU3I15++0MWWIxv3lQMzsYbn3scdspWE/TIT2vj0jnx5n31CHq06JeedQ&#10;2rwmsxFnYz8bxxD1oSt7lOtBeH1M2ETpLVcYYafCOLTCblqwvBV/3kvWw0+1/Q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4+hdO8oBAACcAwAADgAAAAAAAAABACAAAAAeAQAAZHJzL2Uyb0Rv&#10;Yy54bWxQSwUGAAAAAAYABgBZAQAAWgUAAAAA&#10;">
              <v:fill on="f" focussize="0,0"/>
              <v:stroke on="f"/>
              <v:imagedata o:title=""/>
              <o:lock v:ext="edit" aspectratio="f"/>
              <v:textbox inset="0mm,0mm,0mm,0mm" style="mso-fit-shape-to-text:t;">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center" w:y="1"/>
      <w:tabs>
        <w:tab w:val="center" w:pos="4153"/>
        <w:tab w:val="right" w:pos="8306"/>
      </w:tabs>
      <w:rPr>
        <w:rStyle w:val="32"/>
      </w:rPr>
    </w:pPr>
    <w:r>
      <w:fldChar w:fldCharType="begin"/>
    </w:r>
    <w:r>
      <w:rPr>
        <w:rStyle w:val="32"/>
      </w:rPr>
      <w:instrText xml:space="preserve">PAGE  </w:instrText>
    </w:r>
    <w:r>
      <w:fldChar w:fldCharType="end"/>
    </w:r>
  </w:p>
  <w:p>
    <w:pPr>
      <w:pStyle w:val="17"/>
      <w:tabs>
        <w:tab w:val="center" w:pos="4153"/>
        <w:tab w:val="right" w:pos="8306"/>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5"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wrap="none" lIns="0" tIns="0" rIns="0" bIns="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TRVzscoBAACcAwAADgAAAAAAAAABACAAAAAeAQAAZHJzL2Uyb0Rv&#10;Yy54bWxQSwUGAAAAAAYABgBZAQAAWgUAAAAA&#10;">
              <v:fill on="f" focussize="0,0"/>
              <v:stroke on="f"/>
              <v:imagedata o:title=""/>
              <o:lock v:ext="edit" aspectratio="f"/>
              <v:textbox inset="0mm,0mm,0mm,0mm" style="mso-fit-shape-to-text:t;">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31445"/>
              <wp:effectExtent l="0" t="0" r="0" b="0"/>
              <wp:wrapNone/>
              <wp:docPr id="143" name="文本框 1025"/>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76</w:t>
                          </w:r>
                          <w:r>
                            <w:rPr>
                              <w:rFonts w:hint="eastAsia"/>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0.35pt;width:9.05pt;mso-position-horizontal:center;mso-position-horizontal-relative:margin;mso-wrap-style:none;z-index:251661312;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BD5X5J0AAAAAMBAAAPAAAAAAAAAAEAIAAAACIAAABkcnMv&#10;ZG93bnJldi54bWxQSwECFAAUAAAACACHTuJArjPUAdIBAACcAwAADgAAAAAAAAABACAAAAAfAQAA&#10;ZHJzL2Uyb0RvYy54bWxQSwUGAAAAAAYABgBZAQAAYwUAAAAA&#10;">
              <v:fill on="f" focussize="0,0"/>
              <v:stroke on="f"/>
              <v:imagedata o:title=""/>
              <o:lock v:ext="edit" aspectratio="f"/>
              <v:textbox inset="0mm,0mm,0mm,0mm" style="mso-fit-shape-to-text:t;">
                <w:txbxContent>
                  <w:p>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76</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tabs>
        <w:tab w:val="center" w:pos="4153"/>
        <w:tab w:val="right"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153"/>
        <w:tab w:val="right" w:pos="8306"/>
      </w:tabs>
    </w:pPr>
    <w:r>
      <w:pict>
        <v:shape id="PowerPlusWaterMarkObject3306098" o:spid="_x0000_s2060" o:spt="136" type="#_x0000_t136" style="position:absolute;left:0pt;height:90.2pt;width:541.35pt;mso-position-horizontal:center;mso-position-horizontal-relative:margin;mso-position-vertical:center;mso-position-vertical-relative:margin;rotation:20643840f;z-index:-251656192;mso-width-relative:page;mso-height-relative:page;" fillcolor="#C0C0C0" filled="t" stroked="f" coordsize="21600,21600" o:allowincell="f">
          <v:path/>
          <v:fill on="t" focussize="0,0"/>
          <v:stroke on="f"/>
          <v:imagedata o:title=""/>
          <o:lock v:ext="edit"/>
          <v:textpath on="t" fitshape="t" fitpath="t" trim="t" xscale="f" string="象山城投集团" style="font-family:宋体;font-size:8pt;v-same-letter-heights:f;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153"/>
        <w:tab w:val="right" w:pos="8306"/>
      </w:tabs>
    </w:pPr>
    <w:r>
      <w:pict>
        <v:shape id="PowerPlusWaterMarkObject3306097" o:spid="_x0000_s2059" o:spt="136" type="#_x0000_t136" style="position:absolute;left:0pt;height:90.2pt;width:541.35pt;mso-position-horizontal:center;mso-position-horizontal-relative:margin;mso-position-vertical:center;mso-position-vertical-relative:margin;rotation:20643840f;z-index:-251657216;mso-width-relative:page;mso-height-relative:page;" fillcolor="#C0C0C0" filled="t" stroked="f" coordsize="21600,21600" o:allowincell="f">
          <v:path/>
          <v:fill on="t" focussize="0,0"/>
          <v:stroke on="f"/>
          <v:imagedata o:title=""/>
          <o:lock v:ext="edit"/>
          <v:textpath on="t" fitshape="t" fitpath="t" trim="t" xscale="f" string="象山城投集团" style="font-family:宋体;font-size:8pt;v-same-letter-heights:f;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none" w:color="auto" w:sz="0" w:space="0"/>
      </w:pBdr>
      <w:tabs>
        <w:tab w:val="center" w:pos="4153"/>
        <w:tab w:val="right" w:pos="8306"/>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6A41A1"/>
    <w:multiLevelType w:val="singleLevel"/>
    <w:tmpl w:val="816A41A1"/>
    <w:lvl w:ilvl="0" w:tentative="0">
      <w:start w:val="1"/>
      <w:numFmt w:val="decimal"/>
      <w:suff w:val="nothing"/>
      <w:lvlText w:val="%1、"/>
      <w:lvlJc w:val="left"/>
      <w:pPr>
        <w:tabs>
          <w:tab w:val="left" w:pos="0"/>
        </w:tabs>
        <w:ind w:left="0" w:firstLine="400"/>
      </w:pPr>
      <w:rPr>
        <w:rFonts w:hint="default" w:ascii="Arial" w:hAnsi="Arial"/>
      </w:rPr>
    </w:lvl>
  </w:abstractNum>
  <w:abstractNum w:abstractNumId="1">
    <w:nsid w:val="0000000F"/>
    <w:multiLevelType w:val="multilevel"/>
    <w:tmpl w:val="0000000F"/>
    <w:lvl w:ilvl="0" w:tentative="0">
      <w:start w:val="1"/>
      <w:numFmt w:val="decimal"/>
      <w:suff w:val="nothing"/>
      <w:lvlText w:val="%1、"/>
      <w:lvlJc w:val="left"/>
      <w:pPr>
        <w:ind w:left="0" w:firstLine="400"/>
      </w:pPr>
      <w:rPr>
        <w:rFonts w:hint="default"/>
      </w:r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2">
    <w:nsid w:val="00000063"/>
    <w:multiLevelType w:val="singleLevel"/>
    <w:tmpl w:val="00000063"/>
    <w:lvl w:ilvl="0" w:tentative="0">
      <w:start w:val="1"/>
      <w:numFmt w:val="decimal"/>
      <w:suff w:val="nothing"/>
      <w:lvlText w:val="（%1）"/>
      <w:lvlJc w:val="left"/>
      <w:pPr>
        <w:ind w:left="0" w:firstLine="400"/>
      </w:pPr>
      <w:rPr>
        <w:rFonts w:hint="default"/>
      </w:rPr>
    </w:lvl>
  </w:abstractNum>
  <w:abstractNum w:abstractNumId="3">
    <w:nsid w:val="0D9ADF5C"/>
    <w:multiLevelType w:val="singleLevel"/>
    <w:tmpl w:val="0D9ADF5C"/>
    <w:lvl w:ilvl="0" w:tentative="0">
      <w:start w:val="1"/>
      <w:numFmt w:val="decimal"/>
      <w:suff w:val="nothing"/>
      <w:lvlText w:val="%1、"/>
      <w:lvlJc w:val="left"/>
      <w:pPr>
        <w:tabs>
          <w:tab w:val="left" w:pos="0"/>
        </w:tabs>
        <w:ind w:left="0" w:firstLine="400"/>
      </w:pPr>
      <w:rPr>
        <w:rFonts w:hint="default" w:ascii="Arial" w:hAnsi="Arial"/>
      </w:rPr>
    </w:lvl>
  </w:abstractNum>
  <w:abstractNum w:abstractNumId="4">
    <w:nsid w:val="29D120CC"/>
    <w:multiLevelType w:val="singleLevel"/>
    <w:tmpl w:val="29D120CC"/>
    <w:lvl w:ilvl="0" w:tentative="0">
      <w:start w:val="1"/>
      <w:numFmt w:val="decimal"/>
      <w:suff w:val="nothing"/>
      <w:lvlText w:val="（%1）"/>
      <w:lvlJc w:val="left"/>
    </w:lvl>
  </w:abstractNum>
  <w:abstractNum w:abstractNumId="5">
    <w:nsid w:val="4AB0007C"/>
    <w:multiLevelType w:val="multilevel"/>
    <w:tmpl w:val="4AB0007C"/>
    <w:lvl w:ilvl="0" w:tentative="0">
      <w:start w:val="4"/>
      <w:numFmt w:val="chineseCounting"/>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5950E9B0"/>
    <w:multiLevelType w:val="singleLevel"/>
    <w:tmpl w:val="5950E9B0"/>
    <w:lvl w:ilvl="0" w:tentative="0">
      <w:start w:val="2"/>
      <w:numFmt w:val="decimal"/>
      <w:suff w:val="nothing"/>
      <w:lvlText w:val="%1、"/>
      <w:lvlJc w:val="left"/>
    </w:lvl>
  </w:abstractNum>
  <w:abstractNum w:abstractNumId="7">
    <w:nsid w:val="5F4AC68E"/>
    <w:multiLevelType w:val="multilevel"/>
    <w:tmpl w:val="5F4AC68E"/>
    <w:lvl w:ilvl="0" w:tentative="0">
      <w:start w:val="1"/>
      <w:numFmt w:val="chineseCounting"/>
      <w:suff w:val="space"/>
      <w:lvlText w:val="%1、"/>
      <w:lvlJc w:val="left"/>
      <w:pPr>
        <w:tabs>
          <w:tab w:val="left" w:pos="420"/>
        </w:tabs>
        <w:ind w:left="0" w:firstLine="0"/>
      </w:pPr>
      <w:rPr>
        <w:rFonts w:hint="eastAsia" w:ascii="宋体" w:hAnsi="宋体" w:eastAsia="宋体" w:cs="宋体"/>
      </w:rPr>
    </w:lvl>
    <w:lvl w:ilvl="1" w:tentative="0">
      <w:start w:val="1"/>
      <w:numFmt w:val="decimal"/>
      <w:isLgl/>
      <w:suff w:val="space"/>
      <w:lvlText w:val="%1.%2"/>
      <w:lvlJc w:val="left"/>
      <w:pPr>
        <w:tabs>
          <w:tab w:val="left" w:pos="0"/>
        </w:tabs>
        <w:ind w:left="0" w:firstLine="0"/>
      </w:pPr>
      <w:rPr>
        <w:rFonts w:hint="eastAsia" w:ascii="宋体" w:hAnsi="宋体" w:eastAsia="宋体" w:cs="宋体"/>
      </w:rPr>
    </w:lvl>
    <w:lvl w:ilvl="2" w:tentative="0">
      <w:start w:val="1"/>
      <w:numFmt w:val="decimal"/>
      <w:isLgl/>
      <w:suff w:val="space"/>
      <w:lvlText w:val="%1.%2.%3"/>
      <w:lvlJc w:val="left"/>
      <w:pPr>
        <w:tabs>
          <w:tab w:val="left" w:pos="420"/>
        </w:tabs>
        <w:ind w:left="0" w:firstLine="0"/>
      </w:pPr>
      <w:rPr>
        <w:rFonts w:hint="eastAsia" w:ascii="宋体" w:hAnsi="宋体" w:eastAsia="宋体" w:cs="宋体"/>
      </w:rPr>
    </w:lvl>
    <w:lvl w:ilvl="3" w:tentative="0">
      <w:start w:val="1"/>
      <w:numFmt w:val="decimal"/>
      <w:pStyle w:val="8"/>
      <w:isLgl/>
      <w:suff w:val="space"/>
      <w:lvlText w:val="%1.%2.%3.%4"/>
      <w:lvlJc w:val="left"/>
      <w:pPr>
        <w:tabs>
          <w:tab w:val="left" w:pos="57"/>
        </w:tabs>
        <w:ind w:left="0" w:firstLine="0"/>
      </w:pPr>
      <w:rPr>
        <w:rFonts w:hint="eastAsia" w:ascii="宋体" w:hAnsi="宋体" w:eastAsia="宋体" w:cs="宋体"/>
      </w:rPr>
    </w:lvl>
    <w:lvl w:ilvl="4" w:tentative="0">
      <w:start w:val="1"/>
      <w:numFmt w:val="decimal"/>
      <w:suff w:val="space"/>
      <w:lvlText w:val="%5、"/>
      <w:lvlJc w:val="left"/>
      <w:pPr>
        <w:tabs>
          <w:tab w:val="left" w:pos="57"/>
        </w:tabs>
        <w:ind w:left="0" w:firstLine="0"/>
      </w:pPr>
      <w:rPr>
        <w:rFonts w:hint="eastAsia" w:ascii="宋体" w:hAnsi="宋体" w:eastAsia="宋体" w:cs="宋体"/>
      </w:rPr>
    </w:lvl>
    <w:lvl w:ilvl="5" w:tentative="0">
      <w:start w:val="1"/>
      <w:numFmt w:val="decimal"/>
      <w:suff w:val="space"/>
      <w:lvlText w:val="%6)、"/>
      <w:lvlJc w:val="left"/>
      <w:pPr>
        <w:tabs>
          <w:tab w:val="left" w:pos="0"/>
        </w:tabs>
        <w:ind w:left="0" w:firstLine="0"/>
      </w:pPr>
      <w:rPr>
        <w:rFonts w:hint="eastAsia" w:ascii="宋体" w:hAnsi="宋体" w:eastAsia="宋体" w:cs="宋体"/>
      </w:rPr>
    </w:lvl>
    <w:lvl w:ilvl="6" w:tentative="0">
      <w:start w:val="2"/>
      <w:numFmt w:val="decimal"/>
      <w:suff w:val="space"/>
      <w:lvlText w:val="%7."/>
      <w:lvlJc w:val="left"/>
      <w:pPr>
        <w:tabs>
          <w:tab w:val="left" w:pos="57"/>
        </w:tabs>
        <w:ind w:left="0" w:firstLine="0"/>
      </w:pPr>
      <w:rPr>
        <w:rFonts w:hint="eastAsia" w:ascii="宋体" w:hAnsi="宋体" w:eastAsia="宋体" w:cs="宋体"/>
      </w:rPr>
    </w:lvl>
    <w:lvl w:ilvl="7" w:tentative="0">
      <w:start w:val="1"/>
      <w:numFmt w:val="decimal"/>
      <w:suff w:val="space"/>
      <w:lvlText w:val="%8."/>
      <w:lvlJc w:val="left"/>
      <w:pPr>
        <w:tabs>
          <w:tab w:val="left" w:pos="57"/>
        </w:tabs>
        <w:ind w:left="0" w:firstLine="0"/>
      </w:pPr>
      <w:rPr>
        <w:rFonts w:hint="eastAsia" w:ascii="宋体" w:hAnsi="宋体" w:eastAsia="宋体" w:cs="宋体"/>
      </w:rPr>
    </w:lvl>
    <w:lvl w:ilvl="8" w:tentative="0">
      <w:start w:val="1"/>
      <w:numFmt w:val="decimal"/>
      <w:suff w:val="space"/>
      <w:lvlText w:val="（%9）"/>
      <w:lvlJc w:val="left"/>
      <w:pPr>
        <w:tabs>
          <w:tab w:val="left" w:pos="57"/>
        </w:tabs>
        <w:ind w:left="0" w:firstLine="0"/>
      </w:pPr>
      <w:rPr>
        <w:rFonts w:hint="eastAsia" w:ascii="宋体" w:hAnsi="宋体" w:eastAsia="宋体" w:cs="宋体"/>
      </w:rPr>
    </w:lvl>
  </w:abstractNum>
  <w:num w:numId="1">
    <w:abstractNumId w:val="7"/>
  </w:num>
  <w:num w:numId="2">
    <w:abstractNumId w:val="3"/>
  </w:num>
  <w:num w:numId="3">
    <w:abstractNumId w:val="0"/>
  </w:num>
  <w:num w:numId="4">
    <w:abstractNumId w:val="5"/>
    <w:lvlOverride w:ilvl="0">
      <w:startOverride w:val="4"/>
    </w:lvlOverride>
  </w:num>
  <w:num w:numId="5">
    <w:abstractNumId w:val="1"/>
  </w:num>
  <w:num w:numId="6">
    <w:abstractNumId w:val="2"/>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hyphenationZone w:val="360"/>
  <w:drawingGridVerticalSpacing w:val="14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E4YWZkYTYyNzA2OTA4OWYyZTkyM2ZlOTlkN2Y0MjYifQ=="/>
  </w:docVars>
  <w:rsids>
    <w:rsidRoot w:val="00172A27"/>
    <w:rsid w:val="000039AB"/>
    <w:rsid w:val="000115B2"/>
    <w:rsid w:val="0001606D"/>
    <w:rsid w:val="00025CA1"/>
    <w:rsid w:val="00033DCA"/>
    <w:rsid w:val="00047C92"/>
    <w:rsid w:val="00052909"/>
    <w:rsid w:val="0005318A"/>
    <w:rsid w:val="0005613A"/>
    <w:rsid w:val="00082F8A"/>
    <w:rsid w:val="00086852"/>
    <w:rsid w:val="00087B2C"/>
    <w:rsid w:val="00095802"/>
    <w:rsid w:val="000A02A1"/>
    <w:rsid w:val="000A041F"/>
    <w:rsid w:val="000C4B51"/>
    <w:rsid w:val="000D1316"/>
    <w:rsid w:val="000D4BAF"/>
    <w:rsid w:val="000E080B"/>
    <w:rsid w:val="000E1E62"/>
    <w:rsid w:val="000F584E"/>
    <w:rsid w:val="00100B0C"/>
    <w:rsid w:val="00105750"/>
    <w:rsid w:val="00106335"/>
    <w:rsid w:val="00132E14"/>
    <w:rsid w:val="001357D3"/>
    <w:rsid w:val="0013774D"/>
    <w:rsid w:val="00140801"/>
    <w:rsid w:val="001464C6"/>
    <w:rsid w:val="00150BA1"/>
    <w:rsid w:val="001646AA"/>
    <w:rsid w:val="001711F5"/>
    <w:rsid w:val="0017126D"/>
    <w:rsid w:val="0018211D"/>
    <w:rsid w:val="00186D32"/>
    <w:rsid w:val="00192227"/>
    <w:rsid w:val="00193C9B"/>
    <w:rsid w:val="001D1FAA"/>
    <w:rsid w:val="001E3C75"/>
    <w:rsid w:val="001E7E80"/>
    <w:rsid w:val="001F77A7"/>
    <w:rsid w:val="00212DF3"/>
    <w:rsid w:val="0021378D"/>
    <w:rsid w:val="002239CA"/>
    <w:rsid w:val="002468F2"/>
    <w:rsid w:val="00246B87"/>
    <w:rsid w:val="002470DC"/>
    <w:rsid w:val="00265FDE"/>
    <w:rsid w:val="00291F19"/>
    <w:rsid w:val="00296A04"/>
    <w:rsid w:val="002A3DB1"/>
    <w:rsid w:val="002A7FC2"/>
    <w:rsid w:val="002B0F9A"/>
    <w:rsid w:val="002B3C88"/>
    <w:rsid w:val="002B62F6"/>
    <w:rsid w:val="002B74EA"/>
    <w:rsid w:val="002C633E"/>
    <w:rsid w:val="002D00D4"/>
    <w:rsid w:val="002E1B89"/>
    <w:rsid w:val="002F551C"/>
    <w:rsid w:val="00311A27"/>
    <w:rsid w:val="00312F3C"/>
    <w:rsid w:val="00314C40"/>
    <w:rsid w:val="00317A0B"/>
    <w:rsid w:val="0032520A"/>
    <w:rsid w:val="0033644D"/>
    <w:rsid w:val="00340B77"/>
    <w:rsid w:val="0034486E"/>
    <w:rsid w:val="00345910"/>
    <w:rsid w:val="00353412"/>
    <w:rsid w:val="0036076B"/>
    <w:rsid w:val="00367591"/>
    <w:rsid w:val="0039464E"/>
    <w:rsid w:val="003A2622"/>
    <w:rsid w:val="003A4F5D"/>
    <w:rsid w:val="003B513E"/>
    <w:rsid w:val="003D5084"/>
    <w:rsid w:val="003E3D8F"/>
    <w:rsid w:val="003F15F2"/>
    <w:rsid w:val="003F2DAC"/>
    <w:rsid w:val="003F7A21"/>
    <w:rsid w:val="003F7F5E"/>
    <w:rsid w:val="00402BA1"/>
    <w:rsid w:val="004051E0"/>
    <w:rsid w:val="00407A0A"/>
    <w:rsid w:val="00412098"/>
    <w:rsid w:val="00415621"/>
    <w:rsid w:val="00437F08"/>
    <w:rsid w:val="00443A02"/>
    <w:rsid w:val="004558BF"/>
    <w:rsid w:val="00461AA8"/>
    <w:rsid w:val="00464E72"/>
    <w:rsid w:val="004705BD"/>
    <w:rsid w:val="00482378"/>
    <w:rsid w:val="004841CD"/>
    <w:rsid w:val="00487027"/>
    <w:rsid w:val="00496C50"/>
    <w:rsid w:val="004A1365"/>
    <w:rsid w:val="004A1A8A"/>
    <w:rsid w:val="004A4F08"/>
    <w:rsid w:val="004A54DC"/>
    <w:rsid w:val="004B74CE"/>
    <w:rsid w:val="004C2C1A"/>
    <w:rsid w:val="004D3678"/>
    <w:rsid w:val="004E7822"/>
    <w:rsid w:val="004F2EE8"/>
    <w:rsid w:val="004F45C9"/>
    <w:rsid w:val="00500399"/>
    <w:rsid w:val="00507938"/>
    <w:rsid w:val="00522B10"/>
    <w:rsid w:val="005338F5"/>
    <w:rsid w:val="00547CC8"/>
    <w:rsid w:val="0055083D"/>
    <w:rsid w:val="00550D7E"/>
    <w:rsid w:val="00556230"/>
    <w:rsid w:val="00567C67"/>
    <w:rsid w:val="00576D16"/>
    <w:rsid w:val="00587358"/>
    <w:rsid w:val="00597B61"/>
    <w:rsid w:val="005D1680"/>
    <w:rsid w:val="005E5948"/>
    <w:rsid w:val="005E6A1D"/>
    <w:rsid w:val="005F03B2"/>
    <w:rsid w:val="00607866"/>
    <w:rsid w:val="00607EB4"/>
    <w:rsid w:val="006117C9"/>
    <w:rsid w:val="00613D07"/>
    <w:rsid w:val="00614D9C"/>
    <w:rsid w:val="00644CF7"/>
    <w:rsid w:val="00645BEA"/>
    <w:rsid w:val="00654C19"/>
    <w:rsid w:val="006601A5"/>
    <w:rsid w:val="00670721"/>
    <w:rsid w:val="00686C12"/>
    <w:rsid w:val="006873AC"/>
    <w:rsid w:val="00697AE1"/>
    <w:rsid w:val="006D026A"/>
    <w:rsid w:val="006D4ADF"/>
    <w:rsid w:val="006E40A2"/>
    <w:rsid w:val="006F70EB"/>
    <w:rsid w:val="007120E8"/>
    <w:rsid w:val="007236E4"/>
    <w:rsid w:val="00730953"/>
    <w:rsid w:val="007325AD"/>
    <w:rsid w:val="00736987"/>
    <w:rsid w:val="007451E4"/>
    <w:rsid w:val="00767F32"/>
    <w:rsid w:val="007703AC"/>
    <w:rsid w:val="00791608"/>
    <w:rsid w:val="00794D8C"/>
    <w:rsid w:val="007A0574"/>
    <w:rsid w:val="007A1F9E"/>
    <w:rsid w:val="007B2ADB"/>
    <w:rsid w:val="007C1A4B"/>
    <w:rsid w:val="007C2C46"/>
    <w:rsid w:val="007C6B0A"/>
    <w:rsid w:val="007D7A14"/>
    <w:rsid w:val="007F7340"/>
    <w:rsid w:val="007F740E"/>
    <w:rsid w:val="00800B19"/>
    <w:rsid w:val="008333DB"/>
    <w:rsid w:val="00835F9B"/>
    <w:rsid w:val="00836751"/>
    <w:rsid w:val="008417CB"/>
    <w:rsid w:val="00857BF2"/>
    <w:rsid w:val="008768A7"/>
    <w:rsid w:val="00881EF1"/>
    <w:rsid w:val="0088678E"/>
    <w:rsid w:val="00894B80"/>
    <w:rsid w:val="008B30AC"/>
    <w:rsid w:val="008D64C8"/>
    <w:rsid w:val="008E3861"/>
    <w:rsid w:val="008F05A6"/>
    <w:rsid w:val="008F6C5C"/>
    <w:rsid w:val="0091419C"/>
    <w:rsid w:val="00914347"/>
    <w:rsid w:val="00927803"/>
    <w:rsid w:val="00936689"/>
    <w:rsid w:val="00937070"/>
    <w:rsid w:val="00944327"/>
    <w:rsid w:val="00945643"/>
    <w:rsid w:val="009709D9"/>
    <w:rsid w:val="009802C8"/>
    <w:rsid w:val="00982788"/>
    <w:rsid w:val="009858A0"/>
    <w:rsid w:val="00992375"/>
    <w:rsid w:val="009A5FB5"/>
    <w:rsid w:val="009B5F30"/>
    <w:rsid w:val="009B7680"/>
    <w:rsid w:val="009C5495"/>
    <w:rsid w:val="009F7BE8"/>
    <w:rsid w:val="00A0277C"/>
    <w:rsid w:val="00A032EA"/>
    <w:rsid w:val="00A26785"/>
    <w:rsid w:val="00A34545"/>
    <w:rsid w:val="00A42D75"/>
    <w:rsid w:val="00A4588F"/>
    <w:rsid w:val="00A556CC"/>
    <w:rsid w:val="00A703BA"/>
    <w:rsid w:val="00A92C70"/>
    <w:rsid w:val="00A96069"/>
    <w:rsid w:val="00AD137D"/>
    <w:rsid w:val="00AD4CC8"/>
    <w:rsid w:val="00AD64B9"/>
    <w:rsid w:val="00AF2BE0"/>
    <w:rsid w:val="00B0135C"/>
    <w:rsid w:val="00B212EC"/>
    <w:rsid w:val="00B24BF3"/>
    <w:rsid w:val="00B276A4"/>
    <w:rsid w:val="00B31362"/>
    <w:rsid w:val="00B315AF"/>
    <w:rsid w:val="00B33B9D"/>
    <w:rsid w:val="00B37670"/>
    <w:rsid w:val="00B51160"/>
    <w:rsid w:val="00B541A8"/>
    <w:rsid w:val="00B6039A"/>
    <w:rsid w:val="00B70AB8"/>
    <w:rsid w:val="00B76EF0"/>
    <w:rsid w:val="00B81022"/>
    <w:rsid w:val="00B839AD"/>
    <w:rsid w:val="00B91CA3"/>
    <w:rsid w:val="00B91EB7"/>
    <w:rsid w:val="00BB7265"/>
    <w:rsid w:val="00BC1212"/>
    <w:rsid w:val="00BD742D"/>
    <w:rsid w:val="00BE433F"/>
    <w:rsid w:val="00C03862"/>
    <w:rsid w:val="00C03ED9"/>
    <w:rsid w:val="00C06DB2"/>
    <w:rsid w:val="00C07A69"/>
    <w:rsid w:val="00C335D0"/>
    <w:rsid w:val="00C36200"/>
    <w:rsid w:val="00C50B26"/>
    <w:rsid w:val="00C7635C"/>
    <w:rsid w:val="00C83C4D"/>
    <w:rsid w:val="00CC152C"/>
    <w:rsid w:val="00CC58DE"/>
    <w:rsid w:val="00CC65D1"/>
    <w:rsid w:val="00CC7BFB"/>
    <w:rsid w:val="00CE36A8"/>
    <w:rsid w:val="00CE5F3E"/>
    <w:rsid w:val="00CF4476"/>
    <w:rsid w:val="00D3084E"/>
    <w:rsid w:val="00D406D6"/>
    <w:rsid w:val="00D5796E"/>
    <w:rsid w:val="00D61E9F"/>
    <w:rsid w:val="00D83DE1"/>
    <w:rsid w:val="00D85268"/>
    <w:rsid w:val="00D91228"/>
    <w:rsid w:val="00D94AE3"/>
    <w:rsid w:val="00DA4751"/>
    <w:rsid w:val="00DA7638"/>
    <w:rsid w:val="00DC3A42"/>
    <w:rsid w:val="00DD5CD3"/>
    <w:rsid w:val="00DE4490"/>
    <w:rsid w:val="00DE46D2"/>
    <w:rsid w:val="00DE513E"/>
    <w:rsid w:val="00DE5279"/>
    <w:rsid w:val="00DF130F"/>
    <w:rsid w:val="00E1478A"/>
    <w:rsid w:val="00E244C3"/>
    <w:rsid w:val="00E2462B"/>
    <w:rsid w:val="00E47E74"/>
    <w:rsid w:val="00E61C5D"/>
    <w:rsid w:val="00E61CA3"/>
    <w:rsid w:val="00E6472D"/>
    <w:rsid w:val="00E8189E"/>
    <w:rsid w:val="00E93D6E"/>
    <w:rsid w:val="00EA4B48"/>
    <w:rsid w:val="00EA5056"/>
    <w:rsid w:val="00EA7243"/>
    <w:rsid w:val="00ED332D"/>
    <w:rsid w:val="00ED49AF"/>
    <w:rsid w:val="00ED67C3"/>
    <w:rsid w:val="00EE42B8"/>
    <w:rsid w:val="00EE5D04"/>
    <w:rsid w:val="00F05859"/>
    <w:rsid w:val="00F06A7F"/>
    <w:rsid w:val="00F43D74"/>
    <w:rsid w:val="00F56363"/>
    <w:rsid w:val="00F63494"/>
    <w:rsid w:val="00F646B4"/>
    <w:rsid w:val="00F733E3"/>
    <w:rsid w:val="00FA0B19"/>
    <w:rsid w:val="00FC58BF"/>
    <w:rsid w:val="00FD4650"/>
    <w:rsid w:val="00FD5B1F"/>
    <w:rsid w:val="00FE3032"/>
    <w:rsid w:val="00FE5BDB"/>
    <w:rsid w:val="010706E2"/>
    <w:rsid w:val="010755A0"/>
    <w:rsid w:val="01100222"/>
    <w:rsid w:val="012313A8"/>
    <w:rsid w:val="012D0479"/>
    <w:rsid w:val="01304A57"/>
    <w:rsid w:val="01384197"/>
    <w:rsid w:val="01435A84"/>
    <w:rsid w:val="014F6C72"/>
    <w:rsid w:val="01614FD6"/>
    <w:rsid w:val="016602D6"/>
    <w:rsid w:val="017A56F4"/>
    <w:rsid w:val="017E630C"/>
    <w:rsid w:val="01922B31"/>
    <w:rsid w:val="01AA68AB"/>
    <w:rsid w:val="01AB6445"/>
    <w:rsid w:val="01D61BC0"/>
    <w:rsid w:val="01E0494F"/>
    <w:rsid w:val="01F037DC"/>
    <w:rsid w:val="020E56AA"/>
    <w:rsid w:val="021F4066"/>
    <w:rsid w:val="02331C08"/>
    <w:rsid w:val="02474CB2"/>
    <w:rsid w:val="02487182"/>
    <w:rsid w:val="024C5B16"/>
    <w:rsid w:val="0250441F"/>
    <w:rsid w:val="02541E6E"/>
    <w:rsid w:val="02584477"/>
    <w:rsid w:val="025B0233"/>
    <w:rsid w:val="02622926"/>
    <w:rsid w:val="02660CDA"/>
    <w:rsid w:val="02670657"/>
    <w:rsid w:val="026F31F2"/>
    <w:rsid w:val="027A149C"/>
    <w:rsid w:val="028C3786"/>
    <w:rsid w:val="028F0522"/>
    <w:rsid w:val="02947948"/>
    <w:rsid w:val="02AE1145"/>
    <w:rsid w:val="02B80F67"/>
    <w:rsid w:val="02B95A4D"/>
    <w:rsid w:val="02D37E00"/>
    <w:rsid w:val="02D93748"/>
    <w:rsid w:val="02DE7C7D"/>
    <w:rsid w:val="02ED6FA5"/>
    <w:rsid w:val="030A6B89"/>
    <w:rsid w:val="030D49C2"/>
    <w:rsid w:val="0312249B"/>
    <w:rsid w:val="03137B96"/>
    <w:rsid w:val="03197DEA"/>
    <w:rsid w:val="032529C7"/>
    <w:rsid w:val="032E2357"/>
    <w:rsid w:val="035334C6"/>
    <w:rsid w:val="03550676"/>
    <w:rsid w:val="03553154"/>
    <w:rsid w:val="0369303A"/>
    <w:rsid w:val="036C3BEA"/>
    <w:rsid w:val="03770395"/>
    <w:rsid w:val="037F1879"/>
    <w:rsid w:val="03880CFE"/>
    <w:rsid w:val="038A6AAB"/>
    <w:rsid w:val="03921411"/>
    <w:rsid w:val="03984D1D"/>
    <w:rsid w:val="039E5DD6"/>
    <w:rsid w:val="039E7460"/>
    <w:rsid w:val="03A15319"/>
    <w:rsid w:val="03AF33C7"/>
    <w:rsid w:val="03B5372D"/>
    <w:rsid w:val="03B87F6B"/>
    <w:rsid w:val="03BD5AF8"/>
    <w:rsid w:val="03CD5C12"/>
    <w:rsid w:val="03D263FF"/>
    <w:rsid w:val="03E41A02"/>
    <w:rsid w:val="03F155E0"/>
    <w:rsid w:val="0401650B"/>
    <w:rsid w:val="041637B6"/>
    <w:rsid w:val="041F42E5"/>
    <w:rsid w:val="0423471F"/>
    <w:rsid w:val="042A7D6B"/>
    <w:rsid w:val="04347C16"/>
    <w:rsid w:val="043F49DE"/>
    <w:rsid w:val="0440011C"/>
    <w:rsid w:val="044415E9"/>
    <w:rsid w:val="04525F71"/>
    <w:rsid w:val="04581B09"/>
    <w:rsid w:val="045A1616"/>
    <w:rsid w:val="04651CD8"/>
    <w:rsid w:val="046D2842"/>
    <w:rsid w:val="047525D2"/>
    <w:rsid w:val="04761068"/>
    <w:rsid w:val="047B234D"/>
    <w:rsid w:val="049402D9"/>
    <w:rsid w:val="04960EE0"/>
    <w:rsid w:val="04C3001C"/>
    <w:rsid w:val="04D30D14"/>
    <w:rsid w:val="04D76FA1"/>
    <w:rsid w:val="04DE14A6"/>
    <w:rsid w:val="04DE7368"/>
    <w:rsid w:val="04E46FA9"/>
    <w:rsid w:val="04EB437F"/>
    <w:rsid w:val="04F310A8"/>
    <w:rsid w:val="04F327D1"/>
    <w:rsid w:val="04F42FD1"/>
    <w:rsid w:val="04FD6BA8"/>
    <w:rsid w:val="04FE6006"/>
    <w:rsid w:val="0513039B"/>
    <w:rsid w:val="05144840"/>
    <w:rsid w:val="051D12F3"/>
    <w:rsid w:val="05207785"/>
    <w:rsid w:val="05537982"/>
    <w:rsid w:val="05660454"/>
    <w:rsid w:val="057111DE"/>
    <w:rsid w:val="057641D1"/>
    <w:rsid w:val="058039F8"/>
    <w:rsid w:val="059F2496"/>
    <w:rsid w:val="05AB0F0F"/>
    <w:rsid w:val="05AF10A4"/>
    <w:rsid w:val="05B020F2"/>
    <w:rsid w:val="05B779A2"/>
    <w:rsid w:val="05BB4254"/>
    <w:rsid w:val="05CA369E"/>
    <w:rsid w:val="05D15C0E"/>
    <w:rsid w:val="05D24E54"/>
    <w:rsid w:val="05ED5866"/>
    <w:rsid w:val="05F53F35"/>
    <w:rsid w:val="05F9301F"/>
    <w:rsid w:val="06027FFC"/>
    <w:rsid w:val="06074D1B"/>
    <w:rsid w:val="06316020"/>
    <w:rsid w:val="06352BB3"/>
    <w:rsid w:val="064931FC"/>
    <w:rsid w:val="06573208"/>
    <w:rsid w:val="065E410E"/>
    <w:rsid w:val="06641360"/>
    <w:rsid w:val="066E25F4"/>
    <w:rsid w:val="06744585"/>
    <w:rsid w:val="06797167"/>
    <w:rsid w:val="068244F0"/>
    <w:rsid w:val="068B6E92"/>
    <w:rsid w:val="069606D3"/>
    <w:rsid w:val="06A90E38"/>
    <w:rsid w:val="06B45084"/>
    <w:rsid w:val="06C547E0"/>
    <w:rsid w:val="06D5688F"/>
    <w:rsid w:val="06E45421"/>
    <w:rsid w:val="06E55EF7"/>
    <w:rsid w:val="070A247A"/>
    <w:rsid w:val="07210938"/>
    <w:rsid w:val="073523A5"/>
    <w:rsid w:val="07362AFD"/>
    <w:rsid w:val="0749234F"/>
    <w:rsid w:val="074F0F5C"/>
    <w:rsid w:val="07503F42"/>
    <w:rsid w:val="0764239D"/>
    <w:rsid w:val="07645583"/>
    <w:rsid w:val="07704E11"/>
    <w:rsid w:val="077172B6"/>
    <w:rsid w:val="077B4BBA"/>
    <w:rsid w:val="07805A00"/>
    <w:rsid w:val="07840964"/>
    <w:rsid w:val="07841944"/>
    <w:rsid w:val="078616D5"/>
    <w:rsid w:val="079366DA"/>
    <w:rsid w:val="07A57610"/>
    <w:rsid w:val="07AB3367"/>
    <w:rsid w:val="07BE2F20"/>
    <w:rsid w:val="07BF6CED"/>
    <w:rsid w:val="07C11D84"/>
    <w:rsid w:val="07C3275D"/>
    <w:rsid w:val="07C34C79"/>
    <w:rsid w:val="07CA736F"/>
    <w:rsid w:val="07DC554D"/>
    <w:rsid w:val="07E10144"/>
    <w:rsid w:val="07E655B9"/>
    <w:rsid w:val="07EC4291"/>
    <w:rsid w:val="07F473C0"/>
    <w:rsid w:val="07FA7B17"/>
    <w:rsid w:val="081100F8"/>
    <w:rsid w:val="081E6D6D"/>
    <w:rsid w:val="08225EFD"/>
    <w:rsid w:val="08282C1D"/>
    <w:rsid w:val="082916EE"/>
    <w:rsid w:val="08474FC1"/>
    <w:rsid w:val="085104B2"/>
    <w:rsid w:val="08513B20"/>
    <w:rsid w:val="085B205F"/>
    <w:rsid w:val="085D27D0"/>
    <w:rsid w:val="085E1F60"/>
    <w:rsid w:val="08642F86"/>
    <w:rsid w:val="08700478"/>
    <w:rsid w:val="0883308D"/>
    <w:rsid w:val="0886503E"/>
    <w:rsid w:val="08940DDD"/>
    <w:rsid w:val="089B555E"/>
    <w:rsid w:val="08BB0F26"/>
    <w:rsid w:val="08BC3413"/>
    <w:rsid w:val="08CA3678"/>
    <w:rsid w:val="08CC44DF"/>
    <w:rsid w:val="08D447F1"/>
    <w:rsid w:val="08EA795F"/>
    <w:rsid w:val="08EF0F7B"/>
    <w:rsid w:val="08F64FE5"/>
    <w:rsid w:val="08F8223F"/>
    <w:rsid w:val="08F86F4D"/>
    <w:rsid w:val="09005929"/>
    <w:rsid w:val="09213AB3"/>
    <w:rsid w:val="09214829"/>
    <w:rsid w:val="09236D52"/>
    <w:rsid w:val="09385DD5"/>
    <w:rsid w:val="09591BB4"/>
    <w:rsid w:val="09654053"/>
    <w:rsid w:val="0969562A"/>
    <w:rsid w:val="096A3F7F"/>
    <w:rsid w:val="098A138C"/>
    <w:rsid w:val="09912B0C"/>
    <w:rsid w:val="09AC0DAA"/>
    <w:rsid w:val="09AE5716"/>
    <w:rsid w:val="09B156D4"/>
    <w:rsid w:val="09C300B3"/>
    <w:rsid w:val="09CE1265"/>
    <w:rsid w:val="09DE2DF8"/>
    <w:rsid w:val="09E40997"/>
    <w:rsid w:val="09E831B4"/>
    <w:rsid w:val="09ED4F30"/>
    <w:rsid w:val="09F4422A"/>
    <w:rsid w:val="09F868A0"/>
    <w:rsid w:val="0A081A83"/>
    <w:rsid w:val="0A101424"/>
    <w:rsid w:val="0A134272"/>
    <w:rsid w:val="0A173FC7"/>
    <w:rsid w:val="0A435538"/>
    <w:rsid w:val="0A4B6413"/>
    <w:rsid w:val="0A521241"/>
    <w:rsid w:val="0A5B2319"/>
    <w:rsid w:val="0A5D7CDF"/>
    <w:rsid w:val="0A653DBE"/>
    <w:rsid w:val="0A6939AD"/>
    <w:rsid w:val="0A797B78"/>
    <w:rsid w:val="0A7E4F23"/>
    <w:rsid w:val="0A970270"/>
    <w:rsid w:val="0AAB2E1D"/>
    <w:rsid w:val="0AAC19AC"/>
    <w:rsid w:val="0AB60E79"/>
    <w:rsid w:val="0ABF289E"/>
    <w:rsid w:val="0ACA549C"/>
    <w:rsid w:val="0AD47A48"/>
    <w:rsid w:val="0AD92C0C"/>
    <w:rsid w:val="0ADB4611"/>
    <w:rsid w:val="0AE712AE"/>
    <w:rsid w:val="0AFA721B"/>
    <w:rsid w:val="0B0E05BF"/>
    <w:rsid w:val="0B180E86"/>
    <w:rsid w:val="0B245933"/>
    <w:rsid w:val="0B292AB3"/>
    <w:rsid w:val="0B37047C"/>
    <w:rsid w:val="0B3C5228"/>
    <w:rsid w:val="0B481597"/>
    <w:rsid w:val="0B4B60CB"/>
    <w:rsid w:val="0B5F71DA"/>
    <w:rsid w:val="0B6467FA"/>
    <w:rsid w:val="0B715B3D"/>
    <w:rsid w:val="0B7B6988"/>
    <w:rsid w:val="0B8B143F"/>
    <w:rsid w:val="0B8F68C3"/>
    <w:rsid w:val="0B921410"/>
    <w:rsid w:val="0BAF6684"/>
    <w:rsid w:val="0BB041A9"/>
    <w:rsid w:val="0BB16588"/>
    <w:rsid w:val="0BCC62FA"/>
    <w:rsid w:val="0BEF28C5"/>
    <w:rsid w:val="0BFB0247"/>
    <w:rsid w:val="0C10091A"/>
    <w:rsid w:val="0C127062"/>
    <w:rsid w:val="0C135433"/>
    <w:rsid w:val="0C21779E"/>
    <w:rsid w:val="0C272CE1"/>
    <w:rsid w:val="0C295300"/>
    <w:rsid w:val="0C2C7DD2"/>
    <w:rsid w:val="0C2D2C09"/>
    <w:rsid w:val="0C3A4E07"/>
    <w:rsid w:val="0C3F233B"/>
    <w:rsid w:val="0C3F697A"/>
    <w:rsid w:val="0C5D1E02"/>
    <w:rsid w:val="0C5F777F"/>
    <w:rsid w:val="0C6524C3"/>
    <w:rsid w:val="0C663C22"/>
    <w:rsid w:val="0C7A5B59"/>
    <w:rsid w:val="0C8D4E61"/>
    <w:rsid w:val="0CA75D8C"/>
    <w:rsid w:val="0CB34D32"/>
    <w:rsid w:val="0CC21609"/>
    <w:rsid w:val="0CD415B9"/>
    <w:rsid w:val="0CDC6136"/>
    <w:rsid w:val="0CEB74DB"/>
    <w:rsid w:val="0D012047"/>
    <w:rsid w:val="0D076431"/>
    <w:rsid w:val="0D0E56D8"/>
    <w:rsid w:val="0D2904A0"/>
    <w:rsid w:val="0D416E69"/>
    <w:rsid w:val="0D435B36"/>
    <w:rsid w:val="0D4B181F"/>
    <w:rsid w:val="0D51729D"/>
    <w:rsid w:val="0D5445DA"/>
    <w:rsid w:val="0D5E1019"/>
    <w:rsid w:val="0D635F0B"/>
    <w:rsid w:val="0D771BDB"/>
    <w:rsid w:val="0D80567E"/>
    <w:rsid w:val="0D8E3B16"/>
    <w:rsid w:val="0D9432CC"/>
    <w:rsid w:val="0D945429"/>
    <w:rsid w:val="0D9713BA"/>
    <w:rsid w:val="0DA5205C"/>
    <w:rsid w:val="0DA864F9"/>
    <w:rsid w:val="0DAE7A5B"/>
    <w:rsid w:val="0DB93B7A"/>
    <w:rsid w:val="0DBA4D6C"/>
    <w:rsid w:val="0DCC362A"/>
    <w:rsid w:val="0DCD7D55"/>
    <w:rsid w:val="0DCE5064"/>
    <w:rsid w:val="0DDB59D2"/>
    <w:rsid w:val="0DDF6C47"/>
    <w:rsid w:val="0DE50247"/>
    <w:rsid w:val="0E097A54"/>
    <w:rsid w:val="0E1E0483"/>
    <w:rsid w:val="0E1E3623"/>
    <w:rsid w:val="0E247BDA"/>
    <w:rsid w:val="0E2A0EC0"/>
    <w:rsid w:val="0E57719C"/>
    <w:rsid w:val="0E5A5360"/>
    <w:rsid w:val="0E632DCA"/>
    <w:rsid w:val="0E67581F"/>
    <w:rsid w:val="0E6F7543"/>
    <w:rsid w:val="0E805967"/>
    <w:rsid w:val="0E9549A7"/>
    <w:rsid w:val="0EAB0A3D"/>
    <w:rsid w:val="0EAF11E8"/>
    <w:rsid w:val="0ED31148"/>
    <w:rsid w:val="0EE16B5F"/>
    <w:rsid w:val="0EE36079"/>
    <w:rsid w:val="0EED4A65"/>
    <w:rsid w:val="0EF15AE5"/>
    <w:rsid w:val="0EFC7D06"/>
    <w:rsid w:val="0EFE1279"/>
    <w:rsid w:val="0F0E3AB2"/>
    <w:rsid w:val="0F2315E1"/>
    <w:rsid w:val="0F3E0D17"/>
    <w:rsid w:val="0F610B51"/>
    <w:rsid w:val="0F6E3F86"/>
    <w:rsid w:val="0F774627"/>
    <w:rsid w:val="0F8071AA"/>
    <w:rsid w:val="0F833ECB"/>
    <w:rsid w:val="0F86341F"/>
    <w:rsid w:val="0F9156D4"/>
    <w:rsid w:val="0F946C32"/>
    <w:rsid w:val="0F953282"/>
    <w:rsid w:val="0F9810C2"/>
    <w:rsid w:val="0F9B1608"/>
    <w:rsid w:val="0F9D6011"/>
    <w:rsid w:val="0FBF3D09"/>
    <w:rsid w:val="0FC66DC4"/>
    <w:rsid w:val="0FC72A5D"/>
    <w:rsid w:val="0FCB4BBD"/>
    <w:rsid w:val="0FCC0109"/>
    <w:rsid w:val="0FD06B9F"/>
    <w:rsid w:val="0FD55D2E"/>
    <w:rsid w:val="0FEB1415"/>
    <w:rsid w:val="0FFD24B4"/>
    <w:rsid w:val="101A1E85"/>
    <w:rsid w:val="10232369"/>
    <w:rsid w:val="103217DE"/>
    <w:rsid w:val="10497F36"/>
    <w:rsid w:val="105E4086"/>
    <w:rsid w:val="10741A60"/>
    <w:rsid w:val="1081433D"/>
    <w:rsid w:val="10816294"/>
    <w:rsid w:val="1089508D"/>
    <w:rsid w:val="10AE18CC"/>
    <w:rsid w:val="10AF1B6B"/>
    <w:rsid w:val="10C8286E"/>
    <w:rsid w:val="10CA37E5"/>
    <w:rsid w:val="10CD31DB"/>
    <w:rsid w:val="10E300AC"/>
    <w:rsid w:val="10E77B5E"/>
    <w:rsid w:val="10F5485C"/>
    <w:rsid w:val="10FA73FE"/>
    <w:rsid w:val="10FC765F"/>
    <w:rsid w:val="1109134D"/>
    <w:rsid w:val="11171EC9"/>
    <w:rsid w:val="11185435"/>
    <w:rsid w:val="11193A95"/>
    <w:rsid w:val="112E1F3D"/>
    <w:rsid w:val="11473EA7"/>
    <w:rsid w:val="114B40F4"/>
    <w:rsid w:val="11700345"/>
    <w:rsid w:val="11967CC7"/>
    <w:rsid w:val="119A56B6"/>
    <w:rsid w:val="11B532FC"/>
    <w:rsid w:val="11BA1225"/>
    <w:rsid w:val="11BB39C2"/>
    <w:rsid w:val="11C31C0C"/>
    <w:rsid w:val="11C354ED"/>
    <w:rsid w:val="11C86E08"/>
    <w:rsid w:val="11D24EF9"/>
    <w:rsid w:val="11E34F38"/>
    <w:rsid w:val="11E370EC"/>
    <w:rsid w:val="11EB3CEE"/>
    <w:rsid w:val="11F43C99"/>
    <w:rsid w:val="11FE08B6"/>
    <w:rsid w:val="1203026A"/>
    <w:rsid w:val="121363F8"/>
    <w:rsid w:val="12137AAC"/>
    <w:rsid w:val="121B1C7B"/>
    <w:rsid w:val="12364EAB"/>
    <w:rsid w:val="12693C41"/>
    <w:rsid w:val="12727B3F"/>
    <w:rsid w:val="1281203E"/>
    <w:rsid w:val="128542AD"/>
    <w:rsid w:val="128C4831"/>
    <w:rsid w:val="12B039E8"/>
    <w:rsid w:val="12B80393"/>
    <w:rsid w:val="12E96494"/>
    <w:rsid w:val="12F36996"/>
    <w:rsid w:val="130859E6"/>
    <w:rsid w:val="130A1000"/>
    <w:rsid w:val="133544D2"/>
    <w:rsid w:val="13366106"/>
    <w:rsid w:val="133A0C5E"/>
    <w:rsid w:val="13416B88"/>
    <w:rsid w:val="135179F2"/>
    <w:rsid w:val="13595DD8"/>
    <w:rsid w:val="135B748C"/>
    <w:rsid w:val="136C207F"/>
    <w:rsid w:val="136F4253"/>
    <w:rsid w:val="13743EC5"/>
    <w:rsid w:val="137456D6"/>
    <w:rsid w:val="138C51D9"/>
    <w:rsid w:val="13900EAD"/>
    <w:rsid w:val="13987144"/>
    <w:rsid w:val="139E18A0"/>
    <w:rsid w:val="139F35A6"/>
    <w:rsid w:val="13BA4856"/>
    <w:rsid w:val="13BC783A"/>
    <w:rsid w:val="13F967FB"/>
    <w:rsid w:val="1405391A"/>
    <w:rsid w:val="14081DA7"/>
    <w:rsid w:val="141168BB"/>
    <w:rsid w:val="14123D8D"/>
    <w:rsid w:val="1418195B"/>
    <w:rsid w:val="141A18EC"/>
    <w:rsid w:val="14213C77"/>
    <w:rsid w:val="143909DB"/>
    <w:rsid w:val="14521763"/>
    <w:rsid w:val="14740921"/>
    <w:rsid w:val="14872343"/>
    <w:rsid w:val="14902FD1"/>
    <w:rsid w:val="149C48B7"/>
    <w:rsid w:val="14BF4D3E"/>
    <w:rsid w:val="14C04358"/>
    <w:rsid w:val="14D61817"/>
    <w:rsid w:val="14DA0F12"/>
    <w:rsid w:val="14E64BF2"/>
    <w:rsid w:val="1503785C"/>
    <w:rsid w:val="15040421"/>
    <w:rsid w:val="15111367"/>
    <w:rsid w:val="15132B28"/>
    <w:rsid w:val="15143F96"/>
    <w:rsid w:val="1528122B"/>
    <w:rsid w:val="152D04C4"/>
    <w:rsid w:val="15360E7F"/>
    <w:rsid w:val="15417855"/>
    <w:rsid w:val="154C7578"/>
    <w:rsid w:val="15565D8B"/>
    <w:rsid w:val="15593FC9"/>
    <w:rsid w:val="15633BFB"/>
    <w:rsid w:val="157160A9"/>
    <w:rsid w:val="15733631"/>
    <w:rsid w:val="15744A78"/>
    <w:rsid w:val="15763D45"/>
    <w:rsid w:val="157B135B"/>
    <w:rsid w:val="15820EA9"/>
    <w:rsid w:val="158A5006"/>
    <w:rsid w:val="15AF1ABD"/>
    <w:rsid w:val="15B1790C"/>
    <w:rsid w:val="15B70932"/>
    <w:rsid w:val="15BA1D15"/>
    <w:rsid w:val="15BA5088"/>
    <w:rsid w:val="15C343A8"/>
    <w:rsid w:val="15DD7357"/>
    <w:rsid w:val="15DF7B3C"/>
    <w:rsid w:val="15E255E8"/>
    <w:rsid w:val="15F227DB"/>
    <w:rsid w:val="15F24575"/>
    <w:rsid w:val="15F827C4"/>
    <w:rsid w:val="160A6543"/>
    <w:rsid w:val="1620289E"/>
    <w:rsid w:val="162C6A50"/>
    <w:rsid w:val="163245C4"/>
    <w:rsid w:val="16377E26"/>
    <w:rsid w:val="163A12AF"/>
    <w:rsid w:val="166D664C"/>
    <w:rsid w:val="167D6D46"/>
    <w:rsid w:val="16872A21"/>
    <w:rsid w:val="1694435F"/>
    <w:rsid w:val="169F5CDE"/>
    <w:rsid w:val="16AE1F94"/>
    <w:rsid w:val="16C912A4"/>
    <w:rsid w:val="16D47339"/>
    <w:rsid w:val="16D56E46"/>
    <w:rsid w:val="16E67243"/>
    <w:rsid w:val="16F563E0"/>
    <w:rsid w:val="16FA490D"/>
    <w:rsid w:val="16FF1100"/>
    <w:rsid w:val="17076CEB"/>
    <w:rsid w:val="170C7A98"/>
    <w:rsid w:val="17165068"/>
    <w:rsid w:val="171B0E08"/>
    <w:rsid w:val="172437F1"/>
    <w:rsid w:val="17383E05"/>
    <w:rsid w:val="17503B1D"/>
    <w:rsid w:val="175E7186"/>
    <w:rsid w:val="176A3BBF"/>
    <w:rsid w:val="177A2C5C"/>
    <w:rsid w:val="17811A93"/>
    <w:rsid w:val="178E0F05"/>
    <w:rsid w:val="178E43F6"/>
    <w:rsid w:val="17A01599"/>
    <w:rsid w:val="17B7142E"/>
    <w:rsid w:val="17BB2784"/>
    <w:rsid w:val="17D05A9C"/>
    <w:rsid w:val="17ED5B33"/>
    <w:rsid w:val="17F77D8F"/>
    <w:rsid w:val="17F95AD7"/>
    <w:rsid w:val="17FB49D5"/>
    <w:rsid w:val="17FE4F74"/>
    <w:rsid w:val="18060ABE"/>
    <w:rsid w:val="1826238E"/>
    <w:rsid w:val="18280AA4"/>
    <w:rsid w:val="18330989"/>
    <w:rsid w:val="18387C53"/>
    <w:rsid w:val="18487538"/>
    <w:rsid w:val="184A12A9"/>
    <w:rsid w:val="184E5500"/>
    <w:rsid w:val="18576469"/>
    <w:rsid w:val="18624679"/>
    <w:rsid w:val="186332DC"/>
    <w:rsid w:val="1869546F"/>
    <w:rsid w:val="187105EC"/>
    <w:rsid w:val="188B50B9"/>
    <w:rsid w:val="1896624A"/>
    <w:rsid w:val="18A0492D"/>
    <w:rsid w:val="18A94D13"/>
    <w:rsid w:val="18AE5146"/>
    <w:rsid w:val="18B2332F"/>
    <w:rsid w:val="18B3599A"/>
    <w:rsid w:val="18B55C50"/>
    <w:rsid w:val="18BD5769"/>
    <w:rsid w:val="18CB5F6B"/>
    <w:rsid w:val="18D26EC7"/>
    <w:rsid w:val="18DF5000"/>
    <w:rsid w:val="18E94C46"/>
    <w:rsid w:val="18EB2390"/>
    <w:rsid w:val="18EF209C"/>
    <w:rsid w:val="18FC4EDA"/>
    <w:rsid w:val="192F1493"/>
    <w:rsid w:val="19304AD4"/>
    <w:rsid w:val="193612F5"/>
    <w:rsid w:val="19394B37"/>
    <w:rsid w:val="19435197"/>
    <w:rsid w:val="194859F8"/>
    <w:rsid w:val="194F1591"/>
    <w:rsid w:val="195B6CC5"/>
    <w:rsid w:val="195C3082"/>
    <w:rsid w:val="19657F34"/>
    <w:rsid w:val="196C1EA2"/>
    <w:rsid w:val="19974FBC"/>
    <w:rsid w:val="199D5E66"/>
    <w:rsid w:val="19A65863"/>
    <w:rsid w:val="19A94553"/>
    <w:rsid w:val="19AB15B2"/>
    <w:rsid w:val="19AF2004"/>
    <w:rsid w:val="19B52F80"/>
    <w:rsid w:val="19C70A61"/>
    <w:rsid w:val="19E03E1B"/>
    <w:rsid w:val="1A0502B3"/>
    <w:rsid w:val="1A08377A"/>
    <w:rsid w:val="1A0946C5"/>
    <w:rsid w:val="1A1034F0"/>
    <w:rsid w:val="1A137660"/>
    <w:rsid w:val="1A153165"/>
    <w:rsid w:val="1A1571C3"/>
    <w:rsid w:val="1A2A5233"/>
    <w:rsid w:val="1A2C046E"/>
    <w:rsid w:val="1A2D388B"/>
    <w:rsid w:val="1A3648D3"/>
    <w:rsid w:val="1A375744"/>
    <w:rsid w:val="1A651A16"/>
    <w:rsid w:val="1A6836E2"/>
    <w:rsid w:val="1A685A6A"/>
    <w:rsid w:val="1A6866AE"/>
    <w:rsid w:val="1A6F05AA"/>
    <w:rsid w:val="1A80695B"/>
    <w:rsid w:val="1A8B4725"/>
    <w:rsid w:val="1A8F0F6A"/>
    <w:rsid w:val="1A934A91"/>
    <w:rsid w:val="1A9D63B2"/>
    <w:rsid w:val="1AA03D1F"/>
    <w:rsid w:val="1AA07B6E"/>
    <w:rsid w:val="1AA50DAF"/>
    <w:rsid w:val="1AAC74FA"/>
    <w:rsid w:val="1AB76EC8"/>
    <w:rsid w:val="1AC056FA"/>
    <w:rsid w:val="1AC860A2"/>
    <w:rsid w:val="1ADD4452"/>
    <w:rsid w:val="1AE62BBE"/>
    <w:rsid w:val="1AFD1DB0"/>
    <w:rsid w:val="1B0133F1"/>
    <w:rsid w:val="1B13697C"/>
    <w:rsid w:val="1B1D26B2"/>
    <w:rsid w:val="1B1F6606"/>
    <w:rsid w:val="1B237C51"/>
    <w:rsid w:val="1B27053E"/>
    <w:rsid w:val="1B2947FB"/>
    <w:rsid w:val="1B2A3AD4"/>
    <w:rsid w:val="1B2C3F65"/>
    <w:rsid w:val="1B3256B3"/>
    <w:rsid w:val="1B433D03"/>
    <w:rsid w:val="1B4A73C8"/>
    <w:rsid w:val="1B664222"/>
    <w:rsid w:val="1B6756C7"/>
    <w:rsid w:val="1B7059A3"/>
    <w:rsid w:val="1B7C7D22"/>
    <w:rsid w:val="1B813DF6"/>
    <w:rsid w:val="1B865B21"/>
    <w:rsid w:val="1B961E49"/>
    <w:rsid w:val="1BA30FA2"/>
    <w:rsid w:val="1BB01E67"/>
    <w:rsid w:val="1BB324EC"/>
    <w:rsid w:val="1BB71E1D"/>
    <w:rsid w:val="1BC0610C"/>
    <w:rsid w:val="1BC41FC4"/>
    <w:rsid w:val="1BC65A84"/>
    <w:rsid w:val="1BDB0473"/>
    <w:rsid w:val="1BDD74AF"/>
    <w:rsid w:val="1BE12F50"/>
    <w:rsid w:val="1BE14918"/>
    <w:rsid w:val="1C0765F4"/>
    <w:rsid w:val="1C154FAD"/>
    <w:rsid w:val="1C1A6157"/>
    <w:rsid w:val="1C1B5EFF"/>
    <w:rsid w:val="1C1E25B2"/>
    <w:rsid w:val="1C242C4F"/>
    <w:rsid w:val="1C2618FC"/>
    <w:rsid w:val="1C2C4A93"/>
    <w:rsid w:val="1C4E5B8F"/>
    <w:rsid w:val="1C521F63"/>
    <w:rsid w:val="1C554CB5"/>
    <w:rsid w:val="1C60066B"/>
    <w:rsid w:val="1C6F487B"/>
    <w:rsid w:val="1C723176"/>
    <w:rsid w:val="1C7A4E92"/>
    <w:rsid w:val="1C7C3BA7"/>
    <w:rsid w:val="1C8C6983"/>
    <w:rsid w:val="1C8D0591"/>
    <w:rsid w:val="1C9A71BE"/>
    <w:rsid w:val="1CA61AF2"/>
    <w:rsid w:val="1CC22120"/>
    <w:rsid w:val="1CCE5C94"/>
    <w:rsid w:val="1CDB0FD5"/>
    <w:rsid w:val="1CE1192D"/>
    <w:rsid w:val="1CE22B5A"/>
    <w:rsid w:val="1CF55A69"/>
    <w:rsid w:val="1CFA7135"/>
    <w:rsid w:val="1D0408BE"/>
    <w:rsid w:val="1D0668C1"/>
    <w:rsid w:val="1D0860C8"/>
    <w:rsid w:val="1D0C1B80"/>
    <w:rsid w:val="1D1B5624"/>
    <w:rsid w:val="1D3B142E"/>
    <w:rsid w:val="1D4969E2"/>
    <w:rsid w:val="1D5D7DBB"/>
    <w:rsid w:val="1D68583E"/>
    <w:rsid w:val="1D6B4B84"/>
    <w:rsid w:val="1D6F179D"/>
    <w:rsid w:val="1D713473"/>
    <w:rsid w:val="1D8246C3"/>
    <w:rsid w:val="1D890D2C"/>
    <w:rsid w:val="1D9A4001"/>
    <w:rsid w:val="1DA956AA"/>
    <w:rsid w:val="1DB0662A"/>
    <w:rsid w:val="1DB51D28"/>
    <w:rsid w:val="1DB843F0"/>
    <w:rsid w:val="1DC20D12"/>
    <w:rsid w:val="1DC41253"/>
    <w:rsid w:val="1DC873A2"/>
    <w:rsid w:val="1DFA108C"/>
    <w:rsid w:val="1DFE329A"/>
    <w:rsid w:val="1E014802"/>
    <w:rsid w:val="1E066FB4"/>
    <w:rsid w:val="1E0C04E3"/>
    <w:rsid w:val="1E28751A"/>
    <w:rsid w:val="1E3267C1"/>
    <w:rsid w:val="1E3E5C70"/>
    <w:rsid w:val="1E4B0497"/>
    <w:rsid w:val="1E5462CF"/>
    <w:rsid w:val="1E5E181A"/>
    <w:rsid w:val="1E6539EF"/>
    <w:rsid w:val="1E6A304D"/>
    <w:rsid w:val="1E7B25A1"/>
    <w:rsid w:val="1E8001BF"/>
    <w:rsid w:val="1E8C29E0"/>
    <w:rsid w:val="1E9A279D"/>
    <w:rsid w:val="1EA755BF"/>
    <w:rsid w:val="1EA97C86"/>
    <w:rsid w:val="1EAB3C71"/>
    <w:rsid w:val="1EBB00D1"/>
    <w:rsid w:val="1EC01D5A"/>
    <w:rsid w:val="1EC93231"/>
    <w:rsid w:val="1ECF0E8C"/>
    <w:rsid w:val="1ED23572"/>
    <w:rsid w:val="1EDD361E"/>
    <w:rsid w:val="1EF75A21"/>
    <w:rsid w:val="1EF92821"/>
    <w:rsid w:val="1EFC4789"/>
    <w:rsid w:val="1F060CF2"/>
    <w:rsid w:val="1F305921"/>
    <w:rsid w:val="1F346703"/>
    <w:rsid w:val="1F362548"/>
    <w:rsid w:val="1F642E60"/>
    <w:rsid w:val="1F682838"/>
    <w:rsid w:val="1F6D2AA3"/>
    <w:rsid w:val="1F717FB1"/>
    <w:rsid w:val="1F765D21"/>
    <w:rsid w:val="1F846202"/>
    <w:rsid w:val="1F8A4C78"/>
    <w:rsid w:val="1F9E4AAA"/>
    <w:rsid w:val="1FA732C7"/>
    <w:rsid w:val="1FB34410"/>
    <w:rsid w:val="1FC704C1"/>
    <w:rsid w:val="1FCA733A"/>
    <w:rsid w:val="1FCF0220"/>
    <w:rsid w:val="1FD110E0"/>
    <w:rsid w:val="1FF35E79"/>
    <w:rsid w:val="1FF427E5"/>
    <w:rsid w:val="1FF84B9C"/>
    <w:rsid w:val="1FF9544D"/>
    <w:rsid w:val="200A21F4"/>
    <w:rsid w:val="20105B08"/>
    <w:rsid w:val="201B5C7D"/>
    <w:rsid w:val="2041219F"/>
    <w:rsid w:val="204713EA"/>
    <w:rsid w:val="20494316"/>
    <w:rsid w:val="206702CD"/>
    <w:rsid w:val="207735F3"/>
    <w:rsid w:val="207A1682"/>
    <w:rsid w:val="207D68CF"/>
    <w:rsid w:val="20847C5E"/>
    <w:rsid w:val="208731B4"/>
    <w:rsid w:val="20902917"/>
    <w:rsid w:val="20A539D2"/>
    <w:rsid w:val="20A65976"/>
    <w:rsid w:val="20AF59F9"/>
    <w:rsid w:val="20B12546"/>
    <w:rsid w:val="20B528C0"/>
    <w:rsid w:val="20B77737"/>
    <w:rsid w:val="20C67943"/>
    <w:rsid w:val="21082478"/>
    <w:rsid w:val="2111379F"/>
    <w:rsid w:val="21132E52"/>
    <w:rsid w:val="212D0B32"/>
    <w:rsid w:val="2133428E"/>
    <w:rsid w:val="21486EDD"/>
    <w:rsid w:val="21494951"/>
    <w:rsid w:val="21542D2A"/>
    <w:rsid w:val="21604D3B"/>
    <w:rsid w:val="21616D85"/>
    <w:rsid w:val="21672966"/>
    <w:rsid w:val="216C4D00"/>
    <w:rsid w:val="21926F68"/>
    <w:rsid w:val="219D36EC"/>
    <w:rsid w:val="219E4DBF"/>
    <w:rsid w:val="21A66163"/>
    <w:rsid w:val="21AD478D"/>
    <w:rsid w:val="21BA76AF"/>
    <w:rsid w:val="21BF5045"/>
    <w:rsid w:val="21BF5C44"/>
    <w:rsid w:val="21C341A2"/>
    <w:rsid w:val="21C41E46"/>
    <w:rsid w:val="21C64434"/>
    <w:rsid w:val="21EF1E4E"/>
    <w:rsid w:val="21FA2957"/>
    <w:rsid w:val="21FA36BD"/>
    <w:rsid w:val="22267989"/>
    <w:rsid w:val="225D3BDF"/>
    <w:rsid w:val="22605873"/>
    <w:rsid w:val="226550D6"/>
    <w:rsid w:val="2268734B"/>
    <w:rsid w:val="226C1D81"/>
    <w:rsid w:val="22701579"/>
    <w:rsid w:val="22754132"/>
    <w:rsid w:val="22816EFC"/>
    <w:rsid w:val="228E78DB"/>
    <w:rsid w:val="22AC56B0"/>
    <w:rsid w:val="22AE6BC3"/>
    <w:rsid w:val="22B34255"/>
    <w:rsid w:val="22B51A8C"/>
    <w:rsid w:val="22B77812"/>
    <w:rsid w:val="22C47C77"/>
    <w:rsid w:val="22D123B8"/>
    <w:rsid w:val="22DA4871"/>
    <w:rsid w:val="22E2573F"/>
    <w:rsid w:val="22F26F43"/>
    <w:rsid w:val="22FD54B5"/>
    <w:rsid w:val="23040B25"/>
    <w:rsid w:val="23305C89"/>
    <w:rsid w:val="233A1118"/>
    <w:rsid w:val="2341586D"/>
    <w:rsid w:val="23465181"/>
    <w:rsid w:val="236A68EB"/>
    <w:rsid w:val="237E059B"/>
    <w:rsid w:val="237E7116"/>
    <w:rsid w:val="23B23B5F"/>
    <w:rsid w:val="23B66E81"/>
    <w:rsid w:val="23C0311A"/>
    <w:rsid w:val="23C43CA3"/>
    <w:rsid w:val="23CF046A"/>
    <w:rsid w:val="23D76337"/>
    <w:rsid w:val="23DC228B"/>
    <w:rsid w:val="23DC38D5"/>
    <w:rsid w:val="23DE7685"/>
    <w:rsid w:val="23F02909"/>
    <w:rsid w:val="23F90DC3"/>
    <w:rsid w:val="23FB5A89"/>
    <w:rsid w:val="240114A1"/>
    <w:rsid w:val="240609D8"/>
    <w:rsid w:val="24171377"/>
    <w:rsid w:val="24317C62"/>
    <w:rsid w:val="24374E96"/>
    <w:rsid w:val="243948BB"/>
    <w:rsid w:val="24407135"/>
    <w:rsid w:val="247308CD"/>
    <w:rsid w:val="247539DD"/>
    <w:rsid w:val="247C060F"/>
    <w:rsid w:val="248144B9"/>
    <w:rsid w:val="248420D4"/>
    <w:rsid w:val="249863CC"/>
    <w:rsid w:val="249A2B4E"/>
    <w:rsid w:val="249B0F59"/>
    <w:rsid w:val="249C77D6"/>
    <w:rsid w:val="249D4188"/>
    <w:rsid w:val="24A56CAD"/>
    <w:rsid w:val="24B33D35"/>
    <w:rsid w:val="24B853ED"/>
    <w:rsid w:val="24C21440"/>
    <w:rsid w:val="24C7350C"/>
    <w:rsid w:val="24CF7EAE"/>
    <w:rsid w:val="24DB6651"/>
    <w:rsid w:val="24DC79C2"/>
    <w:rsid w:val="24DF5F99"/>
    <w:rsid w:val="24FA3005"/>
    <w:rsid w:val="250E4E6E"/>
    <w:rsid w:val="250F5BD8"/>
    <w:rsid w:val="251A7822"/>
    <w:rsid w:val="251D61FD"/>
    <w:rsid w:val="25235E80"/>
    <w:rsid w:val="25470767"/>
    <w:rsid w:val="25496866"/>
    <w:rsid w:val="254E0A20"/>
    <w:rsid w:val="25517DD5"/>
    <w:rsid w:val="255D7234"/>
    <w:rsid w:val="257B0F03"/>
    <w:rsid w:val="259952D6"/>
    <w:rsid w:val="25AE2007"/>
    <w:rsid w:val="25B43F18"/>
    <w:rsid w:val="25B96996"/>
    <w:rsid w:val="25BA43FD"/>
    <w:rsid w:val="25BD4F07"/>
    <w:rsid w:val="25C16507"/>
    <w:rsid w:val="25D57C65"/>
    <w:rsid w:val="25DE3201"/>
    <w:rsid w:val="260D2BED"/>
    <w:rsid w:val="26172AC5"/>
    <w:rsid w:val="263C65ED"/>
    <w:rsid w:val="26473662"/>
    <w:rsid w:val="265E4333"/>
    <w:rsid w:val="266D2DC9"/>
    <w:rsid w:val="26874F66"/>
    <w:rsid w:val="268A303D"/>
    <w:rsid w:val="26945D44"/>
    <w:rsid w:val="26956CCE"/>
    <w:rsid w:val="269F144C"/>
    <w:rsid w:val="26A91084"/>
    <w:rsid w:val="26C70F05"/>
    <w:rsid w:val="26DF62A8"/>
    <w:rsid w:val="26E664E2"/>
    <w:rsid w:val="26EE6407"/>
    <w:rsid w:val="26FA0E4C"/>
    <w:rsid w:val="27135D4E"/>
    <w:rsid w:val="27141E6A"/>
    <w:rsid w:val="2724224D"/>
    <w:rsid w:val="272B4868"/>
    <w:rsid w:val="27433A5A"/>
    <w:rsid w:val="274D0896"/>
    <w:rsid w:val="2759154A"/>
    <w:rsid w:val="2778514D"/>
    <w:rsid w:val="27897907"/>
    <w:rsid w:val="279671CD"/>
    <w:rsid w:val="27A21655"/>
    <w:rsid w:val="27A35328"/>
    <w:rsid w:val="27AE55C0"/>
    <w:rsid w:val="27B900C1"/>
    <w:rsid w:val="27B91C01"/>
    <w:rsid w:val="27D97817"/>
    <w:rsid w:val="27E04FD1"/>
    <w:rsid w:val="27E731F6"/>
    <w:rsid w:val="27FD059E"/>
    <w:rsid w:val="280671AA"/>
    <w:rsid w:val="28096C9A"/>
    <w:rsid w:val="28115C32"/>
    <w:rsid w:val="28296F0A"/>
    <w:rsid w:val="28431EB4"/>
    <w:rsid w:val="284643E4"/>
    <w:rsid w:val="284675AF"/>
    <w:rsid w:val="28496B4B"/>
    <w:rsid w:val="2859032B"/>
    <w:rsid w:val="285C4269"/>
    <w:rsid w:val="285E18F3"/>
    <w:rsid w:val="28636680"/>
    <w:rsid w:val="287D3227"/>
    <w:rsid w:val="288F0BB2"/>
    <w:rsid w:val="289216AA"/>
    <w:rsid w:val="28A0603C"/>
    <w:rsid w:val="28BF176F"/>
    <w:rsid w:val="28D2065B"/>
    <w:rsid w:val="28D50A98"/>
    <w:rsid w:val="28EA3F88"/>
    <w:rsid w:val="28FE7379"/>
    <w:rsid w:val="29025904"/>
    <w:rsid w:val="29051210"/>
    <w:rsid w:val="29065DE9"/>
    <w:rsid w:val="29314421"/>
    <w:rsid w:val="29374624"/>
    <w:rsid w:val="29566406"/>
    <w:rsid w:val="295D2A52"/>
    <w:rsid w:val="2965271D"/>
    <w:rsid w:val="29A15881"/>
    <w:rsid w:val="29B019A3"/>
    <w:rsid w:val="29B330B1"/>
    <w:rsid w:val="29C769E2"/>
    <w:rsid w:val="29C84530"/>
    <w:rsid w:val="29EC5EB3"/>
    <w:rsid w:val="29ED1E0B"/>
    <w:rsid w:val="29FE2C1B"/>
    <w:rsid w:val="2A026215"/>
    <w:rsid w:val="2A057D4B"/>
    <w:rsid w:val="2A086D72"/>
    <w:rsid w:val="2A1C6997"/>
    <w:rsid w:val="2A1D43B6"/>
    <w:rsid w:val="2A215A7B"/>
    <w:rsid w:val="2A2445A1"/>
    <w:rsid w:val="2A2B7D83"/>
    <w:rsid w:val="2A31538D"/>
    <w:rsid w:val="2A362D3D"/>
    <w:rsid w:val="2A512521"/>
    <w:rsid w:val="2A5256C0"/>
    <w:rsid w:val="2A573005"/>
    <w:rsid w:val="2A5B02ED"/>
    <w:rsid w:val="2A6401ED"/>
    <w:rsid w:val="2A753955"/>
    <w:rsid w:val="2A755643"/>
    <w:rsid w:val="2A8A3D28"/>
    <w:rsid w:val="2A8C0306"/>
    <w:rsid w:val="2AA925C4"/>
    <w:rsid w:val="2AB07515"/>
    <w:rsid w:val="2AC75B9E"/>
    <w:rsid w:val="2AD8313B"/>
    <w:rsid w:val="2AE05D69"/>
    <w:rsid w:val="2AE72F63"/>
    <w:rsid w:val="2AEA599E"/>
    <w:rsid w:val="2AEA7CEF"/>
    <w:rsid w:val="2AF04043"/>
    <w:rsid w:val="2AF54D2B"/>
    <w:rsid w:val="2B055086"/>
    <w:rsid w:val="2B065AFB"/>
    <w:rsid w:val="2B20466D"/>
    <w:rsid w:val="2B2D1B58"/>
    <w:rsid w:val="2B391A6B"/>
    <w:rsid w:val="2B411D17"/>
    <w:rsid w:val="2B66172D"/>
    <w:rsid w:val="2B6C2CB9"/>
    <w:rsid w:val="2B7409F4"/>
    <w:rsid w:val="2B7C4A12"/>
    <w:rsid w:val="2B890274"/>
    <w:rsid w:val="2B8E7EC4"/>
    <w:rsid w:val="2B8F00BE"/>
    <w:rsid w:val="2B91704E"/>
    <w:rsid w:val="2BD57B73"/>
    <w:rsid w:val="2BF67590"/>
    <w:rsid w:val="2C0B5600"/>
    <w:rsid w:val="2C0F0167"/>
    <w:rsid w:val="2C160CC4"/>
    <w:rsid w:val="2C1B2809"/>
    <w:rsid w:val="2C203263"/>
    <w:rsid w:val="2C253CC6"/>
    <w:rsid w:val="2C327BD9"/>
    <w:rsid w:val="2C3D1167"/>
    <w:rsid w:val="2C3D48BB"/>
    <w:rsid w:val="2C441967"/>
    <w:rsid w:val="2C4F1725"/>
    <w:rsid w:val="2C520E67"/>
    <w:rsid w:val="2C6754C6"/>
    <w:rsid w:val="2C6F1C50"/>
    <w:rsid w:val="2C720EF9"/>
    <w:rsid w:val="2C952AED"/>
    <w:rsid w:val="2C990111"/>
    <w:rsid w:val="2C9E5C62"/>
    <w:rsid w:val="2CA47774"/>
    <w:rsid w:val="2CA91667"/>
    <w:rsid w:val="2CB132BA"/>
    <w:rsid w:val="2CBA4A2E"/>
    <w:rsid w:val="2CC20116"/>
    <w:rsid w:val="2CDB5D1B"/>
    <w:rsid w:val="2CDE4557"/>
    <w:rsid w:val="2CE13E75"/>
    <w:rsid w:val="2CE211DE"/>
    <w:rsid w:val="2CFC7E0D"/>
    <w:rsid w:val="2CFE63DA"/>
    <w:rsid w:val="2D012FEA"/>
    <w:rsid w:val="2D0337FF"/>
    <w:rsid w:val="2D123CBA"/>
    <w:rsid w:val="2D155DCE"/>
    <w:rsid w:val="2D221527"/>
    <w:rsid w:val="2D256D5F"/>
    <w:rsid w:val="2D3E6DAF"/>
    <w:rsid w:val="2D40401F"/>
    <w:rsid w:val="2D4749D9"/>
    <w:rsid w:val="2D53647D"/>
    <w:rsid w:val="2D5409B8"/>
    <w:rsid w:val="2D5446DA"/>
    <w:rsid w:val="2D576FD9"/>
    <w:rsid w:val="2D954D30"/>
    <w:rsid w:val="2D9C441D"/>
    <w:rsid w:val="2DA07F18"/>
    <w:rsid w:val="2DAF4F8E"/>
    <w:rsid w:val="2DB717F1"/>
    <w:rsid w:val="2DB770D2"/>
    <w:rsid w:val="2DE15572"/>
    <w:rsid w:val="2DEF1EDC"/>
    <w:rsid w:val="2DF77C6C"/>
    <w:rsid w:val="2E0611FC"/>
    <w:rsid w:val="2E300D61"/>
    <w:rsid w:val="2E305345"/>
    <w:rsid w:val="2E4D2D18"/>
    <w:rsid w:val="2E532D60"/>
    <w:rsid w:val="2E5B0EA4"/>
    <w:rsid w:val="2E6B278B"/>
    <w:rsid w:val="2E734746"/>
    <w:rsid w:val="2E915116"/>
    <w:rsid w:val="2E976519"/>
    <w:rsid w:val="2EAB2888"/>
    <w:rsid w:val="2ECE564E"/>
    <w:rsid w:val="2ED718A0"/>
    <w:rsid w:val="2EEA07BD"/>
    <w:rsid w:val="2EEA7A5F"/>
    <w:rsid w:val="2EF45C82"/>
    <w:rsid w:val="2EFA4FC6"/>
    <w:rsid w:val="2EFF7402"/>
    <w:rsid w:val="2F08333C"/>
    <w:rsid w:val="2F0C5616"/>
    <w:rsid w:val="2F0C598C"/>
    <w:rsid w:val="2F43622F"/>
    <w:rsid w:val="2F484D15"/>
    <w:rsid w:val="2F484F80"/>
    <w:rsid w:val="2F5C1DA5"/>
    <w:rsid w:val="2F6F663F"/>
    <w:rsid w:val="2F7B3DEC"/>
    <w:rsid w:val="2F7C2E60"/>
    <w:rsid w:val="2F855157"/>
    <w:rsid w:val="2FA07C4B"/>
    <w:rsid w:val="2FCF7C2A"/>
    <w:rsid w:val="2FED168C"/>
    <w:rsid w:val="2FEE2A57"/>
    <w:rsid w:val="2FFC7DC1"/>
    <w:rsid w:val="3004542A"/>
    <w:rsid w:val="30176C03"/>
    <w:rsid w:val="30375043"/>
    <w:rsid w:val="30483F15"/>
    <w:rsid w:val="30490E98"/>
    <w:rsid w:val="305303A7"/>
    <w:rsid w:val="305A78DF"/>
    <w:rsid w:val="305B448B"/>
    <w:rsid w:val="3061134E"/>
    <w:rsid w:val="3078777A"/>
    <w:rsid w:val="307C5B05"/>
    <w:rsid w:val="307D0225"/>
    <w:rsid w:val="30862FBC"/>
    <w:rsid w:val="308C1BC5"/>
    <w:rsid w:val="309C37D8"/>
    <w:rsid w:val="30A16CBE"/>
    <w:rsid w:val="30A61C79"/>
    <w:rsid w:val="30A716A4"/>
    <w:rsid w:val="30AC69C2"/>
    <w:rsid w:val="30AE154C"/>
    <w:rsid w:val="30B03FDB"/>
    <w:rsid w:val="30C756E2"/>
    <w:rsid w:val="30D27813"/>
    <w:rsid w:val="30E65DCB"/>
    <w:rsid w:val="30F02C95"/>
    <w:rsid w:val="30F52424"/>
    <w:rsid w:val="30FF4A39"/>
    <w:rsid w:val="31053091"/>
    <w:rsid w:val="310B2C99"/>
    <w:rsid w:val="31191817"/>
    <w:rsid w:val="311E6ABC"/>
    <w:rsid w:val="31205CCE"/>
    <w:rsid w:val="312509D9"/>
    <w:rsid w:val="3142482D"/>
    <w:rsid w:val="314624F7"/>
    <w:rsid w:val="314857EE"/>
    <w:rsid w:val="31490098"/>
    <w:rsid w:val="314D6AD8"/>
    <w:rsid w:val="31545A49"/>
    <w:rsid w:val="316943B3"/>
    <w:rsid w:val="31762A71"/>
    <w:rsid w:val="31780619"/>
    <w:rsid w:val="31796BE9"/>
    <w:rsid w:val="317C4CAD"/>
    <w:rsid w:val="317C5B5C"/>
    <w:rsid w:val="318D26EA"/>
    <w:rsid w:val="31955C20"/>
    <w:rsid w:val="31975FF7"/>
    <w:rsid w:val="319C328A"/>
    <w:rsid w:val="31AD0E0D"/>
    <w:rsid w:val="31AF377A"/>
    <w:rsid w:val="31B07BB6"/>
    <w:rsid w:val="31BF73A6"/>
    <w:rsid w:val="31CC4203"/>
    <w:rsid w:val="31CC6CDF"/>
    <w:rsid w:val="31DB1357"/>
    <w:rsid w:val="31DE3E4F"/>
    <w:rsid w:val="31E21653"/>
    <w:rsid w:val="31F06C30"/>
    <w:rsid w:val="31F27592"/>
    <w:rsid w:val="31FC118D"/>
    <w:rsid w:val="320B5BB7"/>
    <w:rsid w:val="321275DA"/>
    <w:rsid w:val="322568B3"/>
    <w:rsid w:val="322B03CE"/>
    <w:rsid w:val="323A5413"/>
    <w:rsid w:val="323D60B7"/>
    <w:rsid w:val="32483425"/>
    <w:rsid w:val="32517007"/>
    <w:rsid w:val="3257125A"/>
    <w:rsid w:val="326066BF"/>
    <w:rsid w:val="326416B0"/>
    <w:rsid w:val="3268682D"/>
    <w:rsid w:val="326F5FD0"/>
    <w:rsid w:val="32704432"/>
    <w:rsid w:val="32760B75"/>
    <w:rsid w:val="327E4AFD"/>
    <w:rsid w:val="3298308F"/>
    <w:rsid w:val="32984C09"/>
    <w:rsid w:val="32993905"/>
    <w:rsid w:val="329C293F"/>
    <w:rsid w:val="32A043D9"/>
    <w:rsid w:val="32A32494"/>
    <w:rsid w:val="32B07EC5"/>
    <w:rsid w:val="32CC2C55"/>
    <w:rsid w:val="32E16C9F"/>
    <w:rsid w:val="32E51A19"/>
    <w:rsid w:val="32EB47F7"/>
    <w:rsid w:val="32ED12F2"/>
    <w:rsid w:val="32ED34AA"/>
    <w:rsid w:val="32F97360"/>
    <w:rsid w:val="32FA19E7"/>
    <w:rsid w:val="32FA54A1"/>
    <w:rsid w:val="330E416C"/>
    <w:rsid w:val="331B728F"/>
    <w:rsid w:val="331C1A42"/>
    <w:rsid w:val="332274AA"/>
    <w:rsid w:val="33324E40"/>
    <w:rsid w:val="33354BC4"/>
    <w:rsid w:val="333810B3"/>
    <w:rsid w:val="333F5929"/>
    <w:rsid w:val="33501177"/>
    <w:rsid w:val="336B5304"/>
    <w:rsid w:val="33867EF7"/>
    <w:rsid w:val="3392223A"/>
    <w:rsid w:val="339C2976"/>
    <w:rsid w:val="33A26508"/>
    <w:rsid w:val="33A46E9C"/>
    <w:rsid w:val="33A650B5"/>
    <w:rsid w:val="33AD652C"/>
    <w:rsid w:val="33AE1BA1"/>
    <w:rsid w:val="33B358FC"/>
    <w:rsid w:val="33D71520"/>
    <w:rsid w:val="33E94F3D"/>
    <w:rsid w:val="33F57FBD"/>
    <w:rsid w:val="33F847D4"/>
    <w:rsid w:val="33FA34C2"/>
    <w:rsid w:val="33FE74AF"/>
    <w:rsid w:val="34110545"/>
    <w:rsid w:val="34115ADD"/>
    <w:rsid w:val="341A2D75"/>
    <w:rsid w:val="341B184B"/>
    <w:rsid w:val="341B5E26"/>
    <w:rsid w:val="341E1043"/>
    <w:rsid w:val="34217363"/>
    <w:rsid w:val="342D4023"/>
    <w:rsid w:val="343B4DF4"/>
    <w:rsid w:val="34463283"/>
    <w:rsid w:val="346F2555"/>
    <w:rsid w:val="347454E2"/>
    <w:rsid w:val="34803D45"/>
    <w:rsid w:val="348267A5"/>
    <w:rsid w:val="3485738E"/>
    <w:rsid w:val="34A472AE"/>
    <w:rsid w:val="34A67B3D"/>
    <w:rsid w:val="34AA710F"/>
    <w:rsid w:val="34B001A4"/>
    <w:rsid w:val="34B61F58"/>
    <w:rsid w:val="34BD4FF4"/>
    <w:rsid w:val="34C7759A"/>
    <w:rsid w:val="34CA3B34"/>
    <w:rsid w:val="34DA30B7"/>
    <w:rsid w:val="34DE547F"/>
    <w:rsid w:val="34E052D2"/>
    <w:rsid w:val="35015999"/>
    <w:rsid w:val="35024F12"/>
    <w:rsid w:val="3515136C"/>
    <w:rsid w:val="3519159A"/>
    <w:rsid w:val="352675EE"/>
    <w:rsid w:val="35272534"/>
    <w:rsid w:val="352A5DBB"/>
    <w:rsid w:val="35434C1A"/>
    <w:rsid w:val="354A7A92"/>
    <w:rsid w:val="354E067B"/>
    <w:rsid w:val="354F249F"/>
    <w:rsid w:val="35527ED3"/>
    <w:rsid w:val="356C2B48"/>
    <w:rsid w:val="357D72CF"/>
    <w:rsid w:val="35824D08"/>
    <w:rsid w:val="3583614E"/>
    <w:rsid w:val="35A86BB8"/>
    <w:rsid w:val="35C957CC"/>
    <w:rsid w:val="35D9308C"/>
    <w:rsid w:val="35E235D0"/>
    <w:rsid w:val="35E545A8"/>
    <w:rsid w:val="35EF31ED"/>
    <w:rsid w:val="35F64CEC"/>
    <w:rsid w:val="35F77D93"/>
    <w:rsid w:val="35FE58F6"/>
    <w:rsid w:val="363078A4"/>
    <w:rsid w:val="36310D2A"/>
    <w:rsid w:val="36334DCE"/>
    <w:rsid w:val="36427AE3"/>
    <w:rsid w:val="3647584E"/>
    <w:rsid w:val="364C50CE"/>
    <w:rsid w:val="36523E91"/>
    <w:rsid w:val="365C6122"/>
    <w:rsid w:val="36770612"/>
    <w:rsid w:val="3679252A"/>
    <w:rsid w:val="36794BF6"/>
    <w:rsid w:val="367F41D1"/>
    <w:rsid w:val="368470CC"/>
    <w:rsid w:val="36A3034D"/>
    <w:rsid w:val="36AA4C21"/>
    <w:rsid w:val="36B319EA"/>
    <w:rsid w:val="36C16756"/>
    <w:rsid w:val="36CD4053"/>
    <w:rsid w:val="36D424B7"/>
    <w:rsid w:val="36D6068F"/>
    <w:rsid w:val="36EC6D93"/>
    <w:rsid w:val="370A0339"/>
    <w:rsid w:val="370C2A8A"/>
    <w:rsid w:val="370E4CD0"/>
    <w:rsid w:val="37147C0C"/>
    <w:rsid w:val="371842C5"/>
    <w:rsid w:val="372907BF"/>
    <w:rsid w:val="372C602D"/>
    <w:rsid w:val="372D1749"/>
    <w:rsid w:val="373A1E42"/>
    <w:rsid w:val="37483BE5"/>
    <w:rsid w:val="374D0F97"/>
    <w:rsid w:val="3754062E"/>
    <w:rsid w:val="376508F3"/>
    <w:rsid w:val="376934A6"/>
    <w:rsid w:val="376B528B"/>
    <w:rsid w:val="37716804"/>
    <w:rsid w:val="377A28DA"/>
    <w:rsid w:val="3787552A"/>
    <w:rsid w:val="379C0671"/>
    <w:rsid w:val="37A14502"/>
    <w:rsid w:val="37A962BA"/>
    <w:rsid w:val="37B777EA"/>
    <w:rsid w:val="37BE5E76"/>
    <w:rsid w:val="37C42069"/>
    <w:rsid w:val="37F54B45"/>
    <w:rsid w:val="37FC4A67"/>
    <w:rsid w:val="37FE2EE4"/>
    <w:rsid w:val="380648C8"/>
    <w:rsid w:val="380710BF"/>
    <w:rsid w:val="38085636"/>
    <w:rsid w:val="380D7A06"/>
    <w:rsid w:val="381346CF"/>
    <w:rsid w:val="3819771D"/>
    <w:rsid w:val="381E2C65"/>
    <w:rsid w:val="3821453E"/>
    <w:rsid w:val="382B0567"/>
    <w:rsid w:val="38320D1B"/>
    <w:rsid w:val="3855209C"/>
    <w:rsid w:val="385A298A"/>
    <w:rsid w:val="38752856"/>
    <w:rsid w:val="3877094C"/>
    <w:rsid w:val="38836695"/>
    <w:rsid w:val="388C0C90"/>
    <w:rsid w:val="38B532A7"/>
    <w:rsid w:val="38C0575F"/>
    <w:rsid w:val="38D15753"/>
    <w:rsid w:val="38E3726D"/>
    <w:rsid w:val="38EC3A84"/>
    <w:rsid w:val="38F63CD0"/>
    <w:rsid w:val="390C2146"/>
    <w:rsid w:val="392110BB"/>
    <w:rsid w:val="39450DDC"/>
    <w:rsid w:val="39490DDD"/>
    <w:rsid w:val="395331AB"/>
    <w:rsid w:val="39740265"/>
    <w:rsid w:val="399617DE"/>
    <w:rsid w:val="399860D0"/>
    <w:rsid w:val="39A13611"/>
    <w:rsid w:val="39A824A2"/>
    <w:rsid w:val="39C41188"/>
    <w:rsid w:val="39DB46D1"/>
    <w:rsid w:val="39FA49D3"/>
    <w:rsid w:val="39FF4ACF"/>
    <w:rsid w:val="3A17553B"/>
    <w:rsid w:val="3A1B3258"/>
    <w:rsid w:val="3A1E0607"/>
    <w:rsid w:val="3A2D74B4"/>
    <w:rsid w:val="3A305BA5"/>
    <w:rsid w:val="3A37575A"/>
    <w:rsid w:val="3A5E230D"/>
    <w:rsid w:val="3A650507"/>
    <w:rsid w:val="3A6714FD"/>
    <w:rsid w:val="3A6B6D83"/>
    <w:rsid w:val="3A6F38A7"/>
    <w:rsid w:val="3A8A7FA5"/>
    <w:rsid w:val="3A952440"/>
    <w:rsid w:val="3AAF22B0"/>
    <w:rsid w:val="3AB456D6"/>
    <w:rsid w:val="3ACB45C8"/>
    <w:rsid w:val="3AD11404"/>
    <w:rsid w:val="3AD524A1"/>
    <w:rsid w:val="3AE16887"/>
    <w:rsid w:val="3AE910D9"/>
    <w:rsid w:val="3AE9338C"/>
    <w:rsid w:val="3AEF44ED"/>
    <w:rsid w:val="3AF66958"/>
    <w:rsid w:val="3AF66FD9"/>
    <w:rsid w:val="3AF74C25"/>
    <w:rsid w:val="3AFA09F5"/>
    <w:rsid w:val="3B0129D6"/>
    <w:rsid w:val="3B0B4431"/>
    <w:rsid w:val="3B39258C"/>
    <w:rsid w:val="3B3B5076"/>
    <w:rsid w:val="3B49542E"/>
    <w:rsid w:val="3B554CD7"/>
    <w:rsid w:val="3B5D312D"/>
    <w:rsid w:val="3B6C5404"/>
    <w:rsid w:val="3B7166D8"/>
    <w:rsid w:val="3B760DE6"/>
    <w:rsid w:val="3B8608EA"/>
    <w:rsid w:val="3B8C1AF8"/>
    <w:rsid w:val="3B9E5964"/>
    <w:rsid w:val="3B9F0166"/>
    <w:rsid w:val="3BA21928"/>
    <w:rsid w:val="3BC24D37"/>
    <w:rsid w:val="3BCE0F7B"/>
    <w:rsid w:val="3BE014F6"/>
    <w:rsid w:val="3BF55114"/>
    <w:rsid w:val="3BF620B1"/>
    <w:rsid w:val="3C1C0134"/>
    <w:rsid w:val="3C1F5FB2"/>
    <w:rsid w:val="3C3C7DE7"/>
    <w:rsid w:val="3C3D35BF"/>
    <w:rsid w:val="3C414414"/>
    <w:rsid w:val="3C4218A1"/>
    <w:rsid w:val="3C4E2B7E"/>
    <w:rsid w:val="3C585C3D"/>
    <w:rsid w:val="3C8D17F0"/>
    <w:rsid w:val="3C9046A8"/>
    <w:rsid w:val="3C906AB9"/>
    <w:rsid w:val="3CAA29E1"/>
    <w:rsid w:val="3CB12AFC"/>
    <w:rsid w:val="3CB974AC"/>
    <w:rsid w:val="3CBB6D95"/>
    <w:rsid w:val="3CC076A3"/>
    <w:rsid w:val="3CC10172"/>
    <w:rsid w:val="3CDD2C97"/>
    <w:rsid w:val="3CE01A97"/>
    <w:rsid w:val="3CEF6007"/>
    <w:rsid w:val="3CF26C54"/>
    <w:rsid w:val="3CF93F1A"/>
    <w:rsid w:val="3CFC147E"/>
    <w:rsid w:val="3CFF671A"/>
    <w:rsid w:val="3D075065"/>
    <w:rsid w:val="3D0B3C22"/>
    <w:rsid w:val="3D1120A7"/>
    <w:rsid w:val="3D2223E4"/>
    <w:rsid w:val="3D223C90"/>
    <w:rsid w:val="3D392863"/>
    <w:rsid w:val="3D47121F"/>
    <w:rsid w:val="3D561E4C"/>
    <w:rsid w:val="3D5638CB"/>
    <w:rsid w:val="3D5C0784"/>
    <w:rsid w:val="3D662CAA"/>
    <w:rsid w:val="3D683B67"/>
    <w:rsid w:val="3D6C37BF"/>
    <w:rsid w:val="3D73257E"/>
    <w:rsid w:val="3D732CA8"/>
    <w:rsid w:val="3D7A5BC3"/>
    <w:rsid w:val="3D885A6D"/>
    <w:rsid w:val="3D8F139D"/>
    <w:rsid w:val="3DA36954"/>
    <w:rsid w:val="3DAA259E"/>
    <w:rsid w:val="3DBD035B"/>
    <w:rsid w:val="3DC254CA"/>
    <w:rsid w:val="3DD82F3F"/>
    <w:rsid w:val="3DE539CE"/>
    <w:rsid w:val="3E11436D"/>
    <w:rsid w:val="3E164698"/>
    <w:rsid w:val="3E231083"/>
    <w:rsid w:val="3E28095D"/>
    <w:rsid w:val="3E310F64"/>
    <w:rsid w:val="3E333F36"/>
    <w:rsid w:val="3E3E4402"/>
    <w:rsid w:val="3E5A5F68"/>
    <w:rsid w:val="3E69529A"/>
    <w:rsid w:val="3E81550C"/>
    <w:rsid w:val="3EA116AA"/>
    <w:rsid w:val="3ED117FB"/>
    <w:rsid w:val="3ED15030"/>
    <w:rsid w:val="3ED451A5"/>
    <w:rsid w:val="3EE3610D"/>
    <w:rsid w:val="3EE52C71"/>
    <w:rsid w:val="3EE80F60"/>
    <w:rsid w:val="3EF95E94"/>
    <w:rsid w:val="3EFA6976"/>
    <w:rsid w:val="3F082297"/>
    <w:rsid w:val="3F1B7587"/>
    <w:rsid w:val="3F26458D"/>
    <w:rsid w:val="3F2F0C40"/>
    <w:rsid w:val="3F322BB5"/>
    <w:rsid w:val="3F4E0CFE"/>
    <w:rsid w:val="3F4E7E54"/>
    <w:rsid w:val="3F502047"/>
    <w:rsid w:val="3F5243D4"/>
    <w:rsid w:val="3F5534B3"/>
    <w:rsid w:val="3F5A033B"/>
    <w:rsid w:val="3F5C54AA"/>
    <w:rsid w:val="3F670E24"/>
    <w:rsid w:val="3F8527C0"/>
    <w:rsid w:val="3F88737A"/>
    <w:rsid w:val="3F964E60"/>
    <w:rsid w:val="3F9E3AD2"/>
    <w:rsid w:val="3FA61A86"/>
    <w:rsid w:val="3FC1703B"/>
    <w:rsid w:val="3FC26C8F"/>
    <w:rsid w:val="3FC27E28"/>
    <w:rsid w:val="3FCC7235"/>
    <w:rsid w:val="3FE25466"/>
    <w:rsid w:val="3FF91808"/>
    <w:rsid w:val="3FF9526D"/>
    <w:rsid w:val="3FFA4841"/>
    <w:rsid w:val="4002611C"/>
    <w:rsid w:val="400A1140"/>
    <w:rsid w:val="400B3158"/>
    <w:rsid w:val="400E0E9A"/>
    <w:rsid w:val="4012268A"/>
    <w:rsid w:val="401B27BB"/>
    <w:rsid w:val="402B2557"/>
    <w:rsid w:val="402E5729"/>
    <w:rsid w:val="402E6002"/>
    <w:rsid w:val="402F189F"/>
    <w:rsid w:val="403D6049"/>
    <w:rsid w:val="404D045F"/>
    <w:rsid w:val="405C6D58"/>
    <w:rsid w:val="40644F5E"/>
    <w:rsid w:val="406E55F6"/>
    <w:rsid w:val="40832915"/>
    <w:rsid w:val="40B93D7F"/>
    <w:rsid w:val="40C14C33"/>
    <w:rsid w:val="40D062A9"/>
    <w:rsid w:val="40D72934"/>
    <w:rsid w:val="40DD77F0"/>
    <w:rsid w:val="40F62BFB"/>
    <w:rsid w:val="41042BD0"/>
    <w:rsid w:val="41044BCD"/>
    <w:rsid w:val="41072D67"/>
    <w:rsid w:val="410C06BB"/>
    <w:rsid w:val="410C24AB"/>
    <w:rsid w:val="41112125"/>
    <w:rsid w:val="41165A29"/>
    <w:rsid w:val="411C32A8"/>
    <w:rsid w:val="412D63C6"/>
    <w:rsid w:val="4139476D"/>
    <w:rsid w:val="415863E1"/>
    <w:rsid w:val="41661BF5"/>
    <w:rsid w:val="41684A03"/>
    <w:rsid w:val="4175326D"/>
    <w:rsid w:val="41851C8F"/>
    <w:rsid w:val="419557AA"/>
    <w:rsid w:val="41A63A67"/>
    <w:rsid w:val="41A90904"/>
    <w:rsid w:val="41B07E8A"/>
    <w:rsid w:val="41B273A2"/>
    <w:rsid w:val="41DA4416"/>
    <w:rsid w:val="41EB108C"/>
    <w:rsid w:val="41EC5D77"/>
    <w:rsid w:val="41FA6470"/>
    <w:rsid w:val="4208638E"/>
    <w:rsid w:val="42186416"/>
    <w:rsid w:val="422A24F9"/>
    <w:rsid w:val="422B23E3"/>
    <w:rsid w:val="422E6145"/>
    <w:rsid w:val="423E56DE"/>
    <w:rsid w:val="42400587"/>
    <w:rsid w:val="426E3DF2"/>
    <w:rsid w:val="426E62A7"/>
    <w:rsid w:val="428D5CBC"/>
    <w:rsid w:val="42A23A40"/>
    <w:rsid w:val="42B318C9"/>
    <w:rsid w:val="42BD32B4"/>
    <w:rsid w:val="42C04536"/>
    <w:rsid w:val="42C725BE"/>
    <w:rsid w:val="42D9753D"/>
    <w:rsid w:val="42EB43D9"/>
    <w:rsid w:val="42FC78E6"/>
    <w:rsid w:val="42FD5B32"/>
    <w:rsid w:val="43043450"/>
    <w:rsid w:val="430F0D86"/>
    <w:rsid w:val="430F3CF0"/>
    <w:rsid w:val="431E6BF3"/>
    <w:rsid w:val="4323183B"/>
    <w:rsid w:val="432E73B5"/>
    <w:rsid w:val="43384391"/>
    <w:rsid w:val="43444238"/>
    <w:rsid w:val="43501BBC"/>
    <w:rsid w:val="435C1826"/>
    <w:rsid w:val="43601228"/>
    <w:rsid w:val="43631978"/>
    <w:rsid w:val="439127F4"/>
    <w:rsid w:val="43AA4626"/>
    <w:rsid w:val="43AF5E01"/>
    <w:rsid w:val="43BC37F0"/>
    <w:rsid w:val="43C743AF"/>
    <w:rsid w:val="43CB5D6C"/>
    <w:rsid w:val="43D8223F"/>
    <w:rsid w:val="43EB769F"/>
    <w:rsid w:val="43EC305F"/>
    <w:rsid w:val="43F14D04"/>
    <w:rsid w:val="441C5E02"/>
    <w:rsid w:val="44202F4A"/>
    <w:rsid w:val="44233DC1"/>
    <w:rsid w:val="44397702"/>
    <w:rsid w:val="44483113"/>
    <w:rsid w:val="444C16C6"/>
    <w:rsid w:val="445C6270"/>
    <w:rsid w:val="445D4144"/>
    <w:rsid w:val="445E1276"/>
    <w:rsid w:val="447A2D36"/>
    <w:rsid w:val="447E5108"/>
    <w:rsid w:val="44A22988"/>
    <w:rsid w:val="44AF70FA"/>
    <w:rsid w:val="44B36C6F"/>
    <w:rsid w:val="44C4421D"/>
    <w:rsid w:val="44C5732B"/>
    <w:rsid w:val="44C86288"/>
    <w:rsid w:val="44EE21BA"/>
    <w:rsid w:val="44F6674C"/>
    <w:rsid w:val="45063EAB"/>
    <w:rsid w:val="4514038E"/>
    <w:rsid w:val="45321187"/>
    <w:rsid w:val="45333FAE"/>
    <w:rsid w:val="45341BA1"/>
    <w:rsid w:val="453A05C9"/>
    <w:rsid w:val="4551388A"/>
    <w:rsid w:val="455C03A2"/>
    <w:rsid w:val="4568194B"/>
    <w:rsid w:val="45965CE6"/>
    <w:rsid w:val="45B76997"/>
    <w:rsid w:val="45B81627"/>
    <w:rsid w:val="45C01CE2"/>
    <w:rsid w:val="45C36671"/>
    <w:rsid w:val="45C57CA5"/>
    <w:rsid w:val="45C77850"/>
    <w:rsid w:val="45CC4115"/>
    <w:rsid w:val="45CC56CE"/>
    <w:rsid w:val="45CE1588"/>
    <w:rsid w:val="45EF4713"/>
    <w:rsid w:val="45F20F95"/>
    <w:rsid w:val="46072613"/>
    <w:rsid w:val="46110DD0"/>
    <w:rsid w:val="46117521"/>
    <w:rsid w:val="46155E7E"/>
    <w:rsid w:val="461941BE"/>
    <w:rsid w:val="461C2EE1"/>
    <w:rsid w:val="462E4683"/>
    <w:rsid w:val="464321B1"/>
    <w:rsid w:val="46450174"/>
    <w:rsid w:val="46462831"/>
    <w:rsid w:val="465352D9"/>
    <w:rsid w:val="46541ECB"/>
    <w:rsid w:val="465A0792"/>
    <w:rsid w:val="46601D24"/>
    <w:rsid w:val="467036F5"/>
    <w:rsid w:val="467F5CC1"/>
    <w:rsid w:val="468C568E"/>
    <w:rsid w:val="4696191D"/>
    <w:rsid w:val="469C658D"/>
    <w:rsid w:val="469D6AD4"/>
    <w:rsid w:val="46A56813"/>
    <w:rsid w:val="46AF191A"/>
    <w:rsid w:val="46B73C75"/>
    <w:rsid w:val="46C74734"/>
    <w:rsid w:val="46D2437A"/>
    <w:rsid w:val="46D66829"/>
    <w:rsid w:val="46D94C56"/>
    <w:rsid w:val="46EC53F0"/>
    <w:rsid w:val="46F4033A"/>
    <w:rsid w:val="46F669BE"/>
    <w:rsid w:val="470276CA"/>
    <w:rsid w:val="470648E7"/>
    <w:rsid w:val="470A671A"/>
    <w:rsid w:val="471F2457"/>
    <w:rsid w:val="472E3174"/>
    <w:rsid w:val="47313543"/>
    <w:rsid w:val="473A27CD"/>
    <w:rsid w:val="47420FEC"/>
    <w:rsid w:val="47477F03"/>
    <w:rsid w:val="474F60E9"/>
    <w:rsid w:val="47534FB3"/>
    <w:rsid w:val="475930C3"/>
    <w:rsid w:val="476F4154"/>
    <w:rsid w:val="47790D2E"/>
    <w:rsid w:val="477E737E"/>
    <w:rsid w:val="47886811"/>
    <w:rsid w:val="478B6E25"/>
    <w:rsid w:val="4790696A"/>
    <w:rsid w:val="479810E4"/>
    <w:rsid w:val="47A05DFC"/>
    <w:rsid w:val="47B85635"/>
    <w:rsid w:val="47C90F47"/>
    <w:rsid w:val="480C2289"/>
    <w:rsid w:val="48136F6F"/>
    <w:rsid w:val="481F3484"/>
    <w:rsid w:val="48292951"/>
    <w:rsid w:val="48390248"/>
    <w:rsid w:val="483B3A33"/>
    <w:rsid w:val="483E5078"/>
    <w:rsid w:val="484B3D43"/>
    <w:rsid w:val="484B65AC"/>
    <w:rsid w:val="48564A75"/>
    <w:rsid w:val="48601D5B"/>
    <w:rsid w:val="48610CC3"/>
    <w:rsid w:val="48645AFB"/>
    <w:rsid w:val="487B55A4"/>
    <w:rsid w:val="48851992"/>
    <w:rsid w:val="488736AA"/>
    <w:rsid w:val="488E0581"/>
    <w:rsid w:val="488F65D9"/>
    <w:rsid w:val="4891780B"/>
    <w:rsid w:val="48AA01CA"/>
    <w:rsid w:val="48AF27D9"/>
    <w:rsid w:val="48C0595C"/>
    <w:rsid w:val="48C57C3F"/>
    <w:rsid w:val="48D4511F"/>
    <w:rsid w:val="48DC7D87"/>
    <w:rsid w:val="48E5608B"/>
    <w:rsid w:val="48FC46E1"/>
    <w:rsid w:val="48FC6C25"/>
    <w:rsid w:val="49051F2C"/>
    <w:rsid w:val="49070D9A"/>
    <w:rsid w:val="490A45EE"/>
    <w:rsid w:val="491E0535"/>
    <w:rsid w:val="492A22CF"/>
    <w:rsid w:val="492F59B7"/>
    <w:rsid w:val="4953791E"/>
    <w:rsid w:val="49560099"/>
    <w:rsid w:val="49614BC3"/>
    <w:rsid w:val="4972249A"/>
    <w:rsid w:val="49A44C95"/>
    <w:rsid w:val="49B233EF"/>
    <w:rsid w:val="49B9495B"/>
    <w:rsid w:val="49F07F41"/>
    <w:rsid w:val="49F16401"/>
    <w:rsid w:val="4A07063E"/>
    <w:rsid w:val="4A0F6801"/>
    <w:rsid w:val="4A163C3D"/>
    <w:rsid w:val="4A237691"/>
    <w:rsid w:val="4A284791"/>
    <w:rsid w:val="4A2A098E"/>
    <w:rsid w:val="4A2B7D1F"/>
    <w:rsid w:val="4A374545"/>
    <w:rsid w:val="4A396BF1"/>
    <w:rsid w:val="4A462D78"/>
    <w:rsid w:val="4A49730B"/>
    <w:rsid w:val="4A5012F8"/>
    <w:rsid w:val="4A5E4B04"/>
    <w:rsid w:val="4A781B30"/>
    <w:rsid w:val="4A7C5D21"/>
    <w:rsid w:val="4A7F1450"/>
    <w:rsid w:val="4A826B07"/>
    <w:rsid w:val="4A910EC8"/>
    <w:rsid w:val="4A9B6936"/>
    <w:rsid w:val="4AA17C5E"/>
    <w:rsid w:val="4AA24821"/>
    <w:rsid w:val="4AA54AFD"/>
    <w:rsid w:val="4AAF5595"/>
    <w:rsid w:val="4AB811C5"/>
    <w:rsid w:val="4ABB7D1F"/>
    <w:rsid w:val="4AC84519"/>
    <w:rsid w:val="4AC93522"/>
    <w:rsid w:val="4AEC5E56"/>
    <w:rsid w:val="4AF27FD1"/>
    <w:rsid w:val="4AF63063"/>
    <w:rsid w:val="4AFD6CAB"/>
    <w:rsid w:val="4B063381"/>
    <w:rsid w:val="4B0F4AD2"/>
    <w:rsid w:val="4B0F680B"/>
    <w:rsid w:val="4B223542"/>
    <w:rsid w:val="4B3A7950"/>
    <w:rsid w:val="4B3B4558"/>
    <w:rsid w:val="4B4B1A5E"/>
    <w:rsid w:val="4B62219D"/>
    <w:rsid w:val="4B696487"/>
    <w:rsid w:val="4B774924"/>
    <w:rsid w:val="4B7921FC"/>
    <w:rsid w:val="4B8060BB"/>
    <w:rsid w:val="4B8673B3"/>
    <w:rsid w:val="4B8769F6"/>
    <w:rsid w:val="4B8C0FB9"/>
    <w:rsid w:val="4B902E9E"/>
    <w:rsid w:val="4B9B7521"/>
    <w:rsid w:val="4BB50255"/>
    <w:rsid w:val="4BBA4E5C"/>
    <w:rsid w:val="4BBF3E33"/>
    <w:rsid w:val="4BC341B2"/>
    <w:rsid w:val="4BC779D3"/>
    <w:rsid w:val="4BC838AE"/>
    <w:rsid w:val="4BDD003B"/>
    <w:rsid w:val="4BE63474"/>
    <w:rsid w:val="4BF34B7E"/>
    <w:rsid w:val="4C094F2C"/>
    <w:rsid w:val="4C0D3049"/>
    <w:rsid w:val="4C266BFE"/>
    <w:rsid w:val="4C3F30FE"/>
    <w:rsid w:val="4C48621E"/>
    <w:rsid w:val="4C49045F"/>
    <w:rsid w:val="4C596218"/>
    <w:rsid w:val="4C5D2A8B"/>
    <w:rsid w:val="4C6761C3"/>
    <w:rsid w:val="4C6E070D"/>
    <w:rsid w:val="4C701C21"/>
    <w:rsid w:val="4C9927C9"/>
    <w:rsid w:val="4C994661"/>
    <w:rsid w:val="4CA45787"/>
    <w:rsid w:val="4CB04034"/>
    <w:rsid w:val="4CB04665"/>
    <w:rsid w:val="4CB50A7A"/>
    <w:rsid w:val="4CBA45E3"/>
    <w:rsid w:val="4CBE0BD6"/>
    <w:rsid w:val="4CBF6574"/>
    <w:rsid w:val="4CC13D0F"/>
    <w:rsid w:val="4CDB7341"/>
    <w:rsid w:val="4CDC241F"/>
    <w:rsid w:val="4CE37D81"/>
    <w:rsid w:val="4CE61D4A"/>
    <w:rsid w:val="4CEC41B2"/>
    <w:rsid w:val="4CED2966"/>
    <w:rsid w:val="4CF20BF5"/>
    <w:rsid w:val="4CF4338B"/>
    <w:rsid w:val="4CFE068C"/>
    <w:rsid w:val="4D004725"/>
    <w:rsid w:val="4D1B3F53"/>
    <w:rsid w:val="4D217EB9"/>
    <w:rsid w:val="4D2F6074"/>
    <w:rsid w:val="4D331A0D"/>
    <w:rsid w:val="4D3B6D57"/>
    <w:rsid w:val="4D3D3847"/>
    <w:rsid w:val="4D3D534E"/>
    <w:rsid w:val="4D3E2A09"/>
    <w:rsid w:val="4D6149BA"/>
    <w:rsid w:val="4D6A7643"/>
    <w:rsid w:val="4D757E08"/>
    <w:rsid w:val="4D866323"/>
    <w:rsid w:val="4D8F4EBC"/>
    <w:rsid w:val="4D942E5A"/>
    <w:rsid w:val="4D956C14"/>
    <w:rsid w:val="4D9913AA"/>
    <w:rsid w:val="4D9D385D"/>
    <w:rsid w:val="4DA52DA7"/>
    <w:rsid w:val="4DBB1B08"/>
    <w:rsid w:val="4DBF378D"/>
    <w:rsid w:val="4DE364BA"/>
    <w:rsid w:val="4E01371F"/>
    <w:rsid w:val="4E086678"/>
    <w:rsid w:val="4E0B1F51"/>
    <w:rsid w:val="4E0D1415"/>
    <w:rsid w:val="4E0E5B3B"/>
    <w:rsid w:val="4E2C6C67"/>
    <w:rsid w:val="4E400E9B"/>
    <w:rsid w:val="4E5B6A67"/>
    <w:rsid w:val="4E5E4975"/>
    <w:rsid w:val="4E624307"/>
    <w:rsid w:val="4E624361"/>
    <w:rsid w:val="4E7566EE"/>
    <w:rsid w:val="4E7C1E65"/>
    <w:rsid w:val="4E90556F"/>
    <w:rsid w:val="4E946A32"/>
    <w:rsid w:val="4E9E7458"/>
    <w:rsid w:val="4EA62C29"/>
    <w:rsid w:val="4EDA5810"/>
    <w:rsid w:val="4EDB0B4B"/>
    <w:rsid w:val="4EF65076"/>
    <w:rsid w:val="4F151EB1"/>
    <w:rsid w:val="4F166F03"/>
    <w:rsid w:val="4F1B3417"/>
    <w:rsid w:val="4F1E2BE8"/>
    <w:rsid w:val="4F276B47"/>
    <w:rsid w:val="4F2B0141"/>
    <w:rsid w:val="4F367C35"/>
    <w:rsid w:val="4F3A7C37"/>
    <w:rsid w:val="4F3B4E88"/>
    <w:rsid w:val="4F994D91"/>
    <w:rsid w:val="4FA12F20"/>
    <w:rsid w:val="4FA669F9"/>
    <w:rsid w:val="4FAC79C4"/>
    <w:rsid w:val="4FB46A7C"/>
    <w:rsid w:val="4FC0332D"/>
    <w:rsid w:val="4FC35488"/>
    <w:rsid w:val="4FCF4FE2"/>
    <w:rsid w:val="4FD7006A"/>
    <w:rsid w:val="4FE61E1F"/>
    <w:rsid w:val="4FF65970"/>
    <w:rsid w:val="4FF6706A"/>
    <w:rsid w:val="4FFF01B1"/>
    <w:rsid w:val="50153B7F"/>
    <w:rsid w:val="501A3F85"/>
    <w:rsid w:val="501B1417"/>
    <w:rsid w:val="502462F7"/>
    <w:rsid w:val="502C4C28"/>
    <w:rsid w:val="502E6C1A"/>
    <w:rsid w:val="50343A45"/>
    <w:rsid w:val="505B4096"/>
    <w:rsid w:val="506348EA"/>
    <w:rsid w:val="507D63E0"/>
    <w:rsid w:val="50972CCC"/>
    <w:rsid w:val="509E4DB0"/>
    <w:rsid w:val="50B10F5A"/>
    <w:rsid w:val="50B37073"/>
    <w:rsid w:val="50B82265"/>
    <w:rsid w:val="50C03C8A"/>
    <w:rsid w:val="50C155FA"/>
    <w:rsid w:val="50D71018"/>
    <w:rsid w:val="50E160AB"/>
    <w:rsid w:val="50E44E84"/>
    <w:rsid w:val="50E55707"/>
    <w:rsid w:val="510C4F82"/>
    <w:rsid w:val="511F6E9E"/>
    <w:rsid w:val="512065FC"/>
    <w:rsid w:val="513B01D6"/>
    <w:rsid w:val="513B13C3"/>
    <w:rsid w:val="513E0EB3"/>
    <w:rsid w:val="514034FD"/>
    <w:rsid w:val="51406729"/>
    <w:rsid w:val="514A01DA"/>
    <w:rsid w:val="515113DA"/>
    <w:rsid w:val="51616AE5"/>
    <w:rsid w:val="517A226D"/>
    <w:rsid w:val="517E193E"/>
    <w:rsid w:val="51836B9E"/>
    <w:rsid w:val="51A45AF0"/>
    <w:rsid w:val="51B44324"/>
    <w:rsid w:val="51B75DDC"/>
    <w:rsid w:val="51C34841"/>
    <w:rsid w:val="51D515F8"/>
    <w:rsid w:val="51D86F36"/>
    <w:rsid w:val="51DF41AD"/>
    <w:rsid w:val="51E1640E"/>
    <w:rsid w:val="51E44B90"/>
    <w:rsid w:val="51E5446B"/>
    <w:rsid w:val="51EE5C03"/>
    <w:rsid w:val="51FE6851"/>
    <w:rsid w:val="5201331D"/>
    <w:rsid w:val="521C3407"/>
    <w:rsid w:val="5225737A"/>
    <w:rsid w:val="5235473E"/>
    <w:rsid w:val="52405197"/>
    <w:rsid w:val="52412A09"/>
    <w:rsid w:val="52523498"/>
    <w:rsid w:val="52563E56"/>
    <w:rsid w:val="52670DFD"/>
    <w:rsid w:val="52684B9C"/>
    <w:rsid w:val="527B6107"/>
    <w:rsid w:val="527D276C"/>
    <w:rsid w:val="52A028C1"/>
    <w:rsid w:val="52B25E63"/>
    <w:rsid w:val="52B976B1"/>
    <w:rsid w:val="52DE3071"/>
    <w:rsid w:val="52E964CF"/>
    <w:rsid w:val="52F43F1F"/>
    <w:rsid w:val="52F65C9A"/>
    <w:rsid w:val="52FE7AF5"/>
    <w:rsid w:val="53027194"/>
    <w:rsid w:val="530728BA"/>
    <w:rsid w:val="5310333F"/>
    <w:rsid w:val="531F7E90"/>
    <w:rsid w:val="53253943"/>
    <w:rsid w:val="533A32F6"/>
    <w:rsid w:val="53606121"/>
    <w:rsid w:val="53692375"/>
    <w:rsid w:val="53704331"/>
    <w:rsid w:val="5371403C"/>
    <w:rsid w:val="53742D95"/>
    <w:rsid w:val="53756664"/>
    <w:rsid w:val="537A7133"/>
    <w:rsid w:val="537B2A87"/>
    <w:rsid w:val="537C6DDC"/>
    <w:rsid w:val="53803A05"/>
    <w:rsid w:val="53835884"/>
    <w:rsid w:val="538A2915"/>
    <w:rsid w:val="538D17E3"/>
    <w:rsid w:val="539F2519"/>
    <w:rsid w:val="53AC6E14"/>
    <w:rsid w:val="53B140A2"/>
    <w:rsid w:val="53BB67EB"/>
    <w:rsid w:val="53BC4E66"/>
    <w:rsid w:val="53C00EC0"/>
    <w:rsid w:val="53D83C22"/>
    <w:rsid w:val="53D87103"/>
    <w:rsid w:val="53E3058E"/>
    <w:rsid w:val="53E76211"/>
    <w:rsid w:val="53E95C03"/>
    <w:rsid w:val="53F3539E"/>
    <w:rsid w:val="53F67C61"/>
    <w:rsid w:val="54001277"/>
    <w:rsid w:val="54133FE7"/>
    <w:rsid w:val="543D36A4"/>
    <w:rsid w:val="544E0369"/>
    <w:rsid w:val="545163AD"/>
    <w:rsid w:val="545C00F0"/>
    <w:rsid w:val="545E1FD7"/>
    <w:rsid w:val="546D1A44"/>
    <w:rsid w:val="547658B4"/>
    <w:rsid w:val="54770964"/>
    <w:rsid w:val="547735DF"/>
    <w:rsid w:val="547A37CF"/>
    <w:rsid w:val="548356AD"/>
    <w:rsid w:val="548E64CD"/>
    <w:rsid w:val="54914FAB"/>
    <w:rsid w:val="549D01D5"/>
    <w:rsid w:val="54AF6DDB"/>
    <w:rsid w:val="54B21CA2"/>
    <w:rsid w:val="54B57D89"/>
    <w:rsid w:val="54B61224"/>
    <w:rsid w:val="54B94AF5"/>
    <w:rsid w:val="54CD1688"/>
    <w:rsid w:val="54D02F3C"/>
    <w:rsid w:val="54F95D2A"/>
    <w:rsid w:val="54FD1B28"/>
    <w:rsid w:val="54FF52FA"/>
    <w:rsid w:val="55026999"/>
    <w:rsid w:val="55081530"/>
    <w:rsid w:val="55082D28"/>
    <w:rsid w:val="55111AAC"/>
    <w:rsid w:val="553429F9"/>
    <w:rsid w:val="554C2F27"/>
    <w:rsid w:val="55674CB9"/>
    <w:rsid w:val="55773F93"/>
    <w:rsid w:val="55814BAB"/>
    <w:rsid w:val="558953D0"/>
    <w:rsid w:val="559A7FD9"/>
    <w:rsid w:val="559E1640"/>
    <w:rsid w:val="559F4616"/>
    <w:rsid w:val="55A03E47"/>
    <w:rsid w:val="55AF1DA9"/>
    <w:rsid w:val="55B574D6"/>
    <w:rsid w:val="55BF6508"/>
    <w:rsid w:val="55CA7555"/>
    <w:rsid w:val="55D22FE7"/>
    <w:rsid w:val="55E86307"/>
    <w:rsid w:val="55EB5DBC"/>
    <w:rsid w:val="55FD7332"/>
    <w:rsid w:val="56144EDD"/>
    <w:rsid w:val="561765E7"/>
    <w:rsid w:val="561E7262"/>
    <w:rsid w:val="561F6A5A"/>
    <w:rsid w:val="56235703"/>
    <w:rsid w:val="562A09B3"/>
    <w:rsid w:val="563A0409"/>
    <w:rsid w:val="563C581E"/>
    <w:rsid w:val="563F31A0"/>
    <w:rsid w:val="564E2D64"/>
    <w:rsid w:val="565C4189"/>
    <w:rsid w:val="56690970"/>
    <w:rsid w:val="56766126"/>
    <w:rsid w:val="56782C6E"/>
    <w:rsid w:val="567D0D3A"/>
    <w:rsid w:val="568872E0"/>
    <w:rsid w:val="56A35162"/>
    <w:rsid w:val="56A641B6"/>
    <w:rsid w:val="56AE4BC0"/>
    <w:rsid w:val="56B86228"/>
    <w:rsid w:val="56EA5774"/>
    <w:rsid w:val="56FB312E"/>
    <w:rsid w:val="57117A6D"/>
    <w:rsid w:val="571E2083"/>
    <w:rsid w:val="572839F5"/>
    <w:rsid w:val="572C7EB9"/>
    <w:rsid w:val="57383E6B"/>
    <w:rsid w:val="57462949"/>
    <w:rsid w:val="576E59B6"/>
    <w:rsid w:val="578949C2"/>
    <w:rsid w:val="578E6670"/>
    <w:rsid w:val="57906381"/>
    <w:rsid w:val="57B32C28"/>
    <w:rsid w:val="57C43F05"/>
    <w:rsid w:val="57CA4640"/>
    <w:rsid w:val="57D1646E"/>
    <w:rsid w:val="57E55C2A"/>
    <w:rsid w:val="57E73213"/>
    <w:rsid w:val="57EF4340"/>
    <w:rsid w:val="58072F25"/>
    <w:rsid w:val="58101DBC"/>
    <w:rsid w:val="58145173"/>
    <w:rsid w:val="581F4FD9"/>
    <w:rsid w:val="58361B5A"/>
    <w:rsid w:val="584970C1"/>
    <w:rsid w:val="584C69C6"/>
    <w:rsid w:val="584D35C3"/>
    <w:rsid w:val="585F2D57"/>
    <w:rsid w:val="58602E85"/>
    <w:rsid w:val="58871392"/>
    <w:rsid w:val="588E249D"/>
    <w:rsid w:val="58A26CA3"/>
    <w:rsid w:val="58B211A8"/>
    <w:rsid w:val="58B24F43"/>
    <w:rsid w:val="58BF0235"/>
    <w:rsid w:val="58D64111"/>
    <w:rsid w:val="58DB58DC"/>
    <w:rsid w:val="58DD1967"/>
    <w:rsid w:val="58F01A56"/>
    <w:rsid w:val="59176955"/>
    <w:rsid w:val="5922004F"/>
    <w:rsid w:val="592C6BE5"/>
    <w:rsid w:val="59374B82"/>
    <w:rsid w:val="594A0BAC"/>
    <w:rsid w:val="59532A13"/>
    <w:rsid w:val="59533E3D"/>
    <w:rsid w:val="595E0AEA"/>
    <w:rsid w:val="596258A6"/>
    <w:rsid w:val="596839A7"/>
    <w:rsid w:val="59683F4D"/>
    <w:rsid w:val="59696E53"/>
    <w:rsid w:val="59710534"/>
    <w:rsid w:val="59741F29"/>
    <w:rsid w:val="59835B52"/>
    <w:rsid w:val="598B7136"/>
    <w:rsid w:val="598C58AE"/>
    <w:rsid w:val="59CC066E"/>
    <w:rsid w:val="59CC3801"/>
    <w:rsid w:val="59EF161E"/>
    <w:rsid w:val="5A051587"/>
    <w:rsid w:val="5A14247F"/>
    <w:rsid w:val="5A1A3B85"/>
    <w:rsid w:val="5A28755B"/>
    <w:rsid w:val="5A295D7C"/>
    <w:rsid w:val="5A2A23C2"/>
    <w:rsid w:val="5A3032A5"/>
    <w:rsid w:val="5A316C09"/>
    <w:rsid w:val="5A343B93"/>
    <w:rsid w:val="5A3D593F"/>
    <w:rsid w:val="5A443387"/>
    <w:rsid w:val="5A45338C"/>
    <w:rsid w:val="5A553CC0"/>
    <w:rsid w:val="5A6A7411"/>
    <w:rsid w:val="5A6B1D6C"/>
    <w:rsid w:val="5A713F6D"/>
    <w:rsid w:val="5A730FD5"/>
    <w:rsid w:val="5A7442EE"/>
    <w:rsid w:val="5A7D70FD"/>
    <w:rsid w:val="5A890D9B"/>
    <w:rsid w:val="5A8E5B7C"/>
    <w:rsid w:val="5A916688"/>
    <w:rsid w:val="5A9330D0"/>
    <w:rsid w:val="5A9645D8"/>
    <w:rsid w:val="5AAC2551"/>
    <w:rsid w:val="5AAC318C"/>
    <w:rsid w:val="5ABE1D3A"/>
    <w:rsid w:val="5AC50BC7"/>
    <w:rsid w:val="5ACA7143"/>
    <w:rsid w:val="5ACB7D6E"/>
    <w:rsid w:val="5AEA1094"/>
    <w:rsid w:val="5AF2116B"/>
    <w:rsid w:val="5B0A6B2C"/>
    <w:rsid w:val="5B0C4E18"/>
    <w:rsid w:val="5B352EC1"/>
    <w:rsid w:val="5B391439"/>
    <w:rsid w:val="5B3D17F9"/>
    <w:rsid w:val="5B414E5C"/>
    <w:rsid w:val="5B441E00"/>
    <w:rsid w:val="5B48240A"/>
    <w:rsid w:val="5B4A35CB"/>
    <w:rsid w:val="5B58197A"/>
    <w:rsid w:val="5B602F80"/>
    <w:rsid w:val="5B6B0AF7"/>
    <w:rsid w:val="5B6B6004"/>
    <w:rsid w:val="5B735C64"/>
    <w:rsid w:val="5B7B51DE"/>
    <w:rsid w:val="5B92675E"/>
    <w:rsid w:val="5B966B09"/>
    <w:rsid w:val="5BA278C5"/>
    <w:rsid w:val="5BC9265C"/>
    <w:rsid w:val="5BE82147"/>
    <w:rsid w:val="5BEF7657"/>
    <w:rsid w:val="5BF35427"/>
    <w:rsid w:val="5C275270"/>
    <w:rsid w:val="5C332810"/>
    <w:rsid w:val="5C3D2493"/>
    <w:rsid w:val="5C44549A"/>
    <w:rsid w:val="5C685434"/>
    <w:rsid w:val="5C8F2751"/>
    <w:rsid w:val="5C9B747D"/>
    <w:rsid w:val="5C9C2BCC"/>
    <w:rsid w:val="5CA007C9"/>
    <w:rsid w:val="5CA7439C"/>
    <w:rsid w:val="5CAD1B84"/>
    <w:rsid w:val="5CB801BB"/>
    <w:rsid w:val="5CB81E74"/>
    <w:rsid w:val="5CC45B71"/>
    <w:rsid w:val="5CD5702E"/>
    <w:rsid w:val="5CDB17C4"/>
    <w:rsid w:val="5CDC633E"/>
    <w:rsid w:val="5CDD460B"/>
    <w:rsid w:val="5CEC35B2"/>
    <w:rsid w:val="5CF80AB0"/>
    <w:rsid w:val="5D21633C"/>
    <w:rsid w:val="5D234F59"/>
    <w:rsid w:val="5D29035B"/>
    <w:rsid w:val="5D3252C3"/>
    <w:rsid w:val="5D3F297B"/>
    <w:rsid w:val="5D5A7075"/>
    <w:rsid w:val="5D790253"/>
    <w:rsid w:val="5D836372"/>
    <w:rsid w:val="5D8B043B"/>
    <w:rsid w:val="5DA44C35"/>
    <w:rsid w:val="5DBE2C66"/>
    <w:rsid w:val="5DCE1651"/>
    <w:rsid w:val="5DD5426B"/>
    <w:rsid w:val="5DDB01B6"/>
    <w:rsid w:val="5DE84936"/>
    <w:rsid w:val="5E0016D0"/>
    <w:rsid w:val="5E177754"/>
    <w:rsid w:val="5E2625AE"/>
    <w:rsid w:val="5E2631A2"/>
    <w:rsid w:val="5E370285"/>
    <w:rsid w:val="5E3D3466"/>
    <w:rsid w:val="5E4047C5"/>
    <w:rsid w:val="5E496622"/>
    <w:rsid w:val="5E4D47B7"/>
    <w:rsid w:val="5E4E43E1"/>
    <w:rsid w:val="5E6C08A3"/>
    <w:rsid w:val="5E6C0970"/>
    <w:rsid w:val="5E733A46"/>
    <w:rsid w:val="5E84084D"/>
    <w:rsid w:val="5E856F62"/>
    <w:rsid w:val="5E8A2740"/>
    <w:rsid w:val="5EA45BD2"/>
    <w:rsid w:val="5EA57919"/>
    <w:rsid w:val="5EBA3B56"/>
    <w:rsid w:val="5EBD7CFE"/>
    <w:rsid w:val="5EC60596"/>
    <w:rsid w:val="5EC63891"/>
    <w:rsid w:val="5EE04F53"/>
    <w:rsid w:val="5EE247A4"/>
    <w:rsid w:val="5EE87E80"/>
    <w:rsid w:val="5EF91DC9"/>
    <w:rsid w:val="5F072AC6"/>
    <w:rsid w:val="5F144ACA"/>
    <w:rsid w:val="5F2B4515"/>
    <w:rsid w:val="5F396091"/>
    <w:rsid w:val="5F4A5ADB"/>
    <w:rsid w:val="5F4E758F"/>
    <w:rsid w:val="5F5A5789"/>
    <w:rsid w:val="5F5F6277"/>
    <w:rsid w:val="5F620934"/>
    <w:rsid w:val="5F6D4D2B"/>
    <w:rsid w:val="5F72340C"/>
    <w:rsid w:val="5F737B7E"/>
    <w:rsid w:val="5F7A0E18"/>
    <w:rsid w:val="5F827C30"/>
    <w:rsid w:val="5F852CFE"/>
    <w:rsid w:val="5F922D20"/>
    <w:rsid w:val="5F9C43E6"/>
    <w:rsid w:val="5FA0549E"/>
    <w:rsid w:val="5FA83374"/>
    <w:rsid w:val="5FA84762"/>
    <w:rsid w:val="5FBF00C7"/>
    <w:rsid w:val="5FC73950"/>
    <w:rsid w:val="5FCD4A05"/>
    <w:rsid w:val="5FDC34CD"/>
    <w:rsid w:val="5FFF6315"/>
    <w:rsid w:val="6008475E"/>
    <w:rsid w:val="601E2242"/>
    <w:rsid w:val="60382683"/>
    <w:rsid w:val="60494292"/>
    <w:rsid w:val="60530128"/>
    <w:rsid w:val="606312E6"/>
    <w:rsid w:val="606D0F4A"/>
    <w:rsid w:val="606E03BE"/>
    <w:rsid w:val="60724329"/>
    <w:rsid w:val="607D5C66"/>
    <w:rsid w:val="60853544"/>
    <w:rsid w:val="608740C9"/>
    <w:rsid w:val="608D27CA"/>
    <w:rsid w:val="609C0DBF"/>
    <w:rsid w:val="60AF1094"/>
    <w:rsid w:val="60CA3ABD"/>
    <w:rsid w:val="60D210A9"/>
    <w:rsid w:val="60D72D38"/>
    <w:rsid w:val="60D805FF"/>
    <w:rsid w:val="60FC5192"/>
    <w:rsid w:val="610A7026"/>
    <w:rsid w:val="610D086C"/>
    <w:rsid w:val="61167A72"/>
    <w:rsid w:val="611969D1"/>
    <w:rsid w:val="611B5227"/>
    <w:rsid w:val="611B6CF4"/>
    <w:rsid w:val="61445007"/>
    <w:rsid w:val="61555FDC"/>
    <w:rsid w:val="615755BD"/>
    <w:rsid w:val="61651F0C"/>
    <w:rsid w:val="617B2F52"/>
    <w:rsid w:val="617D4431"/>
    <w:rsid w:val="61856E80"/>
    <w:rsid w:val="618E08DE"/>
    <w:rsid w:val="61A95796"/>
    <w:rsid w:val="61D943EE"/>
    <w:rsid w:val="61E066BC"/>
    <w:rsid w:val="621413E8"/>
    <w:rsid w:val="622100A1"/>
    <w:rsid w:val="62352724"/>
    <w:rsid w:val="623D3F07"/>
    <w:rsid w:val="62400FCB"/>
    <w:rsid w:val="624F5571"/>
    <w:rsid w:val="625034DA"/>
    <w:rsid w:val="625E31DC"/>
    <w:rsid w:val="626A155C"/>
    <w:rsid w:val="626F7ED6"/>
    <w:rsid w:val="627B1CDA"/>
    <w:rsid w:val="628F77C1"/>
    <w:rsid w:val="62B14888"/>
    <w:rsid w:val="62C31E8C"/>
    <w:rsid w:val="62C509FA"/>
    <w:rsid w:val="62C80069"/>
    <w:rsid w:val="62D24B4F"/>
    <w:rsid w:val="62E817B1"/>
    <w:rsid w:val="62F16A66"/>
    <w:rsid w:val="62FC3F34"/>
    <w:rsid w:val="62FE4C64"/>
    <w:rsid w:val="631B37D2"/>
    <w:rsid w:val="63230DCE"/>
    <w:rsid w:val="6328103D"/>
    <w:rsid w:val="634757A7"/>
    <w:rsid w:val="63657B48"/>
    <w:rsid w:val="63665FEE"/>
    <w:rsid w:val="63720707"/>
    <w:rsid w:val="637B16C6"/>
    <w:rsid w:val="637B4E9F"/>
    <w:rsid w:val="639125E1"/>
    <w:rsid w:val="63A93E09"/>
    <w:rsid w:val="63AD4C36"/>
    <w:rsid w:val="63B12518"/>
    <w:rsid w:val="63B44B03"/>
    <w:rsid w:val="63BA6A9A"/>
    <w:rsid w:val="63BD3256"/>
    <w:rsid w:val="63CE2DDD"/>
    <w:rsid w:val="63D9591A"/>
    <w:rsid w:val="63EF21C4"/>
    <w:rsid w:val="63F27196"/>
    <w:rsid w:val="63F40F69"/>
    <w:rsid w:val="63F743BA"/>
    <w:rsid w:val="6408492B"/>
    <w:rsid w:val="640D5334"/>
    <w:rsid w:val="64196A9B"/>
    <w:rsid w:val="642B3519"/>
    <w:rsid w:val="642C179D"/>
    <w:rsid w:val="644078D7"/>
    <w:rsid w:val="644111FE"/>
    <w:rsid w:val="64604392"/>
    <w:rsid w:val="646F4DD5"/>
    <w:rsid w:val="64701F8D"/>
    <w:rsid w:val="648458A4"/>
    <w:rsid w:val="64863B90"/>
    <w:rsid w:val="64950E23"/>
    <w:rsid w:val="649B29E9"/>
    <w:rsid w:val="649C341E"/>
    <w:rsid w:val="64A6293F"/>
    <w:rsid w:val="64AD20F6"/>
    <w:rsid w:val="64C5178C"/>
    <w:rsid w:val="64DC42A2"/>
    <w:rsid w:val="64E425C4"/>
    <w:rsid w:val="64E7136C"/>
    <w:rsid w:val="64F44504"/>
    <w:rsid w:val="65051FBC"/>
    <w:rsid w:val="65086A8C"/>
    <w:rsid w:val="65224D69"/>
    <w:rsid w:val="653308D7"/>
    <w:rsid w:val="654D160F"/>
    <w:rsid w:val="65530C86"/>
    <w:rsid w:val="656023DA"/>
    <w:rsid w:val="657B6AED"/>
    <w:rsid w:val="657E6F36"/>
    <w:rsid w:val="65884FBB"/>
    <w:rsid w:val="658A7F43"/>
    <w:rsid w:val="65BA5753"/>
    <w:rsid w:val="65BB1288"/>
    <w:rsid w:val="65D55BDA"/>
    <w:rsid w:val="65FA1F10"/>
    <w:rsid w:val="65FD57D1"/>
    <w:rsid w:val="66063A36"/>
    <w:rsid w:val="661639BD"/>
    <w:rsid w:val="664004C4"/>
    <w:rsid w:val="66454F25"/>
    <w:rsid w:val="6655706E"/>
    <w:rsid w:val="66626EDA"/>
    <w:rsid w:val="66797A6F"/>
    <w:rsid w:val="667B5463"/>
    <w:rsid w:val="667C4D58"/>
    <w:rsid w:val="66AA2D06"/>
    <w:rsid w:val="66B268D6"/>
    <w:rsid w:val="66B31F58"/>
    <w:rsid w:val="66B9305E"/>
    <w:rsid w:val="66C477F3"/>
    <w:rsid w:val="66E73957"/>
    <w:rsid w:val="66E928C8"/>
    <w:rsid w:val="66FB71C3"/>
    <w:rsid w:val="670166C2"/>
    <w:rsid w:val="670F682E"/>
    <w:rsid w:val="67181528"/>
    <w:rsid w:val="673B2629"/>
    <w:rsid w:val="675552CF"/>
    <w:rsid w:val="67584DF6"/>
    <w:rsid w:val="676063D7"/>
    <w:rsid w:val="67743DF2"/>
    <w:rsid w:val="67763DC5"/>
    <w:rsid w:val="67821D8B"/>
    <w:rsid w:val="67846D39"/>
    <w:rsid w:val="678B26D8"/>
    <w:rsid w:val="679571F8"/>
    <w:rsid w:val="67A61753"/>
    <w:rsid w:val="67A84ABB"/>
    <w:rsid w:val="67B012E5"/>
    <w:rsid w:val="67B13923"/>
    <w:rsid w:val="67C23EB6"/>
    <w:rsid w:val="67CC506B"/>
    <w:rsid w:val="67D46DF8"/>
    <w:rsid w:val="67EE04C7"/>
    <w:rsid w:val="67F62B68"/>
    <w:rsid w:val="67F8443D"/>
    <w:rsid w:val="67FA7711"/>
    <w:rsid w:val="67FD5AA2"/>
    <w:rsid w:val="68040CD7"/>
    <w:rsid w:val="680E0595"/>
    <w:rsid w:val="681D259E"/>
    <w:rsid w:val="682D46CF"/>
    <w:rsid w:val="682E4864"/>
    <w:rsid w:val="682F4507"/>
    <w:rsid w:val="6846233D"/>
    <w:rsid w:val="684921C0"/>
    <w:rsid w:val="685124BB"/>
    <w:rsid w:val="686928D0"/>
    <w:rsid w:val="68735364"/>
    <w:rsid w:val="687E662D"/>
    <w:rsid w:val="6894424F"/>
    <w:rsid w:val="68A0610C"/>
    <w:rsid w:val="68A81941"/>
    <w:rsid w:val="68B952E3"/>
    <w:rsid w:val="68C27B6C"/>
    <w:rsid w:val="68CC0B14"/>
    <w:rsid w:val="68D347A9"/>
    <w:rsid w:val="68D9334D"/>
    <w:rsid w:val="68DB464C"/>
    <w:rsid w:val="690F2B31"/>
    <w:rsid w:val="691E2E4C"/>
    <w:rsid w:val="691F53F9"/>
    <w:rsid w:val="692168EC"/>
    <w:rsid w:val="695D550A"/>
    <w:rsid w:val="699271C8"/>
    <w:rsid w:val="6997760C"/>
    <w:rsid w:val="699D3073"/>
    <w:rsid w:val="69A72F2E"/>
    <w:rsid w:val="69B7688E"/>
    <w:rsid w:val="69CA31BD"/>
    <w:rsid w:val="69CB38CF"/>
    <w:rsid w:val="69CB446F"/>
    <w:rsid w:val="69CD35CB"/>
    <w:rsid w:val="69CF0BFF"/>
    <w:rsid w:val="69D01BE7"/>
    <w:rsid w:val="69DE4CF6"/>
    <w:rsid w:val="69ED3069"/>
    <w:rsid w:val="69ED6A91"/>
    <w:rsid w:val="69F3474B"/>
    <w:rsid w:val="6A046718"/>
    <w:rsid w:val="6A144F85"/>
    <w:rsid w:val="6A1B0500"/>
    <w:rsid w:val="6A1B136C"/>
    <w:rsid w:val="6A2F489B"/>
    <w:rsid w:val="6A3D3E57"/>
    <w:rsid w:val="6A3F7D1E"/>
    <w:rsid w:val="6A5D1438"/>
    <w:rsid w:val="6A652411"/>
    <w:rsid w:val="6A6A7556"/>
    <w:rsid w:val="6A7E3D31"/>
    <w:rsid w:val="6A854FE3"/>
    <w:rsid w:val="6A9908D9"/>
    <w:rsid w:val="6A9D570F"/>
    <w:rsid w:val="6A9E720D"/>
    <w:rsid w:val="6AA376BA"/>
    <w:rsid w:val="6AA95198"/>
    <w:rsid w:val="6AAB6DA9"/>
    <w:rsid w:val="6AB1572D"/>
    <w:rsid w:val="6AB51616"/>
    <w:rsid w:val="6AC67AF8"/>
    <w:rsid w:val="6AD640C0"/>
    <w:rsid w:val="6AE519C4"/>
    <w:rsid w:val="6AF375B2"/>
    <w:rsid w:val="6AF82261"/>
    <w:rsid w:val="6B04251D"/>
    <w:rsid w:val="6B190F20"/>
    <w:rsid w:val="6B196279"/>
    <w:rsid w:val="6B3032AB"/>
    <w:rsid w:val="6B3636A7"/>
    <w:rsid w:val="6B463F4F"/>
    <w:rsid w:val="6B4B37FF"/>
    <w:rsid w:val="6B4C471D"/>
    <w:rsid w:val="6B4D6944"/>
    <w:rsid w:val="6B6555D9"/>
    <w:rsid w:val="6B664F37"/>
    <w:rsid w:val="6B6F677C"/>
    <w:rsid w:val="6B7A492A"/>
    <w:rsid w:val="6B8C5456"/>
    <w:rsid w:val="6B8D78D4"/>
    <w:rsid w:val="6BAC4246"/>
    <w:rsid w:val="6BAD7921"/>
    <w:rsid w:val="6BBF36BA"/>
    <w:rsid w:val="6BC379E3"/>
    <w:rsid w:val="6BC7520E"/>
    <w:rsid w:val="6BCF6FE1"/>
    <w:rsid w:val="6BDF3567"/>
    <w:rsid w:val="6BF03969"/>
    <w:rsid w:val="6BF62989"/>
    <w:rsid w:val="6C0E027D"/>
    <w:rsid w:val="6C0E26FB"/>
    <w:rsid w:val="6C12293D"/>
    <w:rsid w:val="6C2076DB"/>
    <w:rsid w:val="6C2708E9"/>
    <w:rsid w:val="6C28100F"/>
    <w:rsid w:val="6C301268"/>
    <w:rsid w:val="6C3666FF"/>
    <w:rsid w:val="6C4B4E32"/>
    <w:rsid w:val="6C5B11D3"/>
    <w:rsid w:val="6C633561"/>
    <w:rsid w:val="6C775041"/>
    <w:rsid w:val="6C79342D"/>
    <w:rsid w:val="6C850101"/>
    <w:rsid w:val="6C8B725A"/>
    <w:rsid w:val="6C8D5D80"/>
    <w:rsid w:val="6C9564C9"/>
    <w:rsid w:val="6CA21347"/>
    <w:rsid w:val="6CAB28FD"/>
    <w:rsid w:val="6CBA18DE"/>
    <w:rsid w:val="6CC65468"/>
    <w:rsid w:val="6CD97976"/>
    <w:rsid w:val="6CF42D8D"/>
    <w:rsid w:val="6CF8338C"/>
    <w:rsid w:val="6CFF52BD"/>
    <w:rsid w:val="6D07258A"/>
    <w:rsid w:val="6D153212"/>
    <w:rsid w:val="6D6A2E12"/>
    <w:rsid w:val="6D70491D"/>
    <w:rsid w:val="6D830599"/>
    <w:rsid w:val="6D8705F4"/>
    <w:rsid w:val="6D8C0C36"/>
    <w:rsid w:val="6D9044F5"/>
    <w:rsid w:val="6DA9553E"/>
    <w:rsid w:val="6DAC4593"/>
    <w:rsid w:val="6DB01B2C"/>
    <w:rsid w:val="6DB5345C"/>
    <w:rsid w:val="6DB875CB"/>
    <w:rsid w:val="6DD37C68"/>
    <w:rsid w:val="6DDB7229"/>
    <w:rsid w:val="6DDC6404"/>
    <w:rsid w:val="6DDF6138"/>
    <w:rsid w:val="6DE11FB7"/>
    <w:rsid w:val="6DE20C57"/>
    <w:rsid w:val="6DE97ACD"/>
    <w:rsid w:val="6DF6360A"/>
    <w:rsid w:val="6DF80B32"/>
    <w:rsid w:val="6DFD4599"/>
    <w:rsid w:val="6E045AED"/>
    <w:rsid w:val="6E105A2E"/>
    <w:rsid w:val="6E1416F1"/>
    <w:rsid w:val="6E1B3806"/>
    <w:rsid w:val="6E2A33CB"/>
    <w:rsid w:val="6E364F94"/>
    <w:rsid w:val="6E426878"/>
    <w:rsid w:val="6E4D2529"/>
    <w:rsid w:val="6E4E0530"/>
    <w:rsid w:val="6E56046E"/>
    <w:rsid w:val="6E7402B0"/>
    <w:rsid w:val="6E743598"/>
    <w:rsid w:val="6E765F9A"/>
    <w:rsid w:val="6E8C26BF"/>
    <w:rsid w:val="6E966055"/>
    <w:rsid w:val="6E9A0D2D"/>
    <w:rsid w:val="6EA27466"/>
    <w:rsid w:val="6EAF2AF6"/>
    <w:rsid w:val="6EC26C3D"/>
    <w:rsid w:val="6ECF4220"/>
    <w:rsid w:val="6ED15893"/>
    <w:rsid w:val="6ED518FF"/>
    <w:rsid w:val="6EE67F6E"/>
    <w:rsid w:val="6EF30480"/>
    <w:rsid w:val="6F120E2D"/>
    <w:rsid w:val="6F2B7C87"/>
    <w:rsid w:val="6F384FA4"/>
    <w:rsid w:val="6F411288"/>
    <w:rsid w:val="6F41622E"/>
    <w:rsid w:val="6F437D2F"/>
    <w:rsid w:val="6F4D5BAD"/>
    <w:rsid w:val="6F522EB6"/>
    <w:rsid w:val="6F58406D"/>
    <w:rsid w:val="6F5B1035"/>
    <w:rsid w:val="6F646708"/>
    <w:rsid w:val="6F68265C"/>
    <w:rsid w:val="6F6A147F"/>
    <w:rsid w:val="6F7C5620"/>
    <w:rsid w:val="6F8258DA"/>
    <w:rsid w:val="6F975FB8"/>
    <w:rsid w:val="6FA05592"/>
    <w:rsid w:val="6FB1725F"/>
    <w:rsid w:val="6FBB5244"/>
    <w:rsid w:val="6FC81A1B"/>
    <w:rsid w:val="6FCF7413"/>
    <w:rsid w:val="6FD70465"/>
    <w:rsid w:val="6FD70ECD"/>
    <w:rsid w:val="6FEA0D42"/>
    <w:rsid w:val="70081E73"/>
    <w:rsid w:val="70161236"/>
    <w:rsid w:val="701708F1"/>
    <w:rsid w:val="702F3D06"/>
    <w:rsid w:val="70392E15"/>
    <w:rsid w:val="703A7A3E"/>
    <w:rsid w:val="703D6FAB"/>
    <w:rsid w:val="7046460A"/>
    <w:rsid w:val="704E4240"/>
    <w:rsid w:val="706C6D04"/>
    <w:rsid w:val="707729F5"/>
    <w:rsid w:val="707C0A0D"/>
    <w:rsid w:val="70874C36"/>
    <w:rsid w:val="708753C9"/>
    <w:rsid w:val="708813D9"/>
    <w:rsid w:val="70AF4CD8"/>
    <w:rsid w:val="70B845D1"/>
    <w:rsid w:val="70BD514F"/>
    <w:rsid w:val="70BE4B11"/>
    <w:rsid w:val="70BF6A79"/>
    <w:rsid w:val="70CA7703"/>
    <w:rsid w:val="70CE483D"/>
    <w:rsid w:val="70D07922"/>
    <w:rsid w:val="70DE70EE"/>
    <w:rsid w:val="70E92C9F"/>
    <w:rsid w:val="70E97D8C"/>
    <w:rsid w:val="7100027A"/>
    <w:rsid w:val="710E1174"/>
    <w:rsid w:val="713C45AE"/>
    <w:rsid w:val="714A1AEB"/>
    <w:rsid w:val="715E497F"/>
    <w:rsid w:val="71640578"/>
    <w:rsid w:val="7173214D"/>
    <w:rsid w:val="71797FD4"/>
    <w:rsid w:val="71877CEB"/>
    <w:rsid w:val="71944AC0"/>
    <w:rsid w:val="7197125F"/>
    <w:rsid w:val="719E389B"/>
    <w:rsid w:val="719F374E"/>
    <w:rsid w:val="71A20B76"/>
    <w:rsid w:val="71A46D3E"/>
    <w:rsid w:val="71C425AB"/>
    <w:rsid w:val="71C7545B"/>
    <w:rsid w:val="71C95D11"/>
    <w:rsid w:val="71DC2D09"/>
    <w:rsid w:val="71E12DC4"/>
    <w:rsid w:val="71EC0A88"/>
    <w:rsid w:val="71F57BB5"/>
    <w:rsid w:val="71F82734"/>
    <w:rsid w:val="71FC4637"/>
    <w:rsid w:val="7201164A"/>
    <w:rsid w:val="72024B7D"/>
    <w:rsid w:val="721B04E1"/>
    <w:rsid w:val="721F449F"/>
    <w:rsid w:val="723A2C06"/>
    <w:rsid w:val="723B2B4B"/>
    <w:rsid w:val="724321D5"/>
    <w:rsid w:val="72483B7E"/>
    <w:rsid w:val="72523E7A"/>
    <w:rsid w:val="72545381"/>
    <w:rsid w:val="7267248B"/>
    <w:rsid w:val="72AF6A33"/>
    <w:rsid w:val="72B67679"/>
    <w:rsid w:val="72D61D26"/>
    <w:rsid w:val="72F83355"/>
    <w:rsid w:val="730D1CB8"/>
    <w:rsid w:val="731318ED"/>
    <w:rsid w:val="73170116"/>
    <w:rsid w:val="73192AEB"/>
    <w:rsid w:val="7319545E"/>
    <w:rsid w:val="7338524A"/>
    <w:rsid w:val="733E6F50"/>
    <w:rsid w:val="733E7E88"/>
    <w:rsid w:val="73436C74"/>
    <w:rsid w:val="7344373E"/>
    <w:rsid w:val="73581FBD"/>
    <w:rsid w:val="73621D53"/>
    <w:rsid w:val="73714A65"/>
    <w:rsid w:val="7372574B"/>
    <w:rsid w:val="73783250"/>
    <w:rsid w:val="73860C9D"/>
    <w:rsid w:val="7389619A"/>
    <w:rsid w:val="738E4671"/>
    <w:rsid w:val="73916568"/>
    <w:rsid w:val="7394593F"/>
    <w:rsid w:val="73997C17"/>
    <w:rsid w:val="739E5B97"/>
    <w:rsid w:val="73A0345F"/>
    <w:rsid w:val="73A20250"/>
    <w:rsid w:val="73AF6413"/>
    <w:rsid w:val="73B13DD8"/>
    <w:rsid w:val="73C14C46"/>
    <w:rsid w:val="73C254DC"/>
    <w:rsid w:val="73C538A7"/>
    <w:rsid w:val="73C76552"/>
    <w:rsid w:val="73CE46F1"/>
    <w:rsid w:val="73E7504E"/>
    <w:rsid w:val="73E9620B"/>
    <w:rsid w:val="73F026F5"/>
    <w:rsid w:val="73F17472"/>
    <w:rsid w:val="73F31D06"/>
    <w:rsid w:val="73F6529B"/>
    <w:rsid w:val="73F959A0"/>
    <w:rsid w:val="73FA05FD"/>
    <w:rsid w:val="740922D7"/>
    <w:rsid w:val="74096BDD"/>
    <w:rsid w:val="740A1D87"/>
    <w:rsid w:val="740E49FB"/>
    <w:rsid w:val="74175BDC"/>
    <w:rsid w:val="742E68E4"/>
    <w:rsid w:val="74343F95"/>
    <w:rsid w:val="74385F92"/>
    <w:rsid w:val="743B492A"/>
    <w:rsid w:val="74424C76"/>
    <w:rsid w:val="744B6B73"/>
    <w:rsid w:val="745055B6"/>
    <w:rsid w:val="74603B03"/>
    <w:rsid w:val="7466570A"/>
    <w:rsid w:val="747D031A"/>
    <w:rsid w:val="74B65081"/>
    <w:rsid w:val="74BA47C3"/>
    <w:rsid w:val="74CE4396"/>
    <w:rsid w:val="74D4302D"/>
    <w:rsid w:val="74DE4970"/>
    <w:rsid w:val="74E91504"/>
    <w:rsid w:val="74ED1BE7"/>
    <w:rsid w:val="74F55CA4"/>
    <w:rsid w:val="75231CF7"/>
    <w:rsid w:val="753922F4"/>
    <w:rsid w:val="75395231"/>
    <w:rsid w:val="753C32D8"/>
    <w:rsid w:val="75485D37"/>
    <w:rsid w:val="755851D8"/>
    <w:rsid w:val="757C6B0A"/>
    <w:rsid w:val="757D361B"/>
    <w:rsid w:val="758331B5"/>
    <w:rsid w:val="75834BF7"/>
    <w:rsid w:val="7584693A"/>
    <w:rsid w:val="75AA4E8B"/>
    <w:rsid w:val="75AD5450"/>
    <w:rsid w:val="75BB6009"/>
    <w:rsid w:val="75E40455"/>
    <w:rsid w:val="75F16D39"/>
    <w:rsid w:val="75FD48AF"/>
    <w:rsid w:val="760C03A5"/>
    <w:rsid w:val="76145647"/>
    <w:rsid w:val="76305180"/>
    <w:rsid w:val="763E5FBA"/>
    <w:rsid w:val="76413EA8"/>
    <w:rsid w:val="764C116C"/>
    <w:rsid w:val="76557B7C"/>
    <w:rsid w:val="7660794C"/>
    <w:rsid w:val="766267FE"/>
    <w:rsid w:val="767C1745"/>
    <w:rsid w:val="768E7A53"/>
    <w:rsid w:val="769B709E"/>
    <w:rsid w:val="76A506D5"/>
    <w:rsid w:val="76A92DB6"/>
    <w:rsid w:val="76B16D49"/>
    <w:rsid w:val="76C375E1"/>
    <w:rsid w:val="76CA7FB3"/>
    <w:rsid w:val="76CD00FC"/>
    <w:rsid w:val="76D95849"/>
    <w:rsid w:val="76E4312C"/>
    <w:rsid w:val="76E53FD5"/>
    <w:rsid w:val="76E70303"/>
    <w:rsid w:val="76E91AB7"/>
    <w:rsid w:val="77020DAE"/>
    <w:rsid w:val="770B3AA6"/>
    <w:rsid w:val="77182914"/>
    <w:rsid w:val="776A6599"/>
    <w:rsid w:val="776F0A44"/>
    <w:rsid w:val="776F31C3"/>
    <w:rsid w:val="777D662F"/>
    <w:rsid w:val="7783749C"/>
    <w:rsid w:val="779C04F0"/>
    <w:rsid w:val="77A16140"/>
    <w:rsid w:val="77A8693C"/>
    <w:rsid w:val="77AD400C"/>
    <w:rsid w:val="77BA34D9"/>
    <w:rsid w:val="77C91FCF"/>
    <w:rsid w:val="77EA4531"/>
    <w:rsid w:val="77EB38B1"/>
    <w:rsid w:val="77F915AB"/>
    <w:rsid w:val="781C1A67"/>
    <w:rsid w:val="781F03D1"/>
    <w:rsid w:val="78260D1B"/>
    <w:rsid w:val="78280952"/>
    <w:rsid w:val="782D536A"/>
    <w:rsid w:val="783C5DE3"/>
    <w:rsid w:val="783D5E70"/>
    <w:rsid w:val="784872C1"/>
    <w:rsid w:val="784D5EA4"/>
    <w:rsid w:val="78767001"/>
    <w:rsid w:val="787E55C8"/>
    <w:rsid w:val="787E7CE8"/>
    <w:rsid w:val="78837F4D"/>
    <w:rsid w:val="788B4A74"/>
    <w:rsid w:val="78B148A6"/>
    <w:rsid w:val="78B354DE"/>
    <w:rsid w:val="78BA00AC"/>
    <w:rsid w:val="78BD7D6A"/>
    <w:rsid w:val="78D53E63"/>
    <w:rsid w:val="78D54B6E"/>
    <w:rsid w:val="78EF1A00"/>
    <w:rsid w:val="78F3716A"/>
    <w:rsid w:val="78F85C68"/>
    <w:rsid w:val="790177E1"/>
    <w:rsid w:val="79085B36"/>
    <w:rsid w:val="790C6353"/>
    <w:rsid w:val="79220E65"/>
    <w:rsid w:val="79296461"/>
    <w:rsid w:val="792B1BE7"/>
    <w:rsid w:val="792D02D0"/>
    <w:rsid w:val="793447C4"/>
    <w:rsid w:val="793E16D1"/>
    <w:rsid w:val="794709CA"/>
    <w:rsid w:val="794F0F39"/>
    <w:rsid w:val="79515D6F"/>
    <w:rsid w:val="7954258F"/>
    <w:rsid w:val="796275FE"/>
    <w:rsid w:val="797A35BE"/>
    <w:rsid w:val="798205D0"/>
    <w:rsid w:val="798D6059"/>
    <w:rsid w:val="799A591B"/>
    <w:rsid w:val="79A12C9C"/>
    <w:rsid w:val="79A26AA0"/>
    <w:rsid w:val="79C109B4"/>
    <w:rsid w:val="79D1283E"/>
    <w:rsid w:val="79D875ED"/>
    <w:rsid w:val="79DA2028"/>
    <w:rsid w:val="79E57319"/>
    <w:rsid w:val="79F44681"/>
    <w:rsid w:val="79F857F4"/>
    <w:rsid w:val="7A0642CE"/>
    <w:rsid w:val="7A092644"/>
    <w:rsid w:val="7A1130F6"/>
    <w:rsid w:val="7A130408"/>
    <w:rsid w:val="7A1E5AF5"/>
    <w:rsid w:val="7A1F6978"/>
    <w:rsid w:val="7A4F6633"/>
    <w:rsid w:val="7A5D6205"/>
    <w:rsid w:val="7A5D64AE"/>
    <w:rsid w:val="7A691159"/>
    <w:rsid w:val="7A7B4B86"/>
    <w:rsid w:val="7A8064C9"/>
    <w:rsid w:val="7A980CFF"/>
    <w:rsid w:val="7AA4210B"/>
    <w:rsid w:val="7AB31290"/>
    <w:rsid w:val="7AB46742"/>
    <w:rsid w:val="7AC51922"/>
    <w:rsid w:val="7ACB6254"/>
    <w:rsid w:val="7ADB5755"/>
    <w:rsid w:val="7AF76AFB"/>
    <w:rsid w:val="7AFB438A"/>
    <w:rsid w:val="7B0B1572"/>
    <w:rsid w:val="7B105E7E"/>
    <w:rsid w:val="7B135EEA"/>
    <w:rsid w:val="7B2B4AFB"/>
    <w:rsid w:val="7B323459"/>
    <w:rsid w:val="7B3C1D25"/>
    <w:rsid w:val="7B5C1BBC"/>
    <w:rsid w:val="7B65783C"/>
    <w:rsid w:val="7B6A6E9F"/>
    <w:rsid w:val="7B800718"/>
    <w:rsid w:val="7B8919FB"/>
    <w:rsid w:val="7BA006C3"/>
    <w:rsid w:val="7BB13636"/>
    <w:rsid w:val="7BB77F94"/>
    <w:rsid w:val="7BBB7B78"/>
    <w:rsid w:val="7BD73D0D"/>
    <w:rsid w:val="7BDA329E"/>
    <w:rsid w:val="7BE52546"/>
    <w:rsid w:val="7BF5398D"/>
    <w:rsid w:val="7BFB272D"/>
    <w:rsid w:val="7C0B3ECF"/>
    <w:rsid w:val="7C157931"/>
    <w:rsid w:val="7C2950D2"/>
    <w:rsid w:val="7C2B2E09"/>
    <w:rsid w:val="7C3D08BA"/>
    <w:rsid w:val="7C445F6B"/>
    <w:rsid w:val="7C4E5078"/>
    <w:rsid w:val="7C5C4890"/>
    <w:rsid w:val="7C5F025C"/>
    <w:rsid w:val="7C604430"/>
    <w:rsid w:val="7C621F2F"/>
    <w:rsid w:val="7C6D681C"/>
    <w:rsid w:val="7C892D4B"/>
    <w:rsid w:val="7C9B0E01"/>
    <w:rsid w:val="7CA40328"/>
    <w:rsid w:val="7CB10603"/>
    <w:rsid w:val="7CC454BC"/>
    <w:rsid w:val="7CC978D1"/>
    <w:rsid w:val="7CD674B2"/>
    <w:rsid w:val="7CE1719A"/>
    <w:rsid w:val="7CFE2164"/>
    <w:rsid w:val="7D023829"/>
    <w:rsid w:val="7D032A8F"/>
    <w:rsid w:val="7D0C5FD8"/>
    <w:rsid w:val="7D1A6F9E"/>
    <w:rsid w:val="7D2922FA"/>
    <w:rsid w:val="7D337AF9"/>
    <w:rsid w:val="7D344E03"/>
    <w:rsid w:val="7D3B193E"/>
    <w:rsid w:val="7D4256C2"/>
    <w:rsid w:val="7D4362E8"/>
    <w:rsid w:val="7D577D93"/>
    <w:rsid w:val="7D592B14"/>
    <w:rsid w:val="7D6349FD"/>
    <w:rsid w:val="7D6774CC"/>
    <w:rsid w:val="7D692A98"/>
    <w:rsid w:val="7D727727"/>
    <w:rsid w:val="7D7A39D5"/>
    <w:rsid w:val="7D8605F9"/>
    <w:rsid w:val="7D971077"/>
    <w:rsid w:val="7DA30D36"/>
    <w:rsid w:val="7DC439C1"/>
    <w:rsid w:val="7DC76C56"/>
    <w:rsid w:val="7DCF4CA5"/>
    <w:rsid w:val="7E0F3C5A"/>
    <w:rsid w:val="7E123328"/>
    <w:rsid w:val="7E131023"/>
    <w:rsid w:val="7E231A42"/>
    <w:rsid w:val="7E3034C5"/>
    <w:rsid w:val="7E350945"/>
    <w:rsid w:val="7E5C0A47"/>
    <w:rsid w:val="7E5D7744"/>
    <w:rsid w:val="7E625402"/>
    <w:rsid w:val="7E720071"/>
    <w:rsid w:val="7E7538B7"/>
    <w:rsid w:val="7E7A69E2"/>
    <w:rsid w:val="7E9B0B87"/>
    <w:rsid w:val="7EA0701B"/>
    <w:rsid w:val="7EC47C99"/>
    <w:rsid w:val="7EC637CE"/>
    <w:rsid w:val="7ED84ACE"/>
    <w:rsid w:val="7EED20ED"/>
    <w:rsid w:val="7EF07FE1"/>
    <w:rsid w:val="7EF954EB"/>
    <w:rsid w:val="7EFA0FCB"/>
    <w:rsid w:val="7F166AC1"/>
    <w:rsid w:val="7F1F6308"/>
    <w:rsid w:val="7F3F7BAE"/>
    <w:rsid w:val="7F487B7B"/>
    <w:rsid w:val="7F6C14E1"/>
    <w:rsid w:val="7F7530E4"/>
    <w:rsid w:val="7F775347"/>
    <w:rsid w:val="7FB01E7F"/>
    <w:rsid w:val="7FB0372F"/>
    <w:rsid w:val="7FB86FE7"/>
    <w:rsid w:val="7FCF2FD0"/>
    <w:rsid w:val="7FD377C4"/>
    <w:rsid w:val="7FD6547D"/>
    <w:rsid w:val="7FDA1E2F"/>
    <w:rsid w:val="7FE160BE"/>
    <w:rsid w:val="7FF17428"/>
    <w:rsid w:val="7FF9419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lang w:val="en-US" w:eastAsia="zh-CN" w:bidi="ar-SA"/>
    </w:rPr>
  </w:style>
  <w:style w:type="paragraph" w:styleId="5">
    <w:name w:val="heading 1"/>
    <w:basedOn w:val="1"/>
    <w:next w:val="1"/>
    <w:qFormat/>
    <w:uiPriority w:val="0"/>
    <w:pPr>
      <w:keepNext/>
      <w:keepLines/>
      <w:spacing w:before="340" w:after="330" w:line="578" w:lineRule="auto"/>
      <w:outlineLvl w:val="0"/>
    </w:pPr>
    <w:rPr>
      <w:b/>
      <w:bCs/>
      <w:kern w:val="44"/>
      <w:sz w:val="44"/>
      <w:szCs w:val="44"/>
    </w:rPr>
  </w:style>
  <w:style w:type="paragraph" w:styleId="6">
    <w:name w:val="heading 2"/>
    <w:basedOn w:val="1"/>
    <w:next w:val="1"/>
    <w:qFormat/>
    <w:uiPriority w:val="0"/>
    <w:pPr>
      <w:keepNext/>
      <w:spacing w:line="216" w:lineRule="auto"/>
      <w:outlineLvl w:val="1"/>
    </w:pPr>
    <w:rPr>
      <w:rFonts w:ascii="宋体"/>
      <w:b/>
      <w:kern w:val="0"/>
      <w:sz w:val="28"/>
      <w:szCs w:val="20"/>
    </w:rPr>
  </w:style>
  <w:style w:type="paragraph" w:styleId="7">
    <w:name w:val="heading 3"/>
    <w:basedOn w:val="1"/>
    <w:next w:val="1"/>
    <w:qFormat/>
    <w:uiPriority w:val="0"/>
    <w:pPr>
      <w:keepNext/>
      <w:keepLines/>
      <w:adjustRightInd w:val="0"/>
      <w:spacing w:before="260" w:after="260" w:line="416" w:lineRule="atLeast"/>
      <w:outlineLvl w:val="2"/>
    </w:pPr>
    <w:rPr>
      <w:b/>
      <w:bCs/>
      <w:kern w:val="0"/>
      <w:sz w:val="32"/>
      <w:szCs w:val="32"/>
    </w:rPr>
  </w:style>
  <w:style w:type="paragraph" w:styleId="8">
    <w:name w:val="heading 4"/>
    <w:basedOn w:val="1"/>
    <w:next w:val="9"/>
    <w:qFormat/>
    <w:uiPriority w:val="9"/>
    <w:pPr>
      <w:keepNext/>
      <w:keepLines/>
      <w:numPr>
        <w:ilvl w:val="3"/>
        <w:numId w:val="1"/>
      </w:numPr>
      <w:tabs>
        <w:tab w:val="left" w:pos="113"/>
        <w:tab w:val="left" w:pos="425"/>
        <w:tab w:val="left" w:pos="1418"/>
        <w:tab w:val="left" w:pos="1560"/>
      </w:tabs>
      <w:spacing w:before="280" w:after="290" w:line="376" w:lineRule="auto"/>
      <w:outlineLvl w:val="3"/>
    </w:pPr>
    <w:rPr>
      <w:rFonts w:ascii="Arial" w:hAnsi="Arial" w:eastAsia="仿宋_GB2312"/>
      <w:b/>
      <w:bCs/>
      <w:szCs w:val="28"/>
    </w:rPr>
  </w:style>
  <w:style w:type="character" w:default="1" w:styleId="30">
    <w:name w:val="Default Paragraph Font"/>
    <w:semiHidden/>
    <w:qFormat/>
    <w:uiPriority w:val="0"/>
  </w:style>
  <w:style w:type="table" w:default="1" w:styleId="28">
    <w:name w:val="Normal Table"/>
    <w:semiHidden/>
    <w:qFormat/>
    <w:uiPriority w:val="0"/>
    <w:tblPr>
      <w:tblCellMar>
        <w:top w:w="0" w:type="dxa"/>
        <w:left w:w="108" w:type="dxa"/>
        <w:bottom w:w="0" w:type="dxa"/>
        <w:right w:w="108" w:type="dxa"/>
      </w:tblCellMar>
    </w:tblPr>
  </w:style>
  <w:style w:type="paragraph" w:customStyle="1" w:styleId="2">
    <w:name w:val="表格文字"/>
    <w:basedOn w:val="1"/>
    <w:next w:val="3"/>
    <w:qFormat/>
    <w:uiPriority w:val="0"/>
    <w:pPr>
      <w:spacing w:before="25" w:after="25"/>
    </w:pPr>
    <w:rPr>
      <w:bCs/>
      <w:spacing w:val="10"/>
      <w:sz w:val="24"/>
      <w:szCs w:val="20"/>
    </w:rPr>
  </w:style>
  <w:style w:type="paragraph" w:styleId="3">
    <w:name w:val="Body Text"/>
    <w:basedOn w:val="1"/>
    <w:next w:val="4"/>
    <w:qFormat/>
    <w:uiPriority w:val="99"/>
    <w:pPr>
      <w:spacing w:after="120"/>
    </w:pPr>
  </w:style>
  <w:style w:type="paragraph" w:styleId="4">
    <w:name w:val="Body Text First Indent"/>
    <w:basedOn w:val="3"/>
    <w:next w:val="1"/>
    <w:qFormat/>
    <w:uiPriority w:val="99"/>
    <w:pPr>
      <w:ind w:left="0" w:leftChars="0" w:firstLine="200" w:firstLineChars="200"/>
    </w:pPr>
  </w:style>
  <w:style w:type="paragraph" w:styleId="9">
    <w:name w:val="Normal Indent"/>
    <w:basedOn w:val="1"/>
    <w:qFormat/>
    <w:uiPriority w:val="0"/>
    <w:pPr>
      <w:ind w:firstLine="420"/>
    </w:pPr>
  </w:style>
  <w:style w:type="paragraph" w:styleId="10">
    <w:name w:val="annotation text"/>
    <w:basedOn w:val="1"/>
    <w:link w:val="42"/>
    <w:qFormat/>
    <w:uiPriority w:val="0"/>
    <w:pPr>
      <w:jc w:val="left"/>
    </w:pPr>
  </w:style>
  <w:style w:type="paragraph" w:styleId="11">
    <w:name w:val="Body Text Indent"/>
    <w:basedOn w:val="1"/>
    <w:next w:val="9"/>
    <w:qFormat/>
    <w:uiPriority w:val="0"/>
    <w:pPr>
      <w:spacing w:before="100" w:beforeAutospacing="1" w:after="120"/>
      <w:ind w:leftChars="200"/>
    </w:pPr>
  </w:style>
  <w:style w:type="paragraph" w:styleId="12">
    <w:name w:val="Block Text"/>
    <w:basedOn w:val="1"/>
    <w:unhideWhenUsed/>
    <w:qFormat/>
    <w:uiPriority w:val="99"/>
    <w:pPr>
      <w:spacing w:after="120"/>
      <w:ind w:left="1440" w:leftChars="700" w:right="1440" w:rightChars="700"/>
    </w:pPr>
  </w:style>
  <w:style w:type="paragraph" w:styleId="13">
    <w:name w:val="Plain Text"/>
    <w:basedOn w:val="1"/>
    <w:qFormat/>
    <w:uiPriority w:val="0"/>
    <w:rPr>
      <w:rFonts w:ascii="宋体" w:hAnsi="Courier New" w:cs="宋体"/>
    </w:rPr>
  </w:style>
  <w:style w:type="paragraph" w:styleId="14">
    <w:name w:val="Date"/>
    <w:basedOn w:val="1"/>
    <w:next w:val="1"/>
    <w:qFormat/>
    <w:uiPriority w:val="0"/>
    <w:pPr>
      <w:ind w:left="100" w:leftChars="2500"/>
    </w:pPr>
  </w:style>
  <w:style w:type="paragraph" w:styleId="15">
    <w:name w:val="Body Text Indent 2"/>
    <w:basedOn w:val="1"/>
    <w:qFormat/>
    <w:uiPriority w:val="0"/>
    <w:pPr>
      <w:snapToGrid w:val="0"/>
      <w:ind w:firstLine="542" w:firstLineChars="225"/>
    </w:pPr>
    <w:rPr>
      <w:rFonts w:ascii="仿宋_GB2312" w:hAnsi="宋体"/>
      <w:b/>
      <w:bCs/>
      <w:color w:val="000000"/>
      <w:sz w:val="24"/>
    </w:rPr>
  </w:style>
  <w:style w:type="paragraph" w:styleId="16">
    <w:name w:val="Balloon Text"/>
    <w:basedOn w:val="1"/>
    <w:semiHidden/>
    <w:qFormat/>
    <w:uiPriority w:val="0"/>
    <w:rPr>
      <w:sz w:val="18"/>
      <w:szCs w:val="18"/>
    </w:rPr>
  </w:style>
  <w:style w:type="paragraph" w:styleId="17">
    <w:name w:val="footer"/>
    <w:basedOn w:val="1"/>
    <w:qFormat/>
    <w:uiPriority w:val="0"/>
    <w:pPr>
      <w:snapToGrid w:val="0"/>
      <w:jc w:val="left"/>
    </w:pPr>
    <w:rPr>
      <w:sz w:val="18"/>
      <w:szCs w:val="18"/>
    </w:rPr>
  </w:style>
  <w:style w:type="paragraph" w:styleId="18">
    <w:name w:val="header"/>
    <w:basedOn w:val="1"/>
    <w:qFormat/>
    <w:uiPriority w:val="0"/>
    <w:pPr>
      <w:pBdr>
        <w:bottom w:val="single" w:color="auto" w:sz="6" w:space="1"/>
      </w:pBdr>
      <w:snapToGrid w:val="0"/>
      <w:jc w:val="center"/>
    </w:pPr>
    <w:rPr>
      <w:sz w:val="18"/>
      <w:szCs w:val="18"/>
    </w:rPr>
  </w:style>
  <w:style w:type="paragraph" w:styleId="19">
    <w:name w:val="toc 1"/>
    <w:basedOn w:val="1"/>
    <w:next w:val="1"/>
    <w:qFormat/>
    <w:uiPriority w:val="0"/>
    <w:pPr>
      <w:snapToGrid w:val="0"/>
      <w:spacing w:before="156" w:beforeLines="50" w:after="312" w:afterLines="100" w:line="360" w:lineRule="auto"/>
      <w:ind w:firstLine="472" w:firstLineChars="196"/>
    </w:pPr>
    <w:rPr>
      <w:szCs w:val="24"/>
    </w:rPr>
  </w:style>
  <w:style w:type="paragraph" w:styleId="20">
    <w:name w:val="toc 4"/>
    <w:basedOn w:val="1"/>
    <w:next w:val="1"/>
    <w:qFormat/>
    <w:uiPriority w:val="0"/>
    <w:pPr>
      <w:ind w:left="630"/>
      <w:jc w:val="left"/>
    </w:pPr>
    <w:rPr>
      <w:sz w:val="18"/>
      <w:szCs w:val="18"/>
    </w:rPr>
  </w:style>
  <w:style w:type="paragraph" w:styleId="21">
    <w:name w:val="Subtitle"/>
    <w:basedOn w:val="1"/>
    <w:next w:val="1"/>
    <w:qFormat/>
    <w:uiPriority w:val="0"/>
    <w:pPr>
      <w:spacing w:before="240" w:after="60" w:line="312" w:lineRule="auto"/>
      <w:jc w:val="center"/>
      <w:outlineLvl w:val="1"/>
    </w:pPr>
    <w:rPr>
      <w:rFonts w:ascii="Cambria" w:hAnsi="Cambria" w:cs="宋体"/>
      <w:b/>
      <w:bCs/>
      <w:kern w:val="28"/>
      <w:sz w:val="32"/>
      <w:szCs w:val="32"/>
    </w:rPr>
  </w:style>
  <w:style w:type="paragraph" w:styleId="22">
    <w:name w:val="toc 6"/>
    <w:basedOn w:val="1"/>
    <w:next w:val="1"/>
    <w:unhideWhenUsed/>
    <w:qFormat/>
    <w:uiPriority w:val="39"/>
    <w:pPr>
      <w:ind w:left="2100" w:leftChars="1000"/>
    </w:pPr>
    <w:rPr>
      <w:rFonts w:ascii="Calibri" w:hAnsi="Calibri"/>
      <w:szCs w:val="22"/>
    </w:rPr>
  </w:style>
  <w:style w:type="paragraph" w:styleId="23">
    <w:name w:val="Body Text Indent 3"/>
    <w:basedOn w:val="1"/>
    <w:qFormat/>
    <w:uiPriority w:val="0"/>
    <w:pPr>
      <w:spacing w:before="100" w:beforeAutospacing="1" w:after="120"/>
      <w:ind w:leftChars="200"/>
    </w:pPr>
    <w:rPr>
      <w:sz w:val="16"/>
      <w:szCs w:val="16"/>
    </w:rPr>
  </w:style>
  <w:style w:type="paragraph" w:styleId="24">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25">
    <w:name w:val="Title"/>
    <w:basedOn w:val="1"/>
    <w:next w:val="1"/>
    <w:link w:val="43"/>
    <w:qFormat/>
    <w:uiPriority w:val="99"/>
    <w:pPr>
      <w:spacing w:before="240" w:after="60"/>
      <w:jc w:val="center"/>
      <w:outlineLvl w:val="0"/>
    </w:pPr>
    <w:rPr>
      <w:rFonts w:ascii="Cambria" w:hAnsi="Cambria"/>
      <w:b/>
      <w:bCs/>
      <w:sz w:val="32"/>
      <w:szCs w:val="32"/>
    </w:rPr>
  </w:style>
  <w:style w:type="paragraph" w:styleId="26">
    <w:name w:val="annotation subject"/>
    <w:basedOn w:val="10"/>
    <w:next w:val="10"/>
    <w:link w:val="44"/>
    <w:qFormat/>
    <w:uiPriority w:val="0"/>
    <w:rPr>
      <w:b/>
      <w:bCs/>
    </w:rPr>
  </w:style>
  <w:style w:type="paragraph" w:styleId="27">
    <w:name w:val="Body Text First Indent 2"/>
    <w:basedOn w:val="11"/>
    <w:next w:val="1"/>
    <w:qFormat/>
    <w:uiPriority w:val="0"/>
    <w:pPr>
      <w:ind w:firstLine="420" w:firstLineChars="200"/>
    </w:pPr>
    <w:rPr>
      <w:rFonts w:ascii="Times New Roman" w:hAnsi="Times New Roman"/>
    </w:rPr>
  </w:style>
  <w:style w:type="table" w:styleId="29">
    <w:name w:val="Table Grid"/>
    <w:basedOn w:val="2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qFormat/>
    <w:uiPriority w:val="0"/>
  </w:style>
  <w:style w:type="character" w:styleId="32">
    <w:name w:val="page number"/>
    <w:qFormat/>
    <w:uiPriority w:val="0"/>
  </w:style>
  <w:style w:type="character" w:styleId="33">
    <w:name w:val="FollowedHyperlink"/>
    <w:qFormat/>
    <w:uiPriority w:val="0"/>
    <w:rPr>
      <w:color w:val="0000FF"/>
      <w:u w:val="single"/>
    </w:rPr>
  </w:style>
  <w:style w:type="character" w:styleId="34">
    <w:name w:val="Emphasis"/>
    <w:qFormat/>
    <w:uiPriority w:val="0"/>
  </w:style>
  <w:style w:type="character" w:styleId="35">
    <w:name w:val="HTML Definition"/>
    <w:qFormat/>
    <w:uiPriority w:val="0"/>
  </w:style>
  <w:style w:type="character" w:styleId="36">
    <w:name w:val="HTML Acronym"/>
    <w:qFormat/>
    <w:uiPriority w:val="0"/>
  </w:style>
  <w:style w:type="character" w:styleId="37">
    <w:name w:val="HTML Variable"/>
    <w:qFormat/>
    <w:uiPriority w:val="0"/>
  </w:style>
  <w:style w:type="character" w:styleId="38">
    <w:name w:val="Hyperlink"/>
    <w:qFormat/>
    <w:uiPriority w:val="0"/>
    <w:rPr>
      <w:color w:val="0099CC"/>
      <w:u w:val="none"/>
    </w:rPr>
  </w:style>
  <w:style w:type="character" w:styleId="39">
    <w:name w:val="HTML Code"/>
    <w:qFormat/>
    <w:uiPriority w:val="0"/>
    <w:rPr>
      <w:rFonts w:ascii="Courier New" w:hAnsi="Courier New"/>
      <w:sz w:val="20"/>
    </w:rPr>
  </w:style>
  <w:style w:type="character" w:styleId="40">
    <w:name w:val="annotation reference"/>
    <w:qFormat/>
    <w:uiPriority w:val="0"/>
    <w:rPr>
      <w:sz w:val="21"/>
      <w:szCs w:val="21"/>
    </w:rPr>
  </w:style>
  <w:style w:type="character" w:styleId="41">
    <w:name w:val="HTML Cite"/>
    <w:qFormat/>
    <w:uiPriority w:val="0"/>
  </w:style>
  <w:style w:type="character" w:customStyle="1" w:styleId="42">
    <w:name w:val="批注文字 Char"/>
    <w:link w:val="10"/>
    <w:qFormat/>
    <w:uiPriority w:val="0"/>
  </w:style>
  <w:style w:type="character" w:customStyle="1" w:styleId="43">
    <w:name w:val="标题 Char"/>
    <w:link w:val="25"/>
    <w:qFormat/>
    <w:locked/>
    <w:uiPriority w:val="99"/>
    <w:rPr>
      <w:rFonts w:ascii="Cambria" w:hAnsi="Cambria"/>
      <w:b/>
      <w:bCs/>
      <w:sz w:val="32"/>
      <w:szCs w:val="32"/>
    </w:rPr>
  </w:style>
  <w:style w:type="character" w:customStyle="1" w:styleId="44">
    <w:name w:val="批注主题 Char"/>
    <w:link w:val="26"/>
    <w:qFormat/>
    <w:uiPriority w:val="0"/>
  </w:style>
  <w:style w:type="paragraph" w:customStyle="1" w:styleId="45">
    <w:name w:val="_Style 3"/>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46">
    <w:name w:val="xl53"/>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rPr>
  </w:style>
  <w:style w:type="paragraph" w:customStyle="1" w:styleId="47">
    <w:name w:val="Fließtext"/>
    <w:basedOn w:val="1"/>
    <w:qFormat/>
    <w:uiPriority w:val="0"/>
    <w:pPr>
      <w:overflowPunct w:val="0"/>
      <w:autoSpaceDE w:val="0"/>
      <w:autoSpaceDN w:val="0"/>
      <w:adjustRightInd w:val="0"/>
      <w:textAlignment w:val="baseline"/>
    </w:pPr>
    <w:rPr>
      <w:kern w:val="28"/>
      <w:szCs w:val="20"/>
    </w:rPr>
  </w:style>
  <w:style w:type="character" w:customStyle="1" w:styleId="48">
    <w:name w:val="15"/>
    <w:qFormat/>
    <w:uiPriority w:val="0"/>
    <w:rPr>
      <w:rFonts w:hint="eastAsia" w:ascii="宋体" w:hAnsi="宋体" w:eastAsia="宋体"/>
      <w:b/>
      <w:bCs/>
      <w:kern w:val="44"/>
      <w:sz w:val="24"/>
      <w:szCs w:val="24"/>
    </w:rPr>
  </w:style>
  <w:style w:type="character" w:customStyle="1" w:styleId="49">
    <w:name w:val="font11"/>
    <w:qFormat/>
    <w:uiPriority w:val="0"/>
    <w:rPr>
      <w:rFonts w:hint="eastAsia" w:ascii="宋体" w:hAnsi="宋体" w:eastAsia="宋体" w:cs="宋体"/>
      <w:color w:val="000000"/>
      <w:sz w:val="20"/>
      <w:szCs w:val="20"/>
      <w:u w:val="none"/>
    </w:rPr>
  </w:style>
  <w:style w:type="character" w:customStyle="1" w:styleId="50">
    <w:name w:val="font121"/>
    <w:qFormat/>
    <w:uiPriority w:val="0"/>
    <w:rPr>
      <w:rFonts w:hint="eastAsia" w:ascii="宋体" w:hAnsi="宋体" w:eastAsia="宋体" w:cs="宋体"/>
      <w:color w:val="FF0000"/>
      <w:sz w:val="20"/>
      <w:szCs w:val="20"/>
      <w:u w:val="none"/>
    </w:rPr>
  </w:style>
  <w:style w:type="character" w:customStyle="1" w:styleId="51">
    <w:name w:val="16"/>
    <w:qFormat/>
    <w:uiPriority w:val="0"/>
    <w:rPr>
      <w:rFonts w:hint="default" w:ascii="Verdana" w:hAnsi="Verdana" w:eastAsia="仿宋_GB2312"/>
      <w:sz w:val="24"/>
      <w:szCs w:val="24"/>
    </w:rPr>
  </w:style>
  <w:style w:type="character" w:customStyle="1" w:styleId="52">
    <w:name w:val="font191"/>
    <w:qFormat/>
    <w:uiPriority w:val="0"/>
    <w:rPr>
      <w:rFonts w:hint="default" w:ascii="Times New Roman" w:hAnsi="Times New Roman" w:cs="Times New Roman"/>
      <w:color w:val="FF0000"/>
      <w:sz w:val="20"/>
      <w:szCs w:val="20"/>
      <w:u w:val="none"/>
    </w:rPr>
  </w:style>
  <w:style w:type="character" w:customStyle="1" w:styleId="53">
    <w:name w:val="font81"/>
    <w:qFormat/>
    <w:uiPriority w:val="0"/>
    <w:rPr>
      <w:rFonts w:hint="eastAsia" w:ascii="宋体" w:hAnsi="宋体" w:eastAsia="宋体" w:cs="宋体"/>
      <w:color w:val="000000"/>
      <w:sz w:val="20"/>
      <w:szCs w:val="20"/>
      <w:u w:val="none"/>
    </w:rPr>
  </w:style>
  <w:style w:type="character" w:customStyle="1" w:styleId="54">
    <w:name w:val="font51"/>
    <w:qFormat/>
    <w:uiPriority w:val="0"/>
    <w:rPr>
      <w:rFonts w:hint="eastAsia" w:ascii="宋体" w:hAnsi="宋体" w:eastAsia="宋体" w:cs="宋体"/>
      <w:color w:val="000000"/>
      <w:sz w:val="20"/>
      <w:szCs w:val="20"/>
      <w:u w:val="none"/>
    </w:rPr>
  </w:style>
  <w:style w:type="character" w:customStyle="1" w:styleId="55">
    <w:name w:val="l-selected"/>
    <w:qFormat/>
    <w:uiPriority w:val="0"/>
    <w:rPr>
      <w:color w:val="355686"/>
      <w:bdr w:val="single" w:color="DAB364" w:sz="6" w:space="0"/>
      <w:shd w:val="clear" w:color="auto" w:fill="FFFFFF"/>
    </w:rPr>
  </w:style>
  <w:style w:type="character" w:customStyle="1" w:styleId="56">
    <w:name w:val="l-open"/>
    <w:qFormat/>
    <w:uiPriority w:val="0"/>
  </w:style>
  <w:style w:type="character" w:customStyle="1" w:styleId="57">
    <w:name w:val="font61"/>
    <w:qFormat/>
    <w:uiPriority w:val="0"/>
    <w:rPr>
      <w:rFonts w:hint="eastAsia" w:ascii="宋体" w:hAnsi="宋体" w:eastAsia="宋体" w:cs="宋体"/>
      <w:b/>
      <w:color w:val="FF0000"/>
      <w:sz w:val="20"/>
      <w:szCs w:val="20"/>
      <w:u w:val="none"/>
    </w:rPr>
  </w:style>
  <w:style w:type="character" w:customStyle="1" w:styleId="58">
    <w:name w:val="font111"/>
    <w:qFormat/>
    <w:uiPriority w:val="0"/>
    <w:rPr>
      <w:rFonts w:hint="eastAsia" w:ascii="宋体" w:hAnsi="宋体" w:eastAsia="宋体" w:cs="宋体"/>
      <w:color w:val="000000"/>
      <w:sz w:val="20"/>
      <w:szCs w:val="20"/>
      <w:u w:val="none"/>
      <w:vertAlign w:val="superscript"/>
    </w:rPr>
  </w:style>
  <w:style w:type="character" w:customStyle="1" w:styleId="59">
    <w:name w:val="10"/>
    <w:qFormat/>
    <w:uiPriority w:val="0"/>
    <w:rPr>
      <w:rFonts w:hint="default" w:ascii="Verdana" w:hAnsi="Verdana" w:eastAsia="仿宋_GB2312"/>
      <w:sz w:val="24"/>
      <w:szCs w:val="24"/>
    </w:rPr>
  </w:style>
  <w:style w:type="character" w:customStyle="1" w:styleId="60">
    <w:name w:val="font01"/>
    <w:basedOn w:val="30"/>
    <w:qFormat/>
    <w:uiPriority w:val="0"/>
    <w:rPr>
      <w:rFonts w:hint="eastAsia" w:ascii="宋体" w:hAnsi="宋体" w:eastAsia="宋体" w:cs="宋体"/>
      <w:color w:val="000000"/>
      <w:sz w:val="20"/>
      <w:szCs w:val="20"/>
      <w:u w:val="none"/>
      <w:vertAlign w:val="subscript"/>
    </w:rPr>
  </w:style>
  <w:style w:type="character" w:customStyle="1" w:styleId="61">
    <w:name w:val="l-selected2"/>
    <w:qFormat/>
    <w:uiPriority w:val="0"/>
    <w:rPr>
      <w:color w:val="355686"/>
      <w:bdr w:val="single" w:color="DAB364" w:sz="6" w:space="0"/>
      <w:shd w:val="clear" w:color="auto" w:fill="FFFFFF"/>
    </w:rPr>
  </w:style>
  <w:style w:type="character" w:customStyle="1" w:styleId="62">
    <w:name w:val="font41"/>
    <w:basedOn w:val="30"/>
    <w:qFormat/>
    <w:uiPriority w:val="0"/>
    <w:rPr>
      <w:rFonts w:hint="eastAsia" w:ascii="宋体" w:hAnsi="宋体" w:eastAsia="宋体" w:cs="宋体"/>
      <w:color w:val="000000"/>
      <w:sz w:val="18"/>
      <w:szCs w:val="18"/>
      <w:u w:val="none"/>
    </w:rPr>
  </w:style>
  <w:style w:type="character" w:customStyle="1" w:styleId="63">
    <w:name w:val="l-over"/>
    <w:qFormat/>
    <w:uiPriority w:val="0"/>
    <w:rPr>
      <w:bdr w:val="single" w:color="DAB364" w:sz="6" w:space="0"/>
    </w:rPr>
  </w:style>
  <w:style w:type="character" w:customStyle="1" w:styleId="64">
    <w:name w:val="font21"/>
    <w:qFormat/>
    <w:uiPriority w:val="0"/>
    <w:rPr>
      <w:rFonts w:hint="eastAsia" w:ascii="宋体" w:hAnsi="宋体" w:eastAsia="宋体" w:cs="宋体"/>
      <w:color w:val="000000"/>
      <w:sz w:val="20"/>
      <w:szCs w:val="20"/>
      <w:u w:val="none"/>
    </w:rPr>
  </w:style>
  <w:style w:type="character" w:customStyle="1" w:styleId="65">
    <w:name w:val="font151"/>
    <w:qFormat/>
    <w:uiPriority w:val="0"/>
    <w:rPr>
      <w:rFonts w:hint="default" w:ascii="Times New Roman" w:hAnsi="Times New Roman" w:cs="Times New Roman"/>
      <w:color w:val="000000"/>
      <w:sz w:val="20"/>
      <w:szCs w:val="20"/>
      <w:u w:val="none"/>
    </w:rPr>
  </w:style>
  <w:style w:type="character" w:customStyle="1" w:styleId="66">
    <w:name w:val="font181"/>
    <w:qFormat/>
    <w:uiPriority w:val="0"/>
    <w:rPr>
      <w:rFonts w:hint="eastAsia" w:ascii="宋体" w:hAnsi="宋体" w:eastAsia="宋体" w:cs="宋体"/>
      <w:color w:val="000000"/>
      <w:sz w:val="20"/>
      <w:szCs w:val="20"/>
      <w:u w:val="none"/>
      <w:vertAlign w:val="superscript"/>
    </w:rPr>
  </w:style>
  <w:style w:type="paragraph" w:customStyle="1" w:styleId="67">
    <w:name w:val="GP正文(首行缩进)"/>
    <w:basedOn w:val="1"/>
    <w:qFormat/>
    <w:uiPriority w:val="0"/>
    <w:pPr>
      <w:spacing w:line="560" w:lineRule="exact"/>
      <w:ind w:firstLine="200" w:firstLineChars="200"/>
    </w:pPr>
    <w:rPr>
      <w:rFonts w:eastAsia="仿宋_GB2312"/>
      <w:sz w:val="32"/>
      <w:szCs w:val="21"/>
    </w:rPr>
  </w:style>
  <w:style w:type="paragraph" w:customStyle="1" w:styleId="68">
    <w:name w:val="正文首行缩进 21"/>
    <w:basedOn w:val="69"/>
    <w:qFormat/>
    <w:uiPriority w:val="0"/>
    <w:pPr>
      <w:ind w:firstLine="420"/>
    </w:pPr>
    <w:rPr>
      <w:rFonts w:ascii="Times New Roman" w:hAnsi="Times New Roman" w:eastAsia="宋体" w:cs="宋体"/>
    </w:rPr>
  </w:style>
  <w:style w:type="paragraph" w:customStyle="1" w:styleId="69">
    <w:name w:val="正文文本缩进1"/>
    <w:basedOn w:val="1"/>
    <w:next w:val="1"/>
    <w:qFormat/>
    <w:uiPriority w:val="0"/>
    <w:pPr>
      <w:spacing w:after="120"/>
      <w:ind w:left="420" w:leftChars="200"/>
    </w:pPr>
    <w:rPr>
      <w:color w:val="000000"/>
      <w:szCs w:val="21"/>
    </w:rPr>
  </w:style>
  <w:style w:type="paragraph" w:styleId="70">
    <w:name w:val="No Spacing"/>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1">
    <w:name w:val="my正文"/>
    <w:basedOn w:val="1"/>
    <w:qFormat/>
    <w:uiPriority w:val="0"/>
    <w:pPr>
      <w:widowControl/>
      <w:ind w:firstLine="480" w:firstLineChars="200"/>
    </w:pPr>
    <w:rPr>
      <w:rFonts w:eastAsia="仿宋_GB2312"/>
      <w:lang w:val="zh-CN"/>
    </w:rPr>
  </w:style>
  <w:style w:type="paragraph" w:customStyle="1" w:styleId="72">
    <w:name w:val="封面第一行"/>
    <w:basedOn w:val="1"/>
    <w:qFormat/>
    <w:uiPriority w:val="0"/>
    <w:pPr>
      <w:spacing w:line="360" w:lineRule="auto"/>
      <w:ind w:firstLine="200" w:firstLineChars="200"/>
      <w:jc w:val="center"/>
    </w:pPr>
    <w:rPr>
      <w:rFonts w:ascii="黑体" w:hAnsi="宋体" w:eastAsia="黑体" w:cs="宋体"/>
      <w:sz w:val="56"/>
      <w:szCs w:val="56"/>
    </w:rPr>
  </w:style>
  <w:style w:type="paragraph" w:styleId="73">
    <w:name w:val="List Paragraph"/>
    <w:basedOn w:val="1"/>
    <w:qFormat/>
    <w:uiPriority w:val="34"/>
    <w:pPr>
      <w:ind w:firstLine="420" w:firstLineChars="200"/>
    </w:pPr>
    <w:rPr>
      <w:rFonts w:ascii="Times New Roman" w:hAnsi="Times New Roman" w:eastAsia="宋体" w:cs="Times New Roman"/>
      <w:szCs w:val="24"/>
    </w:rPr>
  </w:style>
  <w:style w:type="paragraph" w:customStyle="1" w:styleId="74">
    <w:name w:val="正文 "/>
    <w:basedOn w:val="1"/>
    <w:qFormat/>
    <w:uiPriority w:val="0"/>
    <w:pPr>
      <w:widowControl w:val="0"/>
      <w:adjustRightInd w:val="0"/>
      <w:spacing w:line="318" w:lineRule="atLeast"/>
      <w:ind w:left="369" w:firstLine="369"/>
      <w:jc w:val="both"/>
      <w:textAlignment w:val="baseline"/>
    </w:pPr>
    <w:rPr>
      <w:rFonts w:ascii="宋体"/>
      <w:sz w:val="21"/>
      <w:szCs w:val="20"/>
    </w:rPr>
  </w:style>
  <w:style w:type="paragraph" w:customStyle="1" w:styleId="75">
    <w:name w:val="正文段"/>
    <w:basedOn w:val="1"/>
    <w:qFormat/>
    <w:uiPriority w:val="0"/>
    <w:pPr>
      <w:widowControl/>
      <w:adjustRightInd w:val="0"/>
      <w:snapToGrid w:val="0"/>
      <w:spacing w:after="240" w:line="240" w:lineRule="atLeast"/>
      <w:ind w:firstLine="454"/>
      <w:textAlignment w:val="bottom"/>
    </w:pPr>
    <w:rPr>
      <w:rFonts w:ascii="宋体" w:hAnsi="宋体"/>
      <w:color w:val="000000"/>
      <w:kern w:val="0"/>
      <w:sz w:val="24"/>
      <w:szCs w:val="20"/>
    </w:rPr>
  </w:style>
  <w:style w:type="paragraph" w:customStyle="1" w:styleId="76">
    <w:name w:val="Plain Text"/>
    <w:basedOn w:val="1"/>
    <w:qFormat/>
    <w:uiPriority w:val="0"/>
    <w:rPr>
      <w:rFonts w:ascii="宋体" w:hAnsi="Courier New" w:cs="宋体"/>
    </w:rPr>
  </w:style>
  <w:style w:type="paragraph" w:customStyle="1" w:styleId="77">
    <w:name w:val="样式 标题 2 + Times New Roman 四号 非加粗 段前: 5 磅 段后: 0 磅 行距: 固定值 20..."/>
    <w:basedOn w:val="6"/>
    <w:qFormat/>
    <w:uiPriority w:val="0"/>
    <w:pPr>
      <w:spacing w:before="100" w:line="400" w:lineRule="exact"/>
      <w:ind w:firstLine="100" w:firstLineChars="100"/>
    </w:pPr>
    <w:rPr>
      <w:rFonts w:eastAsia="黑体" w:cs="宋体"/>
      <w:b w:val="0"/>
      <w:kern w:val="2"/>
    </w:rPr>
  </w:style>
  <w:style w:type="paragraph" w:customStyle="1" w:styleId="78">
    <w:name w:val="Normal"/>
    <w:basedOn w:val="1"/>
    <w:qFormat/>
    <w:uiPriority w:val="0"/>
  </w:style>
  <w:style w:type="paragraph" w:customStyle="1" w:styleId="79">
    <w:name w:val="样式 一般条文-3级 + 右侧:  1 字符 Char"/>
    <w:basedOn w:val="1"/>
    <w:qFormat/>
    <w:uiPriority w:val="0"/>
    <w:pPr>
      <w:spacing w:line="360" w:lineRule="auto"/>
    </w:pPr>
    <w:rPr>
      <w:rFonts w:cs="宋体"/>
      <w:sz w:val="24"/>
    </w:rPr>
  </w:style>
  <w:style w:type="paragraph" w:customStyle="1" w:styleId="80">
    <w:name w:val="Table Paragraph"/>
    <w:basedOn w:val="1"/>
    <w:qFormat/>
    <w:uiPriority w:val="1"/>
  </w:style>
  <w:style w:type="paragraph" w:customStyle="1" w:styleId="81">
    <w:name w:val="正文1"/>
    <w:basedOn w:val="1"/>
    <w:qFormat/>
    <w:uiPriority w:val="0"/>
    <w:pPr>
      <w:adjustRightInd w:val="0"/>
      <w:spacing w:line="318" w:lineRule="atLeast"/>
      <w:ind w:left="369" w:firstLine="369"/>
      <w:textAlignment w:val="baseline"/>
    </w:pPr>
    <w:rPr>
      <w:rFonts w:ascii="宋体"/>
      <w:szCs w:val="20"/>
    </w:rPr>
  </w:style>
  <w:style w:type="paragraph" w:customStyle="1" w:styleId="82">
    <w:name w:val="彩色列表 - 强调文字颜色 11"/>
    <w:basedOn w:val="1"/>
    <w:qFormat/>
    <w:uiPriority w:val="34"/>
    <w:pPr>
      <w:ind w:firstLine="420" w:firstLineChars="200"/>
    </w:pPr>
    <w:rPr>
      <w:rFonts w:ascii="Calibri" w:hAnsi="Calibri"/>
      <w:szCs w:val="22"/>
    </w:rPr>
  </w:style>
  <w:style w:type="paragraph" w:customStyle="1" w:styleId="83">
    <w:name w:val="reader-word-layer reader-word-s1-1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4">
    <w:name w:val="标准正文"/>
    <w:basedOn w:val="1"/>
    <w:qFormat/>
    <w:uiPriority w:val="0"/>
    <w:pPr>
      <w:spacing w:line="240" w:lineRule="atLeast"/>
      <w:ind w:firstLine="200" w:firstLineChars="200"/>
    </w:pPr>
    <w:rPr>
      <w:rFonts w:ascii="宋体" w:hAnsi="宋体" w:cs="宋体"/>
    </w:rPr>
  </w:style>
  <w:style w:type="paragraph" w:customStyle="1" w:styleId="85">
    <w:name w:val="WPSOffice手动目录 1"/>
    <w:basedOn w:val="1"/>
    <w:qFormat/>
    <w:uiPriority w:val="0"/>
    <w:pPr>
      <w:widowControl/>
      <w:spacing w:before="100" w:beforeAutospacing="1" w:after="100" w:afterAutospacing="1"/>
      <w:jc w:val="left"/>
    </w:pPr>
    <w:rPr>
      <w:kern w:val="0"/>
      <w:sz w:val="20"/>
      <w:szCs w:val="20"/>
    </w:rPr>
  </w:style>
  <w:style w:type="paragraph" w:customStyle="1" w:styleId="86">
    <w:name w:val="样式1"/>
    <w:basedOn w:val="1"/>
    <w:qFormat/>
    <w:uiPriority w:val="0"/>
    <w:pPr>
      <w:adjustRightInd w:val="0"/>
      <w:spacing w:line="420" w:lineRule="auto"/>
      <w:jc w:val="center"/>
    </w:pPr>
    <w:rPr>
      <w:rFonts w:ascii="宋体"/>
      <w:kern w:val="0"/>
      <w:sz w:val="24"/>
      <w:szCs w:val="20"/>
    </w:rPr>
  </w:style>
  <w:style w:type="paragraph" w:customStyle="1" w:styleId="87">
    <w:name w:val="正文zhu"/>
    <w:basedOn w:val="1"/>
    <w:qFormat/>
    <w:uiPriority w:val="0"/>
    <w:pPr>
      <w:widowControl/>
      <w:spacing w:line="540" w:lineRule="exact"/>
      <w:ind w:firstLine="200" w:firstLineChars="200"/>
    </w:pPr>
    <w:rPr>
      <w:rFonts w:ascii="Times New Roman" w:hAnsi="Times New Roman" w:eastAsia="宋体"/>
      <w:sz w:val="24"/>
    </w:rPr>
  </w:style>
  <w:style w:type="paragraph" w:customStyle="1" w:styleId="88">
    <w:name w:val="List Paragraph1"/>
    <w:basedOn w:val="1"/>
    <w:qFormat/>
    <w:uiPriority w:val="34"/>
    <w:pPr>
      <w:ind w:firstLine="420" w:firstLineChars="200"/>
    </w:pPr>
    <w:rPr>
      <w:rFonts w:ascii="Calibri" w:hAnsi="Calibri"/>
      <w:szCs w:val="22"/>
    </w:rPr>
  </w:style>
  <w:style w:type="character" w:customStyle="1" w:styleId="89">
    <w:name w:val="font171"/>
    <w:basedOn w:val="30"/>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4" Type="http://schemas.openxmlformats.org/officeDocument/2006/relationships/fontTable" Target="fontTable.xml"/><Relationship Id="rId83" Type="http://schemas.openxmlformats.org/officeDocument/2006/relationships/numbering" Target="numbering.xml"/><Relationship Id="rId82" Type="http://schemas.openxmlformats.org/officeDocument/2006/relationships/customXml" Target="../customXml/item1.xml"/><Relationship Id="rId81" Type="http://schemas.openxmlformats.org/officeDocument/2006/relationships/image" Target="media/image64.png"/><Relationship Id="rId80" Type="http://schemas.openxmlformats.org/officeDocument/2006/relationships/image" Target="media/image63.png"/><Relationship Id="rId8" Type="http://schemas.openxmlformats.org/officeDocument/2006/relationships/header" Target="header4.xml"/><Relationship Id="rId79" Type="http://schemas.openxmlformats.org/officeDocument/2006/relationships/image" Target="media/image62.png"/><Relationship Id="rId78" Type="http://schemas.openxmlformats.org/officeDocument/2006/relationships/image" Target="media/image61.png"/><Relationship Id="rId77" Type="http://schemas.openxmlformats.org/officeDocument/2006/relationships/image" Target="media/image60.png"/><Relationship Id="rId76" Type="http://schemas.openxmlformats.org/officeDocument/2006/relationships/image" Target="media/image59.png"/><Relationship Id="rId75" Type="http://schemas.openxmlformats.org/officeDocument/2006/relationships/image" Target="media/image58.png"/><Relationship Id="rId74" Type="http://schemas.openxmlformats.org/officeDocument/2006/relationships/image" Target="media/image57.png"/><Relationship Id="rId73" Type="http://schemas.openxmlformats.org/officeDocument/2006/relationships/image" Target="media/image56.png"/><Relationship Id="rId72" Type="http://schemas.openxmlformats.org/officeDocument/2006/relationships/image" Target="media/image55.png"/><Relationship Id="rId71" Type="http://schemas.openxmlformats.org/officeDocument/2006/relationships/image" Target="media/image54.png"/><Relationship Id="rId70" Type="http://schemas.openxmlformats.org/officeDocument/2006/relationships/image" Target="media/image53.png"/><Relationship Id="rId7" Type="http://schemas.openxmlformats.org/officeDocument/2006/relationships/footer" Target="footer2.xml"/><Relationship Id="rId69" Type="http://schemas.openxmlformats.org/officeDocument/2006/relationships/image" Target="media/image52.png"/><Relationship Id="rId68" Type="http://schemas.openxmlformats.org/officeDocument/2006/relationships/image" Target="media/image51.png"/><Relationship Id="rId67" Type="http://schemas.openxmlformats.org/officeDocument/2006/relationships/image" Target="media/image50.png"/><Relationship Id="rId66" Type="http://schemas.openxmlformats.org/officeDocument/2006/relationships/image" Target="media/image49.png"/><Relationship Id="rId65" Type="http://schemas.openxmlformats.org/officeDocument/2006/relationships/image" Target="media/image48.png"/><Relationship Id="rId64" Type="http://schemas.openxmlformats.org/officeDocument/2006/relationships/image" Target="media/image47.png"/><Relationship Id="rId63" Type="http://schemas.openxmlformats.org/officeDocument/2006/relationships/image" Target="media/image46.png"/><Relationship Id="rId62" Type="http://schemas.openxmlformats.org/officeDocument/2006/relationships/image" Target="media/image45.png"/><Relationship Id="rId61" Type="http://schemas.openxmlformats.org/officeDocument/2006/relationships/image" Target="media/image44.png"/><Relationship Id="rId60" Type="http://schemas.openxmlformats.org/officeDocument/2006/relationships/image" Target="media/image43.png"/><Relationship Id="rId6" Type="http://schemas.openxmlformats.org/officeDocument/2006/relationships/footer" Target="footer1.xml"/><Relationship Id="rId59" Type="http://schemas.openxmlformats.org/officeDocument/2006/relationships/image" Target="media/image42.png"/><Relationship Id="rId58" Type="http://schemas.openxmlformats.org/officeDocument/2006/relationships/image" Target="media/image41.png"/><Relationship Id="rId57" Type="http://schemas.openxmlformats.org/officeDocument/2006/relationships/image" Target="media/image40.png"/><Relationship Id="rId56" Type="http://schemas.openxmlformats.org/officeDocument/2006/relationships/image" Target="media/image39.png"/><Relationship Id="rId55" Type="http://schemas.openxmlformats.org/officeDocument/2006/relationships/image" Target="media/image38.png"/><Relationship Id="rId54" Type="http://schemas.openxmlformats.org/officeDocument/2006/relationships/image" Target="media/image37.png"/><Relationship Id="rId53" Type="http://schemas.openxmlformats.org/officeDocument/2006/relationships/image" Target="media/image36.png"/><Relationship Id="rId52" Type="http://schemas.openxmlformats.org/officeDocument/2006/relationships/image" Target="media/image35.png"/><Relationship Id="rId51" Type="http://schemas.openxmlformats.org/officeDocument/2006/relationships/image" Target="media/image34.png"/><Relationship Id="rId50" Type="http://schemas.openxmlformats.org/officeDocument/2006/relationships/image" Target="media/image33.png"/><Relationship Id="rId5" Type="http://schemas.openxmlformats.org/officeDocument/2006/relationships/header" Target="header3.xml"/><Relationship Id="rId49" Type="http://schemas.openxmlformats.org/officeDocument/2006/relationships/image" Target="media/image32.png"/><Relationship Id="rId48" Type="http://schemas.openxmlformats.org/officeDocument/2006/relationships/image" Target="media/image31.png"/><Relationship Id="rId47" Type="http://schemas.openxmlformats.org/officeDocument/2006/relationships/image" Target="media/image30.png"/><Relationship Id="rId46" Type="http://schemas.openxmlformats.org/officeDocument/2006/relationships/image" Target="media/image29.png"/><Relationship Id="rId45" Type="http://schemas.openxmlformats.org/officeDocument/2006/relationships/image" Target="media/image28.png"/><Relationship Id="rId44" Type="http://schemas.openxmlformats.org/officeDocument/2006/relationships/image" Target="media/image27.png"/><Relationship Id="rId43" Type="http://schemas.openxmlformats.org/officeDocument/2006/relationships/image" Target="media/image26.png"/><Relationship Id="rId42" Type="http://schemas.openxmlformats.org/officeDocument/2006/relationships/image" Target="media/image25.png"/><Relationship Id="rId41" Type="http://schemas.openxmlformats.org/officeDocument/2006/relationships/image" Target="media/image24.png"/><Relationship Id="rId40" Type="http://schemas.openxmlformats.org/officeDocument/2006/relationships/image" Target="media/image23.png"/><Relationship Id="rId4" Type="http://schemas.openxmlformats.org/officeDocument/2006/relationships/header" Target="header2.xml"/><Relationship Id="rId39" Type="http://schemas.openxmlformats.org/officeDocument/2006/relationships/image" Target="media/image22.png"/><Relationship Id="rId38" Type="http://schemas.openxmlformats.org/officeDocument/2006/relationships/image" Target="media/image21.png"/><Relationship Id="rId37" Type="http://schemas.openxmlformats.org/officeDocument/2006/relationships/image" Target="media/image20.png"/><Relationship Id="rId36" Type="http://schemas.openxmlformats.org/officeDocument/2006/relationships/image" Target="media/image19.png"/><Relationship Id="rId35" Type="http://schemas.openxmlformats.org/officeDocument/2006/relationships/image" Target="media/image18.png"/><Relationship Id="rId34" Type="http://schemas.openxmlformats.org/officeDocument/2006/relationships/image" Target="media/image17.png"/><Relationship Id="rId33" Type="http://schemas.openxmlformats.org/officeDocument/2006/relationships/image" Target="media/image16.png"/><Relationship Id="rId32" Type="http://schemas.openxmlformats.org/officeDocument/2006/relationships/image" Target="media/image15.png"/><Relationship Id="rId31" Type="http://schemas.openxmlformats.org/officeDocument/2006/relationships/image" Target="media/image14.png"/><Relationship Id="rId30" Type="http://schemas.openxmlformats.org/officeDocument/2006/relationships/image" Target="media/image13.png"/><Relationship Id="rId3" Type="http://schemas.openxmlformats.org/officeDocument/2006/relationships/header" Target="header1.xml"/><Relationship Id="rId29" Type="http://schemas.openxmlformats.org/officeDocument/2006/relationships/image" Target="media/image12.png"/><Relationship Id="rId28" Type="http://schemas.openxmlformats.org/officeDocument/2006/relationships/image" Target="media/image11.png"/><Relationship Id="rId27" Type="http://schemas.openxmlformats.org/officeDocument/2006/relationships/image" Target="media/image10.png"/><Relationship Id="rId26" Type="http://schemas.openxmlformats.org/officeDocument/2006/relationships/image" Target="media/image9.png"/><Relationship Id="rId25" Type="http://schemas.openxmlformats.org/officeDocument/2006/relationships/image" Target="media/image8.png"/><Relationship Id="rId24" Type="http://schemas.openxmlformats.org/officeDocument/2006/relationships/image" Target="media/image7.png"/><Relationship Id="rId23" Type="http://schemas.openxmlformats.org/officeDocument/2006/relationships/image" Target="media/image6.png"/><Relationship Id="rId22" Type="http://schemas.openxmlformats.org/officeDocument/2006/relationships/image" Target="media/image5.png"/><Relationship Id="rId21" Type="http://schemas.openxmlformats.org/officeDocument/2006/relationships/image" Target="media/image4.png"/><Relationship Id="rId20" Type="http://schemas.openxmlformats.org/officeDocument/2006/relationships/image" Target="media/image3.png"/><Relationship Id="rId2" Type="http://schemas.openxmlformats.org/officeDocument/2006/relationships/settings" Target="settings.xml"/><Relationship Id="rId19" Type="http://schemas.openxmlformats.org/officeDocument/2006/relationships/image" Target="media/image2.png"/><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header" Target="header8.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60"/>
    <customShpInfo spid="_x0000_s2059"/>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60</Pages>
  <Words>33178</Words>
  <Characters>36067</Characters>
  <Lines>406</Lines>
  <Paragraphs>114</Paragraphs>
  <TotalTime>0</TotalTime>
  <ScaleCrop>false</ScaleCrop>
  <LinksUpToDate>false</LinksUpToDate>
  <CharactersWithSpaces>41266</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2020-06-15T08:11:00Z</dcterms:created>
  <dc:creator>浙江凯翔</dc:creator>
  <cp:lastModifiedBy>随风</cp:lastModifiedBy>
  <cp:lastPrinted>2023-06-02T07:21:00Z</cp:lastPrinted>
  <dcterms:modified xsi:type="dcterms:W3CDTF">2023-12-08T01:55:48Z</dcterms:modified>
  <dc:title> </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50F9BAF55D5C4357AFE67A976E0EAFEE</vt:lpwstr>
  </property>
</Properties>
</file>