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bidi w:val="0"/>
        <w:spacing w:line="360" w:lineRule="auto"/>
        <w:jc w:val="center"/>
        <w:outlineLvl w:val="9"/>
        <w:rPr>
          <w:rFonts w:ascii="宋体" w:hAnsi="宋体" w:cs="宋体"/>
          <w:b/>
          <w:sz w:val="24"/>
          <w:highlight w:val="none"/>
        </w:rPr>
      </w:pPr>
    </w:p>
    <w:p>
      <w:pPr>
        <w:kinsoku/>
        <w:wordWrap/>
        <w:overflowPunct/>
        <w:topLinePunct w:val="0"/>
        <w:bidi w:val="0"/>
        <w:adjustRightInd/>
        <w:spacing w:line="360" w:lineRule="auto"/>
        <w:jc w:val="center"/>
        <w:outlineLvl w:val="9"/>
        <w:rPr>
          <w:rFonts w:ascii="宋体" w:hAnsi="宋体" w:cs="宋体"/>
          <w:b/>
          <w:sz w:val="48"/>
          <w:szCs w:val="48"/>
          <w:highlight w:val="none"/>
        </w:rPr>
      </w:pPr>
    </w:p>
    <w:p>
      <w:pPr>
        <w:kinsoku/>
        <w:wordWrap/>
        <w:overflowPunct/>
        <w:topLinePunct w:val="0"/>
        <w:bidi w:val="0"/>
        <w:outlineLvl w:val="9"/>
        <w:rPr>
          <w:highlight w:val="none"/>
        </w:rPr>
      </w:pPr>
    </w:p>
    <w:p>
      <w:pPr>
        <w:kinsoku/>
        <w:wordWrap/>
        <w:overflowPunct/>
        <w:topLinePunct w:val="0"/>
        <w:bidi w:val="0"/>
        <w:adjustRightInd/>
        <w:spacing w:line="360" w:lineRule="auto"/>
        <w:jc w:val="center"/>
        <w:outlineLvl w:val="9"/>
        <w:rPr>
          <w:rFonts w:hint="eastAsia" w:ascii="宋体" w:hAnsi="宋体" w:cs="宋体"/>
          <w:sz w:val="48"/>
          <w:szCs w:val="48"/>
          <w:highlight w:val="none"/>
        </w:rPr>
      </w:pPr>
      <w:r>
        <w:rPr>
          <w:rFonts w:hint="eastAsia" w:ascii="宋体" w:hAnsi="宋体" w:cs="宋体"/>
          <w:sz w:val="48"/>
          <w:szCs w:val="48"/>
          <w:highlight w:val="none"/>
        </w:rPr>
        <w:t xml:space="preserve">招标文件 </w:t>
      </w:r>
    </w:p>
    <w:p>
      <w:pPr>
        <w:kinsoku/>
        <w:wordWrap/>
        <w:overflowPunct/>
        <w:topLinePunct w:val="0"/>
        <w:bidi w:val="0"/>
        <w:adjustRightInd/>
        <w:spacing w:line="360" w:lineRule="auto"/>
        <w:jc w:val="center"/>
        <w:outlineLvl w:val="9"/>
        <w:rPr>
          <w:rFonts w:ascii="宋体" w:hAnsi="宋体" w:cs="宋体"/>
          <w:b/>
          <w:sz w:val="44"/>
          <w:szCs w:val="44"/>
          <w:highlight w:val="none"/>
        </w:rPr>
      </w:pPr>
      <w:r>
        <w:rPr>
          <w:rFonts w:hint="eastAsia" w:ascii="宋体" w:hAnsi="宋体" w:cs="宋体"/>
          <w:b/>
          <w:sz w:val="44"/>
          <w:szCs w:val="44"/>
          <w:highlight w:val="none"/>
        </w:rPr>
        <w:t xml:space="preserve"> （电子招投标）</w:t>
      </w:r>
    </w:p>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pPr>
        <w:kinsoku/>
        <w:wordWrap/>
        <w:overflowPunct/>
        <w:topLinePunct w:val="0"/>
        <w:bidi w:val="0"/>
        <w:snapToGrid w:val="0"/>
        <w:spacing w:line="360" w:lineRule="auto"/>
        <w:jc w:val="left"/>
        <w:outlineLvl w:val="9"/>
        <w:rPr>
          <w:rFonts w:hint="eastAsia" w:ascii="宋体" w:hAnsi="宋体" w:cs="宋体"/>
          <w:color w:val="auto"/>
          <w:sz w:val="30"/>
          <w:szCs w:val="30"/>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hint="eastAsia" w:ascii="宋体" w:hAnsi="宋体" w:cs="宋体"/>
          <w:color w:val="auto"/>
          <w:sz w:val="30"/>
          <w:szCs w:val="30"/>
          <w:highlight w:val="none"/>
        </w:rPr>
      </w:pPr>
      <w:r>
        <w:rPr>
          <w:rFonts w:hint="eastAsia" w:ascii="宋体" w:hAnsi="宋体" w:cs="宋体"/>
          <w:color w:val="auto"/>
          <w:sz w:val="30"/>
          <w:szCs w:val="30"/>
          <w:highlight w:val="none"/>
        </w:rPr>
        <w:t>项目编号</w:t>
      </w:r>
      <w:r>
        <w:rPr>
          <w:rFonts w:hint="eastAsia" w:ascii="宋体" w:hAnsi="宋体" w:cs="宋体"/>
          <w:color w:val="auto"/>
          <w:sz w:val="30"/>
          <w:szCs w:val="30"/>
          <w:highlight w:val="none"/>
          <w:lang w:eastAsia="zh-CN"/>
        </w:rPr>
        <w:t xml:space="preserve">：CBZJ-20246067G </w:t>
      </w:r>
      <w:r>
        <w:rPr>
          <w:rFonts w:hint="eastAsia" w:ascii="宋体" w:hAnsi="宋体" w:cs="宋体"/>
          <w:color w:val="auto"/>
          <w:sz w:val="30"/>
          <w:szCs w:val="30"/>
          <w:highlight w:val="none"/>
        </w:rPr>
        <w:t xml:space="preserve">  </w:t>
      </w:r>
    </w:p>
    <w:p>
      <w:pPr>
        <w:kinsoku/>
        <w:wordWrap/>
        <w:overflowPunct/>
        <w:topLinePunct w:val="0"/>
        <w:bidi w:val="0"/>
        <w:snapToGrid w:val="0"/>
        <w:spacing w:line="360" w:lineRule="auto"/>
        <w:jc w:val="left"/>
        <w:outlineLvl w:val="9"/>
        <w:rPr>
          <w:rFonts w:ascii="宋体" w:hAnsi="宋体" w:cs="宋体"/>
          <w:color w:val="auto"/>
          <w:sz w:val="30"/>
          <w:szCs w:val="30"/>
          <w:highlight w:val="none"/>
        </w:rPr>
      </w:pPr>
      <w:r>
        <w:rPr>
          <w:rFonts w:hint="eastAsia" w:ascii="宋体" w:hAnsi="宋体" w:cs="宋体"/>
          <w:color w:val="auto"/>
          <w:sz w:val="30"/>
          <w:szCs w:val="30"/>
          <w:highlight w:val="none"/>
        </w:rPr>
        <w:t>项目名称：</w:t>
      </w:r>
      <w:r>
        <w:rPr>
          <w:rFonts w:hint="eastAsia" w:ascii="宋体" w:hAnsi="宋体" w:cs="宋体"/>
          <w:color w:val="auto"/>
          <w:sz w:val="30"/>
          <w:szCs w:val="30"/>
          <w:highlight w:val="none"/>
          <w:lang w:eastAsia="zh-CN"/>
        </w:rPr>
        <w:t>宁海县第一医院电子软镜维保服务项目</w:t>
      </w:r>
    </w:p>
    <w:p>
      <w:pPr>
        <w:kinsoku/>
        <w:wordWrap/>
        <w:overflowPunct/>
        <w:topLinePunct w:val="0"/>
        <w:bidi w:val="0"/>
        <w:adjustRightInd/>
        <w:spacing w:line="360" w:lineRule="auto"/>
        <w:outlineLvl w:val="9"/>
        <w:rPr>
          <w:rFonts w:ascii="宋体" w:hAnsi="宋体" w:cs="宋体"/>
          <w:sz w:val="28"/>
          <w:szCs w:val="20"/>
          <w:highlight w:val="none"/>
        </w:rPr>
      </w:pPr>
    </w:p>
    <w:p>
      <w:pPr>
        <w:kinsoku/>
        <w:wordWrap/>
        <w:overflowPunct/>
        <w:topLinePunct w:val="0"/>
        <w:bidi w:val="0"/>
        <w:spacing w:line="360" w:lineRule="auto"/>
        <w:jc w:val="center"/>
        <w:outlineLvl w:val="9"/>
        <w:rPr>
          <w:rFonts w:ascii="宋体" w:hAnsi="宋体" w:cs="宋体"/>
          <w:b/>
          <w:sz w:val="44"/>
          <w:szCs w:val="44"/>
          <w:highlight w:val="none"/>
        </w:rPr>
      </w:pPr>
      <w:r>
        <w:rPr>
          <w:rFonts w:hint="eastAsia" w:ascii="宋体" w:hAnsi="宋体" w:cs="宋体"/>
          <w:b/>
          <w:sz w:val="44"/>
          <w:szCs w:val="44"/>
          <w:highlight w:val="none"/>
        </w:rPr>
        <w:t xml:space="preserve"> </w:t>
      </w:r>
    </w:p>
    <w:p>
      <w:pPr>
        <w:kinsoku/>
        <w:wordWrap/>
        <w:overflowPunct/>
        <w:topLinePunct w:val="0"/>
        <w:bidi w:val="0"/>
        <w:spacing w:line="360" w:lineRule="auto"/>
        <w:jc w:val="center"/>
        <w:outlineLvl w:val="9"/>
        <w:rPr>
          <w:rFonts w:ascii="宋体" w:hAnsi="宋体" w:cs="宋体"/>
          <w:b/>
          <w:sz w:val="44"/>
          <w:szCs w:val="44"/>
          <w:highlight w:val="none"/>
        </w:rPr>
      </w:pPr>
    </w:p>
    <w:p>
      <w:pPr>
        <w:kinsoku/>
        <w:wordWrap/>
        <w:overflowPunct/>
        <w:topLinePunct w:val="0"/>
        <w:bidi w:val="0"/>
        <w:spacing w:line="360" w:lineRule="auto"/>
        <w:jc w:val="center"/>
        <w:outlineLvl w:val="9"/>
        <w:rPr>
          <w:rFonts w:ascii="宋体" w:hAnsi="宋体" w:cs="宋体"/>
          <w:sz w:val="24"/>
          <w:highlight w:val="none"/>
        </w:rPr>
      </w:pPr>
    </w:p>
    <w:p>
      <w:pPr>
        <w:kinsoku/>
        <w:wordWrap/>
        <w:overflowPunct/>
        <w:topLinePunct w:val="0"/>
        <w:bidi w:val="0"/>
        <w:spacing w:line="360" w:lineRule="auto"/>
        <w:outlineLvl w:val="9"/>
        <w:rPr>
          <w:rFonts w:ascii="宋体" w:hAnsi="宋体" w:cs="宋体"/>
          <w:sz w:val="32"/>
          <w:szCs w:val="32"/>
          <w:highlight w:val="none"/>
        </w:rPr>
      </w:pPr>
    </w:p>
    <w:p>
      <w:pPr>
        <w:kinsoku/>
        <w:wordWrap/>
        <w:overflowPunct/>
        <w:topLinePunct w:val="0"/>
        <w:bidi w:val="0"/>
        <w:spacing w:line="360" w:lineRule="auto"/>
        <w:jc w:val="center"/>
        <w:outlineLvl w:val="9"/>
        <w:rPr>
          <w:rFonts w:hint="eastAsia" w:ascii="宋体" w:hAnsi="宋体" w:cs="宋体"/>
          <w:bCs/>
          <w:sz w:val="32"/>
          <w:szCs w:val="32"/>
          <w:highlight w:val="none"/>
        </w:rPr>
      </w:pPr>
      <w:r>
        <w:rPr>
          <w:rFonts w:hint="eastAsia" w:ascii="宋体" w:hAnsi="宋体" w:cs="宋体"/>
          <w:bCs/>
          <w:sz w:val="32"/>
          <w:szCs w:val="32"/>
          <w:highlight w:val="none"/>
        </w:rPr>
        <w:t>采购人：</w:t>
      </w:r>
      <w:r>
        <w:rPr>
          <w:rFonts w:hint="eastAsia" w:ascii="宋体" w:hAnsi="宋体" w:cs="宋体"/>
          <w:bCs/>
          <w:sz w:val="32"/>
          <w:szCs w:val="32"/>
          <w:highlight w:val="none"/>
          <w:lang w:eastAsia="zh-CN"/>
        </w:rPr>
        <w:t>宁海县第一医院</w:t>
      </w:r>
    </w:p>
    <w:p>
      <w:pPr>
        <w:kinsoku/>
        <w:wordWrap/>
        <w:overflowPunct/>
        <w:topLinePunct w:val="0"/>
        <w:bidi w:val="0"/>
        <w:spacing w:line="360" w:lineRule="auto"/>
        <w:jc w:val="center"/>
        <w:outlineLvl w:val="9"/>
        <w:rPr>
          <w:rFonts w:ascii="宋体" w:hAnsi="宋体" w:cs="宋体"/>
          <w:bCs/>
          <w:sz w:val="32"/>
          <w:szCs w:val="32"/>
          <w:highlight w:val="none"/>
        </w:rPr>
      </w:pPr>
      <w:r>
        <w:rPr>
          <w:rFonts w:hint="eastAsia" w:ascii="宋体" w:hAnsi="宋体" w:cs="宋体"/>
          <w:bCs/>
          <w:sz w:val="32"/>
          <w:szCs w:val="32"/>
          <w:highlight w:val="none"/>
        </w:rPr>
        <w:t>采购代理机构：</w:t>
      </w:r>
      <w:r>
        <w:rPr>
          <w:rFonts w:hint="eastAsia" w:ascii="宋体" w:hAnsi="宋体" w:cs="宋体"/>
          <w:bCs/>
          <w:sz w:val="32"/>
          <w:szCs w:val="32"/>
          <w:highlight w:val="none"/>
          <w:lang w:eastAsia="zh-CN"/>
        </w:rPr>
        <w:t>浙江中基正采管理咨询有限公司</w:t>
      </w:r>
    </w:p>
    <w:p>
      <w:pPr>
        <w:kinsoku/>
        <w:wordWrap/>
        <w:overflowPunct/>
        <w:topLinePunct w:val="0"/>
        <w:bidi w:val="0"/>
        <w:snapToGrid w:val="0"/>
        <w:spacing w:line="360" w:lineRule="auto"/>
        <w:jc w:val="center"/>
        <w:outlineLvl w:val="9"/>
        <w:rPr>
          <w:rFonts w:hint="eastAsia" w:ascii="宋体" w:hAnsi="宋体" w:cs="宋体"/>
          <w:bCs/>
          <w:color w:val="FF0000"/>
          <w:sz w:val="32"/>
          <w:szCs w:val="32"/>
          <w:highlight w:val="none"/>
        </w:rPr>
      </w:pPr>
    </w:p>
    <w:p>
      <w:pPr>
        <w:pStyle w:val="2"/>
        <w:rPr>
          <w:rFonts w:hint="eastAsia" w:ascii="宋体" w:hAnsi="宋体" w:cs="宋体"/>
          <w:bCs/>
          <w:color w:val="FF0000"/>
          <w:sz w:val="32"/>
          <w:szCs w:val="32"/>
          <w:highlight w:val="none"/>
        </w:rPr>
      </w:pPr>
    </w:p>
    <w:p>
      <w:pPr>
        <w:rPr>
          <w:rFonts w:hint="eastAsia" w:ascii="宋体" w:hAnsi="宋体" w:cs="宋体"/>
          <w:bCs/>
          <w:color w:val="FF0000"/>
          <w:sz w:val="32"/>
          <w:szCs w:val="32"/>
          <w:highlight w:val="none"/>
        </w:rPr>
      </w:pPr>
    </w:p>
    <w:p>
      <w:pPr>
        <w:kinsoku/>
        <w:wordWrap/>
        <w:overflowPunct/>
        <w:topLinePunct w:val="0"/>
        <w:bidi w:val="0"/>
        <w:snapToGrid w:val="0"/>
        <w:spacing w:line="360" w:lineRule="auto"/>
        <w:jc w:val="center"/>
        <w:outlineLvl w:val="9"/>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pPr>
        <w:rPr>
          <w:rFonts w:hint="eastAsia" w:ascii="宋体" w:hAnsi="宋体" w:cs="宋体"/>
          <w:sz w:val="24"/>
          <w:highlight w:val="none"/>
        </w:rPr>
      </w:pPr>
      <w:r>
        <w:rPr>
          <w:rFonts w:hint="eastAsia" w:ascii="宋体" w:hAnsi="宋体" w:cs="宋体"/>
          <w:sz w:val="24"/>
          <w:highlight w:val="none"/>
        </w:rPr>
        <w:br w:type="page"/>
      </w:r>
    </w:p>
    <w:p>
      <w:pPr>
        <w:kinsoku/>
        <w:wordWrap/>
        <w:overflowPunct/>
        <w:topLinePunct w:val="0"/>
        <w:bidi w:val="0"/>
        <w:spacing w:line="360" w:lineRule="auto"/>
        <w:jc w:val="center"/>
        <w:outlineLvl w:val="9"/>
        <w:rPr>
          <w:rFonts w:ascii="宋体" w:hAnsi="宋体" w:cs="宋体"/>
          <w:sz w:val="24"/>
          <w:highlight w:val="none"/>
        </w:rPr>
      </w:pPr>
      <w:r>
        <w:rPr>
          <w:rFonts w:hint="eastAsia" w:ascii="宋体" w:hAnsi="宋体" w:cs="宋体"/>
          <w:sz w:val="24"/>
          <w:highlight w:val="none"/>
        </w:rPr>
        <w:br w:type="page"/>
      </w:r>
      <w:bookmarkStart w:id="0" w:name="_Hlt67893495"/>
      <w:bookmarkEnd w:id="0"/>
    </w:p>
    <w:p>
      <w:pPr>
        <w:kinsoku/>
        <w:wordWrap/>
        <w:overflowPunct/>
        <w:topLinePunct w:val="0"/>
        <w:bidi w:val="0"/>
        <w:spacing w:line="360" w:lineRule="auto"/>
        <w:jc w:val="center"/>
        <w:outlineLvl w:val="9"/>
        <w:rPr>
          <w:rFonts w:ascii="宋体" w:hAnsi="宋体" w:cs="宋体"/>
          <w:sz w:val="24"/>
          <w:highlight w:val="none"/>
        </w:rPr>
      </w:pPr>
    </w:p>
    <w:p>
      <w:pPr>
        <w:kinsoku/>
        <w:wordWrap/>
        <w:overflowPunct/>
        <w:topLinePunct w:val="0"/>
        <w:bidi w:val="0"/>
        <w:spacing w:line="360" w:lineRule="auto"/>
        <w:jc w:val="center"/>
        <w:outlineLvl w:val="9"/>
        <w:rPr>
          <w:rFonts w:hint="eastAsia" w:ascii="宋体" w:hAnsi="宋体" w:cs="宋体"/>
          <w:b/>
          <w:sz w:val="48"/>
          <w:szCs w:val="48"/>
          <w:highlight w:val="none"/>
        </w:rPr>
      </w:pPr>
    </w:p>
    <w:p>
      <w:pPr>
        <w:kinsoku/>
        <w:wordWrap/>
        <w:overflowPunct/>
        <w:topLinePunct w:val="0"/>
        <w:bidi w:val="0"/>
        <w:spacing w:line="360" w:lineRule="auto"/>
        <w:jc w:val="center"/>
        <w:outlineLvl w:val="9"/>
        <w:rPr>
          <w:rFonts w:ascii="宋体" w:hAnsi="宋体" w:cs="宋体"/>
          <w:b/>
          <w:sz w:val="48"/>
          <w:szCs w:val="48"/>
          <w:highlight w:val="none"/>
        </w:rPr>
      </w:pPr>
      <w:r>
        <w:rPr>
          <w:rFonts w:hint="eastAsia" w:ascii="宋体" w:hAnsi="宋体" w:cs="宋体"/>
          <w:b/>
          <w:sz w:val="48"/>
          <w:szCs w:val="48"/>
          <w:highlight w:val="none"/>
        </w:rPr>
        <w:t>目  录</w:t>
      </w:r>
    </w:p>
    <w:sdt>
      <w:sdtPr>
        <w:rPr>
          <w:rFonts w:ascii="宋体" w:hAnsi="宋体" w:eastAsia="宋体" w:cs="Times New Roman"/>
          <w:kern w:val="2"/>
          <w:sz w:val="21"/>
          <w:szCs w:val="24"/>
          <w:highlight w:val="none"/>
          <w:lang w:val="en-US" w:eastAsia="zh-CN" w:bidi="ar-SA"/>
        </w:rPr>
        <w:id w:val="147454320"/>
        <w15:color w:val="DBDBDB"/>
        <w:docPartObj>
          <w:docPartGallery w:val="Table of Contents"/>
          <w:docPartUnique/>
        </w:docPartObj>
      </w:sdtPr>
      <w:sdtEndPr>
        <w:rPr>
          <w:rFonts w:ascii="宋体" w:hAnsi="宋体" w:eastAsia="宋体" w:cs="宋体"/>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TOC \o "1-1" \h \u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_Toc9238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第一部分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招标公告</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_Toc9238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1</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_Toc29691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第二部分 </w:t>
          </w:r>
          <w:r>
            <w:rPr>
              <w:rFonts w:hint="eastAsia" w:ascii="宋体" w:hAnsi="宋体" w:cs="宋体"/>
              <w:sz w:val="32"/>
              <w:szCs w:val="32"/>
              <w:highlight w:val="none"/>
              <w:lang w:val="en-US" w:eastAsia="zh-CN"/>
            </w:rPr>
            <w:t xml:space="preserve"> </w:t>
          </w:r>
          <w:r>
            <w:rPr>
              <w:rFonts w:hint="eastAsia" w:ascii="宋体" w:hAnsi="宋体" w:cs="宋体"/>
              <w:sz w:val="32"/>
              <w:szCs w:val="32"/>
              <w:highlight w:val="none"/>
              <w:lang w:eastAsia="zh-CN"/>
            </w:rPr>
            <w:t>供应商</w:t>
          </w:r>
          <w:r>
            <w:rPr>
              <w:rFonts w:hint="eastAsia" w:ascii="宋体" w:hAnsi="宋体" w:eastAsia="宋体" w:cs="宋体"/>
              <w:sz w:val="32"/>
              <w:szCs w:val="32"/>
              <w:highlight w:val="none"/>
            </w:rPr>
            <w:t>须知</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_Toc29691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6</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_Toc26044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第三部分  采购需求</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_Toc26044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23</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_Toc18651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第四部分  评标办法</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_Toc18651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28</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_Toc8264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 xml:space="preserve">第五部分 </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拟签订的合同文本</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_Toc8264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35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pStyle w:val="43"/>
            <w:keepNext w:val="0"/>
            <w:keepLines w:val="0"/>
            <w:pageBreakBefore w:val="0"/>
            <w:widowControl w:val="0"/>
            <w:tabs>
              <w:tab w:val="right" w:leader="dot" w:pos="9070"/>
            </w:tabs>
            <w:kinsoku/>
            <w:wordWrap/>
            <w:overflowPunct/>
            <w:topLinePunct w:val="0"/>
            <w:autoSpaceDE/>
            <w:autoSpaceDN/>
            <w:bidi w:val="0"/>
            <w:adjustRightInd w:val="0"/>
            <w:snapToGrid/>
            <w:spacing w:line="360" w:lineRule="auto"/>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HYPERLINK \l _Toc22993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第六部分</w:t>
          </w:r>
          <w:r>
            <w:rPr>
              <w:rFonts w:hint="eastAsia" w:ascii="宋体" w:hAnsi="宋体" w:cs="宋体"/>
              <w:sz w:val="32"/>
              <w:szCs w:val="32"/>
              <w:highlight w:val="none"/>
              <w:lang w:val="en-US" w:eastAsia="zh-CN"/>
            </w:rPr>
            <w:t xml:space="preserve"> </w:t>
          </w:r>
          <w:r>
            <w:rPr>
              <w:rFonts w:hint="eastAsia" w:ascii="宋体" w:hAnsi="宋体" w:eastAsia="宋体" w:cs="宋体"/>
              <w:sz w:val="32"/>
              <w:szCs w:val="32"/>
              <w:highlight w:val="none"/>
            </w:rPr>
            <w:t xml:space="preserve"> 应提交的有关格式范例</w:t>
          </w:r>
          <w:r>
            <w:rPr>
              <w:rFonts w:hint="eastAsia" w:ascii="宋体" w:hAnsi="宋体" w:eastAsia="宋体" w:cs="宋体"/>
              <w:sz w:val="32"/>
              <w:szCs w:val="32"/>
              <w:highlight w:val="none"/>
            </w:rPr>
            <w:tab/>
          </w:r>
          <w:r>
            <w:rPr>
              <w:rFonts w:hint="eastAsia" w:ascii="宋体" w:hAnsi="宋体" w:eastAsia="宋体" w:cs="宋体"/>
              <w:sz w:val="32"/>
              <w:szCs w:val="32"/>
              <w:highlight w:val="none"/>
            </w:rPr>
            <w:fldChar w:fldCharType="begin"/>
          </w:r>
          <w:r>
            <w:rPr>
              <w:rFonts w:hint="eastAsia" w:ascii="宋体" w:hAnsi="宋体" w:eastAsia="宋体" w:cs="宋体"/>
              <w:sz w:val="32"/>
              <w:szCs w:val="32"/>
              <w:highlight w:val="none"/>
            </w:rPr>
            <w:instrText xml:space="preserve"> PAGEREF _Toc22993 \h </w:instrText>
          </w:r>
          <w:r>
            <w:rPr>
              <w:rFonts w:hint="eastAsia" w:ascii="宋体" w:hAnsi="宋体" w:eastAsia="宋体" w:cs="宋体"/>
              <w:sz w:val="32"/>
              <w:szCs w:val="32"/>
              <w:highlight w:val="none"/>
            </w:rPr>
            <w:fldChar w:fldCharType="separate"/>
          </w:r>
          <w:r>
            <w:rPr>
              <w:rFonts w:hint="eastAsia" w:ascii="宋体" w:hAnsi="宋体" w:eastAsia="宋体" w:cs="宋体"/>
              <w:sz w:val="32"/>
              <w:szCs w:val="32"/>
              <w:highlight w:val="none"/>
            </w:rPr>
            <w:t>45</w:t>
          </w:r>
          <w:r>
            <w:rPr>
              <w:rFonts w:hint="eastAsia" w:ascii="宋体" w:hAnsi="宋体" w:eastAsia="宋体" w:cs="宋体"/>
              <w:sz w:val="32"/>
              <w:szCs w:val="32"/>
              <w:highlight w:val="none"/>
            </w:rPr>
            <w:fldChar w:fldCharType="end"/>
          </w:r>
          <w:r>
            <w:rPr>
              <w:rFonts w:hint="eastAsia" w:ascii="宋体" w:hAnsi="宋体" w:eastAsia="宋体" w:cs="宋体"/>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9"/>
            <w:rPr>
              <w:rFonts w:ascii="宋体" w:hAnsi="宋体" w:cs="宋体"/>
              <w:sz w:val="32"/>
              <w:szCs w:val="32"/>
              <w:highlight w:val="none"/>
            </w:rPr>
          </w:pPr>
          <w:r>
            <w:rPr>
              <w:rFonts w:hint="eastAsia" w:ascii="宋体" w:hAnsi="宋体" w:eastAsia="宋体" w:cs="宋体"/>
              <w:sz w:val="32"/>
              <w:szCs w:val="32"/>
              <w:highlight w:val="none"/>
            </w:rPr>
            <w:fldChar w:fldCharType="end"/>
          </w:r>
        </w:p>
      </w:sdtContent>
    </w:sdt>
    <w:p>
      <w:pPr>
        <w:kinsoku/>
        <w:wordWrap/>
        <w:overflowPunct/>
        <w:topLinePunct w:val="0"/>
        <w:bidi w:val="0"/>
        <w:spacing w:line="360" w:lineRule="auto"/>
        <w:outlineLvl w:val="9"/>
        <w:rPr>
          <w:rFonts w:ascii="宋体" w:hAnsi="宋体" w:cs="宋体"/>
          <w:sz w:val="32"/>
          <w:szCs w:val="32"/>
          <w:highlight w:val="none"/>
        </w:rPr>
      </w:pPr>
    </w:p>
    <w:p>
      <w:pPr>
        <w:kinsoku/>
        <w:wordWrap/>
        <w:overflowPunct/>
        <w:topLinePunct w:val="0"/>
        <w:bidi w:val="0"/>
        <w:spacing w:line="360" w:lineRule="auto"/>
        <w:outlineLvl w:val="9"/>
        <w:rPr>
          <w:rFonts w:ascii="宋体" w:hAnsi="宋体" w:cs="宋体"/>
          <w:sz w:val="32"/>
          <w:szCs w:val="32"/>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bookmarkStart w:id="1" w:name="_Hlt91233176"/>
      <w:bookmarkEnd w:id="1"/>
      <w:bookmarkStart w:id="2" w:name="_Toc91899869"/>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ind w:firstLine="549" w:firstLineChars="229"/>
        <w:outlineLvl w:val="9"/>
        <w:rPr>
          <w:rFonts w:ascii="宋体" w:hAnsi="宋体" w:cs="宋体"/>
          <w:sz w:val="24"/>
          <w:highlight w:val="none"/>
        </w:rPr>
      </w:pPr>
    </w:p>
    <w:p>
      <w:pPr>
        <w:kinsoku/>
        <w:wordWrap/>
        <w:overflowPunct/>
        <w:topLinePunct w:val="0"/>
        <w:bidi w:val="0"/>
        <w:spacing w:line="360" w:lineRule="auto"/>
        <w:outlineLvl w:val="9"/>
        <w:rPr>
          <w:rFonts w:ascii="宋体" w:hAnsi="宋体" w:cs="宋体"/>
          <w:sz w:val="24"/>
          <w:highlight w:val="none"/>
        </w:rPr>
      </w:pPr>
    </w:p>
    <w:bookmarkEnd w:id="2"/>
    <w:p>
      <w:pPr>
        <w:rPr>
          <w:rFonts w:hint="eastAsia" w:ascii="宋体" w:hAnsi="宋体" w:cs="宋体"/>
          <w:b/>
          <w:sz w:val="36"/>
          <w:szCs w:val="20"/>
          <w:highlight w:val="none"/>
        </w:rPr>
      </w:pPr>
      <w:bookmarkStart w:id="3" w:name="_Hlt74729822"/>
      <w:bookmarkEnd w:id="3"/>
      <w:bookmarkStart w:id="4" w:name="_Hlt74728647"/>
      <w:bookmarkEnd w:id="4"/>
      <w:bookmarkStart w:id="5" w:name="_Hlt74707423"/>
      <w:bookmarkEnd w:id="5"/>
      <w:bookmarkStart w:id="6" w:name="_Hlt74649545"/>
      <w:bookmarkEnd w:id="6"/>
      <w:bookmarkStart w:id="7" w:name="第二部分"/>
      <w:bookmarkStart w:id="8" w:name="_Toc91899870"/>
      <w:bookmarkStart w:id="9" w:name="_Toc91899871"/>
      <w:r>
        <w:rPr>
          <w:rFonts w:hint="eastAsia" w:ascii="宋体" w:hAnsi="宋体" w:cs="宋体"/>
          <w:b/>
          <w:sz w:val="36"/>
          <w:szCs w:val="20"/>
          <w:highlight w:val="none"/>
        </w:rPr>
        <w:br w:type="page"/>
      </w:r>
    </w:p>
    <w:p>
      <w:pPr>
        <w:rPr>
          <w:rFonts w:hint="eastAsia"/>
          <w:highlight w:val="none"/>
        </w:rPr>
      </w:pPr>
      <w:r>
        <w:rPr>
          <w:rFonts w:hint="eastAsia"/>
          <w:highlight w:val="none"/>
        </w:rPr>
        <w:br w:type="page"/>
      </w:r>
    </w:p>
    <w:p>
      <w:pPr>
        <w:rPr>
          <w:rFonts w:hint="eastAsia"/>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pPr>
        <w:kinsoku/>
        <w:wordWrap/>
        <w:overflowPunct/>
        <w:topLinePunct w:val="0"/>
        <w:bidi w:val="0"/>
        <w:adjustRightInd/>
        <w:spacing w:line="360" w:lineRule="auto"/>
        <w:jc w:val="center"/>
        <w:outlineLvl w:val="0"/>
        <w:rPr>
          <w:rFonts w:ascii="宋体" w:hAnsi="宋体" w:cs="宋体"/>
          <w:b/>
          <w:sz w:val="36"/>
          <w:szCs w:val="20"/>
          <w:highlight w:val="none"/>
        </w:rPr>
      </w:pPr>
      <w:bookmarkStart w:id="10" w:name="_Toc9238"/>
      <w:r>
        <w:rPr>
          <w:rFonts w:hint="eastAsia" w:ascii="宋体" w:hAnsi="宋体" w:cs="宋体"/>
          <w:b/>
          <w:sz w:val="36"/>
          <w:szCs w:val="20"/>
          <w:highlight w:val="none"/>
        </w:rPr>
        <w:t>第一部分 招标公告</w:t>
      </w:r>
      <w:bookmarkEnd w:id="10"/>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sz w:val="24"/>
          <w:highlight w:val="none"/>
        </w:rPr>
      </w:pPr>
      <w:r>
        <w:rPr>
          <w:rFonts w:hint="eastAsia" w:asciiTheme="minorEastAsia" w:hAnsiTheme="minorEastAsia" w:eastAsiaTheme="minorEastAsia"/>
          <w:sz w:val="24"/>
          <w:highlight w:val="none"/>
        </w:rPr>
        <w:t>项目概况</w:t>
      </w:r>
    </w:p>
    <w:p>
      <w:pPr>
        <w:pBdr>
          <w:top w:val="single" w:color="auto" w:sz="4" w:space="1"/>
          <w:left w:val="single" w:color="auto" w:sz="4" w:space="4"/>
          <w:bottom w:val="single" w:color="auto" w:sz="4" w:space="2"/>
          <w:right w:val="single" w:color="auto" w:sz="4" w:space="4"/>
        </w:pBdr>
        <w:kinsoku/>
        <w:wordWrap/>
        <w:overflowPunct/>
        <w:topLinePunct w:val="0"/>
        <w:bidi w:val="0"/>
        <w:spacing w:line="360" w:lineRule="auto"/>
        <w:ind w:firstLine="480" w:firstLineChars="200"/>
        <w:outlineLvl w:val="9"/>
        <w:rPr>
          <w:rFonts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w:t>
      </w:r>
      <w:r>
        <w:rPr>
          <w:rFonts w:hint="eastAsia" w:cs="仿宋_GB2312" w:asciiTheme="minorEastAsia" w:hAnsiTheme="minorEastAsia" w:eastAsiaTheme="minorEastAsia"/>
          <w:color w:val="auto"/>
          <w:sz w:val="24"/>
          <w:highlight w:val="none"/>
          <w:u w:val="single"/>
          <w:lang w:eastAsia="zh-CN"/>
        </w:rPr>
        <w:t>宁海县第一医院电子软镜维保服务项目</w:t>
      </w:r>
      <w:r>
        <w:rPr>
          <w:rFonts w:hint="eastAsia" w:cs="仿宋_GB2312" w:asciiTheme="minorEastAsia" w:hAnsiTheme="minorEastAsia" w:eastAsiaTheme="minorEastAsia"/>
          <w:color w:val="auto"/>
          <w:sz w:val="24"/>
          <w:highlight w:val="none"/>
          <w:u w:val="single"/>
        </w:rPr>
        <w:t>）</w:t>
      </w:r>
      <w:r>
        <w:rPr>
          <w:rFonts w:hint="eastAsia" w:asciiTheme="minorEastAsia" w:hAnsiTheme="minorEastAsia" w:eastAsiaTheme="minorEastAsia"/>
          <w:color w:val="auto"/>
          <w:sz w:val="24"/>
          <w:highlight w:val="none"/>
        </w:rPr>
        <w:t>招标项目的潜在</w:t>
      </w:r>
      <w:r>
        <w:rPr>
          <w:rFonts w:hint="eastAsia" w:asciiTheme="minorEastAsia" w:hAnsiTheme="minorEastAsia" w:eastAsiaTheme="minorEastAsia"/>
          <w:color w:val="auto"/>
          <w:sz w:val="24"/>
          <w:highlight w:val="none"/>
          <w:lang w:eastAsia="zh-CN"/>
        </w:rPr>
        <w:t>供应商</w:t>
      </w:r>
      <w:r>
        <w:rPr>
          <w:rFonts w:hint="eastAsia" w:asciiTheme="minorEastAsia" w:hAnsiTheme="minorEastAsia" w:eastAsiaTheme="minorEastAsia"/>
          <w:color w:val="auto"/>
          <w:sz w:val="24"/>
          <w:highlight w:val="none"/>
        </w:rPr>
        <w:t>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w:t>
      </w:r>
      <w:r>
        <w:rPr>
          <w:rStyle w:val="77"/>
          <w:rFonts w:hint="eastAsia" w:cs="Times New Roman" w:asciiTheme="minorEastAsia" w:hAnsiTheme="minorEastAsia" w:eastAsiaTheme="minorEastAsia"/>
          <w:snapToGrid/>
          <w:color w:val="auto"/>
          <w:kern w:val="2"/>
          <w:sz w:val="24"/>
          <w:szCs w:val="24"/>
          <w:highlight w:val="none"/>
          <w:lang w:val="en-US" w:eastAsia="zh-CN"/>
        </w:rPr>
        <w:t>4</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lang w:val="en-US" w:eastAsia="zh-CN"/>
        </w:rPr>
        <w:t>05</w:t>
      </w:r>
      <w:r>
        <w:rPr>
          <w:rStyle w:val="77"/>
          <w:rFonts w:hint="eastAsia" w:cs="Times New Roman" w:asciiTheme="minorEastAsia" w:hAnsiTheme="minorEastAsia" w:eastAsiaTheme="minorEastAsia"/>
          <w:snapToGrid/>
          <w:color w:val="auto"/>
          <w:kern w:val="2"/>
          <w:sz w:val="24"/>
          <w:szCs w:val="24"/>
          <w:highlight w:val="none"/>
        </w:rPr>
        <w:t>月</w:t>
      </w:r>
      <w:r>
        <w:rPr>
          <w:rStyle w:val="77"/>
          <w:rFonts w:hint="eastAsia" w:cs="Times New Roman" w:asciiTheme="minorEastAsia" w:hAnsiTheme="minorEastAsia" w:eastAsiaTheme="minorEastAsia"/>
          <w:snapToGrid/>
          <w:color w:val="auto"/>
          <w:kern w:val="2"/>
          <w:sz w:val="24"/>
          <w:szCs w:val="24"/>
          <w:highlight w:val="none"/>
          <w:lang w:val="en-US" w:eastAsia="zh-CN"/>
        </w:rPr>
        <w:t>29</w:t>
      </w:r>
      <w:r>
        <w:rPr>
          <w:rStyle w:val="77"/>
          <w:rFonts w:hint="eastAsia" w:cs="Times New Roman" w:asciiTheme="minorEastAsia" w:hAnsiTheme="minorEastAsia" w:eastAsiaTheme="minorEastAsia"/>
          <w:snapToGrid/>
          <w:color w:val="auto"/>
          <w:kern w:val="2"/>
          <w:sz w:val="24"/>
          <w:szCs w:val="24"/>
          <w:highlight w:val="none"/>
        </w:rPr>
        <w:t>日</w:t>
      </w:r>
      <w:r>
        <w:rPr>
          <w:rStyle w:val="77"/>
          <w:rFonts w:hint="eastAsia" w:cs="Times New Roman" w:asciiTheme="minorEastAsia" w:hAnsiTheme="minorEastAsia" w:eastAsiaTheme="minorEastAsia"/>
          <w:snapToGrid/>
          <w:color w:val="auto"/>
          <w:kern w:val="2"/>
          <w:sz w:val="24"/>
          <w:szCs w:val="24"/>
          <w:highlight w:val="none"/>
          <w:lang w:val="en-US" w:eastAsia="zh-CN"/>
        </w:rPr>
        <w:t>13</w:t>
      </w:r>
      <w:r>
        <w:rPr>
          <w:rStyle w:val="77"/>
          <w:rFonts w:hint="eastAsia" w:cs="Times New Roman" w:asciiTheme="minorEastAsia" w:hAnsiTheme="minorEastAsia" w:eastAsiaTheme="minorEastAsia"/>
          <w:snapToGrid/>
          <w:color w:val="auto"/>
          <w:kern w:val="2"/>
          <w:sz w:val="24"/>
          <w:szCs w:val="24"/>
          <w:highlight w:val="none"/>
        </w:rPr>
        <w:t>点</w:t>
      </w:r>
      <w:r>
        <w:rPr>
          <w:rStyle w:val="77"/>
          <w:rFonts w:hint="eastAsia" w:cs="Times New Roman" w:asciiTheme="minorEastAsia" w:hAnsiTheme="minorEastAsia" w:eastAsiaTheme="minorEastAsia"/>
          <w:snapToGrid/>
          <w:color w:val="auto"/>
          <w:kern w:val="2"/>
          <w:sz w:val="24"/>
          <w:szCs w:val="24"/>
          <w:highlight w:val="none"/>
          <w:lang w:val="en-US" w:eastAsia="zh-CN"/>
        </w:rPr>
        <w:t>30</w:t>
      </w:r>
      <w:r>
        <w:rPr>
          <w:rStyle w:val="77"/>
          <w:rFonts w:hint="eastAsia" w:cs="Times New Roman" w:asciiTheme="minorEastAsia" w:hAnsiTheme="minorEastAsia" w:eastAsiaTheme="minorEastAsia"/>
          <w:snapToGrid/>
          <w:color w:val="auto"/>
          <w:kern w:val="2"/>
          <w:sz w:val="24"/>
          <w:szCs w:val="24"/>
          <w:highlight w:val="none"/>
        </w:rPr>
        <w:t>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highlight w:val="none"/>
        </w:rPr>
      </w:pPr>
      <w:r>
        <w:rPr>
          <w:rFonts w:hint="eastAsia" w:ascii="宋体" w:hAnsi="宋体" w:cs="宋体"/>
          <w:b/>
          <w:sz w:val="24"/>
          <w:highlight w:val="none"/>
        </w:rPr>
        <w:t xml:space="preserve">一、项目基本情况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ascii="宋体" w:hAnsi="宋体" w:cs="宋体"/>
          <w:b w:val="0"/>
          <w:bCs/>
          <w:sz w:val="24"/>
          <w:highlight w:val="none"/>
          <w:lang w:eastAsia="zh-CN"/>
        </w:rPr>
        <w:t>CBZJ-20246067G</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ascii="宋体" w:hAnsi="宋体" w:cs="宋体"/>
          <w:b w:val="0"/>
          <w:bCs/>
          <w:sz w:val="24"/>
          <w:highlight w:val="none"/>
          <w:lang w:eastAsia="zh-CN"/>
        </w:rPr>
        <w:t>宁海县第一医院电子软镜维保服务项目</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color w:val="0000FF"/>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ascii="宋体" w:hAnsi="宋体" w:cs="宋体"/>
          <w:b w:val="0"/>
          <w:bCs/>
          <w:color w:val="auto"/>
          <w:sz w:val="24"/>
          <w:highlight w:val="none"/>
          <w:lang w:val="en-US" w:eastAsia="zh-CN"/>
        </w:rPr>
        <w:t>1200000.00</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color w:val="0000FF"/>
          <w:sz w:val="24"/>
          <w:highlight w:val="none"/>
        </w:rPr>
      </w:pPr>
      <w:r>
        <w:rPr>
          <w:rFonts w:hint="eastAsia" w:ascii="宋体" w:hAnsi="宋体" w:cs="宋体"/>
          <w:b/>
          <w:sz w:val="24"/>
          <w:highlight w:val="none"/>
        </w:rPr>
        <w:t>最高限价（元）：</w:t>
      </w:r>
      <w:r>
        <w:rPr>
          <w:rFonts w:hint="eastAsia" w:ascii="宋体" w:hAnsi="宋体" w:cs="宋体"/>
          <w:color w:val="auto"/>
          <w:sz w:val="24"/>
          <w:highlight w:val="none"/>
          <w:lang w:val="en-US" w:eastAsia="zh-CN"/>
        </w:rPr>
        <w:t>1200000.00</w:t>
      </w:r>
    </w:p>
    <w:p>
      <w:pPr>
        <w:pStyle w:val="7"/>
        <w:keepNext w:val="0"/>
        <w:keepLines w:val="0"/>
        <w:pageBreakBefore w:val="0"/>
        <w:kinsoku/>
        <w:wordWrap/>
        <w:overflowPunct/>
        <w:topLinePunct w:val="0"/>
        <w:autoSpaceDE/>
        <w:autoSpaceDN/>
        <w:bidi w:val="0"/>
        <w:spacing w:line="336" w:lineRule="auto"/>
        <w:ind w:firstLine="480"/>
        <w:textAlignment w:val="auto"/>
        <w:outlineLvl w:val="9"/>
        <w:rPr>
          <w:rFonts w:hint="eastAsia" w:hAnsi="宋体" w:cs="宋体"/>
          <w:b/>
          <w:color w:val="auto"/>
          <w:sz w:val="24"/>
          <w:highlight w:val="none"/>
        </w:rPr>
      </w:pPr>
      <w:r>
        <w:rPr>
          <w:rFonts w:hint="eastAsia" w:hAnsi="宋体" w:cs="宋体"/>
          <w:b/>
          <w:color w:val="auto"/>
          <w:sz w:val="24"/>
          <w:highlight w:val="none"/>
        </w:rPr>
        <w:t>采购需求：</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标项名称</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eastAsia="zh-CN"/>
        </w:rPr>
        <w:t>电子软镜维保服务</w:t>
      </w:r>
    </w:p>
    <w:p>
      <w:pPr>
        <w:shd w:val="clear"/>
        <w:spacing w:line="360" w:lineRule="auto"/>
        <w:ind w:leftChars="100" w:firstLine="480"/>
        <w:rPr>
          <w:rFonts w:hint="default" w:ascii="宋体" w:hAnsi="宋体" w:eastAsia="宋体" w:cs="宋体"/>
          <w:snapToGrid w:val="0"/>
          <w:color w:val="auto"/>
          <w:kern w:val="28"/>
          <w:sz w:val="24"/>
          <w:szCs w:val="20"/>
          <w:highlight w:val="none"/>
          <w:lang w:val="en-US"/>
        </w:rPr>
      </w:pPr>
      <w:r>
        <w:rPr>
          <w:rFonts w:hint="eastAsia" w:ascii="宋体" w:hAnsi="宋体" w:eastAsia="宋体" w:cs="宋体"/>
          <w:snapToGrid w:val="0"/>
          <w:color w:val="auto"/>
          <w:kern w:val="28"/>
          <w:sz w:val="24"/>
          <w:szCs w:val="20"/>
          <w:highlight w:val="none"/>
        </w:rPr>
        <w:t>数量</w:t>
      </w:r>
      <w:r>
        <w:rPr>
          <w:rFonts w:hint="eastAsia" w:ascii="宋体" w:hAnsi="宋体" w:eastAsia="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lang w:val="en-US" w:eastAsia="zh-CN"/>
        </w:rPr>
        <w:t>1项</w:t>
      </w:r>
    </w:p>
    <w:p>
      <w:pPr>
        <w:shd w:val="clear"/>
        <w:spacing w:line="360" w:lineRule="auto"/>
        <w:ind w:leftChars="100" w:firstLine="480"/>
        <w:rPr>
          <w:rFonts w:hint="default" w:ascii="宋体" w:hAnsi="宋体" w:eastAsia="宋体" w:cs="宋体"/>
          <w:snapToGrid w:val="0"/>
          <w:color w:val="auto"/>
          <w:kern w:val="28"/>
          <w:sz w:val="24"/>
          <w:szCs w:val="20"/>
          <w:highlight w:val="none"/>
          <w:lang w:val="en-US" w:eastAsia="zh-CN"/>
        </w:rPr>
      </w:pPr>
      <w:r>
        <w:rPr>
          <w:rFonts w:hint="eastAsia" w:ascii="宋体" w:hAnsi="宋体" w:eastAsia="宋体" w:cs="宋体"/>
          <w:snapToGrid w:val="0"/>
          <w:color w:val="auto"/>
          <w:kern w:val="28"/>
          <w:sz w:val="24"/>
          <w:szCs w:val="20"/>
          <w:highlight w:val="none"/>
        </w:rPr>
        <w:t>预算金额（元）</w:t>
      </w:r>
      <w:r>
        <w:rPr>
          <w:rFonts w:hint="eastAsia" w:ascii="宋体" w:hAnsi="宋体" w:eastAsia="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lang w:val="en-US" w:eastAsia="zh-CN"/>
        </w:rPr>
        <w:t>1200000</w:t>
      </w:r>
      <w:r>
        <w:rPr>
          <w:rFonts w:hint="eastAsia" w:ascii="宋体" w:hAnsi="宋体" w:eastAsia="宋体" w:cs="宋体"/>
          <w:snapToGrid w:val="0"/>
          <w:color w:val="auto"/>
          <w:kern w:val="28"/>
          <w:sz w:val="24"/>
          <w:szCs w:val="20"/>
          <w:highlight w:val="none"/>
          <w:lang w:val="en-US" w:eastAsia="zh-CN"/>
        </w:rPr>
        <w:t>.00</w:t>
      </w:r>
    </w:p>
    <w:p>
      <w:pPr>
        <w:shd w:val="clear"/>
        <w:spacing w:line="360" w:lineRule="auto"/>
        <w:ind w:leftChars="100"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简要规格描述或项目基本概况介绍、用途：</w:t>
      </w:r>
      <w:r>
        <w:rPr>
          <w:rFonts w:hint="eastAsia" w:ascii="宋体" w:hAnsi="宋体" w:eastAsia="宋体" w:cs="宋体"/>
          <w:snapToGrid w:val="0"/>
          <w:color w:val="auto"/>
          <w:kern w:val="28"/>
          <w:sz w:val="24"/>
          <w:szCs w:val="20"/>
          <w:highlight w:val="none"/>
          <w:lang w:val="en-US" w:eastAsia="zh-CN"/>
        </w:rPr>
        <w:t>具体以招标文件第三部分采购需求为准，供应商可点击本公告下方“浏览采购文件”查看采购需求</w:t>
      </w:r>
      <w:r>
        <w:rPr>
          <w:rFonts w:hint="eastAsia" w:ascii="宋体" w:hAnsi="宋体" w:eastAsia="宋体" w:cs="宋体"/>
          <w:snapToGrid w:val="0"/>
          <w:color w:val="auto"/>
          <w:kern w:val="28"/>
          <w:sz w:val="24"/>
          <w:szCs w:val="20"/>
          <w:highlight w:val="none"/>
        </w:rPr>
        <w:t>。</w:t>
      </w:r>
    </w:p>
    <w:p>
      <w:pPr>
        <w:shd w:val="clear"/>
        <w:spacing w:line="360" w:lineRule="auto"/>
        <w:ind w:leftChars="100" w:firstLine="480"/>
        <w:rPr>
          <w:rFonts w:hint="eastAsia" w:ascii="宋体" w:hAnsi="宋体" w:eastAsia="宋体" w:cs="宋体"/>
          <w:snapToGrid w:val="0"/>
          <w:color w:val="auto"/>
          <w:kern w:val="28"/>
          <w:sz w:val="24"/>
          <w:szCs w:val="20"/>
          <w:highlight w:val="none"/>
          <w:lang w:eastAsia="zh-CN"/>
        </w:rPr>
      </w:pPr>
      <w:r>
        <w:rPr>
          <w:rFonts w:hint="eastAsia" w:ascii="宋体" w:hAnsi="宋体" w:eastAsia="宋体" w:cs="宋体"/>
          <w:snapToGrid w:val="0"/>
          <w:color w:val="auto"/>
          <w:kern w:val="28"/>
          <w:sz w:val="24"/>
          <w:szCs w:val="20"/>
          <w:highlight w:val="none"/>
        </w:rPr>
        <w:t>备注：</w:t>
      </w:r>
      <w:r>
        <w:rPr>
          <w:rFonts w:hint="eastAsia" w:ascii="宋体" w:hAnsi="宋体" w:cs="宋体"/>
          <w:snapToGrid w:val="0"/>
          <w:color w:val="auto"/>
          <w:kern w:val="28"/>
          <w:sz w:val="24"/>
          <w:szCs w:val="20"/>
          <w:highlight w:val="none"/>
          <w:lang w:val="en-US" w:eastAsia="zh-CN"/>
        </w:rPr>
        <w:t>组成联合体的成员数量不超过2个</w:t>
      </w:r>
      <w:r>
        <w:rPr>
          <w:rFonts w:hint="eastAsia" w:ascii="宋体" w:hAnsi="宋体" w:eastAsia="宋体" w:cs="宋体"/>
          <w:snapToGrid w:val="0"/>
          <w:color w:val="auto"/>
          <w:kern w:val="28"/>
          <w:sz w:val="24"/>
          <w:szCs w:val="20"/>
          <w:highlight w:val="none"/>
          <w:lang w:val="en-US" w:eastAsia="zh-CN"/>
        </w:rPr>
        <w:t>。</w:t>
      </w:r>
    </w:p>
    <w:p>
      <w:pPr>
        <w:pStyle w:val="134"/>
        <w:keepNext w:val="0"/>
        <w:keepLines w:val="0"/>
        <w:pageBreakBefore w:val="0"/>
        <w:kinsoku/>
        <w:wordWrap/>
        <w:overflowPunct/>
        <w:topLinePunct w:val="0"/>
        <w:autoSpaceDE/>
        <w:autoSpaceDN/>
        <w:bidi w:val="0"/>
        <w:spacing w:before="0" w:line="336" w:lineRule="auto"/>
        <w:ind w:firstLine="482"/>
        <w:textAlignment w:val="auto"/>
        <w:outlineLvl w:val="9"/>
        <w:rPr>
          <w:rFonts w:hint="eastAsia" w:ascii="宋体" w:hAnsi="宋体" w:eastAsia="宋体" w:cs="宋体"/>
          <w:szCs w:val="21"/>
          <w:highlight w:val="none"/>
          <w:lang w:val="en-US" w:eastAsia="zh-CN"/>
        </w:rPr>
      </w:pPr>
      <w:r>
        <w:rPr>
          <w:rFonts w:hint="eastAsia" w:ascii="宋体" w:hAnsi="宋体" w:cs="宋体"/>
          <w:b/>
          <w:highlight w:val="none"/>
        </w:rPr>
        <w:t>合同履约期限：</w:t>
      </w:r>
      <w:r>
        <w:rPr>
          <w:rFonts w:hint="eastAsia" w:ascii="宋体" w:hAnsi="宋体" w:cs="宋体"/>
          <w:szCs w:val="21"/>
          <w:highlight w:val="none"/>
          <w:lang w:val="en-US" w:eastAsia="zh-CN"/>
        </w:rPr>
        <w:t>自合同签订之日起一年</w:t>
      </w:r>
      <w:r>
        <w:rPr>
          <w:rFonts w:hint="eastAsia" w:ascii="宋体" w:hAnsi="宋体" w:eastAsia="宋体" w:cs="宋体"/>
          <w:szCs w:val="21"/>
          <w:highlight w:val="none"/>
          <w:lang w:val="en-US" w:eastAsia="zh-CN"/>
        </w:rPr>
        <w:t>。</w:t>
      </w:r>
    </w:p>
    <w:p>
      <w:pPr>
        <w:pStyle w:val="7"/>
        <w:keepNext w:val="0"/>
        <w:keepLines w:val="0"/>
        <w:pageBreakBefore w:val="0"/>
        <w:kinsoku/>
        <w:wordWrap/>
        <w:overflowPunct/>
        <w:topLinePunct w:val="0"/>
        <w:autoSpaceDE/>
        <w:autoSpaceDN/>
        <w:bidi w:val="0"/>
        <w:spacing w:line="336" w:lineRule="auto"/>
        <w:ind w:firstLine="480"/>
        <w:textAlignment w:val="auto"/>
        <w:outlineLvl w:val="9"/>
        <w:rPr>
          <w:rFonts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highlight w:val="none"/>
        </w:rPr>
      </w:pPr>
      <w:r>
        <w:rPr>
          <w:rFonts w:hint="eastAsia" w:ascii="宋体" w:hAnsi="宋体" w:cs="宋体"/>
          <w:b/>
          <w:sz w:val="24"/>
          <w:highlight w:val="none"/>
        </w:rPr>
        <w:t>二、</w:t>
      </w:r>
      <w:bookmarkStart w:id="11" w:name="_Hlk101132948"/>
      <w:r>
        <w:rPr>
          <w:rFonts w:hint="eastAsia" w:ascii="宋体" w:hAnsi="宋体" w:cs="宋体"/>
          <w:b/>
          <w:sz w:val="24"/>
          <w:highlight w:val="none"/>
        </w:rPr>
        <w:t>申请人的资格要求</w:t>
      </w:r>
      <w:bookmarkEnd w:id="11"/>
      <w:r>
        <w:rPr>
          <w:rFonts w:hint="eastAsia" w:ascii="宋体" w:hAnsi="宋体" w:cs="宋体"/>
          <w:b/>
          <w:sz w:val="24"/>
          <w:highlight w:val="none"/>
        </w:rPr>
        <w:t>：</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w:t>
      </w:r>
      <w:r>
        <w:rPr>
          <w:rFonts w:hint="eastAsia" w:ascii="宋体" w:hAnsi="宋体" w:eastAsia="宋体" w:cs="宋体"/>
          <w:snapToGrid w:val="0"/>
          <w:kern w:val="28"/>
          <w:sz w:val="24"/>
          <w:szCs w:val="20"/>
          <w:highlight w:val="none"/>
        </w:rPr>
        <w:t>形式</w:t>
      </w:r>
      <w:r>
        <w:rPr>
          <w:rFonts w:hint="eastAsia" w:ascii="宋体" w:hAnsi="宋体" w:cs="宋体"/>
          <w:snapToGrid w:val="0"/>
          <w:kern w:val="28"/>
          <w:sz w:val="24"/>
          <w:szCs w:val="20"/>
          <w:highlight w:val="none"/>
        </w:rPr>
        <w:t>投标的，提供联合协议；</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w:t>
      </w:r>
      <w:r>
        <w:rPr>
          <w:rFonts w:hint="eastAsia" w:ascii="宋体" w:hAnsi="宋体" w:cs="宋体"/>
          <w:snapToGrid w:val="0"/>
          <w:kern w:val="28"/>
          <w:sz w:val="24"/>
          <w:szCs w:val="20"/>
          <w:highlight w:val="none"/>
          <w:lang w:val="en-US" w:eastAsia="zh-CN"/>
        </w:rPr>
        <w:t xml:space="preserve"> </w:t>
      </w:r>
      <w:r>
        <w:rPr>
          <w:rFonts w:hint="eastAsia" w:ascii="宋体" w:hAnsi="宋体" w:cs="宋体"/>
          <w:snapToGrid w:val="0"/>
          <w:kern w:val="28"/>
          <w:sz w:val="24"/>
          <w:szCs w:val="20"/>
          <w:highlight w:val="none"/>
        </w:rPr>
        <w:t>落实政府采购政策需满足的资格要求：</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0000FF"/>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keepNext w:val="0"/>
        <w:keepLines w:val="0"/>
        <w:pageBreakBefore w:val="0"/>
        <w:kinsoku/>
        <w:wordWrap/>
        <w:overflowPunct/>
        <w:topLinePunct w:val="0"/>
        <w:autoSpaceDE/>
        <w:autoSpaceDN/>
        <w:bidi w:val="0"/>
        <w:spacing w:line="336" w:lineRule="auto"/>
        <w:ind w:firstLine="897" w:firstLineChars="374"/>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lang w:val="en-US" w:eastAsia="zh-CN"/>
        </w:rPr>
        <w:t>服务</w:t>
      </w:r>
      <w:r>
        <w:rPr>
          <w:rFonts w:hint="eastAsia" w:ascii="宋体" w:hAnsi="宋体" w:cs="宋体"/>
          <w:color w:val="auto"/>
          <w:sz w:val="24"/>
          <w:highlight w:val="none"/>
        </w:rPr>
        <w:t>全部由符合政策要求的小微企业</w:t>
      </w:r>
      <w:r>
        <w:rPr>
          <w:rFonts w:hint="eastAsia" w:ascii="宋体" w:hAnsi="宋体" w:cs="宋体"/>
          <w:color w:val="auto"/>
          <w:sz w:val="24"/>
          <w:highlight w:val="none"/>
          <w:lang w:val="en-US" w:eastAsia="zh-CN"/>
        </w:rPr>
        <w:t>承接</w:t>
      </w:r>
      <w:r>
        <w:rPr>
          <w:rFonts w:hint="eastAsia" w:ascii="宋体" w:hAnsi="宋体" w:cs="宋体"/>
          <w:color w:val="auto"/>
          <w:sz w:val="24"/>
          <w:highlight w:val="none"/>
        </w:rPr>
        <w:t>，提供中小企业声明函；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Times New Roman"/>
          <w:color w:val="auto"/>
          <w:kern w:val="0"/>
          <w:sz w:val="24"/>
          <w:szCs w:val="24"/>
          <w:highlight w:val="none"/>
          <w:lang w:eastAsia="zh-CN"/>
        </w:rPr>
      </w:pPr>
      <w:r>
        <w:rPr>
          <w:rFonts w:ascii="宋体" w:hAnsi="宋体" w:cs="宋体"/>
          <w:sz w:val="24"/>
          <w:highlight w:val="none"/>
        </w:rPr>
        <w:t>4</w:t>
      </w:r>
      <w:r>
        <w:rPr>
          <w:rFonts w:hint="eastAsia" w:ascii="宋体" w:hAnsi="宋体" w:cs="宋体"/>
          <w:sz w:val="24"/>
          <w:highlight w:val="none"/>
        </w:rPr>
        <w:t>.本项目的特定资格要求：</w:t>
      </w:r>
      <w:r>
        <w:rPr>
          <w:rFonts w:hint="eastAsia" w:ascii="宋体" w:hAnsi="宋体" w:cs="宋体"/>
          <w:sz w:val="24"/>
          <w:highlight w:val="none"/>
          <w:lang w:val="en-US" w:eastAsia="zh-CN"/>
        </w:rPr>
        <w:t>无</w:t>
      </w:r>
      <w:r>
        <w:rPr>
          <w:rFonts w:hint="eastAsia" w:ascii="宋体" w:hAnsi="宋体" w:eastAsia="宋体" w:cs="Times New Roman"/>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36" w:lineRule="auto"/>
        <w:ind w:left="0" w:leftChars="0" w:firstLine="480" w:firstLineChars="200"/>
        <w:jc w:val="left"/>
        <w:textAlignment w:val="auto"/>
        <w:outlineLvl w:val="9"/>
        <w:rPr>
          <w:rFonts w:hint="eastAsia" w:ascii="宋体" w:hAnsi="宋体" w:eastAsia="宋体" w:cs="宋体"/>
          <w:sz w:val="24"/>
          <w:highlight w:val="none"/>
        </w:rPr>
      </w:pPr>
      <w:r>
        <w:rPr>
          <w:rFonts w:hint="eastAsia" w:ascii="宋体" w:hAnsi="宋体" w:eastAsia="宋体" w:cs="宋体"/>
          <w:sz w:val="24"/>
          <w:highlight w:val="none"/>
          <w:lang w:val="en-US" w:eastAsia="zh-CN"/>
        </w:rPr>
        <w:t>5.</w:t>
      </w:r>
      <w:r>
        <w:rPr>
          <w:rFonts w:hint="eastAsia" w:ascii="宋体" w:hAnsi="宋体" w:eastAsia="宋体" w:cs="宋体"/>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w:t>
      </w:r>
      <w:r>
        <w:rPr>
          <w:rFonts w:hint="eastAsia" w:ascii="宋体" w:hAnsi="宋体" w:eastAsia="宋体" w:cs="宋体"/>
          <w:sz w:val="24"/>
          <w:highlight w:val="none"/>
          <w:lang w:val="en-US" w:eastAsia="zh-CN"/>
        </w:rPr>
        <w:t>人</w:t>
      </w:r>
      <w:r>
        <w:rPr>
          <w:rFonts w:hint="eastAsia" w:ascii="宋体" w:hAnsi="宋体" w:eastAsia="宋体" w:cs="宋体"/>
          <w:sz w:val="24"/>
          <w:highlight w:val="none"/>
        </w:rPr>
        <w:t>将依法取消其中标资格）。</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highlight w:val="none"/>
        </w:rPr>
      </w:pPr>
      <w:r>
        <w:rPr>
          <w:rFonts w:hint="eastAsia" w:ascii="宋体" w:hAnsi="宋体" w:cs="宋体"/>
          <w:b/>
          <w:sz w:val="24"/>
          <w:highlight w:val="none"/>
        </w:rPr>
        <w:t xml:space="preserve">三、获取招标文件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 w:val="0"/>
          <w:bCs/>
          <w:color w:val="auto"/>
          <w:sz w:val="24"/>
          <w:highlight w:val="none"/>
        </w:rPr>
        <w:t>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05</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07</w:t>
      </w:r>
      <w:r>
        <w:rPr>
          <w:rFonts w:hint="eastAsia" w:cs="宋体" w:asciiTheme="minorEastAsia" w:hAnsiTheme="minorEastAsia" w:eastAsiaTheme="minorEastAsia"/>
          <w:b w:val="0"/>
          <w:bCs/>
          <w:color w:val="auto"/>
          <w:sz w:val="24"/>
          <w:highlight w:val="none"/>
        </w:rPr>
        <w:t>日至202</w:t>
      </w:r>
      <w:r>
        <w:rPr>
          <w:rFonts w:hint="eastAsia" w:cs="宋体" w:asciiTheme="minorEastAsia" w:hAnsiTheme="minorEastAsia" w:eastAsiaTheme="minorEastAsia"/>
          <w:b w:val="0"/>
          <w:bCs/>
          <w:color w:val="auto"/>
          <w:sz w:val="24"/>
          <w:highlight w:val="none"/>
          <w:lang w:val="en-US" w:eastAsia="zh-CN"/>
        </w:rPr>
        <w:t>4</w:t>
      </w:r>
      <w:r>
        <w:rPr>
          <w:rFonts w:hint="eastAsia" w:cs="宋体" w:asciiTheme="minorEastAsia" w:hAnsiTheme="minorEastAsia" w:eastAsiaTheme="minorEastAsia"/>
          <w:b w:val="0"/>
          <w:bCs/>
          <w:color w:val="auto"/>
          <w:sz w:val="24"/>
          <w:highlight w:val="none"/>
        </w:rPr>
        <w:t>年</w:t>
      </w:r>
      <w:r>
        <w:rPr>
          <w:rFonts w:hint="eastAsia" w:cs="宋体" w:asciiTheme="minorEastAsia" w:hAnsiTheme="minorEastAsia" w:eastAsiaTheme="minorEastAsia"/>
          <w:b w:val="0"/>
          <w:bCs/>
          <w:color w:val="auto"/>
          <w:sz w:val="24"/>
          <w:highlight w:val="none"/>
          <w:lang w:val="en-US" w:eastAsia="zh-CN"/>
        </w:rPr>
        <w:t>05</w:t>
      </w:r>
      <w:r>
        <w:rPr>
          <w:rFonts w:hint="eastAsia" w:cs="宋体" w:asciiTheme="minorEastAsia" w:hAnsiTheme="minorEastAsia" w:eastAsiaTheme="minorEastAsia"/>
          <w:b w:val="0"/>
          <w:bCs/>
          <w:color w:val="auto"/>
          <w:sz w:val="24"/>
          <w:highlight w:val="none"/>
        </w:rPr>
        <w:t>月</w:t>
      </w:r>
      <w:r>
        <w:rPr>
          <w:rFonts w:hint="eastAsia" w:cs="宋体" w:asciiTheme="minorEastAsia" w:hAnsiTheme="minorEastAsia" w:eastAsiaTheme="minorEastAsia"/>
          <w:b w:val="0"/>
          <w:bCs/>
          <w:color w:val="auto"/>
          <w:sz w:val="24"/>
          <w:highlight w:val="none"/>
          <w:lang w:val="en-US" w:eastAsia="zh-CN"/>
        </w:rPr>
        <w:t>15</w:t>
      </w:r>
      <w:r>
        <w:rPr>
          <w:rFonts w:hint="eastAsia" w:cs="宋体" w:asciiTheme="minorEastAsia" w:hAnsiTheme="minorEastAsia" w:eastAsiaTheme="minorEastAsia"/>
          <w:b w:val="0"/>
          <w:bCs/>
          <w:color w:val="auto"/>
          <w:sz w:val="24"/>
          <w:highlight w:val="none"/>
        </w:rPr>
        <w:t>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（进入“项目采购”应用，在获取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菜单中选择项目，申请获取</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 xml:space="preserve">）。 </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color w:val="auto"/>
          <w:sz w:val="24"/>
          <w:highlight w:val="none"/>
        </w:rPr>
        <w:t>（北京时间）</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4</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05</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p>
    <w:p>
      <w:pPr>
        <w:keepNext w:val="0"/>
        <w:keepLines w:val="0"/>
        <w:pageBreakBefore w:val="0"/>
        <w:kinsoku/>
        <w:wordWrap/>
        <w:overflowPunct/>
        <w:topLinePunct w:val="0"/>
        <w:autoSpaceDE/>
        <w:autoSpaceDN/>
        <w:bidi w:val="0"/>
        <w:spacing w:line="336" w:lineRule="auto"/>
        <w:ind w:firstLine="482" w:firstLineChars="200"/>
        <w:textAlignment w:val="auto"/>
        <w:outlineLvl w:val="9"/>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sz w:val="24"/>
          <w:highlight w:val="none"/>
        </w:rPr>
      </w:pPr>
      <w:r>
        <w:rPr>
          <w:rFonts w:hint="eastAsia" w:ascii="宋体" w:hAnsi="宋体" w:cs="宋体"/>
          <w:b/>
          <w:sz w:val="24"/>
          <w:highlight w:val="none"/>
        </w:rPr>
        <w:t xml:space="preserve">五、公告期限 </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自本公告发布之日起5个工作日。</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highlight w:val="none"/>
        </w:rPr>
      </w:pPr>
      <w:r>
        <w:rPr>
          <w:rFonts w:hint="eastAsia" w:ascii="宋体" w:hAnsi="宋体" w:cs="宋体"/>
          <w:b/>
          <w:sz w:val="24"/>
          <w:highlight w:val="none"/>
        </w:rPr>
        <w:t>六、其他补充事宜</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4.其他事项：</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（1）需要落实的政府采购政策：包括节约资源、保护环境、支持创新、促进中小企业发展等。详见招标文件的第二部分总则。</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w:t>
      </w:r>
      <w:r>
        <w:rPr>
          <w:rFonts w:hint="eastAsia" w:ascii="宋体" w:hAnsi="宋体" w:cs="宋体"/>
          <w:sz w:val="24"/>
          <w:highlight w:val="none"/>
          <w:lang w:eastAsia="zh-CN"/>
        </w:rPr>
        <w:t>招标文件</w:t>
      </w:r>
      <w:r>
        <w:rPr>
          <w:rFonts w:hint="eastAsia" w:ascii="宋体" w:hAnsi="宋体" w:cs="宋体"/>
          <w:sz w:val="24"/>
          <w:highlight w:val="none"/>
        </w:rPr>
        <w:t>菜单中选择项目，获取招标文件；④投标文件的制作</w:t>
      </w:r>
      <w:r>
        <w:rPr>
          <w:rFonts w:hint="eastAsia" w:cs="仿宋_GB2312" w:asciiTheme="minorEastAsia" w:hAnsiTheme="minorEastAsia" w:eastAsiaTheme="minorEastAsia"/>
          <w:sz w:val="24"/>
          <w:highlight w:val="none"/>
        </w:rPr>
        <w:t>（文件后缀为：jmbs）</w:t>
      </w:r>
      <w:r>
        <w:rPr>
          <w:rFonts w:hint="eastAsia" w:ascii="宋体" w:hAnsi="宋体" w:cs="宋体"/>
          <w:sz w:val="24"/>
          <w:highlight w:val="none"/>
        </w:rPr>
        <w:t>：在“政采云电子交易客户端”中完成“填写基本信息”、“导入投标文件”、“标书关联”、“标书检查”、“电子签名”、“生成电子标书”等操作；⑤采购人、</w:t>
      </w:r>
      <w:r>
        <w:rPr>
          <w:rFonts w:hint="eastAsia" w:ascii="宋体" w:hAnsi="宋体" w:cs="宋体"/>
          <w:sz w:val="24"/>
          <w:highlight w:val="none"/>
          <w:lang w:eastAsia="zh-CN"/>
        </w:rPr>
        <w:t>采购代理机构</w:t>
      </w:r>
      <w:r>
        <w:rPr>
          <w:rFonts w:hint="eastAsia" w:ascii="宋体" w:hAnsi="宋体" w:cs="宋体"/>
          <w:sz w:val="24"/>
          <w:highlight w:val="none"/>
        </w:rPr>
        <w:t>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w:t>
      </w:r>
      <w:r>
        <w:rPr>
          <w:rFonts w:hint="eastAsia" w:ascii="宋体" w:hAnsi="宋体" w:cs="宋体"/>
          <w:sz w:val="24"/>
          <w:highlight w:val="none"/>
          <w:lang w:eastAsia="zh-CN"/>
        </w:rPr>
        <w:t>（文件后缀为：bfbs）</w:t>
      </w:r>
      <w:r>
        <w:rPr>
          <w:rFonts w:hint="eastAsia" w:ascii="宋体" w:hAnsi="宋体" w:cs="宋体"/>
          <w:sz w:val="24"/>
          <w:highlight w:val="none"/>
        </w:rPr>
        <w:t>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（3）招标文件公告期限与招标公告的公告期限一致。</w:t>
      </w:r>
    </w:p>
    <w:p>
      <w:pPr>
        <w:keepNext w:val="0"/>
        <w:keepLines w:val="0"/>
        <w:pageBreakBefore w:val="0"/>
        <w:widowControl w:val="0"/>
        <w:kinsoku/>
        <w:wordWrap/>
        <w:overflowPunct/>
        <w:topLinePunct w:val="0"/>
        <w:autoSpaceDE/>
        <w:autoSpaceDN/>
        <w:bidi w:val="0"/>
        <w:spacing w:line="336" w:lineRule="auto"/>
        <w:ind w:firstLine="480" w:firstLineChars="200"/>
        <w:textAlignment w:val="auto"/>
        <w:outlineLvl w:val="9"/>
        <w:rPr>
          <w:rFonts w:hint="eastAsia" w:cs="宋体" w:asciiTheme="minorEastAsia" w:hAnsiTheme="minorEastAsia" w:eastAsiaTheme="minorEastAsia"/>
          <w:sz w:val="24"/>
          <w:highlight w:val="none"/>
          <w:lang w:val="en-US" w:eastAsia="zh-CN"/>
        </w:rPr>
      </w:pP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4</w:t>
      </w:r>
      <w:r>
        <w:rPr>
          <w:rFonts w:hint="eastAsia" w:cs="宋体" w:asciiTheme="minorEastAsia" w:hAnsiTheme="minorEastAsia" w:eastAsiaTheme="minorEastAsia"/>
          <w:sz w:val="24"/>
          <w:highlight w:val="none"/>
          <w:lang w:eastAsia="zh-CN"/>
        </w:rPr>
        <w:t>）</w:t>
      </w:r>
      <w:r>
        <w:rPr>
          <w:rFonts w:hint="eastAsia" w:cs="宋体" w:asciiTheme="minorEastAsia" w:hAnsiTheme="minorEastAsia" w:eastAsiaTheme="minorEastAsia"/>
          <w:sz w:val="24"/>
          <w:highlight w:val="none"/>
          <w:lang w:val="en-US" w:eastAsia="zh-CN"/>
        </w:rPr>
        <w:t>《第一部分  招标公告》中二、申请人的资格要求：第一条中的“重大税收违法案件当事人名单”即为“重大税收违法失信主体”。</w:t>
      </w:r>
      <w:r>
        <w:rPr>
          <w:rFonts w:hint="eastAsia" w:cs="宋体" w:asciiTheme="minorEastAsia" w:hAnsiTheme="minorEastAsia" w:eastAsiaTheme="minorEastAsia"/>
          <w:sz w:val="24"/>
          <w:highlight w:val="none"/>
          <w:lang w:val="en-US" w:eastAsia="zh-CN"/>
        </w:rPr>
        <w:br w:type="textWrapping"/>
      </w:r>
      <w:r>
        <w:rPr>
          <w:rFonts w:hint="eastAsia" w:cs="宋体" w:asciiTheme="minorEastAsia" w:hAnsiTheme="minorEastAsia" w:eastAsiaTheme="minorEastAsia"/>
          <w:sz w:val="24"/>
          <w:highlight w:val="none"/>
          <w:lang w:val="en-US" w:eastAsia="zh-CN"/>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keepNext w:val="0"/>
        <w:keepLines w:val="0"/>
        <w:pageBreakBefore w:val="0"/>
        <w:kinsoku/>
        <w:wordWrap/>
        <w:overflowPunct/>
        <w:topLinePunct w:val="0"/>
        <w:autoSpaceDE/>
        <w:autoSpaceDN/>
        <w:bidi w:val="0"/>
        <w:spacing w:line="336" w:lineRule="auto"/>
        <w:textAlignment w:val="auto"/>
        <w:outlineLvl w:val="9"/>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1.采购人信息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名    称：</w:t>
      </w:r>
      <w:r>
        <w:rPr>
          <w:rFonts w:hint="eastAsia" w:ascii="宋体" w:hAnsi="宋体" w:cs="宋体"/>
          <w:sz w:val="24"/>
          <w:highlight w:val="none"/>
          <w:lang w:val="en-US" w:eastAsia="zh-CN"/>
        </w:rPr>
        <w:t>宁海县第一医院</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地    址：宁海县桃源中路142号</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传    真：/</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项目联系人（询问）：王老师</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项目联系方式（询问）：0574-65578361</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质疑联系人：冯主任</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质疑联系方式：0574-6557836</w:t>
      </w:r>
      <w:r>
        <w:rPr>
          <w:rFonts w:hint="eastAsia" w:ascii="宋体" w:hAnsi="宋体" w:cs="宋体"/>
          <w:sz w:val="24"/>
          <w:highlight w:val="none"/>
          <w:lang w:val="en-US" w:eastAsia="zh-CN"/>
        </w:rPr>
        <w:t>1</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2.采购代理机构信息</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名    称：浙江中基正采管理咨询有限公司</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地    址：宁波市鄞州区天童南路666号中基大厦19楼</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传    真：0574-87425373</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项目联系人（询问）：朱贤东</w:t>
      </w:r>
    </w:p>
    <w:p>
      <w:pPr>
        <w:keepNext w:val="0"/>
        <w:keepLines w:val="0"/>
        <w:pageBreakBefore w:val="0"/>
        <w:kinsoku/>
        <w:wordWrap/>
        <w:overflowPunct/>
        <w:topLinePunct w:val="0"/>
        <w:autoSpaceDE/>
        <w:autoSpaceDN/>
        <w:bidi w:val="0"/>
        <w:spacing w:line="336" w:lineRule="auto"/>
        <w:ind w:firstLine="480"/>
        <w:textAlignment w:val="auto"/>
        <w:outlineLvl w:val="9"/>
        <w:rPr>
          <w:rFonts w:hint="default" w:ascii="宋体" w:hAnsi="宋体" w:cs="宋体"/>
          <w:sz w:val="24"/>
          <w:highlight w:val="none"/>
          <w:lang w:val="en-US" w:eastAsia="zh-CN"/>
        </w:rPr>
      </w:pPr>
      <w:r>
        <w:rPr>
          <w:rFonts w:hint="eastAsia" w:ascii="宋体" w:hAnsi="宋体" w:cs="宋体"/>
          <w:sz w:val="24"/>
          <w:highlight w:val="none"/>
          <w:lang w:val="en-US" w:eastAsia="zh-CN"/>
        </w:rPr>
        <w:t>项目联系方式（询问）：0574-87425380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质疑联系人：王近娜</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质疑联系方式：0574-87425570</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3.同级政府采购监督管理部门：</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名    称：宁海县政府采购管理办公室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地    址：宁海县跃龙街道桃源中路218号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传    真：0574-65265612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联系人：王老师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投诉电话：0574-65265668 </w:t>
      </w:r>
    </w:p>
    <w:p>
      <w:pPr>
        <w:keepNext w:val="0"/>
        <w:keepLines w:val="0"/>
        <w:pageBreakBefore w:val="0"/>
        <w:kinsoku/>
        <w:wordWrap/>
        <w:overflowPunct/>
        <w:topLinePunct w:val="0"/>
        <w:autoSpaceDE/>
        <w:autoSpaceDN/>
        <w:bidi w:val="0"/>
        <w:spacing w:line="336" w:lineRule="auto"/>
        <w:ind w:firstLine="480"/>
        <w:textAlignment w:val="auto"/>
        <w:outlineLvl w:val="9"/>
        <w:rPr>
          <w:rFonts w:hint="eastAsia" w:ascii="宋体" w:hAnsi="宋体" w:cs="宋体"/>
          <w:sz w:val="24"/>
          <w:highlight w:val="none"/>
        </w:rPr>
      </w:pPr>
    </w:p>
    <w:p>
      <w:pPr>
        <w:keepNext w:val="0"/>
        <w:keepLines w:val="0"/>
        <w:pageBreakBefore w:val="0"/>
        <w:kinsoku/>
        <w:wordWrap/>
        <w:overflowPunct/>
        <w:topLinePunct w:val="0"/>
        <w:autoSpaceDE/>
        <w:autoSpaceDN/>
        <w:bidi w:val="0"/>
        <w:spacing w:line="336" w:lineRule="auto"/>
        <w:ind w:firstLine="480"/>
        <w:textAlignment w:val="auto"/>
        <w:outlineLvl w:val="9"/>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lang w:eastAsia="zh-CN"/>
        </w:rPr>
        <w:t>“</w:t>
      </w:r>
      <w:r>
        <w:rPr>
          <w:rFonts w:hint="eastAsia" w:ascii="宋体" w:hAnsi="宋体" w:cs="宋体"/>
          <w:sz w:val="24"/>
          <w:highlight w:val="none"/>
        </w:rPr>
        <w:t>95763</w:t>
      </w:r>
      <w:r>
        <w:rPr>
          <w:rFonts w:hint="eastAsia" w:ascii="宋体" w:hAnsi="宋体" w:cs="宋体"/>
          <w:sz w:val="24"/>
          <w:highlight w:val="none"/>
          <w:lang w:eastAsia="zh-CN"/>
        </w:rPr>
        <w:t>”</w:t>
      </w:r>
      <w:r>
        <w:rPr>
          <w:rFonts w:hint="eastAsia" w:ascii="宋体" w:hAnsi="宋体" w:cs="宋体"/>
          <w:sz w:val="24"/>
          <w:highlight w:val="none"/>
        </w:rPr>
        <w:t>获取热线服务帮助。</w:t>
      </w:r>
    </w:p>
    <w:p>
      <w:pPr>
        <w:keepNext w:val="0"/>
        <w:keepLines w:val="0"/>
        <w:pageBreakBefore w:val="0"/>
        <w:kinsoku/>
        <w:wordWrap/>
        <w:overflowPunct/>
        <w:topLinePunct w:val="0"/>
        <w:autoSpaceDE/>
        <w:autoSpaceDN/>
        <w:bidi w:val="0"/>
        <w:spacing w:line="336"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CA问题联系电话（人工）：汇信CA 400-888-4636；天谷CA 400-087-8198。</w:t>
      </w:r>
    </w:p>
    <w:p>
      <w:pPr>
        <w:pStyle w:val="3"/>
        <w:kinsoku/>
        <w:wordWrap/>
        <w:overflowPunct/>
        <w:topLinePunct w:val="0"/>
        <w:bidi w:val="0"/>
        <w:spacing w:line="360" w:lineRule="auto"/>
        <w:outlineLvl w:val="9"/>
        <w:rPr>
          <w:rFonts w:hAnsi="宋体" w:cs="宋体"/>
          <w:b/>
          <w:sz w:val="36"/>
          <w:szCs w:val="20"/>
          <w:highlight w:val="none"/>
        </w:rPr>
      </w:pPr>
    </w:p>
    <w:p>
      <w:pPr>
        <w:tabs>
          <w:tab w:val="left" w:pos="432"/>
        </w:tabs>
        <w:kinsoku/>
        <w:wordWrap/>
        <w:overflowPunct/>
        <w:topLinePunct w:val="0"/>
        <w:bidi w:val="0"/>
        <w:outlineLvl w:val="9"/>
        <w:rPr>
          <w:rFonts w:ascii="宋体"/>
          <w:snapToGrid w:val="0"/>
          <w:highlight w:val="none"/>
        </w:rPr>
      </w:pPr>
      <w:r>
        <w:rPr>
          <w:highlight w:val="none"/>
        </w:rPr>
        <w:br w:type="page"/>
      </w:r>
    </w:p>
    <w:p>
      <w:pPr>
        <w:kinsoku/>
        <w:wordWrap/>
        <w:overflowPunct/>
        <w:topLinePunct w:val="0"/>
        <w:bidi w:val="0"/>
        <w:adjustRightInd/>
        <w:spacing w:line="360" w:lineRule="auto"/>
        <w:jc w:val="center"/>
        <w:outlineLvl w:val="0"/>
        <w:rPr>
          <w:rFonts w:ascii="宋体" w:hAnsi="宋体" w:cs="宋体"/>
          <w:b/>
          <w:sz w:val="36"/>
          <w:szCs w:val="20"/>
          <w:highlight w:val="none"/>
        </w:rPr>
      </w:pPr>
      <w:bookmarkStart w:id="13" w:name="_Toc29691"/>
      <w:r>
        <w:rPr>
          <w:rFonts w:hint="eastAsia" w:ascii="宋体" w:hAnsi="宋体" w:cs="宋体"/>
          <w:b/>
          <w:sz w:val="36"/>
          <w:szCs w:val="20"/>
          <w:highlight w:val="none"/>
        </w:rPr>
        <w:t>第二部分</w:t>
      </w:r>
      <w:bookmarkEnd w:id="7"/>
      <w:r>
        <w:rPr>
          <w:rFonts w:hint="eastAsia" w:ascii="宋体" w:hAnsi="宋体" w:cs="宋体"/>
          <w:b/>
          <w:sz w:val="36"/>
          <w:szCs w:val="20"/>
          <w:highlight w:val="none"/>
        </w:rPr>
        <w:t xml:space="preserve"> </w:t>
      </w:r>
      <w:r>
        <w:rPr>
          <w:rFonts w:hint="eastAsia" w:ascii="宋体" w:hAnsi="宋体" w:cs="宋体"/>
          <w:b/>
          <w:sz w:val="36"/>
          <w:szCs w:val="20"/>
          <w:highlight w:val="none"/>
          <w:lang w:eastAsia="zh-CN"/>
        </w:rPr>
        <w:t>供应商</w:t>
      </w:r>
      <w:r>
        <w:rPr>
          <w:rFonts w:hint="eastAsia" w:ascii="宋体" w:hAnsi="宋体" w:cs="宋体"/>
          <w:b/>
          <w:sz w:val="36"/>
          <w:szCs w:val="20"/>
          <w:highlight w:val="none"/>
        </w:rPr>
        <w:t>须知</w:t>
      </w:r>
      <w:bookmarkEnd w:id="8"/>
      <w:bookmarkEnd w:id="13"/>
    </w:p>
    <w:p>
      <w:pPr>
        <w:kinsoku/>
        <w:wordWrap/>
        <w:overflowPunct/>
        <w:topLinePunct w:val="0"/>
        <w:bidi w:val="0"/>
        <w:adjustRightInd/>
        <w:spacing w:line="360" w:lineRule="auto"/>
        <w:ind w:firstLine="3845" w:firstLineChars="1197"/>
        <w:outlineLvl w:val="9"/>
        <w:rPr>
          <w:rFonts w:ascii="宋体" w:hAnsi="宋体" w:cs="宋体"/>
          <w:b/>
          <w:sz w:val="32"/>
          <w:szCs w:val="20"/>
          <w:highlight w:val="none"/>
        </w:rPr>
      </w:pPr>
      <w:r>
        <w:rPr>
          <w:rFonts w:hint="eastAsia" w:ascii="宋体" w:hAnsi="宋体" w:cs="宋体"/>
          <w:b/>
          <w:sz w:val="32"/>
          <w:szCs w:val="20"/>
          <w:highlight w:val="none"/>
        </w:rPr>
        <w:t>前附表</w:t>
      </w:r>
    </w:p>
    <w:tbl>
      <w:tblPr>
        <w:tblStyle w:val="63"/>
        <w:tblW w:w="90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799"/>
        <w:gridCol w:w="5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序号</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事项</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项目属性</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color w:val="auto"/>
                <w:sz w:val="24"/>
                <w:highlight w:val="none"/>
              </w:rPr>
            </w:pPr>
            <w:r>
              <w:rPr>
                <w:rFonts w:hint="eastAsia" w:ascii="宋体" w:hAnsi="宋体" w:cs="宋体"/>
                <w:color w:val="auto"/>
                <w:sz w:val="24"/>
                <w:highlight w:val="none"/>
                <w:lang w:val="en-US" w:eastAsia="zh-CN"/>
              </w:rPr>
              <w:t>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eastAsia" w:ascii="宋体" w:hAnsi="宋体" w:eastAsia="宋体" w:cs="宋体"/>
                <w:color w:val="auto"/>
                <w:highlight w:val="none"/>
                <w:lang w:val="en-US" w:eastAsia="zh-CN"/>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电子软镜维保服务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工业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3</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是否允许采购进口产品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sdt>
              <w:sdtPr>
                <w:rPr>
                  <w:rFonts w:hint="eastAsia" w:ascii="宋体" w:hAnsi="宋体" w:cs="宋体"/>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本项目不允许采购进口产品。</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highlight w:val="none"/>
              </w:rPr>
            </w:pPr>
            <w:sdt>
              <w:sdtPr>
                <w:rPr>
                  <w:rFonts w:hint="eastAsia" w:ascii="宋体" w:hAnsi="宋体" w:cs="宋体"/>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分包</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default"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sdt>
              <w:sdtPr>
                <w:rPr>
                  <w:rFonts w:hint="eastAsia" w:ascii="宋体" w:hAnsi="宋体" w:cs="宋体"/>
                  <w:kern w:val="0"/>
                  <w:sz w:val="24"/>
                  <w:highlight w:val="none"/>
                </w:rPr>
                <w:id w:val="-1276331357"/>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5</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开标前答疑会或现场考察</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szCs w:val="20"/>
                <w:highlight w:val="none"/>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6</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样品提供</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sdt>
              <w:sdtPr>
                <w:rPr>
                  <w:rFonts w:hint="eastAsia" w:ascii="宋体" w:hAnsi="宋体" w:cs="宋体"/>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sdt>
              <w:sdtPr>
                <w:rPr>
                  <w:rFonts w:hint="eastAsia" w:ascii="宋体" w:hAnsi="宋体" w:cs="宋体"/>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B要求提供，</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（1）</w:t>
            </w:r>
            <w:r>
              <w:rPr>
                <w:rFonts w:hint="eastAsia" w:ascii="宋体" w:hAnsi="宋体" w:cs="宋体"/>
                <w:snapToGrid w:val="0"/>
                <w:kern w:val="28"/>
                <w:sz w:val="24"/>
                <w:highlight w:val="none"/>
              </w:rPr>
              <w:t>样品：</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（4）是否需要随样品提交检测报告：</w:t>
            </w:r>
            <w:sdt>
              <w:sdtPr>
                <w:rPr>
                  <w:rFonts w:hint="eastAsia" w:ascii="宋体" w:hAnsi="宋体" w:cs="宋体"/>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MS Gothic" w:cs="宋体"/>
                    <w:kern w:val="0"/>
                    <w:sz w:val="24"/>
                    <w:highlight w:val="none"/>
                  </w:rPr>
                  <w:t>☐</w:t>
                </w:r>
              </w:sdtContent>
            </w:sdt>
            <w:r>
              <w:rPr>
                <w:rFonts w:hint="eastAsia" w:ascii="宋体" w:hAnsi="宋体" w:cs="宋体"/>
                <w:kern w:val="0"/>
                <w:sz w:val="24"/>
                <w:highlight w:val="none"/>
              </w:rPr>
              <w:t>否；</w:t>
            </w:r>
            <w:sdt>
              <w:sdtPr>
                <w:rPr>
                  <w:rFonts w:hint="eastAsia" w:ascii="宋体" w:hAnsi="宋体" w:cs="宋体"/>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r>
              <w:rPr>
                <w:rFonts w:hint="eastAsia" w:ascii="宋体" w:hAnsi="宋体" w:cs="宋体"/>
                <w:sz w:val="24"/>
                <w:highlight w:val="none"/>
              </w:rPr>
              <w:t>（5）提供样品的时间：</w:t>
            </w:r>
            <w:r>
              <w:rPr>
                <w:rFonts w:hint="eastAsia" w:ascii="宋体" w:hAnsi="宋体" w:cs="宋体"/>
                <w:sz w:val="24"/>
                <w:highlight w:val="none"/>
                <w:u w:val="single"/>
              </w:rPr>
              <w:t xml:space="preserve">    </w:t>
            </w:r>
            <w:r>
              <w:rPr>
                <w:rFonts w:hint="eastAsia" w:ascii="宋体" w:hAnsi="宋体" w:cs="宋体"/>
                <w:kern w:val="0"/>
                <w:sz w:val="24"/>
                <w:highlight w:val="none"/>
              </w:rPr>
              <w:t>；地点：</w:t>
            </w:r>
            <w:r>
              <w:rPr>
                <w:rFonts w:hint="eastAsia" w:ascii="宋体" w:hAnsi="宋体" w:cs="宋体"/>
                <w:sz w:val="24"/>
                <w:highlight w:val="none"/>
                <w:u w:val="single"/>
              </w:rPr>
              <w:t xml:space="preserve">    </w:t>
            </w:r>
            <w:r>
              <w:rPr>
                <w:rFonts w:hint="eastAsia" w:ascii="宋体" w:hAnsi="宋体" w:cs="宋体"/>
                <w:kern w:val="0"/>
                <w:sz w:val="24"/>
                <w:highlight w:val="none"/>
              </w:rPr>
              <w:t>；联系人</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28"/>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rPr>
              <w:t>。请</w:t>
            </w:r>
            <w:r>
              <w:rPr>
                <w:rFonts w:hint="eastAsia" w:ascii="宋体" w:hAnsi="宋体" w:cs="宋体"/>
                <w:sz w:val="24"/>
                <w:highlight w:val="none"/>
                <w:lang w:eastAsia="zh-CN"/>
              </w:rPr>
              <w:t>供应商</w:t>
            </w:r>
            <w:r>
              <w:rPr>
                <w:rFonts w:hint="eastAsia" w:ascii="宋体" w:hAnsi="宋体" w:cs="宋体"/>
                <w:sz w:val="24"/>
                <w:highlight w:val="none"/>
              </w:rPr>
              <w:t>在上述时间内提供样品并按规定位置安装完毕。超过截止时间的，采购人或采购代理机构将不予接收，并将清场并封闭样品现场。</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r>
              <w:rPr>
                <w:rFonts w:hint="eastAsia" w:ascii="宋体" w:hAnsi="宋体" w:cs="宋体"/>
                <w:sz w:val="24"/>
                <w:highlight w:val="none"/>
              </w:rPr>
              <w:t>(6)采购活动结束后，对于未中标人提供的样品，采购人、</w:t>
            </w:r>
            <w:r>
              <w:rPr>
                <w:rFonts w:hint="eastAsia" w:ascii="宋体" w:hAnsi="宋体" w:cs="宋体"/>
                <w:sz w:val="24"/>
                <w:highlight w:val="none"/>
                <w:lang w:eastAsia="zh-CN"/>
              </w:rPr>
              <w:t>采购代理机构</w:t>
            </w:r>
            <w:r>
              <w:rPr>
                <w:rFonts w:hint="eastAsia" w:ascii="宋体" w:hAnsi="宋体" w:cs="宋体"/>
                <w:sz w:val="24"/>
                <w:highlight w:val="none"/>
              </w:rPr>
              <w:t>将通知未中标人在规定的时间内取回，逾期未取回的，采购人、</w:t>
            </w:r>
            <w:r>
              <w:rPr>
                <w:rFonts w:hint="eastAsia" w:ascii="宋体" w:hAnsi="宋体" w:cs="宋体"/>
                <w:sz w:val="24"/>
                <w:highlight w:val="none"/>
                <w:lang w:eastAsia="zh-CN"/>
              </w:rPr>
              <w:t>采购代理机构</w:t>
            </w:r>
            <w:r>
              <w:rPr>
                <w:rFonts w:hint="eastAsia" w:ascii="宋体" w:hAnsi="宋体" w:cs="宋体"/>
                <w:sz w:val="24"/>
                <w:highlight w:val="none"/>
              </w:rPr>
              <w:t>不负保管义务；对于中标人提供的样品，采购人将进行保管、封存，并作为履约验收的参考。</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b/>
                <w:sz w:val="24"/>
                <w:highlight w:val="none"/>
              </w:rPr>
            </w:pPr>
            <w:r>
              <w:rPr>
                <w:rFonts w:hint="eastAsia" w:ascii="宋体" w:hAnsi="宋体" w:cs="宋体"/>
                <w:sz w:val="24"/>
                <w:highlight w:val="none"/>
              </w:rPr>
              <w:t>（7）制作、运输、安装和保管样品所发生的一切费用由</w:t>
            </w:r>
            <w:r>
              <w:rPr>
                <w:rFonts w:hint="eastAsia" w:ascii="宋体" w:hAnsi="宋体" w:cs="宋体"/>
                <w:sz w:val="24"/>
                <w:highlight w:val="none"/>
                <w:lang w:eastAsia="zh-CN"/>
              </w:rPr>
              <w:t>供应商</w:t>
            </w:r>
            <w:r>
              <w:rPr>
                <w:rFonts w:hint="eastAsia" w:ascii="宋体" w:hAnsi="宋体" w:cs="宋体"/>
                <w:sz w:val="24"/>
                <w:highlight w:val="none"/>
              </w:rPr>
              <w:t>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7</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Cs/>
                <w:sz w:val="24"/>
                <w:highlight w:val="none"/>
              </w:rPr>
            </w:pPr>
            <w:r>
              <w:rPr>
                <w:rFonts w:hint="eastAsia" w:ascii="宋体" w:hAnsi="宋体" w:cs="宋体"/>
                <w:b/>
                <w:sz w:val="24"/>
                <w:highlight w:val="none"/>
              </w:rPr>
              <w:t>方案讲解演示</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sdt>
              <w:sdtPr>
                <w:rPr>
                  <w:rFonts w:hint="eastAsia" w:ascii="宋体" w:hAnsi="宋体" w:cs="宋体"/>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kern w:val="0"/>
                <w:sz w:val="24"/>
                <w:highlight w:val="none"/>
              </w:rPr>
            </w:pPr>
            <w:sdt>
              <w:sdtPr>
                <w:rPr>
                  <w:rFonts w:hint="eastAsia" w:ascii="宋体" w:hAnsi="宋体" w:cs="宋体"/>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kern w:val="0"/>
                <w:sz w:val="24"/>
                <w:highlight w:val="none"/>
              </w:rPr>
              <w:t>B组织。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（1）在评标时安排每个</w:t>
            </w:r>
            <w:r>
              <w:rPr>
                <w:rFonts w:hint="eastAsia" w:ascii="宋体" w:hAnsi="宋体" w:cs="宋体"/>
                <w:kern w:val="0"/>
                <w:sz w:val="24"/>
                <w:highlight w:val="none"/>
                <w:lang w:eastAsia="zh-CN"/>
              </w:rPr>
              <w:t>供应商</w:t>
            </w:r>
            <w:r>
              <w:rPr>
                <w:rFonts w:hint="eastAsia" w:ascii="宋体" w:hAnsi="宋体" w:cs="宋体"/>
                <w:kern w:val="0"/>
                <w:sz w:val="24"/>
                <w:highlight w:val="none"/>
              </w:rPr>
              <w:t>进行方案讲解演示。每个</w:t>
            </w:r>
            <w:r>
              <w:rPr>
                <w:rFonts w:hint="eastAsia" w:ascii="宋体" w:hAnsi="宋体" w:cs="宋体"/>
                <w:kern w:val="0"/>
                <w:sz w:val="24"/>
                <w:highlight w:val="none"/>
                <w:lang w:eastAsia="zh-CN"/>
              </w:rPr>
              <w:t>供应商</w:t>
            </w:r>
            <w:r>
              <w:rPr>
                <w:rFonts w:hint="eastAsia" w:ascii="宋体" w:hAnsi="宋体" w:cs="宋体"/>
                <w:kern w:val="0"/>
                <w:sz w:val="24"/>
                <w:highlight w:val="none"/>
              </w:rPr>
              <w:t>时间不超过</w:t>
            </w:r>
            <w:r>
              <w:rPr>
                <w:rFonts w:hint="eastAsia" w:ascii="宋体" w:hAnsi="宋体" w:cs="宋体"/>
                <w:kern w:val="0"/>
                <w:sz w:val="24"/>
                <w:highlight w:val="none"/>
                <w:u w:val="single"/>
              </w:rPr>
              <w:t>20</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分钟，讲解次序以投标文件解密时间先后次序为准，讲解演示人员不超过</w:t>
            </w:r>
            <w:r>
              <w:rPr>
                <w:rFonts w:hint="eastAsia" w:ascii="宋体" w:hAnsi="宋体" w:cs="宋体"/>
                <w:kern w:val="0"/>
                <w:sz w:val="24"/>
                <w:highlight w:val="none"/>
                <w:u w:val="single"/>
              </w:rPr>
              <w:t>3</w:t>
            </w:r>
            <w:r>
              <w:rPr>
                <w:rFonts w:hint="eastAsia" w:ascii="宋体" w:hAnsi="宋体" w:cs="宋体"/>
                <w:kern w:val="0"/>
                <w:sz w:val="24"/>
                <w:highlight w:val="none"/>
                <w:u w:val="single"/>
                <w:lang w:eastAsia="zh-CN"/>
              </w:rPr>
              <w:t>（</w:t>
            </w:r>
            <w:r>
              <w:rPr>
                <w:rFonts w:hint="eastAsia" w:ascii="宋体" w:hAnsi="宋体" w:cs="宋体"/>
                <w:kern w:val="0"/>
                <w:sz w:val="24"/>
                <w:highlight w:val="none"/>
                <w:u w:val="single"/>
                <w:lang w:val="en-US" w:eastAsia="zh-CN"/>
              </w:rPr>
              <w:t>编制时可根据项目情况进行调整</w:t>
            </w:r>
            <w:r>
              <w:rPr>
                <w:rFonts w:hint="eastAsia" w:ascii="宋体" w:hAnsi="宋体" w:cs="宋体"/>
                <w:kern w:val="0"/>
                <w:sz w:val="24"/>
                <w:highlight w:val="none"/>
                <w:u w:val="single"/>
                <w:lang w:eastAsia="zh-CN"/>
              </w:rPr>
              <w:t>）</w:t>
            </w:r>
            <w:r>
              <w:rPr>
                <w:rFonts w:hint="eastAsia" w:ascii="宋体" w:hAnsi="宋体" w:cs="宋体"/>
                <w:kern w:val="0"/>
                <w:sz w:val="24"/>
                <w:highlight w:val="none"/>
              </w:rPr>
              <w:t>人。讲解演示结束后按要求解答评标委员会提问。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（2）方案讲解演示可选择以下其中一种方式：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方式一：政采云平台在线讲解演示。政采云平台在线讲解需</w:t>
            </w:r>
            <w:r>
              <w:rPr>
                <w:rFonts w:hint="eastAsia" w:ascii="宋体" w:hAnsi="宋体" w:cs="宋体"/>
                <w:kern w:val="0"/>
                <w:sz w:val="24"/>
                <w:highlight w:val="none"/>
                <w:lang w:eastAsia="zh-CN"/>
              </w:rPr>
              <w:t>供应商</w:t>
            </w:r>
            <w:r>
              <w:rPr>
                <w:rFonts w:hint="eastAsia" w:ascii="宋体" w:hAnsi="宋体" w:cs="宋体"/>
                <w:kern w:val="0"/>
                <w:sz w:val="24"/>
                <w:highlight w:val="none"/>
              </w:rPr>
              <w:t>根据政采云平台操作要求做好准备工作，提前完善软硬件配置环境。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kern w:val="0"/>
                <w:sz w:val="24"/>
                <w:highlight w:val="none"/>
              </w:rPr>
            </w:pPr>
            <w:r>
              <w:rPr>
                <w:rFonts w:hint="eastAsia" w:ascii="宋体" w:hAnsi="宋体" w:cs="宋体"/>
                <w:kern w:val="0"/>
                <w:sz w:val="24"/>
                <w:highlight w:val="none"/>
              </w:rPr>
              <w:t>方式二：</w:t>
            </w:r>
            <w:r>
              <w:rPr>
                <w:rFonts w:hint="eastAsia" w:ascii="宋体" w:hAnsi="宋体" w:cs="宋体"/>
                <w:kern w:val="0"/>
                <w:sz w:val="24"/>
                <w:highlight w:val="none"/>
                <w:lang w:val="en-US" w:eastAsia="zh-CN"/>
              </w:rPr>
              <w:t>评标</w:t>
            </w:r>
            <w:r>
              <w:rPr>
                <w:rFonts w:hint="eastAsia" w:ascii="宋体" w:hAnsi="宋体" w:cs="宋体"/>
                <w:kern w:val="0"/>
                <w:sz w:val="24"/>
                <w:highlight w:val="none"/>
              </w:rPr>
              <w:t>现场讲解演示。现场讲解地点为</w:t>
            </w:r>
            <w:r>
              <w:rPr>
                <w:rFonts w:hint="eastAsia" w:ascii="宋体" w:hAnsi="宋体" w:cs="宋体"/>
                <w:sz w:val="24"/>
                <w:highlight w:val="none"/>
                <w:u w:val="single"/>
              </w:rPr>
              <w:t xml:space="preserve"> </w:t>
            </w:r>
            <w:r>
              <w:rPr>
                <w:rFonts w:hint="eastAsia" w:ascii="宋体" w:hAnsi="宋体" w:cs="宋体"/>
                <w:color w:val="FF0000"/>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kern w:val="0"/>
                <w:sz w:val="24"/>
                <w:highlight w:val="none"/>
              </w:rPr>
              <w:t>，讲解演示所用电脑等设备由</w:t>
            </w:r>
            <w:r>
              <w:rPr>
                <w:rFonts w:hint="eastAsia" w:ascii="宋体" w:hAnsi="宋体" w:cs="宋体"/>
                <w:kern w:val="0"/>
                <w:sz w:val="24"/>
                <w:highlight w:val="none"/>
                <w:lang w:eastAsia="zh-CN"/>
              </w:rPr>
              <w:t>供应商</w:t>
            </w:r>
            <w:r>
              <w:rPr>
                <w:rFonts w:hint="eastAsia" w:ascii="宋体" w:hAnsi="宋体" w:cs="宋体"/>
                <w:kern w:val="0"/>
                <w:sz w:val="24"/>
                <w:highlight w:val="none"/>
              </w:rPr>
              <w:t>自备。现场讲解演示人员进场时提供讲解人员名单（加盖公章或授权代表签名）及身份证明，否则不得讲解演示。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b/>
                <w:kern w:val="0"/>
                <w:sz w:val="24"/>
                <w:highlight w:val="none"/>
                <w:lang w:val="zh-CN"/>
              </w:rPr>
            </w:pPr>
            <w:r>
              <w:rPr>
                <w:rFonts w:hint="eastAsia" w:ascii="宋体" w:hAnsi="宋体" w:cs="宋体"/>
                <w:kern w:val="0"/>
                <w:sz w:val="24"/>
                <w:highlight w:val="none"/>
              </w:rPr>
              <w:t>注：因</w:t>
            </w:r>
            <w:r>
              <w:rPr>
                <w:rFonts w:hint="eastAsia" w:ascii="宋体" w:hAnsi="宋体" w:cs="宋体"/>
                <w:kern w:val="0"/>
                <w:sz w:val="24"/>
                <w:highlight w:val="none"/>
                <w:lang w:eastAsia="zh-CN"/>
              </w:rPr>
              <w:t>供应商</w:t>
            </w:r>
            <w:r>
              <w:rPr>
                <w:rFonts w:hint="eastAsia" w:ascii="宋体" w:hAnsi="宋体" w:cs="宋体"/>
                <w:kern w:val="0"/>
                <w:sz w:val="24"/>
                <w:highlight w:val="none"/>
              </w:rPr>
              <w:t>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8</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lang w:eastAsia="zh-CN"/>
              </w:rPr>
              <w:t>供应商</w:t>
            </w:r>
            <w:r>
              <w:rPr>
                <w:rFonts w:hint="eastAsia" w:ascii="宋体" w:hAnsi="宋体" w:cs="宋体"/>
                <w:b/>
                <w:sz w:val="24"/>
                <w:highlight w:val="none"/>
              </w:rPr>
              <w:t>应当提供的资格、资信证明文件</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r>
              <w:rPr>
                <w:rFonts w:hint="eastAsia" w:ascii="宋体" w:hAnsi="宋体" w:cs="宋体"/>
                <w:sz w:val="24"/>
                <w:highlight w:val="none"/>
              </w:rPr>
              <w:t>（1）资格证明文件：见招标文件第二部分11.1。</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0"/>
                <w:szCs w:val="21"/>
                <w:highlight w:val="none"/>
              </w:rPr>
            </w:pPr>
            <w:r>
              <w:rPr>
                <w:rFonts w:hint="eastAsia" w:ascii="宋体" w:hAnsi="宋体" w:cs="宋体"/>
                <w:kern w:val="0"/>
                <w:sz w:val="24"/>
                <w:highlight w:val="none"/>
                <w:lang w:val="zh-CN"/>
              </w:rPr>
              <w:t>供应商未提供有效的资格证明文件的，视为供应商不具备招标文件中规定的资格要求，投标无效。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z w:val="24"/>
                <w:highlight w:val="none"/>
              </w:rPr>
            </w:pPr>
            <w:r>
              <w:rPr>
                <w:rFonts w:hint="eastAsia" w:ascii="宋体" w:hAnsi="宋体" w:cs="宋体"/>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9</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节能产品、环境标志产品</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10</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报价要求</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b/>
                <w:bCs/>
                <w:kern w:val="0"/>
                <w:sz w:val="24"/>
                <w:highlight w:val="none"/>
                <w:lang w:val="zh-CN"/>
              </w:rPr>
              <w:t>投标文件</w:t>
            </w:r>
            <w:r>
              <w:rPr>
                <w:rFonts w:hint="eastAsia" w:ascii="宋体" w:hAnsi="宋体" w:cs="宋体"/>
                <w:b/>
                <w:bCs/>
                <w:sz w:val="24"/>
                <w:highlight w:val="none"/>
              </w:rPr>
              <w:t>开标一览表（报价表）是报价的唯一载体，如</w:t>
            </w:r>
            <w:r>
              <w:rPr>
                <w:rFonts w:hint="eastAsia" w:ascii="宋体" w:hAnsi="宋体" w:cs="宋体"/>
                <w:b/>
                <w:bCs/>
                <w:sz w:val="24"/>
                <w:highlight w:val="none"/>
                <w:lang w:eastAsia="zh-CN"/>
              </w:rPr>
              <w:t>供应商</w:t>
            </w:r>
            <w:r>
              <w:rPr>
                <w:rFonts w:hint="eastAsia" w:ascii="宋体" w:hAnsi="宋体" w:cs="宋体"/>
                <w:b/>
                <w:bCs/>
                <w:sz w:val="24"/>
                <w:highlight w:val="none"/>
              </w:rPr>
              <w:t>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招标文件未列明，而供应商认为必需的费用也需列入报价。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highlight w:val="none"/>
                <w:lang w:val="zh-CN"/>
              </w:rPr>
            </w:pPr>
            <w:r>
              <w:rPr>
                <w:rFonts w:hint="eastAsia" w:ascii="宋体" w:hAnsi="宋体" w:cs="宋体"/>
                <w:b/>
                <w:kern w:val="0"/>
                <w:sz w:val="24"/>
                <w:highlight w:val="none"/>
                <w:lang w:val="en-US" w:eastAsia="zh-CN"/>
              </w:rPr>
              <w:t>本项目</w:t>
            </w:r>
            <w:r>
              <w:rPr>
                <w:rFonts w:hint="eastAsia" w:ascii="宋体" w:hAnsi="宋体" w:cs="宋体"/>
                <w:b/>
                <w:kern w:val="0"/>
                <w:sz w:val="24"/>
                <w:highlight w:val="none"/>
                <w:lang w:val="zh-CN"/>
              </w:rPr>
              <w:t>采用</w:t>
            </w:r>
            <w:r>
              <w:rPr>
                <w:rFonts w:hint="eastAsia" w:ascii="宋体" w:hAnsi="宋体" w:cs="宋体"/>
                <w:b/>
                <w:kern w:val="0"/>
                <w:sz w:val="24"/>
                <w:highlight w:val="none"/>
                <w:lang w:val="en-US" w:eastAsia="zh-CN"/>
              </w:rPr>
              <w:t>人民币</w:t>
            </w:r>
            <w:r>
              <w:rPr>
                <w:rFonts w:hint="eastAsia" w:ascii="宋体" w:hAnsi="宋体" w:cs="宋体"/>
                <w:b/>
                <w:kern w:val="0"/>
                <w:sz w:val="24"/>
                <w:highlight w:val="none"/>
                <w:lang w:val="zh-CN"/>
              </w:rPr>
              <w:t>报价。</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highlight w:val="none"/>
                <w:lang w:val="zh-CN"/>
              </w:rPr>
            </w:pPr>
            <w:r>
              <w:rPr>
                <w:rFonts w:hint="eastAsia" w:ascii="宋体" w:hAnsi="宋体" w:cs="宋体"/>
                <w:b/>
                <w:kern w:val="0"/>
                <w:sz w:val="24"/>
                <w:highlight w:val="none"/>
                <w:lang w:val="zh-CN" w:eastAsia="zh-CN"/>
              </w:rPr>
              <w:t>本项目投标报价须是完成本项目的所有费用，应包括设备保修、设备保养服务及所有配件费、维修人工费及差旅费等费用、利润、税金等一切与本次采购相关的费用。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eastAsia" w:ascii="宋体" w:hAnsi="宋体" w:cs="宋体"/>
                <w:b/>
                <w:kern w:val="0"/>
                <w:sz w:val="24"/>
                <w:highlight w:val="none"/>
                <w:lang w:val="zh-CN"/>
              </w:rPr>
            </w:pPr>
            <w:r>
              <w:rPr>
                <w:rFonts w:hint="eastAsia" w:ascii="宋体" w:hAnsi="宋体" w:cs="宋体"/>
                <w:b/>
                <w:kern w:val="0"/>
                <w:sz w:val="24"/>
                <w:highlight w:val="none"/>
                <w:lang w:val="zh-CN"/>
              </w:rPr>
              <w:t>不论投标结果如何，供应商均应自行承担所有与投标有关的全部费用。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left"/>
              <w:textAlignment w:val="auto"/>
              <w:outlineLvl w:val="9"/>
              <w:rPr>
                <w:rFonts w:hint="default"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41" w:firstLineChars="100"/>
              <w:jc w:val="left"/>
              <w:textAlignment w:val="auto"/>
              <w:outlineLvl w:val="9"/>
              <w:rPr>
                <w:rFonts w:hint="default" w:ascii="宋体" w:hAnsi="宋体" w:cs="宋体"/>
                <w:kern w:val="0"/>
                <w:sz w:val="24"/>
                <w:highlight w:val="none"/>
                <w:lang w:val="zh-CN"/>
              </w:rPr>
            </w:pPr>
            <w:r>
              <w:rPr>
                <w:rFonts w:hint="eastAsia" w:ascii="宋体" w:hAnsi="宋体" w:cs="宋体"/>
                <w:b/>
                <w:kern w:val="0"/>
                <w:sz w:val="24"/>
                <w:highlight w:val="none"/>
                <w:lang w:val="zh-CN"/>
              </w:rPr>
              <w:t>投标报价超过招标文件中规定的预算金额或者最高限价的；</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eastAsia" w:ascii="宋体" w:hAnsi="宋体" w:eastAsia="宋体" w:cs="宋体"/>
                <w:b/>
                <w:sz w:val="24"/>
                <w:highlight w:val="none"/>
                <w:lang w:eastAsia="zh-CN"/>
              </w:rPr>
            </w:pPr>
            <w:r>
              <w:rPr>
                <w:rFonts w:hint="eastAsia" w:ascii="宋体" w:hAnsi="宋体" w:cs="宋体"/>
                <w:b/>
                <w:kern w:val="0"/>
                <w:sz w:val="24"/>
                <w:highlight w:val="none"/>
              </w:rPr>
              <w:t>报价明显低于其他通过符合性审查</w:t>
            </w:r>
            <w:r>
              <w:rPr>
                <w:rFonts w:hint="eastAsia" w:ascii="宋体" w:hAnsi="宋体" w:cs="宋体"/>
                <w:b/>
                <w:kern w:val="0"/>
                <w:sz w:val="24"/>
                <w:highlight w:val="none"/>
                <w:lang w:eastAsia="zh-CN"/>
              </w:rPr>
              <w:t>供应商</w:t>
            </w:r>
            <w:r>
              <w:rPr>
                <w:rFonts w:hint="eastAsia" w:ascii="宋体" w:hAnsi="宋体" w:cs="宋体"/>
                <w:b/>
                <w:kern w:val="0"/>
                <w:sz w:val="24"/>
                <w:highlight w:val="none"/>
              </w:rPr>
              <w:t>的报价，有可能影响产品质量或者不能诚信履约的，未能按要求提供书面说明或者提交相关证明材料证明其报价合理性的</w:t>
            </w:r>
            <w:r>
              <w:rPr>
                <w:rFonts w:hint="eastAsia" w:ascii="宋体" w:hAnsi="宋体" w:cs="宋体"/>
                <w:b/>
                <w:sz w:val="24"/>
                <w:szCs w:val="21"/>
                <w:highlight w:val="none"/>
                <w:lang w:eastAsia="zh-CN"/>
              </w:rPr>
              <w:t>；</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241" w:firstLineChars="100"/>
              <w:textAlignment w:val="auto"/>
              <w:outlineLvl w:val="9"/>
              <w:rPr>
                <w:rFonts w:hint="default" w:ascii="宋体" w:hAnsi="宋体" w:cs="宋体"/>
                <w:sz w:val="24"/>
                <w:highlight w:val="none"/>
              </w:rPr>
            </w:pPr>
            <w:r>
              <w:rPr>
                <w:rFonts w:hint="eastAsia" w:ascii="宋体" w:hAnsi="宋体" w:cs="宋体"/>
                <w:b/>
                <w:kern w:val="0"/>
                <w:sz w:val="24"/>
                <w:highlight w:val="none"/>
                <w:lang w:eastAsia="zh-CN"/>
              </w:rPr>
              <w:t>供应商</w:t>
            </w:r>
            <w:r>
              <w:rPr>
                <w:rFonts w:hint="eastAsia" w:ascii="宋体" w:hAnsi="宋体" w:cs="宋体"/>
                <w:b/>
                <w:kern w:val="0"/>
                <w:sz w:val="24"/>
                <w:highlight w:val="none"/>
              </w:rPr>
              <w:t>对根据修正原则修正后的报价不确认的</w:t>
            </w:r>
            <w:r>
              <w:rPr>
                <w:rFonts w:hint="eastAsia" w:ascii="宋体" w:hAnsi="宋体" w:cs="宋体"/>
                <w:b/>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11</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中小企业信用融资</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firstLine="480" w:firstLineChars="200"/>
              <w:textAlignment w:val="auto"/>
              <w:outlineLvl w:val="9"/>
              <w:rPr>
                <w:rFonts w:hint="default"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12</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5640" w:type="dxa"/>
            <w:vAlign w:val="center"/>
          </w:tcPr>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供应商可以准备U盘存储的电子备份投标文件1份，按政府采购云平台要求制作的电子备份投标文件，以用于异常情况处理。</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如提供备份投标文件的，应于投标文件提交（上传）截止时间前，将以U盘存储的电子备份投标文件密封，递交至</w:t>
            </w:r>
            <w:r>
              <w:rPr>
                <w:rFonts w:hint="eastAsia" w:cs="宋体" w:asciiTheme="minorEastAsia" w:hAnsiTheme="minorEastAsia" w:eastAsiaTheme="minorEastAsia"/>
                <w:kern w:val="28"/>
                <w:sz w:val="24"/>
                <w:szCs w:val="24"/>
                <w:highlight w:val="none"/>
                <w:u w:val="single"/>
                <w:lang w:val="en-US" w:eastAsia="zh-CN"/>
              </w:rPr>
              <w:t>宁海县公共资源交易中心（宁海县桃源街道金水东路5号五楼）</w:t>
            </w:r>
            <w:r>
              <w:rPr>
                <w:rFonts w:hint="eastAsia" w:cs="宋体" w:asciiTheme="minorEastAsia" w:hAnsiTheme="minorEastAsia" w:eastAsiaTheme="minorEastAsia"/>
                <w:kern w:val="28"/>
                <w:sz w:val="24"/>
                <w:szCs w:val="24"/>
                <w:highlight w:val="none"/>
                <w:lang w:val="en-US" w:eastAsia="zh-CN"/>
              </w:rPr>
              <w:t>，逾期送达或未密封将予以拒收。</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b/>
                <w:bCs/>
                <w:kern w:val="28"/>
                <w:sz w:val="24"/>
                <w:szCs w:val="24"/>
                <w:highlight w:val="none"/>
                <w:lang w:val="en-US" w:eastAsia="zh-CN"/>
              </w:rPr>
            </w:pPr>
            <w:r>
              <w:rPr>
                <w:rFonts w:hint="eastAsia" w:cs="宋体" w:asciiTheme="minorEastAsia" w:hAnsiTheme="minorEastAsia" w:eastAsiaTheme="minorEastAsia"/>
                <w:b/>
                <w:bCs/>
                <w:kern w:val="28"/>
                <w:sz w:val="24"/>
                <w:szCs w:val="24"/>
                <w:highlight w:val="none"/>
                <w:lang w:val="en-US" w:eastAsia="zh-CN"/>
              </w:rPr>
              <w:t>供应商可采用邮寄（含快递）方式递交备份投标文件。</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各供应商在规定时间</w:t>
            </w:r>
            <w:bookmarkStart w:id="526" w:name="_GoBack"/>
            <w:bookmarkEnd w:id="526"/>
            <w:r>
              <w:rPr>
                <w:rFonts w:hint="eastAsia" w:cs="宋体" w:asciiTheme="minorEastAsia" w:hAnsiTheme="minorEastAsia" w:eastAsiaTheme="minorEastAsia"/>
                <w:kern w:val="28"/>
                <w:sz w:val="24"/>
                <w:szCs w:val="24"/>
                <w:highlight w:val="none"/>
                <w:lang w:val="en-US" w:eastAsia="zh-CN"/>
              </w:rPr>
              <w:t>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拟在2024年05月28日（含）16:00前到件的邮寄地址为：宁波市鄞州区天童南路666号中基大厦19楼业务六部；</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收件人：朱贤东   联系方式：0574-87425380</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宋体" w:asciiTheme="minorEastAsia" w:hAnsiTheme="minorEastAsia" w:eastAsiaTheme="minorEastAsia"/>
                <w:kern w:val="28"/>
                <w:sz w:val="24"/>
                <w:szCs w:val="24"/>
                <w:highlight w:val="none"/>
                <w:lang w:val="en-US" w:eastAsia="zh-CN"/>
              </w:rPr>
            </w:pPr>
            <w:r>
              <w:rPr>
                <w:rFonts w:hint="eastAsia" w:cs="宋体" w:asciiTheme="minorEastAsia" w:hAnsiTheme="minorEastAsia" w:eastAsiaTheme="minorEastAsia"/>
                <w:kern w:val="28"/>
                <w:sz w:val="24"/>
                <w:szCs w:val="24"/>
                <w:highlight w:val="none"/>
                <w:lang w:val="en-US" w:eastAsia="zh-CN"/>
              </w:rPr>
              <w:t>请各供应商确保密封包装在邮寄过程密封包装完好，因邮寄过程的密封破损造成不符合开标要求的，本采购代理及采购人概不负责。</w:t>
            </w:r>
          </w:p>
          <w:p>
            <w:pPr>
              <w:pStyle w:val="3"/>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hAnsi="宋体" w:cs="宋体"/>
                <w:kern w:val="28"/>
                <w:sz w:val="24"/>
                <w:highlight w:val="none"/>
              </w:rPr>
            </w:pPr>
            <w:r>
              <w:rPr>
                <w:rFonts w:hint="eastAsia" w:cs="宋体" w:asciiTheme="minorEastAsia" w:hAnsiTheme="minorEastAsia" w:eastAsiaTheme="minorEastAsia"/>
                <w:b/>
                <w:sz w:val="24"/>
                <w:szCs w:val="24"/>
                <w:highlight w:val="none"/>
              </w:rPr>
              <w:t>采购人、</w:t>
            </w:r>
            <w:r>
              <w:rPr>
                <w:rFonts w:hint="eastAsia" w:cs="宋体" w:asciiTheme="minorEastAsia" w:hAnsiTheme="minorEastAsia" w:eastAsiaTheme="minorEastAsia"/>
                <w:b/>
                <w:sz w:val="24"/>
                <w:szCs w:val="24"/>
                <w:highlight w:val="none"/>
                <w:lang w:eastAsia="zh-CN"/>
              </w:rPr>
              <w:t>采购代理机构</w:t>
            </w:r>
            <w:r>
              <w:rPr>
                <w:rFonts w:hint="eastAsia" w:cs="宋体" w:asciiTheme="minorEastAsia" w:hAnsiTheme="minorEastAsia" w:eastAsiaTheme="minorEastAsia"/>
                <w:b/>
                <w:sz w:val="24"/>
                <w:szCs w:val="24"/>
                <w:highlight w:val="none"/>
              </w:rPr>
              <w:t>不强制或变相强制供应商提交备份</w:t>
            </w:r>
            <w:r>
              <w:rPr>
                <w:rFonts w:hint="eastAsia" w:cs="宋体" w:asciiTheme="minorEastAsia" w:hAnsiTheme="minorEastAsia" w:eastAsiaTheme="minorEastAsia"/>
                <w:b/>
                <w:sz w:val="24"/>
                <w:szCs w:val="24"/>
                <w:highlight w:val="none"/>
                <w:lang w:eastAsia="zh-CN"/>
              </w:rPr>
              <w:t>投标文件</w:t>
            </w:r>
            <w:r>
              <w:rPr>
                <w:rFonts w:hint="eastAsia" w:cs="宋体" w:asciiTheme="minorEastAsia" w:hAnsiTheme="minorEastAsia" w:eastAsiaTheme="minorEastAsia"/>
                <w:b/>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eastAsia="宋体" w:cs="宋体"/>
                <w:b/>
                <w:sz w:val="24"/>
                <w:highlight w:val="none"/>
              </w:rPr>
            </w:pPr>
            <w:r>
              <w:rPr>
                <w:rFonts w:hint="eastAsia" w:ascii="宋体" w:hAnsi="宋体" w:eastAsia="宋体" w:cs="宋体"/>
                <w:b/>
                <w:sz w:val="24"/>
                <w:highlight w:val="none"/>
              </w:rPr>
              <w:t>13</w:t>
            </w:r>
          </w:p>
        </w:tc>
        <w:tc>
          <w:tcPr>
            <w:tcW w:w="2799" w:type="dxa"/>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r>
              <w:rPr>
                <w:rFonts w:hint="eastAsia" w:cs="仿宋_GB2312" w:asciiTheme="minorEastAsia" w:hAnsiTheme="minorEastAsia" w:eastAsiaTheme="minorEastAsia"/>
                <w:b/>
                <w:sz w:val="24"/>
                <w:highlight w:val="none"/>
              </w:rPr>
              <w:t>特别说明</w:t>
            </w: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Merge w:val="continue"/>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sz w:val="24"/>
                <w:highlight w:val="none"/>
              </w:rPr>
            </w:pPr>
          </w:p>
        </w:tc>
        <w:tc>
          <w:tcPr>
            <w:tcW w:w="2799" w:type="dxa"/>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ascii="宋体" w:hAnsi="宋体" w:cs="宋体"/>
                <w:b/>
                <w:sz w:val="24"/>
                <w:highlight w:val="none"/>
              </w:rPr>
            </w:pPr>
          </w:p>
        </w:tc>
        <w:tc>
          <w:tcPr>
            <w:tcW w:w="5640" w:type="dxa"/>
            <w:vAlign w:val="center"/>
          </w:tcPr>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default"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Wingdings" w:hAnsi="Wingdings" w:cs="Arial" w:eastAsiaTheme="minorEastAsia"/>
                    <w:kern w:val="0"/>
                    <w:sz w:val="24"/>
                    <w:szCs w:val="24"/>
                    <w:highlight w:val="none"/>
                    <w:lang w:val="en-US" w:eastAsia="zh-CN" w:bidi="ar-SA"/>
                  </w:rPr>
                  <w:t>þ</w:t>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blHeader/>
        </w:trPr>
        <w:tc>
          <w:tcPr>
            <w:tcW w:w="62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kern w:val="2"/>
                <w:sz w:val="24"/>
                <w:szCs w:val="24"/>
                <w:highlight w:val="none"/>
                <w:lang w:val="en-US" w:eastAsia="zh-CN" w:bidi="ar-SA"/>
              </w:rPr>
            </w:pPr>
            <w:r>
              <w:rPr>
                <w:rFonts w:hint="eastAsia" w:cs="宋体" w:asciiTheme="minorEastAsia" w:hAnsiTheme="minorEastAsia" w:eastAsiaTheme="minorEastAsia"/>
                <w:sz w:val="24"/>
                <w:highlight w:val="none"/>
                <w:lang w:val="en-US" w:eastAsia="zh-CN"/>
              </w:rPr>
              <w:t>14</w:t>
            </w:r>
          </w:p>
        </w:tc>
        <w:tc>
          <w:tcPr>
            <w:tcW w:w="2799"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outlineLvl w:val="9"/>
              <w:rPr>
                <w:rFonts w:hint="default" w:cs="宋体" w:asciiTheme="minorEastAsia" w:hAnsiTheme="minorEastAsia" w:eastAsiaTheme="minorEastAsia"/>
                <w:b/>
                <w:kern w:val="2"/>
                <w:sz w:val="24"/>
                <w:szCs w:val="24"/>
                <w:highlight w:val="none"/>
                <w:lang w:val="en-US" w:eastAsia="zh-CN" w:bidi="ar-SA"/>
              </w:rPr>
            </w:pPr>
            <w:r>
              <w:rPr>
                <w:rFonts w:hint="eastAsia" w:cs="宋体" w:asciiTheme="minorEastAsia" w:hAnsiTheme="minorEastAsia" w:eastAsiaTheme="minorEastAsia"/>
                <w:b/>
                <w:sz w:val="24"/>
                <w:highlight w:val="none"/>
                <w:lang w:val="en-US" w:eastAsia="zh-CN"/>
              </w:rPr>
              <w:t>其他说明</w:t>
            </w:r>
          </w:p>
        </w:tc>
        <w:tc>
          <w:tcPr>
            <w:tcW w:w="5640" w:type="dxa"/>
            <w:vAlign w:val="center"/>
          </w:tcPr>
          <w:p>
            <w:pPr>
              <w:pStyle w:val="21"/>
              <w:keepNext w:val="0"/>
              <w:keepLines w:val="0"/>
              <w:suppressLineNumbers w:val="0"/>
              <w:adjustRightInd/>
              <w:spacing w:before="0" w:beforeLines="0" w:beforeAutospacing="0" w:after="0" w:afterLines="0" w:afterAutospacing="0" w:line="300" w:lineRule="auto"/>
              <w:ind w:left="0" w:right="0"/>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招标代理服务费的收取标准：参照原国家发改委发改办价格[2003]857号通知和原国家计委计价格[2002]1980号文件；招标代理机构按照中标金额，根据以下表格</w:t>
            </w:r>
            <w:r>
              <w:rPr>
                <w:rFonts w:hint="eastAsia" w:cs="Arial" w:asciiTheme="minorEastAsia" w:hAnsiTheme="minorEastAsia" w:eastAsiaTheme="minorEastAsia"/>
                <w:kern w:val="0"/>
                <w:sz w:val="24"/>
                <w:highlight w:val="none"/>
                <w:lang w:val="en-US" w:eastAsia="zh-CN"/>
              </w:rPr>
              <w:t>服务</w:t>
            </w:r>
            <w:r>
              <w:rPr>
                <w:rFonts w:hint="eastAsia" w:cs="Arial" w:asciiTheme="minorEastAsia" w:hAnsiTheme="minorEastAsia" w:eastAsiaTheme="minorEastAsia"/>
                <w:kern w:val="0"/>
                <w:sz w:val="24"/>
                <w:highlight w:val="none"/>
              </w:rPr>
              <w:t>招标标准（按差额定率累进法计算）向中标人收取招标代理服务费。</w:t>
            </w:r>
          </w:p>
          <w:tbl>
            <w:tblPr>
              <w:tblStyle w:val="63"/>
              <w:tblW w:w="5478" w:type="dxa"/>
              <w:jc w:val="center"/>
              <w:tblLayout w:type="fixed"/>
              <w:tblCellMar>
                <w:top w:w="15" w:type="dxa"/>
                <w:left w:w="15" w:type="dxa"/>
                <w:bottom w:w="15" w:type="dxa"/>
                <w:right w:w="15" w:type="dxa"/>
              </w:tblCellMar>
            </w:tblPr>
            <w:tblGrid>
              <w:gridCol w:w="1572"/>
              <w:gridCol w:w="1359"/>
              <w:gridCol w:w="1288"/>
              <w:gridCol w:w="1259"/>
            </w:tblGrid>
            <w:tr>
              <w:tblPrEx>
                <w:tblCellMar>
                  <w:top w:w="15" w:type="dxa"/>
                  <w:left w:w="15" w:type="dxa"/>
                  <w:bottom w:w="15" w:type="dxa"/>
                  <w:right w:w="15" w:type="dxa"/>
                </w:tblCellMar>
              </w:tblPrEx>
              <w:trPr>
                <w:trHeight w:val="774" w:hRule="atLeast"/>
                <w:jc w:val="center"/>
              </w:trPr>
              <w:tc>
                <w:tcPr>
                  <w:tcW w:w="1572"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right"/>
                    <w:rPr>
                      <w:rFonts w:hint="eastAsia" w:ascii="宋体" w:hAnsi="宋体" w:eastAsia="宋体" w:cs="宋体"/>
                      <w:highlight w:val="none"/>
                    </w:rPr>
                  </w:pPr>
                  <w:r>
                    <w:rPr>
                      <w:rFonts w:hint="eastAsia" w:ascii="宋体" w:hAnsi="宋体" w:eastAsia="宋体" w:cs="宋体"/>
                      <w:highlight w:val="none"/>
                    </w:rPr>
                    <w:t>服费类型</w:t>
                  </w:r>
                </w:p>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金额（万元）</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货物招标</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服务招标</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工程招标</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100以下</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1.0%</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100-500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1.1%</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0.8%</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0.7%</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500-1000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0.8%</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0.45%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0.55%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1000-5000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0.25%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0.35%</w:t>
                  </w:r>
                </w:p>
              </w:tc>
            </w:tr>
            <w:tr>
              <w:tblPrEx>
                <w:tblCellMar>
                  <w:top w:w="15" w:type="dxa"/>
                  <w:left w:w="15" w:type="dxa"/>
                  <w:bottom w:w="15" w:type="dxa"/>
                  <w:right w:w="15" w:type="dxa"/>
                </w:tblCellMar>
              </w:tblPrEx>
              <w:trPr>
                <w:trHeight w:val="454"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5000-10000</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0.25%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0.1%</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0.2%</w:t>
                  </w:r>
                </w:p>
              </w:tc>
            </w:tr>
            <w:tr>
              <w:tblPrEx>
                <w:tblCellMar>
                  <w:top w:w="15" w:type="dxa"/>
                  <w:left w:w="15" w:type="dxa"/>
                  <w:bottom w:w="15" w:type="dxa"/>
                  <w:right w:w="15" w:type="dxa"/>
                </w:tblCellMar>
              </w:tblPrEx>
              <w:trPr>
                <w:trHeight w:val="473" w:hRule="atLeast"/>
                <w:jc w:val="center"/>
              </w:trPr>
              <w:tc>
                <w:tcPr>
                  <w:tcW w:w="1572"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1亿～5亿</w:t>
                  </w:r>
                </w:p>
              </w:tc>
              <w:tc>
                <w:tcPr>
                  <w:tcW w:w="13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0.05%</w:t>
                  </w:r>
                </w:p>
              </w:tc>
              <w:tc>
                <w:tcPr>
                  <w:tcW w:w="128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0.05%</w:t>
                  </w:r>
                </w:p>
              </w:tc>
              <w:tc>
                <w:tcPr>
                  <w:tcW w:w="1259"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pPr>
                    <w:keepNext w:val="0"/>
                    <w:keepLines w:val="0"/>
                    <w:widowControl/>
                    <w:suppressLineNumbers w:val="0"/>
                    <w:adjustRightInd/>
                    <w:spacing w:before="0" w:beforeAutospacing="0" w:after="0" w:afterAutospacing="0" w:line="300" w:lineRule="auto"/>
                    <w:ind w:left="0" w:right="0"/>
                    <w:jc w:val="left"/>
                    <w:rPr>
                      <w:rFonts w:hint="eastAsia" w:ascii="宋体" w:hAnsi="宋体" w:eastAsia="宋体" w:cs="宋体"/>
                      <w:highlight w:val="none"/>
                    </w:rPr>
                  </w:pPr>
                  <w:r>
                    <w:rPr>
                      <w:rFonts w:hint="eastAsia" w:ascii="宋体" w:hAnsi="宋体" w:eastAsia="宋体" w:cs="宋体"/>
                      <w:highlight w:val="none"/>
                    </w:rPr>
                    <w:t>0.05%</w:t>
                  </w:r>
                </w:p>
              </w:tc>
            </w:tr>
          </w:tbl>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关于本次采购的服务费汇入以下账户：</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开户银行： 宁波银行股份有限公司鄞州中心区支行</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highlight w:val="none"/>
              </w:rPr>
            </w:pPr>
            <w:r>
              <w:rPr>
                <w:rFonts w:hint="eastAsia" w:cs="Arial" w:asciiTheme="minorEastAsia" w:hAnsiTheme="minorEastAsia" w:eastAsiaTheme="minorEastAsia"/>
                <w:kern w:val="0"/>
                <w:sz w:val="24"/>
                <w:highlight w:val="none"/>
              </w:rPr>
              <w:t>账    号： 30010122001229488</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highlight w:val="none"/>
                <w:lang w:eastAsia="zh-CN"/>
              </w:rPr>
            </w:pPr>
            <w:r>
              <w:rPr>
                <w:rFonts w:hint="eastAsia" w:cs="Arial" w:asciiTheme="minorEastAsia" w:hAnsiTheme="minorEastAsia" w:eastAsiaTheme="minorEastAsia"/>
                <w:kern w:val="0"/>
                <w:sz w:val="24"/>
                <w:highlight w:val="none"/>
              </w:rPr>
              <w:t xml:space="preserve">户    名： </w:t>
            </w:r>
            <w:r>
              <w:rPr>
                <w:rFonts w:hint="eastAsia" w:cs="Arial" w:asciiTheme="minorEastAsia" w:hAnsiTheme="minorEastAsia" w:eastAsiaTheme="minorEastAsia"/>
                <w:kern w:val="0"/>
                <w:sz w:val="24"/>
                <w:highlight w:val="none"/>
                <w:lang w:eastAsia="zh-CN"/>
              </w:rPr>
              <w:t>浙江中基正采管理咨询有限公司</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240" w:lineRule="auto"/>
              <w:ind w:left="0" w:right="0"/>
              <w:textAlignment w:val="auto"/>
              <w:outlineLvl w:val="9"/>
              <w:rPr>
                <w:rFonts w:hint="eastAsia" w:cs="Arial" w:asciiTheme="minorEastAsia" w:hAnsiTheme="minorEastAsia" w:eastAsiaTheme="minorEastAsia"/>
                <w:kern w:val="0"/>
                <w:sz w:val="24"/>
                <w:szCs w:val="24"/>
                <w:highlight w:val="none"/>
                <w:lang w:val="en-US" w:eastAsia="zh-CN" w:bidi="ar-SA"/>
              </w:rPr>
            </w:pPr>
            <w:r>
              <w:rPr>
                <w:rFonts w:hint="eastAsia" w:cs="Arial" w:asciiTheme="minorEastAsia" w:hAnsiTheme="minorEastAsia" w:eastAsiaTheme="minorEastAsia"/>
                <w:kern w:val="0"/>
                <w:sz w:val="24"/>
                <w:highlight w:val="none"/>
                <w:lang w:val="en-US" w:eastAsia="zh-CN"/>
              </w:rPr>
              <w:t>注：中标人</w:t>
            </w:r>
            <w:r>
              <w:rPr>
                <w:rFonts w:hint="eastAsia" w:cs="Arial" w:asciiTheme="minorEastAsia" w:hAnsiTheme="minorEastAsia" w:eastAsiaTheme="minorEastAsia"/>
                <w:kern w:val="0"/>
                <w:sz w:val="24"/>
                <w:highlight w:val="none"/>
              </w:rPr>
              <w:t>接到本公司通知后5个工作日内向本采购代理机构领取</w:t>
            </w:r>
            <w:r>
              <w:rPr>
                <w:rFonts w:hint="eastAsia" w:cs="Arial" w:asciiTheme="minorEastAsia" w:hAnsiTheme="minorEastAsia" w:eastAsiaTheme="minorEastAsia"/>
                <w:kern w:val="0"/>
                <w:sz w:val="24"/>
                <w:highlight w:val="none"/>
                <w:lang w:val="en-US" w:eastAsia="zh-CN"/>
              </w:rPr>
              <w:t>中标</w:t>
            </w:r>
            <w:r>
              <w:rPr>
                <w:rFonts w:hint="eastAsia" w:cs="Arial" w:asciiTheme="minorEastAsia" w:hAnsiTheme="minorEastAsia" w:eastAsiaTheme="minorEastAsia"/>
                <w:kern w:val="0"/>
                <w:sz w:val="24"/>
                <w:highlight w:val="none"/>
              </w:rPr>
              <w:t>通知书（根据</w:t>
            </w:r>
            <w:r>
              <w:rPr>
                <w:rFonts w:hint="eastAsia" w:cs="Arial" w:asciiTheme="minorEastAsia" w:hAnsiTheme="minorEastAsia" w:eastAsiaTheme="minorEastAsia"/>
                <w:kern w:val="0"/>
                <w:sz w:val="24"/>
                <w:highlight w:val="none"/>
                <w:lang w:val="en-US" w:eastAsia="zh-CN"/>
              </w:rPr>
              <w:t>中标人</w:t>
            </w:r>
            <w:r>
              <w:rPr>
                <w:rFonts w:hint="eastAsia" w:cs="Arial" w:asciiTheme="minorEastAsia" w:hAnsiTheme="minorEastAsia" w:eastAsiaTheme="minorEastAsia"/>
                <w:kern w:val="0"/>
                <w:sz w:val="24"/>
                <w:highlight w:val="none"/>
              </w:rPr>
              <w:t>需求可采用邮寄或到采购代理机构现场领取）。</w:t>
            </w:r>
          </w:p>
        </w:tc>
      </w:tr>
      <w:bookmarkEnd w:id="9"/>
    </w:tbl>
    <w:p>
      <w:pPr>
        <w:kinsoku/>
        <w:wordWrap/>
        <w:overflowPunct/>
        <w:topLinePunct w:val="0"/>
        <w:bidi w:val="0"/>
        <w:outlineLvl w:val="9"/>
        <w:rPr>
          <w:rFonts w:hint="eastAsia" w:ascii="宋体" w:hAnsi="宋体" w:cs="宋体"/>
          <w:b/>
          <w:sz w:val="32"/>
          <w:szCs w:val="20"/>
          <w:highlight w:val="none"/>
        </w:rPr>
      </w:pPr>
      <w:bookmarkStart w:id="14" w:name="_Toc164416483"/>
      <w:bookmarkStart w:id="15" w:name="第三部分"/>
      <w:r>
        <w:rPr>
          <w:rFonts w:hint="eastAsia" w:ascii="宋体" w:hAnsi="宋体" w:cs="宋体"/>
          <w:b/>
          <w:sz w:val="32"/>
          <w:szCs w:val="20"/>
          <w:highlight w:val="none"/>
        </w:rPr>
        <w:br w:type="page"/>
      </w:r>
    </w:p>
    <w:p>
      <w:pPr>
        <w:pageBreakBefore w:val="0"/>
        <w:shd w:val="clear"/>
        <w:kinsoku/>
        <w:wordWrap/>
        <w:overflowPunct/>
        <w:topLinePunct w:val="0"/>
        <w:bidi w:val="0"/>
        <w:adjustRightInd/>
        <w:spacing w:beforeAutospacing="0" w:line="348" w:lineRule="auto"/>
        <w:ind w:firstLine="3845" w:firstLineChars="1197"/>
        <w:textAlignment w:val="auto"/>
        <w:outlineLvl w:val="9"/>
        <w:rPr>
          <w:rFonts w:ascii="宋体" w:hAnsi="宋体" w:cs="宋体"/>
          <w:b/>
          <w:sz w:val="32"/>
          <w:szCs w:val="20"/>
          <w:highlight w:val="none"/>
        </w:rPr>
      </w:pPr>
      <w:r>
        <w:rPr>
          <w:rFonts w:hint="eastAsia" w:ascii="宋体" w:hAnsi="宋体" w:cs="宋体"/>
          <w:b/>
          <w:sz w:val="32"/>
          <w:szCs w:val="20"/>
          <w:highlight w:val="none"/>
        </w:rPr>
        <w:t>一、总则</w:t>
      </w:r>
    </w:p>
    <w:p>
      <w:pPr>
        <w:keepNext w:val="0"/>
        <w:keepLines w:val="0"/>
        <w:pageBreakBefore w:val="0"/>
        <w:shd w:val="clear"/>
        <w:kinsoku/>
        <w:wordWrap/>
        <w:overflowPunct/>
        <w:topLinePunct w:val="0"/>
        <w:bidi w:val="0"/>
        <w:snapToGrid w:val="0"/>
        <w:spacing w:beforeAutospacing="0" w:line="348" w:lineRule="auto"/>
        <w:ind w:firstLine="361" w:firstLineChars="150"/>
        <w:jc w:val="left"/>
        <w:textAlignment w:val="auto"/>
        <w:outlineLvl w:val="9"/>
        <w:rPr>
          <w:rFonts w:ascii="宋体" w:hAnsi="宋体" w:cs="宋体"/>
          <w:b/>
          <w:sz w:val="24"/>
          <w:highlight w:val="none"/>
        </w:rPr>
      </w:pPr>
      <w:r>
        <w:rPr>
          <w:rFonts w:hint="eastAsia" w:ascii="宋体" w:hAnsi="宋体" w:cs="宋体"/>
          <w:b/>
          <w:sz w:val="24"/>
          <w:highlight w:val="none"/>
        </w:rPr>
        <w:t>1. 适用范围</w:t>
      </w:r>
    </w:p>
    <w:p>
      <w:pPr>
        <w:keepNext w:val="0"/>
        <w:keepLines w:val="0"/>
        <w:pageBreakBefore w:val="0"/>
        <w:shd w:val="clear"/>
        <w:kinsoku/>
        <w:wordWrap/>
        <w:overflowPunct/>
        <w:topLinePunct w:val="0"/>
        <w:bidi w:val="0"/>
        <w:snapToGrid w:val="0"/>
        <w:spacing w:beforeAutospacing="0" w:line="348" w:lineRule="auto"/>
        <w:ind w:firstLine="480" w:firstLineChars="200"/>
        <w:jc w:val="left"/>
        <w:textAlignment w:val="auto"/>
        <w:outlineLvl w:val="9"/>
        <w:rPr>
          <w:rFonts w:ascii="宋体" w:hAnsi="宋体" w:cs="宋体"/>
          <w:sz w:val="24"/>
          <w:highlight w:val="none"/>
        </w:rPr>
      </w:pPr>
      <w:r>
        <w:rPr>
          <w:rFonts w:hint="eastAsia" w:ascii="宋体" w:hAnsi="宋体" w:cs="宋体"/>
          <w:sz w:val="24"/>
          <w:highlight w:val="none"/>
        </w:rPr>
        <w:t>本招标文件适用于该项目的招标、投标、开标、资格审查及信用信息查询、评标、定标、合同、验收等行为（法律、法规另有规定的，从其规定）。</w:t>
      </w:r>
    </w:p>
    <w:p>
      <w:pPr>
        <w:keepNext w:val="0"/>
        <w:keepLines w:val="0"/>
        <w:pageBreakBefore w:val="0"/>
        <w:shd w:val="clear"/>
        <w:kinsoku/>
        <w:wordWrap/>
        <w:overflowPunct/>
        <w:topLinePunct w:val="0"/>
        <w:bidi w:val="0"/>
        <w:adjustRightInd/>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 xml:space="preserve">   2.定义</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2.1 “采购人”系指招标公告中载明的本项目的采购人。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2.2 “</w:t>
      </w:r>
      <w:r>
        <w:rPr>
          <w:rFonts w:hint="eastAsia" w:ascii="宋体" w:hAnsi="宋体" w:cs="宋体"/>
          <w:sz w:val="24"/>
          <w:highlight w:val="none"/>
          <w:lang w:eastAsia="zh-CN"/>
        </w:rPr>
        <w:t>采购代理机构</w:t>
      </w:r>
      <w:r>
        <w:rPr>
          <w:rFonts w:hint="eastAsia" w:ascii="宋体" w:hAnsi="宋体" w:cs="宋体"/>
          <w:sz w:val="24"/>
          <w:highlight w:val="none"/>
        </w:rPr>
        <w:t>”系指招标公告中载明的本项目的</w:t>
      </w:r>
      <w:r>
        <w:rPr>
          <w:rFonts w:hint="eastAsia" w:ascii="宋体" w:hAnsi="宋体" w:cs="宋体"/>
          <w:sz w:val="24"/>
          <w:highlight w:val="none"/>
          <w:lang w:eastAsia="zh-CN"/>
        </w:rPr>
        <w:t>采购代理机构</w:t>
      </w:r>
      <w:r>
        <w:rPr>
          <w:rFonts w:hint="eastAsia" w:ascii="宋体" w:hAnsi="宋体" w:cs="宋体"/>
          <w:sz w:val="24"/>
          <w:highlight w:val="none"/>
        </w:rPr>
        <w:t>。</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2.3 “</w:t>
      </w:r>
      <w:r>
        <w:rPr>
          <w:rFonts w:hint="eastAsia" w:ascii="宋体" w:hAnsi="宋体" w:cs="宋体"/>
          <w:sz w:val="24"/>
          <w:highlight w:val="none"/>
          <w:lang w:eastAsia="zh-CN"/>
        </w:rPr>
        <w:t>供应商</w:t>
      </w:r>
      <w:r>
        <w:rPr>
          <w:rFonts w:hint="eastAsia" w:ascii="宋体" w:hAnsi="宋体" w:cs="宋体"/>
          <w:sz w:val="24"/>
          <w:highlight w:val="none"/>
        </w:rPr>
        <w:t>”系指是指响应招标、参加投标竞争的法人、其他组织或者自然人。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2.4 “负责人”系指法人企业的法定负责人，或其他组织为法律、行政法规规定代表单位行使职权的主要负责人，或自然人本人。</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2.6“电子交易平台”</w:t>
      </w:r>
      <w:r>
        <w:rPr>
          <w:rFonts w:hint="eastAsia" w:ascii="宋体" w:hAnsi="宋体" w:cs="宋体"/>
          <w:sz w:val="24"/>
          <w:highlight w:val="none"/>
          <w:lang w:val="en-US" w:eastAsia="zh-CN"/>
        </w:rPr>
        <w:t>系</w:t>
      </w:r>
      <w:r>
        <w:rPr>
          <w:rFonts w:hint="eastAsia" w:ascii="宋体" w:hAnsi="宋体" w:cs="宋体"/>
          <w:sz w:val="24"/>
          <w:highlight w:val="none"/>
        </w:rPr>
        <w:t>指本项目政府采购活动所依托的政府采购云平台（https://www.zcygov.cn/）。</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2.7 “</w:t>
      </w:r>
      <w:r>
        <w:rPr>
          <w:rFonts w:hint="eastAsia" w:ascii="宋体" w:hAnsi="宋体" w:cs="宋体"/>
          <w:sz w:val="24"/>
          <w:highlight w:val="none"/>
          <w:lang w:eastAsia="zh-CN"/>
        </w:rPr>
        <w:t>★</w:t>
      </w:r>
      <w:r>
        <w:rPr>
          <w:rFonts w:hint="eastAsia" w:ascii="宋体" w:hAnsi="宋体" w:cs="宋体"/>
          <w:sz w:val="24"/>
          <w:highlight w:val="none"/>
        </w:rPr>
        <w:t>” 系指实质性要求条款，“</w:t>
      </w:r>
      <w:sdt>
        <w:sdtPr>
          <w:rPr>
            <w:rFonts w:hint="eastAsia" w:ascii="宋体" w:hAnsi="宋体" w:cs="宋体"/>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ascii="Wingdings" w:hAnsi="Wingdings" w:cs="宋体"/>
              <w:kern w:val="0"/>
              <w:sz w:val="24"/>
              <w:highlight w:val="none"/>
            </w:rPr>
            <w:t></w:t>
          </w:r>
        </w:sdtContent>
      </w:sdt>
      <w:r>
        <w:rPr>
          <w:rFonts w:hint="eastAsia" w:ascii="宋体" w:hAnsi="宋体" w:cs="宋体"/>
          <w:sz w:val="24"/>
          <w:highlight w:val="none"/>
        </w:rPr>
        <w:t>” 系指适用本项目的要求，“</w:t>
      </w:r>
      <w:sdt>
        <w:sdtPr>
          <w:rPr>
            <w:rFonts w:hint="eastAsia" w:ascii="宋体" w:hAnsi="宋体" w:cs="宋体"/>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宋体" w:hAnsi="宋体" w:cs="宋体"/>
              <w:kern w:val="0"/>
              <w:sz w:val="24"/>
              <w:highlight w:val="none"/>
            </w:rPr>
            <w:t>☐</w:t>
          </w:r>
        </w:sdtContent>
      </w:sdt>
      <w:r>
        <w:rPr>
          <w:rFonts w:hint="eastAsia" w:ascii="宋体" w:hAnsi="宋体" w:cs="宋体"/>
          <w:sz w:val="24"/>
          <w:highlight w:val="none"/>
        </w:rPr>
        <w:t>” 系指不适用本项目的要求。</w:t>
      </w:r>
    </w:p>
    <w:p>
      <w:pPr>
        <w:keepNext w:val="0"/>
        <w:keepLines w:val="0"/>
        <w:pageBreakBefore w:val="0"/>
        <w:shd w:val="clear"/>
        <w:kinsoku/>
        <w:wordWrap/>
        <w:overflowPunct/>
        <w:topLinePunct w:val="0"/>
        <w:bidi w:val="0"/>
        <w:spacing w:beforeAutospacing="0" w:line="348" w:lineRule="auto"/>
        <w:ind w:firstLine="241" w:firstLineChars="100"/>
        <w:textAlignment w:val="auto"/>
        <w:outlineLvl w:val="9"/>
        <w:rPr>
          <w:rFonts w:ascii="宋体" w:hAnsi="宋体" w:cs="宋体"/>
          <w:b/>
          <w:sz w:val="24"/>
          <w:highlight w:val="none"/>
        </w:rPr>
      </w:pPr>
      <w:r>
        <w:rPr>
          <w:rFonts w:hint="eastAsia" w:ascii="宋体" w:hAnsi="宋体" w:cs="宋体"/>
          <w:b/>
          <w:sz w:val="24"/>
          <w:highlight w:val="none"/>
        </w:rPr>
        <w:t>3.</w:t>
      </w:r>
      <w:r>
        <w:rPr>
          <w:rFonts w:hint="eastAsia" w:ascii="宋体" w:hAnsi="宋体" w:cs="宋体"/>
          <w:highlight w:val="none"/>
        </w:rPr>
        <w:t xml:space="preserve"> </w:t>
      </w:r>
      <w:r>
        <w:rPr>
          <w:rFonts w:hint="eastAsia" w:ascii="宋体" w:hAnsi="宋体" w:cs="宋体"/>
          <w:b/>
          <w:sz w:val="24"/>
          <w:highlight w:val="none"/>
        </w:rPr>
        <w:t>采购项目需要落实的政府采购政策</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highlight w:val="none"/>
          <w:lang w:eastAsia="zh-CN"/>
        </w:rPr>
        <w:t>采购代理机构</w:t>
      </w:r>
      <w:r>
        <w:rPr>
          <w:rFonts w:hint="eastAsia" w:ascii="宋体" w:hAnsi="宋体" w:cs="宋体"/>
          <w:sz w:val="24"/>
          <w:highlight w:val="none"/>
        </w:rPr>
        <w:t>不会对其加以限制，仍将按照公平竞争原则实施采购）；</w:t>
      </w:r>
      <w:r>
        <w:rPr>
          <w:rFonts w:hint="eastAsia" w:ascii="宋体" w:hAnsi="宋体" w:cs="宋体"/>
          <w:kern w:val="0"/>
          <w:sz w:val="24"/>
          <w:highlight w:val="none"/>
        </w:rPr>
        <w:t>优先采购向我国企业转让技术、与我国企业签订消化吸收再创新方案的供应商的进口产品</w:t>
      </w:r>
      <w:r>
        <w:rPr>
          <w:rFonts w:hint="eastAsia" w:ascii="宋体" w:hAnsi="宋体" w:cs="宋体"/>
          <w:sz w:val="24"/>
          <w:highlight w:val="none"/>
        </w:rPr>
        <w:t>。</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3.2 支持绿色发展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cs="宋体"/>
          <w:sz w:val="24"/>
          <w:highlight w:val="none"/>
          <w:lang w:eastAsia="zh-CN"/>
        </w:rPr>
        <w:t>供应商</w:t>
      </w:r>
      <w:r>
        <w:rPr>
          <w:rFonts w:hint="eastAsia" w:ascii="宋体" w:hAnsi="宋体" w:cs="宋体"/>
          <w:sz w:val="24"/>
          <w:highlight w:val="none"/>
        </w:rPr>
        <w:t>须按招标文件要求提供相关产品认证证书。</w:t>
      </w:r>
      <w:r>
        <w:rPr>
          <w:rFonts w:hint="eastAsia" w:ascii="宋体" w:hAnsi="宋体" w:cs="宋体"/>
          <w:b/>
          <w:sz w:val="24"/>
          <w:highlight w:val="none"/>
          <w:lang w:eastAsia="zh-CN"/>
        </w:rPr>
        <w:t>★</w:t>
      </w:r>
      <w:r>
        <w:rPr>
          <w:rFonts w:hint="eastAsia" w:ascii="宋体" w:hAnsi="宋体" w:cs="宋体"/>
          <w:b/>
          <w:sz w:val="24"/>
          <w:highlight w:val="none"/>
        </w:rPr>
        <w:t>采购人拟采购的产品属于政府强制采购的节能产品品目清单范围的，</w:t>
      </w:r>
      <w:r>
        <w:rPr>
          <w:rFonts w:hint="eastAsia" w:ascii="宋体" w:hAnsi="宋体" w:cs="宋体"/>
          <w:b/>
          <w:sz w:val="24"/>
          <w:highlight w:val="none"/>
          <w:lang w:eastAsia="zh-CN"/>
        </w:rPr>
        <w:t>供应商</w:t>
      </w:r>
      <w:r>
        <w:rPr>
          <w:rFonts w:hint="eastAsia" w:ascii="宋体" w:hAnsi="宋体" w:cs="宋体"/>
          <w:b/>
          <w:sz w:val="24"/>
          <w:highlight w:val="none"/>
        </w:rPr>
        <w:t>相应的投标产品未获得国家确定的认证机构出具的、处于有效期之内的节能产品认证证书的，投标无效。</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3.2.2纳入政府采购管理的修缮、装修类项目采购建材的，鼓励采购单位将绿色建材性能、指标等作为实质性条件纳入</w:t>
      </w:r>
      <w:r>
        <w:rPr>
          <w:rFonts w:hint="eastAsia" w:ascii="宋体" w:hAnsi="宋体" w:cs="宋体"/>
          <w:sz w:val="24"/>
          <w:highlight w:val="none"/>
          <w:lang w:eastAsia="zh-CN"/>
        </w:rPr>
        <w:t>招标文件</w:t>
      </w:r>
      <w:r>
        <w:rPr>
          <w:rFonts w:hint="eastAsia" w:ascii="宋体" w:hAnsi="宋体" w:cs="宋体"/>
          <w:sz w:val="24"/>
          <w:highlight w:val="none"/>
        </w:rPr>
        <w:t>和合同，具体性能指标要求参考相关绿色建材政府采购需求标准。</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themeColor="text1"/>
          <w:sz w:val="24"/>
          <w:highlight w:val="none"/>
          <w14:textFill>
            <w14:solidFill>
              <w14:schemeClr w14:val="tx1"/>
            </w14:solidFill>
          </w14:textFill>
        </w:rPr>
        <w:t>鼓励采购单位优先采购秸秆环保板材等资源综合利用产品。鼓励采购单位优先采购绿色物流配送服务、提供新能源交通工具的租赁服务。</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3.3支持中小企业发展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符合中小企业划分标准的个体工商户，在政府采购活动中视同中小企业。</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ascii="宋体" w:hAnsi="宋体" w:cs="宋体"/>
          <w:bCs/>
          <w:sz w:val="24"/>
          <w:highlight w:val="none"/>
        </w:rPr>
        <w:t>3.3.2</w:t>
      </w:r>
      <w:r>
        <w:rPr>
          <w:rFonts w:hint="eastAsia" w:ascii="宋体" w:hAnsi="宋体" w:cs="宋体"/>
          <w:kern w:val="0"/>
          <w:sz w:val="24"/>
          <w:highlight w:val="none"/>
        </w:rPr>
        <w:t>在政府采购活动中，</w:t>
      </w:r>
      <w:r>
        <w:rPr>
          <w:rFonts w:hint="eastAsia" w:ascii="宋体" w:hAnsi="宋体" w:cs="宋体"/>
          <w:kern w:val="0"/>
          <w:sz w:val="24"/>
          <w:highlight w:val="none"/>
          <w:lang w:eastAsia="zh-CN"/>
        </w:rPr>
        <w:t>供应商</w:t>
      </w:r>
      <w:r>
        <w:rPr>
          <w:rFonts w:hint="eastAsia" w:ascii="宋体" w:hAnsi="宋体" w:cs="宋体"/>
          <w:kern w:val="0"/>
          <w:sz w:val="24"/>
          <w:highlight w:val="none"/>
        </w:rPr>
        <w:t>提供的货物符合下列情形的，享受中小企业扶持政策：在货物采购项目中，货物由中小企业制造，即货物由中小企业生产且使用该中小企业商号或者注册商标；在货物采购项目中，</w:t>
      </w:r>
      <w:r>
        <w:rPr>
          <w:rFonts w:hint="eastAsia" w:ascii="宋体" w:hAnsi="宋体" w:cs="宋体"/>
          <w:kern w:val="0"/>
          <w:sz w:val="24"/>
          <w:highlight w:val="none"/>
          <w:lang w:eastAsia="zh-CN"/>
        </w:rPr>
        <w:t>供应商</w:t>
      </w:r>
      <w:r>
        <w:rPr>
          <w:rFonts w:hint="eastAsia" w:ascii="宋体" w:hAnsi="宋体" w:cs="宋体"/>
          <w:kern w:val="0"/>
          <w:sz w:val="24"/>
          <w:highlight w:val="none"/>
        </w:rPr>
        <w:t>提供的货物既有中小企业制造货物，也有大型企业制造货物的，不享受中小企业扶持政策。</w:t>
      </w:r>
    </w:p>
    <w:p>
      <w:pPr>
        <w:keepNext w:val="0"/>
        <w:keepLines w:val="0"/>
        <w:pageBreakBefore w:val="0"/>
        <w:widowControl/>
        <w:shd w:val="clear"/>
        <w:kinsoku/>
        <w:wordWrap/>
        <w:overflowPunct/>
        <w:topLinePunct w:val="0"/>
        <w:bidi w:val="0"/>
        <w:spacing w:beforeAutospacing="0" w:line="348" w:lineRule="auto"/>
        <w:ind w:firstLine="480" w:firstLineChars="200"/>
        <w:jc w:val="left"/>
        <w:textAlignment w:val="auto"/>
        <w:outlineLvl w:val="9"/>
        <w:rPr>
          <w:rFonts w:ascii="宋体" w:hAnsi="宋体" w:cs="宋体"/>
          <w:kern w:val="0"/>
          <w:sz w:val="24"/>
          <w:highlight w:val="none"/>
        </w:rPr>
      </w:pPr>
      <w:r>
        <w:rPr>
          <w:rFonts w:hint="eastAsia" w:ascii="宋体" w:hAnsi="宋体" w:cs="宋体"/>
          <w:kern w:val="0"/>
          <w:sz w:val="24"/>
          <w:highlight w:val="none"/>
        </w:rPr>
        <w:t>以联合体形式参加政府采购活动，联合体各方均为中小企业的，联合体视同中小企业。其中，联合体各方均为小微企业的，联合体视同小微企业。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sz w:val="24"/>
          <w:highlight w:val="none"/>
        </w:rPr>
        <w:t>联合协议或者分包意向协议约定小微企业的合同份额占到合同总金额30%以上的</w:t>
      </w:r>
      <w:bookmarkEnd w:id="17"/>
      <w:r>
        <w:rPr>
          <w:rFonts w:hint="eastAsia" w:ascii="宋体" w:hAnsi="宋体" w:cs="宋体"/>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3.3.4符合《关于促进残疾人就业政府采购政策的通知》（财库〔2017〕141号）规定的条件并提供《残疾人福利性单位声明函》（附件1）的残疾人福利性单位视同小型、微型企业；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3.3.6可享受中小企业扶持政策的</w:t>
      </w:r>
      <w:r>
        <w:rPr>
          <w:rFonts w:hint="eastAsia" w:ascii="宋体" w:hAnsi="宋体" w:cs="宋体"/>
          <w:sz w:val="24"/>
          <w:highlight w:val="none"/>
          <w:lang w:eastAsia="zh-CN"/>
        </w:rPr>
        <w:t>供应商</w:t>
      </w:r>
      <w:r>
        <w:rPr>
          <w:rFonts w:hint="eastAsia" w:ascii="宋体" w:hAnsi="宋体" w:cs="宋体"/>
          <w:sz w:val="24"/>
          <w:highlight w:val="none"/>
        </w:rPr>
        <w:t>应按照招标文件格式要求提供《中小企业声明函》，</w:t>
      </w:r>
      <w:r>
        <w:rPr>
          <w:rFonts w:hint="eastAsia" w:ascii="宋体" w:hAnsi="宋体" w:cs="宋体"/>
          <w:sz w:val="24"/>
          <w:highlight w:val="none"/>
          <w:lang w:eastAsia="zh-CN"/>
        </w:rPr>
        <w:t>供应商</w:t>
      </w:r>
      <w:r>
        <w:rPr>
          <w:rFonts w:hint="eastAsia" w:ascii="宋体" w:hAnsi="宋体" w:cs="宋体"/>
          <w:sz w:val="24"/>
          <w:highlight w:val="none"/>
        </w:rPr>
        <w:t>提供的《中小企业声明函》与实际情况不符的，不享受中小企业扶持政策。声明内容不实的，属于提供虚假材料谋取中标、成交的，依法承担法律责任。</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3.3.7中小企业享受扶持政策获得政府采购合同的，小微企业不得将合同分包给大中型企业，中型企业不得将合同分包给大型企业。</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3.4</w:t>
      </w:r>
      <w:r>
        <w:rPr>
          <w:rFonts w:hint="eastAsia" w:ascii="宋体" w:hAnsi="宋体" w:cs="宋体"/>
          <w:bCs/>
          <w:sz w:val="24"/>
          <w:highlight w:val="none"/>
        </w:rPr>
        <w:t>支持创新发展</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3.4.1 采购人优先采购被认定为首台套产品和“制造精品”的自主创新产品。</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3.4.2首台套产品被纳入《首台套产品推广应用指导目录》之日起</w:t>
      </w:r>
      <w:r>
        <w:rPr>
          <w:rFonts w:ascii="宋体" w:hAnsi="宋体" w:cs="宋体"/>
          <w:sz w:val="24"/>
          <w:highlight w:val="none"/>
        </w:rPr>
        <w:t>3</w:t>
      </w:r>
      <w:r>
        <w:rPr>
          <w:rFonts w:hint="eastAsia" w:ascii="宋体" w:hAnsi="宋体" w:cs="宋体"/>
          <w:sz w:val="24"/>
          <w:highlight w:val="none"/>
        </w:rPr>
        <w:t>年内，以及产品核心技术高于国内领先水平，并具有明晰自主知识产权的“制造精品”产品，自认定之日起2年内视同已具备相应销售业绩，参加政府采购活动时业绩分值为满分。</w:t>
      </w:r>
    </w:p>
    <w:p>
      <w:pPr>
        <w:keepNext w:val="0"/>
        <w:keepLines w:val="0"/>
        <w:pageBreakBefore w:val="0"/>
        <w:shd w:val="clear"/>
        <w:kinsoku/>
        <w:wordWrap/>
        <w:overflowPunct/>
        <w:topLinePunct w:val="0"/>
        <w:bidi w:val="0"/>
        <w:spacing w:beforeAutospacing="0" w:line="348" w:lineRule="auto"/>
        <w:ind w:firstLine="240" w:firstLineChars="100"/>
        <w:textAlignment w:val="auto"/>
        <w:outlineLvl w:val="9"/>
        <w:rPr>
          <w:rFonts w:ascii="宋体" w:hAnsi="宋体" w:cs="宋体"/>
          <w:sz w:val="24"/>
          <w:highlight w:val="none"/>
        </w:rPr>
      </w:pPr>
      <w:r>
        <w:rPr>
          <w:rFonts w:hint="eastAsia" w:ascii="宋体" w:hAnsi="宋体" w:cs="宋体"/>
          <w:sz w:val="24"/>
          <w:highlight w:val="none"/>
        </w:rPr>
        <w:t>3.5平等对待内外资企业和符合条件的破产重整企业</w:t>
      </w:r>
    </w:p>
    <w:p>
      <w:pPr>
        <w:keepNext w:val="0"/>
        <w:keepLines w:val="0"/>
        <w:pageBreakBefore w:val="0"/>
        <w:shd w:val="clear"/>
        <w:kinsoku/>
        <w:wordWrap/>
        <w:overflowPunct/>
        <w:topLinePunct w:val="0"/>
        <w:bidi w:val="0"/>
        <w:spacing w:beforeAutospacing="0" w:line="348" w:lineRule="auto"/>
        <w:ind w:firstLine="480" w:firstLineChars="200"/>
        <w:textAlignment w:val="auto"/>
        <w:outlineLvl w:val="9"/>
        <w:rPr>
          <w:b/>
          <w:highlight w:val="none"/>
        </w:rPr>
      </w:pPr>
      <w:r>
        <w:rPr>
          <w:rFonts w:hint="eastAsia" w:ascii="宋体" w:hAnsi="宋体" w:cs="宋体"/>
          <w:sz w:val="24"/>
          <w:highlight w:val="none"/>
        </w:rPr>
        <w:t>平等对待内外资企业和符合条件的破产重整企业，切实保障企业公平竞争，平等维护企业的合法利益。</w:t>
      </w:r>
      <w:r>
        <w:rPr>
          <w:rFonts w:hint="eastAsia" w:ascii="宋体" w:hAnsi="宋体" w:cs="宋体"/>
          <w:sz w:val="24"/>
          <w:highlight w:val="none"/>
        </w:rPr>
        <w:cr/>
      </w:r>
      <w:r>
        <w:rPr>
          <w:rFonts w:hint="eastAsia" w:ascii="宋体" w:hAnsi="宋体" w:eastAsia="宋体" w:cs="宋体"/>
          <w:b/>
          <w:sz w:val="24"/>
          <w:highlight w:val="none"/>
        </w:rPr>
        <w:t>4. 询问、质疑、投诉</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4.1在线询问、质疑、投诉</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lang w:val="zh-CN"/>
        </w:rPr>
      </w:pPr>
      <w:r>
        <w:rPr>
          <w:rFonts w:hint="eastAsia"/>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4.2供应商询问</w:t>
      </w:r>
    </w:p>
    <w:p>
      <w:pPr>
        <w:keepNext w:val="0"/>
        <w:keepLines w:val="0"/>
        <w:pageBreakBefore w:val="0"/>
        <w:shd w:val="clear"/>
        <w:kinsoku/>
        <w:wordWrap/>
        <w:overflowPunct/>
        <w:topLinePunct w:val="0"/>
        <w:autoSpaceDE w:val="0"/>
        <w:autoSpaceDN w:val="0"/>
        <w:bidi w:val="0"/>
        <w:spacing w:beforeAutospacing="0" w:line="348" w:lineRule="auto"/>
        <w:ind w:firstLine="480" w:firstLineChars="2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shd w:val="clear"/>
        <w:kinsoku/>
        <w:wordWrap/>
        <w:overflowPunct/>
        <w:topLinePunct w:val="0"/>
        <w:autoSpaceDE w:val="0"/>
        <w:autoSpaceDN w:val="0"/>
        <w:bidi w:val="0"/>
        <w:spacing w:beforeAutospacing="0" w:line="348" w:lineRule="auto"/>
        <w:ind w:firstLine="240" w:firstLineChars="100"/>
        <w:jc w:val="lef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4.3供应商质疑</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.1提出质疑的供应商应当是参与所质疑项目采购活动的供应商。潜在供应商已依法获取其可质疑的招标文件的，可以对该文件提出质疑。</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highlight w:val="none"/>
        </w:rPr>
      </w:pPr>
      <w:r>
        <w:rPr>
          <w:rFonts w:hint="eastAsia" w:hAnsi="宋体" w:cs="宋体"/>
          <w:kern w:val="0"/>
          <w:sz w:val="24"/>
          <w:highlight w:val="none"/>
          <w:lang w:val="zh-CN"/>
        </w:rPr>
        <w:t>4.3</w:t>
      </w:r>
      <w:r>
        <w:rPr>
          <w:rFonts w:hint="eastAsia" w:hAnsi="宋体" w:cs="宋体"/>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sz w:val="24"/>
          <w:highlight w:val="none"/>
          <w:lang w:eastAsia="zh-CN"/>
        </w:rPr>
        <w:t>采购代理机构</w:t>
      </w:r>
      <w:r>
        <w:rPr>
          <w:rFonts w:hint="eastAsia" w:hAnsi="宋体" w:cs="宋体"/>
          <w:sz w:val="24"/>
          <w:highlight w:val="none"/>
        </w:rPr>
        <w:t>提出质疑，否则，采购人或者</w:t>
      </w:r>
      <w:r>
        <w:rPr>
          <w:rFonts w:hint="eastAsia" w:hAnsi="宋体" w:cs="宋体"/>
          <w:sz w:val="24"/>
          <w:highlight w:val="none"/>
          <w:lang w:eastAsia="zh-CN"/>
        </w:rPr>
        <w:t>采购代理机构</w:t>
      </w:r>
      <w:r>
        <w:rPr>
          <w:rFonts w:hint="eastAsia" w:hAnsi="宋体" w:cs="宋体"/>
          <w:sz w:val="24"/>
          <w:highlight w:val="none"/>
        </w:rPr>
        <w:t>不予受理：</w:t>
      </w:r>
    </w:p>
    <w:p>
      <w:pPr>
        <w:pStyle w:val="7"/>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pPr>
        <w:pStyle w:val="3"/>
        <w:keepNext w:val="0"/>
        <w:keepLines w:val="0"/>
        <w:pageBreakBefore w:val="0"/>
        <w:shd w:val="clear"/>
        <w:kinsoku/>
        <w:wordWrap/>
        <w:overflowPunct/>
        <w:topLinePunct w:val="0"/>
        <w:bidi w:val="0"/>
        <w:spacing w:beforeAutospacing="0" w:line="348" w:lineRule="auto"/>
        <w:ind w:left="479" w:leftChars="228"/>
        <w:textAlignment w:val="auto"/>
        <w:outlineLvl w:val="9"/>
        <w:rPr>
          <w:rFonts w:hAnsi="宋体" w:cs="宋体"/>
          <w:sz w:val="24"/>
          <w:highlight w:val="none"/>
        </w:rPr>
      </w:pPr>
      <w:r>
        <w:rPr>
          <w:rFonts w:hint="eastAsia" w:hAnsi="宋体" w:cs="宋体"/>
          <w:sz w:val="24"/>
          <w:highlight w:val="none"/>
        </w:rPr>
        <w:t>4.3.2.2对采购过程提出质疑的，质疑期限为各采购程序环节结束之日起计算。4.3.2.3对采购结果提出质疑的，质疑期限自采购结果公告期限届满之日起计算。</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4.3.3</w:t>
      </w:r>
      <w:r>
        <w:rPr>
          <w:rFonts w:hint="eastAsia" w:hAnsi="宋体" w:cs="宋体"/>
          <w:sz w:val="24"/>
          <w:highlight w:val="none"/>
        </w:rPr>
        <w:t>供应商提出质疑应当提交质疑函和必要的证明材料。质疑函应当包括下列内容：</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4.3.3.1供应商的姓名或者名称、地址、邮编、联系人及联系电话；</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4.3.3.2质疑项目的名称、编号；</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4.3.3.3具体、明确的质疑事项和与质疑事项相关的请求；</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4.3.3.4事实依据；</w:t>
      </w:r>
    </w:p>
    <w:p>
      <w:pPr>
        <w:pStyle w:val="3"/>
        <w:keepNext w:val="0"/>
        <w:keepLines w:val="0"/>
        <w:pageBreakBefore w:val="0"/>
        <w:shd w:val="clear"/>
        <w:kinsoku/>
        <w:wordWrap/>
        <w:overflowPunct/>
        <w:topLinePunct w:val="0"/>
        <w:bidi w:val="0"/>
        <w:spacing w:beforeAutospacing="0" w:line="348" w:lineRule="auto"/>
        <w:ind w:firstLine="480" w:firstLineChars="200"/>
        <w:textAlignment w:val="auto"/>
        <w:outlineLvl w:val="9"/>
        <w:rPr>
          <w:rFonts w:hAnsi="宋体" w:cs="宋体"/>
          <w:kern w:val="0"/>
          <w:sz w:val="24"/>
          <w:highlight w:val="none"/>
          <w:lang w:val="zh-CN"/>
        </w:rPr>
      </w:pPr>
      <w:r>
        <w:rPr>
          <w:rFonts w:hint="eastAsia" w:hAnsi="宋体" w:cs="宋体"/>
          <w:kern w:val="0"/>
          <w:sz w:val="24"/>
          <w:highlight w:val="none"/>
          <w:lang w:val="zh-CN"/>
        </w:rPr>
        <w:t>　　4.3.3.5必要的法律依据；</w:t>
      </w:r>
    </w:p>
    <w:p>
      <w:pPr>
        <w:pStyle w:val="3"/>
        <w:keepNext w:val="0"/>
        <w:keepLines w:val="0"/>
        <w:pageBreakBefore w:val="0"/>
        <w:shd w:val="clear"/>
        <w:kinsoku/>
        <w:wordWrap/>
        <w:overflowPunct/>
        <w:topLinePunct w:val="0"/>
        <w:bidi w:val="0"/>
        <w:spacing w:beforeAutospacing="0" w:line="348" w:lineRule="auto"/>
        <w:ind w:firstLine="960" w:firstLineChars="400"/>
        <w:textAlignment w:val="auto"/>
        <w:outlineLvl w:val="9"/>
        <w:rPr>
          <w:rFonts w:hAnsi="宋体" w:cs="宋体"/>
          <w:kern w:val="0"/>
          <w:sz w:val="24"/>
          <w:highlight w:val="none"/>
          <w:lang w:val="zh-CN"/>
        </w:rPr>
      </w:pPr>
      <w:r>
        <w:rPr>
          <w:rFonts w:hint="eastAsia" w:hAnsi="宋体" w:cs="宋体"/>
          <w:kern w:val="0"/>
          <w:sz w:val="24"/>
          <w:highlight w:val="none"/>
          <w:lang w:val="zh-CN"/>
        </w:rPr>
        <w:t>4.3.3.6提出质疑的日期。</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供应商提交的质疑函需一式三份。供应商为自然人的，应当由本人签字；供应商为法人或者其他组织的，应当由法定代表人、主要负责人，或者其授权代表签字或者盖章，并加盖公章。</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质疑函范本及制作说明详见附件2。</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4.3.4对同一采购程序环节的质疑，供应商须在法定质疑期内一次性提出。</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4"/>
          <w:highlight w:val="none"/>
        </w:rPr>
        <w:t>根据《</w:t>
      </w:r>
      <w:r>
        <w:rPr>
          <w:rFonts w:hint="eastAsia" w:asciiTheme="minorEastAsia" w:hAnsiTheme="minorEastAsia" w:eastAsiaTheme="minorEastAsia"/>
          <w:color w:val="auto"/>
          <w:sz w:val="24"/>
          <w:highlight w:val="none"/>
          <w:lang w:val="en-US" w:eastAsia="zh-CN"/>
        </w:rPr>
        <w:t>浙江省财政厅</w:t>
      </w:r>
      <w:r>
        <w:rPr>
          <w:rFonts w:hint="eastAsia" w:asciiTheme="minorEastAsia" w:hAnsiTheme="minorEastAsia" w:eastAsiaTheme="minorEastAsia"/>
          <w:color w:val="auto"/>
          <w:sz w:val="24"/>
          <w:highlight w:val="none"/>
        </w:rPr>
        <w:t>关于进一步加强政府采购公</w:t>
      </w:r>
      <w:r>
        <w:rPr>
          <w:rFonts w:hint="eastAsia" w:asciiTheme="minorEastAsia" w:hAnsiTheme="minorEastAsia" w:eastAsiaTheme="minorEastAsia"/>
          <w:color w:val="auto"/>
          <w:sz w:val="24"/>
          <w:highlight w:val="none"/>
          <w:lang w:val="en-US" w:eastAsia="zh-CN"/>
        </w:rPr>
        <w:t>平竞争打造最</w:t>
      </w:r>
      <w:r>
        <w:rPr>
          <w:rFonts w:hint="eastAsia" w:asciiTheme="minorEastAsia" w:hAnsiTheme="minorEastAsia" w:eastAsiaTheme="minorEastAsia"/>
          <w:color w:val="auto"/>
          <w:sz w:val="24"/>
          <w:highlight w:val="none"/>
        </w:rPr>
        <w:t>优营商环境的通知》（</w:t>
      </w:r>
      <w:r>
        <w:rPr>
          <w:rFonts w:hint="eastAsia" w:asciiTheme="minorEastAsia" w:hAnsiTheme="minorEastAsia" w:eastAsiaTheme="minorEastAsia"/>
          <w:color w:val="auto"/>
          <w:sz w:val="24"/>
          <w:highlight w:val="none"/>
          <w:lang w:val="en-US" w:eastAsia="zh-CN"/>
        </w:rPr>
        <w:t>浙</w:t>
      </w:r>
      <w:r>
        <w:rPr>
          <w:rFonts w:hint="eastAsia" w:asciiTheme="minorEastAsia" w:hAnsiTheme="minorEastAsia" w:eastAsiaTheme="minorEastAsia"/>
          <w:color w:val="auto"/>
          <w:sz w:val="24"/>
          <w:highlight w:val="none"/>
        </w:rPr>
        <w:t>财采监〔</w:t>
      </w:r>
      <w:r>
        <w:rPr>
          <w:rFonts w:asciiTheme="minorEastAsia" w:hAnsiTheme="minorEastAsia" w:eastAsiaTheme="minorEastAsia"/>
          <w:color w:val="auto"/>
          <w:sz w:val="24"/>
          <w:highlight w:val="none"/>
        </w:rPr>
        <w:t>2021〕</w:t>
      </w: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号）</w:t>
      </w:r>
      <w:r>
        <w:rPr>
          <w:rFonts w:hint="eastAsia"/>
          <w:color w:val="auto"/>
          <w:highlight w:val="none"/>
        </w:rPr>
        <w:t>,采购人或者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lang w:val="zh-CN"/>
        </w:rPr>
        <w:t>4.3</w:t>
      </w:r>
      <w:r>
        <w:rPr>
          <w:rFonts w:hint="eastAsia"/>
          <w:highlight w:val="none"/>
        </w:rPr>
        <w:t>.6询问或者质疑事项可能影响采购结果的，采购人应当暂停签订合同，已经签订合同的，应当中止履行合同。</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lang w:val="zh-CN"/>
        </w:rPr>
      </w:pPr>
      <w:r>
        <w:rPr>
          <w:rFonts w:hint="eastAsia"/>
          <w:highlight w:val="none"/>
          <w:lang w:val="zh-CN"/>
        </w:rPr>
        <w:t>4.4供应商投诉</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4.4.1质疑供应商对采购人、</w:t>
      </w:r>
      <w:r>
        <w:rPr>
          <w:rFonts w:hint="eastAsia"/>
          <w:highlight w:val="none"/>
          <w:lang w:eastAsia="zh-CN"/>
        </w:rPr>
        <w:t>采购代理机构</w:t>
      </w:r>
      <w:r>
        <w:rPr>
          <w:rFonts w:hint="eastAsia"/>
          <w:highlight w:val="none"/>
        </w:rPr>
        <w:t>的答复不满意或者采购人、</w:t>
      </w:r>
      <w:r>
        <w:rPr>
          <w:rFonts w:hint="eastAsia"/>
          <w:highlight w:val="none"/>
          <w:lang w:eastAsia="zh-CN"/>
        </w:rPr>
        <w:t>采购代理机构</w:t>
      </w:r>
      <w:r>
        <w:rPr>
          <w:rFonts w:hint="eastAsia"/>
          <w:highlight w:val="none"/>
        </w:rPr>
        <w:t>未在规定的时间内作出答复的，可以在答复期满后十五个工作日内向同级政府采购监督管理部门提出投诉。</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w:t>
      </w:r>
      <w:r>
        <w:rPr>
          <w:rFonts w:hint="eastAsia"/>
          <w:highlight w:val="none"/>
          <w:lang w:val="zh-CN"/>
        </w:rPr>
        <w:t>2</w:t>
      </w:r>
      <w:r>
        <w:rPr>
          <w:rFonts w:hint="eastAsia"/>
          <w:highlight w:val="none"/>
        </w:rPr>
        <w:t>供应商投诉的事项不得超出已质疑事项的范围，基于质疑答复内容提出的投诉事项除外。</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4.4.3供应商投诉应当有明确的请求和必要的证明材料。</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4.4.4以联合体形式参加政府采购活动的，其投诉应当由组成联合体的所有供应商共同提出。</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80" w:firstLineChars="200"/>
        <w:contextualSpacing/>
        <w:textAlignment w:val="auto"/>
        <w:outlineLvl w:val="9"/>
        <w:rPr>
          <w:highlight w:val="none"/>
        </w:rPr>
      </w:pPr>
      <w:r>
        <w:rPr>
          <w:rFonts w:hint="eastAsia"/>
          <w:highlight w:val="none"/>
        </w:rPr>
        <w:t>4.4.5投诉材料</w:t>
      </w:r>
      <w:r>
        <w:rPr>
          <w:rFonts w:hint="eastAsia" w:ascii="宋体" w:hAnsi="Courier New"/>
          <w:sz w:val="24"/>
          <w:szCs w:val="24"/>
          <w:highlight w:val="none"/>
        </w:rPr>
        <w:t>寄送</w:t>
      </w:r>
      <w:r>
        <w:rPr>
          <w:rFonts w:hint="eastAsia"/>
          <w:sz w:val="24"/>
          <w:szCs w:val="24"/>
          <w:highlight w:val="none"/>
          <w:lang w:val="en-US" w:eastAsia="zh-CN"/>
        </w:rPr>
        <w:t>相关信息详见《第一部分  招标公告》。</w:t>
      </w:r>
    </w:p>
    <w:p>
      <w:pPr>
        <w:pStyle w:val="888"/>
        <w:keepNext w:val="0"/>
        <w:keepLines w:val="0"/>
        <w:pageBreakBefore w:val="0"/>
        <w:shd w:val="clear" w:color="auto"/>
        <w:kinsoku/>
        <w:wordWrap/>
        <w:overflowPunct/>
        <w:topLinePunct w:val="0"/>
        <w:bidi w:val="0"/>
        <w:snapToGrid w:val="0"/>
        <w:spacing w:before="0" w:beforeAutospacing="0" w:after="0" w:afterAutospacing="0" w:line="348" w:lineRule="auto"/>
        <w:ind w:firstLine="400"/>
        <w:contextualSpacing/>
        <w:textAlignment w:val="auto"/>
        <w:outlineLvl w:val="9"/>
        <w:rPr>
          <w:highlight w:val="none"/>
        </w:rPr>
      </w:pPr>
      <w:r>
        <w:rPr>
          <w:rFonts w:hint="eastAsia"/>
          <w:highlight w:val="none"/>
        </w:rPr>
        <w:t>投诉书范本及制作说明详见附件3。</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2"/>
          <w:szCs w:val="20"/>
          <w:highlight w:val="none"/>
        </w:rPr>
      </w:pPr>
      <w:r>
        <w:rPr>
          <w:rFonts w:hint="eastAsia" w:ascii="宋体" w:hAnsi="宋体" w:cs="宋体"/>
          <w:b/>
          <w:sz w:val="32"/>
          <w:szCs w:val="20"/>
          <w:highlight w:val="none"/>
        </w:rPr>
        <w:t>二、招标文件的构成、澄清、修改</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5．招标文件的构成</w:t>
      </w:r>
    </w:p>
    <w:p>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5.1 招标文件包括下列文件及附件：</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5.1.1招标公告；</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5.1.2</w:t>
      </w:r>
      <w:r>
        <w:rPr>
          <w:rFonts w:hint="eastAsia" w:hAnsi="宋体" w:cs="宋体"/>
          <w:sz w:val="24"/>
          <w:szCs w:val="24"/>
          <w:highlight w:val="none"/>
          <w:lang w:eastAsia="zh-CN"/>
        </w:rPr>
        <w:t>供应商</w:t>
      </w:r>
      <w:r>
        <w:rPr>
          <w:rFonts w:hint="eastAsia" w:hAnsi="宋体" w:cs="宋体"/>
          <w:sz w:val="24"/>
          <w:szCs w:val="24"/>
          <w:highlight w:val="none"/>
        </w:rPr>
        <w:t>须知；</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5.1.3采购需求；</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5.1.4评标办法；</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szCs w:val="24"/>
          <w:highlight w:val="none"/>
        </w:rPr>
        <w:t>5.1.5拟签订的合同文本；</w:t>
      </w:r>
    </w:p>
    <w:p>
      <w:pPr>
        <w:pStyle w:val="3"/>
        <w:pageBreakBefore w:val="0"/>
        <w:shd w:val="clear"/>
        <w:tabs>
          <w:tab w:val="left" w:pos="840"/>
        </w:tabs>
        <w:kinsoku/>
        <w:wordWrap/>
        <w:overflowPunct/>
        <w:topLinePunct w:val="0"/>
        <w:bidi w:val="0"/>
        <w:spacing w:beforeAutospacing="0" w:line="348" w:lineRule="auto"/>
        <w:ind w:firstLine="960" w:firstLineChars="400"/>
        <w:textAlignment w:val="auto"/>
        <w:outlineLvl w:val="9"/>
        <w:rPr>
          <w:rFonts w:hAnsi="宋体" w:cs="宋体"/>
          <w:sz w:val="24"/>
          <w:szCs w:val="24"/>
          <w:highlight w:val="none"/>
        </w:rPr>
      </w:pPr>
      <w:r>
        <w:rPr>
          <w:rFonts w:hint="eastAsia" w:hAnsi="宋体" w:cs="宋体"/>
          <w:sz w:val="24"/>
          <w:highlight w:val="none"/>
        </w:rPr>
        <w:t>5.1.6</w:t>
      </w:r>
      <w:r>
        <w:rPr>
          <w:rFonts w:hint="eastAsia" w:hAnsi="宋体" w:cs="宋体"/>
          <w:sz w:val="24"/>
          <w:szCs w:val="24"/>
          <w:highlight w:val="none"/>
        </w:rPr>
        <w:t>应提交的有关格式范例。</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5.2与本项目有关的</w:t>
      </w:r>
      <w:r>
        <w:rPr>
          <w:rFonts w:hint="eastAsia" w:ascii="宋体" w:hAnsi="宋体" w:cs="宋体"/>
          <w:bCs/>
          <w:sz w:val="24"/>
          <w:highlight w:val="none"/>
        </w:rPr>
        <w:t>澄清或者修改的内容为招标文件的组成部分</w:t>
      </w:r>
      <w:r>
        <w:rPr>
          <w:rFonts w:hint="eastAsia" w:ascii="宋体" w:hAnsi="宋体" w:cs="宋体"/>
          <w:sz w:val="24"/>
          <w:highlight w:val="none"/>
        </w:rPr>
        <w:t>。</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6.招标文件的澄清、修改</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6.1已获取招标文件的潜在</w:t>
      </w:r>
      <w:r>
        <w:rPr>
          <w:rFonts w:hint="eastAsia" w:ascii="宋体" w:hAnsi="宋体" w:cs="宋体"/>
          <w:highlight w:val="none"/>
          <w:lang w:eastAsia="zh-CN"/>
        </w:rPr>
        <w:t>供应商</w:t>
      </w:r>
      <w:r>
        <w:rPr>
          <w:rFonts w:hint="eastAsia" w:ascii="宋体" w:hAnsi="宋体" w:cs="宋体"/>
          <w:highlight w:val="none"/>
        </w:rPr>
        <w:t>，若有问题需要澄清，应于投标截止时间前，以书面形式向</w:t>
      </w:r>
      <w:r>
        <w:rPr>
          <w:rFonts w:hint="eastAsia" w:ascii="宋体" w:hAnsi="宋体" w:cs="宋体"/>
          <w:highlight w:val="none"/>
          <w:lang w:eastAsia="zh-CN"/>
        </w:rPr>
        <w:t>采购代理机构</w:t>
      </w:r>
      <w:r>
        <w:rPr>
          <w:rFonts w:hint="eastAsia" w:ascii="宋体" w:hAnsi="宋体" w:cs="宋体"/>
          <w:highlight w:val="none"/>
        </w:rPr>
        <w:t>提出。</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6.2</w:t>
      </w:r>
      <w:r>
        <w:rPr>
          <w:rFonts w:hint="eastAsia" w:ascii="宋体" w:hAnsi="宋体" w:cs="宋体"/>
          <w:highlight w:val="none"/>
          <w:lang w:eastAsia="zh-CN"/>
        </w:rPr>
        <w:t>采购代理机构</w:t>
      </w:r>
      <w:r>
        <w:rPr>
          <w:rFonts w:hint="eastAsia" w:ascii="宋体" w:hAnsi="宋体" w:cs="宋体"/>
          <w:highlight w:val="none"/>
        </w:rPr>
        <w:t>对招标文件进行澄清或修改的，将同时通过电子交易平台通知已获取招标文件的潜在</w:t>
      </w:r>
      <w:r>
        <w:rPr>
          <w:rFonts w:hint="eastAsia" w:ascii="宋体" w:hAnsi="宋体" w:cs="宋体"/>
          <w:highlight w:val="none"/>
          <w:lang w:eastAsia="zh-CN"/>
        </w:rPr>
        <w:t>供应商</w:t>
      </w:r>
      <w:r>
        <w:rPr>
          <w:rFonts w:hint="eastAsia" w:ascii="宋体" w:hAnsi="宋体" w:cs="宋体"/>
          <w:highlight w:val="none"/>
        </w:rPr>
        <w:t>。依法应当公告的，将按规定公告，同时视情况延长投标截止时间和开标时间。该澄清或者修改的内容为招标文件的组成部分。</w:t>
      </w:r>
    </w:p>
    <w:p>
      <w:pPr>
        <w:pageBreakBefore w:val="0"/>
        <w:shd w:val="clear"/>
        <w:kinsoku/>
        <w:wordWrap/>
        <w:overflowPunct/>
        <w:topLinePunct w:val="0"/>
        <w:bidi w:val="0"/>
        <w:adjustRightInd/>
        <w:spacing w:beforeAutospacing="0" w:line="348" w:lineRule="auto"/>
        <w:jc w:val="center"/>
        <w:textAlignment w:val="auto"/>
        <w:outlineLvl w:val="9"/>
        <w:rPr>
          <w:rFonts w:ascii="宋体" w:hAnsi="宋体" w:cs="宋体"/>
          <w:b/>
          <w:sz w:val="30"/>
          <w:szCs w:val="20"/>
          <w:highlight w:val="none"/>
        </w:rPr>
      </w:pPr>
      <w:r>
        <w:rPr>
          <w:rFonts w:hint="eastAsia" w:ascii="宋体" w:hAnsi="宋体" w:cs="宋体"/>
          <w:b/>
          <w:sz w:val="30"/>
          <w:szCs w:val="20"/>
          <w:highlight w:val="none"/>
        </w:rPr>
        <w:t>三、投标</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7.招标文件的获取</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snapToGrid w:val="0"/>
          <w:kern w:val="28"/>
          <w:sz w:val="24"/>
          <w:highlight w:val="none"/>
        </w:rPr>
      </w:pPr>
      <w:r>
        <w:rPr>
          <w:rFonts w:hint="eastAsia" w:ascii="宋体" w:hAnsi="宋体" w:cs="宋体"/>
          <w:snapToGrid w:val="0"/>
          <w:kern w:val="28"/>
          <w:sz w:val="24"/>
          <w:highlight w:val="none"/>
        </w:rPr>
        <w:t>详见招标公告中获取招标文件的时间期限、地点、方式及招标文件售价。</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8.开标前答疑会或现场考察</w:t>
      </w:r>
    </w:p>
    <w:p>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采购人组织潜在</w:t>
      </w:r>
      <w:r>
        <w:rPr>
          <w:rFonts w:hint="eastAsia" w:hAnsi="宋体" w:cs="宋体"/>
          <w:sz w:val="24"/>
          <w:szCs w:val="24"/>
          <w:highlight w:val="none"/>
          <w:lang w:eastAsia="zh-CN"/>
        </w:rPr>
        <w:t>供应商</w:t>
      </w:r>
      <w:r>
        <w:rPr>
          <w:rFonts w:hint="eastAsia" w:hAnsi="宋体" w:cs="宋体"/>
          <w:sz w:val="24"/>
          <w:szCs w:val="24"/>
          <w:highlight w:val="none"/>
        </w:rPr>
        <w:t>现场考察或者召开开标前答疑会的，潜在</w:t>
      </w:r>
      <w:r>
        <w:rPr>
          <w:rFonts w:hint="eastAsia" w:hAnsi="宋体" w:cs="宋体"/>
          <w:sz w:val="24"/>
          <w:szCs w:val="24"/>
          <w:highlight w:val="none"/>
          <w:lang w:eastAsia="zh-CN"/>
        </w:rPr>
        <w:t>供应商</w:t>
      </w:r>
      <w:r>
        <w:rPr>
          <w:rFonts w:hint="eastAsia" w:hAnsi="宋体" w:cs="宋体"/>
          <w:sz w:val="24"/>
          <w:szCs w:val="24"/>
          <w:highlight w:val="none"/>
        </w:rPr>
        <w:t>按第二部分</w:t>
      </w:r>
      <w:r>
        <w:rPr>
          <w:rFonts w:hint="eastAsia" w:hAnsi="宋体" w:cs="宋体"/>
          <w:sz w:val="24"/>
          <w:szCs w:val="24"/>
          <w:highlight w:val="none"/>
          <w:lang w:eastAsia="zh-CN"/>
        </w:rPr>
        <w:t>供应商</w:t>
      </w:r>
      <w:r>
        <w:rPr>
          <w:rFonts w:hint="eastAsia" w:hAnsi="宋体" w:cs="宋体"/>
          <w:sz w:val="24"/>
          <w:szCs w:val="24"/>
          <w:highlight w:val="none"/>
        </w:rPr>
        <w:t>须知前附表的规定参加现场考察或者开标前答疑会。</w:t>
      </w:r>
    </w:p>
    <w:p>
      <w:pPr>
        <w:pStyle w:val="3"/>
        <w:pageBreakBefore w:val="0"/>
        <w:shd w:val="clear"/>
        <w:kinsoku/>
        <w:wordWrap/>
        <w:overflowPunct/>
        <w:topLinePunct w:val="0"/>
        <w:bidi w:val="0"/>
        <w:spacing w:beforeAutospacing="0" w:line="348" w:lineRule="auto"/>
        <w:textAlignment w:val="auto"/>
        <w:outlineLvl w:val="9"/>
        <w:rPr>
          <w:rFonts w:hAnsi="宋体" w:cs="宋体"/>
          <w:b/>
          <w:szCs w:val="24"/>
          <w:highlight w:val="none"/>
        </w:rPr>
      </w:pPr>
      <w:r>
        <w:rPr>
          <w:rFonts w:hint="eastAsia" w:hAnsi="宋体" w:cs="宋体"/>
          <w:b/>
          <w:kern w:val="28"/>
          <w:sz w:val="24"/>
          <w:szCs w:val="24"/>
          <w:highlight w:val="none"/>
        </w:rPr>
        <w:t>9.投标保证金</w:t>
      </w:r>
    </w:p>
    <w:p>
      <w:pPr>
        <w:pStyle w:val="7"/>
        <w:pageBreakBefore w:val="0"/>
        <w:shd w:val="clear"/>
        <w:kinsoku/>
        <w:wordWrap/>
        <w:overflowPunct/>
        <w:topLinePunct w:val="0"/>
        <w:bidi w:val="0"/>
        <w:spacing w:beforeAutospacing="0" w:line="348" w:lineRule="auto"/>
        <w:ind w:firstLine="470" w:firstLineChars="196"/>
        <w:textAlignment w:val="auto"/>
        <w:outlineLvl w:val="9"/>
        <w:rPr>
          <w:rFonts w:hAnsi="宋体" w:cs="宋体"/>
          <w:color w:val="auto"/>
          <w:sz w:val="24"/>
          <w:highlight w:val="none"/>
        </w:rPr>
      </w:pPr>
      <w:r>
        <w:rPr>
          <w:rFonts w:hint="eastAsia" w:hAnsi="宋体" w:cs="宋体"/>
          <w:color w:val="auto"/>
          <w:sz w:val="24"/>
          <w:highlight w:val="none"/>
        </w:rPr>
        <w:t>本项目不需缴纳投标保证金。</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10. 投标文件的语言</w:t>
      </w:r>
    </w:p>
    <w:p>
      <w:pPr>
        <w:pageBreakBefore w:val="0"/>
        <w:shd w:val="clear"/>
        <w:kinsoku/>
        <w:wordWrap/>
        <w:overflowPunct/>
        <w:topLinePunct w:val="0"/>
        <w:autoSpaceDE w:val="0"/>
        <w:autoSpaceDN w:val="0"/>
        <w:bidi w:val="0"/>
        <w:spacing w:beforeAutospacing="0" w:line="348" w:lineRule="auto"/>
        <w:ind w:firstLine="480" w:firstLineChars="200"/>
        <w:textAlignment w:val="auto"/>
        <w:outlineLvl w:val="9"/>
        <w:rPr>
          <w:rFonts w:ascii="宋体" w:hAnsi="宋体" w:cs="宋体"/>
          <w:sz w:val="24"/>
          <w:highlight w:val="none"/>
          <w:lang w:val="zh-CN"/>
        </w:rPr>
      </w:pPr>
      <w:r>
        <w:rPr>
          <w:rFonts w:hint="eastAsia" w:ascii="宋体" w:hAnsi="宋体" w:cs="宋体"/>
          <w:sz w:val="24"/>
          <w:highlight w:val="none"/>
        </w:rPr>
        <w:t>投标文件及</w:t>
      </w:r>
      <w:r>
        <w:rPr>
          <w:rFonts w:hint="eastAsia" w:ascii="宋体" w:hAnsi="宋体" w:cs="宋体"/>
          <w:sz w:val="24"/>
          <w:highlight w:val="none"/>
          <w:lang w:eastAsia="zh-CN"/>
        </w:rPr>
        <w:t>供应商</w:t>
      </w:r>
      <w:r>
        <w:rPr>
          <w:rFonts w:hint="eastAsia" w:ascii="宋体" w:hAnsi="宋体" w:cs="宋体"/>
          <w:sz w:val="24"/>
          <w:highlight w:val="none"/>
        </w:rPr>
        <w:t>与采购有关的来往通知、函件和文件均应使用中文。</w:t>
      </w:r>
    </w:p>
    <w:p>
      <w:pPr>
        <w:pStyle w:val="3"/>
        <w:pageBreakBefore w:val="0"/>
        <w:shd w:val="clear"/>
        <w:kinsoku/>
        <w:wordWrap/>
        <w:overflowPunct/>
        <w:topLinePunct w:val="0"/>
        <w:bidi w:val="0"/>
        <w:spacing w:beforeAutospacing="0" w:line="348" w:lineRule="auto"/>
        <w:textAlignment w:val="auto"/>
        <w:outlineLvl w:val="9"/>
        <w:rPr>
          <w:rFonts w:hAnsi="宋体" w:cs="宋体"/>
          <w:b/>
          <w:sz w:val="24"/>
          <w:szCs w:val="24"/>
          <w:highlight w:val="none"/>
        </w:rPr>
      </w:pPr>
      <w:r>
        <w:rPr>
          <w:rFonts w:hint="eastAsia" w:hAnsi="宋体" w:cs="宋体"/>
          <w:b/>
          <w:sz w:val="24"/>
          <w:szCs w:val="24"/>
          <w:highlight w:val="none"/>
        </w:rPr>
        <w:t>11. 投标文件的组成</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rPr>
      </w:pPr>
      <w:r>
        <w:rPr>
          <w:rFonts w:hint="eastAsia" w:ascii="宋体" w:hAnsi="宋体" w:cs="宋体"/>
          <w:b/>
          <w:bCs/>
          <w:sz w:val="24"/>
          <w:highlight w:val="none"/>
        </w:rPr>
        <w:t>11.1资格文件：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11.1.1符合参加政府采购活动应当具备的一般条件的承诺函；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lang w:val="zh-CN"/>
        </w:rPr>
      </w:pPr>
      <w:r>
        <w:rPr>
          <w:rFonts w:hint="eastAsia" w:ascii="宋体" w:hAnsi="宋体" w:cs="宋体"/>
          <w:b/>
          <w:bCs/>
          <w:sz w:val="24"/>
          <w:highlight w:val="none"/>
          <w:lang w:val="zh-CN"/>
        </w:rPr>
        <w:t>11.</w:t>
      </w:r>
      <w:r>
        <w:rPr>
          <w:rFonts w:hint="eastAsia" w:ascii="宋体" w:hAnsi="宋体" w:cs="宋体"/>
          <w:b/>
          <w:bCs/>
          <w:sz w:val="24"/>
          <w:highlight w:val="none"/>
        </w:rPr>
        <w:t>2商务技术</w:t>
      </w:r>
      <w:r>
        <w:rPr>
          <w:rFonts w:hint="eastAsia" w:ascii="宋体" w:hAnsi="宋体" w:cs="宋体"/>
          <w:b/>
          <w:bCs/>
          <w:sz w:val="24"/>
          <w:highlight w:val="none"/>
          <w:lang w:val="zh-CN"/>
        </w:rPr>
        <w:t>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11.2.1投标函；</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11.2.2授权委托书或法定代表人（单位负责人、自然人本人）身份证明；</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4</w:t>
      </w:r>
      <w:r>
        <w:rPr>
          <w:rFonts w:hint="eastAsia" w:ascii="宋体" w:hAnsi="宋体" w:cs="宋体"/>
          <w:sz w:val="24"/>
          <w:highlight w:val="none"/>
        </w:rPr>
        <w:t>符合性审查资料；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5</w:t>
      </w:r>
      <w:r>
        <w:rPr>
          <w:rFonts w:hint="eastAsia" w:ascii="宋体" w:hAnsi="宋体" w:cs="宋体"/>
          <w:sz w:val="24"/>
          <w:highlight w:val="none"/>
        </w:rPr>
        <w:t>评标标准相应的商务技术资料；</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11.2.</w:t>
      </w:r>
      <w:r>
        <w:rPr>
          <w:rFonts w:ascii="宋体" w:hAnsi="宋体" w:cs="宋体"/>
          <w:sz w:val="24"/>
          <w:highlight w:val="none"/>
        </w:rPr>
        <w:t>6</w:t>
      </w:r>
      <w:r>
        <w:rPr>
          <w:rFonts w:hint="eastAsia" w:ascii="宋体" w:hAnsi="宋体" w:cs="宋体"/>
          <w:sz w:val="24"/>
          <w:highlight w:val="none"/>
        </w:rPr>
        <w:t>商务技术偏离表；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lang w:val="zh-CN"/>
        </w:rPr>
      </w:pPr>
      <w:r>
        <w:rPr>
          <w:rFonts w:hint="eastAsia" w:ascii="宋体" w:hAnsi="宋体" w:cs="宋体"/>
          <w:sz w:val="24"/>
          <w:highlight w:val="none"/>
          <w:lang w:val="zh-CN"/>
        </w:rPr>
        <w:t>11.</w:t>
      </w:r>
      <w:r>
        <w:rPr>
          <w:rFonts w:hint="eastAsia" w:ascii="宋体" w:hAnsi="宋体" w:cs="宋体"/>
          <w:sz w:val="24"/>
          <w:highlight w:val="none"/>
        </w:rPr>
        <w:t>2</w:t>
      </w: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p>
    <w:p>
      <w:pPr>
        <w:pageBreakBefore w:val="0"/>
        <w:shd w:val="clear"/>
        <w:kinsoku/>
        <w:wordWrap/>
        <w:overflowPunct/>
        <w:topLinePunct w:val="0"/>
        <w:bidi w:val="0"/>
        <w:snapToGrid w:val="0"/>
        <w:spacing w:beforeAutospacing="0" w:line="348" w:lineRule="auto"/>
        <w:ind w:firstLine="482" w:firstLineChars="200"/>
        <w:textAlignment w:val="auto"/>
        <w:outlineLvl w:val="9"/>
        <w:rPr>
          <w:rFonts w:ascii="宋体" w:hAnsi="宋体" w:cs="宋体"/>
          <w:b/>
          <w:bCs/>
          <w:sz w:val="24"/>
          <w:highlight w:val="none"/>
          <w:u w:val="single"/>
          <w:lang w:val="zh-CN"/>
        </w:rPr>
      </w:pPr>
      <w:r>
        <w:rPr>
          <w:rFonts w:hint="eastAsia" w:ascii="宋体" w:hAnsi="宋体" w:cs="宋体"/>
          <w:b/>
          <w:bCs/>
          <w:kern w:val="0"/>
          <w:sz w:val="24"/>
          <w:highlight w:val="none"/>
          <w:lang w:val="zh-CN"/>
        </w:rPr>
        <w:t>11.</w:t>
      </w:r>
      <w:r>
        <w:rPr>
          <w:rFonts w:hint="eastAsia" w:ascii="宋体" w:hAnsi="宋体" w:cs="宋体"/>
          <w:b/>
          <w:bCs/>
          <w:kern w:val="0"/>
          <w:sz w:val="24"/>
          <w:highlight w:val="none"/>
        </w:rPr>
        <w:t>3</w:t>
      </w:r>
      <w:r>
        <w:rPr>
          <w:rFonts w:hint="eastAsia" w:ascii="宋体" w:hAnsi="宋体" w:cs="宋体"/>
          <w:b/>
          <w:bCs/>
          <w:sz w:val="24"/>
          <w:highlight w:val="none"/>
        </w:rPr>
        <w:t>报价文件：</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sz w:val="24"/>
          <w:highlight w:val="none"/>
        </w:rPr>
      </w:pPr>
      <w:r>
        <w:rPr>
          <w:rFonts w:hint="eastAsia" w:ascii="宋体" w:hAnsi="宋体" w:cs="宋体"/>
          <w:sz w:val="24"/>
          <w:highlight w:val="none"/>
        </w:rPr>
        <w:t>11.3.1开标一览表（报价表）；</w:t>
      </w:r>
    </w:p>
    <w:p>
      <w:pPr>
        <w:pageBreakBefore w:val="0"/>
        <w:shd w:val="clear"/>
        <w:kinsoku/>
        <w:wordWrap/>
        <w:overflowPunct/>
        <w:topLinePunct w:val="0"/>
        <w:bidi w:val="0"/>
        <w:snapToGrid w:val="0"/>
        <w:spacing w:beforeAutospacing="0" w:line="348" w:lineRule="auto"/>
        <w:ind w:firstLine="960" w:firstLineChars="400"/>
        <w:textAlignment w:val="auto"/>
        <w:outlineLvl w:val="9"/>
        <w:rPr>
          <w:rFonts w:ascii="宋体" w:hAnsi="宋体" w:cs="宋体"/>
          <w:color w:val="auto"/>
          <w:sz w:val="24"/>
          <w:highlight w:val="none"/>
        </w:rPr>
      </w:pPr>
      <w:r>
        <w:rPr>
          <w:rFonts w:hint="eastAsia" w:ascii="宋体" w:hAnsi="宋体" w:cs="宋体"/>
          <w:color w:val="auto"/>
          <w:sz w:val="24"/>
          <w:highlight w:val="none"/>
        </w:rPr>
        <w:t>11.3.2中小企业声明函。</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highlight w:val="none"/>
        </w:rPr>
      </w:pPr>
      <w:r>
        <w:rPr>
          <w:rFonts w:hint="eastAsia" w:ascii="宋体" w:hAnsi="宋体" w:cs="宋体"/>
          <w:b/>
          <w:sz w:val="24"/>
          <w:highlight w:val="none"/>
        </w:rPr>
        <w:t>投标文件含有采购人不能接受的附加条件的，投标无效；</w:t>
      </w:r>
    </w:p>
    <w:p>
      <w:pPr>
        <w:pageBreakBefore w:val="0"/>
        <w:shd w:val="clear"/>
        <w:kinsoku/>
        <w:wordWrap/>
        <w:overflowPunct/>
        <w:topLinePunct w:val="0"/>
        <w:bidi w:val="0"/>
        <w:spacing w:beforeAutospacing="0" w:line="348" w:lineRule="auto"/>
        <w:ind w:firstLine="723" w:firstLineChars="300"/>
        <w:textAlignment w:val="auto"/>
        <w:outlineLvl w:val="9"/>
        <w:rPr>
          <w:rFonts w:ascii="宋体" w:hAnsi="宋体" w:cs="宋体"/>
          <w:b/>
          <w:sz w:val="24"/>
          <w:szCs w:val="21"/>
          <w:highlight w:val="none"/>
        </w:rPr>
      </w:pPr>
      <w:r>
        <w:rPr>
          <w:rFonts w:hint="eastAsia" w:ascii="宋体" w:hAnsi="宋体" w:cs="宋体"/>
          <w:b/>
          <w:sz w:val="24"/>
          <w:highlight w:val="none"/>
          <w:lang w:eastAsia="zh-CN"/>
        </w:rPr>
        <w:t>供应商</w:t>
      </w:r>
      <w:r>
        <w:rPr>
          <w:rFonts w:hint="eastAsia" w:ascii="宋体" w:hAnsi="宋体" w:cs="宋体"/>
          <w:b/>
          <w:sz w:val="24"/>
          <w:highlight w:val="none"/>
        </w:rPr>
        <w:t>提供虚假材料投标的，投标无效。</w:t>
      </w:r>
    </w:p>
    <w:p>
      <w:pPr>
        <w:pStyle w:val="134"/>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12</w:t>
      </w:r>
      <w:r>
        <w:rPr>
          <w:rFonts w:hint="eastAsia" w:ascii="宋体" w:hAnsi="宋体" w:cs="宋体"/>
          <w:b/>
          <w:kern w:val="0"/>
          <w:szCs w:val="24"/>
          <w:highlight w:val="none"/>
          <w:lang w:val="zh-CN"/>
        </w:rPr>
        <w:t xml:space="preserve">. </w:t>
      </w:r>
      <w:r>
        <w:rPr>
          <w:rFonts w:hint="eastAsia" w:ascii="宋体" w:hAnsi="宋体" w:cs="宋体"/>
          <w:b/>
          <w:szCs w:val="24"/>
          <w:highlight w:val="none"/>
        </w:rPr>
        <w:t>投标文件的编制</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highlight w:val="none"/>
        </w:rPr>
      </w:pPr>
      <w:r>
        <w:rPr>
          <w:rFonts w:hint="eastAsia" w:ascii="宋体" w:hAnsi="宋体" w:cs="宋体"/>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12.3使用“政采云电子交易客户端”需要提前申领CA数字证书，申领流程请自行前往“浙江政府采购网-下载专区-电子交易客户端-CA驱动和申领流程”进行查阅。</w:t>
      </w:r>
    </w:p>
    <w:p>
      <w:pPr>
        <w:pageBreakBefore w:val="0"/>
        <w:shd w:val="clear"/>
        <w:kinsoku/>
        <w:wordWrap/>
        <w:overflowPunct/>
        <w:topLinePunct w:val="0"/>
        <w:bidi w:val="0"/>
        <w:snapToGrid w:val="0"/>
        <w:spacing w:beforeAutospacing="0" w:line="348" w:lineRule="auto"/>
        <w:textAlignment w:val="auto"/>
        <w:outlineLvl w:val="9"/>
        <w:rPr>
          <w:rFonts w:ascii="宋体" w:hAnsi="宋体" w:cs="宋体"/>
          <w:b/>
          <w:sz w:val="24"/>
          <w:highlight w:val="none"/>
        </w:rPr>
      </w:pPr>
      <w:r>
        <w:rPr>
          <w:rFonts w:hint="eastAsia" w:ascii="宋体" w:hAnsi="宋体" w:cs="宋体"/>
          <w:b/>
          <w:sz w:val="24"/>
          <w:highlight w:val="none"/>
        </w:rPr>
        <w:t>13.投标文件的签署、盖章</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b/>
          <w:highlight w:val="none"/>
        </w:rPr>
      </w:pPr>
      <w:r>
        <w:rPr>
          <w:rFonts w:hint="eastAsia" w:ascii="宋体" w:hAnsi="宋体" w:cs="宋体"/>
          <w:szCs w:val="24"/>
          <w:highlight w:val="none"/>
        </w:rPr>
        <w:t>13.1投标文件按照招标文件第六部分格式要</w:t>
      </w:r>
      <w:r>
        <w:rPr>
          <w:rFonts w:hint="eastAsia" w:ascii="宋体" w:hAnsi="宋体" w:cs="宋体"/>
          <w:highlight w:val="none"/>
        </w:rPr>
        <w:t>求进行签署、盖章。</w:t>
      </w:r>
      <w:r>
        <w:rPr>
          <w:rFonts w:hint="eastAsia" w:ascii="宋体" w:hAnsi="宋体" w:cs="宋体"/>
          <w:b/>
          <w:highlight w:val="none"/>
          <w:lang w:eastAsia="zh-CN"/>
        </w:rPr>
        <w:t>★供应商</w:t>
      </w:r>
      <w:r>
        <w:rPr>
          <w:rFonts w:hint="eastAsia" w:ascii="宋体" w:hAnsi="宋体" w:cs="宋体"/>
          <w:b/>
          <w:highlight w:val="none"/>
        </w:rPr>
        <w:t>的投标文件未按照招标文件要求签署、盖章的，其投标无效</w:t>
      </w:r>
      <w:r>
        <w:rPr>
          <w:rFonts w:hint="eastAsia" w:ascii="宋体" w:hAnsi="宋体" w:cs="宋体"/>
          <w:szCs w:val="24"/>
          <w:highlight w:val="none"/>
        </w:rPr>
        <w:t>。</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13.2为确保网上操作合法、有效和安全，</w:t>
      </w:r>
      <w:r>
        <w:rPr>
          <w:rFonts w:hint="eastAsia" w:ascii="宋体" w:hAnsi="宋体" w:cs="宋体"/>
          <w:highlight w:val="none"/>
          <w:lang w:eastAsia="zh-CN"/>
        </w:rPr>
        <w:t>供应商</w:t>
      </w:r>
      <w:r>
        <w:rPr>
          <w:rFonts w:hint="eastAsia" w:ascii="宋体" w:hAnsi="宋体" w:cs="宋体"/>
          <w:highlight w:val="none"/>
        </w:rPr>
        <w:t>应当在投标截止时间前完成在“政府采购云平台”的身份认证，确保在电子投标过程中能够对相关数据电文进行加密和使用电子签名。</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highlight w:val="none"/>
        </w:rPr>
        <w:t>13.3招标文件对投标文件签署、盖章的要求适用于电子签名。</w:t>
      </w:r>
    </w:p>
    <w:p>
      <w:pPr>
        <w:pStyle w:val="134"/>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14. 投标文件的提交、补充、修改、撤回</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szCs w:val="24"/>
          <w:highlight w:val="none"/>
        </w:rPr>
      </w:pPr>
      <w:r>
        <w:rPr>
          <w:rFonts w:hint="eastAsia" w:ascii="宋体" w:hAnsi="宋体" w:cs="宋体"/>
          <w:szCs w:val="24"/>
          <w:highlight w:val="none"/>
        </w:rPr>
        <w:t>14.3采购人、</w:t>
      </w:r>
      <w:r>
        <w:rPr>
          <w:rFonts w:hint="eastAsia" w:ascii="宋体" w:hAnsi="宋体" w:cs="宋体"/>
          <w:szCs w:val="24"/>
          <w:highlight w:val="none"/>
          <w:lang w:eastAsia="zh-CN"/>
        </w:rPr>
        <w:t>采购代理机构</w:t>
      </w:r>
      <w:r>
        <w:rPr>
          <w:rFonts w:hint="eastAsia" w:ascii="宋体" w:hAnsi="宋体" w:cs="宋体"/>
          <w:szCs w:val="24"/>
          <w:highlight w:val="none"/>
        </w:rPr>
        <w:t>可以视情况延长投标文件提交的截止时间。在上述情况下，</w:t>
      </w:r>
      <w:r>
        <w:rPr>
          <w:rFonts w:hint="eastAsia" w:ascii="宋体" w:hAnsi="宋体" w:cs="宋体"/>
          <w:szCs w:val="24"/>
          <w:highlight w:val="none"/>
          <w:lang w:eastAsia="zh-CN"/>
        </w:rPr>
        <w:t>采购代理机构</w:t>
      </w:r>
      <w:r>
        <w:rPr>
          <w:rFonts w:hint="eastAsia" w:ascii="宋体" w:hAnsi="宋体" w:cs="宋体"/>
          <w:szCs w:val="24"/>
          <w:highlight w:val="none"/>
        </w:rPr>
        <w:t>与</w:t>
      </w:r>
      <w:r>
        <w:rPr>
          <w:rFonts w:hint="eastAsia" w:ascii="宋体" w:hAnsi="宋体" w:cs="宋体"/>
          <w:szCs w:val="24"/>
          <w:highlight w:val="none"/>
          <w:lang w:eastAsia="zh-CN"/>
        </w:rPr>
        <w:t>供应商</w:t>
      </w:r>
      <w:r>
        <w:rPr>
          <w:rFonts w:hint="eastAsia" w:ascii="宋体" w:hAnsi="宋体" w:cs="宋体"/>
          <w:szCs w:val="24"/>
          <w:highlight w:val="none"/>
        </w:rPr>
        <w:t>以前在投标截止期方面的全部权利、责任和义务，将适用于延长至新的投标截止期。</w:t>
      </w:r>
    </w:p>
    <w:p>
      <w:pPr>
        <w:pStyle w:val="3"/>
        <w:pageBreakBefore w:val="0"/>
        <w:shd w:val="clear"/>
        <w:kinsoku/>
        <w:wordWrap/>
        <w:overflowPunct/>
        <w:topLinePunct w:val="0"/>
        <w:bidi w:val="0"/>
        <w:spacing w:beforeAutospacing="0" w:line="348" w:lineRule="auto"/>
        <w:textAlignment w:val="auto"/>
        <w:outlineLvl w:val="9"/>
        <w:rPr>
          <w:rFonts w:hint="eastAsia" w:hAnsi="宋体" w:eastAsia="宋体" w:cs="宋体"/>
          <w:b/>
          <w:sz w:val="24"/>
          <w:szCs w:val="24"/>
          <w:highlight w:val="none"/>
          <w:lang w:eastAsia="zh-CN"/>
        </w:rPr>
      </w:pPr>
      <w:r>
        <w:rPr>
          <w:rFonts w:hint="eastAsia" w:hAnsi="宋体" w:cs="宋体"/>
          <w:b/>
          <w:sz w:val="24"/>
          <w:szCs w:val="24"/>
          <w:highlight w:val="none"/>
        </w:rPr>
        <w:t>15.备份投标文件</w:t>
      </w:r>
      <w:r>
        <w:rPr>
          <w:rFonts w:hint="eastAsia" w:hAnsi="宋体" w:cs="宋体"/>
          <w:b/>
          <w:sz w:val="24"/>
          <w:szCs w:val="24"/>
          <w:highlight w:val="none"/>
          <w:lang w:eastAsia="zh-CN"/>
        </w:rPr>
        <w:t>（文件后缀为：bfbs）</w:t>
      </w:r>
    </w:p>
    <w:p>
      <w:pPr>
        <w:pStyle w:val="3"/>
        <w:pageBreakBefore w:val="0"/>
        <w:shd w:val="clear"/>
        <w:kinsoku/>
        <w:wordWrap/>
        <w:overflowPunct/>
        <w:topLinePunct w:val="0"/>
        <w:bidi w:val="0"/>
        <w:spacing w:beforeAutospacing="0" w:line="348" w:lineRule="auto"/>
        <w:ind w:firstLine="360" w:firstLineChars="150"/>
        <w:textAlignment w:val="auto"/>
        <w:outlineLvl w:val="9"/>
        <w:rPr>
          <w:rFonts w:hAnsi="宋体" w:cs="宋体"/>
          <w:b/>
          <w:sz w:val="24"/>
          <w:szCs w:val="24"/>
          <w:highlight w:val="none"/>
        </w:rPr>
      </w:pPr>
      <w:r>
        <w:rPr>
          <w:rFonts w:hint="eastAsia" w:hAnsi="宋体" w:cs="宋体"/>
          <w:sz w:val="24"/>
          <w:szCs w:val="24"/>
          <w:highlight w:val="none"/>
        </w:rPr>
        <w:t>15.1</w:t>
      </w:r>
      <w:r>
        <w:rPr>
          <w:rFonts w:hint="eastAsia" w:hAnsi="宋体" w:cs="宋体"/>
          <w:sz w:val="24"/>
          <w:szCs w:val="24"/>
          <w:highlight w:val="none"/>
          <w:lang w:eastAsia="zh-CN"/>
        </w:rPr>
        <w:t>供应商</w:t>
      </w:r>
      <w:r>
        <w:rPr>
          <w:rFonts w:hint="eastAsia" w:hAnsi="宋体" w:cs="宋体"/>
          <w:sz w:val="24"/>
          <w:szCs w:val="24"/>
          <w:highlight w:val="none"/>
        </w:rPr>
        <w:t>在电子交易平台传输递交投标文件后，还可以在投标截止时间前直接提交或者以邮政快递方式递交备份投标文件1份，</w:t>
      </w:r>
      <w:r>
        <w:rPr>
          <w:rFonts w:hint="eastAsia" w:hAnsi="宋体" w:cs="宋体"/>
          <w:b/>
          <w:sz w:val="24"/>
          <w:szCs w:val="24"/>
          <w:highlight w:val="none"/>
        </w:rPr>
        <w:t>但采购人、</w:t>
      </w:r>
      <w:r>
        <w:rPr>
          <w:rFonts w:hint="eastAsia" w:hAnsi="宋体" w:cs="宋体"/>
          <w:b/>
          <w:sz w:val="24"/>
          <w:szCs w:val="24"/>
          <w:highlight w:val="none"/>
          <w:lang w:eastAsia="zh-CN"/>
        </w:rPr>
        <w:t>采购代理机构</w:t>
      </w:r>
      <w:r>
        <w:rPr>
          <w:rFonts w:hint="eastAsia" w:hAnsi="宋体" w:cs="宋体"/>
          <w:b/>
          <w:sz w:val="24"/>
          <w:szCs w:val="24"/>
          <w:highlight w:val="none"/>
        </w:rPr>
        <w:t>不强制或变相强制</w:t>
      </w:r>
      <w:r>
        <w:rPr>
          <w:rFonts w:hint="eastAsia" w:hAnsi="宋体" w:cs="宋体"/>
          <w:b/>
          <w:sz w:val="24"/>
          <w:szCs w:val="24"/>
          <w:highlight w:val="none"/>
          <w:lang w:eastAsia="zh-CN"/>
        </w:rPr>
        <w:t>供应商</w:t>
      </w:r>
      <w:r>
        <w:rPr>
          <w:rFonts w:hint="eastAsia" w:hAnsi="宋体" w:cs="宋体"/>
          <w:b/>
          <w:sz w:val="24"/>
          <w:szCs w:val="24"/>
          <w:highlight w:val="none"/>
        </w:rPr>
        <w:t>提交备份投标文件。</w:t>
      </w:r>
    </w:p>
    <w:p>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b/>
          <w:sz w:val="24"/>
          <w:szCs w:val="24"/>
          <w:highlight w:val="none"/>
        </w:rPr>
      </w:pPr>
      <w:r>
        <w:rPr>
          <w:rFonts w:hint="eastAsia" w:hAnsi="宋体" w:cs="宋体"/>
          <w:sz w:val="24"/>
          <w:szCs w:val="24"/>
          <w:highlight w:val="none"/>
        </w:rPr>
        <w:t>15.2备份投标文件须在“政采云投标客户端”制作生成，并储存在</w:t>
      </w:r>
      <w:r>
        <w:rPr>
          <w:rFonts w:hint="eastAsia" w:hAnsi="宋体" w:cs="宋体"/>
          <w:sz w:val="24"/>
          <w:highlight w:val="none"/>
          <w:lang w:val="en-US" w:eastAsia="zh-CN"/>
        </w:rPr>
        <w:t>U盘</w:t>
      </w:r>
      <w:r>
        <w:rPr>
          <w:rFonts w:hint="eastAsia" w:hAnsi="宋体" w:cs="宋体"/>
          <w:sz w:val="24"/>
          <w:szCs w:val="24"/>
          <w:highlight w:val="none"/>
        </w:rPr>
        <w:t>中。备份投标文件应当密封包装并在包装上加盖公章并注明投标项目名称，</w:t>
      </w:r>
      <w:r>
        <w:rPr>
          <w:rFonts w:hint="eastAsia" w:hAnsi="宋体" w:cs="宋体"/>
          <w:sz w:val="24"/>
          <w:szCs w:val="24"/>
          <w:highlight w:val="none"/>
          <w:lang w:eastAsia="zh-CN"/>
        </w:rPr>
        <w:t>供应商</w:t>
      </w:r>
      <w:r>
        <w:rPr>
          <w:rFonts w:hint="eastAsia" w:hAnsi="宋体" w:cs="宋体"/>
          <w:sz w:val="24"/>
          <w:szCs w:val="24"/>
          <w:highlight w:val="none"/>
        </w:rPr>
        <w:t>名称(联合体投标的，包装物封面需注明联合体投标，并注明联合体成员各方的名称和联合协议中约定的牵头人的名称)。</w:t>
      </w:r>
      <w:r>
        <w:rPr>
          <w:rFonts w:hint="eastAsia" w:hAnsi="宋体" w:cs="宋体"/>
          <w:b/>
          <w:sz w:val="24"/>
          <w:highlight w:val="none"/>
        </w:rPr>
        <w:t>不符合上述制作、</w:t>
      </w:r>
      <w:r>
        <w:rPr>
          <w:rFonts w:hint="eastAsia" w:hAnsi="宋体" w:cs="宋体"/>
          <w:b/>
          <w:sz w:val="24"/>
          <w:szCs w:val="24"/>
          <w:highlight w:val="none"/>
        </w:rPr>
        <w:t>存储、密封规定的备份投标文件将被视为无效或者被拒绝接收。</w:t>
      </w:r>
    </w:p>
    <w:p>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15.3直接提交备份投标文件的，</w:t>
      </w:r>
      <w:r>
        <w:rPr>
          <w:rFonts w:hint="eastAsia" w:hAnsi="宋体" w:cs="宋体"/>
          <w:sz w:val="24"/>
          <w:szCs w:val="24"/>
          <w:highlight w:val="none"/>
          <w:lang w:eastAsia="zh-CN"/>
        </w:rPr>
        <w:t>供应商</w:t>
      </w:r>
      <w:r>
        <w:rPr>
          <w:rFonts w:hint="eastAsia" w:hAnsi="宋体" w:cs="宋体"/>
          <w:sz w:val="24"/>
          <w:szCs w:val="24"/>
          <w:highlight w:val="none"/>
        </w:rPr>
        <w:t>应于投标截止时间前在招标公告中载明的开标地点将备份投标文件提交给</w:t>
      </w:r>
      <w:r>
        <w:rPr>
          <w:rFonts w:hint="eastAsia" w:hAnsi="宋体" w:cs="宋体"/>
          <w:sz w:val="24"/>
          <w:szCs w:val="24"/>
          <w:highlight w:val="none"/>
          <w:lang w:eastAsia="zh-CN"/>
        </w:rPr>
        <w:t>采购代理机构</w:t>
      </w:r>
      <w:r>
        <w:rPr>
          <w:rFonts w:hint="eastAsia" w:hAnsi="宋体" w:cs="宋体"/>
          <w:sz w:val="24"/>
          <w:szCs w:val="24"/>
          <w:highlight w:val="none"/>
        </w:rPr>
        <w:t>，</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w:t>
      </w:r>
    </w:p>
    <w:p>
      <w:pPr>
        <w:pStyle w:val="3"/>
        <w:pageBreakBefore w:val="0"/>
        <w:shd w:val="clear"/>
        <w:kinsoku/>
        <w:wordWrap/>
        <w:overflowPunct/>
        <w:topLinePunct w:val="0"/>
        <w:bidi w:val="0"/>
        <w:spacing w:beforeAutospacing="0" w:line="348" w:lineRule="auto"/>
        <w:ind w:firstLine="480" w:firstLineChars="200"/>
        <w:textAlignment w:val="auto"/>
        <w:outlineLvl w:val="9"/>
        <w:rPr>
          <w:rFonts w:hAnsi="宋体" w:cs="宋体"/>
          <w:sz w:val="24"/>
          <w:szCs w:val="24"/>
          <w:highlight w:val="none"/>
        </w:rPr>
      </w:pPr>
      <w:r>
        <w:rPr>
          <w:rFonts w:hint="eastAsia" w:hAnsi="宋体" w:cs="宋体"/>
          <w:sz w:val="24"/>
          <w:szCs w:val="24"/>
          <w:highlight w:val="none"/>
        </w:rPr>
        <w:t>15.4以邮政快递方式递交备份投标文件的，</w:t>
      </w:r>
      <w:r>
        <w:rPr>
          <w:rFonts w:hint="eastAsia" w:hAnsi="宋体" w:cs="宋体"/>
          <w:sz w:val="24"/>
          <w:szCs w:val="24"/>
          <w:highlight w:val="none"/>
          <w:lang w:eastAsia="zh-CN"/>
        </w:rPr>
        <w:t>供应商</w:t>
      </w:r>
      <w:r>
        <w:rPr>
          <w:rFonts w:hint="eastAsia" w:hAnsi="宋体" w:cs="宋体"/>
          <w:sz w:val="24"/>
          <w:szCs w:val="24"/>
          <w:highlight w:val="none"/>
        </w:rPr>
        <w:t>应先将备份投标文件按要求密封和标记，再进行邮政快递包装后邮寄。备份投标文件须在投标截止时间之前送达</w:t>
      </w:r>
      <w:r>
        <w:rPr>
          <w:rFonts w:hint="eastAsia" w:hAnsi="宋体" w:cs="宋体"/>
          <w:snapToGrid/>
          <w:sz w:val="24"/>
          <w:szCs w:val="24"/>
          <w:highlight w:val="none"/>
        </w:rPr>
        <w:t>招标文件第二部分</w:t>
      </w:r>
      <w:r>
        <w:rPr>
          <w:rFonts w:hint="eastAsia" w:hAnsi="宋体" w:cs="宋体"/>
          <w:snapToGrid/>
          <w:sz w:val="24"/>
          <w:szCs w:val="24"/>
          <w:highlight w:val="none"/>
          <w:lang w:eastAsia="zh-CN"/>
        </w:rPr>
        <w:t>供应商</w:t>
      </w:r>
      <w:r>
        <w:rPr>
          <w:rFonts w:hint="eastAsia" w:hAnsi="宋体" w:cs="宋体"/>
          <w:snapToGrid/>
          <w:sz w:val="24"/>
          <w:szCs w:val="24"/>
          <w:highlight w:val="none"/>
        </w:rPr>
        <w:t>须知前附表规定的备份投标文件送达地点；</w:t>
      </w:r>
      <w:r>
        <w:rPr>
          <w:rFonts w:hint="eastAsia" w:hAnsi="宋体" w:cs="宋体"/>
          <w:sz w:val="24"/>
          <w:szCs w:val="24"/>
          <w:highlight w:val="none"/>
        </w:rPr>
        <w:t>送达时间以签收人签收时间为准。</w:t>
      </w:r>
      <w:r>
        <w:rPr>
          <w:rFonts w:hint="eastAsia" w:hAnsi="宋体" w:cs="宋体"/>
          <w:sz w:val="24"/>
          <w:szCs w:val="24"/>
          <w:highlight w:val="none"/>
          <w:lang w:eastAsia="zh-CN"/>
        </w:rPr>
        <w:t>采购代理机构</w:t>
      </w:r>
      <w:r>
        <w:rPr>
          <w:rFonts w:hint="eastAsia" w:hAnsi="宋体" w:cs="宋体"/>
          <w:sz w:val="24"/>
          <w:szCs w:val="24"/>
          <w:highlight w:val="none"/>
        </w:rPr>
        <w:t>将拒绝接受逾期送达的备份投标文件。邮寄过程中，电子备份投标文件发生泄露、遗失、损坏或延期送达等情况的，由</w:t>
      </w:r>
      <w:r>
        <w:rPr>
          <w:rFonts w:hint="eastAsia" w:hAnsi="宋体" w:cs="宋体"/>
          <w:sz w:val="24"/>
          <w:szCs w:val="24"/>
          <w:highlight w:val="none"/>
          <w:lang w:eastAsia="zh-CN"/>
        </w:rPr>
        <w:t>供应商</w:t>
      </w:r>
      <w:r>
        <w:rPr>
          <w:rFonts w:hint="eastAsia" w:hAnsi="宋体" w:cs="宋体"/>
          <w:sz w:val="24"/>
          <w:szCs w:val="24"/>
          <w:highlight w:val="none"/>
        </w:rPr>
        <w:t>自行负责。</w:t>
      </w:r>
    </w:p>
    <w:p>
      <w:pPr>
        <w:pStyle w:val="3"/>
        <w:pageBreakBefore w:val="0"/>
        <w:shd w:val="clear"/>
        <w:kinsoku/>
        <w:wordWrap/>
        <w:overflowPunct/>
        <w:topLinePunct w:val="0"/>
        <w:bidi w:val="0"/>
        <w:spacing w:beforeAutospacing="0" w:line="348" w:lineRule="auto"/>
        <w:ind w:firstLine="479" w:firstLineChars="199"/>
        <w:textAlignment w:val="auto"/>
        <w:outlineLvl w:val="9"/>
        <w:rPr>
          <w:rFonts w:hAnsi="宋体" w:cs="宋体"/>
          <w:b/>
          <w:sz w:val="24"/>
          <w:szCs w:val="24"/>
          <w:highlight w:val="none"/>
        </w:rPr>
      </w:pPr>
      <w:r>
        <w:rPr>
          <w:rFonts w:hint="eastAsia" w:hAnsi="宋体" w:cs="宋体"/>
          <w:b/>
          <w:sz w:val="24"/>
          <w:szCs w:val="24"/>
          <w:highlight w:val="none"/>
        </w:rPr>
        <w:t>15.5</w:t>
      </w:r>
      <w:r>
        <w:rPr>
          <w:rFonts w:hint="eastAsia" w:hAnsi="宋体" w:cs="宋体"/>
          <w:b/>
          <w:sz w:val="24"/>
          <w:szCs w:val="24"/>
          <w:highlight w:val="none"/>
          <w:lang w:eastAsia="zh-CN"/>
        </w:rPr>
        <w:t>供应商</w:t>
      </w:r>
      <w:r>
        <w:rPr>
          <w:rFonts w:hint="eastAsia" w:hAnsi="宋体" w:cs="宋体"/>
          <w:b/>
          <w:sz w:val="24"/>
          <w:szCs w:val="24"/>
          <w:highlight w:val="none"/>
        </w:rPr>
        <w:t>仅提交备份投标文件，未在电子交易平台传输递交投标文件的，投标无效。</w:t>
      </w:r>
    </w:p>
    <w:p>
      <w:pPr>
        <w:pStyle w:val="134"/>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16.投标文件的无效处理</w:t>
      </w:r>
    </w:p>
    <w:p>
      <w:pPr>
        <w:pStyle w:val="26"/>
        <w:pageBreakBefore w:val="0"/>
        <w:shd w:val="clear"/>
        <w:kinsoku/>
        <w:wordWrap/>
        <w:overflowPunct/>
        <w:topLinePunct w:val="0"/>
        <w:bidi w:val="0"/>
        <w:spacing w:beforeAutospacing="0" w:line="348" w:lineRule="auto"/>
        <w:ind w:firstLine="360" w:firstLineChars="150"/>
        <w:textAlignment w:val="auto"/>
        <w:outlineLvl w:val="9"/>
        <w:rPr>
          <w:rFonts w:cs="宋体"/>
          <w:szCs w:val="21"/>
          <w:highlight w:val="none"/>
        </w:rPr>
      </w:pPr>
      <w:r>
        <w:rPr>
          <w:rFonts w:hint="eastAsia" w:cs="宋体"/>
          <w:szCs w:val="21"/>
          <w:highlight w:val="none"/>
        </w:rPr>
        <w:t>有招标文件第四部分</w:t>
      </w:r>
      <w:r>
        <w:rPr>
          <w:rFonts w:cs="宋体"/>
          <w:highlight w:val="none"/>
        </w:rPr>
        <w:t>4.2规定</w:t>
      </w:r>
      <w:r>
        <w:rPr>
          <w:rFonts w:hint="eastAsia" w:cs="宋体"/>
          <w:szCs w:val="21"/>
          <w:highlight w:val="none"/>
        </w:rPr>
        <w:t>的情形之一的，投标无效：</w:t>
      </w:r>
    </w:p>
    <w:p>
      <w:pPr>
        <w:pStyle w:val="134"/>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17.投标有效期</w:t>
      </w:r>
    </w:p>
    <w:p>
      <w:pPr>
        <w:pageBreakBefore w:val="0"/>
        <w:shd w:val="clear"/>
        <w:kinsoku/>
        <w:wordWrap/>
        <w:overflowPunct/>
        <w:topLinePunct w:val="0"/>
        <w:bidi w:val="0"/>
        <w:spacing w:beforeAutospacing="0" w:line="348" w:lineRule="auto"/>
        <w:ind w:firstLine="480" w:firstLineChars="200"/>
        <w:textAlignment w:val="auto"/>
        <w:outlineLvl w:val="9"/>
        <w:rPr>
          <w:rFonts w:ascii="宋体" w:hAnsi="宋体" w:cs="宋体"/>
          <w:b/>
          <w:sz w:val="24"/>
          <w:szCs w:val="21"/>
          <w:highlight w:val="none"/>
        </w:rPr>
      </w:pPr>
      <w:r>
        <w:rPr>
          <w:rFonts w:hint="eastAsia" w:ascii="宋体" w:hAnsi="宋体" w:cs="宋体"/>
          <w:sz w:val="24"/>
          <w:szCs w:val="20"/>
          <w:highlight w:val="none"/>
        </w:rPr>
        <w:t>17.1投标有效期为从提交投标文件的截止之日起90天。</w:t>
      </w:r>
      <w:r>
        <w:rPr>
          <w:rFonts w:hint="eastAsia" w:ascii="宋体" w:hAnsi="宋体" w:cs="宋体"/>
          <w:sz w:val="24"/>
          <w:szCs w:val="20"/>
          <w:highlight w:val="none"/>
          <w:lang w:eastAsia="zh-CN"/>
        </w:rPr>
        <w:t>★</w:t>
      </w:r>
      <w:r>
        <w:rPr>
          <w:rFonts w:hint="eastAsia" w:ascii="宋体" w:hAnsi="宋体" w:cs="宋体"/>
          <w:b/>
          <w:sz w:val="24"/>
          <w:szCs w:val="20"/>
          <w:highlight w:val="none"/>
          <w:lang w:eastAsia="zh-CN"/>
        </w:rPr>
        <w:t>供应商</w:t>
      </w:r>
      <w:r>
        <w:rPr>
          <w:rFonts w:hint="eastAsia" w:ascii="宋体" w:hAnsi="宋体" w:cs="宋体"/>
          <w:b/>
          <w:sz w:val="24"/>
          <w:szCs w:val="20"/>
          <w:highlight w:val="none"/>
        </w:rPr>
        <w:t>的投标文件中承</w:t>
      </w:r>
      <w:r>
        <w:rPr>
          <w:rFonts w:hint="eastAsia" w:ascii="宋体" w:hAnsi="宋体" w:cs="宋体"/>
          <w:b/>
          <w:sz w:val="24"/>
          <w:szCs w:val="21"/>
          <w:highlight w:val="none"/>
        </w:rPr>
        <w:t>诺的投标有效期少于招标文件中载明的投标有效期的，投标无效。</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17.2投标文件合格投递后，自投标截止日期起，在投标有效期内有效。</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17.3在原定投标有效期满之前，如果出现特殊情况，</w:t>
      </w:r>
      <w:r>
        <w:rPr>
          <w:rFonts w:hint="eastAsia" w:ascii="宋体" w:hAnsi="宋体" w:cs="宋体"/>
          <w:highlight w:val="none"/>
          <w:lang w:eastAsia="zh-CN"/>
        </w:rPr>
        <w:t>采购代理机构</w:t>
      </w:r>
      <w:r>
        <w:rPr>
          <w:rFonts w:hint="eastAsia" w:ascii="宋体" w:hAnsi="宋体" w:cs="宋体"/>
          <w:highlight w:val="none"/>
        </w:rPr>
        <w:t>可以以书面形式通知</w:t>
      </w:r>
      <w:r>
        <w:rPr>
          <w:rFonts w:hint="eastAsia" w:ascii="宋体" w:hAnsi="宋体" w:cs="宋体"/>
          <w:highlight w:val="none"/>
          <w:lang w:eastAsia="zh-CN"/>
        </w:rPr>
        <w:t>供应商</w:t>
      </w:r>
      <w:r>
        <w:rPr>
          <w:rFonts w:hint="eastAsia" w:ascii="宋体" w:hAnsi="宋体" w:cs="宋体"/>
          <w:highlight w:val="none"/>
        </w:rPr>
        <w:t>延长投标有效期。</w:t>
      </w:r>
      <w:r>
        <w:rPr>
          <w:rFonts w:hint="eastAsia" w:ascii="宋体" w:hAnsi="宋体" w:cs="宋体"/>
          <w:highlight w:val="none"/>
          <w:lang w:eastAsia="zh-CN"/>
        </w:rPr>
        <w:t>供应商</w:t>
      </w:r>
      <w:r>
        <w:rPr>
          <w:rFonts w:hint="eastAsia" w:ascii="宋体" w:hAnsi="宋体" w:cs="宋体"/>
          <w:highlight w:val="none"/>
        </w:rPr>
        <w:t>同意延长的，不得要求或被允许修改其投标文件，</w:t>
      </w:r>
      <w:r>
        <w:rPr>
          <w:rFonts w:hint="eastAsia" w:ascii="宋体" w:hAnsi="宋体" w:cs="宋体"/>
          <w:highlight w:val="none"/>
          <w:lang w:eastAsia="zh-CN"/>
        </w:rPr>
        <w:t>供应商</w:t>
      </w:r>
      <w:r>
        <w:rPr>
          <w:rFonts w:hint="eastAsia" w:ascii="宋体" w:hAnsi="宋体" w:cs="宋体"/>
          <w:highlight w:val="none"/>
        </w:rPr>
        <w:t>拒绝延长的，其投标无效。</w:t>
      </w:r>
    </w:p>
    <w:p>
      <w:pPr>
        <w:pStyle w:val="134"/>
        <w:pageBreakBefore w:val="0"/>
        <w:shd w:val="clear"/>
        <w:kinsoku/>
        <w:wordWrap/>
        <w:overflowPunct/>
        <w:topLinePunct w:val="0"/>
        <w:bidi w:val="0"/>
        <w:spacing w:before="0" w:beforeAutospacing="0" w:line="348" w:lineRule="auto"/>
        <w:ind w:firstLine="1928" w:firstLineChars="600"/>
        <w:textAlignment w:val="auto"/>
        <w:outlineLvl w:val="9"/>
        <w:rPr>
          <w:rFonts w:ascii="宋体" w:hAnsi="宋体" w:cs="宋体"/>
          <w:b/>
          <w:sz w:val="32"/>
          <w:highlight w:val="none"/>
        </w:rPr>
      </w:pPr>
      <w:r>
        <w:rPr>
          <w:rFonts w:hint="eastAsia" w:ascii="宋体" w:hAnsi="宋体" w:cs="宋体"/>
          <w:b/>
          <w:sz w:val="32"/>
          <w:highlight w:val="none"/>
        </w:rPr>
        <w:t>四、开标、资格审查与信用信息查询</w:t>
      </w:r>
    </w:p>
    <w:p>
      <w:pPr>
        <w:pStyle w:val="556"/>
        <w:pageBreakBefore w:val="0"/>
        <w:shd w:val="clear"/>
        <w:kinsoku/>
        <w:wordWrap/>
        <w:overflowPunct/>
        <w:topLinePunct w:val="0"/>
        <w:bidi w:val="0"/>
        <w:spacing w:before="0" w:beforeAutospacing="0" w:line="348" w:lineRule="auto"/>
        <w:ind w:left="0" w:firstLine="241" w:firstLineChars="100"/>
        <w:contextualSpacing/>
        <w:textAlignment w:val="auto"/>
        <w:outlineLvl w:val="9"/>
        <w:rPr>
          <w:rFonts w:ascii="宋体" w:hAnsi="宋体" w:cs="宋体"/>
          <w:sz w:val="24"/>
          <w:highlight w:val="none"/>
        </w:rPr>
      </w:pPr>
      <w:r>
        <w:rPr>
          <w:rFonts w:hint="eastAsia" w:ascii="宋体" w:hAnsi="宋体" w:cs="宋体"/>
          <w:b/>
          <w:sz w:val="24"/>
          <w:szCs w:val="24"/>
          <w:highlight w:val="none"/>
        </w:rPr>
        <w:t>18.开标</w:t>
      </w:r>
      <w:r>
        <w:rPr>
          <w:rFonts w:hint="eastAsia" w:ascii="宋体" w:hAnsi="宋体" w:cs="宋体"/>
          <w:sz w:val="24"/>
          <w:highlight w:val="none"/>
        </w:rPr>
        <w:t xml:space="preserve"> </w:t>
      </w:r>
    </w:p>
    <w:p>
      <w:pPr>
        <w:pStyle w:val="556"/>
        <w:pageBreakBefore w:val="0"/>
        <w:shd w:val="clear"/>
        <w:kinsoku/>
        <w:wordWrap/>
        <w:overflowPunct/>
        <w:topLinePunct w:val="0"/>
        <w:bidi w:val="0"/>
        <w:spacing w:before="0" w:beforeAutospacing="0" w:line="348" w:lineRule="auto"/>
        <w:ind w:left="0" w:firstLine="480" w:firstLineChars="200"/>
        <w:contextualSpacing/>
        <w:textAlignment w:val="auto"/>
        <w:outlineLvl w:val="9"/>
        <w:rPr>
          <w:rFonts w:ascii="宋体" w:hAnsi="宋体" w:cs="宋体"/>
          <w:sz w:val="24"/>
          <w:highlight w:val="none"/>
        </w:rPr>
      </w:pPr>
      <w:r>
        <w:rPr>
          <w:rFonts w:hint="eastAsia" w:ascii="宋体" w:hAnsi="宋体" w:cs="宋体"/>
          <w:sz w:val="24"/>
          <w:highlight w:val="none"/>
        </w:rPr>
        <w:t>18.1</w:t>
      </w:r>
      <w:r>
        <w:rPr>
          <w:rFonts w:hint="eastAsia" w:ascii="宋体" w:hAnsi="宋体" w:cs="宋体"/>
          <w:sz w:val="24"/>
          <w:highlight w:val="none"/>
          <w:lang w:eastAsia="zh-CN"/>
        </w:rPr>
        <w:t>采购代理机构</w:t>
      </w:r>
      <w:r>
        <w:rPr>
          <w:rFonts w:hint="eastAsia" w:ascii="宋体" w:hAnsi="宋体" w:cs="宋体"/>
          <w:sz w:val="24"/>
          <w:highlight w:val="none"/>
        </w:rPr>
        <w:t>按照招标文件规定的时间通过电子交易平台组织开标，所有</w:t>
      </w:r>
      <w:r>
        <w:rPr>
          <w:rFonts w:hint="eastAsia" w:ascii="宋体" w:hAnsi="宋体" w:cs="宋体"/>
          <w:sz w:val="24"/>
          <w:highlight w:val="none"/>
          <w:lang w:eastAsia="zh-CN"/>
        </w:rPr>
        <w:t>供应商</w:t>
      </w:r>
      <w:r>
        <w:rPr>
          <w:rFonts w:hint="eastAsia" w:ascii="宋体" w:hAnsi="宋体" w:cs="宋体"/>
          <w:sz w:val="24"/>
          <w:highlight w:val="none"/>
        </w:rPr>
        <w:t>均应当准时在线参加。</w:t>
      </w:r>
      <w:r>
        <w:rPr>
          <w:rFonts w:hint="eastAsia" w:ascii="宋体" w:hAnsi="宋体" w:cs="宋体"/>
          <w:sz w:val="24"/>
          <w:highlight w:val="none"/>
          <w:lang w:eastAsia="zh-CN"/>
        </w:rPr>
        <w:t>供应商</w:t>
      </w:r>
      <w:r>
        <w:rPr>
          <w:rFonts w:hint="eastAsia" w:ascii="宋体" w:hAnsi="宋体" w:cs="宋体"/>
          <w:sz w:val="24"/>
          <w:highlight w:val="none"/>
        </w:rPr>
        <w:t>不足3家的，不得开标。</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sz w:val="24"/>
          <w:highlight w:val="none"/>
        </w:rPr>
      </w:pPr>
      <w:r>
        <w:rPr>
          <w:rFonts w:hint="eastAsia" w:ascii="宋体" w:hAnsi="宋体" w:cs="宋体"/>
          <w:sz w:val="24"/>
          <w:highlight w:val="none"/>
        </w:rPr>
        <w:t>　18.2开标时，电子交易平台按开标时间自动提取所有投标文件。</w:t>
      </w:r>
      <w:r>
        <w:rPr>
          <w:rFonts w:hint="eastAsia" w:ascii="宋体" w:hAnsi="宋体" w:cs="宋体"/>
          <w:sz w:val="24"/>
          <w:highlight w:val="none"/>
          <w:lang w:eastAsia="zh-CN"/>
        </w:rPr>
        <w:t>采购代理机构</w:t>
      </w:r>
      <w:r>
        <w:rPr>
          <w:rFonts w:hint="eastAsia" w:ascii="宋体" w:hAnsi="宋体" w:cs="宋体"/>
          <w:sz w:val="24"/>
          <w:highlight w:val="none"/>
        </w:rPr>
        <w:t>依托电子交易平台发起开始解密指令，</w:t>
      </w:r>
      <w:r>
        <w:rPr>
          <w:rFonts w:hint="eastAsia" w:ascii="宋体" w:hAnsi="宋体" w:cs="宋体"/>
          <w:sz w:val="24"/>
          <w:highlight w:val="none"/>
          <w:lang w:eastAsia="zh-CN"/>
        </w:rPr>
        <w:t>供应商</w:t>
      </w:r>
      <w:r>
        <w:rPr>
          <w:rFonts w:hint="eastAsia" w:ascii="宋体" w:hAnsi="宋体" w:cs="宋体"/>
          <w:sz w:val="24"/>
          <w:highlight w:val="none"/>
        </w:rPr>
        <w:t>按照平台提示和招标文件的规定在半小时内完成在线解密。</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18.2.1具体开标程序：</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第一阶段：</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（1）投标截止时间后，供应商登录政府采购云平台，用“项目采购-开标评标”功能对电子投标文件进行在线解密，在线解密电子投标文件时间为开标时间后30分钟内。</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（2）在政府采购云平台开启已解密供应商的“资格文件、商务技术文件”，并做开标记录；</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第二阶段：</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（1）在政府采购云平台宣告第一阶段评审无效供应商名单及理由；</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（2）公布经第一阶段评审符合招标文件要求的供应商的商务技术得分情况；</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（3）在政府采购云平台开启除第一阶段无效标外的供应商的“报价文件”，并做开标记录；</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（4）在政府采购云平台公布评审结果。</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hint="eastAsia" w:ascii="宋体" w:hAnsi="宋体" w:cs="宋体"/>
          <w:sz w:val="24"/>
          <w:highlight w:val="none"/>
        </w:rPr>
      </w:pPr>
      <w:r>
        <w:rPr>
          <w:rFonts w:hint="eastAsia" w:ascii="宋体" w:hAnsi="宋体" w:eastAsia="宋体" w:cs="宋体"/>
          <w:sz w:val="24"/>
          <w:highlight w:val="none"/>
          <w:lang w:val="en-US" w:eastAsia="zh-CN"/>
        </w:rPr>
        <w:t>（5）开标会议结束。</w:t>
      </w:r>
      <w:r>
        <w:rPr>
          <w:rFonts w:hint="eastAsia" w:ascii="宋体" w:hAnsi="宋体" w:cs="宋体"/>
          <w:sz w:val="24"/>
          <w:highlight w:val="none"/>
        </w:rPr>
        <w:t>　</w:t>
      </w:r>
    </w:p>
    <w:p>
      <w:pPr>
        <w:pStyle w:val="556"/>
        <w:pageBreakBefore w:val="0"/>
        <w:shd w:val="clear"/>
        <w:kinsoku/>
        <w:wordWrap/>
        <w:overflowPunct/>
        <w:topLinePunct w:val="0"/>
        <w:bidi w:val="0"/>
        <w:spacing w:before="0" w:beforeAutospacing="0" w:line="348" w:lineRule="auto"/>
        <w:ind w:left="0" w:firstLine="240" w:firstLineChars="100"/>
        <w:contextualSpacing/>
        <w:textAlignment w:val="auto"/>
        <w:outlineLvl w:val="9"/>
        <w:rPr>
          <w:rFonts w:ascii="宋体" w:hAnsi="宋体" w:cs="宋体"/>
          <w:b/>
          <w:sz w:val="24"/>
          <w:highlight w:val="none"/>
        </w:rPr>
      </w:pPr>
      <w:r>
        <w:rPr>
          <w:rFonts w:hint="eastAsia" w:ascii="宋体" w:hAnsi="宋体" w:cs="宋体"/>
          <w:sz w:val="24"/>
          <w:highlight w:val="none"/>
        </w:rPr>
        <w:t>18.3</w:t>
      </w:r>
      <w:r>
        <w:rPr>
          <w:rFonts w:hint="eastAsia" w:ascii="宋体" w:hAnsi="宋体" w:cs="宋体"/>
          <w:b/>
          <w:sz w:val="24"/>
          <w:highlight w:val="none"/>
        </w:rPr>
        <w:t>投标文件未按时解密，</w:t>
      </w:r>
      <w:r>
        <w:rPr>
          <w:rFonts w:hint="eastAsia" w:ascii="宋体" w:hAnsi="宋体" w:cs="宋体"/>
          <w:b/>
          <w:sz w:val="24"/>
          <w:highlight w:val="none"/>
          <w:lang w:eastAsia="zh-CN"/>
        </w:rPr>
        <w:t>供应商</w:t>
      </w:r>
      <w:r>
        <w:rPr>
          <w:rFonts w:hint="eastAsia" w:ascii="宋体" w:hAnsi="宋体" w:cs="宋体"/>
          <w:b/>
          <w:sz w:val="24"/>
          <w:highlight w:val="none"/>
        </w:rPr>
        <w:t>提供了备份投标文件的，以备份投标文件作为依据，否则视为投标文件撤回。投标文件已按时解密的，备份投标文件自动失效。</w:t>
      </w:r>
    </w:p>
    <w:p>
      <w:pPr>
        <w:pageBreakBefore w:val="0"/>
        <w:widowControl/>
        <w:shd w:val="clear"/>
        <w:kinsoku/>
        <w:wordWrap/>
        <w:overflowPunct/>
        <w:topLinePunct w:val="0"/>
        <w:bidi w:val="0"/>
        <w:spacing w:beforeAutospacing="0" w:line="348" w:lineRule="auto"/>
        <w:jc w:val="left"/>
        <w:textAlignment w:val="auto"/>
        <w:outlineLvl w:val="9"/>
        <w:rPr>
          <w:rFonts w:ascii="宋体" w:hAnsi="宋体" w:cs="宋体"/>
          <w:b/>
          <w:sz w:val="24"/>
          <w:szCs w:val="20"/>
          <w:highlight w:val="none"/>
        </w:rPr>
      </w:pPr>
      <w:r>
        <w:rPr>
          <w:rFonts w:hint="eastAsia" w:ascii="宋体" w:hAnsi="宋体" w:cs="宋体"/>
          <w:b/>
          <w:sz w:val="24"/>
          <w:szCs w:val="20"/>
          <w:highlight w:val="none"/>
        </w:rPr>
        <w:t>　19、资格审查</w:t>
      </w:r>
    </w:p>
    <w:p>
      <w:pPr>
        <w:pageBreakBefore w:val="0"/>
        <w:shd w:val="clear"/>
        <w:kinsoku/>
        <w:wordWrap/>
        <w:overflowPunct/>
        <w:topLinePunct w:val="0"/>
        <w:bidi w:val="0"/>
        <w:snapToGrid w:val="0"/>
        <w:spacing w:beforeAutospacing="0" w:line="348" w:lineRule="auto"/>
        <w:ind w:firstLine="480" w:firstLineChars="200"/>
        <w:textAlignment w:val="auto"/>
        <w:outlineLvl w:val="9"/>
        <w:rPr>
          <w:rFonts w:ascii="宋体" w:hAnsi="宋体" w:cs="宋体"/>
          <w:sz w:val="24"/>
          <w:highlight w:val="none"/>
        </w:rPr>
      </w:pPr>
      <w:r>
        <w:rPr>
          <w:rFonts w:hint="eastAsia" w:ascii="宋体" w:hAnsi="宋体" w:cs="宋体"/>
          <w:kern w:val="0"/>
          <w:sz w:val="24"/>
          <w:highlight w:val="none"/>
        </w:rPr>
        <w:t>19.</w:t>
      </w:r>
      <w:r>
        <w:rPr>
          <w:rFonts w:hint="eastAsia" w:ascii="宋体" w:hAnsi="宋体" w:cs="宋体"/>
          <w:kern w:val="0"/>
          <w:sz w:val="24"/>
          <w:highlight w:val="none"/>
          <w:lang w:val="en-US" w:eastAsia="zh-CN"/>
        </w:rPr>
        <w:t>1</w:t>
      </w:r>
      <w:r>
        <w:rPr>
          <w:rFonts w:hint="eastAsia" w:ascii="宋体" w:hAnsi="宋体" w:cs="宋体"/>
          <w:sz w:val="24"/>
          <w:highlight w:val="none"/>
        </w:rPr>
        <w:t>采购人或</w:t>
      </w:r>
      <w:r>
        <w:rPr>
          <w:rFonts w:hint="eastAsia" w:ascii="宋体" w:hAnsi="宋体" w:cs="宋体"/>
          <w:sz w:val="24"/>
          <w:highlight w:val="none"/>
          <w:lang w:eastAsia="zh-CN"/>
        </w:rPr>
        <w:t>采购代理机构</w:t>
      </w:r>
      <w:r>
        <w:rPr>
          <w:rFonts w:hint="eastAsia" w:ascii="宋体" w:hAnsi="宋体" w:cs="宋体"/>
          <w:sz w:val="24"/>
          <w:highlight w:val="none"/>
        </w:rPr>
        <w:t>依据法律法规和招标文件的规定，对</w:t>
      </w:r>
      <w:r>
        <w:rPr>
          <w:rFonts w:hint="eastAsia" w:ascii="宋体" w:hAnsi="宋体" w:cs="宋体"/>
          <w:sz w:val="24"/>
          <w:highlight w:val="none"/>
          <w:lang w:eastAsia="zh-CN"/>
        </w:rPr>
        <w:t>供应商</w:t>
      </w:r>
      <w:r>
        <w:rPr>
          <w:rFonts w:hint="eastAsia" w:ascii="宋体" w:hAnsi="宋体" w:cs="宋体"/>
          <w:sz w:val="24"/>
          <w:highlight w:val="none"/>
        </w:rPr>
        <w:t>的资格进行审查。</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kern w:val="0"/>
          <w:szCs w:val="24"/>
          <w:highlight w:val="none"/>
          <w:lang w:val="en-US" w:eastAsia="zh-CN"/>
        </w:rPr>
        <w:t>2</w:t>
      </w:r>
      <w:r>
        <w:rPr>
          <w:rFonts w:hint="eastAsia" w:ascii="宋体" w:hAnsi="宋体" w:cs="宋体"/>
          <w:kern w:val="0"/>
          <w:szCs w:val="24"/>
          <w:highlight w:val="none"/>
          <w:lang w:eastAsia="zh-CN"/>
        </w:rPr>
        <w:t>供应商</w:t>
      </w:r>
      <w:r>
        <w:rPr>
          <w:rFonts w:hint="eastAsia" w:ascii="宋体" w:hAnsi="宋体" w:cs="宋体"/>
          <w:kern w:val="0"/>
          <w:szCs w:val="24"/>
          <w:highlight w:val="none"/>
        </w:rPr>
        <w:t>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lang w:eastAsia="zh-CN"/>
        </w:rPr>
        <w:t>供应商</w:t>
      </w:r>
      <w:r>
        <w:rPr>
          <w:rFonts w:hint="eastAsia" w:ascii="宋体" w:hAnsi="宋体" w:cs="宋体"/>
          <w:highlight w:val="none"/>
        </w:rPr>
        <w:t>不具备招标文件中规定的资格要求，其投标无效。</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3</w:t>
      </w:r>
      <w:r>
        <w:rPr>
          <w:rFonts w:hint="eastAsia" w:ascii="宋体" w:hAnsi="宋体" w:cs="宋体"/>
          <w:highlight w:val="none"/>
        </w:rPr>
        <w:t>对未通过资格审查的</w:t>
      </w:r>
      <w:r>
        <w:rPr>
          <w:rFonts w:hint="eastAsia" w:ascii="宋体" w:hAnsi="宋体" w:cs="宋体"/>
          <w:highlight w:val="none"/>
          <w:lang w:eastAsia="zh-CN"/>
        </w:rPr>
        <w:t>供应商</w:t>
      </w:r>
      <w:r>
        <w:rPr>
          <w:rFonts w:hint="eastAsia" w:ascii="宋体" w:hAnsi="宋体" w:cs="宋体"/>
          <w:highlight w:val="none"/>
        </w:rPr>
        <w:t>，采购人或</w:t>
      </w:r>
      <w:r>
        <w:rPr>
          <w:rFonts w:hint="eastAsia" w:ascii="宋体" w:hAnsi="宋体" w:cs="宋体"/>
          <w:highlight w:val="none"/>
          <w:lang w:eastAsia="zh-CN"/>
        </w:rPr>
        <w:t>采购代理机构</w:t>
      </w:r>
      <w:r>
        <w:rPr>
          <w:rFonts w:hint="eastAsia" w:ascii="宋体" w:hAnsi="宋体" w:cs="宋体"/>
          <w:highlight w:val="none"/>
        </w:rPr>
        <w:t>告知其未通过的原因。</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lang w:val="en-US" w:eastAsia="zh-CN"/>
        </w:rPr>
        <w:t>4</w:t>
      </w:r>
      <w:r>
        <w:rPr>
          <w:rFonts w:hint="eastAsia" w:ascii="宋体" w:hAnsi="宋体" w:cs="宋体"/>
          <w:highlight w:val="none"/>
        </w:rPr>
        <w:t>合格</w:t>
      </w:r>
      <w:r>
        <w:rPr>
          <w:rFonts w:hint="eastAsia" w:ascii="宋体" w:hAnsi="宋体" w:cs="宋体"/>
          <w:highlight w:val="none"/>
          <w:lang w:eastAsia="zh-CN"/>
        </w:rPr>
        <w:t>供应商</w:t>
      </w:r>
      <w:r>
        <w:rPr>
          <w:rFonts w:hint="eastAsia" w:ascii="宋体" w:hAnsi="宋体" w:cs="宋体"/>
          <w:highlight w:val="none"/>
        </w:rPr>
        <w:t>不足3家的，不再评标。</w:t>
      </w:r>
    </w:p>
    <w:p>
      <w:pPr>
        <w:pStyle w:val="134"/>
        <w:pageBreakBefore w:val="0"/>
        <w:shd w:val="clear"/>
        <w:kinsoku/>
        <w:wordWrap/>
        <w:overflowPunct/>
        <w:topLinePunct w:val="0"/>
        <w:bidi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20、信用信息查询</w:t>
      </w:r>
    </w:p>
    <w:p>
      <w:pPr>
        <w:pStyle w:val="134"/>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20.1信用信息查询渠道及截止时间：</w:t>
      </w:r>
      <w:r>
        <w:rPr>
          <w:rFonts w:hint="eastAsia" w:ascii="宋体" w:hAnsi="宋体" w:cs="宋体"/>
          <w:kern w:val="0"/>
          <w:szCs w:val="24"/>
          <w:highlight w:val="none"/>
          <w:lang w:eastAsia="zh-CN"/>
        </w:rPr>
        <w:t>采购代理机构</w:t>
      </w:r>
      <w:r>
        <w:rPr>
          <w:rFonts w:hint="eastAsia" w:ascii="宋体" w:hAnsi="宋体" w:cs="宋体"/>
          <w:kern w:val="0"/>
          <w:szCs w:val="24"/>
          <w:highlight w:val="none"/>
        </w:rPr>
        <w:t>将在资格审查时通过“信用中国”网站(www.creditchina.gov.cn)、中国政府采购网(www.ccgp.gov.cn)渠道查询</w:t>
      </w:r>
      <w:r>
        <w:rPr>
          <w:rFonts w:hint="eastAsia" w:ascii="宋体" w:hAnsi="宋体" w:cs="宋体"/>
          <w:kern w:val="0"/>
          <w:szCs w:val="24"/>
          <w:highlight w:val="none"/>
          <w:lang w:eastAsia="zh-CN"/>
        </w:rPr>
        <w:t>供应商</w:t>
      </w:r>
      <w:r>
        <w:rPr>
          <w:rFonts w:hint="eastAsia" w:ascii="宋体" w:hAnsi="宋体" w:cs="宋体"/>
          <w:kern w:val="0"/>
          <w:szCs w:val="24"/>
          <w:highlight w:val="none"/>
        </w:rPr>
        <w:t>接受资格审查时的信用记录。</w:t>
      </w:r>
    </w:p>
    <w:p>
      <w:pPr>
        <w:pStyle w:val="134"/>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20.2信用信息查询记录和证据留存的具体方式：现场查询的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的信用记录、查询结果经确认后将与</w:t>
      </w:r>
      <w:r>
        <w:rPr>
          <w:rFonts w:hint="eastAsia" w:ascii="宋体" w:hAnsi="宋体" w:cs="宋体"/>
          <w:kern w:val="0"/>
          <w:szCs w:val="24"/>
          <w:highlight w:val="none"/>
          <w:lang w:eastAsia="zh-CN"/>
        </w:rPr>
        <w:t>招标文件</w:t>
      </w:r>
      <w:r>
        <w:rPr>
          <w:rFonts w:hint="eastAsia" w:ascii="宋体" w:hAnsi="宋体" w:cs="宋体"/>
          <w:kern w:val="0"/>
          <w:szCs w:val="24"/>
          <w:highlight w:val="none"/>
        </w:rPr>
        <w:t>一起存档。</w:t>
      </w:r>
    </w:p>
    <w:p>
      <w:pPr>
        <w:pStyle w:val="134"/>
        <w:pageBreakBefore w:val="0"/>
        <w:shd w:val="clear"/>
        <w:kinsoku/>
        <w:wordWrap/>
        <w:overflowPunct/>
        <w:topLinePunct w:val="0"/>
        <w:bidi w:val="0"/>
        <w:spacing w:before="0" w:beforeAutospacing="0" w:line="348" w:lineRule="auto"/>
        <w:ind w:firstLine="495" w:firstLineChars="0"/>
        <w:textAlignment w:val="auto"/>
        <w:outlineLvl w:val="9"/>
        <w:rPr>
          <w:rFonts w:ascii="宋体" w:hAnsi="宋体" w:cs="宋体"/>
          <w:kern w:val="0"/>
          <w:szCs w:val="24"/>
          <w:highlight w:val="none"/>
        </w:rPr>
      </w:pPr>
      <w:r>
        <w:rPr>
          <w:rFonts w:hint="eastAsia" w:ascii="宋体" w:hAnsi="宋体" w:cs="宋体"/>
          <w:kern w:val="0"/>
          <w:szCs w:val="24"/>
          <w:highlight w:val="none"/>
        </w:rPr>
        <w:t>20.3信用信息的使用规则：经查询列入失信被执行人名单、重大税收违法案件当事人名单</w:t>
      </w:r>
      <w:r>
        <w:rPr>
          <w:rFonts w:hint="eastAsia" w:ascii="宋体" w:hAnsi="宋体" w:cs="宋体"/>
          <w:snapToGrid w:val="0"/>
          <w:kern w:val="28"/>
          <w:sz w:val="24"/>
          <w:szCs w:val="20"/>
          <w:highlight w:val="none"/>
        </w:rPr>
        <w:t>（重大税收违法失信主体）</w:t>
      </w:r>
      <w:r>
        <w:rPr>
          <w:rFonts w:hint="eastAsia" w:ascii="宋体" w:hAnsi="宋体" w:cs="宋体"/>
          <w:kern w:val="0"/>
          <w:szCs w:val="24"/>
          <w:highlight w:val="none"/>
        </w:rPr>
        <w:t>、政府采购严重违法失信行为记录名单的</w:t>
      </w:r>
      <w:r>
        <w:rPr>
          <w:rFonts w:hint="eastAsia" w:ascii="宋体" w:hAnsi="宋体" w:cs="宋体"/>
          <w:kern w:val="0"/>
          <w:szCs w:val="24"/>
          <w:highlight w:val="none"/>
          <w:lang w:eastAsia="zh-CN"/>
        </w:rPr>
        <w:t>供应商</w:t>
      </w:r>
      <w:r>
        <w:rPr>
          <w:rFonts w:hint="eastAsia" w:ascii="宋体" w:hAnsi="宋体" w:cs="宋体"/>
          <w:kern w:val="0"/>
          <w:szCs w:val="24"/>
          <w:highlight w:val="none"/>
        </w:rPr>
        <w:t>将被拒绝参与政府采购活动。</w:t>
      </w:r>
    </w:p>
    <w:p>
      <w:pPr>
        <w:pStyle w:val="134"/>
        <w:pageBreakBefore w:val="0"/>
        <w:shd w:val="clear"/>
        <w:kinsoku/>
        <w:wordWrap/>
        <w:overflowPunct/>
        <w:topLinePunct w:val="0"/>
        <w:bidi w:val="0"/>
        <w:spacing w:before="0" w:beforeAutospacing="0" w:line="348" w:lineRule="auto"/>
        <w:ind w:firstLine="480"/>
        <w:textAlignment w:val="auto"/>
        <w:outlineLvl w:val="9"/>
        <w:rPr>
          <w:rFonts w:ascii="宋体" w:hAnsi="宋体" w:cs="宋体"/>
          <w:highlight w:val="none"/>
        </w:rPr>
      </w:pPr>
      <w:r>
        <w:rPr>
          <w:rFonts w:hint="eastAsia" w:ascii="宋体" w:hAnsi="宋体" w:cs="宋体"/>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highlight w:val="none"/>
        </w:rPr>
        <w:t>。</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6"/>
          <w:szCs w:val="36"/>
          <w:highlight w:val="none"/>
        </w:rPr>
      </w:pPr>
      <w:r>
        <w:rPr>
          <w:rFonts w:hint="eastAsia" w:ascii="宋体" w:hAnsi="宋体" w:cs="宋体"/>
          <w:b/>
          <w:sz w:val="36"/>
          <w:szCs w:val="36"/>
          <w:highlight w:val="none"/>
        </w:rPr>
        <w:t>五、评标</w:t>
      </w:r>
    </w:p>
    <w:p>
      <w:pPr>
        <w:pageBreakBefore w:val="0"/>
        <w:shd w:val="clear"/>
        <w:kinsoku/>
        <w:wordWrap/>
        <w:overflowPunct/>
        <w:topLinePunct w:val="0"/>
        <w:bidi w:val="0"/>
        <w:spacing w:beforeAutospacing="0" w:line="348" w:lineRule="auto"/>
        <w:textAlignment w:val="auto"/>
        <w:outlineLvl w:val="9"/>
        <w:rPr>
          <w:rFonts w:ascii="宋体" w:hAnsi="宋体" w:cs="宋体"/>
          <w:b/>
          <w:sz w:val="24"/>
          <w:highlight w:val="none"/>
        </w:rPr>
      </w:pPr>
      <w:bookmarkStart w:id="19" w:name="_Toc91899903"/>
      <w:r>
        <w:rPr>
          <w:rFonts w:hint="eastAsia" w:ascii="宋体" w:hAnsi="宋体" w:cs="宋体"/>
          <w:b/>
          <w:sz w:val="24"/>
          <w:highlight w:val="none"/>
        </w:rPr>
        <w:t>21.</w:t>
      </w:r>
      <w:r>
        <w:rPr>
          <w:rFonts w:hint="eastAsia" w:ascii="宋体" w:hAnsi="宋体" w:cs="宋体"/>
          <w:highlight w:val="none"/>
        </w:rPr>
        <w:t xml:space="preserve"> </w:t>
      </w:r>
      <w:r>
        <w:rPr>
          <w:rFonts w:hint="eastAsia" w:ascii="宋体" w:hAnsi="宋体" w:cs="宋体"/>
          <w:sz w:val="24"/>
          <w:highlight w:val="none"/>
        </w:rPr>
        <w:t>评标委员会将根据招标文件和有关规定，履行评标工作职责，并按照评标方法及评分标准，全面衡量各</w:t>
      </w:r>
      <w:r>
        <w:rPr>
          <w:rFonts w:hint="eastAsia" w:ascii="宋体" w:hAnsi="宋体" w:cs="宋体"/>
          <w:sz w:val="24"/>
          <w:highlight w:val="none"/>
          <w:lang w:eastAsia="zh-CN"/>
        </w:rPr>
        <w:t>供应商</w:t>
      </w:r>
      <w:r>
        <w:rPr>
          <w:rFonts w:hint="eastAsia" w:ascii="宋体" w:hAnsi="宋体" w:cs="宋体"/>
          <w:sz w:val="24"/>
          <w:highlight w:val="none"/>
        </w:rPr>
        <w:t>对招标文件的响应情况。对实质上响应招标文件的</w:t>
      </w:r>
      <w:r>
        <w:rPr>
          <w:rFonts w:hint="eastAsia" w:ascii="宋体" w:hAnsi="宋体" w:cs="宋体"/>
          <w:sz w:val="24"/>
          <w:highlight w:val="none"/>
          <w:lang w:eastAsia="zh-CN"/>
        </w:rPr>
        <w:t>供应商</w:t>
      </w:r>
      <w:r>
        <w:rPr>
          <w:rFonts w:hint="eastAsia" w:ascii="宋体" w:hAnsi="宋体" w:cs="宋体"/>
          <w:sz w:val="24"/>
          <w:highlight w:val="none"/>
        </w:rPr>
        <w:t>，按照评审因素的量化指标排出推荐中标的</w:t>
      </w:r>
      <w:r>
        <w:rPr>
          <w:rFonts w:hint="eastAsia" w:ascii="宋体" w:hAnsi="宋体" w:cs="宋体"/>
          <w:sz w:val="24"/>
          <w:highlight w:val="none"/>
          <w:lang w:eastAsia="zh-CN"/>
        </w:rPr>
        <w:t>供应商</w:t>
      </w:r>
      <w:r>
        <w:rPr>
          <w:rFonts w:hint="eastAsia" w:ascii="宋体" w:hAnsi="宋体" w:cs="宋体"/>
          <w:sz w:val="24"/>
          <w:highlight w:val="none"/>
        </w:rPr>
        <w:t>的先后顺序，并按顺序提出授标建议。</w:t>
      </w:r>
      <w:r>
        <w:rPr>
          <w:rFonts w:hint="eastAsia" w:ascii="宋体" w:hAnsi="宋体" w:cs="宋体"/>
          <w:b/>
          <w:sz w:val="24"/>
          <w:highlight w:val="none"/>
        </w:rPr>
        <w:t>详见招标文件第四部分评标办法。</w:t>
      </w:r>
    </w:p>
    <w:p>
      <w:pPr>
        <w:pageBreakBefore w:val="0"/>
        <w:shd w:val="clear"/>
        <w:kinsoku/>
        <w:wordWrap/>
        <w:overflowPunct/>
        <w:topLinePunct w:val="0"/>
        <w:bidi w:val="0"/>
        <w:snapToGrid w:val="0"/>
        <w:spacing w:beforeAutospacing="0" w:line="348" w:lineRule="auto"/>
        <w:jc w:val="center"/>
        <w:textAlignment w:val="auto"/>
        <w:outlineLvl w:val="9"/>
        <w:rPr>
          <w:rFonts w:ascii="宋体" w:hAnsi="宋体" w:cs="宋体"/>
          <w:b/>
          <w:sz w:val="36"/>
          <w:szCs w:val="36"/>
          <w:highlight w:val="none"/>
        </w:rPr>
      </w:pPr>
      <w:r>
        <w:rPr>
          <w:rFonts w:hint="eastAsia" w:ascii="宋体" w:hAnsi="宋体" w:cs="宋体"/>
          <w:b/>
          <w:sz w:val="36"/>
          <w:szCs w:val="36"/>
          <w:highlight w:val="none"/>
        </w:rPr>
        <w:t>六、定 标</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22. 确定中标供应商</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hint="eastAsia" w:ascii="宋体" w:hAnsi="宋体" w:eastAsia="宋体" w:cs="宋体"/>
          <w:b/>
          <w:szCs w:val="24"/>
          <w:highlight w:val="none"/>
          <w:lang w:val="en-US" w:eastAsia="zh-CN"/>
        </w:rPr>
      </w:pPr>
      <w:r>
        <w:rPr>
          <w:rFonts w:hint="eastAsia" w:ascii="宋体" w:hAnsi="宋体" w:cs="宋体"/>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4"/>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b/>
          <w:szCs w:val="24"/>
          <w:highlight w:val="none"/>
        </w:rPr>
      </w:pPr>
      <w:r>
        <w:rPr>
          <w:rFonts w:hint="eastAsia" w:ascii="宋体" w:hAnsi="宋体" w:cs="宋体"/>
          <w:b/>
          <w:szCs w:val="24"/>
          <w:highlight w:val="none"/>
        </w:rPr>
        <w:t>23. 中标通知与中标结果公告</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23.1自中标人确定之日起2个工作日内，</w:t>
      </w:r>
      <w:r>
        <w:rPr>
          <w:rFonts w:hint="eastAsia" w:ascii="宋体" w:hAnsi="宋体" w:cs="宋体"/>
          <w:sz w:val="24"/>
          <w:highlight w:val="none"/>
          <w:lang w:eastAsia="zh-CN"/>
        </w:rPr>
        <w:t>采购代理机构</w:t>
      </w:r>
      <w:r>
        <w:rPr>
          <w:rFonts w:hint="eastAsia" w:ascii="宋体" w:hAnsi="宋体" w:cs="宋体"/>
          <w:sz w:val="24"/>
          <w:highlight w:val="none"/>
        </w:rPr>
        <w:t>通过电子交易平台向中标人发出中标通知书，同时编制发布采购结果公告。</w:t>
      </w:r>
      <w:r>
        <w:rPr>
          <w:rFonts w:hint="eastAsia" w:ascii="宋体" w:hAnsi="宋体" w:cs="宋体"/>
          <w:sz w:val="24"/>
          <w:highlight w:val="none"/>
          <w:lang w:eastAsia="zh-CN"/>
        </w:rPr>
        <w:t>采购代理机构</w:t>
      </w:r>
      <w:r>
        <w:rPr>
          <w:rFonts w:hint="eastAsia" w:ascii="宋体" w:hAnsi="宋体" w:cs="宋体"/>
          <w:sz w:val="24"/>
          <w:highlight w:val="none"/>
        </w:rPr>
        <w:t>也可以以纸质形式进行中标通知。</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23.2中标结果公告内容包括采购人及其委托的</w:t>
      </w:r>
      <w:r>
        <w:rPr>
          <w:rFonts w:hint="eastAsia" w:ascii="宋体" w:hAnsi="宋体" w:cs="宋体"/>
          <w:sz w:val="24"/>
          <w:highlight w:val="none"/>
          <w:lang w:eastAsia="zh-CN"/>
        </w:rPr>
        <w:t>采购代理机构</w:t>
      </w:r>
      <w:r>
        <w:rPr>
          <w:rFonts w:hint="eastAsia" w:ascii="宋体" w:hAnsi="宋体" w:cs="宋体"/>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sz w:val="24"/>
          <w:highlight w:val="none"/>
        </w:rPr>
      </w:pPr>
      <w:r>
        <w:rPr>
          <w:rFonts w:hint="eastAsia" w:ascii="宋体" w:hAnsi="宋体" w:cs="宋体"/>
          <w:sz w:val="24"/>
          <w:highlight w:val="none"/>
        </w:rPr>
        <w:t>23.3公告期限为1个工作日。</w:t>
      </w:r>
    </w:p>
    <w:p>
      <w:pPr>
        <w:pageBreakBefore w:val="0"/>
        <w:shd w:val="clear"/>
        <w:kinsoku/>
        <w:wordWrap/>
        <w:overflowPunct/>
        <w:topLinePunct w:val="0"/>
        <w:bidi w:val="0"/>
        <w:snapToGrid w:val="0"/>
        <w:spacing w:beforeAutospacing="0" w:line="348" w:lineRule="auto"/>
        <w:ind w:left="120" w:leftChars="57" w:firstLine="482" w:firstLineChars="150"/>
        <w:jc w:val="center"/>
        <w:textAlignment w:val="auto"/>
        <w:outlineLvl w:val="9"/>
        <w:rPr>
          <w:rFonts w:ascii="宋体" w:hAnsi="宋体" w:cs="宋体"/>
          <w:b/>
          <w:sz w:val="32"/>
          <w:highlight w:val="none"/>
        </w:rPr>
      </w:pPr>
      <w:r>
        <w:rPr>
          <w:rFonts w:hint="eastAsia" w:ascii="宋体" w:hAnsi="宋体" w:cs="宋体"/>
          <w:b/>
          <w:sz w:val="32"/>
          <w:highlight w:val="none"/>
        </w:rPr>
        <w:t>七、合同授予</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 xml:space="preserve">24. </w:t>
      </w:r>
      <w:r>
        <w:rPr>
          <w:rFonts w:hint="eastAsia" w:cs="宋体"/>
          <w:highlight w:val="none"/>
        </w:rPr>
        <w:t>合同主要条款详见第五部分拟签订的合同文本。</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25. 合同的签订</w:t>
      </w:r>
    </w:p>
    <w:p>
      <w:pPr>
        <w:pageBreakBefore w:val="0"/>
        <w:widowControl/>
        <w:shd w:val="clear" w:color="auto"/>
        <w:kinsoku/>
        <w:wordWrap/>
        <w:overflowPunct/>
        <w:topLinePunct w:val="0"/>
        <w:bidi w:val="0"/>
        <w:spacing w:beforeAutospacing="0" w:line="348" w:lineRule="auto"/>
        <w:ind w:firstLine="480"/>
        <w:jc w:val="left"/>
        <w:textAlignment w:val="auto"/>
        <w:outlineLvl w:val="9"/>
        <w:rPr>
          <w:rFonts w:ascii="宋体" w:hAnsi="宋体" w:cs="宋体"/>
          <w:kern w:val="0"/>
          <w:sz w:val="24"/>
          <w:highlight w:val="none"/>
        </w:rPr>
      </w:pPr>
      <w:r>
        <w:rPr>
          <w:rFonts w:hint="eastAsia" w:ascii="宋体" w:hAnsi="宋体" w:cs="宋体"/>
          <w:sz w:val="24"/>
          <w:highlight w:val="none"/>
        </w:rPr>
        <w:t>25.1</w:t>
      </w:r>
      <w:r>
        <w:rPr>
          <w:rFonts w:hint="eastAsia" w:ascii="宋体" w:hAnsi="宋体" w:cs="宋体"/>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w:t>
      </w:r>
      <w:r>
        <w:rPr>
          <w:rFonts w:hint="eastAsia" w:ascii="宋体" w:hAnsi="宋体" w:cs="宋体"/>
          <w:kern w:val="0"/>
          <w:sz w:val="24"/>
          <w:highlight w:val="none"/>
          <w:lang w:eastAsia="zh-CN"/>
        </w:rPr>
        <w:t>招标文件</w:t>
      </w:r>
      <w:r>
        <w:rPr>
          <w:rFonts w:hint="eastAsia" w:ascii="宋体" w:hAnsi="宋体" w:cs="宋体"/>
          <w:kern w:val="0"/>
          <w:sz w:val="24"/>
          <w:highlight w:val="none"/>
        </w:rPr>
        <w:t>确定的事项签订政府采购合同。</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kern w:val="0"/>
          <w:highlight w:val="none"/>
        </w:rPr>
      </w:pPr>
      <w:r>
        <w:rPr>
          <w:rFonts w:hint="eastAsia" w:ascii="宋体" w:hAnsi="宋体" w:cs="宋体"/>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25.3如签订合同并生效后，供应商无故拒绝或延期，除按照合同条款处理外，列入不良行为记录一次，并给予通报。</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25.4中标供应商拒绝与采购人签订合同的，采购人可以按照评审报告推荐的中标或者成交候选人名单排序，确定下一候选人为中标供应商，也可以重新开展政府采购活动。</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25.5采购合同由采购人与中标供应商根据招标文件、投标文件等内容通过政府采购电子交易平台在线签订，自动备案。</w:t>
      </w:r>
    </w:p>
    <w:p>
      <w:pPr>
        <w:pStyle w:val="26"/>
        <w:pageBreakBefore w:val="0"/>
        <w:shd w:val="clear"/>
        <w:kinsoku/>
        <w:wordWrap/>
        <w:overflowPunct/>
        <w:topLinePunct w:val="0"/>
        <w:bidi w:val="0"/>
        <w:spacing w:beforeAutospacing="0" w:line="348" w:lineRule="auto"/>
        <w:ind w:left="479" w:hanging="479" w:hangingChars="199"/>
        <w:textAlignment w:val="auto"/>
        <w:outlineLvl w:val="9"/>
        <w:rPr>
          <w:rFonts w:cs="宋体"/>
          <w:b/>
          <w:highlight w:val="none"/>
        </w:rPr>
      </w:pPr>
      <w:r>
        <w:rPr>
          <w:rFonts w:hint="eastAsia" w:cs="宋体"/>
          <w:b/>
          <w:highlight w:val="none"/>
        </w:rPr>
        <w:t>26. 履约保证金</w:t>
      </w:r>
    </w:p>
    <w:p>
      <w:pPr>
        <w:pageBreakBefore w:val="0"/>
        <w:shd w:val="clear"/>
        <w:tabs>
          <w:tab w:val="left" w:pos="0"/>
        </w:tabs>
        <w:kinsoku/>
        <w:wordWrap/>
        <w:overflowPunct/>
        <w:topLinePunct w:val="0"/>
        <w:bidi w:val="0"/>
        <w:spacing w:beforeAutospacing="0" w:line="348" w:lineRule="auto"/>
        <w:ind w:firstLine="482"/>
        <w:textAlignment w:val="auto"/>
        <w:outlineLvl w:val="9"/>
        <w:rPr>
          <w:rFonts w:ascii="宋体" w:hAnsi="宋体" w:cs="宋体"/>
          <w:sz w:val="24"/>
          <w:highlight w:val="none"/>
        </w:rPr>
      </w:pPr>
      <w:r>
        <w:rPr>
          <w:rFonts w:hint="eastAsia" w:ascii="宋体" w:hAnsi="宋体" w:cs="宋体"/>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sz w:val="24"/>
          <w:highlight w:val="none"/>
        </w:rPr>
        <w:t>。履约保证金的数额不得超过政府采购合同金额的</w:t>
      </w:r>
      <w:r>
        <w:rPr>
          <w:rFonts w:ascii="宋体" w:hAnsi="宋体" w:cs="宋体"/>
          <w:sz w:val="24"/>
          <w:highlight w:val="none"/>
        </w:rPr>
        <w:t>1</w:t>
      </w:r>
      <w:r>
        <w:rPr>
          <w:rFonts w:hint="eastAsia" w:ascii="宋体" w:hAnsi="宋体" w:cs="宋体"/>
          <w:sz w:val="24"/>
          <w:highlight w:val="none"/>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sz w:val="24"/>
          <w:highlight w:val="none"/>
        </w:rPr>
        <w:t>鼓励和支持供应商以银行、保险公司出具的保函形式提供履约保证金。采购人不得拒收履约保函，项目验收结束后应及时退还，</w:t>
      </w:r>
      <w:r>
        <w:rPr>
          <w:rFonts w:ascii="宋体" w:hAnsi="宋体" w:cs="宋体"/>
          <w:sz w:val="24"/>
          <w:highlight w:val="none"/>
        </w:rPr>
        <w:t>延迟退还的，应当按照合同约定和法律规定承担相应的赔偿责任</w:t>
      </w:r>
      <w:r>
        <w:rPr>
          <w:rFonts w:hint="eastAsia" w:ascii="宋体" w:hAnsi="宋体" w:cs="宋体"/>
          <w:sz w:val="24"/>
          <w:highlight w:val="none"/>
        </w:rPr>
        <w:t>。</w:t>
      </w:r>
    </w:p>
    <w:p>
      <w:pPr>
        <w:pageBreakBefore w:val="0"/>
        <w:shd w:val="clear"/>
        <w:tabs>
          <w:tab w:val="left" w:pos="432"/>
        </w:tabs>
        <w:kinsoku/>
        <w:wordWrap/>
        <w:overflowPunct/>
        <w:topLinePunct w:val="0"/>
        <w:bidi w:val="0"/>
        <w:spacing w:beforeAutospacing="0" w:line="348" w:lineRule="auto"/>
        <w:ind w:left="0" w:firstLine="480" w:firstLineChars="200"/>
        <w:textAlignment w:val="auto"/>
        <w:outlineLvl w:val="9"/>
        <w:rPr>
          <w:rFonts w:ascii="宋体" w:hAnsi="宋体" w:eastAsia="宋体" w:cs="宋体"/>
          <w:b w:val="0"/>
          <w:bCs w:val="0"/>
          <w:snapToGrid w:val="0"/>
          <w:kern w:val="28"/>
          <w:sz w:val="24"/>
          <w:highlight w:val="none"/>
        </w:rPr>
      </w:pPr>
      <w:r>
        <w:rPr>
          <w:rFonts w:hint="eastAsia" w:ascii="宋体" w:hAnsi="宋体" w:eastAsia="宋体" w:cs="宋体"/>
          <w:b w:val="0"/>
          <w:bCs w:val="0"/>
          <w:snapToGrid w:val="0"/>
          <w:kern w:val="28"/>
          <w:sz w:val="24"/>
          <w:highlight w:val="none"/>
        </w:rPr>
        <w:t>供应商</w:t>
      </w:r>
      <w:r>
        <w:rPr>
          <w:rFonts w:hint="eastAsia" w:ascii="宋体" w:hAnsi="宋体" w:eastAsia="宋体" w:cs="宋体"/>
          <w:b w:val="0"/>
          <w:bCs w:val="0"/>
          <w:snapToGrid w:val="0"/>
          <w:kern w:val="28"/>
          <w:sz w:val="24"/>
          <w:highlight w:val="none"/>
          <w:lang w:val="en-US"/>
        </w:rPr>
        <w:t>可</w:t>
      </w:r>
      <w:r>
        <w:rPr>
          <w:rFonts w:hint="eastAsia" w:ascii="宋体" w:hAnsi="宋体" w:eastAsia="宋体" w:cs="宋体"/>
          <w:b w:val="0"/>
          <w:bCs w:val="0"/>
          <w:snapToGrid w:val="0"/>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ageBreakBefore w:val="0"/>
        <w:shd w:val="clear"/>
        <w:tabs>
          <w:tab w:val="left" w:pos="432"/>
        </w:tabs>
        <w:kinsoku/>
        <w:wordWrap/>
        <w:overflowPunct/>
        <w:topLinePunct w:val="0"/>
        <w:bidi w:val="0"/>
        <w:spacing w:beforeAutospacing="0" w:line="348" w:lineRule="auto"/>
        <w:textAlignment w:val="auto"/>
        <w:outlineLvl w:val="9"/>
        <w:rPr>
          <w:highlight w:val="none"/>
        </w:rPr>
      </w:pPr>
      <w:r>
        <w:rPr>
          <w:rFonts w:ascii="宋体" w:hAnsi="宋体" w:eastAsia="宋体" w:cs="Times New Roman"/>
          <w:b/>
          <w:bCs/>
          <w:kern w:val="2"/>
          <w:sz w:val="24"/>
          <w:szCs w:val="32"/>
          <w:highlight w:val="none"/>
          <w:lang w:val="en-US"/>
        </w:rPr>
        <w:t>27.预付款</w:t>
      </w:r>
    </w:p>
    <w:p>
      <w:pPr>
        <w:pageBreakBefore w:val="0"/>
        <w:shd w:val="clear"/>
        <w:kinsoku/>
        <w:wordWrap/>
        <w:overflowPunct/>
        <w:topLinePunct w:val="0"/>
        <w:bidi w:val="0"/>
        <w:adjustRightInd/>
        <w:spacing w:beforeAutospacing="0" w:line="348" w:lineRule="auto"/>
        <w:ind w:firstLine="480" w:firstLineChars="200"/>
        <w:textAlignment w:val="auto"/>
        <w:outlineLvl w:val="9"/>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highlight w:val="none"/>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sz w:val="32"/>
          <w:highlight w:val="none"/>
        </w:rPr>
      </w:pP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hint="eastAsia" w:ascii="宋体" w:hAnsi="宋体" w:cs="宋体"/>
          <w:b/>
          <w:sz w:val="32"/>
          <w:highlight w:val="none"/>
        </w:rPr>
      </w:pPr>
    </w:p>
    <w:p>
      <w:pPr>
        <w:pageBreakBefore w:val="0"/>
        <w:shd w:val="clear"/>
        <w:kinsoku/>
        <w:wordWrap/>
        <w:overflowPunct/>
        <w:topLinePunct w:val="0"/>
        <w:bidi w:val="0"/>
        <w:snapToGrid w:val="0"/>
        <w:spacing w:beforeAutospacing="0" w:line="348" w:lineRule="auto"/>
        <w:ind w:firstLine="3357" w:firstLineChars="1045"/>
        <w:textAlignment w:val="auto"/>
        <w:outlineLvl w:val="9"/>
        <w:rPr>
          <w:rFonts w:ascii="宋体" w:hAnsi="宋体" w:cs="宋体"/>
          <w:b/>
          <w:sz w:val="24"/>
          <w:highlight w:val="none"/>
        </w:rPr>
      </w:pPr>
      <w:r>
        <w:rPr>
          <w:rFonts w:hint="eastAsia" w:ascii="宋体" w:hAnsi="宋体" w:cs="宋体"/>
          <w:b/>
          <w:sz w:val="32"/>
          <w:highlight w:val="none"/>
        </w:rPr>
        <w:t>八、电子交易活动的中止</w:t>
      </w:r>
    </w:p>
    <w:p>
      <w:pPr>
        <w:pStyle w:val="134"/>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ascii="宋体" w:hAnsi="宋体" w:cs="宋体"/>
          <w:b/>
          <w:bCs/>
          <w:kern w:val="2"/>
          <w:sz w:val="24"/>
          <w:szCs w:val="20"/>
          <w:highlight w:val="none"/>
        </w:rPr>
        <w:t>2</w:t>
      </w:r>
      <w:r>
        <w:rPr>
          <w:rFonts w:ascii="宋体" w:hAnsi="宋体" w:cs="宋体"/>
          <w:b/>
          <w:bCs/>
          <w:kern w:val="2"/>
          <w:sz w:val="24"/>
          <w:szCs w:val="24"/>
          <w:highlight w:val="none"/>
        </w:rPr>
        <w:t>8</w:t>
      </w:r>
      <w:r>
        <w:rPr>
          <w:rFonts w:hint="eastAsia" w:ascii="宋体" w:hAnsi="宋体" w:cs="宋体"/>
          <w:b/>
          <w:szCs w:val="24"/>
          <w:highlight w:val="none"/>
        </w:rPr>
        <w:t>. 电子交易活动的中止。</w:t>
      </w:r>
      <w:r>
        <w:rPr>
          <w:rFonts w:hint="eastAsia" w:ascii="宋体" w:hAnsi="宋体" w:cs="宋体"/>
          <w:highlight w:val="none"/>
        </w:rPr>
        <w:t>采购过程中出现以下情形，导致电子交易平台无法正常运行，或者无法保证电子交易的公平、公正和安全时，</w:t>
      </w:r>
      <w:r>
        <w:rPr>
          <w:rFonts w:hint="eastAsia" w:ascii="宋体" w:hAnsi="宋体" w:cs="宋体"/>
          <w:highlight w:val="none"/>
          <w:lang w:eastAsia="zh-CN"/>
        </w:rPr>
        <w:t>采购代理机构</w:t>
      </w:r>
      <w:r>
        <w:rPr>
          <w:rFonts w:hint="eastAsia" w:ascii="宋体" w:hAnsi="宋体" w:cs="宋体"/>
          <w:highlight w:val="none"/>
        </w:rPr>
        <w:t>可中止电子交易活动：</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28.1电子交易平台发生故障而无法登录访问的； </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28.2电子交易平台应用或数据库出现错误，不能进行正常操作的；</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28.3电子交易平台发现严重安全漏洞，有潜在泄密危险的；</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 xml:space="preserve">28.4病毒发作导致不能进行正常操作的； </w:t>
      </w:r>
    </w:p>
    <w:p>
      <w:pPr>
        <w:pStyle w:val="134"/>
        <w:pageBreakBefore w:val="0"/>
        <w:shd w:val="clear"/>
        <w:kinsoku/>
        <w:wordWrap/>
        <w:overflowPunct/>
        <w:topLinePunct w:val="0"/>
        <w:bidi w:val="0"/>
        <w:snapToGrid w:val="0"/>
        <w:spacing w:before="0" w:beforeAutospacing="0" w:line="348" w:lineRule="auto"/>
        <w:ind w:firstLine="480"/>
        <w:textAlignment w:val="auto"/>
        <w:outlineLvl w:val="9"/>
        <w:rPr>
          <w:rFonts w:ascii="宋体" w:hAnsi="宋体" w:cs="宋体"/>
          <w:highlight w:val="none"/>
        </w:rPr>
      </w:pPr>
      <w:r>
        <w:rPr>
          <w:rFonts w:hint="eastAsia" w:ascii="宋体" w:hAnsi="宋体" w:cs="宋体"/>
          <w:highlight w:val="none"/>
        </w:rPr>
        <w:t>28.5其他无法保证电子交易的公平、公正和安全的情况。</w:t>
      </w:r>
    </w:p>
    <w:p>
      <w:pPr>
        <w:pStyle w:val="134"/>
        <w:pageBreakBefore w:val="0"/>
        <w:shd w:val="clear"/>
        <w:kinsoku/>
        <w:wordWrap/>
        <w:overflowPunct/>
        <w:topLinePunct w:val="0"/>
        <w:bidi w:val="0"/>
        <w:snapToGrid w:val="0"/>
        <w:spacing w:before="0" w:beforeAutospacing="0" w:line="348" w:lineRule="auto"/>
        <w:ind w:firstLine="0" w:firstLineChars="0"/>
        <w:textAlignment w:val="auto"/>
        <w:outlineLvl w:val="9"/>
        <w:rPr>
          <w:rFonts w:ascii="宋体" w:hAnsi="宋体" w:cs="宋体"/>
          <w:highlight w:val="none"/>
        </w:rPr>
      </w:pPr>
      <w:r>
        <w:rPr>
          <w:rFonts w:hint="eastAsia" w:ascii="宋体" w:hAnsi="宋体" w:cs="宋体"/>
          <w:highlight w:val="none"/>
        </w:rPr>
        <w:t xml:space="preserve"> 29.出现以上情形，不影响采购公平、公正性的，采购组织机构可以待上述情形消除后继续组织电子交易活动；影响或可能影响采购公平、公正性的，应当重新采购。</w:t>
      </w:r>
    </w:p>
    <w:p>
      <w:pPr>
        <w:keepNext w:val="0"/>
        <w:keepLines w:val="0"/>
        <w:pageBreakBefore w:val="0"/>
        <w:widowControl w:val="0"/>
        <w:shd w:val="clear"/>
        <w:kinsoku/>
        <w:wordWrap/>
        <w:overflowPunct/>
        <w:topLinePunct w:val="0"/>
        <w:autoSpaceDE/>
        <w:autoSpaceDN/>
        <w:bidi w:val="0"/>
        <w:adjustRightInd w:val="0"/>
        <w:snapToGrid w:val="0"/>
        <w:spacing w:beforeAutospacing="0" w:line="348" w:lineRule="auto"/>
        <w:ind w:left="120" w:leftChars="57" w:firstLine="0" w:firstLineChars="0"/>
        <w:jc w:val="center"/>
        <w:textAlignment w:val="auto"/>
        <w:outlineLvl w:val="9"/>
        <w:rPr>
          <w:rFonts w:ascii="宋体" w:hAnsi="宋体" w:cs="宋体"/>
          <w:b/>
          <w:sz w:val="32"/>
          <w:highlight w:val="none"/>
        </w:rPr>
      </w:pPr>
      <w:r>
        <w:rPr>
          <w:rFonts w:hint="eastAsia" w:ascii="宋体" w:hAnsi="宋体" w:cs="宋体"/>
          <w:b/>
          <w:sz w:val="32"/>
          <w:highlight w:val="none"/>
        </w:rPr>
        <w:t>九、验收</w:t>
      </w:r>
    </w:p>
    <w:p>
      <w:pPr>
        <w:pStyle w:val="26"/>
        <w:pageBreakBefore w:val="0"/>
        <w:shd w:val="clear"/>
        <w:kinsoku/>
        <w:wordWrap/>
        <w:overflowPunct/>
        <w:topLinePunct w:val="0"/>
        <w:bidi w:val="0"/>
        <w:spacing w:beforeAutospacing="0" w:line="348" w:lineRule="auto"/>
        <w:ind w:firstLine="0" w:firstLineChars="0"/>
        <w:textAlignment w:val="auto"/>
        <w:outlineLvl w:val="9"/>
        <w:rPr>
          <w:rFonts w:cs="宋体"/>
          <w:b/>
          <w:highlight w:val="none"/>
        </w:rPr>
      </w:pPr>
      <w:r>
        <w:rPr>
          <w:rFonts w:hint="eastAsia" w:cs="宋体"/>
          <w:b/>
          <w:highlight w:val="none"/>
        </w:rPr>
        <w:t>30.验收</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30.2采购人可以邀请参加本项目的其他</w:t>
      </w:r>
      <w:r>
        <w:rPr>
          <w:rFonts w:hint="eastAsia" w:ascii="宋体" w:hAnsi="宋体" w:cs="宋体"/>
          <w:kern w:val="0"/>
          <w:sz w:val="24"/>
          <w:highlight w:val="none"/>
          <w:lang w:eastAsia="zh-CN"/>
        </w:rPr>
        <w:t>供应商</w:t>
      </w:r>
      <w:r>
        <w:rPr>
          <w:rFonts w:hint="eastAsia" w:ascii="宋体" w:hAnsi="宋体" w:cs="宋体"/>
          <w:kern w:val="0"/>
          <w:sz w:val="24"/>
          <w:highlight w:val="none"/>
        </w:rPr>
        <w:t>或者第三方机构参与验收。参与验收的</w:t>
      </w:r>
      <w:r>
        <w:rPr>
          <w:rFonts w:hint="eastAsia" w:ascii="宋体" w:hAnsi="宋体" w:cs="宋体"/>
          <w:kern w:val="0"/>
          <w:sz w:val="24"/>
          <w:highlight w:val="none"/>
          <w:lang w:eastAsia="zh-CN"/>
        </w:rPr>
        <w:t>供应商</w:t>
      </w:r>
      <w:r>
        <w:rPr>
          <w:rFonts w:hint="eastAsia" w:ascii="宋体" w:hAnsi="宋体" w:cs="宋体"/>
          <w:kern w:val="0"/>
          <w:sz w:val="24"/>
          <w:highlight w:val="none"/>
        </w:rPr>
        <w:t>或者第三方机构的意见作为验收书的参考资料一并存档。</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pageBreakBefore w:val="0"/>
        <w:shd w:val="clear"/>
        <w:tabs>
          <w:tab w:val="left" w:pos="0"/>
        </w:tabs>
        <w:kinsoku/>
        <w:wordWrap/>
        <w:overflowPunct/>
        <w:topLinePunct w:val="0"/>
        <w:bidi w:val="0"/>
        <w:spacing w:beforeAutospacing="0" w:line="348" w:lineRule="auto"/>
        <w:ind w:firstLine="480"/>
        <w:textAlignment w:val="auto"/>
        <w:outlineLvl w:val="9"/>
        <w:rPr>
          <w:rFonts w:ascii="宋体" w:hAnsi="宋体" w:cs="宋体"/>
          <w:kern w:val="0"/>
          <w:sz w:val="24"/>
          <w:highlight w:val="none"/>
        </w:rPr>
      </w:pPr>
      <w:r>
        <w:rPr>
          <w:rFonts w:hint="eastAsia" w:ascii="宋体" w:hAnsi="宋体" w:cs="宋体"/>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9"/>
      <w:bookmarkStart w:id="20" w:name="_Hlt75236011"/>
      <w:bookmarkEnd w:id="20"/>
      <w:bookmarkStart w:id="21" w:name="_Hlt68057669"/>
      <w:bookmarkEnd w:id="21"/>
      <w:bookmarkStart w:id="22" w:name="_Hlt75236290"/>
      <w:bookmarkEnd w:id="22"/>
      <w:bookmarkStart w:id="23" w:name="_Hlt68072998"/>
      <w:bookmarkEnd w:id="23"/>
      <w:bookmarkStart w:id="24" w:name="_Hlt68072990"/>
      <w:bookmarkEnd w:id="24"/>
      <w:bookmarkStart w:id="25" w:name="_Hlt74729768"/>
      <w:bookmarkEnd w:id="25"/>
      <w:bookmarkStart w:id="26" w:name="_Hlt74730295"/>
      <w:bookmarkEnd w:id="26"/>
      <w:bookmarkStart w:id="27" w:name="_Hlt68073093"/>
      <w:bookmarkEnd w:id="27"/>
      <w:bookmarkStart w:id="28" w:name="_Hlt75236101"/>
      <w:bookmarkEnd w:id="28"/>
      <w:bookmarkStart w:id="29" w:name="_Hlt68403820"/>
      <w:bookmarkEnd w:id="29"/>
      <w:bookmarkStart w:id="30" w:name="_Hlt74714665"/>
      <w:bookmarkEnd w:id="30"/>
      <w:bookmarkStart w:id="31" w:name="_Hlt74707468"/>
      <w:bookmarkEnd w:id="31"/>
    </w:p>
    <w:p>
      <w:pPr>
        <w:kinsoku/>
        <w:wordWrap/>
        <w:overflowPunct/>
        <w:topLinePunct w:val="0"/>
        <w:bidi w:val="0"/>
        <w:outlineLvl w:val="9"/>
        <w:rPr>
          <w:highlight w:val="none"/>
        </w:rPr>
        <w:sectPr>
          <w:footerReference r:id="rId7" w:type="first"/>
          <w:footerReference r:id="rId6" w:type="default"/>
          <w:pgSz w:w="11906" w:h="16838"/>
          <w:pgMar w:top="680" w:right="1418" w:bottom="468" w:left="1418" w:header="851" w:footer="992" w:gutter="0"/>
          <w:pgNumType w:fmt="decimal" w:start="1"/>
          <w:cols w:space="720" w:num="1"/>
          <w:titlePg/>
          <w:docGrid w:linePitch="312" w:charSpace="0"/>
        </w:sectPr>
      </w:pPr>
    </w:p>
    <w:bookmarkEnd w:id="14"/>
    <w:bookmarkEnd w:id="15"/>
    <w:p>
      <w:pPr>
        <w:kinsoku/>
        <w:wordWrap/>
        <w:overflowPunct/>
        <w:topLinePunct w:val="0"/>
        <w:bidi w:val="0"/>
        <w:spacing w:line="360" w:lineRule="auto"/>
        <w:jc w:val="center"/>
        <w:outlineLvl w:val="0"/>
        <w:rPr>
          <w:rFonts w:ascii="宋体" w:hAnsi="宋体" w:cs="宋体"/>
          <w:b/>
          <w:sz w:val="36"/>
          <w:szCs w:val="36"/>
          <w:highlight w:val="none"/>
        </w:rPr>
      </w:pPr>
      <w:bookmarkStart w:id="32" w:name="_Toc26044"/>
      <w:bookmarkStart w:id="33" w:name="第四部分"/>
      <w:r>
        <w:rPr>
          <w:rFonts w:hint="eastAsia" w:ascii="宋体" w:hAnsi="宋体" w:cs="宋体"/>
          <w:b/>
          <w:sz w:val="36"/>
          <w:szCs w:val="36"/>
          <w:highlight w:val="none"/>
        </w:rPr>
        <w:t>第三部分   采购需求</w:t>
      </w:r>
      <w:bookmarkEnd w:id="32"/>
    </w:p>
    <w:p>
      <w:pPr>
        <w:widowControl/>
        <w:kinsoku/>
        <w:wordWrap/>
        <w:overflowPunct/>
        <w:topLinePunct w:val="0"/>
        <w:bidi w:val="0"/>
        <w:adjustRightInd/>
        <w:spacing w:line="320" w:lineRule="exact"/>
        <w:jc w:val="center"/>
        <w:outlineLvl w:val="9"/>
        <w:rPr>
          <w:rFonts w:hint="eastAsia" w:ascii="宋体" w:hAnsi="宋体" w:eastAsia="宋体" w:cs="宋体"/>
          <w:b/>
          <w:bCs/>
          <w:color w:val="auto"/>
          <w:kern w:val="0"/>
          <w:sz w:val="24"/>
          <w:szCs w:val="24"/>
          <w:highlight w:val="none"/>
        </w:rPr>
      </w:pPr>
      <w:bookmarkStart w:id="34" w:name="_Toc24013"/>
      <w:r>
        <w:rPr>
          <w:rFonts w:hint="eastAsia" w:ascii="宋体" w:hAnsi="宋体" w:eastAsia="宋体" w:cs="宋体"/>
          <w:b/>
          <w:bCs/>
          <w:color w:val="auto"/>
          <w:kern w:val="0"/>
          <w:sz w:val="24"/>
          <w:szCs w:val="24"/>
          <w:highlight w:val="none"/>
        </w:rPr>
        <w:t>前附表</w:t>
      </w:r>
      <w:bookmarkEnd w:id="34"/>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810"/>
        <w:gridCol w:w="4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highlight w:val="none"/>
              </w:rPr>
            </w:pPr>
            <w:bookmarkStart w:id="35" w:name="_Toc317685548"/>
            <w:bookmarkStart w:id="36" w:name="_Toc329697494"/>
            <w:r>
              <w:rPr>
                <w:rFonts w:hint="eastAsia" w:ascii="宋体" w:hAnsi="宋体" w:eastAsia="宋体" w:cs="宋体"/>
                <w:b/>
                <w:kern w:val="0"/>
                <w:sz w:val="24"/>
                <w:szCs w:val="24"/>
                <w:highlight w:val="none"/>
              </w:rPr>
              <w:t>序号</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项目</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采购内容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w:t>
            </w:r>
            <w:r>
              <w:rPr>
                <w:rFonts w:hint="eastAsia" w:ascii="宋体" w:hAnsi="宋体" w:eastAsia="宋体" w:cs="宋体"/>
                <w:color w:val="auto"/>
                <w:kern w:val="0"/>
                <w:sz w:val="24"/>
                <w:szCs w:val="24"/>
                <w:highlight w:val="none"/>
                <w:lang w:val="en-US" w:eastAsia="zh-CN"/>
              </w:rPr>
              <w:t>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单位及数量</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详见第一部分 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交付或者实施的时间和地点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eastAsia="zh-CN"/>
              </w:rPr>
              <w:t>合同履约期限</w:t>
            </w:r>
            <w:r>
              <w:rPr>
                <w:rFonts w:hint="eastAsia" w:ascii="宋体" w:hAnsi="宋体" w:eastAsia="宋体" w:cs="宋体"/>
                <w:color w:val="auto"/>
                <w:kern w:val="0"/>
                <w:sz w:val="24"/>
                <w:szCs w:val="24"/>
                <w:highlight w:val="none"/>
              </w:rPr>
              <w:t>：详见第一部分 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实施地点：详见</w:t>
            </w:r>
            <w:r>
              <w:rPr>
                <w:rFonts w:hint="eastAsia" w:ascii="宋体" w:hAnsi="宋体" w:eastAsia="宋体" w:cs="宋体"/>
                <w:color w:val="auto"/>
                <w:kern w:val="0"/>
                <w:sz w:val="24"/>
                <w:szCs w:val="24"/>
                <w:highlight w:val="none"/>
                <w:lang w:val="en-US" w:eastAsia="zh-CN"/>
              </w:rPr>
              <w:t>本部分</w:t>
            </w:r>
            <w:r>
              <w:rPr>
                <w:rFonts w:hint="eastAsia" w:ascii="宋体" w:hAnsi="宋体" w:eastAsia="宋体" w:cs="宋体"/>
                <w:color w:val="auto"/>
                <w:kern w:val="0"/>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需实现的功能或者目标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执行的国家相关标准、行业标准、地方标准或者其它标准、规范</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国家相关标准、行业标准、地方标准或者其他标准规范。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技术规格要求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物理特性要求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质量、安全要求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（1）质量要求：详见本部分内容</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（2）安全要求：合格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服务标准、期限、效率</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详见本章内容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验收标准</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按照中标人提供的投标文件及中标人和采购人签订的政府采购合同为标准进行验收。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现场踏勘</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r>
              <w:rPr>
                <w:rFonts w:hint="eastAsia" w:ascii="宋体" w:hAnsi="宋体" w:cs="宋体"/>
                <w:color w:val="auto"/>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演示时间及地点</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28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样品要求</w:t>
            </w:r>
          </w:p>
        </w:tc>
        <w:tc>
          <w:tcPr>
            <w:tcW w:w="478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无</w:t>
            </w:r>
          </w:p>
        </w:tc>
      </w:tr>
    </w:tbl>
    <w:p>
      <w:pPr>
        <w:widowControl/>
        <w:kinsoku/>
        <w:wordWrap/>
        <w:overflowPunct/>
        <w:topLinePunct w:val="0"/>
        <w:bidi w:val="0"/>
        <w:adjustRightInd/>
        <w:spacing w:line="360" w:lineRule="auto"/>
        <w:jc w:val="left"/>
        <w:outlineLvl w:val="9"/>
        <w:rPr>
          <w:rFonts w:hint="eastAsia" w:ascii="宋体" w:hAnsi="宋体" w:eastAsia="宋体" w:cs="宋体"/>
          <w:color w:val="auto"/>
          <w:kern w:val="0"/>
          <w:sz w:val="24"/>
          <w:szCs w:val="24"/>
          <w:highlight w:val="none"/>
        </w:rPr>
      </w:pPr>
    </w:p>
    <w:p>
      <w:pPr>
        <w:widowControl/>
        <w:kinsoku/>
        <w:wordWrap/>
        <w:overflowPunct/>
        <w:topLinePunct w:val="0"/>
        <w:bidi w:val="0"/>
        <w:adjustRightInd/>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pPr>
        <w:widowControl/>
        <w:kinsoku/>
        <w:wordWrap/>
        <w:overflowPunct/>
        <w:topLinePunct w:val="0"/>
        <w:bidi w:val="0"/>
        <w:adjustRightInd/>
        <w:spacing w:line="360" w:lineRule="auto"/>
        <w:jc w:val="lef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一、重要商务要求一览表</w:t>
      </w:r>
    </w:p>
    <w:bookmarkEnd w:id="35"/>
    <w:bookmarkEnd w:id="36"/>
    <w:tbl>
      <w:tblPr>
        <w:tblStyle w:val="63"/>
        <w:tblW w:w="9045" w:type="dxa"/>
        <w:tblInd w:w="-2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85"/>
        <w:gridCol w:w="6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46"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合同履约期限及地点</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lang w:eastAsia="zh-CN"/>
              </w:rPr>
              <w:t>）合同履约期限：详见第一部分 《招标公告》。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lang w:eastAsia="zh-CN"/>
              </w:rPr>
              <w:t>）实施地点：采购人指定地点。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付款方式</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bCs/>
                <w:kern w:val="0"/>
                <w:sz w:val="24"/>
                <w:szCs w:val="24"/>
                <w:highlight w:val="none"/>
                <w:lang w:val="en-US" w:eastAsia="zh-CN"/>
              </w:rPr>
            </w:pPr>
            <w:r>
              <w:rPr>
                <w:rFonts w:hint="default" w:ascii="宋体" w:hAnsi="宋体" w:eastAsia="宋体" w:cs="宋体"/>
                <w:b/>
                <w:bCs/>
                <w:kern w:val="0"/>
                <w:sz w:val="24"/>
                <w:szCs w:val="24"/>
                <w:highlight w:val="none"/>
                <w:lang w:val="en-US" w:eastAsia="zh-CN"/>
              </w:rPr>
              <w:t>（1）适用于中小微企业：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①</w:t>
            </w:r>
            <w:r>
              <w:rPr>
                <w:rFonts w:hint="default" w:ascii="宋体" w:hAnsi="宋体" w:eastAsia="宋体" w:cs="宋体"/>
                <w:b w:val="0"/>
                <w:bCs w:val="0"/>
                <w:kern w:val="0"/>
                <w:sz w:val="24"/>
                <w:szCs w:val="24"/>
                <w:highlight w:val="none"/>
                <w:lang w:val="en-US" w:eastAsia="zh-CN"/>
              </w:rPr>
              <w:t>在合同生效以及具备实施条件后7个工作日内支付合同金额20%的预付款；（若在签订合同时，中标人明确表示无需预付款的，采购人可不予支付预付款。预付款支付约定以合同中约定为准。）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val="0"/>
                <w:bCs w:val="0"/>
                <w:kern w:val="0"/>
                <w:sz w:val="24"/>
                <w:szCs w:val="24"/>
                <w:highlight w:val="none"/>
                <w:lang w:val="en-US" w:eastAsia="zh-CN"/>
              </w:rPr>
            </w:pPr>
            <w:r>
              <w:rPr>
                <w:rFonts w:hint="eastAsia" w:ascii="宋体" w:hAnsi="宋体" w:cs="宋体"/>
                <w:b w:val="0"/>
                <w:bCs w:val="0"/>
                <w:kern w:val="0"/>
                <w:sz w:val="24"/>
                <w:szCs w:val="24"/>
                <w:highlight w:val="none"/>
                <w:lang w:val="en-US" w:eastAsia="zh-CN"/>
              </w:rPr>
              <w:t>②</w:t>
            </w:r>
            <w:r>
              <w:rPr>
                <w:rFonts w:hint="default" w:ascii="宋体" w:hAnsi="宋体" w:eastAsia="宋体" w:cs="宋体"/>
                <w:b w:val="0"/>
                <w:bCs w:val="0"/>
                <w:kern w:val="0"/>
                <w:sz w:val="24"/>
                <w:szCs w:val="24"/>
                <w:highlight w:val="none"/>
                <w:lang w:val="en-US" w:eastAsia="zh-CN"/>
              </w:rPr>
              <w:t>服务费用以半年为单位进行支付，每半年最后一个月采购人在收到中标人提供的合法发票后七个工作日内支付半年的服务费用。（先从预付款中扣除相应金额，待预付款支付完后再另行按实支付。）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b/>
                <w:bCs/>
                <w:kern w:val="0"/>
                <w:sz w:val="24"/>
                <w:szCs w:val="24"/>
                <w:highlight w:val="none"/>
                <w:lang w:val="en-US" w:eastAsia="zh-CN"/>
              </w:rPr>
            </w:pPr>
            <w:r>
              <w:rPr>
                <w:rFonts w:hint="default" w:ascii="宋体" w:hAnsi="宋体" w:eastAsia="宋体" w:cs="宋体"/>
                <w:b/>
                <w:bCs/>
                <w:kern w:val="0"/>
                <w:sz w:val="24"/>
                <w:szCs w:val="24"/>
                <w:highlight w:val="none"/>
                <w:lang w:val="en-US" w:eastAsia="zh-CN"/>
              </w:rPr>
              <w:t>（2）适用于大型企业：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kern w:val="0"/>
                <w:sz w:val="24"/>
                <w:szCs w:val="24"/>
                <w:highlight w:val="none"/>
                <w:lang w:val="en-US" w:eastAsia="zh-CN"/>
              </w:rPr>
            </w:pPr>
            <w:r>
              <w:rPr>
                <w:rFonts w:hint="default" w:ascii="宋体" w:hAnsi="宋体" w:eastAsia="宋体" w:cs="宋体"/>
                <w:b w:val="0"/>
                <w:bCs w:val="0"/>
                <w:kern w:val="0"/>
                <w:sz w:val="24"/>
                <w:szCs w:val="24"/>
                <w:highlight w:val="none"/>
                <w:lang w:val="en-US" w:eastAsia="zh-CN"/>
              </w:rPr>
              <w:t>①</w:t>
            </w:r>
            <w:r>
              <w:rPr>
                <w:rFonts w:hint="eastAsia" w:ascii="宋体" w:hAnsi="宋体" w:cs="宋体"/>
                <w:b w:val="0"/>
                <w:bCs w:val="0"/>
                <w:kern w:val="0"/>
                <w:sz w:val="24"/>
                <w:szCs w:val="24"/>
                <w:highlight w:val="none"/>
                <w:lang w:val="en-US" w:eastAsia="zh-CN"/>
              </w:rPr>
              <w:t>合同签订后四</w:t>
            </w:r>
            <w:r>
              <w:rPr>
                <w:rFonts w:hint="default" w:ascii="宋体" w:hAnsi="宋体" w:eastAsia="宋体" w:cs="宋体"/>
                <w:b w:val="0"/>
                <w:bCs w:val="0"/>
                <w:kern w:val="0"/>
                <w:sz w:val="24"/>
                <w:szCs w:val="24"/>
                <w:highlight w:val="none"/>
                <w:lang w:val="en-US" w:eastAsia="zh-CN"/>
              </w:rPr>
              <w:t>个月</w:t>
            </w:r>
            <w:r>
              <w:rPr>
                <w:rFonts w:hint="eastAsia" w:ascii="宋体" w:hAnsi="宋体" w:cs="宋体"/>
                <w:b w:val="0"/>
                <w:bCs w:val="0"/>
                <w:kern w:val="0"/>
                <w:sz w:val="24"/>
                <w:szCs w:val="24"/>
                <w:highlight w:val="none"/>
                <w:lang w:val="en-US" w:eastAsia="zh-CN"/>
              </w:rPr>
              <w:t>内</w:t>
            </w:r>
            <w:r>
              <w:rPr>
                <w:rFonts w:hint="default" w:ascii="宋体" w:hAnsi="宋体" w:eastAsia="宋体" w:cs="宋体"/>
                <w:b w:val="0"/>
                <w:bCs w:val="0"/>
                <w:kern w:val="0"/>
                <w:sz w:val="24"/>
                <w:szCs w:val="24"/>
                <w:highlight w:val="none"/>
                <w:lang w:val="en-US" w:eastAsia="zh-CN"/>
              </w:rPr>
              <w:t>付清全款。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履约保证金</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本项目不适用。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3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center"/>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合同终止</w:t>
            </w:r>
          </w:p>
        </w:tc>
        <w:tc>
          <w:tcPr>
            <w:tcW w:w="66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jc w:val="left"/>
              <w:textAlignment w:val="auto"/>
              <w:outlineLvl w:val="9"/>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中标人在合同有效期内，不得无理由终止合同，确有特殊情况的，须提前两个月向采购人提出书面申请，经采购人同意后，方可终止合同。因中标人不能保证工作质量，采购人可有权终止合同，中标人承担全部责任。</w:t>
            </w:r>
          </w:p>
        </w:tc>
      </w:tr>
    </w:tbl>
    <w:p>
      <w:pPr>
        <w:keepNext w:val="0"/>
        <w:keepLines w:val="0"/>
        <w:pageBreakBefore w:val="0"/>
        <w:widowControl/>
        <w:tabs>
          <w:tab w:val="left" w:pos="851"/>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color w:val="auto"/>
          <w:kern w:val="0"/>
          <w:sz w:val="24"/>
          <w:szCs w:val="24"/>
          <w:highlight w:val="none"/>
        </w:rPr>
      </w:pPr>
    </w:p>
    <w:p>
      <w:pPr>
        <w:kinsoku/>
        <w:wordWrap/>
        <w:overflowPunct/>
        <w:topLinePunct w:val="0"/>
        <w:bidi w:val="0"/>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br w:type="page"/>
      </w:r>
    </w:p>
    <w:p>
      <w:pPr>
        <w:widowControl/>
        <w:kinsoku/>
        <w:wordWrap/>
        <w:overflowPunct/>
        <w:topLinePunct w:val="0"/>
        <w:bidi w:val="0"/>
        <w:adjustRightInd/>
        <w:spacing w:line="360" w:lineRule="auto"/>
        <w:jc w:val="left"/>
        <w:outlineLvl w:val="9"/>
        <w:rPr>
          <w:rFonts w:hint="default"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二、项目要求：</w:t>
      </w:r>
    </w:p>
    <w:tbl>
      <w:tblPr>
        <w:tblStyle w:val="63"/>
        <w:tblW w:w="9556" w:type="dxa"/>
        <w:tblInd w:w="-9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7349"/>
        <w:gridCol w:w="12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招标规格要求</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投标响应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val="en-US" w:eastAsia="zh-CN"/>
              </w:rPr>
              <w:t>一</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保修范围：</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1.1</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9根电子结肠镜、16根电子胃镜、2根电子十二指肠镜、5根支气管镜、2根电子膀胱肾盂镜、2根电子胆道镜、1根纤维气管插管镜、1根超声光纤电子支气管镜、1根电子胸腔镜、2根腹腔镜</w:t>
            </w:r>
            <w:r>
              <w:rPr>
                <w:rFonts w:hint="eastAsia" w:ascii="宋体" w:hAnsi="宋体" w:cs="宋体"/>
                <w:color w:val="auto"/>
                <w:kern w:val="0"/>
                <w:sz w:val="24"/>
                <w:szCs w:val="24"/>
                <w:highlight w:val="none"/>
                <w:lang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二</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服务要求：</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▲2.1</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供应商应是该项目设备的原厂商或具有授权保修合同的销售代理证书的代理商。</w:t>
            </w:r>
            <w:r>
              <w:rPr>
                <w:rFonts w:hint="eastAsia" w:ascii="宋体" w:hAnsi="宋体" w:eastAsia="宋体" w:cs="宋体"/>
                <w:color w:val="auto"/>
                <w:kern w:val="0"/>
                <w:sz w:val="24"/>
                <w:szCs w:val="24"/>
                <w:highlight w:val="none"/>
                <w:lang w:val="en-US" w:eastAsia="zh-CN"/>
              </w:rPr>
              <w:br w:type="textWrapping"/>
            </w:r>
            <w:r>
              <w:rPr>
                <w:rFonts w:hint="eastAsia" w:ascii="宋体" w:hAnsi="宋体" w:eastAsia="宋体" w:cs="宋体"/>
                <w:b/>
                <w:bCs/>
                <w:color w:val="auto"/>
                <w:kern w:val="0"/>
                <w:sz w:val="24"/>
                <w:szCs w:val="24"/>
                <w:highlight w:val="none"/>
                <w:lang w:val="en-US" w:eastAsia="zh-CN"/>
              </w:rPr>
              <w:t>注：供应商需在投标文件中提供</w:t>
            </w:r>
            <w:r>
              <w:rPr>
                <w:rFonts w:hint="eastAsia" w:ascii="宋体" w:hAnsi="宋体" w:cs="宋体"/>
                <w:b/>
                <w:bCs/>
                <w:color w:val="auto"/>
                <w:kern w:val="0"/>
                <w:sz w:val="24"/>
                <w:szCs w:val="24"/>
                <w:highlight w:val="none"/>
                <w:lang w:val="en-US" w:eastAsia="zh-CN"/>
              </w:rPr>
              <w:t>相关证明文件作为佐证</w:t>
            </w:r>
            <w:r>
              <w:rPr>
                <w:rFonts w:hint="eastAsia" w:ascii="宋体" w:hAnsi="宋体" w:eastAsia="宋体" w:cs="宋体"/>
                <w:b/>
                <w:bCs/>
                <w:color w:val="auto"/>
                <w:kern w:val="0"/>
                <w:sz w:val="24"/>
                <w:szCs w:val="24"/>
                <w:highlight w:val="none"/>
                <w:lang w:val="en-US" w:eastAsia="zh-CN"/>
              </w:rPr>
              <w:t>，未提供本项即为负偏离。</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▲2.2</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所有服务工程师必须为原厂培训合格，取得相关服务资格的人员</w:t>
            </w:r>
            <w:r>
              <w:rPr>
                <w:rFonts w:hint="eastAsia" w:ascii="宋体" w:hAnsi="宋体" w:cs="宋体"/>
                <w:color w:val="auto"/>
                <w:kern w:val="0"/>
                <w:sz w:val="24"/>
                <w:szCs w:val="24"/>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注：供应商需在投标文件中提供服务工程师资格证明</w:t>
            </w:r>
            <w:r>
              <w:rPr>
                <w:rFonts w:hint="eastAsia" w:ascii="宋体" w:hAnsi="宋体" w:cs="宋体"/>
                <w:b/>
                <w:bCs/>
                <w:color w:val="auto"/>
                <w:kern w:val="0"/>
                <w:sz w:val="24"/>
                <w:szCs w:val="24"/>
                <w:highlight w:val="none"/>
                <w:lang w:val="en-US" w:eastAsia="zh-CN"/>
              </w:rPr>
              <w:t>作为佐证</w:t>
            </w:r>
            <w:r>
              <w:rPr>
                <w:rFonts w:hint="eastAsia" w:ascii="宋体" w:hAnsi="宋体" w:eastAsia="宋体" w:cs="宋体"/>
                <w:b/>
                <w:bCs/>
                <w:color w:val="auto"/>
                <w:kern w:val="0"/>
                <w:sz w:val="24"/>
                <w:szCs w:val="24"/>
                <w:highlight w:val="none"/>
                <w:lang w:val="en-US" w:eastAsia="zh-CN"/>
              </w:rPr>
              <w:t>，未提供本项即为负偏离。</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2.3</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lang w:val="en-US" w:eastAsia="zh-CN"/>
              </w:rPr>
              <w:t>保证72小时内完成小维修，15个工作日内完成大维修</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2.4</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大维修时公司需尽力保证及时向医院提供备用品</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2.5</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保修期内供应商指定工程师负责医院的内镜维修和清洗保养培训</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2.6</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工程师需一年一次对院内内镜进行点检</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2.7</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供应商</w:t>
            </w:r>
            <w:r>
              <w:rPr>
                <w:rFonts w:hint="eastAsia" w:ascii="宋体" w:hAnsi="宋体" w:eastAsia="宋体" w:cs="宋体"/>
                <w:color w:val="auto"/>
                <w:kern w:val="0"/>
                <w:sz w:val="24"/>
                <w:szCs w:val="24"/>
                <w:highlight w:val="none"/>
                <w:lang w:val="en-US" w:eastAsia="zh-CN"/>
              </w:rPr>
              <w:t>需一年</w:t>
            </w:r>
            <w:r>
              <w:rPr>
                <w:rFonts w:hint="eastAsia" w:ascii="宋体" w:hAnsi="宋体" w:cs="宋体"/>
                <w:color w:val="auto"/>
                <w:kern w:val="0"/>
                <w:sz w:val="24"/>
                <w:szCs w:val="24"/>
                <w:highlight w:val="none"/>
                <w:lang w:val="en-US" w:eastAsia="zh-CN"/>
              </w:rPr>
              <w:t>两</w:t>
            </w:r>
            <w:r>
              <w:rPr>
                <w:rFonts w:hint="eastAsia" w:ascii="宋体" w:hAnsi="宋体" w:eastAsia="宋体" w:cs="宋体"/>
                <w:color w:val="auto"/>
                <w:kern w:val="0"/>
                <w:sz w:val="24"/>
                <w:szCs w:val="24"/>
                <w:highlight w:val="none"/>
                <w:lang w:val="en-US" w:eastAsia="zh-CN"/>
              </w:rPr>
              <w:t>次对内镜周边的仪器免费除尘清洁服务</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2.8</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宋体" w:hAnsi="宋体" w:eastAsia="宋体" w:cs="宋体"/>
                <w:color w:val="auto"/>
                <w:kern w:val="0"/>
                <w:sz w:val="24"/>
                <w:szCs w:val="24"/>
                <w:highlight w:val="none"/>
                <w:lang w:val="en-US" w:eastAsia="zh-CN"/>
              </w:rPr>
            </w:pPr>
            <w:r>
              <w:rPr>
                <w:rFonts w:hint="default" w:ascii="宋体" w:hAnsi="宋体" w:eastAsia="宋体" w:cs="宋体"/>
                <w:color w:val="auto"/>
                <w:kern w:val="0"/>
                <w:sz w:val="24"/>
                <w:szCs w:val="24"/>
                <w:highlight w:val="none"/>
                <w:lang w:val="en-US" w:eastAsia="zh-CN"/>
              </w:rPr>
              <w:t>响应时间：48小时内派工程师前往现场技术支持</w:t>
            </w:r>
            <w:r>
              <w:rPr>
                <w:rFonts w:hint="eastAsia" w:ascii="宋体" w:hAnsi="宋体" w:cs="宋体"/>
                <w:color w:val="auto"/>
                <w:kern w:val="0"/>
                <w:sz w:val="24"/>
                <w:szCs w:val="24"/>
                <w:highlight w:val="none"/>
                <w:lang w:val="en-US" w:eastAsia="zh-CN"/>
              </w:rPr>
              <w:t>；</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4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▲2.9</w:t>
            </w:r>
          </w:p>
        </w:tc>
        <w:tc>
          <w:tcPr>
            <w:tcW w:w="734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为保证维修质量，要求所有更换的配件为原厂全新，在更换前须向采购人提供原厂证明。</w:t>
            </w:r>
          </w:p>
        </w:tc>
        <w:tc>
          <w:tcPr>
            <w:tcW w:w="1262" w:type="dxa"/>
            <w:vAlign w:val="bottom"/>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textAlignment w:val="auto"/>
              <w:rPr>
                <w:rFonts w:hint="eastAsia" w:ascii="宋体" w:hAnsi="宋体" w:eastAsia="宋体" w:cs="宋体"/>
                <w:kern w:val="0"/>
                <w:sz w:val="24"/>
                <w:szCs w:val="24"/>
                <w:highlight w:val="none"/>
              </w:rPr>
            </w:pPr>
          </w:p>
        </w:tc>
      </w:tr>
    </w:tbl>
    <w:p>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numPr>
          <w:ilvl w:val="0"/>
          <w:numId w:val="0"/>
        </w:numPr>
        <w:adjustRightInd/>
        <w:spacing w:afterLines="0" w:line="360" w:lineRule="auto"/>
        <w:jc w:val="left"/>
        <w:rPr>
          <w:rFonts w:hint="eastAsia" w:ascii="宋体" w:hAnsi="宋体" w:eastAsia="宋体" w:cs="宋体"/>
          <w:b/>
          <w:bCs w:val="0"/>
          <w:color w:val="auto"/>
          <w:kern w:val="0"/>
          <w:sz w:val="24"/>
          <w:szCs w:val="24"/>
          <w:highlight w:val="none"/>
          <w:lang w:eastAsia="zh-CN"/>
        </w:rPr>
      </w:pPr>
      <w:r>
        <w:rPr>
          <w:rFonts w:hint="eastAsia" w:ascii="宋体" w:hAnsi="宋体" w:eastAsia="宋体" w:cs="宋体"/>
          <w:b/>
          <w:bCs w:val="0"/>
          <w:color w:val="auto"/>
          <w:kern w:val="0"/>
          <w:sz w:val="24"/>
          <w:szCs w:val="24"/>
          <w:highlight w:val="none"/>
          <w:lang w:val="en-US" w:eastAsia="zh-CN"/>
        </w:rPr>
        <w:t>三、</w:t>
      </w:r>
      <w:r>
        <w:rPr>
          <w:rFonts w:hint="eastAsia" w:ascii="宋体" w:hAnsi="宋体" w:eastAsia="宋体" w:cs="宋体"/>
          <w:b/>
          <w:bCs w:val="0"/>
          <w:color w:val="auto"/>
          <w:kern w:val="0"/>
          <w:sz w:val="24"/>
          <w:szCs w:val="24"/>
          <w:highlight w:val="none"/>
          <w:lang w:eastAsia="zh-CN"/>
        </w:rPr>
        <w:t>考核：</w:t>
      </w:r>
    </w:p>
    <w:p>
      <w:pPr>
        <w:keepNext w:val="0"/>
        <w:keepLines w:val="0"/>
        <w:widowControl w:val="0"/>
        <w:suppressLineNumbers w:val="0"/>
        <w:adjustRightInd w:val="0"/>
        <w:snapToGrid w:val="0"/>
        <w:spacing w:before="0" w:beforeAutospacing="0" w:after="0" w:afterAutospacing="0" w:line="40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采购人每年对中标人进行一次考核，考核分数达到80分及以上，视为考核合格，可以续签合同。考核办法详见下表。</w:t>
      </w:r>
    </w:p>
    <w:tbl>
      <w:tblPr>
        <w:tblStyle w:val="63"/>
        <w:tblW w:w="90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9"/>
        <w:gridCol w:w="935"/>
        <w:gridCol w:w="5484"/>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考核项目</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分值</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评分细则</w:t>
            </w:r>
          </w:p>
        </w:tc>
        <w:tc>
          <w:tcPr>
            <w:tcW w:w="9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0"/>
                <w:sz w:val="24"/>
                <w:szCs w:val="24"/>
                <w:highlight w:val="none"/>
                <w:lang w:val="en-US" w:eastAsia="zh-CN" w:bidi="ar"/>
              </w:rPr>
              <w:t>分数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设备维保档案</w:t>
            </w:r>
          </w:p>
        </w:tc>
        <w:tc>
          <w:tcPr>
            <w:tcW w:w="9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A、按时巡查、记录完整（得10分）</w:t>
            </w:r>
          </w:p>
        </w:tc>
        <w:tc>
          <w:tcPr>
            <w:tcW w:w="9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B、未按时巡查或记录缺失（每发现一次扣3分）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C、无人巡查或无巡查记录（本项不得分）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保养内容</w:t>
            </w:r>
          </w:p>
        </w:tc>
        <w:tc>
          <w:tcPr>
            <w:tcW w:w="9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A.按维保计划完成全部保养内容（得20分）</w:t>
            </w:r>
          </w:p>
        </w:tc>
        <w:tc>
          <w:tcPr>
            <w:tcW w:w="9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B.未按维保计划完成保养内容（每少一条扣2分）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维修响应</w:t>
            </w:r>
          </w:p>
        </w:tc>
        <w:tc>
          <w:tcPr>
            <w:tcW w:w="9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A、按竞争性磋商文件要求，在规定时间到达并及时处理完成（得20分）</w:t>
            </w:r>
          </w:p>
        </w:tc>
        <w:tc>
          <w:tcPr>
            <w:tcW w:w="9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B、按竞争性磋商文件要求时间到达，但因维保方人为因素不能按要求时间内处理完成（每发现一次扣3分）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C、超过要求时间到达现场（每发现一次扣6分）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D、未到达现场（本项不得分）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备件材料</w:t>
            </w:r>
          </w:p>
        </w:tc>
        <w:tc>
          <w:tcPr>
            <w:tcW w:w="93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10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A、备件充足、齐全且规格、品质为原厂全新配件（得10分）</w:t>
            </w:r>
          </w:p>
        </w:tc>
        <w:tc>
          <w:tcPr>
            <w:tcW w:w="925" w:type="dxa"/>
            <w:vMerge w:val="restart"/>
            <w:tcBorders>
              <w:top w:val="nil"/>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93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B、备件种类不齐全，或不为原厂全新配件 （本项不得分）</w:t>
            </w:r>
          </w:p>
        </w:tc>
        <w:tc>
          <w:tcPr>
            <w:tcW w:w="925" w:type="dxa"/>
            <w:vMerge w:val="continue"/>
            <w:tcBorders>
              <w:top w:val="nil"/>
              <w:left w:val="nil"/>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维保效果</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维修质量</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（优秀20分/良好10分/差0分）</w:t>
            </w:r>
          </w:p>
        </w:tc>
        <w:tc>
          <w:tcPr>
            <w:tcW w:w="9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开机率</w:t>
            </w:r>
          </w:p>
        </w:tc>
        <w:tc>
          <w:tcPr>
            <w:tcW w:w="93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20</w:t>
            </w:r>
          </w:p>
        </w:tc>
        <w:tc>
          <w:tcPr>
            <w:tcW w:w="548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left"/>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设备实际开机率应不低于95%设备实际开机率</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%（以一年365天计算，未达到要求每一天扣1分）</w:t>
            </w:r>
          </w:p>
        </w:tc>
        <w:tc>
          <w:tcPr>
            <w:tcW w:w="92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val="0"/>
              <w:suppressLineNumbers w:val="0"/>
              <w:adjustRightInd w:val="0"/>
              <w:spacing w:before="0" w:beforeAutospacing="0" w:after="0" w:afterAutospacing="0" w:line="400" w:lineRule="exact"/>
              <w:ind w:left="0" w:right="0"/>
              <w:jc w:val="center"/>
              <w:rPr>
                <w:rFonts w:hint="eastAsia" w:ascii="宋体" w:hAnsi="宋体" w:eastAsia="宋体" w:cs="宋体"/>
                <w:color w:val="auto"/>
                <w:kern w:val="2"/>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val="0"/>
              <w:spacing w:before="0" w:beforeAutospacing="0" w:after="0" w:afterAutospacing="0" w:line="400" w:lineRule="exact"/>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总分100分</w:t>
            </w:r>
          </w:p>
        </w:tc>
        <w:tc>
          <w:tcPr>
            <w:tcW w:w="925"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val="0"/>
              <w:suppressLineNumbers w:val="0"/>
              <w:adjustRightInd w:val="0"/>
              <w:spacing w:before="0" w:beforeAutospacing="0" w:after="0" w:afterAutospacing="0" w:line="400" w:lineRule="exact"/>
              <w:ind w:left="0" w:right="0"/>
              <w:jc w:val="both"/>
              <w:rPr>
                <w:rFonts w:hint="eastAsia" w:ascii="宋体" w:hAnsi="宋体" w:eastAsia="宋体" w:cs="宋体"/>
                <w:color w:val="auto"/>
                <w:kern w:val="2"/>
                <w:sz w:val="24"/>
                <w:szCs w:val="24"/>
                <w:highlight w:val="none"/>
              </w:rPr>
            </w:pPr>
          </w:p>
        </w:tc>
      </w:tr>
    </w:tbl>
    <w:p>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adjustRightInd/>
        <w:spacing w:afterLines="0" w:line="360" w:lineRule="auto"/>
        <w:jc w:val="left"/>
        <w:rPr>
          <w:rFonts w:hint="eastAsia" w:ascii="宋体" w:hAnsi="宋体" w:eastAsia="宋体" w:cs="宋体"/>
          <w:b/>
          <w:bCs w:val="0"/>
          <w:color w:val="auto"/>
          <w:kern w:val="0"/>
          <w:sz w:val="24"/>
          <w:szCs w:val="24"/>
          <w:highlight w:val="none"/>
          <w:lang w:val="en-US" w:eastAsia="zh-CN"/>
        </w:rPr>
      </w:pPr>
    </w:p>
    <w:p>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pPr>
        <w:widowControl/>
        <w:adjustRightInd/>
        <w:spacing w:afterLines="0" w:line="360" w:lineRule="auto"/>
        <w:jc w:val="left"/>
        <w:rPr>
          <w:rFonts w:hint="eastAsia" w:ascii="宋体" w:hAnsi="宋体" w:cs="宋体"/>
          <w:b/>
          <w:bCs w:val="0"/>
          <w:color w:val="auto"/>
          <w:kern w:val="0"/>
          <w:sz w:val="24"/>
          <w:szCs w:val="24"/>
          <w:highlight w:val="none"/>
          <w:lang w:val="en-US" w:eastAsia="zh-CN"/>
        </w:rPr>
      </w:pPr>
    </w:p>
    <w:p>
      <w:pPr>
        <w:widowControl/>
        <w:adjustRightInd/>
        <w:spacing w:afterLines="0" w:line="360" w:lineRule="auto"/>
        <w:jc w:val="left"/>
        <w:rPr>
          <w:rFonts w:hint="default" w:ascii="Times New Roman" w:hAnsi="Times New Roman" w:eastAsia="宋体" w:cs="Times New Roman"/>
          <w:b/>
          <w:bCs/>
          <w:color w:val="auto"/>
          <w:kern w:val="0"/>
          <w:szCs w:val="20"/>
          <w:highlight w:val="none"/>
          <w:lang w:val="en-US" w:eastAsia="zh-CN"/>
        </w:rPr>
      </w:pPr>
      <w:r>
        <w:rPr>
          <w:rFonts w:hint="eastAsia" w:ascii="宋体" w:hAnsi="宋体" w:cs="宋体"/>
          <w:b/>
          <w:bCs w:val="0"/>
          <w:color w:val="auto"/>
          <w:kern w:val="0"/>
          <w:sz w:val="24"/>
          <w:szCs w:val="24"/>
          <w:highlight w:val="none"/>
          <w:lang w:val="en-US" w:eastAsia="zh-CN"/>
        </w:rPr>
        <w:t>四</w:t>
      </w:r>
      <w:r>
        <w:rPr>
          <w:rFonts w:hint="eastAsia" w:ascii="宋体" w:hAnsi="宋体" w:eastAsia="宋体" w:cs="宋体"/>
          <w:b/>
          <w:bCs w:val="0"/>
          <w:color w:val="auto"/>
          <w:kern w:val="0"/>
          <w:sz w:val="24"/>
          <w:szCs w:val="24"/>
          <w:highlight w:val="none"/>
          <w:lang w:val="en-US" w:eastAsia="zh-CN"/>
        </w:rPr>
        <w:t>、其他要求</w:t>
      </w:r>
    </w:p>
    <w:p>
      <w:pPr>
        <w:keepNext w:val="0"/>
        <w:keepLines w:val="0"/>
        <w:pageBreakBefore w:val="0"/>
        <w:widowControl/>
        <w:shd w:val="clear"/>
        <w:tabs>
          <w:tab w:val="left" w:pos="85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供应商需在投标文件中提供项目保修、维修方法或方案、组织和实施计划维修人员配置方案、质量保证措施、设备预防性维护保养计划、培训方案、服务承诺、项目业绩和政策加分等相关证明材料。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textWrapping"/>
      </w:r>
      <w:bookmarkStart w:id="37" w:name="_Toc18651"/>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cs="宋体"/>
          <w:b/>
          <w:sz w:val="36"/>
          <w:szCs w:val="36"/>
          <w:highlight w:val="none"/>
        </w:rPr>
      </w:pPr>
      <w:r>
        <w:rPr>
          <w:rFonts w:hint="eastAsia" w:ascii="宋体" w:hAnsi="宋体" w:cs="宋体"/>
          <w:b/>
          <w:sz w:val="36"/>
          <w:szCs w:val="36"/>
          <w:highlight w:val="none"/>
        </w:rPr>
        <w:t xml:space="preserve">第四部分   </w:t>
      </w:r>
      <w:bookmarkStart w:id="38" w:name="_Toc184312082"/>
      <w:bookmarkEnd w:id="38"/>
      <w:bookmarkStart w:id="39" w:name="_Toc184312098"/>
      <w:bookmarkEnd w:id="39"/>
      <w:bookmarkStart w:id="40" w:name="_Toc184313267"/>
      <w:bookmarkEnd w:id="40"/>
      <w:bookmarkStart w:id="41" w:name="_Toc184310320"/>
      <w:bookmarkEnd w:id="41"/>
      <w:bookmarkStart w:id="42" w:name="_Toc184312138"/>
      <w:bookmarkEnd w:id="42"/>
      <w:bookmarkStart w:id="43" w:name="_Toc184313284"/>
      <w:bookmarkEnd w:id="43"/>
      <w:bookmarkStart w:id="44" w:name="_Toc184313281"/>
      <w:bookmarkEnd w:id="44"/>
      <w:bookmarkStart w:id="45" w:name="_Toc184310312"/>
      <w:bookmarkEnd w:id="45"/>
      <w:bookmarkStart w:id="46" w:name="_Toc184308103"/>
      <w:bookmarkEnd w:id="46"/>
      <w:bookmarkStart w:id="47" w:name="_Toc184312124"/>
      <w:bookmarkEnd w:id="47"/>
      <w:bookmarkStart w:id="48" w:name="_Toc184308041"/>
      <w:bookmarkEnd w:id="48"/>
      <w:bookmarkStart w:id="49" w:name="_Toc184314424"/>
      <w:bookmarkEnd w:id="49"/>
      <w:bookmarkStart w:id="50" w:name="_Toc184314431"/>
      <w:bookmarkEnd w:id="50"/>
      <w:bookmarkStart w:id="51" w:name="_Toc184308075"/>
      <w:bookmarkEnd w:id="51"/>
      <w:bookmarkStart w:id="52" w:name="_Toc184312131"/>
      <w:bookmarkEnd w:id="52"/>
      <w:bookmarkStart w:id="53" w:name="_Toc184313240"/>
      <w:bookmarkEnd w:id="53"/>
      <w:bookmarkStart w:id="54" w:name="_Toc184308079"/>
      <w:bookmarkEnd w:id="54"/>
      <w:bookmarkStart w:id="55" w:name="_Toc184312129"/>
      <w:bookmarkEnd w:id="55"/>
      <w:bookmarkStart w:id="56" w:name="_Toc184312107"/>
      <w:bookmarkEnd w:id="56"/>
      <w:bookmarkStart w:id="57" w:name="_Toc184310294"/>
      <w:bookmarkEnd w:id="57"/>
      <w:bookmarkStart w:id="58" w:name="_Toc184313238"/>
      <w:bookmarkEnd w:id="58"/>
      <w:bookmarkStart w:id="59" w:name="_Toc184308056"/>
      <w:bookmarkEnd w:id="59"/>
      <w:bookmarkStart w:id="60" w:name="_Toc184314415"/>
      <w:bookmarkEnd w:id="60"/>
      <w:bookmarkStart w:id="61" w:name="_Toc184310338"/>
      <w:bookmarkEnd w:id="61"/>
      <w:bookmarkStart w:id="62" w:name="_Toc184308046"/>
      <w:bookmarkEnd w:id="62"/>
      <w:bookmarkStart w:id="63" w:name="_Toc184314459"/>
      <w:bookmarkEnd w:id="63"/>
      <w:bookmarkStart w:id="64" w:name="_Toc184314458"/>
      <w:bookmarkEnd w:id="64"/>
      <w:bookmarkStart w:id="65" w:name="_Toc184312100"/>
      <w:bookmarkEnd w:id="65"/>
      <w:bookmarkStart w:id="66" w:name="_Toc184312135"/>
      <w:bookmarkEnd w:id="66"/>
      <w:bookmarkStart w:id="67" w:name="_Toc184312121"/>
      <w:bookmarkEnd w:id="67"/>
      <w:bookmarkStart w:id="68" w:name="_Toc184310323"/>
      <w:bookmarkEnd w:id="68"/>
      <w:bookmarkStart w:id="69" w:name="_Toc184313254"/>
      <w:bookmarkEnd w:id="69"/>
      <w:bookmarkStart w:id="70" w:name="_Toc184310306"/>
      <w:bookmarkEnd w:id="70"/>
      <w:bookmarkStart w:id="71" w:name="_Toc184308077"/>
      <w:bookmarkEnd w:id="71"/>
      <w:bookmarkStart w:id="72" w:name="_Toc184312076"/>
      <w:bookmarkEnd w:id="72"/>
      <w:bookmarkStart w:id="73" w:name="_Toc184314481"/>
      <w:bookmarkEnd w:id="73"/>
      <w:bookmarkStart w:id="74" w:name="_Toc184312073"/>
      <w:bookmarkEnd w:id="74"/>
      <w:bookmarkStart w:id="75" w:name="_Toc184312113"/>
      <w:bookmarkEnd w:id="75"/>
      <w:bookmarkStart w:id="76" w:name="_Toc184312128"/>
      <w:bookmarkEnd w:id="76"/>
      <w:bookmarkStart w:id="77" w:name="_Toc184313242"/>
      <w:bookmarkEnd w:id="77"/>
      <w:bookmarkStart w:id="78" w:name="_Toc184312133"/>
      <w:bookmarkEnd w:id="78"/>
      <w:bookmarkStart w:id="79" w:name="_Toc184314416"/>
      <w:bookmarkEnd w:id="79"/>
      <w:bookmarkStart w:id="80" w:name="_Toc184312080"/>
      <w:bookmarkEnd w:id="80"/>
      <w:bookmarkStart w:id="81" w:name="_Toc184313285"/>
      <w:bookmarkEnd w:id="81"/>
      <w:bookmarkStart w:id="82" w:name="_Toc184310288"/>
      <w:bookmarkEnd w:id="82"/>
      <w:bookmarkStart w:id="83" w:name="_Toc184312139"/>
      <w:bookmarkEnd w:id="83"/>
      <w:bookmarkStart w:id="84" w:name="_Toc184313288"/>
      <w:bookmarkEnd w:id="84"/>
      <w:bookmarkStart w:id="85" w:name="_Toc184312125"/>
      <w:bookmarkEnd w:id="85"/>
      <w:bookmarkStart w:id="86" w:name="_Toc184312134"/>
      <w:bookmarkEnd w:id="86"/>
      <w:bookmarkStart w:id="87" w:name="_Toc184313300"/>
      <w:bookmarkEnd w:id="87"/>
      <w:bookmarkStart w:id="88" w:name="_Toc184308082"/>
      <w:bookmarkEnd w:id="88"/>
      <w:bookmarkStart w:id="89" w:name="_Toc184308091"/>
      <w:bookmarkEnd w:id="89"/>
      <w:bookmarkStart w:id="90" w:name="_Toc184310298"/>
      <w:bookmarkEnd w:id="90"/>
      <w:bookmarkStart w:id="91" w:name="_Toc184310326"/>
      <w:bookmarkEnd w:id="91"/>
      <w:bookmarkStart w:id="92" w:name="_Toc184308040"/>
      <w:bookmarkEnd w:id="92"/>
      <w:bookmarkStart w:id="93" w:name="_Toc184312109"/>
      <w:bookmarkEnd w:id="93"/>
      <w:bookmarkStart w:id="94" w:name="_Toc184310322"/>
      <w:bookmarkEnd w:id="94"/>
      <w:bookmarkStart w:id="95" w:name="_Toc184314434"/>
      <w:bookmarkEnd w:id="95"/>
      <w:bookmarkStart w:id="96" w:name="_Toc184314432"/>
      <w:bookmarkEnd w:id="96"/>
      <w:bookmarkStart w:id="97" w:name="_Toc184308055"/>
      <w:bookmarkEnd w:id="97"/>
      <w:bookmarkStart w:id="98" w:name="_Toc184314442"/>
      <w:bookmarkEnd w:id="98"/>
      <w:bookmarkStart w:id="99" w:name="_Toc184308102"/>
      <w:bookmarkEnd w:id="99"/>
      <w:bookmarkStart w:id="100" w:name="_Toc184312068"/>
      <w:bookmarkEnd w:id="100"/>
      <w:bookmarkStart w:id="101" w:name="_Toc184312070"/>
      <w:bookmarkEnd w:id="101"/>
      <w:bookmarkStart w:id="102" w:name="_Toc184308093"/>
      <w:bookmarkEnd w:id="102"/>
      <w:bookmarkStart w:id="103" w:name="_Toc184308057"/>
      <w:bookmarkEnd w:id="103"/>
      <w:bookmarkStart w:id="104" w:name="_Toc184313297"/>
      <w:bookmarkEnd w:id="104"/>
      <w:bookmarkStart w:id="105" w:name="_Toc184314469"/>
      <w:bookmarkEnd w:id="105"/>
      <w:bookmarkStart w:id="106" w:name="_Toc184313255"/>
      <w:bookmarkEnd w:id="106"/>
      <w:bookmarkStart w:id="107" w:name="_Toc184313271"/>
      <w:bookmarkEnd w:id="107"/>
      <w:bookmarkStart w:id="108" w:name="_Toc184312112"/>
      <w:bookmarkEnd w:id="108"/>
      <w:bookmarkStart w:id="109" w:name="_Toc184313304"/>
      <w:bookmarkEnd w:id="109"/>
      <w:bookmarkStart w:id="110" w:name="_Toc184314413"/>
      <w:bookmarkEnd w:id="110"/>
      <w:bookmarkStart w:id="111" w:name="_Toc184314475"/>
      <w:bookmarkEnd w:id="111"/>
      <w:bookmarkStart w:id="112" w:name="_Toc184308054"/>
      <w:bookmarkEnd w:id="112"/>
      <w:bookmarkStart w:id="113" w:name="_Toc184314436"/>
      <w:bookmarkEnd w:id="113"/>
      <w:bookmarkStart w:id="114" w:name="_Toc184314467"/>
      <w:bookmarkEnd w:id="114"/>
      <w:bookmarkStart w:id="115" w:name="_Toc184312104"/>
      <w:bookmarkEnd w:id="115"/>
      <w:bookmarkStart w:id="116" w:name="_Toc184312119"/>
      <w:bookmarkEnd w:id="116"/>
      <w:bookmarkStart w:id="117" w:name="_Toc184310337"/>
      <w:bookmarkEnd w:id="117"/>
      <w:bookmarkStart w:id="118" w:name="_Toc184314479"/>
      <w:bookmarkEnd w:id="118"/>
      <w:bookmarkStart w:id="119" w:name="_Toc184312091"/>
      <w:bookmarkEnd w:id="119"/>
      <w:bookmarkStart w:id="120" w:name="_Toc184313291"/>
      <w:bookmarkEnd w:id="120"/>
      <w:bookmarkStart w:id="121" w:name="_Toc184310304"/>
      <w:bookmarkEnd w:id="121"/>
      <w:bookmarkStart w:id="122" w:name="_Toc184314445"/>
      <w:bookmarkEnd w:id="122"/>
      <w:bookmarkStart w:id="123" w:name="_Toc184313270"/>
      <w:bookmarkEnd w:id="123"/>
      <w:bookmarkStart w:id="124" w:name="_Toc184310302"/>
      <w:bookmarkEnd w:id="124"/>
      <w:bookmarkStart w:id="125" w:name="_Toc184313266"/>
      <w:bookmarkEnd w:id="125"/>
      <w:bookmarkStart w:id="126" w:name="_Toc184312126"/>
      <w:bookmarkEnd w:id="126"/>
      <w:bookmarkStart w:id="127" w:name="_Toc184310310"/>
      <w:bookmarkEnd w:id="127"/>
      <w:bookmarkStart w:id="128" w:name="_Toc184312090"/>
      <w:bookmarkEnd w:id="128"/>
      <w:bookmarkStart w:id="129" w:name="_Toc184308064"/>
      <w:bookmarkEnd w:id="129"/>
      <w:bookmarkStart w:id="130" w:name="_Toc184313251"/>
      <w:bookmarkEnd w:id="130"/>
      <w:bookmarkStart w:id="131" w:name="_Toc184310314"/>
      <w:bookmarkEnd w:id="131"/>
      <w:bookmarkStart w:id="132" w:name="_Toc184314421"/>
      <w:bookmarkEnd w:id="132"/>
      <w:bookmarkStart w:id="133" w:name="_Toc184313276"/>
      <w:bookmarkEnd w:id="133"/>
      <w:bookmarkStart w:id="134" w:name="_Toc184308069"/>
      <w:bookmarkEnd w:id="134"/>
      <w:bookmarkStart w:id="135" w:name="_Toc184312127"/>
      <w:bookmarkEnd w:id="135"/>
      <w:bookmarkStart w:id="136" w:name="_Toc184308062"/>
      <w:bookmarkEnd w:id="136"/>
      <w:bookmarkStart w:id="137" w:name="_Toc184312092"/>
      <w:bookmarkEnd w:id="137"/>
      <w:bookmarkStart w:id="138" w:name="_Toc184314435"/>
      <w:bookmarkEnd w:id="138"/>
      <w:bookmarkStart w:id="139" w:name="_Toc184308081"/>
      <w:bookmarkEnd w:id="139"/>
      <w:bookmarkStart w:id="140" w:name="_Toc184308058"/>
      <w:bookmarkEnd w:id="140"/>
      <w:bookmarkStart w:id="141" w:name="_Toc184310316"/>
      <w:bookmarkEnd w:id="141"/>
      <w:bookmarkStart w:id="142" w:name="_Toc184310343"/>
      <w:bookmarkEnd w:id="142"/>
      <w:bookmarkStart w:id="143" w:name="_Toc184312096"/>
      <w:bookmarkEnd w:id="143"/>
      <w:bookmarkStart w:id="144" w:name="_Toc184313252"/>
      <w:bookmarkEnd w:id="144"/>
      <w:bookmarkStart w:id="145" w:name="_Toc184313305"/>
      <w:bookmarkEnd w:id="145"/>
      <w:bookmarkStart w:id="146" w:name="_Toc184308088"/>
      <w:bookmarkEnd w:id="146"/>
      <w:bookmarkStart w:id="147" w:name="_Toc184310279"/>
      <w:bookmarkEnd w:id="147"/>
      <w:bookmarkStart w:id="148" w:name="_Toc184308078"/>
      <w:bookmarkEnd w:id="148"/>
      <w:bookmarkStart w:id="149" w:name="_Toc184313259"/>
      <w:bookmarkEnd w:id="149"/>
      <w:bookmarkStart w:id="150" w:name="_Toc184313309"/>
      <w:bookmarkEnd w:id="150"/>
      <w:bookmarkStart w:id="151" w:name="_Toc184308107"/>
      <w:bookmarkEnd w:id="151"/>
      <w:bookmarkStart w:id="152" w:name="_Toc184314440"/>
      <w:bookmarkEnd w:id="152"/>
      <w:bookmarkStart w:id="153" w:name="_Toc184313261"/>
      <w:bookmarkEnd w:id="153"/>
      <w:bookmarkStart w:id="154" w:name="_Toc184310325"/>
      <w:bookmarkEnd w:id="154"/>
      <w:bookmarkStart w:id="155" w:name="_Toc184308095"/>
      <w:bookmarkEnd w:id="155"/>
      <w:bookmarkStart w:id="156" w:name="_Toc184310342"/>
      <w:bookmarkEnd w:id="156"/>
      <w:bookmarkStart w:id="157" w:name="_Toc184310293"/>
      <w:bookmarkEnd w:id="157"/>
      <w:bookmarkStart w:id="158" w:name="_Toc184312093"/>
      <w:bookmarkEnd w:id="158"/>
      <w:bookmarkStart w:id="159" w:name="_Toc184312077"/>
      <w:bookmarkEnd w:id="159"/>
      <w:bookmarkStart w:id="160" w:name="_Toc184312111"/>
      <w:bookmarkEnd w:id="160"/>
      <w:bookmarkStart w:id="161" w:name="_Toc184310277"/>
      <w:bookmarkEnd w:id="161"/>
      <w:bookmarkStart w:id="162" w:name="_Toc184314477"/>
      <w:bookmarkEnd w:id="162"/>
      <w:bookmarkStart w:id="163" w:name="_Toc184314428"/>
      <w:bookmarkEnd w:id="163"/>
      <w:bookmarkStart w:id="164" w:name="_Toc184308094"/>
      <w:bookmarkEnd w:id="164"/>
      <w:bookmarkStart w:id="165" w:name="_Toc184310290"/>
      <w:bookmarkEnd w:id="165"/>
      <w:bookmarkStart w:id="166" w:name="_Toc184313256"/>
      <w:bookmarkEnd w:id="166"/>
      <w:bookmarkStart w:id="167" w:name="_Toc184313290"/>
      <w:bookmarkEnd w:id="167"/>
      <w:bookmarkStart w:id="168" w:name="_Toc184310272"/>
      <w:bookmarkEnd w:id="168"/>
      <w:bookmarkStart w:id="169" w:name="_Toc184314456"/>
      <w:bookmarkEnd w:id="169"/>
      <w:bookmarkStart w:id="170" w:name="_Toc184310318"/>
      <w:bookmarkEnd w:id="170"/>
      <w:bookmarkStart w:id="171" w:name="_Toc184313289"/>
      <w:bookmarkEnd w:id="171"/>
      <w:bookmarkStart w:id="172" w:name="_Toc184312114"/>
      <w:bookmarkEnd w:id="172"/>
      <w:bookmarkStart w:id="173" w:name="_Toc184314439"/>
      <w:bookmarkEnd w:id="173"/>
      <w:bookmarkStart w:id="174" w:name="_Toc184310344"/>
      <w:bookmarkEnd w:id="174"/>
      <w:bookmarkStart w:id="175" w:name="_Toc184312101"/>
      <w:bookmarkEnd w:id="175"/>
      <w:bookmarkStart w:id="176" w:name="_Toc184314433"/>
      <w:bookmarkEnd w:id="176"/>
      <w:bookmarkStart w:id="177" w:name="_Toc184308096"/>
      <w:bookmarkEnd w:id="177"/>
      <w:bookmarkStart w:id="178" w:name="_Toc184310283"/>
      <w:bookmarkEnd w:id="178"/>
      <w:bookmarkStart w:id="179" w:name="_Toc184314482"/>
      <w:bookmarkEnd w:id="179"/>
      <w:bookmarkStart w:id="180" w:name="_Toc184313246"/>
      <w:bookmarkEnd w:id="180"/>
      <w:bookmarkStart w:id="181" w:name="_Toc184310307"/>
      <w:bookmarkEnd w:id="181"/>
      <w:bookmarkStart w:id="182" w:name="_Toc184314463"/>
      <w:bookmarkEnd w:id="182"/>
      <w:bookmarkStart w:id="183" w:name="_Toc184313257"/>
      <w:bookmarkEnd w:id="183"/>
      <w:bookmarkStart w:id="184" w:name="_Toc184308068"/>
      <w:bookmarkEnd w:id="184"/>
      <w:bookmarkStart w:id="185" w:name="_Toc184308099"/>
      <w:bookmarkEnd w:id="185"/>
      <w:bookmarkStart w:id="186" w:name="_Toc184310282"/>
      <w:bookmarkEnd w:id="186"/>
      <w:bookmarkStart w:id="187" w:name="_Toc184308036"/>
      <w:bookmarkEnd w:id="187"/>
      <w:bookmarkStart w:id="188" w:name="_Toc184310324"/>
      <w:bookmarkEnd w:id="188"/>
      <w:bookmarkStart w:id="189" w:name="_Toc184308063"/>
      <w:bookmarkEnd w:id="189"/>
      <w:bookmarkStart w:id="190" w:name="_Toc184313250"/>
      <w:bookmarkEnd w:id="190"/>
      <w:bookmarkStart w:id="191" w:name="_Toc184314472"/>
      <w:bookmarkEnd w:id="191"/>
      <w:bookmarkStart w:id="192" w:name="_Toc184308074"/>
      <w:bookmarkEnd w:id="192"/>
      <w:bookmarkStart w:id="193" w:name="_Toc184308042"/>
      <w:bookmarkEnd w:id="193"/>
      <w:bookmarkStart w:id="194" w:name="_Toc184312084"/>
      <w:bookmarkEnd w:id="194"/>
      <w:bookmarkStart w:id="195" w:name="_Toc184313279"/>
      <w:bookmarkEnd w:id="195"/>
      <w:bookmarkStart w:id="196" w:name="_Toc184308105"/>
      <w:bookmarkEnd w:id="196"/>
      <w:bookmarkStart w:id="197" w:name="_Toc184314452"/>
      <w:bookmarkEnd w:id="197"/>
      <w:bookmarkStart w:id="198" w:name="_Toc184312132"/>
      <w:bookmarkEnd w:id="198"/>
      <w:bookmarkStart w:id="199" w:name="_Toc184314480"/>
      <w:bookmarkEnd w:id="199"/>
      <w:bookmarkStart w:id="200" w:name="_Toc184313299"/>
      <w:bookmarkEnd w:id="200"/>
      <w:bookmarkStart w:id="201" w:name="_Toc184313249"/>
      <w:bookmarkEnd w:id="201"/>
      <w:bookmarkStart w:id="202" w:name="_Toc184310332"/>
      <w:bookmarkEnd w:id="202"/>
      <w:bookmarkStart w:id="203" w:name="_Toc184308050"/>
      <w:bookmarkEnd w:id="203"/>
      <w:bookmarkStart w:id="204" w:name="_Toc184308051"/>
      <w:bookmarkEnd w:id="204"/>
      <w:bookmarkStart w:id="205" w:name="_Toc184312085"/>
      <w:bookmarkEnd w:id="205"/>
      <w:bookmarkStart w:id="206" w:name="_Toc184310284"/>
      <w:bookmarkEnd w:id="206"/>
      <w:bookmarkStart w:id="207" w:name="_Toc184312137"/>
      <w:bookmarkEnd w:id="207"/>
      <w:bookmarkStart w:id="208" w:name="_Toc184313286"/>
      <w:bookmarkEnd w:id="208"/>
      <w:bookmarkStart w:id="209" w:name="_Toc184314429"/>
      <w:bookmarkEnd w:id="209"/>
      <w:bookmarkStart w:id="210" w:name="_Toc184312078"/>
      <w:bookmarkEnd w:id="210"/>
      <w:bookmarkStart w:id="211" w:name="_Toc184308101"/>
      <w:bookmarkEnd w:id="211"/>
      <w:bookmarkStart w:id="212" w:name="_Toc184308037"/>
      <w:bookmarkEnd w:id="212"/>
      <w:bookmarkStart w:id="213" w:name="_Toc184313310"/>
      <w:bookmarkEnd w:id="213"/>
      <w:bookmarkStart w:id="214" w:name="_Toc184310286"/>
      <w:bookmarkEnd w:id="214"/>
      <w:bookmarkStart w:id="215" w:name="_Toc184308098"/>
      <w:bookmarkEnd w:id="215"/>
      <w:bookmarkStart w:id="216" w:name="_Toc184308092"/>
      <w:bookmarkEnd w:id="216"/>
      <w:bookmarkStart w:id="217" w:name="_Toc184314462"/>
      <w:bookmarkEnd w:id="217"/>
      <w:bookmarkStart w:id="218" w:name="_Toc184313283"/>
      <w:bookmarkEnd w:id="218"/>
      <w:bookmarkStart w:id="219" w:name="_Toc184314457"/>
      <w:bookmarkEnd w:id="219"/>
      <w:bookmarkStart w:id="220" w:name="_Toc184314443"/>
      <w:bookmarkEnd w:id="220"/>
      <w:bookmarkStart w:id="221" w:name="_Toc184314444"/>
      <w:bookmarkEnd w:id="221"/>
      <w:bookmarkStart w:id="222" w:name="_Toc184313275"/>
      <w:bookmarkEnd w:id="222"/>
      <w:bookmarkStart w:id="223" w:name="_Toc184312117"/>
      <w:bookmarkEnd w:id="223"/>
      <w:bookmarkStart w:id="224" w:name="_Toc184314425"/>
      <w:bookmarkEnd w:id="224"/>
      <w:bookmarkStart w:id="225" w:name="_Toc184308076"/>
      <w:bookmarkEnd w:id="225"/>
      <w:bookmarkStart w:id="226" w:name="_Toc184313239"/>
      <w:bookmarkEnd w:id="226"/>
      <w:bookmarkStart w:id="227" w:name="_Toc184310340"/>
      <w:bookmarkEnd w:id="227"/>
      <w:bookmarkStart w:id="228" w:name="_Toc184312088"/>
      <w:bookmarkEnd w:id="228"/>
      <w:bookmarkStart w:id="229" w:name="_Toc184308048"/>
      <w:bookmarkEnd w:id="229"/>
      <w:bookmarkStart w:id="230" w:name="_Toc184313244"/>
      <w:bookmarkEnd w:id="230"/>
      <w:bookmarkStart w:id="231" w:name="_Toc184312087"/>
      <w:bookmarkEnd w:id="231"/>
      <w:bookmarkStart w:id="232" w:name="_Toc184310313"/>
      <w:bookmarkEnd w:id="232"/>
      <w:bookmarkStart w:id="233" w:name="_Toc184314470"/>
      <w:bookmarkEnd w:id="233"/>
      <w:bookmarkStart w:id="234" w:name="_Toc184308060"/>
      <w:bookmarkEnd w:id="234"/>
      <w:bookmarkStart w:id="235" w:name="_Toc184310339"/>
      <w:bookmarkEnd w:id="235"/>
      <w:bookmarkStart w:id="236" w:name="_Toc184310329"/>
      <w:bookmarkEnd w:id="236"/>
      <w:bookmarkStart w:id="237" w:name="_Toc184313301"/>
      <w:bookmarkEnd w:id="237"/>
      <w:bookmarkStart w:id="238" w:name="_Toc184313278"/>
      <w:bookmarkEnd w:id="238"/>
      <w:bookmarkStart w:id="239" w:name="_Toc184314412"/>
      <w:bookmarkEnd w:id="239"/>
      <w:bookmarkStart w:id="240" w:name="_Toc184310300"/>
      <w:bookmarkEnd w:id="240"/>
      <w:bookmarkStart w:id="241" w:name="_Toc184312081"/>
      <w:bookmarkEnd w:id="241"/>
      <w:bookmarkStart w:id="242" w:name="_Toc184312110"/>
      <w:bookmarkEnd w:id="242"/>
      <w:bookmarkStart w:id="243" w:name="_Toc184312122"/>
      <w:bookmarkEnd w:id="243"/>
      <w:bookmarkStart w:id="244" w:name="_Toc184314423"/>
      <w:bookmarkEnd w:id="244"/>
      <w:bookmarkStart w:id="245" w:name="_Toc184313282"/>
      <w:bookmarkEnd w:id="245"/>
      <w:bookmarkStart w:id="246" w:name="_Toc184310336"/>
      <w:bookmarkEnd w:id="246"/>
      <w:bookmarkStart w:id="247" w:name="_Toc184314476"/>
      <w:bookmarkEnd w:id="247"/>
      <w:bookmarkStart w:id="248" w:name="_Toc184310289"/>
      <w:bookmarkEnd w:id="248"/>
      <w:bookmarkStart w:id="249" w:name="_Toc184314437"/>
      <w:bookmarkEnd w:id="249"/>
      <w:bookmarkStart w:id="250" w:name="_Toc184314460"/>
      <w:bookmarkEnd w:id="250"/>
      <w:bookmarkStart w:id="251" w:name="_Toc184313258"/>
      <w:bookmarkEnd w:id="251"/>
      <w:bookmarkStart w:id="252" w:name="_Toc184308044"/>
      <w:bookmarkEnd w:id="252"/>
      <w:bookmarkStart w:id="253" w:name="_Toc184312118"/>
      <w:bookmarkEnd w:id="253"/>
      <w:bookmarkStart w:id="254" w:name="_Toc184314418"/>
      <w:bookmarkEnd w:id="254"/>
      <w:bookmarkStart w:id="255" w:name="_Toc184310273"/>
      <w:bookmarkEnd w:id="255"/>
      <w:bookmarkStart w:id="256" w:name="_Toc184310331"/>
      <w:bookmarkEnd w:id="256"/>
      <w:bookmarkStart w:id="257" w:name="_Toc184313268"/>
      <w:bookmarkEnd w:id="257"/>
      <w:bookmarkStart w:id="258" w:name="_Toc184313306"/>
      <w:bookmarkEnd w:id="258"/>
      <w:bookmarkStart w:id="259" w:name="_Toc184312071"/>
      <w:bookmarkEnd w:id="259"/>
      <w:bookmarkStart w:id="260" w:name="_Toc184312105"/>
      <w:bookmarkEnd w:id="260"/>
      <w:bookmarkStart w:id="261" w:name="_Toc184308065"/>
      <w:bookmarkEnd w:id="261"/>
      <w:bookmarkStart w:id="262" w:name="_Toc184310319"/>
      <w:bookmarkEnd w:id="262"/>
      <w:bookmarkStart w:id="263" w:name="_Toc184310299"/>
      <w:bookmarkEnd w:id="263"/>
      <w:bookmarkStart w:id="264" w:name="_Toc184313308"/>
      <w:bookmarkEnd w:id="264"/>
      <w:bookmarkStart w:id="265" w:name="_Toc184310301"/>
      <w:bookmarkEnd w:id="265"/>
      <w:bookmarkStart w:id="266" w:name="_Toc184312075"/>
      <w:bookmarkEnd w:id="266"/>
      <w:bookmarkStart w:id="267" w:name="_Toc184308067"/>
      <w:bookmarkEnd w:id="267"/>
      <w:bookmarkStart w:id="268" w:name="_Toc184314422"/>
      <w:bookmarkEnd w:id="268"/>
      <w:bookmarkStart w:id="269" w:name="_Toc184308043"/>
      <w:bookmarkEnd w:id="269"/>
      <w:bookmarkStart w:id="270" w:name="_Toc184313273"/>
      <w:bookmarkEnd w:id="270"/>
      <w:bookmarkStart w:id="271" w:name="_Toc184312130"/>
      <w:bookmarkEnd w:id="271"/>
      <w:bookmarkStart w:id="272" w:name="_Toc184310305"/>
      <w:bookmarkEnd w:id="272"/>
      <w:bookmarkStart w:id="273" w:name="_Toc184308053"/>
      <w:bookmarkEnd w:id="273"/>
      <w:bookmarkStart w:id="274" w:name="_Toc184312099"/>
      <w:bookmarkEnd w:id="274"/>
      <w:bookmarkStart w:id="275" w:name="_Toc184313295"/>
      <w:bookmarkEnd w:id="275"/>
      <w:bookmarkStart w:id="276" w:name="_Toc184310334"/>
      <w:bookmarkEnd w:id="276"/>
      <w:bookmarkStart w:id="277" w:name="_Toc184310311"/>
      <w:bookmarkEnd w:id="277"/>
      <w:bookmarkStart w:id="278" w:name="_Toc184314426"/>
      <w:bookmarkEnd w:id="278"/>
      <w:bookmarkStart w:id="279" w:name="_Toc184310327"/>
      <w:bookmarkEnd w:id="279"/>
      <w:bookmarkStart w:id="280" w:name="_Toc184314473"/>
      <w:bookmarkEnd w:id="280"/>
      <w:bookmarkStart w:id="281" w:name="_Toc184313263"/>
      <w:bookmarkEnd w:id="281"/>
      <w:bookmarkStart w:id="282" w:name="_Toc184312123"/>
      <w:bookmarkEnd w:id="282"/>
      <w:bookmarkStart w:id="283" w:name="_Toc184313298"/>
      <w:bookmarkEnd w:id="283"/>
      <w:bookmarkStart w:id="284" w:name="_Toc184308106"/>
      <w:bookmarkEnd w:id="284"/>
      <w:bookmarkStart w:id="285" w:name="_Toc184313260"/>
      <w:bookmarkEnd w:id="285"/>
      <w:bookmarkStart w:id="286" w:name="_Toc184308083"/>
      <w:bookmarkEnd w:id="286"/>
      <w:bookmarkStart w:id="287" w:name="_Toc184314478"/>
      <w:bookmarkEnd w:id="287"/>
      <w:bookmarkStart w:id="288" w:name="_Toc184308089"/>
      <w:bookmarkEnd w:id="288"/>
      <w:bookmarkStart w:id="289" w:name="_Toc184310276"/>
      <w:bookmarkEnd w:id="289"/>
      <w:bookmarkStart w:id="290" w:name="_Toc184313253"/>
      <w:bookmarkEnd w:id="290"/>
      <w:bookmarkStart w:id="291" w:name="_Toc184312069"/>
      <w:bookmarkEnd w:id="291"/>
      <w:bookmarkStart w:id="292" w:name="_Toc184310275"/>
      <w:bookmarkEnd w:id="292"/>
      <w:bookmarkStart w:id="293" w:name="_Toc184314466"/>
      <w:bookmarkEnd w:id="293"/>
      <w:bookmarkStart w:id="294" w:name="_Toc184314448"/>
      <w:bookmarkEnd w:id="294"/>
      <w:bookmarkStart w:id="295" w:name="_Toc184312102"/>
      <w:bookmarkEnd w:id="295"/>
      <w:bookmarkStart w:id="296" w:name="_Toc184308052"/>
      <w:bookmarkEnd w:id="296"/>
      <w:bookmarkStart w:id="297" w:name="_Toc184310291"/>
      <w:bookmarkEnd w:id="297"/>
      <w:bookmarkStart w:id="298" w:name="_Toc184308066"/>
      <w:bookmarkEnd w:id="298"/>
      <w:bookmarkStart w:id="299" w:name="_Toc184310280"/>
      <w:bookmarkEnd w:id="299"/>
      <w:bookmarkStart w:id="300" w:name="_Toc184312072"/>
      <w:bookmarkEnd w:id="300"/>
      <w:bookmarkStart w:id="301" w:name="_Toc184308045"/>
      <w:bookmarkEnd w:id="301"/>
      <w:bookmarkStart w:id="302" w:name="_Toc184313241"/>
      <w:bookmarkEnd w:id="302"/>
      <w:bookmarkStart w:id="303" w:name="_Toc184310303"/>
      <w:bookmarkEnd w:id="303"/>
      <w:bookmarkStart w:id="304" w:name="_Toc184314471"/>
      <w:bookmarkEnd w:id="304"/>
      <w:bookmarkStart w:id="305" w:name="_Toc184312116"/>
      <w:bookmarkEnd w:id="305"/>
      <w:bookmarkStart w:id="306" w:name="_Toc184313307"/>
      <w:bookmarkEnd w:id="306"/>
      <w:bookmarkStart w:id="307" w:name="_Toc184310297"/>
      <w:bookmarkEnd w:id="307"/>
      <w:bookmarkStart w:id="308" w:name="_Toc184312136"/>
      <w:bookmarkEnd w:id="308"/>
      <w:bookmarkStart w:id="309" w:name="_Toc184312067"/>
      <w:bookmarkEnd w:id="309"/>
      <w:bookmarkStart w:id="310" w:name="_Toc184308085"/>
      <w:bookmarkEnd w:id="310"/>
      <w:bookmarkStart w:id="311" w:name="_Toc184313262"/>
      <w:bookmarkEnd w:id="311"/>
      <w:bookmarkStart w:id="312" w:name="_Toc184314454"/>
      <w:bookmarkEnd w:id="312"/>
      <w:bookmarkStart w:id="313" w:name="_Toc184314430"/>
      <w:bookmarkEnd w:id="313"/>
      <w:bookmarkStart w:id="314" w:name="_Toc184314417"/>
      <w:bookmarkEnd w:id="314"/>
      <w:bookmarkStart w:id="315" w:name="_Toc184308038"/>
      <w:bookmarkEnd w:id="315"/>
      <w:bookmarkStart w:id="316" w:name="_Toc184308049"/>
      <w:bookmarkEnd w:id="316"/>
      <w:bookmarkStart w:id="317" w:name="_Toc184313274"/>
      <w:bookmarkEnd w:id="317"/>
      <w:bookmarkStart w:id="318" w:name="_Toc184314441"/>
      <w:bookmarkEnd w:id="318"/>
      <w:bookmarkStart w:id="319" w:name="_Toc184314464"/>
      <w:bookmarkEnd w:id="319"/>
      <w:bookmarkStart w:id="320" w:name="_Toc184313302"/>
      <w:bookmarkEnd w:id="320"/>
      <w:bookmarkStart w:id="321" w:name="_Toc184312115"/>
      <w:bookmarkEnd w:id="321"/>
      <w:bookmarkStart w:id="322" w:name="_Toc184313264"/>
      <w:bookmarkEnd w:id="322"/>
      <w:bookmarkStart w:id="323" w:name="_Toc184310328"/>
      <w:bookmarkEnd w:id="323"/>
      <w:bookmarkStart w:id="324" w:name="_Toc184308086"/>
      <w:bookmarkEnd w:id="324"/>
      <w:bookmarkStart w:id="325" w:name="_Toc184314411"/>
      <w:bookmarkEnd w:id="325"/>
      <w:bookmarkStart w:id="326" w:name="_Toc184314419"/>
      <w:bookmarkEnd w:id="326"/>
      <w:bookmarkStart w:id="327" w:name="_Toc184308090"/>
      <w:bookmarkEnd w:id="327"/>
      <w:bookmarkStart w:id="328" w:name="_Toc184308087"/>
      <w:bookmarkEnd w:id="328"/>
      <w:bookmarkStart w:id="329" w:name="_Toc184314451"/>
      <w:bookmarkEnd w:id="329"/>
      <w:bookmarkStart w:id="330" w:name="_Toc184310285"/>
      <w:bookmarkEnd w:id="330"/>
      <w:bookmarkStart w:id="331" w:name="_Toc184310335"/>
      <w:bookmarkEnd w:id="331"/>
      <w:bookmarkStart w:id="332" w:name="_Toc184308097"/>
      <w:bookmarkEnd w:id="332"/>
      <w:bookmarkStart w:id="333" w:name="_Toc184314461"/>
      <w:bookmarkEnd w:id="333"/>
      <w:bookmarkStart w:id="334" w:name="_Toc184312089"/>
      <w:bookmarkEnd w:id="334"/>
      <w:bookmarkStart w:id="335" w:name="_Toc184314414"/>
      <w:bookmarkEnd w:id="335"/>
      <w:bookmarkStart w:id="336" w:name="_Toc184308039"/>
      <w:bookmarkEnd w:id="336"/>
      <w:bookmarkStart w:id="337" w:name="_Toc184313243"/>
      <w:bookmarkEnd w:id="337"/>
      <w:bookmarkStart w:id="338" w:name="_Toc184312074"/>
      <w:bookmarkEnd w:id="338"/>
      <w:bookmarkStart w:id="339" w:name="_Toc184310317"/>
      <w:bookmarkEnd w:id="339"/>
      <w:bookmarkStart w:id="340" w:name="_Toc184310292"/>
      <w:bookmarkEnd w:id="340"/>
      <w:bookmarkStart w:id="341" w:name="_Toc184313245"/>
      <w:bookmarkEnd w:id="341"/>
      <w:bookmarkStart w:id="342" w:name="_Toc184310321"/>
      <w:bookmarkEnd w:id="342"/>
      <w:bookmarkStart w:id="343" w:name="_Toc184308073"/>
      <w:bookmarkEnd w:id="343"/>
      <w:bookmarkStart w:id="344" w:name="_Toc184313248"/>
      <w:bookmarkEnd w:id="344"/>
      <w:bookmarkStart w:id="345" w:name="_Toc184312097"/>
      <w:bookmarkEnd w:id="345"/>
      <w:bookmarkStart w:id="346" w:name="_Toc184312094"/>
      <w:bookmarkEnd w:id="346"/>
      <w:bookmarkStart w:id="347" w:name="_Toc184308100"/>
      <w:bookmarkEnd w:id="347"/>
      <w:bookmarkStart w:id="348" w:name="_Toc184312083"/>
      <w:bookmarkEnd w:id="348"/>
      <w:bookmarkStart w:id="349" w:name="_Toc184308072"/>
      <w:bookmarkEnd w:id="349"/>
      <w:bookmarkStart w:id="350" w:name="_Toc184312108"/>
      <w:bookmarkEnd w:id="350"/>
      <w:bookmarkStart w:id="351" w:name="_Toc184314474"/>
      <w:bookmarkEnd w:id="351"/>
      <w:bookmarkStart w:id="352" w:name="_Toc184310330"/>
      <w:bookmarkEnd w:id="352"/>
      <w:bookmarkStart w:id="353" w:name="_Toc184308061"/>
      <w:bookmarkEnd w:id="353"/>
      <w:bookmarkStart w:id="354" w:name="_Toc184313280"/>
      <w:bookmarkEnd w:id="354"/>
      <w:bookmarkStart w:id="355" w:name="_Toc184314420"/>
      <w:bookmarkEnd w:id="355"/>
      <w:bookmarkStart w:id="356" w:name="_Toc184310278"/>
      <w:bookmarkEnd w:id="356"/>
      <w:bookmarkStart w:id="357" w:name="_Toc184313293"/>
      <w:bookmarkEnd w:id="357"/>
      <w:bookmarkStart w:id="358" w:name="_Toc184313292"/>
      <w:bookmarkEnd w:id="358"/>
      <w:bookmarkStart w:id="359" w:name="_Toc184314465"/>
      <w:bookmarkEnd w:id="359"/>
      <w:bookmarkStart w:id="360" w:name="_Toc184310295"/>
      <w:bookmarkEnd w:id="360"/>
      <w:bookmarkStart w:id="361" w:name="_Toc184313277"/>
      <w:bookmarkEnd w:id="361"/>
      <w:bookmarkStart w:id="362" w:name="_Toc184313303"/>
      <w:bookmarkEnd w:id="362"/>
      <w:bookmarkStart w:id="363" w:name="_Toc184308084"/>
      <w:bookmarkEnd w:id="363"/>
      <w:bookmarkStart w:id="364" w:name="_Toc184314468"/>
      <w:bookmarkEnd w:id="364"/>
      <w:bookmarkStart w:id="365" w:name="_Toc184312079"/>
      <w:bookmarkEnd w:id="365"/>
      <w:bookmarkStart w:id="366" w:name="_Toc184310341"/>
      <w:bookmarkEnd w:id="366"/>
      <w:bookmarkStart w:id="367" w:name="_Toc184310308"/>
      <w:bookmarkEnd w:id="367"/>
      <w:bookmarkStart w:id="368" w:name="_Toc184314453"/>
      <w:bookmarkEnd w:id="368"/>
      <w:bookmarkStart w:id="369" w:name="_Toc184314410"/>
      <w:bookmarkEnd w:id="369"/>
      <w:bookmarkStart w:id="370" w:name="_Toc184308071"/>
      <w:bookmarkEnd w:id="370"/>
      <w:bookmarkStart w:id="371" w:name="_Toc184308108"/>
      <w:bookmarkEnd w:id="371"/>
      <w:bookmarkStart w:id="372" w:name="_Toc184310315"/>
      <w:bookmarkEnd w:id="372"/>
      <w:bookmarkStart w:id="373" w:name="_Toc184310281"/>
      <w:bookmarkEnd w:id="373"/>
      <w:bookmarkStart w:id="374" w:name="_Toc184310287"/>
      <w:bookmarkEnd w:id="374"/>
      <w:bookmarkStart w:id="375" w:name="_Toc184308104"/>
      <w:bookmarkEnd w:id="375"/>
      <w:bookmarkStart w:id="376" w:name="_Toc184310296"/>
      <w:bookmarkEnd w:id="376"/>
      <w:bookmarkStart w:id="377" w:name="_Toc184313294"/>
      <w:bookmarkEnd w:id="377"/>
      <w:bookmarkStart w:id="378" w:name="_Toc184308047"/>
      <w:bookmarkEnd w:id="378"/>
      <w:bookmarkStart w:id="379" w:name="_Toc184312103"/>
      <w:bookmarkEnd w:id="379"/>
      <w:bookmarkStart w:id="380" w:name="_Toc184314427"/>
      <w:bookmarkEnd w:id="380"/>
      <w:bookmarkStart w:id="381" w:name="_Toc184314455"/>
      <w:bookmarkEnd w:id="381"/>
      <w:bookmarkStart w:id="382" w:name="_Toc184308070"/>
      <w:bookmarkEnd w:id="382"/>
      <w:bookmarkStart w:id="383" w:name="_Toc184308080"/>
      <w:bookmarkEnd w:id="383"/>
      <w:bookmarkStart w:id="384" w:name="_Toc184312086"/>
      <w:bookmarkEnd w:id="384"/>
      <w:bookmarkStart w:id="385" w:name="_Toc184312095"/>
      <w:bookmarkEnd w:id="385"/>
      <w:bookmarkStart w:id="386" w:name="_Toc184313269"/>
      <w:bookmarkEnd w:id="386"/>
      <w:bookmarkStart w:id="387" w:name="_Toc184308059"/>
      <w:bookmarkEnd w:id="387"/>
      <w:bookmarkStart w:id="388" w:name="_Toc184314438"/>
      <w:bookmarkEnd w:id="388"/>
      <w:bookmarkStart w:id="389" w:name="_Toc184314450"/>
      <w:bookmarkEnd w:id="389"/>
      <w:bookmarkStart w:id="390" w:name="_Toc184314447"/>
      <w:bookmarkEnd w:id="390"/>
      <w:bookmarkStart w:id="391" w:name="_Toc184313247"/>
      <w:bookmarkEnd w:id="391"/>
      <w:bookmarkStart w:id="392" w:name="_Toc184313296"/>
      <w:bookmarkEnd w:id="392"/>
      <w:bookmarkStart w:id="393" w:name="_Toc184313265"/>
      <w:bookmarkEnd w:id="393"/>
      <w:bookmarkStart w:id="394" w:name="_Toc184310274"/>
      <w:bookmarkEnd w:id="394"/>
      <w:bookmarkStart w:id="395" w:name="_Toc184314446"/>
      <w:bookmarkEnd w:id="395"/>
      <w:bookmarkStart w:id="396" w:name="_Toc184310309"/>
      <w:bookmarkEnd w:id="396"/>
      <w:bookmarkStart w:id="397" w:name="_Toc184314449"/>
      <w:bookmarkEnd w:id="397"/>
      <w:bookmarkStart w:id="398" w:name="_Toc184313287"/>
      <w:bookmarkEnd w:id="398"/>
      <w:bookmarkStart w:id="399" w:name="_Toc184313272"/>
      <w:bookmarkEnd w:id="399"/>
      <w:bookmarkStart w:id="400" w:name="_Toc184310333"/>
      <w:bookmarkEnd w:id="400"/>
      <w:bookmarkStart w:id="401" w:name="_Toc184312120"/>
      <w:bookmarkEnd w:id="401"/>
      <w:bookmarkStart w:id="402" w:name="_Toc184312106"/>
      <w:bookmarkEnd w:id="402"/>
      <w:r>
        <w:rPr>
          <w:rFonts w:hint="eastAsia" w:ascii="宋体" w:hAnsi="宋体" w:cs="宋体"/>
          <w:b/>
          <w:sz w:val="36"/>
          <w:szCs w:val="36"/>
          <w:highlight w:val="none"/>
        </w:rPr>
        <w:t>评标办法</w:t>
      </w:r>
      <w:bookmarkEnd w:id="37"/>
    </w:p>
    <w:p>
      <w:pPr>
        <w:kinsoku/>
        <w:wordWrap/>
        <w:overflowPunct/>
        <w:topLinePunct w:val="0"/>
        <w:bidi w:val="0"/>
        <w:snapToGrid w:val="0"/>
        <w:spacing w:line="360" w:lineRule="auto"/>
        <w:jc w:val="center"/>
        <w:outlineLvl w:val="9"/>
        <w:rPr>
          <w:rFonts w:ascii="宋体" w:hAnsi="宋体" w:cs="宋体"/>
          <w:b/>
          <w:sz w:val="32"/>
          <w:szCs w:val="20"/>
          <w:highlight w:val="none"/>
        </w:rPr>
      </w:pPr>
      <w:r>
        <w:rPr>
          <w:rFonts w:hint="eastAsia" w:ascii="宋体" w:hAnsi="宋体" w:cs="宋体"/>
          <w:b/>
          <w:sz w:val="32"/>
          <w:szCs w:val="20"/>
          <w:highlight w:val="none"/>
        </w:rPr>
        <w:t>评标办法前附表</w:t>
      </w:r>
    </w:p>
    <w:p>
      <w:pPr>
        <w:widowControl/>
        <w:kinsoku/>
        <w:wordWrap/>
        <w:overflowPunct/>
        <w:topLinePunct w:val="0"/>
        <w:bidi w:val="0"/>
        <w:adjustRightInd/>
        <w:spacing w:line="360" w:lineRule="exact"/>
        <w:jc w:val="center"/>
        <w:outlineLvl w:val="9"/>
        <w:rPr>
          <w:rFonts w:hint="eastAsia" w:ascii="宋体" w:hAnsi="宋体" w:eastAsia="宋体" w:cs="宋体"/>
          <w:b/>
          <w:bCs/>
          <w:color w:val="auto"/>
          <w:kern w:val="0"/>
          <w:sz w:val="32"/>
          <w:szCs w:val="40"/>
          <w:highlight w:val="none"/>
          <w:lang w:eastAsia="zh-CN"/>
        </w:rPr>
      </w:pPr>
      <w:r>
        <w:rPr>
          <w:rFonts w:hint="eastAsia" w:ascii="宋体" w:hAnsi="宋体" w:eastAsia="宋体" w:cs="宋体"/>
          <w:b/>
          <w:bCs/>
          <w:color w:val="auto"/>
          <w:kern w:val="0"/>
          <w:sz w:val="32"/>
          <w:szCs w:val="40"/>
          <w:highlight w:val="none"/>
        </w:rPr>
        <w:t>评分标准表</w:t>
      </w:r>
    </w:p>
    <w:tbl>
      <w:tblPr>
        <w:tblStyle w:val="6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288"/>
        <w:gridCol w:w="5575"/>
        <w:gridCol w:w="70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评分项目</w:t>
            </w:r>
          </w:p>
        </w:tc>
        <w:tc>
          <w:tcPr>
            <w:tcW w:w="6863"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b/>
                <w:bCs/>
                <w:color w:val="auto"/>
                <w:sz w:val="24"/>
                <w:szCs w:val="24"/>
                <w:highlight w:val="none"/>
              </w:rPr>
            </w:pPr>
            <w:r>
              <w:rPr>
                <w:rFonts w:hint="eastAsia" w:ascii="Calibri" w:hAnsi="Calibri" w:eastAsia="宋体" w:cs="Times New Roman"/>
                <w:b/>
                <w:bCs/>
                <w:color w:val="auto"/>
                <w:sz w:val="24"/>
                <w:szCs w:val="24"/>
                <w:highlight w:val="none"/>
              </w:rPr>
              <w:t>评标要点及说明</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分值</w:t>
            </w:r>
          </w:p>
        </w:tc>
        <w:tc>
          <w:tcPr>
            <w:tcW w:w="705" w:type="dxa"/>
            <w:noWrap w:val="0"/>
            <w:vAlign w:val="center"/>
          </w:tcPr>
          <w:p>
            <w:pPr>
              <w:keepNext w:val="0"/>
              <w:keepLines w:val="0"/>
              <w:pageBreakBefore w:val="0"/>
              <w:widowControl/>
              <w:suppressLineNumbers w:val="0"/>
              <w:tabs>
                <w:tab w:val="left" w:pos="0"/>
              </w:tabs>
              <w:kinsoku/>
              <w:wordWrap/>
              <w:overflowPunct/>
              <w:topLinePunct w:val="0"/>
              <w:autoSpaceDE w:val="0"/>
              <w:autoSpaceDN w:val="0"/>
              <w:bidi w:val="0"/>
              <w:adjustRightInd/>
              <w:snapToGrid/>
              <w:spacing w:before="0" w:beforeAutospacing="0" w:after="0" w:afterAutospacing="0" w:line="228" w:lineRule="auto"/>
              <w:ind w:left="0" w:right="0"/>
              <w:jc w:val="center"/>
              <w:textAlignment w:val="auto"/>
              <w:rPr>
                <w:rFonts w:hint="eastAsia" w:ascii="宋体" w:hAnsi="宋体" w:eastAsia="宋体" w:cs="宋体"/>
                <w:b/>
                <w:bCs/>
                <w:kern w:val="0"/>
                <w:sz w:val="24"/>
                <w:szCs w:val="24"/>
                <w:highlight w:val="none"/>
                <w:lang w:val="zh-CN" w:eastAsia="zh-CN" w:bidi="ar-SA"/>
              </w:rPr>
            </w:pPr>
            <w:r>
              <w:rPr>
                <w:rFonts w:hint="eastAsia" w:ascii="宋体" w:hAnsi="宋体" w:eastAsia="宋体" w:cs="宋体"/>
                <w:b/>
                <w:bCs/>
                <w:kern w:val="0"/>
                <w:sz w:val="24"/>
                <w:szCs w:val="24"/>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62"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6863" w:type="dxa"/>
            <w:gridSpan w:val="2"/>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评标基准价指的是满足</w:t>
            </w:r>
            <w:r>
              <w:rPr>
                <w:rFonts w:hint="eastAsia" w:ascii="宋体" w:hAnsi="宋体" w:eastAsia="宋体" w:cs="宋体"/>
                <w:bCs/>
                <w:color w:val="auto"/>
                <w:kern w:val="0"/>
                <w:sz w:val="24"/>
                <w:szCs w:val="24"/>
                <w:highlight w:val="none"/>
                <w:lang w:eastAsia="zh-CN"/>
              </w:rPr>
              <w:t>招标文件</w:t>
            </w:r>
            <w:r>
              <w:rPr>
                <w:rFonts w:hint="eastAsia" w:ascii="宋体" w:hAnsi="宋体" w:eastAsia="宋体" w:cs="宋体"/>
                <w:bCs/>
                <w:color w:val="auto"/>
                <w:kern w:val="0"/>
                <w:sz w:val="24"/>
                <w:szCs w:val="24"/>
                <w:highlight w:val="none"/>
              </w:rPr>
              <w:t>要求且最低的参与评审的价格。</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参与评审的价格=投标报价</w:t>
            </w:r>
            <w:r>
              <w:rPr>
                <w:rFonts w:hint="eastAsia" w:ascii="宋体" w:hAnsi="宋体" w:cs="宋体"/>
                <w:bCs/>
                <w:color w:val="auto"/>
                <w:kern w:val="0"/>
                <w:sz w:val="24"/>
                <w:szCs w:val="24"/>
                <w:highlight w:val="none"/>
                <w:lang w:val="en-US" w:eastAsia="zh-CN"/>
              </w:rPr>
              <w:t>-</w:t>
            </w:r>
            <w:r>
              <w:rPr>
                <w:rFonts w:hint="eastAsia" w:ascii="宋体" w:hAnsi="宋体" w:eastAsia="宋体" w:cs="宋体"/>
                <w:bCs/>
                <w:color w:val="auto"/>
                <w:kern w:val="0"/>
                <w:sz w:val="24"/>
                <w:szCs w:val="24"/>
                <w:highlight w:val="none"/>
              </w:rPr>
              <w:t>小微企业价格扣除优惠值（如有）。</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参与评审的价格为评标基准价的其价格得分得满分</w:t>
            </w:r>
            <w:r>
              <w:rPr>
                <w:rFonts w:hint="eastAsia" w:ascii="宋体" w:hAnsi="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其他供应商价格得分按照下列公式计算：</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r>
              <w:rPr>
                <w:rFonts w:hint="eastAsia" w:ascii="宋体" w:hAnsi="宋体" w:eastAsia="宋体" w:cs="宋体"/>
                <w:bCs/>
                <w:color w:val="auto"/>
                <w:kern w:val="0"/>
                <w:sz w:val="24"/>
                <w:szCs w:val="24"/>
                <w:highlight w:val="none"/>
              </w:rPr>
              <w:t>价格得分=（评标基准价/参与评审的价格）×</w:t>
            </w:r>
            <w:r>
              <w:rPr>
                <w:rFonts w:hint="eastAsia" w:ascii="宋体" w:hAnsi="宋体" w:cs="宋体"/>
                <w:bCs/>
                <w:color w:val="auto"/>
                <w:kern w:val="0"/>
                <w:sz w:val="24"/>
                <w:szCs w:val="24"/>
                <w:highlight w:val="none"/>
                <w:lang w:val="en-US" w:eastAsia="zh-CN"/>
              </w:rPr>
              <w:t>20</w:t>
            </w:r>
            <w:r>
              <w:rPr>
                <w:rFonts w:hint="eastAsia" w:ascii="宋体" w:hAnsi="宋体" w:eastAsia="宋体" w:cs="宋体"/>
                <w:bCs/>
                <w:color w:val="auto"/>
                <w:kern w:val="0"/>
                <w:sz w:val="24"/>
                <w:szCs w:val="24"/>
                <w:highlight w:val="none"/>
              </w:rPr>
              <w:t>%×100。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Calibri" w:hAnsi="Calibri" w:eastAsia="宋体" w:cs="Times New Roman"/>
                <w:color w:val="auto"/>
                <w:sz w:val="24"/>
                <w:szCs w:val="24"/>
                <w:highlight w:val="none"/>
                <w:lang w:val="en-US" w:eastAsia="zh-CN"/>
              </w:rPr>
            </w:pPr>
            <w:r>
              <w:rPr>
                <w:rFonts w:hint="eastAsia" w:ascii="宋体" w:hAnsi="宋体" w:cs="宋体"/>
                <w:color w:val="auto"/>
                <w:kern w:val="0"/>
                <w:sz w:val="24"/>
                <w:szCs w:val="24"/>
                <w:highlight w:val="none"/>
                <w:lang w:val="en-US" w:eastAsia="zh-CN" w:bidi="ar-SA"/>
              </w:rPr>
              <w:t>20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Calibri" w:hAnsi="Calibri" w:eastAsia="宋体" w:cs="Times New Roman"/>
                <w:color w:val="auto"/>
                <w:sz w:val="24"/>
                <w:szCs w:val="24"/>
                <w:highlight w:val="none"/>
                <w:lang w:val="zh-CN"/>
              </w:rPr>
            </w:pPr>
            <w:r>
              <w:rPr>
                <w:rFonts w:hint="eastAsia" w:ascii="Calibri" w:hAnsi="Calibri" w:eastAsia="宋体" w:cs="Times New Roman"/>
                <w:color w:val="auto"/>
                <w:sz w:val="24"/>
                <w:szCs w:val="24"/>
                <w:highlight w:val="none"/>
                <w:lang w:val="zh-CN"/>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jc w:val="center"/>
        </w:trPr>
        <w:tc>
          <w:tcPr>
            <w:tcW w:w="1262" w:type="dxa"/>
            <w:vMerge w:val="restart"/>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商务</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技术分</w:t>
            </w:r>
          </w:p>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eastAsia" w:ascii="宋体" w:hAnsi="宋体" w:cs="宋体"/>
                <w:color w:val="auto"/>
                <w:kern w:val="2"/>
                <w:sz w:val="24"/>
                <w:szCs w:val="24"/>
                <w:highlight w:val="none"/>
                <w:lang w:val="en-US" w:eastAsia="zh-CN" w:bidi="ar"/>
              </w:rPr>
              <w:t>80</w:t>
            </w:r>
            <w:r>
              <w:rPr>
                <w:rFonts w:hint="eastAsia" w:ascii="宋体" w:hAnsi="宋体" w:eastAsia="宋体" w:cs="宋体"/>
                <w:color w:val="auto"/>
                <w:kern w:val="2"/>
                <w:sz w:val="24"/>
                <w:szCs w:val="24"/>
                <w:highlight w:val="none"/>
                <w:lang w:val="en-US" w:eastAsia="zh-CN" w:bidi="ar"/>
              </w:rPr>
              <w:t>分）</w:t>
            </w:r>
          </w:p>
        </w:tc>
        <w:tc>
          <w:tcPr>
            <w:tcW w:w="1288" w:type="dxa"/>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1、对招标文件的</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响应（</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（1）完全响应招标文件 “第三部分   采购需求</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二、项目要求”中所有服务要求的得</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（2）“第三部分   采购需求 二、项目要求”中标“▲”的要求，每负偏离一条扣</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（3）“第三部分   采购需求  二、项目要求”中未标“▲”的指标，每负偏离一条扣</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注：当有供应商此项分值扣减至0分时，该供应商投标将被拒绝，其投标文件作无效标处理，不再进行评审。</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20</w:t>
            </w:r>
          </w:p>
        </w:tc>
        <w:tc>
          <w:tcPr>
            <w:tcW w:w="705" w:type="dxa"/>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restart"/>
            <w:noWrap w:val="0"/>
            <w:vAlign w:val="center"/>
          </w:tcPr>
          <w:p>
            <w:pPr>
              <w:keepNext w:val="0"/>
              <w:keepLines w:val="0"/>
              <w:widowControl/>
              <w:suppressLineNumbers w:val="0"/>
              <w:spacing w:before="0" w:beforeAutospacing="0" w:after="0" w:afterAutospacing="0" w:line="28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2、保修方案（25分）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2.1根据供应商提供的设备详细维护保修方案、技术支持，考虑技术支持与维保服务内容是否完整、事件响应处理流程规范进行评议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right="0"/>
              <w:jc w:val="center"/>
              <w:textAlignment w:val="auto"/>
              <w:rPr>
                <w:rFonts w:hint="default" w:ascii="Calibri" w:hAnsi="Calibri" w:eastAsia="宋体" w:cs="Times New Roman"/>
                <w:color w:val="auto"/>
                <w:sz w:val="24"/>
                <w:szCs w:val="24"/>
                <w:highlight w:val="none"/>
                <w:lang w:val="en-US" w:eastAsia="zh-CN"/>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2.2根据供应商提供的故障处理方案、预防方案、应急措施进行评议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2.3根据供应商提供的现场服务、技术故障响应时间、设备故障解决时间的承诺进行评议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2.4根据供应商提供的日常巡检报告单、详细设备档案登记表、现场服务报告单、维保操作流程进行评议</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kern w:val="2"/>
                <w:sz w:val="24"/>
                <w:szCs w:val="24"/>
                <w:highlight w:val="none"/>
                <w:lang w:val="en-US" w:eastAsia="zh-CN" w:bidi="ar"/>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根据供应商提供的维修质量保证措施是否全面、是否合理可行进行评议：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zh-CN"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拟派本项目的技术人员情况（15分）</w:t>
            </w: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3.1对本项目负责人技术水平和经验进行评议，</w:t>
            </w:r>
            <w:r>
              <w:rPr>
                <w:rFonts w:hint="eastAsia" w:ascii="宋体" w:hAnsi="宋体" w:eastAsia="宋体" w:cs="宋体"/>
                <w:b/>
                <w:bCs/>
                <w:color w:val="auto"/>
                <w:sz w:val="24"/>
                <w:szCs w:val="24"/>
                <w:highlight w:val="none"/>
                <w:lang w:val="en-US" w:eastAsia="zh-CN"/>
              </w:rPr>
              <w:t>提供姓名、履历、相关证书复印件</w:t>
            </w:r>
            <w:r>
              <w:rPr>
                <w:rFonts w:hint="eastAsia" w:ascii="宋体" w:hAnsi="宋体" w:eastAsia="宋体" w:cs="宋体"/>
                <w:color w:val="auto"/>
                <w:sz w:val="24"/>
                <w:szCs w:val="24"/>
                <w:highlight w:val="none"/>
                <w:lang w:val="en-US" w:eastAsia="zh-CN"/>
              </w:rPr>
              <w:t>（5分）：负责人技术水平高、具有丰富的同类项目经验的得5分；负责人有一定的技术水平和</w:t>
            </w:r>
            <w:r>
              <w:rPr>
                <w:rFonts w:hint="eastAsia" w:ascii="宋体" w:hAnsi="宋体" w:cs="宋体"/>
                <w:color w:val="auto"/>
                <w:sz w:val="24"/>
                <w:szCs w:val="24"/>
                <w:highlight w:val="none"/>
                <w:lang w:val="en-US" w:eastAsia="zh-CN"/>
              </w:rPr>
              <w:t>较多的</w:t>
            </w:r>
            <w:r>
              <w:rPr>
                <w:rFonts w:hint="eastAsia" w:ascii="宋体" w:hAnsi="宋体" w:eastAsia="宋体" w:cs="宋体"/>
                <w:color w:val="auto"/>
                <w:sz w:val="24"/>
                <w:szCs w:val="24"/>
                <w:highlight w:val="none"/>
                <w:lang w:val="en-US" w:eastAsia="zh-CN"/>
              </w:rPr>
              <w:t>同类项目经验的得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分；负责人</w:t>
            </w:r>
            <w:r>
              <w:rPr>
                <w:rFonts w:hint="eastAsia" w:ascii="宋体" w:hAnsi="宋体" w:cs="宋体"/>
                <w:color w:val="auto"/>
                <w:sz w:val="24"/>
                <w:szCs w:val="24"/>
                <w:highlight w:val="none"/>
                <w:lang w:val="en-US" w:eastAsia="zh-CN"/>
              </w:rPr>
              <w:t>综合素质基本符合项目实际需求，但</w:t>
            </w:r>
            <w:r>
              <w:rPr>
                <w:rFonts w:hint="eastAsia" w:ascii="宋体" w:hAnsi="宋体" w:eastAsia="宋体" w:cs="宋体"/>
                <w:color w:val="auto"/>
                <w:sz w:val="24"/>
                <w:szCs w:val="24"/>
                <w:highlight w:val="none"/>
                <w:lang w:val="en-US" w:eastAsia="zh-CN"/>
              </w:rPr>
              <w:t>技术水平</w:t>
            </w:r>
            <w:r>
              <w:rPr>
                <w:rFonts w:hint="eastAsia" w:ascii="宋体" w:hAnsi="宋体" w:cs="宋体"/>
                <w:color w:val="auto"/>
                <w:sz w:val="24"/>
                <w:szCs w:val="24"/>
                <w:highlight w:val="none"/>
                <w:lang w:val="en-US" w:eastAsia="zh-CN"/>
              </w:rPr>
              <w:t>较低或</w:t>
            </w:r>
            <w:r>
              <w:rPr>
                <w:rFonts w:hint="eastAsia" w:ascii="宋体" w:hAnsi="宋体" w:eastAsia="宋体" w:cs="宋体"/>
                <w:color w:val="auto"/>
                <w:sz w:val="24"/>
                <w:szCs w:val="24"/>
                <w:highlight w:val="none"/>
                <w:lang w:val="en-US" w:eastAsia="zh-CN"/>
              </w:rPr>
              <w:t>同类项目经验</w:t>
            </w:r>
            <w:r>
              <w:rPr>
                <w:rFonts w:hint="eastAsia" w:ascii="宋体" w:hAnsi="宋体" w:cs="宋体"/>
                <w:color w:val="auto"/>
                <w:sz w:val="24"/>
                <w:szCs w:val="24"/>
                <w:highlight w:val="none"/>
                <w:lang w:val="en-US" w:eastAsia="zh-CN"/>
              </w:rPr>
              <w:t>较少</w:t>
            </w:r>
            <w:r>
              <w:rPr>
                <w:rFonts w:hint="eastAsia" w:ascii="宋体" w:hAnsi="宋体" w:eastAsia="宋体" w:cs="宋体"/>
                <w:color w:val="auto"/>
                <w:sz w:val="24"/>
                <w:szCs w:val="24"/>
                <w:highlight w:val="none"/>
                <w:lang w:val="en-US" w:eastAsia="zh-CN"/>
              </w:rPr>
              <w:t>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分；负责人技术水平较低和有较少的同类项目经验的得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分；负责人不具备专业技术水平、或没有同类项目经验的得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right="0"/>
              <w:jc w:val="center"/>
              <w:textAlignment w:val="auto"/>
              <w:rPr>
                <w:rFonts w:hint="eastAsia" w:ascii="宋体" w:hAnsi="宋体" w:cs="宋体"/>
                <w:color w:val="auto"/>
                <w:sz w:val="24"/>
                <w:szCs w:val="24"/>
                <w:highlight w:val="none"/>
                <w:lang w:val="en-US" w:eastAsia="zh-CN"/>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3.2对投入本项目的维修人员人数、技术水平和经验进行评议，</w:t>
            </w:r>
            <w:r>
              <w:rPr>
                <w:rFonts w:hint="eastAsia" w:ascii="宋体" w:hAnsi="宋体" w:eastAsia="宋体" w:cs="宋体"/>
                <w:b/>
                <w:bCs/>
                <w:color w:val="auto"/>
                <w:sz w:val="24"/>
                <w:szCs w:val="24"/>
                <w:highlight w:val="none"/>
                <w:lang w:val="en-US" w:eastAsia="zh-CN"/>
              </w:rPr>
              <w:t>提供人员清单、履历介绍</w:t>
            </w:r>
            <w:r>
              <w:rPr>
                <w:rFonts w:hint="eastAsia" w:ascii="宋体" w:hAnsi="宋体" w:eastAsia="宋体" w:cs="宋体"/>
                <w:color w:val="auto"/>
                <w:sz w:val="24"/>
                <w:szCs w:val="24"/>
                <w:highlight w:val="none"/>
                <w:lang w:val="en-US" w:eastAsia="zh-CN"/>
              </w:rPr>
              <w:t>（5分）：人数充足、技术水平高、具备相关工作经验的得5分；人数充足、技术水平高、但相关工作经验略有欠缺的得4分；人数基本满足项目务求、有一定的技术水平、同类经验略缺的得3分；人数充足、但技术水平较低、同类经验略缺的得2分；人数不足、或不具备专业技术水平、或没有同类设备维修经验但提供了相关内容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suppressLineNumbers w:val="0"/>
              <w:kinsoku/>
              <w:wordWrap/>
              <w:overflowPunct/>
              <w:topLinePunct w:val="0"/>
              <w:bidi w:val="0"/>
              <w:snapToGrid/>
              <w:spacing w:before="0" w:beforeAutospacing="0" w:after="0" w:afterAutospacing="0" w:line="228" w:lineRule="auto"/>
              <w:ind w:left="0" w:right="0"/>
              <w:jc w:val="center"/>
              <w:textAlignment w:val="auto"/>
              <w:rPr>
                <w:rFonts w:hint="eastAsia" w:ascii="宋体" w:hAnsi="宋体" w:eastAsia="宋体" w:cs="宋体"/>
                <w:bCs/>
                <w:color w:val="auto"/>
                <w:kern w:val="0"/>
                <w:sz w:val="24"/>
                <w:szCs w:val="24"/>
                <w:highlight w:val="none"/>
              </w:rPr>
            </w:pPr>
          </w:p>
        </w:tc>
        <w:tc>
          <w:tcPr>
            <w:tcW w:w="5575" w:type="dxa"/>
            <w:noWrap w:val="0"/>
            <w:vAlign w:val="center"/>
          </w:tcPr>
          <w:p>
            <w:pPr>
              <w:keepNext w:val="0"/>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28"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3.3</w:t>
            </w:r>
            <w:r>
              <w:rPr>
                <w:rFonts w:hint="eastAsia" w:ascii="宋体" w:hAnsi="宋体" w:eastAsia="宋体" w:cs="宋体"/>
                <w:color w:val="auto"/>
                <w:sz w:val="24"/>
                <w:szCs w:val="24"/>
                <w:highlight w:val="none"/>
                <w:lang w:val="en-US" w:eastAsia="zh-CN"/>
              </w:rPr>
              <w:t>对维保技术人员的岗前培训及继续教育进行评议（5分）：技术人员经过全面、规范的岗前培训、并有详细的继续教育计划的得5分；技术人员经过比较规范的岗前培训</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val="en-US" w:eastAsia="zh-CN"/>
              </w:rPr>
              <w:t>继续教育的得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技术人员经过比较规范的岗前培训、继续教育计划略有不足的得3分；技术人员经过</w:t>
            </w:r>
            <w:r>
              <w:rPr>
                <w:rFonts w:hint="eastAsia" w:ascii="宋体" w:hAnsi="宋体" w:cs="宋体"/>
                <w:color w:val="auto"/>
                <w:sz w:val="24"/>
                <w:szCs w:val="24"/>
                <w:highlight w:val="none"/>
                <w:lang w:val="en-US" w:eastAsia="zh-CN"/>
              </w:rPr>
              <w:t>简单的</w:t>
            </w:r>
            <w:r>
              <w:rPr>
                <w:rFonts w:hint="eastAsia" w:ascii="宋体" w:hAnsi="宋体" w:eastAsia="宋体" w:cs="宋体"/>
                <w:color w:val="auto"/>
                <w:sz w:val="24"/>
                <w:szCs w:val="24"/>
                <w:highlight w:val="none"/>
                <w:lang w:val="en-US" w:eastAsia="zh-CN"/>
              </w:rPr>
              <w:t>岗前培训、继续教育计划不足的得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分；技术人员没有经过规范的岗前培训、或没有提供继续教育计划的得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维修备品备件方案（5分）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的维修备品备件方案（包括备品备件库数量、仓储设备设施、仓储安全质量措施、重要备品备件的来源）进行评议</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5、专业维修工具配备方案（5分）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的专业维修工具配备方案（包括专业维修工具的种类、专业维修工具的数量、专业维修工具的状况）进行评议</w:t>
            </w:r>
            <w:r>
              <w:rPr>
                <w:rFonts w:hint="eastAsia" w:ascii="宋体" w:hAnsi="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方案完整、科学、合理、可行的得5分；方案基本完整能满足招标需求的得4分；方案基本完整但部分内容缺失的得3分；方案不够完整，存在部分缺陷的得2分；方案不完整，存在明显缺陷，无法满足招标需求的得1分；未提供本项不得分。</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p>
        </w:tc>
        <w:tc>
          <w:tcPr>
            <w:tcW w:w="70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228" w:lineRule="auto"/>
              <w:ind w:left="0" w:leftChars="0" w:right="0" w:rightChars="0"/>
              <w:jc w:val="center"/>
              <w:textAlignment w:val="auto"/>
              <w:rPr>
                <w:rFonts w:hint="eastAsia" w:ascii="Calibri" w:hAnsi="Calibri" w:eastAsia="宋体" w:cs="Times New Roman"/>
                <w:color w:val="auto"/>
                <w:kern w:val="2"/>
                <w:sz w:val="24"/>
                <w:szCs w:val="24"/>
                <w:highlight w:val="none"/>
                <w:lang w:val="en-US" w:eastAsia="zh-CN" w:bidi="ar-SA"/>
              </w:rPr>
            </w:pPr>
            <w:r>
              <w:rPr>
                <w:rFonts w:hint="eastAsia" w:ascii="Calibri" w:hAnsi="Calibri" w:cs="Times New Roman"/>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restart"/>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2"/>
                <w:sz w:val="21"/>
                <w:szCs w:val="21"/>
                <w:highlight w:val="none"/>
                <w:lang w:val="en-US" w:eastAsia="zh-CN" w:bidi="ar-SA"/>
              </w:rPr>
            </w:pPr>
            <w:r>
              <w:rPr>
                <w:rFonts w:hint="eastAsia" w:ascii="宋体" w:hAnsi="宋体" w:eastAsia="宋体" w:cs="宋体"/>
                <w:color w:val="auto"/>
                <w:kern w:val="2"/>
                <w:sz w:val="24"/>
                <w:szCs w:val="24"/>
                <w:highlight w:val="none"/>
                <w:lang w:val="en-US" w:eastAsia="zh-CN" w:bidi="ar-SA"/>
              </w:rPr>
              <w:t>6、维保质量保证措施（8分）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6.1对维保服务质量有具体、合理的分项指标得4分；有分项指标、但不够具体或合理性略有欠缺的得</w:t>
            </w:r>
            <w:r>
              <w:rPr>
                <w:rFonts w:hint="eastAsia" w:ascii="宋体" w:hAnsi="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方案不够完整，存在部分缺陷的得2分；</w:t>
            </w:r>
            <w:r>
              <w:rPr>
                <w:rFonts w:hint="eastAsia" w:ascii="宋体" w:hAnsi="宋体" w:eastAsia="宋体" w:cs="宋体"/>
                <w:color w:val="auto"/>
                <w:kern w:val="2"/>
                <w:sz w:val="24"/>
                <w:szCs w:val="24"/>
                <w:highlight w:val="none"/>
                <w:lang w:val="en-US" w:eastAsia="zh-CN" w:bidi="ar-SA"/>
              </w:rPr>
              <w:t>没有提供分项指标、或指标明显不合理</w:t>
            </w:r>
            <w:r>
              <w:rPr>
                <w:rFonts w:hint="eastAsia" w:ascii="宋体" w:hAnsi="宋体" w:cs="宋体"/>
                <w:color w:val="auto"/>
                <w:kern w:val="2"/>
                <w:sz w:val="24"/>
                <w:szCs w:val="24"/>
                <w:highlight w:val="none"/>
                <w:lang w:val="en-US" w:eastAsia="zh-CN" w:bidi="ar-SA"/>
              </w:rPr>
              <w:t>的</w:t>
            </w:r>
            <w:r>
              <w:rPr>
                <w:rFonts w:hint="eastAsia" w:ascii="宋体" w:hAnsi="宋体" w:eastAsia="宋体" w:cs="宋体"/>
                <w:color w:val="auto"/>
                <w:kern w:val="2"/>
                <w:sz w:val="24"/>
                <w:szCs w:val="24"/>
                <w:highlight w:val="none"/>
                <w:lang w:val="en-US" w:eastAsia="zh-CN" w:bidi="ar-SA"/>
              </w:rPr>
              <w:t>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vMerge w:val="continue"/>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cs="宋体"/>
                <w:color w:val="auto"/>
                <w:kern w:val="2"/>
                <w:sz w:val="24"/>
                <w:szCs w:val="24"/>
                <w:highlight w:val="none"/>
                <w:lang w:val="en-US" w:eastAsia="zh-CN" w:bidi="ar-SA"/>
              </w:rPr>
            </w:pP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6.2</w:t>
            </w:r>
            <w:r>
              <w:rPr>
                <w:rFonts w:hint="default" w:ascii="宋体" w:hAnsi="宋体" w:eastAsia="宋体" w:cs="宋体"/>
                <w:color w:val="auto"/>
                <w:kern w:val="2"/>
                <w:sz w:val="24"/>
                <w:szCs w:val="24"/>
                <w:highlight w:val="none"/>
                <w:lang w:val="en-US" w:eastAsia="zh-CN" w:bidi="ar-SA"/>
              </w:rPr>
              <w:t>对服务质量达不到要求时有详细、具体、合理的惩罚措施的得</w:t>
            </w:r>
            <w:r>
              <w:rPr>
                <w:rFonts w:hint="eastAsia" w:ascii="宋体" w:hAnsi="宋体" w:eastAsia="宋体" w:cs="宋体"/>
                <w:color w:val="auto"/>
                <w:kern w:val="2"/>
                <w:sz w:val="24"/>
                <w:szCs w:val="24"/>
                <w:highlight w:val="none"/>
                <w:lang w:val="en-US" w:eastAsia="zh-CN" w:bidi="ar-SA"/>
              </w:rPr>
              <w:t>4</w:t>
            </w:r>
            <w:r>
              <w:rPr>
                <w:rFonts w:hint="default" w:ascii="宋体" w:hAnsi="宋体" w:eastAsia="宋体" w:cs="宋体"/>
                <w:color w:val="auto"/>
                <w:kern w:val="2"/>
                <w:sz w:val="24"/>
                <w:szCs w:val="24"/>
                <w:highlight w:val="none"/>
                <w:lang w:val="en-US" w:eastAsia="zh-CN" w:bidi="ar-SA"/>
              </w:rPr>
              <w:t>分；有惩罚措施、但不够具体或不够合理的得</w:t>
            </w:r>
            <w:r>
              <w:rPr>
                <w:rFonts w:hint="eastAsia" w:ascii="宋体" w:hAnsi="宋体" w:cs="宋体"/>
                <w:color w:val="auto"/>
                <w:kern w:val="2"/>
                <w:sz w:val="24"/>
                <w:szCs w:val="24"/>
                <w:highlight w:val="none"/>
                <w:lang w:val="en-US" w:eastAsia="zh-CN" w:bidi="ar-SA"/>
              </w:rPr>
              <w:t>3</w:t>
            </w:r>
            <w:r>
              <w:rPr>
                <w:rFonts w:hint="default" w:ascii="宋体" w:hAnsi="宋体" w:eastAsia="宋体" w:cs="宋体"/>
                <w:color w:val="auto"/>
                <w:kern w:val="2"/>
                <w:sz w:val="24"/>
                <w:szCs w:val="24"/>
                <w:highlight w:val="none"/>
                <w:lang w:val="en-US" w:eastAsia="zh-CN" w:bidi="ar-SA"/>
              </w:rPr>
              <w:t>分；方案不够完整，存在部分缺陷的得2分；没有提供惩罚措施、或明显不合理的得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w:t>
            </w:r>
            <w:r>
              <w:rPr>
                <w:rFonts w:hint="eastAsia" w:ascii="宋体" w:hAnsi="宋体" w:cs="宋体"/>
                <w:color w:val="auto"/>
                <w:kern w:val="2"/>
                <w:sz w:val="24"/>
                <w:szCs w:val="24"/>
                <w:highlight w:val="none"/>
                <w:lang w:val="en-US" w:eastAsia="zh-CN" w:bidi="ar-SA"/>
              </w:rPr>
              <w:t>；未提供本项不得分。</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center"/>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主观评审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1262" w:type="dxa"/>
            <w:vMerge w:val="continue"/>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28" w:lineRule="auto"/>
              <w:ind w:left="0" w:right="0"/>
              <w:textAlignment w:val="auto"/>
              <w:rPr>
                <w:rFonts w:hint="default" w:ascii="Calibri" w:hAnsi="Calibri" w:eastAsia="宋体" w:cs="Times New Roman"/>
                <w:color w:val="auto"/>
                <w:sz w:val="24"/>
                <w:szCs w:val="24"/>
                <w:highlight w:val="none"/>
              </w:rPr>
            </w:pPr>
          </w:p>
        </w:tc>
        <w:tc>
          <w:tcPr>
            <w:tcW w:w="1288"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120" w:afterAutospacing="0" w:line="228" w:lineRule="auto"/>
              <w:ind w:left="0" w:right="0"/>
              <w:jc w:val="both"/>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r>
              <w:rPr>
                <w:rFonts w:hint="default" w:ascii="宋体" w:hAnsi="宋体" w:eastAsia="宋体" w:cs="宋体"/>
                <w:color w:val="auto"/>
                <w:kern w:val="2"/>
                <w:sz w:val="24"/>
                <w:szCs w:val="24"/>
                <w:highlight w:val="none"/>
                <w:lang w:val="en-US" w:eastAsia="zh-CN" w:bidi="ar-SA"/>
              </w:rPr>
              <w:t>业绩（</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分）</w:t>
            </w:r>
          </w:p>
        </w:tc>
        <w:tc>
          <w:tcPr>
            <w:tcW w:w="557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根据</w:t>
            </w:r>
            <w:r>
              <w:rPr>
                <w:rFonts w:hint="eastAsia" w:ascii="宋体" w:hAnsi="宋体" w:cs="宋体"/>
                <w:color w:val="auto"/>
                <w:kern w:val="2"/>
                <w:sz w:val="24"/>
                <w:szCs w:val="24"/>
                <w:highlight w:val="none"/>
                <w:lang w:val="en-US" w:eastAsia="zh-CN" w:bidi="ar-SA"/>
              </w:rPr>
              <w:t>供应商</w:t>
            </w:r>
            <w:r>
              <w:rPr>
                <w:rFonts w:hint="default" w:ascii="宋体" w:hAnsi="宋体" w:eastAsia="宋体" w:cs="宋体"/>
                <w:color w:val="auto"/>
                <w:kern w:val="2"/>
                <w:sz w:val="24"/>
                <w:szCs w:val="24"/>
                <w:highlight w:val="none"/>
                <w:lang w:val="en-US" w:eastAsia="zh-CN" w:bidi="ar-SA"/>
              </w:rPr>
              <w:t>自202</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年1月1日（以合同签订日期为准）至今的</w:t>
            </w:r>
            <w:r>
              <w:rPr>
                <w:rFonts w:hint="eastAsia" w:ascii="宋体" w:hAnsi="宋体" w:cs="宋体"/>
                <w:color w:val="auto"/>
                <w:kern w:val="2"/>
                <w:sz w:val="24"/>
                <w:szCs w:val="24"/>
                <w:highlight w:val="none"/>
                <w:lang w:val="en-US" w:eastAsia="zh-CN" w:bidi="ar-SA"/>
              </w:rPr>
              <w:t>类似设备维修</w:t>
            </w:r>
            <w:r>
              <w:rPr>
                <w:rFonts w:hint="default" w:ascii="宋体" w:hAnsi="宋体" w:eastAsia="宋体" w:cs="宋体"/>
                <w:color w:val="auto"/>
                <w:kern w:val="2"/>
                <w:sz w:val="24"/>
                <w:szCs w:val="24"/>
                <w:highlight w:val="none"/>
                <w:lang w:val="en-US" w:eastAsia="zh-CN" w:bidi="ar-SA"/>
              </w:rPr>
              <w:t>业绩进行评定，每提供1个业绩得</w:t>
            </w:r>
            <w:r>
              <w:rPr>
                <w:rFonts w:hint="eastAsia" w:ascii="宋体" w:hAnsi="宋体" w:cs="宋体"/>
                <w:color w:val="auto"/>
                <w:kern w:val="2"/>
                <w:sz w:val="24"/>
                <w:szCs w:val="24"/>
                <w:highlight w:val="none"/>
                <w:lang w:val="en-US" w:eastAsia="zh-CN" w:bidi="ar-SA"/>
              </w:rPr>
              <w:t>1</w:t>
            </w:r>
            <w:r>
              <w:rPr>
                <w:rFonts w:hint="default" w:ascii="宋体" w:hAnsi="宋体" w:eastAsia="宋体" w:cs="宋体"/>
                <w:color w:val="auto"/>
                <w:kern w:val="2"/>
                <w:sz w:val="24"/>
                <w:szCs w:val="24"/>
                <w:highlight w:val="none"/>
                <w:lang w:val="en-US" w:eastAsia="zh-CN" w:bidi="ar-SA"/>
              </w:rPr>
              <w:t>分，满分</w:t>
            </w:r>
            <w:r>
              <w:rPr>
                <w:rFonts w:hint="eastAsia" w:ascii="宋体" w:hAnsi="宋体" w:cs="宋体"/>
                <w:color w:val="auto"/>
                <w:kern w:val="2"/>
                <w:sz w:val="24"/>
                <w:szCs w:val="24"/>
                <w:highlight w:val="none"/>
                <w:lang w:val="en-US" w:eastAsia="zh-CN" w:bidi="ar-SA"/>
              </w:rPr>
              <w:t>2</w:t>
            </w:r>
            <w:r>
              <w:rPr>
                <w:rFonts w:hint="default" w:ascii="宋体" w:hAnsi="宋体" w:eastAsia="宋体" w:cs="宋体"/>
                <w:color w:val="auto"/>
                <w:kern w:val="2"/>
                <w:sz w:val="24"/>
                <w:szCs w:val="24"/>
                <w:highlight w:val="none"/>
                <w:lang w:val="en-US" w:eastAsia="zh-CN" w:bidi="ar-SA"/>
              </w:rPr>
              <w:t>分。</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both"/>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注：投标文件中提供合同复印件并加盖公章，未提供的或未按要求盖章的视为无效业绩。</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p>
        </w:tc>
        <w:tc>
          <w:tcPr>
            <w:tcW w:w="705" w:type="dxa"/>
            <w:noWrap w:val="0"/>
            <w:vAlign w:val="center"/>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28" w:lineRule="auto"/>
              <w:ind w:left="0" w:leftChars="0" w:right="0" w:rightChars="0" w:firstLine="0" w:firstLine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客观评审</w:t>
            </w:r>
          </w:p>
        </w:tc>
      </w:tr>
    </w:tbl>
    <w:p>
      <w:pPr>
        <w:widowControl/>
        <w:kinsoku/>
        <w:wordWrap/>
        <w:overflowPunct/>
        <w:topLinePunct w:val="0"/>
        <w:bidi w:val="0"/>
        <w:adjustRightInd/>
        <w:spacing w:line="320" w:lineRule="exact"/>
        <w:jc w:val="left"/>
        <w:outlineLvl w:val="9"/>
        <w:rPr>
          <w:rFonts w:hint="eastAsia" w:ascii="宋体" w:hAnsi="宋体" w:eastAsia="宋体" w:cs="宋体"/>
          <w:b w:val="0"/>
          <w:bCs/>
          <w:sz w:val="24"/>
          <w:highlight w:val="none"/>
        </w:rPr>
      </w:pPr>
      <w:r>
        <w:rPr>
          <w:rFonts w:hint="eastAsia" w:ascii="宋体" w:hAnsi="宋体" w:cs="宋体"/>
          <w:b w:val="0"/>
          <w:bCs/>
          <w:sz w:val="24"/>
          <w:highlight w:val="none"/>
        </w:rPr>
        <w:t>备注：</w:t>
      </w:r>
      <w:r>
        <w:rPr>
          <w:rFonts w:hint="eastAsia" w:ascii="宋体" w:hAnsi="宋体" w:cs="宋体"/>
          <w:b w:val="0"/>
          <w:bCs/>
          <w:sz w:val="24"/>
          <w:highlight w:val="none"/>
          <w:lang w:val="en-US" w:eastAsia="zh-CN"/>
        </w:rPr>
        <w:t>1、</w:t>
      </w:r>
      <w:r>
        <w:rPr>
          <w:rFonts w:hint="eastAsia" w:ascii="宋体" w:hAnsi="宋体" w:cs="宋体"/>
          <w:b w:val="0"/>
          <w:bCs/>
          <w:sz w:val="24"/>
          <w:highlight w:val="none"/>
          <w:lang w:eastAsia="zh-CN"/>
        </w:rPr>
        <w:t>供应商</w:t>
      </w:r>
      <w:r>
        <w:rPr>
          <w:rFonts w:hint="eastAsia" w:ascii="宋体" w:hAnsi="宋体" w:cs="宋体"/>
          <w:b w:val="0"/>
          <w:bCs/>
          <w:sz w:val="24"/>
          <w:highlight w:val="none"/>
        </w:rPr>
        <w:t>编制投标文件（商务技术文件部分）时，建议按此目录（序号和内容）提供评标标准相应的商务技术资料</w:t>
      </w:r>
      <w:r>
        <w:rPr>
          <w:rFonts w:hint="eastAsia" w:ascii="宋体" w:hAnsi="宋体" w:eastAsia="宋体" w:cs="宋体"/>
          <w:b w:val="0"/>
          <w:bCs/>
          <w:sz w:val="24"/>
          <w:highlight w:val="none"/>
        </w:rPr>
        <w:t>。</w:t>
      </w:r>
      <w:r>
        <w:rPr>
          <w:rFonts w:hint="eastAsia" w:ascii="宋体" w:hAnsi="宋体" w:eastAsia="宋体" w:cs="宋体"/>
          <w:b w:val="0"/>
          <w:bCs/>
          <w:sz w:val="24"/>
          <w:highlight w:val="none"/>
          <w:lang w:val="en-US" w:eastAsia="zh-CN"/>
        </w:rPr>
        <w:t>2</w:t>
      </w:r>
      <w:r>
        <w:rPr>
          <w:rFonts w:hint="eastAsia" w:ascii="宋体" w:hAnsi="宋体" w:eastAsia="宋体" w:cs="宋体"/>
          <w:b w:val="0"/>
          <w:bCs/>
          <w:sz w:val="24"/>
          <w:highlight w:val="none"/>
        </w:rPr>
        <w:t>、小数点后保留一位数。</w:t>
      </w:r>
      <w:r>
        <w:rPr>
          <w:rFonts w:hint="eastAsia" w:ascii="宋体" w:hAnsi="宋体" w:eastAsia="宋体" w:cs="宋体"/>
          <w:b w:val="0"/>
          <w:bCs/>
          <w:sz w:val="24"/>
          <w:highlight w:val="none"/>
          <w:lang w:val="en-US" w:eastAsia="zh-CN"/>
        </w:rPr>
        <w:t>3</w:t>
      </w:r>
      <w:r>
        <w:rPr>
          <w:rFonts w:hint="eastAsia" w:ascii="宋体" w:hAnsi="宋体" w:eastAsia="宋体" w:cs="宋体"/>
          <w:b w:val="0"/>
          <w:bCs/>
          <w:sz w:val="24"/>
          <w:highlight w:val="none"/>
        </w:rPr>
        <w:t>、各评标委员会成员自行按以上参考分值评分。</w:t>
      </w:r>
      <w:r>
        <w:rPr>
          <w:rFonts w:hint="eastAsia" w:ascii="宋体" w:hAnsi="宋体" w:eastAsia="宋体" w:cs="宋体"/>
          <w:b w:val="0"/>
          <w:bCs/>
          <w:sz w:val="24"/>
          <w:highlight w:val="none"/>
          <w:lang w:val="en-US" w:eastAsia="zh-CN"/>
        </w:rPr>
        <w:t>4</w:t>
      </w:r>
      <w:r>
        <w:rPr>
          <w:rFonts w:hint="eastAsia" w:ascii="宋体" w:hAnsi="宋体" w:eastAsia="宋体" w:cs="宋体"/>
          <w:b w:val="0"/>
          <w:bCs/>
          <w:sz w:val="24"/>
          <w:highlight w:val="none"/>
        </w:rPr>
        <w:t>、重大事件由评标委员会集体讨论，应当按照少数服从多数的原则作出结论。</w:t>
      </w:r>
    </w:p>
    <w:p>
      <w:pPr>
        <w:kinsoku/>
        <w:wordWrap/>
        <w:overflowPunct/>
        <w:topLinePunct w:val="0"/>
        <w:bidi w:val="0"/>
        <w:spacing w:after="120" w:afterLines="0"/>
        <w:jc w:val="center"/>
        <w:outlineLvl w:val="9"/>
        <w:rPr>
          <w:rFonts w:hint="eastAsia" w:ascii="宋体" w:hAnsi="宋体" w:eastAsia="宋体" w:cs="宋体"/>
          <w:b/>
          <w:bCs/>
          <w:color w:val="auto"/>
          <w:sz w:val="32"/>
          <w:szCs w:val="40"/>
          <w:highlight w:val="none"/>
          <w:lang w:val="en-US" w:eastAsia="zh-CN" w:bidi="ar-SA"/>
        </w:rPr>
      </w:pPr>
    </w:p>
    <w:p>
      <w:pPr>
        <w:widowControl/>
        <w:kinsoku/>
        <w:wordWrap/>
        <w:overflowPunct/>
        <w:topLinePunct w:val="0"/>
        <w:bidi w:val="0"/>
        <w:adjustRightInd/>
        <w:spacing w:line="320" w:lineRule="exact"/>
        <w:jc w:val="left"/>
        <w:outlineLvl w:val="9"/>
        <w:rPr>
          <w:rFonts w:hint="eastAsia" w:ascii="宋体" w:hAnsi="宋体" w:eastAsia="宋体" w:cs="宋体"/>
          <w:b w:val="0"/>
          <w:bCs/>
          <w:sz w:val="24"/>
          <w:highlight w:val="none"/>
        </w:rPr>
      </w:pPr>
      <w:r>
        <w:rPr>
          <w:rFonts w:hint="eastAsia" w:ascii="宋体" w:hAnsi="宋体" w:eastAsia="宋体" w:cs="宋体"/>
          <w:b/>
          <w:bCs/>
          <w:color w:val="auto"/>
          <w:sz w:val="32"/>
          <w:szCs w:val="40"/>
          <w:highlight w:val="none"/>
          <w:lang w:val="en-US" w:eastAsia="zh-CN" w:bidi="ar-SA"/>
        </w:rPr>
        <w:br w:type="page"/>
      </w:r>
    </w:p>
    <w:p>
      <w:pPr>
        <w:kinsoku/>
        <w:wordWrap/>
        <w:overflowPunct/>
        <w:topLinePunct w:val="0"/>
        <w:bidi w:val="0"/>
        <w:snapToGrid w:val="0"/>
        <w:spacing w:line="360" w:lineRule="auto"/>
        <w:outlineLvl w:val="9"/>
        <w:rPr>
          <w:rFonts w:ascii="宋体" w:hAnsi="宋体" w:cs="宋体"/>
          <w:b/>
          <w:sz w:val="28"/>
          <w:szCs w:val="28"/>
          <w:highlight w:val="none"/>
        </w:rPr>
      </w:pPr>
      <w:r>
        <w:rPr>
          <w:rFonts w:hint="eastAsia" w:ascii="宋体" w:hAnsi="宋体" w:cs="宋体"/>
          <w:b/>
          <w:sz w:val="32"/>
          <w:highlight w:val="none"/>
        </w:rPr>
        <w:t>一、评标方法</w:t>
      </w:r>
    </w:p>
    <w:p>
      <w:pPr>
        <w:kinsoku/>
        <w:wordWrap/>
        <w:overflowPunct/>
        <w:topLinePunct w:val="0"/>
        <w:bidi w:val="0"/>
        <w:adjustRightInd/>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1.本项目采用综合评分法。</w:t>
      </w:r>
      <w:r>
        <w:rPr>
          <w:rFonts w:hint="eastAsia" w:ascii="宋体" w:hAnsi="宋体" w:cs="宋体"/>
          <w:kern w:val="0"/>
          <w:sz w:val="24"/>
          <w:highlight w:val="none"/>
        </w:rPr>
        <w:t>综合评分法，是指投标文件满足招标文件全部实质性要求，且按照评审因素的量化指标评审得分最高的</w:t>
      </w:r>
      <w:r>
        <w:rPr>
          <w:rFonts w:hint="eastAsia" w:ascii="宋体" w:hAnsi="宋体" w:cs="宋体"/>
          <w:kern w:val="0"/>
          <w:sz w:val="24"/>
          <w:highlight w:val="none"/>
          <w:lang w:eastAsia="zh-CN"/>
        </w:rPr>
        <w:t>供应商</w:t>
      </w:r>
      <w:r>
        <w:rPr>
          <w:rFonts w:hint="eastAsia" w:ascii="宋体" w:hAnsi="宋体" w:cs="宋体"/>
          <w:kern w:val="0"/>
          <w:sz w:val="24"/>
          <w:highlight w:val="none"/>
        </w:rPr>
        <w:t>为中标候选人的评标方法。</w:t>
      </w:r>
    </w:p>
    <w:p>
      <w:pPr>
        <w:kinsoku/>
        <w:wordWrap/>
        <w:overflowPunct/>
        <w:topLinePunct w:val="0"/>
        <w:bidi w:val="0"/>
        <w:adjustRightInd/>
        <w:spacing w:line="360" w:lineRule="auto"/>
        <w:outlineLvl w:val="9"/>
        <w:rPr>
          <w:rFonts w:ascii="宋体" w:hAnsi="宋体" w:cs="宋体"/>
          <w:kern w:val="0"/>
          <w:sz w:val="24"/>
          <w:highlight w:val="none"/>
        </w:rPr>
      </w:pPr>
      <w:r>
        <w:rPr>
          <w:rFonts w:hint="eastAsia" w:ascii="宋体" w:hAnsi="宋体" w:cs="宋体"/>
          <w:b/>
          <w:sz w:val="32"/>
          <w:highlight w:val="none"/>
        </w:rPr>
        <w:t>二、评标标准</w:t>
      </w:r>
    </w:p>
    <w:p>
      <w:pPr>
        <w:kinsoku/>
        <w:wordWrap/>
        <w:overflowPunct/>
        <w:topLinePunct w:val="0"/>
        <w:bidi w:val="0"/>
        <w:spacing w:line="360" w:lineRule="auto"/>
        <w:ind w:firstLine="472" w:firstLineChars="196"/>
        <w:outlineLvl w:val="9"/>
        <w:rPr>
          <w:rFonts w:ascii="宋体" w:hAnsi="宋体" w:cs="宋体"/>
          <w:b/>
          <w:sz w:val="24"/>
          <w:highlight w:val="none"/>
        </w:rPr>
      </w:pPr>
      <w:r>
        <w:rPr>
          <w:rFonts w:hint="eastAsia" w:ascii="宋体" w:hAnsi="宋体" w:cs="宋体"/>
          <w:b/>
          <w:sz w:val="24"/>
          <w:highlight w:val="none"/>
        </w:rPr>
        <w:t>2.</w:t>
      </w:r>
      <w:r>
        <w:rPr>
          <w:rFonts w:hint="eastAsia" w:ascii="宋体" w:hAnsi="宋体" w:cs="宋体"/>
          <w:highlight w:val="none"/>
        </w:rPr>
        <w:t xml:space="preserve"> </w:t>
      </w:r>
      <w:r>
        <w:rPr>
          <w:rFonts w:hint="eastAsia" w:ascii="宋体" w:hAnsi="宋体" w:cs="宋体"/>
          <w:b/>
          <w:sz w:val="24"/>
          <w:highlight w:val="none"/>
        </w:rPr>
        <w:t>评标标准：</w:t>
      </w:r>
      <w:r>
        <w:rPr>
          <w:rFonts w:hint="eastAsia" w:ascii="宋体" w:hAnsi="宋体" w:cs="宋体"/>
          <w:kern w:val="0"/>
          <w:sz w:val="24"/>
          <w:highlight w:val="none"/>
        </w:rPr>
        <w:t>见评标办法前附表。</w:t>
      </w:r>
    </w:p>
    <w:p>
      <w:pPr>
        <w:kinsoku/>
        <w:wordWrap/>
        <w:overflowPunct/>
        <w:topLinePunct w:val="0"/>
        <w:bidi w:val="0"/>
        <w:spacing w:line="360" w:lineRule="auto"/>
        <w:outlineLvl w:val="9"/>
        <w:rPr>
          <w:rFonts w:ascii="宋体" w:hAnsi="宋体" w:cs="宋体"/>
          <w:b/>
          <w:sz w:val="36"/>
          <w:szCs w:val="36"/>
          <w:highlight w:val="none"/>
        </w:rPr>
      </w:pPr>
      <w:r>
        <w:rPr>
          <w:rFonts w:hint="eastAsia" w:ascii="宋体" w:hAnsi="宋体" w:cs="宋体"/>
          <w:b/>
          <w:sz w:val="36"/>
          <w:szCs w:val="36"/>
          <w:highlight w:val="none"/>
        </w:rPr>
        <w:t>三、评标程序</w:t>
      </w:r>
    </w:p>
    <w:p>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3.1符合性审查。</w:t>
      </w:r>
      <w:r>
        <w:rPr>
          <w:rFonts w:hint="eastAsia" w:ascii="宋体" w:hAnsi="宋体" w:cs="宋体"/>
          <w:kern w:val="0"/>
          <w:sz w:val="24"/>
          <w:highlight w:val="none"/>
        </w:rPr>
        <w:t>评标委员会应当对符合资格的</w:t>
      </w:r>
      <w:r>
        <w:rPr>
          <w:rFonts w:hint="eastAsia" w:ascii="宋体" w:hAnsi="宋体" w:cs="宋体"/>
          <w:kern w:val="0"/>
          <w:sz w:val="24"/>
          <w:highlight w:val="none"/>
          <w:lang w:eastAsia="zh-CN"/>
        </w:rPr>
        <w:t>供应商</w:t>
      </w:r>
      <w:r>
        <w:rPr>
          <w:rFonts w:hint="eastAsia" w:ascii="宋体" w:hAnsi="宋体" w:cs="宋体"/>
          <w:kern w:val="0"/>
          <w:sz w:val="24"/>
          <w:highlight w:val="none"/>
        </w:rPr>
        <w:t>的投标文件进行符合性审查，以确定其是否满足招标文件的实质性要求。不满足招标文件的实质性要求的，投标无效。</w:t>
      </w:r>
    </w:p>
    <w:p>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3.2 比较与评价。</w:t>
      </w:r>
      <w:r>
        <w:rPr>
          <w:rFonts w:hint="eastAsia" w:ascii="宋体" w:hAnsi="宋体" w:cs="宋体"/>
          <w:kern w:val="0"/>
          <w:sz w:val="24"/>
          <w:highlight w:val="none"/>
        </w:rPr>
        <w:t>评标委员会应当按照招标文件中规定的评标方法和标准，对符合性审查合格的投标文件进行商务和技术评估，综合比较与评价。</w:t>
      </w:r>
    </w:p>
    <w:p>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3.3汇总商务技术得分。</w:t>
      </w:r>
      <w:r>
        <w:rPr>
          <w:rFonts w:hint="eastAsia" w:ascii="宋体" w:hAnsi="宋体" w:cs="宋体"/>
          <w:kern w:val="0"/>
          <w:sz w:val="24"/>
          <w:highlight w:val="none"/>
        </w:rPr>
        <w:t>评标委员会各成员应当独立对每个</w:t>
      </w:r>
      <w:r>
        <w:rPr>
          <w:rFonts w:hint="eastAsia" w:ascii="宋体" w:hAnsi="宋体" w:cs="宋体"/>
          <w:kern w:val="0"/>
          <w:sz w:val="24"/>
          <w:highlight w:val="none"/>
          <w:lang w:eastAsia="zh-CN"/>
        </w:rPr>
        <w:t>供应商</w:t>
      </w:r>
      <w:r>
        <w:rPr>
          <w:rFonts w:hint="eastAsia" w:ascii="宋体" w:hAnsi="宋体" w:cs="宋体"/>
          <w:kern w:val="0"/>
          <w:sz w:val="24"/>
          <w:highlight w:val="none"/>
        </w:rPr>
        <w:t>的商务和技术文件进行评价，并汇总商务技术得分情况。</w:t>
      </w:r>
    </w:p>
    <w:p>
      <w:pPr>
        <w:kinsoku/>
        <w:wordWrap/>
        <w:overflowPunct/>
        <w:topLinePunct w:val="0"/>
        <w:bidi w:val="0"/>
        <w:spacing w:line="360" w:lineRule="auto"/>
        <w:ind w:firstLine="472" w:firstLineChars="196"/>
        <w:outlineLvl w:val="9"/>
        <w:rPr>
          <w:rFonts w:ascii="宋体" w:hAnsi="宋体" w:cs="宋体"/>
          <w:b/>
          <w:kern w:val="0"/>
          <w:sz w:val="24"/>
          <w:highlight w:val="none"/>
        </w:rPr>
      </w:pPr>
      <w:r>
        <w:rPr>
          <w:rFonts w:hint="eastAsia" w:ascii="宋体" w:hAnsi="宋体" w:cs="宋体"/>
          <w:b/>
          <w:kern w:val="0"/>
          <w:sz w:val="24"/>
          <w:highlight w:val="none"/>
        </w:rPr>
        <w:t>3.4报价评审。</w:t>
      </w:r>
    </w:p>
    <w:p>
      <w:pPr>
        <w:pStyle w:val="134"/>
        <w:kinsoku/>
        <w:wordWrap/>
        <w:overflowPunct/>
        <w:topLinePunct w:val="0"/>
        <w:bidi w:val="0"/>
        <w:spacing w:before="0"/>
        <w:ind w:firstLine="508" w:firstLineChars="212"/>
        <w:outlineLvl w:val="9"/>
        <w:rPr>
          <w:rFonts w:ascii="宋体" w:hAnsi="宋体" w:cs="宋体"/>
          <w:kern w:val="0"/>
          <w:highlight w:val="none"/>
        </w:rPr>
      </w:pPr>
      <w:r>
        <w:rPr>
          <w:rFonts w:hint="eastAsia" w:ascii="宋体" w:hAnsi="宋体" w:cs="宋体"/>
          <w:kern w:val="0"/>
          <w:highlight w:val="none"/>
        </w:rPr>
        <w:t>3.4.1投标文件报价出现前后不一致的，按照下列规定修正：</w:t>
      </w:r>
    </w:p>
    <w:p>
      <w:pPr>
        <w:pStyle w:val="134"/>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3.4.1.1投标文件中开标一览表(报价表)内容与投标文件中相应内容不一致的，以开标一览表(报价表)为准</w:t>
      </w:r>
      <w:r>
        <w:rPr>
          <w:rFonts w:hint="eastAsia" w:ascii="宋体" w:hAnsi="宋体" w:cs="宋体"/>
          <w:kern w:val="0"/>
          <w:szCs w:val="24"/>
          <w:highlight w:val="none"/>
          <w:lang w:eastAsia="zh-CN"/>
        </w:rPr>
        <w:t>；</w:t>
      </w:r>
    </w:p>
    <w:p>
      <w:pPr>
        <w:pStyle w:val="134"/>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3.4.1.2大写金额和小写金额不一致的，以大写金额为准</w:t>
      </w:r>
      <w:r>
        <w:rPr>
          <w:rFonts w:hint="eastAsia" w:ascii="宋体" w:hAnsi="宋体" w:cs="宋体"/>
          <w:kern w:val="0"/>
          <w:szCs w:val="24"/>
          <w:highlight w:val="none"/>
          <w:lang w:eastAsia="zh-CN"/>
        </w:rPr>
        <w:t>；</w:t>
      </w:r>
    </w:p>
    <w:p>
      <w:pPr>
        <w:pStyle w:val="134"/>
        <w:kinsoku/>
        <w:wordWrap/>
        <w:overflowPunct/>
        <w:topLinePunct w:val="0"/>
        <w:bidi w:val="0"/>
        <w:spacing w:before="0"/>
        <w:ind w:firstLine="480"/>
        <w:outlineLvl w:val="9"/>
        <w:rPr>
          <w:rFonts w:hint="eastAsia" w:ascii="宋体" w:hAnsi="宋体" w:eastAsia="宋体" w:cs="宋体"/>
          <w:kern w:val="0"/>
          <w:szCs w:val="24"/>
          <w:highlight w:val="none"/>
          <w:lang w:eastAsia="zh-CN"/>
        </w:rPr>
      </w:pPr>
      <w:r>
        <w:rPr>
          <w:rFonts w:hint="eastAsia" w:ascii="宋体" w:hAnsi="宋体" w:cs="宋体"/>
          <w:kern w:val="0"/>
          <w:szCs w:val="24"/>
          <w:highlight w:val="none"/>
        </w:rPr>
        <w:t>3.4.1.3单价金额小数点或者百分比有明显错位的，以开标一览表的总价为准，并修改单价</w:t>
      </w:r>
      <w:r>
        <w:rPr>
          <w:rFonts w:hint="eastAsia" w:ascii="宋体" w:hAnsi="宋体" w:cs="宋体"/>
          <w:kern w:val="0"/>
          <w:szCs w:val="24"/>
          <w:highlight w:val="none"/>
          <w:lang w:eastAsia="zh-CN"/>
        </w:rPr>
        <w:t>；</w:t>
      </w:r>
    </w:p>
    <w:p>
      <w:pPr>
        <w:pStyle w:val="134"/>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3.4.1.4总价金额与按单价汇总金额不一致的，以单价金额计算结果为准。</w:t>
      </w:r>
    </w:p>
    <w:p>
      <w:pPr>
        <w:pStyle w:val="134"/>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3.4.1.5同时出现两种以上不一致的，按照3.4.1规定的顺序修正。修正后的报价按照财政部第87号令《政府采购货物和服务招标投标管理办法》第五十一条第二款的规定经</w:t>
      </w:r>
      <w:r>
        <w:rPr>
          <w:rFonts w:hint="eastAsia" w:ascii="宋体" w:hAnsi="宋体" w:cs="宋体"/>
          <w:kern w:val="0"/>
          <w:szCs w:val="24"/>
          <w:highlight w:val="none"/>
          <w:lang w:eastAsia="zh-CN"/>
        </w:rPr>
        <w:t>供应商</w:t>
      </w:r>
      <w:r>
        <w:rPr>
          <w:rFonts w:hint="eastAsia" w:ascii="宋体" w:hAnsi="宋体" w:cs="宋体"/>
          <w:kern w:val="0"/>
          <w:szCs w:val="24"/>
          <w:highlight w:val="none"/>
        </w:rPr>
        <w:t>确认后产生约束力。</w:t>
      </w:r>
    </w:p>
    <w:p>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3.4.2投标文件出现不是唯一的、有选择性投标报价的，投标无效。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rPr>
      </w:pPr>
      <w:r>
        <w:rPr>
          <w:rFonts w:hint="eastAsia" w:ascii="宋体" w:hAnsi="宋体" w:cs="宋体"/>
          <w:kern w:val="0"/>
          <w:sz w:val="24"/>
          <w:highlight w:val="none"/>
        </w:rPr>
        <w:t>3.4.3投标报价超过招标文件中规定的预算金额或者最高限价的，投标无效。</w:t>
      </w:r>
    </w:p>
    <w:p>
      <w:pPr>
        <w:pStyle w:val="134"/>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3.4.4评标委员会认为</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的报价明显低于其他通过符合性审查</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的报价，有可能影响产品质量或者不能诚信履约的，应当要求其在合理的时间内提供书面说明，必要时提交相关证明材料</w:t>
      </w:r>
      <w:r>
        <w:rPr>
          <w:rFonts w:hint="eastAsia" w:ascii="宋体" w:hAnsi="宋体" w:cs="宋体"/>
          <w:kern w:val="0"/>
          <w:szCs w:val="24"/>
          <w:highlight w:val="none"/>
          <w:lang w:eastAsia="zh-CN"/>
        </w:rPr>
        <w:t>；供应商</w:t>
      </w:r>
      <w:r>
        <w:rPr>
          <w:rFonts w:hint="eastAsia" w:ascii="宋体" w:hAnsi="宋体" w:cs="宋体"/>
          <w:kern w:val="0"/>
          <w:szCs w:val="24"/>
          <w:highlight w:val="none"/>
        </w:rPr>
        <w:t>不能证明其报价合理性的，评标委员会应当将其作为无效投标处理。</w:t>
      </w:r>
    </w:p>
    <w:p>
      <w:pPr>
        <w:pStyle w:val="134"/>
        <w:kinsoku/>
        <w:wordWrap/>
        <w:overflowPunct/>
        <w:topLinePunct w:val="0"/>
        <w:bidi w:val="0"/>
        <w:spacing w:before="0"/>
        <w:ind w:firstLine="480"/>
        <w:outlineLvl w:val="9"/>
        <w:rPr>
          <w:rFonts w:ascii="宋体" w:hAnsi="宋体" w:cs="宋体"/>
          <w:kern w:val="0"/>
          <w:szCs w:val="24"/>
          <w:highlight w:val="none"/>
        </w:rPr>
      </w:pPr>
      <w:r>
        <w:rPr>
          <w:rFonts w:hint="eastAsia" w:ascii="宋体" w:hAnsi="宋体" w:cs="宋体"/>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kinsoku/>
        <w:wordWrap/>
        <w:overflowPunct/>
        <w:topLinePunct w:val="0"/>
        <w:bidi w:val="0"/>
        <w:spacing w:line="360" w:lineRule="auto"/>
        <w:ind w:firstLine="482" w:firstLineChars="200"/>
        <w:outlineLvl w:val="9"/>
        <w:rPr>
          <w:rFonts w:hint="eastAsia" w:ascii="宋体" w:hAnsi="宋体" w:eastAsia="宋体" w:cs="宋体"/>
          <w:kern w:val="0"/>
          <w:sz w:val="24"/>
          <w:highlight w:val="none"/>
          <w:lang w:val="en-US" w:eastAsia="zh-CN"/>
        </w:rPr>
      </w:pPr>
      <w:r>
        <w:rPr>
          <w:rFonts w:hint="eastAsia" w:ascii="宋体" w:hAnsi="宋体" w:cs="宋体"/>
          <w:b/>
          <w:kern w:val="0"/>
          <w:sz w:val="24"/>
          <w:highlight w:val="none"/>
        </w:rPr>
        <w:t>3.5排序与推荐。</w:t>
      </w:r>
      <w:r>
        <w:rPr>
          <w:rFonts w:hint="eastAsia" w:ascii="宋体" w:hAnsi="宋体" w:cs="宋体"/>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cs="宋体"/>
          <w:kern w:val="0"/>
          <w:sz w:val="24"/>
          <w:highlight w:val="none"/>
          <w:lang w:eastAsia="zh-CN"/>
        </w:rPr>
        <w:t>供应商</w:t>
      </w:r>
      <w:r>
        <w:rPr>
          <w:rFonts w:hint="eastAsia" w:ascii="宋体" w:hAnsi="宋体" w:cs="宋体"/>
          <w:kern w:val="0"/>
          <w:sz w:val="24"/>
          <w:highlight w:val="none"/>
        </w:rPr>
        <w:t>为排名第一的中标候选人。</w:t>
      </w:r>
      <w:r>
        <w:rPr>
          <w:rFonts w:hint="eastAsia" w:ascii="宋体" w:hAnsi="宋体" w:eastAsia="宋体" w:cs="宋体"/>
          <w:b/>
          <w:bCs/>
          <w:kern w:val="0"/>
          <w:sz w:val="24"/>
          <w:highlight w:val="none"/>
          <w:lang w:val="en-US" w:eastAsia="zh-CN"/>
        </w:rPr>
        <w:t>备注：推荐3名及以上中标候选人。</w:t>
      </w:r>
    </w:p>
    <w:p>
      <w:pPr>
        <w:kinsoku/>
        <w:wordWrap/>
        <w:overflowPunct/>
        <w:topLinePunct w:val="0"/>
        <w:bidi w:val="0"/>
        <w:spacing w:line="360" w:lineRule="auto"/>
        <w:ind w:firstLine="480" w:firstLineChars="200"/>
        <w:outlineLvl w:val="9"/>
        <w:rPr>
          <w:rFonts w:ascii="宋体" w:hAnsi="宋体" w:cs="宋体"/>
          <w:b/>
          <w:kern w:val="0"/>
          <w:sz w:val="24"/>
          <w:highlight w:val="none"/>
        </w:rPr>
      </w:pPr>
      <w:r>
        <w:rPr>
          <w:rFonts w:hint="eastAsia" w:ascii="宋体" w:hAnsi="宋体" w:cs="宋体"/>
          <w:kern w:val="0"/>
          <w:sz w:val="24"/>
          <w:highlight w:val="none"/>
        </w:rPr>
        <w:t>多家</w:t>
      </w:r>
      <w:r>
        <w:rPr>
          <w:rFonts w:hint="eastAsia" w:ascii="宋体" w:hAnsi="宋体" w:cs="宋体"/>
          <w:kern w:val="0"/>
          <w:sz w:val="24"/>
          <w:highlight w:val="none"/>
          <w:lang w:eastAsia="zh-CN"/>
        </w:rPr>
        <w:t>供应商</w:t>
      </w:r>
      <w:r>
        <w:rPr>
          <w:rFonts w:hint="eastAsia" w:ascii="宋体" w:hAnsi="宋体" w:cs="宋体"/>
          <w:kern w:val="0"/>
          <w:sz w:val="24"/>
          <w:highlight w:val="none"/>
        </w:rPr>
        <w:t>提供相同品牌产品（单一产品采购项目中的该产品或者非单一产品采购项目的核心产品）且通过资格审查、符合性审查的不同</w:t>
      </w:r>
      <w:r>
        <w:rPr>
          <w:rFonts w:hint="eastAsia" w:ascii="宋体" w:hAnsi="宋体" w:cs="宋体"/>
          <w:kern w:val="0"/>
          <w:sz w:val="24"/>
          <w:highlight w:val="none"/>
          <w:lang w:eastAsia="zh-CN"/>
        </w:rPr>
        <w:t>供应商</w:t>
      </w:r>
      <w:r>
        <w:rPr>
          <w:rFonts w:hint="eastAsia" w:ascii="宋体" w:hAnsi="宋体" w:cs="宋体"/>
          <w:kern w:val="0"/>
          <w:sz w:val="24"/>
          <w:highlight w:val="none"/>
        </w:rPr>
        <w:t>参加同一合同项下投标的，按一家</w:t>
      </w:r>
      <w:r>
        <w:rPr>
          <w:rFonts w:hint="eastAsia" w:ascii="宋体" w:hAnsi="宋体" w:cs="宋体"/>
          <w:kern w:val="0"/>
          <w:sz w:val="24"/>
          <w:highlight w:val="none"/>
          <w:lang w:eastAsia="zh-CN"/>
        </w:rPr>
        <w:t>供应商</w:t>
      </w:r>
      <w:r>
        <w:rPr>
          <w:rFonts w:hint="eastAsia" w:ascii="宋体" w:hAnsi="宋体" w:cs="宋体"/>
          <w:kern w:val="0"/>
          <w:sz w:val="24"/>
          <w:highlight w:val="none"/>
        </w:rPr>
        <w:t>计算，评审后得分最高的同品牌</w:t>
      </w:r>
      <w:r>
        <w:rPr>
          <w:rFonts w:hint="eastAsia" w:ascii="宋体" w:hAnsi="宋体" w:cs="宋体"/>
          <w:kern w:val="0"/>
          <w:sz w:val="24"/>
          <w:highlight w:val="none"/>
          <w:lang w:eastAsia="zh-CN"/>
        </w:rPr>
        <w:t>供应商</w:t>
      </w:r>
      <w:r>
        <w:rPr>
          <w:rFonts w:hint="eastAsia" w:ascii="宋体" w:hAnsi="宋体" w:cs="宋体"/>
          <w:kern w:val="0"/>
          <w:sz w:val="24"/>
          <w:highlight w:val="none"/>
        </w:rPr>
        <w:t>获得中标人推荐资格；评审得分相同的，采取随机抽取方式确定，其他同品牌</w:t>
      </w:r>
      <w:r>
        <w:rPr>
          <w:rFonts w:hint="eastAsia" w:ascii="宋体" w:hAnsi="宋体" w:cs="宋体"/>
          <w:kern w:val="0"/>
          <w:sz w:val="24"/>
          <w:highlight w:val="none"/>
          <w:lang w:eastAsia="zh-CN"/>
        </w:rPr>
        <w:t>供应商</w:t>
      </w:r>
      <w:r>
        <w:rPr>
          <w:rFonts w:hint="eastAsia" w:ascii="宋体" w:hAnsi="宋体" w:cs="宋体"/>
          <w:kern w:val="0"/>
          <w:sz w:val="24"/>
          <w:highlight w:val="none"/>
        </w:rPr>
        <w:t>不作为中标候选人。</w:t>
      </w:r>
    </w:p>
    <w:p>
      <w:pPr>
        <w:kinsoku/>
        <w:wordWrap/>
        <w:overflowPunct/>
        <w:topLinePunct w:val="0"/>
        <w:bidi w:val="0"/>
        <w:spacing w:line="360" w:lineRule="auto"/>
        <w:ind w:firstLine="472" w:firstLineChars="196"/>
        <w:outlineLvl w:val="9"/>
        <w:rPr>
          <w:rFonts w:ascii="宋体" w:hAnsi="宋体" w:cs="宋体"/>
          <w:kern w:val="0"/>
          <w:sz w:val="24"/>
          <w:highlight w:val="none"/>
        </w:rPr>
      </w:pPr>
      <w:r>
        <w:rPr>
          <w:rFonts w:hint="eastAsia" w:ascii="宋体" w:hAnsi="宋体" w:cs="宋体"/>
          <w:b/>
          <w:kern w:val="0"/>
          <w:sz w:val="24"/>
          <w:highlight w:val="none"/>
        </w:rPr>
        <w:t>3.6编写评标报告。</w:t>
      </w:r>
      <w:r>
        <w:rPr>
          <w:rFonts w:hint="eastAsia" w:ascii="宋体" w:hAnsi="宋体" w:cs="宋体"/>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kinsoku/>
        <w:wordWrap/>
        <w:overflowPunct/>
        <w:topLinePunct w:val="0"/>
        <w:bidi w:val="0"/>
        <w:adjustRightInd/>
        <w:spacing w:after="225" w:line="315" w:lineRule="atLeast"/>
        <w:jc w:val="left"/>
        <w:outlineLvl w:val="9"/>
        <w:rPr>
          <w:rFonts w:ascii="宋体" w:hAnsi="宋体" w:cs="宋体"/>
          <w:b/>
          <w:sz w:val="32"/>
          <w:highlight w:val="none"/>
        </w:rPr>
      </w:pPr>
      <w:r>
        <w:rPr>
          <w:rFonts w:hint="eastAsia" w:ascii="宋体" w:hAnsi="宋体" w:cs="宋体"/>
          <w:b/>
          <w:sz w:val="32"/>
          <w:highlight w:val="none"/>
        </w:rPr>
        <w:t>四、评标中的其他事项</w:t>
      </w:r>
    </w:p>
    <w:p>
      <w:pPr>
        <w:pStyle w:val="134"/>
        <w:kinsoku/>
        <w:wordWrap/>
        <w:overflowPunct/>
        <w:topLinePunct w:val="0"/>
        <w:bidi w:val="0"/>
        <w:spacing w:before="0"/>
        <w:ind w:firstLine="472" w:firstLineChars="196"/>
        <w:outlineLvl w:val="9"/>
        <w:rPr>
          <w:rFonts w:ascii="宋体" w:hAnsi="宋体" w:cs="宋体"/>
          <w:kern w:val="0"/>
          <w:szCs w:val="24"/>
          <w:highlight w:val="none"/>
        </w:rPr>
      </w:pPr>
      <w:r>
        <w:rPr>
          <w:rFonts w:hint="eastAsia" w:ascii="宋体" w:hAnsi="宋体" w:cs="宋体"/>
          <w:b/>
          <w:kern w:val="0"/>
          <w:szCs w:val="24"/>
          <w:highlight w:val="none"/>
        </w:rPr>
        <w:t>4.1</w:t>
      </w:r>
      <w:r>
        <w:rPr>
          <w:rFonts w:hint="eastAsia" w:ascii="宋体" w:hAnsi="宋体" w:cs="宋体"/>
          <w:b/>
          <w:kern w:val="0"/>
          <w:szCs w:val="24"/>
          <w:highlight w:val="none"/>
          <w:lang w:eastAsia="zh-CN"/>
        </w:rPr>
        <w:t>供应商</w:t>
      </w:r>
      <w:r>
        <w:rPr>
          <w:rFonts w:hint="eastAsia" w:ascii="宋体" w:hAnsi="宋体" w:cs="宋体"/>
          <w:b/>
          <w:kern w:val="0"/>
          <w:szCs w:val="24"/>
          <w:highlight w:val="none"/>
        </w:rPr>
        <w:t>澄清、说明或者补正。</w:t>
      </w:r>
      <w:r>
        <w:rPr>
          <w:rFonts w:hint="eastAsia" w:ascii="宋体" w:hAnsi="宋体" w:cs="宋体"/>
          <w:kern w:val="0"/>
          <w:szCs w:val="24"/>
          <w:highlight w:val="none"/>
        </w:rPr>
        <w:t>对于投标文件中含义不明确、同类问题表述不一致或者有明显文字和计算错误的内容需要</w:t>
      </w:r>
      <w:r>
        <w:rPr>
          <w:rFonts w:hint="eastAsia" w:ascii="宋体" w:hAnsi="宋体" w:cs="宋体"/>
          <w:kern w:val="0"/>
          <w:szCs w:val="24"/>
          <w:highlight w:val="none"/>
          <w:lang w:eastAsia="zh-CN"/>
        </w:rPr>
        <w:t>供应商</w:t>
      </w:r>
      <w:r>
        <w:rPr>
          <w:rFonts w:hint="eastAsia" w:ascii="宋体" w:hAnsi="宋体" w:cs="宋体"/>
          <w:kern w:val="0"/>
          <w:szCs w:val="24"/>
          <w:highlight w:val="none"/>
        </w:rPr>
        <w:t>作出必要的澄清、说明或者补正的，评标委员会和</w:t>
      </w:r>
      <w:r>
        <w:rPr>
          <w:rFonts w:hint="eastAsia" w:ascii="宋体" w:hAnsi="宋体" w:cs="宋体"/>
          <w:kern w:val="0"/>
          <w:szCs w:val="24"/>
          <w:highlight w:val="none"/>
          <w:lang w:eastAsia="zh-CN"/>
        </w:rPr>
        <w:t>供应商</w:t>
      </w:r>
      <w:r>
        <w:rPr>
          <w:rFonts w:hint="eastAsia" w:ascii="宋体" w:hAnsi="宋体" w:cs="宋体"/>
          <w:kern w:val="0"/>
          <w:szCs w:val="24"/>
          <w:highlight w:val="none"/>
        </w:rPr>
        <w:t>通过电子交易平台交换数据电文，</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提交使用电子签名的相关数据电文或通过平台上传加盖公章的扫描件。给予</w:t>
      </w:r>
      <w:r>
        <w:rPr>
          <w:rFonts w:hint="eastAsia" w:ascii="宋体" w:hAnsi="宋体" w:cs="宋体"/>
          <w:kern w:val="0"/>
          <w:szCs w:val="24"/>
          <w:highlight w:val="none"/>
          <w:lang w:eastAsia="zh-CN"/>
        </w:rPr>
        <w:t>供应商</w:t>
      </w:r>
      <w:r>
        <w:rPr>
          <w:rFonts w:hint="eastAsia" w:ascii="宋体" w:hAnsi="宋体" w:cs="宋体"/>
          <w:kern w:val="0"/>
          <w:szCs w:val="24"/>
          <w:highlight w:val="none"/>
        </w:rPr>
        <w:t>提交澄清、说明或补正的时间不得少于半小时，</w:t>
      </w:r>
      <w:r>
        <w:rPr>
          <w:rFonts w:hint="eastAsia" w:ascii="宋体" w:hAnsi="宋体" w:cs="宋体"/>
          <w:kern w:val="0"/>
          <w:szCs w:val="24"/>
          <w:highlight w:val="none"/>
          <w:lang w:eastAsia="zh-CN"/>
        </w:rPr>
        <w:t>供应商</w:t>
      </w:r>
      <w:r>
        <w:rPr>
          <w:rFonts w:hint="eastAsia" w:ascii="宋体" w:hAnsi="宋体" w:cs="宋体"/>
          <w:kern w:val="0"/>
          <w:szCs w:val="24"/>
          <w:highlight w:val="none"/>
        </w:rPr>
        <w:t>已经明确表示澄清说明或补正完毕的除外。</w:t>
      </w:r>
      <w:r>
        <w:rPr>
          <w:rFonts w:hint="eastAsia" w:ascii="宋体" w:hAnsi="宋体" w:cs="宋体"/>
          <w:kern w:val="0"/>
          <w:szCs w:val="24"/>
          <w:highlight w:val="none"/>
          <w:lang w:eastAsia="zh-CN"/>
        </w:rPr>
        <w:t>供应商</w:t>
      </w:r>
      <w:r>
        <w:rPr>
          <w:rFonts w:hint="eastAsia" w:ascii="宋体" w:hAnsi="宋体" w:cs="宋体"/>
          <w:kern w:val="0"/>
          <w:szCs w:val="24"/>
          <w:highlight w:val="none"/>
        </w:rPr>
        <w:t>的澄清、说明或者补正不得超出投标文件的范围或者改变投标文件的实质性内容。</w:t>
      </w:r>
    </w:p>
    <w:p>
      <w:pPr>
        <w:pStyle w:val="26"/>
        <w:kinsoku/>
        <w:wordWrap/>
        <w:overflowPunct/>
        <w:topLinePunct w:val="0"/>
        <w:bidi w:val="0"/>
        <w:spacing w:line="360" w:lineRule="auto"/>
        <w:ind w:left="954" w:leftChars="226" w:hanging="479" w:firstLineChars="0"/>
        <w:outlineLvl w:val="9"/>
        <w:rPr>
          <w:rFonts w:cs="宋体"/>
          <w:szCs w:val="21"/>
          <w:highlight w:val="none"/>
        </w:rPr>
      </w:pPr>
      <w:r>
        <w:rPr>
          <w:rFonts w:hint="eastAsia" w:cs="宋体"/>
          <w:b/>
          <w:kern w:val="0"/>
          <w:highlight w:val="none"/>
        </w:rPr>
        <w:t>4.2投标无效。</w:t>
      </w:r>
      <w:r>
        <w:rPr>
          <w:rFonts w:hint="eastAsia" w:cs="宋体"/>
          <w:szCs w:val="21"/>
          <w:highlight w:val="none"/>
        </w:rPr>
        <w:t>有下列情形之一的，投标无效：</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不具备招标文件中规定的资格要求的（</w:t>
      </w:r>
      <w:r>
        <w:rPr>
          <w:rFonts w:hint="eastAsia" w:ascii="宋体" w:hAnsi="宋体" w:cs="宋体"/>
          <w:kern w:val="0"/>
          <w:sz w:val="24"/>
          <w:highlight w:val="none"/>
          <w:lang w:eastAsia="zh-CN"/>
        </w:rPr>
        <w:t>供应商</w:t>
      </w:r>
      <w:r>
        <w:rPr>
          <w:rFonts w:hint="eastAsia" w:ascii="宋体" w:hAnsi="宋体" w:cs="宋体"/>
          <w:kern w:val="0"/>
          <w:sz w:val="24"/>
          <w:highlight w:val="none"/>
        </w:rPr>
        <w:t>未提供有效的资格文件的，视为</w:t>
      </w:r>
      <w:r>
        <w:rPr>
          <w:rFonts w:hint="eastAsia" w:ascii="宋体" w:hAnsi="宋体" w:cs="宋体"/>
          <w:kern w:val="0"/>
          <w:sz w:val="24"/>
          <w:highlight w:val="none"/>
          <w:lang w:eastAsia="zh-CN"/>
        </w:rPr>
        <w:t>供应商</w:t>
      </w:r>
      <w:r>
        <w:rPr>
          <w:rFonts w:hint="eastAsia" w:ascii="宋体" w:hAnsi="宋体" w:cs="宋体"/>
          <w:kern w:val="0"/>
          <w:sz w:val="24"/>
          <w:highlight w:val="none"/>
        </w:rPr>
        <w:t>不具备招标文件中规定的资格要求）；</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4.2.2投标文件未按照招标文件要求签署、盖章的；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4.2.3采购人拟采购的产品属于政府强制采购的节能产品品目清单范围的，</w:t>
      </w:r>
      <w:r>
        <w:rPr>
          <w:rFonts w:hint="eastAsia" w:ascii="宋体" w:hAnsi="宋体" w:cs="宋体"/>
          <w:kern w:val="0"/>
          <w:sz w:val="24"/>
          <w:highlight w:val="none"/>
          <w:lang w:eastAsia="zh-CN"/>
        </w:rPr>
        <w:t>供应商</w:t>
      </w:r>
      <w:r>
        <w:rPr>
          <w:rFonts w:hint="eastAsia" w:ascii="宋体" w:hAnsi="宋体" w:cs="宋体"/>
          <w:kern w:val="0"/>
          <w:sz w:val="24"/>
          <w:highlight w:val="none"/>
        </w:rPr>
        <w:t>相应的投标产品未获得国家确定的认证机构出具的、处于有效期之内的节能产品认证证书的；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4.2.4投标文件含有采购人不能接受的附加条件的；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4.2.5投标文件中承诺的投标有效期少于招标文件中载明的投标有效期的；</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4.2.6</w:t>
      </w:r>
      <w:r>
        <w:rPr>
          <w:rFonts w:hint="eastAsia" w:ascii="宋体" w:hAnsi="宋体" w:eastAsia="宋体" w:cs="宋体"/>
          <w:kern w:val="0"/>
          <w:sz w:val="24"/>
          <w:highlight w:val="none"/>
        </w:rPr>
        <w:t>投标</w:t>
      </w:r>
      <w:r>
        <w:rPr>
          <w:rFonts w:hint="eastAsia" w:ascii="宋体" w:hAnsi="宋体" w:cs="宋体"/>
          <w:kern w:val="0"/>
          <w:sz w:val="24"/>
          <w:highlight w:val="none"/>
        </w:rPr>
        <w:t>文件出现不是唯一的、有选择性投标报价的</w:t>
      </w:r>
      <w:r>
        <w:rPr>
          <w:rFonts w:hint="eastAsia" w:ascii="宋体" w:hAnsi="宋体" w:cs="宋体"/>
          <w:kern w:val="0"/>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4.2.7投标报价超过招标文件中规定的预算金额或者最高限价的</w:t>
      </w:r>
      <w:r>
        <w:rPr>
          <w:rFonts w:hint="eastAsia" w:ascii="宋体" w:hAnsi="宋体" w:cs="宋体"/>
          <w:kern w:val="0"/>
          <w:sz w:val="24"/>
          <w:highlight w:val="none"/>
          <w:lang w:eastAsia="zh-CN"/>
        </w:rPr>
        <w:t>；</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eastAsia="zh-CN"/>
        </w:rPr>
      </w:pPr>
      <w:r>
        <w:rPr>
          <w:rFonts w:hint="eastAsia" w:ascii="宋体" w:hAnsi="宋体" w:cs="宋体"/>
          <w:kern w:val="0"/>
          <w:sz w:val="24"/>
          <w:highlight w:val="none"/>
        </w:rPr>
        <w:t>4.2.8报价明显低于其他通过符合性审查</w:t>
      </w:r>
      <w:r>
        <w:rPr>
          <w:rFonts w:hint="eastAsia" w:ascii="宋体" w:hAnsi="宋体" w:cs="宋体"/>
          <w:kern w:val="0"/>
          <w:sz w:val="24"/>
          <w:highlight w:val="none"/>
          <w:lang w:eastAsia="zh-CN"/>
        </w:rPr>
        <w:t>供应商</w:t>
      </w:r>
      <w:r>
        <w:rPr>
          <w:rFonts w:hint="eastAsia" w:ascii="宋体" w:hAnsi="宋体" w:cs="宋体"/>
          <w:kern w:val="0"/>
          <w:sz w:val="24"/>
          <w:highlight w:val="none"/>
        </w:rPr>
        <w:t>的报价，有可能影响产品质量或者不能诚信履约的，未能按要求提供书面说明或者提交相关证明材料，不能证明其报价合理性的</w:t>
      </w:r>
      <w:r>
        <w:rPr>
          <w:rFonts w:hint="eastAsia" w:ascii="宋体" w:hAnsi="宋体" w:cs="宋体"/>
          <w:kern w:val="0"/>
          <w:sz w:val="24"/>
          <w:highlight w:val="none"/>
          <w:lang w:eastAsia="zh-CN"/>
        </w:rPr>
        <w:t>；</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4.2.9</w:t>
      </w:r>
      <w:r>
        <w:rPr>
          <w:rFonts w:hint="eastAsia" w:ascii="宋体" w:hAnsi="宋体" w:cs="宋体"/>
          <w:kern w:val="0"/>
          <w:sz w:val="24"/>
          <w:highlight w:val="none"/>
          <w:lang w:eastAsia="zh-CN"/>
        </w:rPr>
        <w:t>供应商</w:t>
      </w:r>
      <w:r>
        <w:rPr>
          <w:rFonts w:hint="eastAsia" w:ascii="宋体" w:hAnsi="宋体" w:cs="宋体"/>
          <w:kern w:val="0"/>
          <w:sz w:val="24"/>
          <w:highlight w:val="none"/>
        </w:rPr>
        <w:t>对根据修正原则修正后的报价不确认的；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4.2.10</w:t>
      </w:r>
      <w:r>
        <w:rPr>
          <w:rFonts w:hint="eastAsia" w:ascii="宋体" w:hAnsi="宋体" w:cs="宋体"/>
          <w:kern w:val="0"/>
          <w:sz w:val="24"/>
          <w:highlight w:val="none"/>
          <w:lang w:eastAsia="zh-CN"/>
        </w:rPr>
        <w:t>供应商</w:t>
      </w:r>
      <w:r>
        <w:rPr>
          <w:rFonts w:hint="eastAsia" w:ascii="宋体" w:hAnsi="宋体" w:cs="宋体"/>
          <w:kern w:val="0"/>
          <w:sz w:val="24"/>
          <w:highlight w:val="none"/>
        </w:rPr>
        <w:t>提供虚假材料投标的；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4.2.11</w:t>
      </w:r>
      <w:r>
        <w:rPr>
          <w:rFonts w:hint="eastAsia" w:ascii="宋体" w:hAnsi="宋体" w:cs="宋体"/>
          <w:kern w:val="0"/>
          <w:sz w:val="24"/>
          <w:highlight w:val="none"/>
          <w:lang w:eastAsia="zh-CN"/>
        </w:rPr>
        <w:t>供应商</w:t>
      </w:r>
      <w:r>
        <w:rPr>
          <w:rFonts w:hint="eastAsia" w:ascii="宋体" w:hAnsi="宋体" w:cs="宋体"/>
          <w:kern w:val="0"/>
          <w:sz w:val="24"/>
          <w:highlight w:val="none"/>
        </w:rPr>
        <w:t>有恶意串通、妨碍其他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的竞争行为、损害采购人或者其他</w:t>
      </w:r>
      <w:r>
        <w:rPr>
          <w:rFonts w:hint="eastAsia" w:ascii="宋体" w:hAnsi="宋体" w:cs="宋体"/>
          <w:kern w:val="0"/>
          <w:sz w:val="24"/>
          <w:highlight w:val="none"/>
          <w:lang w:eastAsia="zh-CN"/>
        </w:rPr>
        <w:t>供应商</w:t>
      </w:r>
      <w:r>
        <w:rPr>
          <w:rFonts w:hint="eastAsia" w:ascii="宋体" w:hAnsi="宋体" w:cs="宋体"/>
          <w:kern w:val="0"/>
          <w:sz w:val="24"/>
          <w:highlight w:val="none"/>
        </w:rPr>
        <w:t>的合法权益情形的；</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rPr>
        <w:t>4.2.12</w:t>
      </w:r>
      <w:r>
        <w:rPr>
          <w:rFonts w:hint="eastAsia" w:ascii="宋体" w:hAnsi="宋体" w:cs="宋体"/>
          <w:kern w:val="0"/>
          <w:sz w:val="24"/>
          <w:highlight w:val="none"/>
          <w:lang w:eastAsia="zh-CN"/>
        </w:rPr>
        <w:t>供应商</w:t>
      </w:r>
      <w:r>
        <w:rPr>
          <w:rFonts w:hint="eastAsia" w:ascii="宋体" w:hAnsi="宋体" w:cs="宋体"/>
          <w:kern w:val="0"/>
          <w:sz w:val="24"/>
          <w:highlight w:val="none"/>
        </w:rPr>
        <w:t>仅提交备份投标文件，未在电子交易平台传输递交投标文件的，投标无效；</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lang w:val="en-US"/>
        </w:rPr>
      </w:pPr>
      <w:r>
        <w:rPr>
          <w:rFonts w:hint="eastAsia" w:ascii="宋体" w:hAnsi="宋体" w:eastAsia="宋体" w:cs="宋体"/>
          <w:b w:val="0"/>
          <w:bCs w:val="0"/>
          <w:kern w:val="0"/>
          <w:sz w:val="24"/>
          <w:szCs w:val="24"/>
          <w:highlight w:val="none"/>
          <w:lang w:val="en-US"/>
        </w:rPr>
        <w:t>4.2.13 投标</w:t>
      </w:r>
      <w:r>
        <w:rPr>
          <w:rFonts w:hint="eastAsia" w:ascii="宋体" w:hAnsi="宋体" w:eastAsia="宋体" w:cs="宋体"/>
          <w:kern w:val="0"/>
          <w:sz w:val="24"/>
          <w:highlight w:val="none"/>
          <w:lang w:val="en-US"/>
        </w:rPr>
        <w:t>文件不满足招标文件的其它实质性要求的；</w:t>
      </w:r>
    </w:p>
    <w:p>
      <w:pPr>
        <w:kinsoku/>
        <w:wordWrap/>
        <w:overflowPunct/>
        <w:topLinePunct w:val="0"/>
        <w:bidi w:val="0"/>
        <w:spacing w:line="360" w:lineRule="auto"/>
        <w:ind w:firstLine="480" w:firstLineChars="200"/>
        <w:outlineLvl w:val="9"/>
        <w:rPr>
          <w:rFonts w:hint="eastAsia" w:ascii="宋体" w:hAnsi="宋体" w:eastAsia="宋体" w:cs="宋体"/>
          <w:kern w:val="0"/>
          <w:sz w:val="24"/>
          <w:highlight w:val="none"/>
        </w:rPr>
      </w:pPr>
      <w:r>
        <w:rPr>
          <w:rFonts w:hint="eastAsia" w:ascii="宋体" w:hAnsi="宋体" w:eastAsia="宋体" w:cs="宋体"/>
          <w:kern w:val="0"/>
          <w:sz w:val="24"/>
          <w:highlight w:val="none"/>
        </w:rPr>
        <w:t>4.2.14法律、法规、规章（适用本市的）及省级以上规范性文件（适用本市的）规定的其他无效情形。</w:t>
      </w:r>
    </w:p>
    <w:p>
      <w:pPr>
        <w:pStyle w:val="26"/>
        <w:kinsoku/>
        <w:wordWrap/>
        <w:overflowPunct/>
        <w:topLinePunct w:val="0"/>
        <w:bidi w:val="0"/>
        <w:snapToGrid w:val="0"/>
        <w:spacing w:line="360" w:lineRule="auto"/>
        <w:ind w:firstLine="472" w:firstLineChars="196"/>
        <w:outlineLvl w:val="9"/>
        <w:rPr>
          <w:rFonts w:cs="宋体"/>
          <w:highlight w:val="none"/>
        </w:rPr>
      </w:pPr>
      <w:r>
        <w:rPr>
          <w:rFonts w:hint="eastAsia" w:cs="宋体"/>
          <w:b/>
          <w:highlight w:val="none"/>
        </w:rPr>
        <w:t>5.废标。</w:t>
      </w:r>
      <w:r>
        <w:rPr>
          <w:rFonts w:hint="eastAsia" w:cs="宋体"/>
          <w:highlight w:val="none"/>
        </w:rPr>
        <w:t>根据《中华人民共和国政府采购法》第三十六条之规定，在采购中，出现下列情形之一的，应予废标：</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5.1符合专业条件的供应商或者对招标文件作实质响应的供应商不足3家的；</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5.2出现影响采购公正的违法、违规行为的；</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5.3</w:t>
      </w:r>
      <w:r>
        <w:rPr>
          <w:rFonts w:hint="eastAsia" w:cs="宋体"/>
          <w:highlight w:val="none"/>
          <w:lang w:eastAsia="zh-CN"/>
        </w:rPr>
        <w:t>供应商</w:t>
      </w:r>
      <w:r>
        <w:rPr>
          <w:rFonts w:hint="eastAsia" w:cs="宋体"/>
          <w:highlight w:val="none"/>
        </w:rPr>
        <w:t>的报价均超过了采购预算，采购人不能支付的；</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5.4因重大变故，采购任务取消的。</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废标后，</w:t>
      </w:r>
      <w:r>
        <w:rPr>
          <w:rFonts w:hint="eastAsia" w:cs="宋体"/>
          <w:highlight w:val="none"/>
          <w:lang w:eastAsia="zh-CN"/>
        </w:rPr>
        <w:t>采购代理机构</w:t>
      </w:r>
      <w:r>
        <w:rPr>
          <w:rFonts w:hint="eastAsia" w:cs="宋体"/>
          <w:highlight w:val="none"/>
        </w:rPr>
        <w:t>应当将废标理由通知所有</w:t>
      </w:r>
      <w:r>
        <w:rPr>
          <w:rFonts w:hint="eastAsia" w:cs="宋体"/>
          <w:highlight w:val="none"/>
          <w:lang w:eastAsia="zh-CN"/>
        </w:rPr>
        <w:t>供应商</w:t>
      </w:r>
      <w:r>
        <w:rPr>
          <w:rFonts w:hint="eastAsia" w:cs="宋体"/>
          <w:highlight w:val="none"/>
        </w:rPr>
        <w:t>。</w:t>
      </w:r>
    </w:p>
    <w:p>
      <w:pPr>
        <w:pStyle w:val="26"/>
        <w:kinsoku/>
        <w:wordWrap/>
        <w:overflowPunct/>
        <w:topLinePunct w:val="0"/>
        <w:bidi w:val="0"/>
        <w:snapToGrid w:val="0"/>
        <w:spacing w:line="360" w:lineRule="auto"/>
        <w:ind w:firstLine="590" w:firstLineChars="245"/>
        <w:outlineLvl w:val="9"/>
        <w:rPr>
          <w:rFonts w:cs="宋体"/>
          <w:highlight w:val="none"/>
        </w:rPr>
      </w:pPr>
      <w:r>
        <w:rPr>
          <w:rFonts w:hint="eastAsia" w:cs="宋体"/>
          <w:b/>
          <w:highlight w:val="none"/>
        </w:rPr>
        <w:t>6.修改招标文件，重新组织采购活动。</w:t>
      </w:r>
      <w:r>
        <w:rPr>
          <w:rFonts w:hint="eastAsia" w:cs="宋体"/>
          <w:highlight w:val="none"/>
        </w:rPr>
        <w:t>评标委员会发现招标文件存在歧义、重大缺陷导致评标工作无法进行，或者招标文件内容违反国家有关强制性规定的，将停止评标工作，并与采购人、</w:t>
      </w:r>
      <w:r>
        <w:rPr>
          <w:rFonts w:hint="eastAsia" w:cs="宋体"/>
          <w:highlight w:val="none"/>
          <w:lang w:eastAsia="zh-CN"/>
        </w:rPr>
        <w:t>采购代理机构</w:t>
      </w:r>
      <w:r>
        <w:rPr>
          <w:rFonts w:hint="eastAsia" w:cs="宋体"/>
          <w:highlight w:val="none"/>
        </w:rPr>
        <w:t>沟通并作书面记录。采购人、</w:t>
      </w:r>
      <w:r>
        <w:rPr>
          <w:rFonts w:hint="eastAsia" w:cs="宋体"/>
          <w:highlight w:val="none"/>
          <w:lang w:eastAsia="zh-CN"/>
        </w:rPr>
        <w:t>采购代理机构</w:t>
      </w:r>
      <w:r>
        <w:rPr>
          <w:rFonts w:hint="eastAsia" w:cs="宋体"/>
          <w:highlight w:val="none"/>
        </w:rPr>
        <w:t>确认后，将修改招标文件，重新组织采购活动。</w:t>
      </w:r>
    </w:p>
    <w:p>
      <w:pPr>
        <w:pStyle w:val="26"/>
        <w:kinsoku/>
        <w:wordWrap/>
        <w:overflowPunct/>
        <w:topLinePunct w:val="0"/>
        <w:bidi w:val="0"/>
        <w:snapToGrid w:val="0"/>
        <w:spacing w:line="360" w:lineRule="auto"/>
        <w:ind w:firstLine="482"/>
        <w:outlineLvl w:val="9"/>
        <w:rPr>
          <w:rFonts w:cs="宋体"/>
          <w:highlight w:val="none"/>
        </w:rPr>
      </w:pPr>
      <w:r>
        <w:rPr>
          <w:rFonts w:hint="eastAsia" w:cs="宋体"/>
          <w:b/>
          <w:kern w:val="0"/>
          <w:highlight w:val="none"/>
        </w:rPr>
        <w:t>7.重新开展采购。</w:t>
      </w:r>
      <w:r>
        <w:rPr>
          <w:rFonts w:hint="eastAsia" w:cs="宋体"/>
          <w:highlight w:val="none"/>
        </w:rPr>
        <w:t>有政府采购法第七十一条、第七十二条规定的违法行为之一，影响或者可能影响中标结果的，依照下列规定处理：</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7.1未确定中标供应商的，终止本次政府采购活动，重新开展政府采购活动。</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7.2已确定中标供应商但尚未签订政府采购合同的，中标结果无效，从合格的中标候选人中另行确定中标供应商；没有合格的中标候选人的，重新开展政府采购活动。</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7.3政府采购合同已签订但尚未履行的，撤销合同，从合格的中标候选人中另行确定中标供应商；没有合格的中标候选人的，重新开展政府采购活动。</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7.4政府采购合同已经履行，给采购人、供应商造成损失的，由责任人承担赔偿责任。</w:t>
      </w:r>
    </w:p>
    <w:p>
      <w:pPr>
        <w:pStyle w:val="26"/>
        <w:kinsoku/>
        <w:wordWrap/>
        <w:overflowPunct/>
        <w:topLinePunct w:val="0"/>
        <w:bidi w:val="0"/>
        <w:snapToGrid w:val="0"/>
        <w:spacing w:line="360" w:lineRule="auto"/>
        <w:outlineLvl w:val="9"/>
        <w:rPr>
          <w:rFonts w:cs="宋体"/>
          <w:highlight w:val="none"/>
        </w:rPr>
      </w:pPr>
      <w:r>
        <w:rPr>
          <w:rFonts w:hint="eastAsia" w:cs="宋体"/>
          <w:highlight w:val="none"/>
        </w:rPr>
        <w:t>7.5政府采购当事人有其他违反政府采购法或者政府采购法实施条例等法律法规规定的行为，经改正后仍然影响或者可能影响中标结果或者依法被认定为中标无效的，依照7.1-7.4规定处理。</w:t>
      </w:r>
    </w:p>
    <w:p>
      <w:pPr>
        <w:pStyle w:val="26"/>
        <w:kinsoku/>
        <w:wordWrap/>
        <w:overflowPunct/>
        <w:topLinePunct w:val="0"/>
        <w:bidi w:val="0"/>
        <w:snapToGrid w:val="0"/>
        <w:spacing w:line="360" w:lineRule="auto"/>
        <w:ind w:firstLine="0" w:firstLineChars="0"/>
        <w:outlineLvl w:val="9"/>
        <w:rPr>
          <w:rFonts w:cs="宋体"/>
          <w:highlight w:val="none"/>
        </w:rPr>
      </w:pPr>
    </w:p>
    <w:bookmarkEnd w:id="33"/>
    <w:p>
      <w:pPr>
        <w:kinsoku/>
        <w:wordWrap/>
        <w:overflowPunct/>
        <w:topLinePunct w:val="0"/>
        <w:bidi w:val="0"/>
        <w:spacing w:line="360" w:lineRule="auto"/>
        <w:ind w:left="720" w:leftChars="343" w:firstLine="1084" w:firstLineChars="300"/>
        <w:outlineLvl w:val="9"/>
        <w:rPr>
          <w:rFonts w:ascii="宋体" w:hAnsi="宋体" w:cs="宋体"/>
          <w:b/>
          <w:sz w:val="36"/>
          <w:szCs w:val="36"/>
          <w:highlight w:val="none"/>
        </w:rPr>
      </w:pPr>
      <w:bookmarkStart w:id="403" w:name="第五部分"/>
      <w:bookmarkStart w:id="404" w:name="_Toc86217003"/>
    </w:p>
    <w:p>
      <w:pPr>
        <w:kinsoku/>
        <w:wordWrap/>
        <w:overflowPunct/>
        <w:topLinePunct w:val="0"/>
        <w:bidi w:val="0"/>
        <w:outlineLvl w:val="9"/>
        <w:rPr>
          <w:rFonts w:hint="eastAsia" w:ascii="宋体" w:hAnsi="宋体" w:cs="宋体"/>
          <w:b/>
          <w:sz w:val="36"/>
          <w:szCs w:val="36"/>
          <w:highlight w:val="none"/>
        </w:rPr>
      </w:pPr>
      <w:r>
        <w:rPr>
          <w:rFonts w:hint="eastAsia" w:ascii="宋体" w:hAnsi="宋体" w:cs="宋体"/>
          <w:b/>
          <w:sz w:val="36"/>
          <w:szCs w:val="36"/>
          <w:highlight w:val="none"/>
        </w:rPr>
        <w:br w:type="page"/>
      </w:r>
    </w:p>
    <w:p>
      <w:pPr>
        <w:kinsoku/>
        <w:wordWrap/>
        <w:overflowPunct/>
        <w:topLinePunct w:val="0"/>
        <w:bidi w:val="0"/>
        <w:spacing w:line="360" w:lineRule="auto"/>
        <w:ind w:left="720" w:leftChars="343" w:firstLine="1084" w:firstLineChars="300"/>
        <w:outlineLvl w:val="0"/>
        <w:rPr>
          <w:rFonts w:ascii="宋体" w:hAnsi="宋体" w:cs="宋体"/>
          <w:b/>
          <w:sz w:val="36"/>
          <w:szCs w:val="36"/>
          <w:highlight w:val="none"/>
        </w:rPr>
      </w:pPr>
      <w:bookmarkStart w:id="405" w:name="_Toc8264"/>
      <w:r>
        <w:rPr>
          <w:rFonts w:hint="eastAsia" w:ascii="宋体" w:hAnsi="宋体" w:cs="宋体"/>
          <w:b/>
          <w:sz w:val="36"/>
          <w:szCs w:val="36"/>
          <w:highlight w:val="none"/>
        </w:rPr>
        <w:t>第五部分 拟签订的合同文本</w:t>
      </w:r>
      <w:bookmarkEnd w:id="405"/>
    </w:p>
    <w:p>
      <w:pPr>
        <w:kinsoku/>
        <w:wordWrap/>
        <w:overflowPunct/>
        <w:topLinePunct w:val="0"/>
        <w:bidi w:val="0"/>
        <w:outlineLvl w:val="9"/>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pPr>
        <w:kinsoku/>
        <w:wordWrap/>
        <w:overflowPunct/>
        <w:topLinePunct w:val="0"/>
        <w:bidi w:val="0"/>
        <w:spacing w:line="480" w:lineRule="auto"/>
        <w:jc w:val="center"/>
        <w:outlineLvl w:val="9"/>
        <w:rPr>
          <w:rFonts w:ascii="宋体" w:hAnsi="宋体" w:cs="宋体"/>
          <w:b/>
          <w:sz w:val="28"/>
          <w:szCs w:val="28"/>
          <w:highlight w:val="none"/>
        </w:rPr>
      </w:pPr>
    </w:p>
    <w:p>
      <w:pPr>
        <w:kinsoku/>
        <w:wordWrap/>
        <w:overflowPunct/>
        <w:topLinePunct w:val="0"/>
        <w:bidi w:val="0"/>
        <w:spacing w:line="480" w:lineRule="auto"/>
        <w:jc w:val="center"/>
        <w:outlineLvl w:val="9"/>
        <w:rPr>
          <w:rFonts w:ascii="宋体" w:hAnsi="宋体" w:cs="宋体"/>
          <w:b/>
          <w:sz w:val="24"/>
          <w:highlight w:val="none"/>
        </w:rPr>
      </w:pPr>
    </w:p>
    <w:p>
      <w:pPr>
        <w:kinsoku/>
        <w:wordWrap/>
        <w:overflowPunct/>
        <w:topLinePunct w:val="0"/>
        <w:bidi w:val="0"/>
        <w:spacing w:line="480" w:lineRule="auto"/>
        <w:jc w:val="center"/>
        <w:outlineLvl w:val="9"/>
        <w:rPr>
          <w:rFonts w:ascii="宋体" w:hAnsi="宋体" w:cs="宋体"/>
          <w:b/>
          <w:sz w:val="24"/>
          <w:highlight w:val="none"/>
        </w:rPr>
      </w:pPr>
    </w:p>
    <w:p>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政府采购合同参考范本</w:t>
      </w:r>
    </w:p>
    <w:p>
      <w:pPr>
        <w:kinsoku/>
        <w:wordWrap/>
        <w:overflowPunct/>
        <w:topLinePunct w:val="0"/>
        <w:bidi w:val="0"/>
        <w:spacing w:line="480" w:lineRule="auto"/>
        <w:jc w:val="center"/>
        <w:outlineLvl w:val="9"/>
        <w:rPr>
          <w:rFonts w:ascii="宋体" w:hAnsi="宋体" w:cs="宋体"/>
          <w:b/>
          <w:sz w:val="36"/>
          <w:szCs w:val="36"/>
          <w:highlight w:val="none"/>
        </w:rPr>
      </w:pPr>
      <w:r>
        <w:rPr>
          <w:rFonts w:hint="eastAsia" w:ascii="宋体" w:hAnsi="宋体" w:cs="宋体"/>
          <w:b/>
          <w:sz w:val="36"/>
          <w:szCs w:val="36"/>
          <w:highlight w:val="none"/>
        </w:rPr>
        <w:t>（</w:t>
      </w:r>
      <w:r>
        <w:rPr>
          <w:rFonts w:hint="eastAsia" w:ascii="宋体" w:hAnsi="宋体" w:cs="宋体"/>
          <w:b/>
          <w:sz w:val="36"/>
          <w:szCs w:val="36"/>
          <w:highlight w:val="none"/>
          <w:lang w:val="en-US" w:eastAsia="zh-CN"/>
        </w:rPr>
        <w:t>服务类</w:t>
      </w:r>
      <w:r>
        <w:rPr>
          <w:rFonts w:hint="eastAsia" w:ascii="宋体" w:hAnsi="宋体" w:cs="宋体"/>
          <w:b/>
          <w:sz w:val="36"/>
          <w:szCs w:val="36"/>
          <w:highlight w:val="none"/>
        </w:rPr>
        <w:t>）</w:t>
      </w:r>
    </w:p>
    <w:p>
      <w:pPr>
        <w:pStyle w:val="701"/>
        <w:kinsoku/>
        <w:wordWrap/>
        <w:overflowPunct/>
        <w:topLinePunct w:val="0"/>
        <w:bidi w:val="0"/>
        <w:outlineLvl w:val="9"/>
        <w:rPr>
          <w:rFonts w:ascii="宋体" w:hAnsi="宋体" w:cs="宋体"/>
          <w:szCs w:val="24"/>
          <w:highlight w:val="none"/>
        </w:rPr>
      </w:pPr>
    </w:p>
    <w:p>
      <w:pPr>
        <w:pStyle w:val="701"/>
        <w:kinsoku/>
        <w:wordWrap/>
        <w:overflowPunct/>
        <w:topLinePunct w:val="0"/>
        <w:bidi w:val="0"/>
        <w:outlineLvl w:val="9"/>
        <w:rPr>
          <w:rFonts w:ascii="宋体" w:hAnsi="宋体" w:cs="宋体"/>
          <w:szCs w:val="24"/>
          <w:highlight w:val="none"/>
        </w:rPr>
      </w:pPr>
    </w:p>
    <w:p>
      <w:pPr>
        <w:pStyle w:val="701"/>
        <w:kinsoku/>
        <w:wordWrap/>
        <w:overflowPunct/>
        <w:topLinePunct w:val="0"/>
        <w:bidi w:val="0"/>
        <w:jc w:val="center"/>
        <w:outlineLvl w:val="9"/>
        <w:rPr>
          <w:rFonts w:ascii="宋体" w:hAnsi="宋体" w:cs="宋体"/>
          <w:szCs w:val="24"/>
          <w:highlight w:val="none"/>
        </w:rPr>
      </w:pPr>
    </w:p>
    <w:p>
      <w:pPr>
        <w:pStyle w:val="701"/>
        <w:keepNext w:val="0"/>
        <w:keepLines w:val="0"/>
        <w:pageBreakBefore w:val="0"/>
        <w:widowControl w:val="0"/>
        <w:kinsoku/>
        <w:wordWrap/>
        <w:overflowPunct/>
        <w:topLinePunct w:val="0"/>
        <w:autoSpaceDE w:val="0"/>
        <w:autoSpaceDN w:val="0"/>
        <w:bidi w:val="0"/>
        <w:adjustRightInd w:val="0"/>
        <w:snapToGrid w:val="0"/>
        <w:ind w:firstLine="2843" w:firstLineChars="1180"/>
        <w:textAlignment w:val="auto"/>
        <w:outlineLvl w:val="9"/>
        <w:rPr>
          <w:rFonts w:ascii="宋体" w:hAnsi="宋体" w:cs="宋体"/>
          <w:b/>
          <w:szCs w:val="24"/>
          <w:highlight w:val="none"/>
        </w:rPr>
      </w:pPr>
      <w:r>
        <w:rPr>
          <w:rFonts w:hint="eastAsia" w:ascii="宋体" w:hAnsi="宋体" w:cs="宋体"/>
          <w:b/>
          <w:szCs w:val="24"/>
          <w:highlight w:val="none"/>
        </w:rPr>
        <w:t>第一部分 合同书</w:t>
      </w:r>
    </w:p>
    <w:p>
      <w:pPr>
        <w:pStyle w:val="701"/>
        <w:kinsoku/>
        <w:wordWrap/>
        <w:overflowPunct/>
        <w:topLinePunct w:val="0"/>
        <w:bidi w:val="0"/>
        <w:outlineLvl w:val="9"/>
        <w:rPr>
          <w:rFonts w:ascii="宋体" w:hAnsi="宋体" w:cs="宋体"/>
          <w:szCs w:val="24"/>
          <w:highlight w:val="none"/>
        </w:rPr>
      </w:pPr>
    </w:p>
    <w:p>
      <w:pPr>
        <w:pStyle w:val="701"/>
        <w:kinsoku/>
        <w:wordWrap/>
        <w:overflowPunct/>
        <w:topLinePunct w:val="0"/>
        <w:bidi w:val="0"/>
        <w:outlineLvl w:val="9"/>
        <w:rPr>
          <w:rFonts w:ascii="宋体" w:hAnsi="宋体" w:cs="宋体"/>
          <w:szCs w:val="24"/>
          <w:highlight w:val="none"/>
        </w:rPr>
      </w:pPr>
    </w:p>
    <w:p>
      <w:pPr>
        <w:kinsoku/>
        <w:wordWrap/>
        <w:overflowPunct/>
        <w:topLinePunct w:val="0"/>
        <w:bidi w:val="0"/>
        <w:spacing w:before="120" w:line="22" w:lineRule="atLeast"/>
        <w:outlineLvl w:val="9"/>
        <w:rPr>
          <w:rFonts w:ascii="宋体" w:hAnsi="宋体" w:cs="宋体"/>
          <w:sz w:val="24"/>
          <w:highlight w:val="none"/>
        </w:rPr>
      </w:pPr>
    </w:p>
    <w:p>
      <w:pPr>
        <w:kinsoku/>
        <w:wordWrap/>
        <w:overflowPunct/>
        <w:topLinePunct w:val="0"/>
        <w:bidi w:val="0"/>
        <w:spacing w:before="120" w:line="22" w:lineRule="atLeast"/>
        <w:ind w:left="960"/>
        <w:outlineLvl w:val="9"/>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lang w:eastAsia="zh-CN"/>
        </w:rPr>
        <w:t>宁海县第一医院电子软镜维保服务项目</w:t>
      </w:r>
    </w:p>
    <w:p>
      <w:pPr>
        <w:pStyle w:val="598"/>
        <w:kinsoku/>
        <w:wordWrap/>
        <w:overflowPunct/>
        <w:topLinePunct w:val="0"/>
        <w:bidi w:val="0"/>
        <w:spacing w:before="120" w:line="22" w:lineRule="atLeast"/>
        <w:outlineLvl w:val="9"/>
        <w:rPr>
          <w:rFonts w:ascii="宋体" w:hAnsi="宋体" w:eastAsia="宋体" w:cs="宋体"/>
          <w:szCs w:val="24"/>
          <w:highlight w:val="none"/>
        </w:rPr>
      </w:pPr>
    </w:p>
    <w:p>
      <w:pPr>
        <w:kinsoku/>
        <w:wordWrap/>
        <w:overflowPunct/>
        <w:topLinePunct w:val="0"/>
        <w:bidi w:val="0"/>
        <w:outlineLvl w:val="9"/>
        <w:rPr>
          <w:rFonts w:ascii="宋体" w:hAnsi="宋体" w:cs="宋体"/>
          <w:sz w:val="24"/>
          <w:highlight w:val="none"/>
        </w:rPr>
      </w:pPr>
    </w:p>
    <w:p>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lang w:eastAsia="zh-CN"/>
        </w:rPr>
        <w:t>宁海县第一医院</w:t>
      </w:r>
    </w:p>
    <w:p>
      <w:pPr>
        <w:kinsoku/>
        <w:wordWrap/>
        <w:overflowPunct/>
        <w:topLinePunct w:val="0"/>
        <w:bidi w:val="0"/>
        <w:spacing w:before="120" w:line="22" w:lineRule="atLeast"/>
        <w:outlineLvl w:val="9"/>
        <w:rPr>
          <w:rFonts w:ascii="宋体" w:hAnsi="宋体" w:cs="宋体"/>
          <w:sz w:val="24"/>
          <w:highlight w:val="none"/>
        </w:rPr>
      </w:pPr>
    </w:p>
    <w:p>
      <w:pPr>
        <w:kinsoku/>
        <w:wordWrap/>
        <w:overflowPunct/>
        <w:topLinePunct w:val="0"/>
        <w:bidi w:val="0"/>
        <w:spacing w:before="120" w:line="22" w:lineRule="atLeast"/>
        <w:ind w:left="960"/>
        <w:outlineLvl w:val="9"/>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pPr>
        <w:kinsoku/>
        <w:wordWrap/>
        <w:overflowPunct/>
        <w:topLinePunct w:val="0"/>
        <w:bidi w:val="0"/>
        <w:spacing w:before="120" w:line="22" w:lineRule="atLeast"/>
        <w:outlineLvl w:val="9"/>
        <w:rPr>
          <w:rFonts w:ascii="宋体" w:hAnsi="宋体" w:cs="宋体"/>
          <w:sz w:val="24"/>
          <w:highlight w:val="none"/>
        </w:rPr>
      </w:pPr>
    </w:p>
    <w:p>
      <w:pPr>
        <w:kinsoku/>
        <w:wordWrap/>
        <w:overflowPunct/>
        <w:topLinePunct w:val="0"/>
        <w:bidi w:val="0"/>
        <w:spacing w:before="120" w:line="22" w:lineRule="atLeast"/>
        <w:ind w:firstLine="960" w:firstLineChars="400"/>
        <w:outlineLvl w:val="9"/>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宁海县</w:t>
      </w:r>
      <w:r>
        <w:rPr>
          <w:rFonts w:hint="eastAsia" w:ascii="宋体" w:hAnsi="宋体" w:cs="宋体"/>
          <w:sz w:val="24"/>
          <w:highlight w:val="none"/>
          <w:u w:val="single"/>
        </w:rPr>
        <w:t xml:space="preserve">  </w:t>
      </w:r>
    </w:p>
    <w:p>
      <w:pPr>
        <w:kinsoku/>
        <w:wordWrap/>
        <w:overflowPunct/>
        <w:topLinePunct w:val="0"/>
        <w:bidi w:val="0"/>
        <w:spacing w:before="120" w:line="22" w:lineRule="atLeast"/>
        <w:outlineLvl w:val="9"/>
        <w:rPr>
          <w:rFonts w:ascii="宋体" w:hAnsi="宋体" w:cs="宋体"/>
          <w:sz w:val="24"/>
          <w:highlight w:val="none"/>
        </w:rPr>
      </w:pPr>
    </w:p>
    <w:p>
      <w:pPr>
        <w:kinsoku/>
        <w:wordWrap/>
        <w:overflowPunct/>
        <w:topLinePunct w:val="0"/>
        <w:bidi w:val="0"/>
        <w:spacing w:before="120" w:line="22" w:lineRule="atLeast"/>
        <w:ind w:firstLine="960" w:firstLineChars="400"/>
        <w:outlineLvl w:val="9"/>
        <w:rPr>
          <w:rFonts w:hint="eastAsia" w:ascii="宋体" w:hAnsi="宋体" w:cs="宋体"/>
          <w:sz w:val="24"/>
          <w:highlight w:val="non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pStyle w:val="84"/>
        <w:rPr>
          <w:highlight w:val="none"/>
        </w:rPr>
      </w:pP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sz w:val="24"/>
          <w:highlight w:val="none"/>
          <w:u w:val="single"/>
          <w:lang w:val="zh-CN"/>
        </w:rPr>
      </w:pPr>
    </w:p>
    <w:p>
      <w:pPr>
        <w:keepNext w:val="0"/>
        <w:keepLines w:val="0"/>
        <w:pageBreakBefore w:val="0"/>
        <w:kinsoku/>
        <w:wordWrap/>
        <w:overflowPunct/>
        <w:topLinePunct w:val="0"/>
        <w:bidi w:val="0"/>
        <w:snapToGrid/>
        <w:spacing w:line="360" w:lineRule="auto"/>
        <w:ind w:firstLine="480" w:firstLineChars="200"/>
        <w:textAlignment w:val="auto"/>
        <w:outlineLvl w:val="9"/>
        <w:rPr>
          <w:rFonts w:hint="eastAsia" w:ascii="宋体" w:hAnsi="宋体" w:cs="宋体"/>
          <w:sz w:val="24"/>
          <w:highlight w:val="none"/>
          <w:u w:val="single"/>
          <w:lang w:val="zh-CN"/>
        </w:rPr>
      </w:pP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2024</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公开招标</w:t>
      </w:r>
      <w:r>
        <w:rPr>
          <w:rFonts w:ascii="宋体" w:hAnsi="宋体"/>
          <w:color w:val="auto"/>
          <w:sz w:val="24"/>
          <w:highlight w:val="none"/>
          <w:u w:val="single"/>
        </w:rPr>
        <w:t xml:space="preserve">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宁海县第一医院电子软镜维保服务项目</w:t>
      </w:r>
      <w:r>
        <w:rPr>
          <w:rFonts w:ascii="宋体" w:hAnsi="宋体"/>
          <w:color w:val="auto"/>
          <w:sz w:val="24"/>
          <w:highlight w:val="none"/>
          <w:u w:val="single"/>
        </w:rPr>
        <w:t xml:space="preserve"> </w:t>
      </w:r>
      <w:r>
        <w:rPr>
          <w:rFonts w:hint="eastAsia" w:ascii="宋体" w:hAnsi="宋体"/>
          <w:color w:val="auto"/>
          <w:sz w:val="24"/>
          <w:highlight w:val="none"/>
        </w:rPr>
        <w:t>进行了采购。经</w:t>
      </w:r>
      <w:r>
        <w:rPr>
          <w:rFonts w:hint="eastAsia" w:ascii="宋体" w:hAnsi="宋体"/>
          <w:color w:val="auto"/>
          <w:sz w:val="24"/>
          <w:highlight w:val="none"/>
          <w:u w:val="single"/>
          <w:lang w:val="en-US" w:eastAsia="zh-CN"/>
        </w:rPr>
        <w:t>评标委员会</w:t>
      </w:r>
      <w:r>
        <w:rPr>
          <w:rFonts w:hint="eastAsia" w:ascii="宋体" w:hAnsi="宋体"/>
          <w:color w:val="auto"/>
          <w:sz w:val="24"/>
          <w:highlight w:val="none"/>
        </w:rPr>
        <w:t>评定，</w:t>
      </w:r>
      <w:r>
        <w:rPr>
          <w:rFonts w:ascii="宋体" w:hAnsi="宋体"/>
          <w:color w:val="auto"/>
          <w:sz w:val="24"/>
          <w:highlight w:val="none"/>
          <w:u w:val="single"/>
        </w:rPr>
        <w:t xml:space="preserve">   （中标供应商</w:t>
      </w:r>
      <w:r>
        <w:rPr>
          <w:rFonts w:hint="eastAsia" w:ascii="宋体" w:hAnsi="宋体"/>
          <w:color w:val="auto"/>
          <w:sz w:val="24"/>
          <w:highlight w:val="none"/>
          <w:u w:val="single"/>
          <w:lang w:val="en-US" w:eastAsia="zh-CN"/>
        </w:rPr>
        <w:t>名称</w:t>
      </w:r>
      <w:r>
        <w:rPr>
          <w:rFonts w:ascii="宋体" w:hAnsi="宋体"/>
          <w:color w:val="auto"/>
          <w:sz w:val="24"/>
          <w:highlight w:val="none"/>
          <w:u w:val="single"/>
        </w:rPr>
        <w:t xml:space="preserve">）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宁海县第一医院</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中标供应商名称</w:t>
      </w:r>
      <w:r>
        <w:rPr>
          <w:rFonts w:ascii="宋体" w:hAnsi="宋体"/>
          <w:color w:val="auto"/>
          <w:sz w:val="24"/>
          <w:highlight w:val="none"/>
          <w:u w:val="single"/>
        </w:rPr>
        <w:t xml:space="preserve">）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pPr>
        <w:shd w:val="clear"/>
        <w:spacing w:line="560" w:lineRule="exact"/>
        <w:ind w:firstLine="482" w:firstLineChars="200"/>
        <w:outlineLvl w:val="0"/>
        <w:rPr>
          <w:rFonts w:ascii="宋体" w:hAnsi="宋体"/>
          <w:color w:val="auto"/>
          <w:sz w:val="24"/>
          <w:highlight w:val="none"/>
        </w:rPr>
      </w:pPr>
      <w:bookmarkStart w:id="406" w:name="_Toc20421"/>
      <w:bookmarkStart w:id="407" w:name="_Toc15367"/>
      <w:bookmarkStart w:id="408" w:name="_Toc19273"/>
      <w:bookmarkStart w:id="409" w:name="_Toc28855"/>
      <w:bookmarkStart w:id="410" w:name="_Toc22967"/>
      <w:r>
        <w:rPr>
          <w:rFonts w:ascii="宋体" w:hAnsi="宋体"/>
          <w:b/>
          <w:color w:val="auto"/>
          <w:sz w:val="24"/>
          <w:highlight w:val="none"/>
        </w:rPr>
        <w:t xml:space="preserve">1.1 </w:t>
      </w:r>
      <w:r>
        <w:rPr>
          <w:rFonts w:hint="eastAsia" w:ascii="宋体" w:hAnsi="宋体"/>
          <w:b/>
          <w:color w:val="auto"/>
          <w:sz w:val="24"/>
          <w:highlight w:val="none"/>
        </w:rPr>
        <w:t>合同组成部分</w:t>
      </w:r>
      <w:bookmarkEnd w:id="406"/>
      <w:bookmarkEnd w:id="407"/>
      <w:bookmarkEnd w:id="408"/>
      <w:bookmarkEnd w:id="409"/>
      <w:bookmarkEnd w:id="410"/>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中标通知书；</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投标文件（含澄清或者说明文件）；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pPr>
        <w:shd w:val="clear"/>
        <w:spacing w:line="560" w:lineRule="exact"/>
        <w:ind w:firstLine="482" w:firstLineChars="200"/>
        <w:outlineLvl w:val="0"/>
        <w:rPr>
          <w:rFonts w:ascii="宋体" w:hAnsi="宋体"/>
          <w:b/>
          <w:color w:val="auto"/>
          <w:sz w:val="24"/>
          <w:highlight w:val="none"/>
        </w:rPr>
      </w:pPr>
      <w:bookmarkStart w:id="411" w:name="_Toc6773"/>
      <w:bookmarkStart w:id="412" w:name="_Toc22185"/>
      <w:bookmarkStart w:id="413" w:name="_Toc18585"/>
      <w:bookmarkStart w:id="414" w:name="_Toc6311"/>
      <w:bookmarkStart w:id="415" w:name="_Toc2918"/>
      <w:r>
        <w:rPr>
          <w:rFonts w:ascii="宋体" w:hAnsi="宋体"/>
          <w:b/>
          <w:color w:val="auto"/>
          <w:sz w:val="24"/>
          <w:highlight w:val="none"/>
        </w:rPr>
        <w:t xml:space="preserve">1.2 </w:t>
      </w:r>
      <w:r>
        <w:rPr>
          <w:rFonts w:hint="eastAsia" w:ascii="宋体" w:hAnsi="宋体"/>
          <w:b/>
          <w:color w:val="auto"/>
          <w:sz w:val="24"/>
          <w:highlight w:val="none"/>
        </w:rPr>
        <w:t>标的</w:t>
      </w:r>
      <w:bookmarkEnd w:id="411"/>
      <w:bookmarkEnd w:id="412"/>
      <w:bookmarkEnd w:id="413"/>
      <w:bookmarkEnd w:id="414"/>
      <w:bookmarkEnd w:id="415"/>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w:t>
      </w:r>
    </w:p>
    <w:p>
      <w:pPr>
        <w:shd w:val="clea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16" w:name="_Toc1386"/>
      <w:bookmarkStart w:id="417" w:name="_Toc21124"/>
      <w:bookmarkStart w:id="418" w:name="_Toc5635"/>
      <w:bookmarkStart w:id="419" w:name="_Toc4929"/>
      <w:bookmarkStart w:id="420" w:name="_Toc13918"/>
      <w:r>
        <w:rPr>
          <w:rFonts w:ascii="宋体" w:hAnsi="宋体"/>
          <w:b/>
          <w:color w:val="auto"/>
          <w:sz w:val="24"/>
          <w:highlight w:val="none"/>
        </w:rPr>
        <w:t>1.3 价款</w:t>
      </w:r>
      <w:bookmarkEnd w:id="416"/>
      <w:bookmarkEnd w:id="417"/>
      <w:bookmarkEnd w:id="418"/>
      <w:bookmarkEnd w:id="419"/>
      <w:bookmarkEnd w:id="420"/>
    </w:p>
    <w:p>
      <w:pPr>
        <w:shd w:val="clea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1.3.1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pPr>
        <w:shd w:val="clear"/>
        <w:spacing w:line="560" w:lineRule="exact"/>
        <w:ind w:firstLine="482" w:firstLineChars="200"/>
        <w:outlineLvl w:val="0"/>
        <w:rPr>
          <w:rFonts w:ascii="宋体" w:hAnsi="宋体" w:eastAsia="宋体" w:cs="Times New Roman"/>
          <w:b/>
          <w:color w:val="auto"/>
          <w:sz w:val="24"/>
          <w:highlight w:val="none"/>
        </w:rPr>
      </w:pPr>
      <w:bookmarkStart w:id="421" w:name="_Toc1814"/>
      <w:bookmarkStart w:id="422" w:name="_Toc10340"/>
      <w:bookmarkStart w:id="423" w:name="_Toc22618"/>
      <w:bookmarkStart w:id="424" w:name="_Toc8772"/>
      <w:bookmarkStart w:id="425" w:name="_Toc31421"/>
      <w:bookmarkStart w:id="426" w:name="_Toc4760"/>
      <w:bookmarkStart w:id="427" w:name="_Toc11108"/>
      <w:bookmarkStart w:id="428" w:name="_Toc3625"/>
      <w:r>
        <w:rPr>
          <w:rFonts w:hint="eastAsia" w:ascii="宋体" w:hAnsi="宋体" w:eastAsia="宋体" w:cs="Times New Roman"/>
          <w:b/>
          <w:color w:val="auto"/>
          <w:sz w:val="24"/>
          <w:highlight w:val="none"/>
        </w:rPr>
        <w:t>1.4履约保证金</w:t>
      </w:r>
    </w:p>
    <w:p>
      <w:pPr>
        <w:shd w:val="clear"/>
        <w:spacing w:line="560" w:lineRule="exact"/>
        <w:ind w:firstLine="480" w:firstLineChars="200"/>
        <w:rPr>
          <w:rFonts w:hint="eastAsia" w:ascii="宋体" w:hAnsi="宋体" w:eastAsia="宋体" w:cs="宋体"/>
          <w:b w:val="0"/>
          <w:bCs w:val="0"/>
          <w:color w:val="auto"/>
          <w:sz w:val="24"/>
          <w:highlight w:val="none"/>
          <w:lang w:val="en-US"/>
        </w:rPr>
      </w:pPr>
      <w:r>
        <w:rPr>
          <w:rFonts w:hint="eastAsia" w:ascii="宋体" w:hAnsi="宋体" w:eastAsia="宋体" w:cs="宋体"/>
          <w:b w:val="0"/>
          <w:bCs w:val="0"/>
          <w:color w:val="auto"/>
          <w:sz w:val="24"/>
          <w:highlight w:val="none"/>
          <w:lang w:val="en-US"/>
        </w:rPr>
        <w:t>乙方</w:t>
      </w:r>
      <w:r>
        <w:rPr>
          <w:rFonts w:hint="eastAsia" w:ascii="宋体" w:hAnsi="宋体" w:eastAsia="宋体" w:cs="宋体"/>
          <w:b w:val="0"/>
          <w:bCs w:val="0"/>
          <w:color w:val="auto"/>
          <w:sz w:val="24"/>
          <w:highlight w:val="none"/>
          <w:u w:val="single"/>
          <w:lang w:val="en-US"/>
        </w:rPr>
        <w:t xml:space="preserve"> </w:t>
      </w:r>
      <w:r>
        <w:rPr>
          <w:rFonts w:hint="eastAsia" w:ascii="宋体" w:hAnsi="宋体" w:cs="宋体"/>
          <w:b w:val="0"/>
          <w:bCs w:val="0"/>
          <w:color w:val="auto"/>
          <w:sz w:val="24"/>
          <w:highlight w:val="none"/>
          <w:u w:val="single"/>
          <w:lang w:val="en-US" w:eastAsia="zh-CN"/>
        </w:rPr>
        <w:t>否</w:t>
      </w:r>
      <w:r>
        <w:rPr>
          <w:rFonts w:hint="eastAsia" w:ascii="宋体" w:hAnsi="宋体" w:eastAsia="宋体" w:cs="宋体"/>
          <w:b w:val="0"/>
          <w:bCs w:val="0"/>
          <w:color w:val="auto"/>
          <w:sz w:val="24"/>
          <w:highlight w:val="none"/>
          <w:u w:val="single"/>
          <w:lang w:val="en-US" w:eastAsia="zh-CN"/>
        </w:rPr>
        <w:t xml:space="preserve"> </w:t>
      </w:r>
      <w:r>
        <w:rPr>
          <w:rFonts w:hint="eastAsia" w:ascii="宋体" w:hAnsi="宋体" w:eastAsia="宋体" w:cs="宋体"/>
          <w:b w:val="0"/>
          <w:bCs w:val="0"/>
          <w:color w:val="auto"/>
          <w:sz w:val="24"/>
          <w:highlight w:val="none"/>
          <w:lang w:val="en-US"/>
        </w:rPr>
        <w:t>需要支付履约保证金。</w:t>
      </w:r>
    </w:p>
    <w:p>
      <w:pPr>
        <w:shd w:val="clea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21"/>
      <w:bookmarkEnd w:id="422"/>
      <w:bookmarkEnd w:id="423"/>
      <w:r>
        <w:rPr>
          <w:rFonts w:hint="eastAsia" w:ascii="宋体" w:hAnsi="宋体" w:cs="宋体"/>
          <w:b/>
          <w:color w:val="auto"/>
          <w:sz w:val="24"/>
          <w:highlight w:val="none"/>
        </w:rPr>
        <w:t>预付款</w:t>
      </w:r>
    </w:p>
    <w:p>
      <w:pPr>
        <w:pStyle w:val="959"/>
        <w:shd w:val="clear"/>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u w:val="single"/>
          <w:lang w:val="en-US" w:eastAsia="zh-CN"/>
        </w:rPr>
        <w:t>是</w:t>
      </w:r>
      <w:r>
        <w:rPr>
          <w:rFonts w:hint="eastAsia"/>
          <w:color w:val="auto"/>
          <w:highlight w:val="none"/>
          <w:u w:val="single"/>
        </w:rPr>
        <w:t xml:space="preserve"> </w:t>
      </w:r>
      <w:r>
        <w:rPr>
          <w:rFonts w:hint="eastAsia"/>
          <w:color w:val="auto"/>
          <w:highlight w:val="none"/>
        </w:rPr>
        <w:t>需要支付预付款。若需要支付预付款的，则：</w:t>
      </w:r>
    </w:p>
    <w:p>
      <w:pPr>
        <w:pStyle w:val="959"/>
        <w:shd w:val="clear"/>
        <w:spacing w:before="0" w:beforeAutospacing="0" w:after="0" w:afterAutospacing="0" w:line="360" w:lineRule="auto"/>
        <w:ind w:firstLine="480"/>
        <w:rPr>
          <w:rFonts w:hint="eastAsia" w:ascii="宋体" w:hAnsi="宋体" w:eastAsia="宋体" w:cs="Times New Roman"/>
          <w:b/>
          <w:i w:val="0"/>
          <w:iCs/>
          <w:color w:val="auto"/>
          <w:kern w:val="2"/>
          <w:sz w:val="24"/>
          <w:szCs w:val="24"/>
          <w:highlight w:val="none"/>
          <w:u w:val="single"/>
          <w:lang w:val="en-US" w:eastAsia="zh-CN" w:bidi="ar-SA"/>
        </w:rPr>
      </w:pPr>
      <w:r>
        <w:rPr>
          <w:rFonts w:hint="eastAsia" w:ascii="宋体" w:hAnsi="宋体" w:cs="宋体"/>
          <w:color w:val="auto"/>
          <w:kern w:val="0"/>
          <w:sz w:val="24"/>
          <w:highlight w:val="none"/>
        </w:rPr>
        <w:t>1.5.1预付款比例、支付方式、时间详见</w:t>
      </w:r>
      <w:r>
        <w:rPr>
          <w:rFonts w:hint="eastAsia" w:cs="宋体"/>
          <w:color w:val="auto"/>
          <w:kern w:val="0"/>
          <w:sz w:val="24"/>
          <w:highlight w:val="none"/>
          <w:u w:val="single"/>
          <w:lang w:val="en-US" w:eastAsia="zh-CN"/>
        </w:rPr>
        <w:t xml:space="preserve"> </w:t>
      </w:r>
      <w:r>
        <w:rPr>
          <w:rFonts w:hint="eastAsia" w:ascii="宋体" w:hAnsi="宋体" w:eastAsia="宋体" w:cs="Times New Roman"/>
          <w:b/>
          <w:i w:val="0"/>
          <w:iCs/>
          <w:color w:val="auto"/>
          <w:kern w:val="2"/>
          <w:sz w:val="24"/>
          <w:szCs w:val="24"/>
          <w:highlight w:val="none"/>
          <w:u w:val="single"/>
          <w:lang w:val="en-US" w:eastAsia="zh-CN" w:bidi="ar-SA"/>
        </w:rPr>
        <w:t>在合同生效以及具备实施条件后7个工作日内支付合同金额20%的预付款；（若在签订合同时，</w:t>
      </w:r>
      <w:r>
        <w:rPr>
          <w:rFonts w:hint="eastAsia" w:cs="Times New Roman"/>
          <w:b/>
          <w:i w:val="0"/>
          <w:iCs/>
          <w:color w:val="auto"/>
          <w:kern w:val="2"/>
          <w:sz w:val="24"/>
          <w:szCs w:val="24"/>
          <w:highlight w:val="none"/>
          <w:u w:val="single"/>
          <w:lang w:val="en-US" w:eastAsia="zh-CN" w:bidi="ar-SA"/>
        </w:rPr>
        <w:t>乙方</w:t>
      </w:r>
      <w:r>
        <w:rPr>
          <w:rFonts w:hint="eastAsia" w:ascii="宋体" w:hAnsi="宋体" w:eastAsia="宋体" w:cs="Times New Roman"/>
          <w:b/>
          <w:i w:val="0"/>
          <w:iCs/>
          <w:color w:val="auto"/>
          <w:kern w:val="2"/>
          <w:sz w:val="24"/>
          <w:szCs w:val="24"/>
          <w:highlight w:val="none"/>
          <w:u w:val="single"/>
          <w:lang w:val="en-US" w:eastAsia="zh-CN" w:bidi="ar-SA"/>
        </w:rPr>
        <w:t>明确表示无需预付款的，</w:t>
      </w:r>
      <w:r>
        <w:rPr>
          <w:rFonts w:hint="eastAsia" w:cs="Times New Roman"/>
          <w:b/>
          <w:i w:val="0"/>
          <w:iCs/>
          <w:color w:val="auto"/>
          <w:kern w:val="2"/>
          <w:sz w:val="24"/>
          <w:szCs w:val="24"/>
          <w:highlight w:val="none"/>
          <w:u w:val="single"/>
          <w:lang w:val="en-US" w:eastAsia="zh-CN" w:bidi="ar-SA"/>
        </w:rPr>
        <w:t>甲方</w:t>
      </w:r>
      <w:r>
        <w:rPr>
          <w:rFonts w:hint="eastAsia" w:ascii="宋体" w:hAnsi="宋体" w:eastAsia="宋体" w:cs="Times New Roman"/>
          <w:b/>
          <w:i w:val="0"/>
          <w:iCs/>
          <w:color w:val="auto"/>
          <w:kern w:val="2"/>
          <w:sz w:val="24"/>
          <w:szCs w:val="24"/>
          <w:highlight w:val="none"/>
          <w:u w:val="single"/>
          <w:lang w:val="en-US" w:eastAsia="zh-CN" w:bidi="ar-SA"/>
        </w:rPr>
        <w:t>可不予支付预付款。预付款支付约定以合同中约定为准。）</w:t>
      </w:r>
    </w:p>
    <w:p>
      <w:pPr>
        <w:pStyle w:val="959"/>
        <w:shd w:val="clear"/>
        <w:spacing w:before="0" w:beforeAutospacing="0" w:after="0" w:afterAutospacing="0" w:line="360" w:lineRule="auto"/>
        <w:ind w:firstLine="480"/>
        <w:rPr>
          <w:b/>
          <w:bCs/>
          <w:color w:val="auto"/>
          <w:highlight w:val="none"/>
        </w:rPr>
      </w:pPr>
      <w:r>
        <w:rPr>
          <w:rFonts w:hint="eastAsia"/>
          <w:b/>
          <w:bCs/>
          <w:color w:val="auto"/>
          <w:highlight w:val="none"/>
        </w:rPr>
        <w:t>1.6资金支付</w:t>
      </w:r>
    </w:p>
    <w:p>
      <w:pPr>
        <w:pStyle w:val="959"/>
        <w:shd w:val="clear"/>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24"/>
      <w:bookmarkEnd w:id="425"/>
      <w:bookmarkEnd w:id="426"/>
      <w:bookmarkEnd w:id="427"/>
      <w:bookmarkEnd w:id="428"/>
    </w:p>
    <w:p>
      <w:pPr>
        <w:shd w:val="clea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服务时间</w:t>
      </w:r>
      <w:r>
        <w:rPr>
          <w:rFonts w:ascii="宋体" w:hAnsi="宋体"/>
          <w:color w:val="auto"/>
          <w:sz w:val="24"/>
          <w:highlight w:val="none"/>
        </w:rPr>
        <w:t>：</w:t>
      </w:r>
      <w:r>
        <w:rPr>
          <w:rFonts w:hint="eastAsia" w:ascii="宋体" w:hAnsi="宋体"/>
          <w:b/>
          <w:i w:val="0"/>
          <w:iCs/>
          <w:color w:val="auto"/>
          <w:sz w:val="24"/>
          <w:highlight w:val="none"/>
          <w:u w:val="single"/>
          <w:lang w:val="en-US" w:eastAsia="zh-CN"/>
        </w:rPr>
        <w:t>自合同签订之日起一年</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务地点：</w:t>
      </w:r>
      <w:r>
        <w:rPr>
          <w:rFonts w:hint="eastAsia" w:ascii="宋体" w:hAnsi="宋体" w:eastAsia="宋体"/>
          <w:b/>
          <w:i w:val="0"/>
          <w:iCs/>
          <w:color w:val="auto"/>
          <w:sz w:val="24"/>
          <w:highlight w:val="none"/>
          <w:u w:val="single"/>
          <w:lang w:val="en-US" w:eastAsia="zh-CN"/>
        </w:rPr>
        <w:t>甲方指定地点；</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服务方式：</w:t>
      </w:r>
      <w:r>
        <w:rPr>
          <w:rFonts w:hint="eastAsia" w:ascii="宋体" w:hAnsi="宋体" w:eastAsia="宋体"/>
          <w:b/>
          <w:i w:val="0"/>
          <w:iCs/>
          <w:color w:val="auto"/>
          <w:sz w:val="24"/>
          <w:highlight w:val="none"/>
          <w:u w:val="single"/>
          <w:lang w:val="en-US" w:eastAsia="zh-CN"/>
        </w:rPr>
        <w:t>甲方指定方式</w:t>
      </w:r>
      <w:r>
        <w:rPr>
          <w:rFonts w:hint="eastAsia" w:ascii="宋体" w:hAnsi="宋体"/>
          <w:color w:val="auto"/>
          <w:sz w:val="24"/>
          <w:highlight w:val="none"/>
        </w:rPr>
        <w:t>。</w:t>
      </w:r>
    </w:p>
    <w:p>
      <w:pPr>
        <w:shd w:val="clear"/>
        <w:spacing w:line="560" w:lineRule="exact"/>
        <w:ind w:firstLine="482" w:firstLineChars="200"/>
        <w:outlineLvl w:val="0"/>
        <w:rPr>
          <w:rFonts w:ascii="宋体" w:hAnsi="宋体"/>
          <w:color w:val="auto"/>
          <w:sz w:val="24"/>
          <w:highlight w:val="none"/>
          <w:u w:val="single"/>
        </w:rPr>
      </w:pPr>
      <w:bookmarkStart w:id="429" w:name="_Toc3079"/>
      <w:bookmarkStart w:id="430" w:name="_Toc24662"/>
      <w:bookmarkStart w:id="431" w:name="_Toc8586"/>
      <w:bookmarkStart w:id="432" w:name="_Toc5698"/>
      <w:bookmarkStart w:id="433" w:name="_Toc2375"/>
      <w:r>
        <w:rPr>
          <w:rFonts w:ascii="宋体" w:hAnsi="宋体"/>
          <w:b/>
          <w:color w:val="auto"/>
          <w:sz w:val="24"/>
          <w:highlight w:val="none"/>
        </w:rPr>
        <w:t>1.</w:t>
      </w:r>
      <w:r>
        <w:rPr>
          <w:rFonts w:hint="eastAsia" w:ascii="宋体" w:hAnsi="宋体"/>
          <w:b/>
          <w:color w:val="auto"/>
          <w:sz w:val="24"/>
          <w:highlight w:val="none"/>
        </w:rPr>
        <w:t>8违约责任</w:t>
      </w:r>
      <w:bookmarkEnd w:id="429"/>
      <w:bookmarkEnd w:id="430"/>
      <w:bookmarkEnd w:id="431"/>
      <w:bookmarkEnd w:id="432"/>
      <w:bookmarkEnd w:id="433"/>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s="宋体"/>
          <w:color w:val="auto"/>
          <w:sz w:val="24"/>
          <w:highlight w:val="none"/>
        </w:rPr>
        <w:t>除不可抗力外，如果甲方没有按照本合同约定的付款方式付款，那么乙方可</w:t>
      </w:r>
      <w:r>
        <w:rPr>
          <w:rFonts w:hint="eastAsia" w:ascii="宋体" w:hAnsi="宋体" w:eastAsia="宋体" w:cs="Times New Roman"/>
          <w:color w:val="auto"/>
          <w:sz w:val="24"/>
          <w:highlight w:val="none"/>
        </w:rPr>
        <w:t>要求</w:t>
      </w:r>
      <w:r>
        <w:rPr>
          <w:rFonts w:hint="eastAsia" w:ascii="宋体" w:hAnsi="宋体" w:cs="宋体"/>
          <w:color w:val="auto"/>
          <w:sz w:val="24"/>
          <w:highlight w:val="none"/>
        </w:rPr>
        <w:t>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pPr>
        <w:shd w:val="clear"/>
        <w:spacing w:line="560" w:lineRule="exact"/>
        <w:ind w:firstLine="480" w:firstLineChars="200"/>
        <w:rPr>
          <w:rFonts w:ascii="宋体" w:hAnsi="宋体" w:cs="宋体"/>
          <w:color w:val="auto"/>
          <w:sz w:val="24"/>
          <w:highlight w:val="none"/>
        </w:rPr>
      </w:pPr>
      <w:bookmarkStart w:id="434" w:name="_Toc26807"/>
      <w:bookmarkStart w:id="435" w:name="_Toc9497"/>
      <w:bookmarkStart w:id="436" w:name="_Toc32454"/>
      <w:bookmarkStart w:id="437" w:name="_Toc30329"/>
      <w:bookmarkStart w:id="438" w:name="_Toc18683"/>
      <w:r>
        <w:rPr>
          <w:rFonts w:hint="eastAsia" w:ascii="宋体" w:hAnsi="宋体" w:cs="宋体"/>
          <w:color w:val="auto"/>
          <w:sz w:val="24"/>
          <w:highlight w:val="none"/>
        </w:rPr>
        <w:t>1.8.</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 xml:space="preserve">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p>
      <w:pPr>
        <w:shd w:val="clea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1.8.7违约责任另有约定的，从其约定。</w:t>
      </w:r>
    </w:p>
    <w:bookmarkEnd w:id="434"/>
    <w:bookmarkEnd w:id="435"/>
    <w:bookmarkEnd w:id="436"/>
    <w:bookmarkEnd w:id="437"/>
    <w:bookmarkEnd w:id="438"/>
    <w:p>
      <w:pPr>
        <w:shd w:val="clear"/>
        <w:spacing w:line="560" w:lineRule="exact"/>
        <w:ind w:firstLine="482" w:firstLineChars="200"/>
        <w:outlineLvl w:val="0"/>
        <w:rPr>
          <w:rFonts w:ascii="宋体" w:hAnsi="宋体" w:cs="宋体"/>
          <w:b/>
          <w:color w:val="auto"/>
          <w:sz w:val="24"/>
          <w:highlight w:val="none"/>
        </w:rPr>
      </w:pPr>
      <w:bookmarkStart w:id="439" w:name="_Toc16021"/>
      <w:bookmarkStart w:id="440" w:name="_Toc28375"/>
      <w:bookmarkStart w:id="441" w:name="_Toc15583"/>
      <w:r>
        <w:rPr>
          <w:rFonts w:hint="eastAsia" w:ascii="宋体" w:hAnsi="宋体" w:cs="宋体"/>
          <w:b/>
          <w:color w:val="auto"/>
          <w:sz w:val="24"/>
          <w:highlight w:val="none"/>
        </w:rPr>
        <w:t>1.9合同争议的解决</w:t>
      </w:r>
      <w:bookmarkEnd w:id="439"/>
      <w:bookmarkEnd w:id="440"/>
      <w:bookmarkEnd w:id="441"/>
    </w:p>
    <w:p>
      <w:pPr>
        <w:shd w:val="clear"/>
        <w:spacing w:line="560" w:lineRule="exact"/>
        <w:ind w:left="-61" w:leftChars="-29" w:right="-420" w:rightChars="-200" w:firstLine="240" w:firstLineChars="100"/>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本合同履行过程中发生的任何争议，双方当事人均可通过和解或者调解解决；不愿和解、调解或者和解、调解不成的，可以向</w:t>
      </w:r>
      <w:r>
        <w:rPr>
          <w:rFonts w:hint="eastAsia" w:ascii="宋体" w:hAnsi="宋体" w:cs="宋体"/>
          <w:color w:val="auto"/>
          <w:sz w:val="24"/>
          <w:highlight w:val="none"/>
          <w:lang w:val="en-US" w:eastAsia="zh-CN"/>
        </w:rPr>
        <w:t>宁海县</w:t>
      </w:r>
      <w:r>
        <w:rPr>
          <w:rFonts w:hint="eastAsia" w:ascii="宋体" w:hAnsi="宋体" w:cs="宋体"/>
          <w:color w:val="auto"/>
          <w:sz w:val="24"/>
          <w:highlight w:val="none"/>
        </w:rPr>
        <w:t>人民法院起诉</w:t>
      </w:r>
      <w:bookmarkStart w:id="442" w:name="_Toc7245"/>
      <w:bookmarkStart w:id="443" w:name="_Toc11173"/>
      <w:bookmarkStart w:id="444" w:name="_Toc15322"/>
      <w:r>
        <w:rPr>
          <w:rFonts w:hint="eastAsia" w:ascii="宋体" w:hAnsi="宋体" w:cs="宋体"/>
          <w:color w:val="auto"/>
          <w:sz w:val="24"/>
          <w:highlight w:val="none"/>
          <w:lang w:eastAsia="zh-CN"/>
        </w:rPr>
        <w:t>。</w:t>
      </w:r>
    </w:p>
    <w:p>
      <w:pPr>
        <w:shd w:val="clear"/>
        <w:spacing w:line="560" w:lineRule="exact"/>
        <w:ind w:left="-61" w:leftChars="-29" w:right="-420" w:rightChars="-200" w:firstLine="482" w:firstLineChars="200"/>
        <w:rPr>
          <w:rFonts w:ascii="宋体" w:hAnsi="宋体" w:cs="宋体"/>
          <w:b/>
          <w:color w:val="auto"/>
          <w:sz w:val="24"/>
          <w:highlight w:val="none"/>
        </w:rPr>
      </w:pPr>
      <w:r>
        <w:rPr>
          <w:rFonts w:hint="eastAsia" w:ascii="宋体" w:hAnsi="宋体" w:cs="宋体"/>
          <w:b/>
          <w:color w:val="auto"/>
          <w:sz w:val="24"/>
          <w:highlight w:val="none"/>
        </w:rPr>
        <w:t>2.0 合同生效</w:t>
      </w:r>
      <w:bookmarkEnd w:id="442"/>
      <w:bookmarkEnd w:id="443"/>
      <w:bookmarkEnd w:id="444"/>
    </w:p>
    <w:p>
      <w:pPr>
        <w:shd w:val="clea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pPr>
        <w:shd w:val="clear"/>
        <w:autoSpaceDE w:val="0"/>
        <w:autoSpaceDN w:val="0"/>
        <w:spacing w:line="560" w:lineRule="exact"/>
        <w:rPr>
          <w:rFonts w:hint="eastAsia" w:ascii="宋体" w:hAnsi="宋体"/>
          <w:b/>
          <w:color w:val="auto"/>
          <w:sz w:val="24"/>
          <w:highlight w:val="none"/>
          <w:lang w:val="zh-CN"/>
        </w:rPr>
      </w:pPr>
    </w:p>
    <w:p>
      <w:pPr>
        <w:shd w:val="clea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pPr>
        <w:shd w:val="clea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pPr>
        <w:shd w:val="clea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pPr>
        <w:widowControl/>
        <w:shd w:val="clear"/>
        <w:spacing w:line="560" w:lineRule="exact"/>
        <w:jc w:val="left"/>
        <w:rPr>
          <w:rFonts w:ascii="宋体" w:hAnsi="宋体"/>
          <w:b/>
          <w:color w:val="auto"/>
          <w:sz w:val="24"/>
          <w:highlight w:val="none"/>
        </w:rPr>
      </w:pPr>
    </w:p>
    <w:p>
      <w:pPr>
        <w:shd w:val="clear"/>
        <w:autoSpaceDE w:val="0"/>
        <w:autoSpaceDN w:val="0"/>
        <w:spacing w:line="560" w:lineRule="exact"/>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见证方：浙江中基正采管理咨询有限公司</w:t>
      </w:r>
    </w:p>
    <w:p>
      <w:pPr>
        <w:widowControl/>
        <w:shd w:val="clear"/>
        <w:adjustRightInd/>
        <w:jc w:val="left"/>
        <w:rPr>
          <w:rFonts w:ascii="宋体" w:hAnsi="宋体"/>
          <w:b/>
          <w:color w:val="auto"/>
          <w:sz w:val="24"/>
          <w:highlight w:val="none"/>
        </w:rPr>
      </w:pPr>
      <w:r>
        <w:rPr>
          <w:rFonts w:ascii="宋体" w:hAnsi="宋体"/>
          <w:b/>
          <w:color w:val="auto"/>
          <w:highlight w:val="none"/>
        </w:rPr>
        <w:br w:type="page"/>
      </w:r>
    </w:p>
    <w:p>
      <w:pPr>
        <w:pStyle w:val="701"/>
        <w:keepNext w:val="0"/>
        <w:keepLines w:val="0"/>
        <w:pageBreakBefore w:val="0"/>
        <w:widowControl w:val="0"/>
        <w:kinsoku/>
        <w:wordWrap/>
        <w:overflowPunct/>
        <w:topLinePunct w:val="0"/>
        <w:autoSpaceDE w:val="0"/>
        <w:autoSpaceDN w:val="0"/>
        <w:bidi w:val="0"/>
        <w:adjustRightInd w:val="0"/>
        <w:snapToGrid w:val="0"/>
        <w:spacing w:line="560" w:lineRule="exact"/>
        <w:ind w:firstLine="482"/>
        <w:jc w:val="center"/>
        <w:textAlignment w:val="auto"/>
        <w:outlineLvl w:val="9"/>
        <w:rPr>
          <w:rFonts w:ascii="宋体" w:hAnsi="宋体" w:cs="宋体"/>
          <w:b/>
          <w:szCs w:val="24"/>
          <w:highlight w:val="none"/>
        </w:rPr>
      </w:pPr>
      <w:r>
        <w:rPr>
          <w:rFonts w:hint="eastAsia" w:ascii="宋体" w:hAnsi="宋体" w:cs="宋体"/>
          <w:b/>
          <w:szCs w:val="24"/>
          <w:highlight w:val="none"/>
        </w:rPr>
        <w:t>第二部分 合同一般条款</w:t>
      </w:r>
    </w:p>
    <w:p>
      <w:pPr>
        <w:shd w:val="clear"/>
        <w:spacing w:line="560" w:lineRule="exact"/>
        <w:ind w:firstLine="482" w:firstLineChars="200"/>
        <w:outlineLvl w:val="0"/>
        <w:rPr>
          <w:rFonts w:ascii="宋体" w:hAnsi="宋体"/>
          <w:b/>
          <w:color w:val="auto"/>
          <w:sz w:val="24"/>
          <w:highlight w:val="none"/>
        </w:rPr>
      </w:pPr>
      <w:bookmarkStart w:id="445" w:name="_Toc19680"/>
      <w:bookmarkStart w:id="446" w:name="_Toc14021"/>
      <w:bookmarkStart w:id="447" w:name="_Toc25079"/>
      <w:bookmarkStart w:id="448" w:name="_Toc5228"/>
      <w:bookmarkStart w:id="449" w:name="_Toc31297"/>
      <w:r>
        <w:rPr>
          <w:rFonts w:ascii="宋体" w:hAnsi="宋体"/>
          <w:b/>
          <w:color w:val="auto"/>
          <w:sz w:val="24"/>
          <w:highlight w:val="none"/>
        </w:rPr>
        <w:t>2.1 定义</w:t>
      </w:r>
      <w:bookmarkEnd w:id="445"/>
      <w:bookmarkEnd w:id="446"/>
      <w:bookmarkEnd w:id="447"/>
      <w:bookmarkEnd w:id="448"/>
      <w:bookmarkEnd w:id="44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pPr>
        <w:shd w:val="clear"/>
        <w:spacing w:line="560" w:lineRule="exact"/>
        <w:ind w:firstLine="482" w:firstLineChars="200"/>
        <w:outlineLvl w:val="0"/>
        <w:rPr>
          <w:rFonts w:ascii="宋体" w:hAnsi="宋体"/>
          <w:b/>
          <w:color w:val="auto"/>
          <w:sz w:val="24"/>
          <w:highlight w:val="none"/>
        </w:rPr>
      </w:pPr>
      <w:bookmarkStart w:id="450" w:name="_Toc23289"/>
      <w:bookmarkStart w:id="451" w:name="_Toc31402"/>
      <w:bookmarkStart w:id="452" w:name="_Toc19539"/>
      <w:bookmarkStart w:id="453" w:name="_Toc3769"/>
      <w:bookmarkStart w:id="454" w:name="_Toc16752"/>
      <w:r>
        <w:rPr>
          <w:rFonts w:ascii="宋体" w:hAnsi="宋体"/>
          <w:b/>
          <w:color w:val="auto"/>
          <w:sz w:val="24"/>
          <w:highlight w:val="none"/>
        </w:rPr>
        <w:t>2.2 技术规范</w:t>
      </w:r>
      <w:bookmarkEnd w:id="450"/>
      <w:bookmarkEnd w:id="451"/>
      <w:bookmarkEnd w:id="452"/>
      <w:bookmarkEnd w:id="453"/>
      <w:bookmarkEnd w:id="454"/>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pPr>
        <w:shd w:val="clear"/>
        <w:spacing w:line="560" w:lineRule="exact"/>
        <w:ind w:firstLine="482" w:firstLineChars="200"/>
        <w:outlineLvl w:val="0"/>
        <w:rPr>
          <w:rFonts w:ascii="宋体" w:hAnsi="宋体"/>
          <w:b/>
          <w:color w:val="auto"/>
          <w:sz w:val="24"/>
          <w:highlight w:val="none"/>
        </w:rPr>
      </w:pPr>
      <w:bookmarkStart w:id="455" w:name="_Toc12412"/>
      <w:bookmarkStart w:id="456" w:name="_Toc13673"/>
      <w:bookmarkStart w:id="457" w:name="_Toc9161"/>
      <w:bookmarkStart w:id="458" w:name="_Toc27945"/>
      <w:bookmarkStart w:id="459" w:name="_Toc4133"/>
      <w:r>
        <w:rPr>
          <w:rFonts w:ascii="宋体" w:hAnsi="宋体"/>
          <w:b/>
          <w:color w:val="auto"/>
          <w:sz w:val="24"/>
          <w:highlight w:val="none"/>
        </w:rPr>
        <w:t>2.3 知识产权</w:t>
      </w:r>
      <w:bookmarkEnd w:id="455"/>
      <w:bookmarkEnd w:id="456"/>
      <w:bookmarkEnd w:id="457"/>
      <w:bookmarkEnd w:id="458"/>
      <w:bookmarkEnd w:id="45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pPr>
        <w:shd w:val="clear"/>
        <w:spacing w:line="560" w:lineRule="exact"/>
        <w:ind w:firstLine="482" w:firstLineChars="200"/>
        <w:outlineLvl w:val="0"/>
        <w:rPr>
          <w:rFonts w:ascii="宋体" w:hAnsi="宋体"/>
          <w:b/>
          <w:color w:val="auto"/>
          <w:sz w:val="24"/>
          <w:highlight w:val="none"/>
        </w:rPr>
      </w:pPr>
      <w:bookmarkStart w:id="460" w:name="_Toc22011"/>
      <w:bookmarkStart w:id="461" w:name="_Toc31233"/>
      <w:bookmarkStart w:id="462" w:name="_Toc32670"/>
      <w:bookmarkStart w:id="463" w:name="_Toc15447"/>
      <w:bookmarkStart w:id="464" w:name="_Toc26555"/>
      <w:r>
        <w:rPr>
          <w:rFonts w:ascii="宋体" w:hAnsi="宋体"/>
          <w:b/>
          <w:color w:val="auto"/>
          <w:sz w:val="24"/>
          <w:highlight w:val="none"/>
        </w:rPr>
        <w:t>2.5 结算方式和付款条件</w:t>
      </w:r>
      <w:bookmarkEnd w:id="460"/>
      <w:bookmarkEnd w:id="461"/>
      <w:bookmarkEnd w:id="462"/>
      <w:bookmarkEnd w:id="463"/>
      <w:bookmarkEnd w:id="464"/>
    </w:p>
    <w:p>
      <w:pPr>
        <w:shd w:val="clear"/>
        <w:spacing w:line="560" w:lineRule="exact"/>
        <w:ind w:firstLine="482" w:firstLineChars="200"/>
        <w:outlineLvl w:val="0"/>
        <w:rPr>
          <w:rFonts w:hint="default" w:ascii="宋体" w:hAnsi="宋体"/>
          <w:b/>
          <w:bCs/>
          <w:color w:val="auto"/>
          <w:sz w:val="24"/>
          <w:highlight w:val="none"/>
          <w:lang w:val="en-US" w:eastAsia="zh-CN"/>
        </w:rPr>
      </w:pPr>
      <w:bookmarkStart w:id="465" w:name="_Toc13154"/>
      <w:bookmarkStart w:id="466" w:name="_Toc18990"/>
      <w:bookmarkStart w:id="467" w:name="_Toc30507"/>
      <w:bookmarkStart w:id="468" w:name="_Toc16163"/>
      <w:bookmarkStart w:id="469" w:name="_Toc13467"/>
      <w:r>
        <w:rPr>
          <w:rFonts w:hint="default" w:ascii="宋体" w:hAnsi="宋体"/>
          <w:b/>
          <w:bCs/>
          <w:color w:val="auto"/>
          <w:sz w:val="24"/>
          <w:highlight w:val="none"/>
          <w:lang w:val="en-US" w:eastAsia="zh-CN"/>
        </w:rPr>
        <w:t>（1）适用于中小微企业：</w:t>
      </w:r>
    </w:p>
    <w:p>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①在合同生效以及具备实施条件后7个工作日内支付合同金额20%的预付款；（若在签订合同时，</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明确表示无需预付款的，</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可不予支付预付款）</w:t>
      </w:r>
    </w:p>
    <w:p>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②服务费用以半年为单位进行支付，每半年最后一个月</w:t>
      </w:r>
      <w:r>
        <w:rPr>
          <w:rFonts w:hint="eastAsia" w:ascii="宋体" w:hAnsi="宋体"/>
          <w:color w:val="auto"/>
          <w:sz w:val="24"/>
          <w:highlight w:val="none"/>
          <w:lang w:val="en-US" w:eastAsia="zh-CN"/>
        </w:rPr>
        <w:t>甲方</w:t>
      </w:r>
      <w:r>
        <w:rPr>
          <w:rFonts w:hint="default" w:ascii="宋体" w:hAnsi="宋体"/>
          <w:color w:val="auto"/>
          <w:sz w:val="24"/>
          <w:highlight w:val="none"/>
          <w:lang w:val="en-US" w:eastAsia="zh-CN"/>
        </w:rPr>
        <w:t>在收到</w:t>
      </w:r>
      <w:r>
        <w:rPr>
          <w:rFonts w:hint="eastAsia" w:ascii="宋体" w:hAnsi="宋体"/>
          <w:color w:val="auto"/>
          <w:sz w:val="24"/>
          <w:highlight w:val="none"/>
          <w:lang w:val="en-US" w:eastAsia="zh-CN"/>
        </w:rPr>
        <w:t>乙方</w:t>
      </w:r>
      <w:r>
        <w:rPr>
          <w:rFonts w:hint="default" w:ascii="宋体" w:hAnsi="宋体"/>
          <w:color w:val="auto"/>
          <w:sz w:val="24"/>
          <w:highlight w:val="none"/>
          <w:lang w:val="en-US" w:eastAsia="zh-CN"/>
        </w:rPr>
        <w:t>提供的合法发票后七个工作日内支付半年的服务费用。（先从预付款中扣除相应金额，待预付款支付完后再另行按实支付。）</w:t>
      </w:r>
    </w:p>
    <w:p>
      <w:pPr>
        <w:shd w:val="clear"/>
        <w:spacing w:line="560" w:lineRule="exact"/>
        <w:ind w:firstLine="482" w:firstLineChars="200"/>
        <w:outlineLvl w:val="0"/>
        <w:rPr>
          <w:rFonts w:hint="default" w:ascii="宋体" w:hAnsi="宋体"/>
          <w:b/>
          <w:bCs/>
          <w:color w:val="auto"/>
          <w:sz w:val="24"/>
          <w:highlight w:val="none"/>
          <w:lang w:val="en-US" w:eastAsia="zh-CN"/>
        </w:rPr>
      </w:pPr>
      <w:r>
        <w:rPr>
          <w:rFonts w:hint="default" w:ascii="宋体" w:hAnsi="宋体"/>
          <w:b/>
          <w:bCs/>
          <w:color w:val="auto"/>
          <w:sz w:val="24"/>
          <w:highlight w:val="none"/>
          <w:lang w:val="en-US" w:eastAsia="zh-CN"/>
        </w:rPr>
        <w:t>（2）适用于大型企业：</w:t>
      </w:r>
    </w:p>
    <w:p>
      <w:pPr>
        <w:shd w:val="clear"/>
        <w:spacing w:line="560" w:lineRule="exact"/>
        <w:ind w:firstLine="480" w:firstLineChars="200"/>
        <w:outlineLvl w:val="0"/>
        <w:rPr>
          <w:rFonts w:hint="default" w:ascii="宋体" w:hAnsi="宋体"/>
          <w:color w:val="auto"/>
          <w:sz w:val="24"/>
          <w:highlight w:val="none"/>
          <w:lang w:val="en-US" w:eastAsia="zh-CN"/>
        </w:rPr>
      </w:pPr>
      <w:r>
        <w:rPr>
          <w:rFonts w:hint="default" w:ascii="宋体" w:hAnsi="宋体"/>
          <w:color w:val="auto"/>
          <w:sz w:val="24"/>
          <w:highlight w:val="none"/>
          <w:lang w:val="en-US" w:eastAsia="zh-CN"/>
        </w:rPr>
        <w:t>①合同签订后四个月内付清全款。</w:t>
      </w:r>
    </w:p>
    <w:p>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2.6 技术资料和保密义务</w:t>
      </w:r>
      <w:bookmarkEnd w:id="465"/>
      <w:bookmarkEnd w:id="466"/>
      <w:bookmarkEnd w:id="467"/>
      <w:bookmarkEnd w:id="468"/>
      <w:bookmarkEnd w:id="469"/>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pPr>
        <w:shd w:val="clear"/>
        <w:spacing w:line="560" w:lineRule="exact"/>
        <w:ind w:firstLine="482" w:firstLineChars="200"/>
        <w:outlineLvl w:val="0"/>
        <w:rPr>
          <w:rFonts w:ascii="宋体" w:hAnsi="宋体"/>
          <w:b/>
          <w:color w:val="auto"/>
          <w:sz w:val="24"/>
          <w:highlight w:val="none"/>
        </w:rPr>
      </w:pPr>
      <w:bookmarkStart w:id="470" w:name="_Toc19069"/>
    </w:p>
    <w:p>
      <w:pPr>
        <w:shd w:val="clea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 xml:space="preserve">2.7 </w:t>
      </w:r>
      <w:r>
        <w:rPr>
          <w:rFonts w:hint="eastAsia" w:ascii="宋体" w:hAnsi="宋体"/>
          <w:b/>
          <w:color w:val="auto"/>
          <w:sz w:val="24"/>
          <w:highlight w:val="none"/>
        </w:rPr>
        <w:t>质量保证</w:t>
      </w:r>
      <w:bookmarkEnd w:id="470"/>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pPr>
        <w:shd w:val="clear"/>
        <w:spacing w:line="560" w:lineRule="exact"/>
        <w:ind w:firstLine="482" w:firstLineChars="200"/>
        <w:outlineLvl w:val="0"/>
        <w:rPr>
          <w:rFonts w:ascii="宋体" w:hAnsi="宋体"/>
          <w:b/>
          <w:color w:val="auto"/>
          <w:sz w:val="24"/>
          <w:highlight w:val="none"/>
        </w:rPr>
      </w:pPr>
      <w:bookmarkStart w:id="47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71"/>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pPr>
        <w:shd w:val="clear"/>
        <w:spacing w:line="560" w:lineRule="exact"/>
        <w:ind w:firstLine="482" w:firstLineChars="200"/>
        <w:outlineLvl w:val="0"/>
        <w:rPr>
          <w:rFonts w:ascii="宋体" w:hAnsi="宋体"/>
          <w:b/>
          <w:color w:val="auto"/>
          <w:sz w:val="24"/>
          <w:highlight w:val="none"/>
        </w:rPr>
      </w:pPr>
      <w:bookmarkStart w:id="47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72"/>
    </w:p>
    <w:p>
      <w:pPr>
        <w:shd w:val="clea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73" w:name="_Toc26689"/>
      <w:bookmarkStart w:id="474" w:name="_Toc21830"/>
      <w:bookmarkStart w:id="475" w:name="_Toc42"/>
      <w:bookmarkStart w:id="476" w:name="_Toc10663"/>
      <w:bookmarkStart w:id="477" w:name="_Toc23368"/>
      <w:r>
        <w:rPr>
          <w:rFonts w:ascii="宋体" w:hAnsi="宋体"/>
          <w:b/>
          <w:color w:val="auto"/>
          <w:sz w:val="24"/>
          <w:highlight w:val="none"/>
        </w:rPr>
        <w:t>2.10 合同转让和分包</w:t>
      </w:r>
      <w:bookmarkEnd w:id="473"/>
      <w:bookmarkEnd w:id="474"/>
      <w:bookmarkEnd w:id="475"/>
      <w:bookmarkEnd w:id="476"/>
      <w:bookmarkEnd w:id="47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pPr>
        <w:shd w:val="clear"/>
        <w:spacing w:line="560" w:lineRule="exact"/>
        <w:ind w:firstLine="482" w:firstLineChars="200"/>
        <w:outlineLvl w:val="0"/>
        <w:rPr>
          <w:rFonts w:ascii="宋体" w:hAnsi="宋体"/>
          <w:b/>
          <w:color w:val="auto"/>
          <w:sz w:val="24"/>
          <w:highlight w:val="none"/>
        </w:rPr>
      </w:pPr>
      <w:bookmarkStart w:id="478" w:name="_Toc32494"/>
      <w:bookmarkStart w:id="479" w:name="_Toc25571"/>
      <w:bookmarkStart w:id="480" w:name="_Toc26633"/>
      <w:bookmarkStart w:id="481" w:name="_Toc4720"/>
      <w:bookmarkStart w:id="482" w:name="_Toc14371"/>
      <w:r>
        <w:rPr>
          <w:rFonts w:ascii="宋体" w:hAnsi="宋体"/>
          <w:b/>
          <w:color w:val="auto"/>
          <w:sz w:val="24"/>
          <w:highlight w:val="none"/>
        </w:rPr>
        <w:t>2.11 不可抗力</w:t>
      </w:r>
      <w:bookmarkEnd w:id="478"/>
      <w:bookmarkEnd w:id="479"/>
      <w:bookmarkEnd w:id="480"/>
      <w:bookmarkEnd w:id="481"/>
      <w:bookmarkEnd w:id="48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不可抗力致使合同有变更必要的，双方当事人应在约定时间内以书面形式变更合同</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应在约定时间内以书面形式通知</w:t>
      </w:r>
      <w:r>
        <w:rPr>
          <w:rFonts w:hint="eastAsia" w:ascii="宋体" w:hAnsi="宋体"/>
          <w:color w:val="auto"/>
          <w:sz w:val="24"/>
          <w:highlight w:val="none"/>
        </w:rPr>
        <w:t>对</w:t>
      </w:r>
      <w:r>
        <w:rPr>
          <w:rFonts w:ascii="宋体" w:hAnsi="宋体"/>
          <w:color w:val="auto"/>
          <w:sz w:val="24"/>
          <w:highlight w:val="none"/>
        </w:rPr>
        <w:t>方当事人，并在约定时间内，将有关部门出具的证明文件送达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83" w:name="_Toc23854"/>
      <w:bookmarkStart w:id="484" w:name="_Toc14115"/>
      <w:bookmarkStart w:id="485" w:name="_Toc25783"/>
      <w:bookmarkStart w:id="486" w:name="_Toc24465"/>
      <w:bookmarkStart w:id="487" w:name="_Toc3638"/>
      <w:r>
        <w:rPr>
          <w:rFonts w:ascii="宋体" w:hAnsi="宋体"/>
          <w:b/>
          <w:color w:val="auto"/>
          <w:sz w:val="24"/>
          <w:highlight w:val="none"/>
        </w:rPr>
        <w:t>2.12 税费</w:t>
      </w:r>
      <w:bookmarkEnd w:id="483"/>
      <w:bookmarkEnd w:id="484"/>
      <w:bookmarkEnd w:id="485"/>
      <w:bookmarkEnd w:id="486"/>
      <w:bookmarkEnd w:id="487"/>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pPr>
        <w:shd w:val="clear"/>
        <w:spacing w:line="560" w:lineRule="exact"/>
        <w:ind w:firstLine="482" w:firstLineChars="200"/>
        <w:outlineLvl w:val="0"/>
        <w:rPr>
          <w:rFonts w:ascii="宋体" w:hAnsi="宋体"/>
          <w:b/>
          <w:color w:val="auto"/>
          <w:sz w:val="24"/>
          <w:highlight w:val="none"/>
        </w:rPr>
      </w:pPr>
      <w:bookmarkStart w:id="488" w:name="_Toc7315"/>
      <w:bookmarkStart w:id="489" w:name="_Toc14814"/>
      <w:bookmarkStart w:id="490" w:name="_Toc25525"/>
      <w:bookmarkStart w:id="491" w:name="_Toc26883"/>
      <w:bookmarkStart w:id="492" w:name="_Toc30105"/>
      <w:r>
        <w:rPr>
          <w:rFonts w:ascii="宋体" w:hAnsi="宋体"/>
          <w:b/>
          <w:color w:val="auto"/>
          <w:sz w:val="24"/>
          <w:highlight w:val="none"/>
        </w:rPr>
        <w:t>2.13 乙方破产</w:t>
      </w:r>
      <w:bookmarkEnd w:id="488"/>
      <w:bookmarkEnd w:id="489"/>
      <w:bookmarkEnd w:id="490"/>
      <w:bookmarkEnd w:id="491"/>
      <w:bookmarkEnd w:id="492"/>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pPr>
        <w:shd w:val="clear"/>
        <w:spacing w:line="560" w:lineRule="exact"/>
        <w:ind w:firstLine="482" w:firstLineChars="200"/>
        <w:outlineLvl w:val="0"/>
        <w:rPr>
          <w:rFonts w:ascii="宋体" w:hAnsi="宋体"/>
          <w:b/>
          <w:color w:val="auto"/>
          <w:sz w:val="24"/>
          <w:highlight w:val="none"/>
        </w:rPr>
      </w:pPr>
      <w:bookmarkStart w:id="493" w:name="_Toc1123"/>
      <w:bookmarkStart w:id="494" w:name="_Toc23323"/>
      <w:bookmarkStart w:id="495" w:name="_Toc2016"/>
      <w:r>
        <w:rPr>
          <w:rFonts w:ascii="宋体" w:hAnsi="宋体"/>
          <w:b/>
          <w:color w:val="auto"/>
          <w:sz w:val="24"/>
          <w:highlight w:val="none"/>
        </w:rPr>
        <w:t>2.14 合同中止、终止</w:t>
      </w:r>
      <w:bookmarkEnd w:id="493"/>
      <w:bookmarkEnd w:id="494"/>
      <w:bookmarkEnd w:id="495"/>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pPr>
        <w:shd w:val="clear"/>
        <w:spacing w:line="560" w:lineRule="exact"/>
        <w:ind w:firstLine="482" w:firstLineChars="200"/>
        <w:outlineLvl w:val="0"/>
        <w:rPr>
          <w:rFonts w:ascii="宋体" w:hAnsi="宋体"/>
          <w:b/>
          <w:color w:val="auto"/>
          <w:sz w:val="24"/>
          <w:highlight w:val="none"/>
        </w:rPr>
      </w:pPr>
      <w:bookmarkStart w:id="496" w:name="_Toc1969"/>
      <w:bookmarkStart w:id="497" w:name="_Toc17363"/>
      <w:bookmarkStart w:id="498" w:name="_Toc14525"/>
      <w:r>
        <w:rPr>
          <w:rFonts w:ascii="宋体" w:hAnsi="宋体"/>
          <w:b/>
          <w:color w:val="auto"/>
          <w:sz w:val="24"/>
          <w:highlight w:val="none"/>
        </w:rPr>
        <w:t>2.15 检验和验收</w:t>
      </w:r>
      <w:bookmarkEnd w:id="496"/>
      <w:bookmarkEnd w:id="497"/>
      <w:bookmarkEnd w:id="498"/>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color w:val="auto"/>
          <w:sz w:val="24"/>
          <w:highlight w:val="none"/>
        </w:rPr>
        <w:t>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w:t>
      </w:r>
      <w:r>
        <w:rPr>
          <w:rFonts w:ascii="宋体" w:hAnsi="宋体"/>
          <w:color w:val="auto"/>
          <w:sz w:val="24"/>
          <w:highlight w:val="none"/>
        </w:rPr>
        <w:t>进行定期验收</w:t>
      </w:r>
      <w:r>
        <w:rPr>
          <w:rFonts w:hint="eastAsia" w:ascii="宋体" w:hAnsi="宋体"/>
          <w:color w:val="auto"/>
          <w:sz w:val="24"/>
          <w:highlight w:val="none"/>
        </w:rPr>
        <w:t>；</w:t>
      </w:r>
    </w:p>
    <w:p>
      <w:pPr>
        <w:shd w:val="clea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hd w:val="clear"/>
        <w:spacing w:line="560" w:lineRule="exact"/>
        <w:ind w:firstLine="482" w:firstLineChars="200"/>
        <w:outlineLvl w:val="0"/>
        <w:rPr>
          <w:rFonts w:ascii="宋体" w:hAnsi="宋体"/>
          <w:b/>
          <w:color w:val="auto"/>
          <w:sz w:val="24"/>
          <w:highlight w:val="none"/>
        </w:rPr>
      </w:pPr>
      <w:bookmarkStart w:id="499" w:name="_Toc9808"/>
      <w:bookmarkStart w:id="500" w:name="_Toc2308"/>
      <w:bookmarkStart w:id="501" w:name="_Toc31892"/>
      <w:bookmarkStart w:id="502" w:name="_Toc12666"/>
      <w:bookmarkStart w:id="503" w:name="_Toc25198"/>
      <w:r>
        <w:rPr>
          <w:rFonts w:ascii="宋体" w:hAnsi="宋体"/>
          <w:b/>
          <w:color w:val="auto"/>
          <w:sz w:val="24"/>
          <w:highlight w:val="none"/>
        </w:rPr>
        <w:t>2.16 通知和送达</w:t>
      </w:r>
      <w:bookmarkEnd w:id="499"/>
      <w:bookmarkEnd w:id="500"/>
      <w:bookmarkEnd w:id="501"/>
      <w:bookmarkEnd w:id="502"/>
      <w:bookmarkEnd w:id="503"/>
    </w:p>
    <w:p>
      <w:pPr>
        <w:shd w:val="clear"/>
        <w:spacing w:line="560" w:lineRule="exact"/>
        <w:ind w:firstLine="480" w:firstLineChars="200"/>
        <w:rPr>
          <w:rFonts w:ascii="宋体" w:hAnsi="宋体"/>
          <w:color w:val="auto"/>
          <w:sz w:val="24"/>
          <w:highlight w:val="none"/>
        </w:rPr>
      </w:pPr>
      <w:bookmarkStart w:id="504" w:name="_Toc27674"/>
      <w:bookmarkStart w:id="505"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504"/>
      <w:bookmarkEnd w:id="505"/>
    </w:p>
    <w:p>
      <w:pPr>
        <w:shd w:val="clear"/>
        <w:spacing w:line="560" w:lineRule="exact"/>
        <w:ind w:firstLine="482" w:firstLineChars="200"/>
        <w:outlineLvl w:val="0"/>
        <w:rPr>
          <w:rFonts w:ascii="宋体" w:hAnsi="宋体"/>
          <w:b/>
          <w:color w:val="auto"/>
          <w:sz w:val="24"/>
          <w:highlight w:val="none"/>
        </w:rPr>
      </w:pPr>
      <w:bookmarkStart w:id="506" w:name="_Toc27644"/>
      <w:bookmarkStart w:id="507" w:name="_Toc28906"/>
      <w:bookmarkStart w:id="508" w:name="_Toc20808"/>
      <w:bookmarkStart w:id="509" w:name="_Toc5063"/>
      <w:bookmarkStart w:id="510" w:name="_Toc1225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6"/>
      <w:bookmarkEnd w:id="507"/>
      <w:bookmarkEnd w:id="508"/>
      <w:bookmarkEnd w:id="509"/>
      <w:bookmarkEnd w:id="510"/>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pPr>
        <w:shd w:val="clear"/>
        <w:spacing w:line="560" w:lineRule="exact"/>
        <w:ind w:firstLine="482" w:firstLineChars="200"/>
        <w:outlineLvl w:val="0"/>
        <w:rPr>
          <w:rFonts w:ascii="宋体" w:hAnsi="宋体" w:cs="宋体"/>
          <w:b/>
          <w:color w:val="auto"/>
          <w:sz w:val="24"/>
          <w:highlight w:val="none"/>
        </w:rPr>
      </w:pPr>
      <w:bookmarkStart w:id="511" w:name="_Toc30599"/>
      <w:bookmarkStart w:id="512" w:name="_Toc18540"/>
      <w:bookmarkStart w:id="513" w:name="_Toc4355"/>
      <w:r>
        <w:rPr>
          <w:rFonts w:hint="eastAsia" w:ascii="宋体" w:hAnsi="宋体" w:cs="宋体"/>
          <w:b/>
          <w:color w:val="auto"/>
          <w:sz w:val="24"/>
          <w:highlight w:val="none"/>
        </w:rPr>
        <w:t>2.18 计量单位</w:t>
      </w:r>
      <w:bookmarkEnd w:id="511"/>
      <w:bookmarkEnd w:id="512"/>
      <w:bookmarkEnd w:id="513"/>
    </w:p>
    <w:p>
      <w:pPr>
        <w:shd w:val="clea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pPr>
        <w:shd w:val="clea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pPr>
        <w:shd w:val="clear"/>
        <w:spacing w:line="560" w:lineRule="exact"/>
        <w:ind w:firstLine="480" w:firstLineChars="200"/>
        <w:rPr>
          <w:rFonts w:ascii="宋体" w:hAnsi="宋体"/>
          <w:color w:val="auto"/>
          <w:sz w:val="24"/>
          <w:highlight w:val="none"/>
        </w:rPr>
      </w:pPr>
      <w:r>
        <w:rPr>
          <w:rFonts w:ascii="宋体" w:hAnsi="宋体"/>
          <w:color w:val="auto"/>
          <w:sz w:val="24"/>
          <w:highlight w:val="none"/>
        </w:rPr>
        <w:t>合同份数</w:t>
      </w:r>
      <w:r>
        <w:rPr>
          <w:rFonts w:hint="eastAsia" w:ascii="宋体" w:hAnsi="宋体"/>
          <w:color w:val="auto"/>
          <w:sz w:val="24"/>
          <w:highlight w:val="none"/>
          <w:lang w:val="en-US" w:eastAsia="zh-CN"/>
        </w:rPr>
        <w:t>正本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份，副本</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份</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spacing w:line="240" w:lineRule="auto"/>
        <w:ind w:left="-420" w:leftChars="-200" w:right="-420" w:rightChars="-200" w:firstLine="420" w:firstLineChars="200"/>
        <w:textAlignment w:val="auto"/>
        <w:outlineLvl w:val="9"/>
        <w:rPr>
          <w:rFonts w:hint="eastAsia" w:ascii="宋体" w:hAnsi="宋体" w:cs="宋体"/>
          <w:b/>
          <w:sz w:val="36"/>
          <w:szCs w:val="20"/>
          <w:highlight w:val="none"/>
        </w:rPr>
      </w:pPr>
      <w:r>
        <w:rPr>
          <w:rFonts w:hint="eastAsia" w:ascii="宋体" w:hAnsi="宋体" w:cs="宋体"/>
          <w:i w:val="0"/>
          <w:iCs w:val="0"/>
          <w:kern w:val="0"/>
          <w:highlight w:val="none"/>
        </w:rPr>
        <w:br w:type="page"/>
      </w:r>
      <w:r>
        <w:rPr>
          <w:rFonts w:hint="eastAsia" w:ascii="宋体" w:hAnsi="宋体" w:cs="宋体"/>
          <w:sz w:val="24"/>
          <w:highlight w:val="none"/>
        </w:rPr>
        <w:br w:type="textWrapping"/>
      </w:r>
      <w:bookmarkStart w:id="514" w:name="_Toc22993"/>
    </w:p>
    <w:p>
      <w:pPr>
        <w:kinsoku/>
        <w:wordWrap/>
        <w:overflowPunct/>
        <w:topLinePunct w:val="0"/>
        <w:bidi w:val="0"/>
        <w:spacing w:line="360" w:lineRule="auto"/>
        <w:jc w:val="center"/>
        <w:outlineLvl w:val="0"/>
        <w:rPr>
          <w:rFonts w:ascii="宋体" w:hAnsi="宋体" w:cs="宋体"/>
          <w:b/>
          <w:sz w:val="36"/>
          <w:szCs w:val="20"/>
          <w:highlight w:val="none"/>
        </w:rPr>
      </w:pPr>
      <w:r>
        <w:rPr>
          <w:rFonts w:hint="eastAsia" w:ascii="宋体" w:hAnsi="宋体" w:cs="宋体"/>
          <w:b/>
          <w:sz w:val="36"/>
          <w:szCs w:val="20"/>
          <w:highlight w:val="none"/>
        </w:rPr>
        <w:t>第六部分</w:t>
      </w:r>
      <w:bookmarkEnd w:id="403"/>
      <w:r>
        <w:rPr>
          <w:rFonts w:hint="eastAsia" w:ascii="宋体" w:hAnsi="宋体" w:cs="宋体"/>
          <w:b/>
          <w:sz w:val="36"/>
          <w:szCs w:val="20"/>
          <w:highlight w:val="none"/>
        </w:rPr>
        <w:t xml:space="preserve"> </w:t>
      </w:r>
      <w:bookmarkEnd w:id="404"/>
      <w:r>
        <w:rPr>
          <w:rFonts w:hint="eastAsia" w:ascii="宋体" w:hAnsi="宋体" w:cs="宋体"/>
          <w:b/>
          <w:sz w:val="36"/>
          <w:szCs w:val="20"/>
          <w:highlight w:val="none"/>
        </w:rPr>
        <w:t>应提交的有关格式范例</w:t>
      </w:r>
      <w:bookmarkEnd w:id="514"/>
    </w:p>
    <w:p>
      <w:pPr>
        <w:kinsoku/>
        <w:wordWrap/>
        <w:overflowPunct/>
        <w:topLinePunct w:val="0"/>
        <w:bidi w:val="0"/>
        <w:spacing w:line="360" w:lineRule="auto"/>
        <w:jc w:val="center"/>
        <w:outlineLvl w:val="9"/>
        <w:rPr>
          <w:rFonts w:ascii="宋体" w:hAnsi="宋体" w:cs="宋体"/>
          <w:b/>
          <w:kern w:val="0"/>
          <w:sz w:val="36"/>
          <w:szCs w:val="36"/>
          <w:highlight w:val="none"/>
        </w:rPr>
      </w:pPr>
    </w:p>
    <w:p>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资格文件部分</w:t>
      </w:r>
    </w:p>
    <w:p>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pPr>
        <w:kinsoku/>
        <w:wordWrap/>
        <w:overflowPunct/>
        <w:topLinePunct w:val="0"/>
        <w:bidi w:val="0"/>
        <w:spacing w:line="360" w:lineRule="auto"/>
        <w:jc w:val="center"/>
        <w:outlineLvl w:val="9"/>
        <w:rPr>
          <w:rFonts w:ascii="宋体" w:hAnsi="宋体" w:cs="宋体"/>
          <w:b/>
          <w:kern w:val="0"/>
          <w:sz w:val="36"/>
          <w:szCs w:val="36"/>
          <w:highlight w:val="none"/>
        </w:rPr>
      </w:pP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（1）符合参加政府采购活动应当具备的一般条件的承诺函……………（页码）</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napToGrid w:val="0"/>
          <w:kern w:val="28"/>
          <w:sz w:val="24"/>
          <w:szCs w:val="20"/>
          <w:highlight w:val="none"/>
        </w:rPr>
        <w:t>（2）联合协议</w:t>
      </w:r>
      <w:r>
        <w:rPr>
          <w:rFonts w:hint="eastAsia" w:ascii="宋体" w:hAnsi="宋体" w:cs="宋体"/>
          <w:sz w:val="24"/>
          <w:highlight w:val="none"/>
        </w:rPr>
        <w:t>………………………………………………………………（页码）</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）落实政府采购政策需满足的资格要求………………………………（页码）</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）本项目的特定资格要求………………………………………………（页码）</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p>
    <w:p>
      <w:pPr>
        <w:kinsoku/>
        <w:wordWrap/>
        <w:overflowPunct/>
        <w:topLinePunct w:val="0"/>
        <w:bidi w:val="0"/>
        <w:spacing w:line="360" w:lineRule="auto"/>
        <w:ind w:firstLine="480" w:firstLineChars="200"/>
        <w:outlineLvl w:val="9"/>
        <w:rPr>
          <w:rFonts w:ascii="宋体" w:hAnsi="宋体" w:cs="宋体"/>
          <w:sz w:val="24"/>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kern w:val="0"/>
          <w:sz w:val="24"/>
          <w:highlight w:val="none"/>
        </w:rPr>
        <w:br w:type="page"/>
      </w:r>
      <w:r>
        <w:rPr>
          <w:rFonts w:hint="eastAsia" w:ascii="宋体" w:hAnsi="宋体" w:cs="宋体"/>
          <w:b/>
          <w:kern w:val="0"/>
          <w:sz w:val="32"/>
          <w:szCs w:val="32"/>
          <w:highlight w:val="none"/>
        </w:rPr>
        <w:t>一、符合参加政府采购活动应当具备的一般条件的承诺函</w:t>
      </w:r>
    </w:p>
    <w:p>
      <w:pPr>
        <w:kinsoku/>
        <w:wordWrap/>
        <w:overflowPunct/>
        <w:topLinePunct w:val="0"/>
        <w:bidi w:val="0"/>
        <w:snapToGrid w:val="0"/>
        <w:spacing w:line="360" w:lineRule="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pPr>
        <w:kinsoku/>
        <w:wordWrap/>
        <w:overflowPunct/>
        <w:topLinePunct w:val="0"/>
        <w:bidi w:val="0"/>
        <w:snapToGrid w:val="0"/>
        <w:spacing w:line="360" w:lineRule="auto"/>
        <w:ind w:firstLine="360" w:firstLineChars="150"/>
        <w:outlineLvl w:val="9"/>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kinsoku/>
        <w:wordWrap/>
        <w:overflowPunct/>
        <w:topLinePunct w:val="0"/>
        <w:bidi w:val="0"/>
        <w:snapToGrid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4、有依法缴纳税收和社会保障资金的良好记录；</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5、参加政府采购活动前三年内，在经营活动中没有重大违法记录；</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6、具有法律、行政法规规定的其他条件。</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（二）未被信用中国（www.creditchina.gov.cn)、中国政府采购网（www.ccgp.gov.cn）列入失信被执行人、重大税收违法案件当事人名单、政府采购严重违法失信行为记录名单</w:t>
      </w:r>
      <w:r>
        <w:rPr>
          <w:rFonts w:hint="eastAsia" w:ascii="宋体" w:hAnsi="宋体" w:cs="宋体"/>
          <w:sz w:val="24"/>
          <w:highlight w:val="none"/>
          <w:lang w:eastAsia="zh-CN"/>
        </w:rPr>
        <w:t>，</w:t>
      </w:r>
      <w:r>
        <w:rPr>
          <w:rFonts w:hint="eastAsia" w:ascii="宋体" w:hAnsi="宋体" w:cs="宋体"/>
          <w:sz w:val="24"/>
          <w:highlight w:val="none"/>
        </w:rPr>
        <w:t>未在中国裁判文书网有行贿犯罪相关记录。</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（三）不存在以下情况：</w:t>
      </w:r>
    </w:p>
    <w:p>
      <w:pPr>
        <w:kinsoku/>
        <w:wordWrap/>
        <w:overflowPunct/>
        <w:topLinePunct w:val="0"/>
        <w:bidi w:val="0"/>
        <w:snapToGrid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1、单位负责人为同一人或者存在直接控股、管理关系的不同供应商参加同一合同项下的政府采购活动的；</w:t>
      </w:r>
    </w:p>
    <w:p>
      <w:pPr>
        <w:kinsoku/>
        <w:wordWrap/>
        <w:overflowPunct/>
        <w:topLinePunct w:val="0"/>
        <w:bidi w:val="0"/>
        <w:snapToGrid w:val="0"/>
        <w:spacing w:line="360" w:lineRule="auto"/>
        <w:ind w:firstLine="480" w:firstLineChars="200"/>
        <w:outlineLvl w:val="9"/>
        <w:rPr>
          <w:rFonts w:hint="eastAsia" w:ascii="宋体" w:hAnsi="宋体" w:cs="宋体"/>
          <w:sz w:val="24"/>
          <w:highlight w:val="none"/>
        </w:rPr>
      </w:pPr>
      <w:r>
        <w:rPr>
          <w:rFonts w:hint="eastAsia" w:ascii="宋体" w:hAnsi="宋体" w:cs="宋体"/>
          <w:sz w:val="24"/>
          <w:highlight w:val="none"/>
        </w:rPr>
        <w:t>2、为采购项目提供整体设计、规范编制或者项目管理、监理、检测等服务后再参加该采购项目的其他采购活动的。</w:t>
      </w:r>
    </w:p>
    <w:p>
      <w:pPr>
        <w:kinsoku/>
        <w:wordWrap/>
        <w:overflowPunct/>
        <w:topLinePunct w:val="0"/>
        <w:bidi w:val="0"/>
        <w:snapToGrid w:val="0"/>
        <w:spacing w:line="360" w:lineRule="auto"/>
        <w:ind w:firstLine="480" w:firstLineChars="200"/>
        <w:outlineLvl w:val="9"/>
        <w:rPr>
          <w:rFonts w:hint="eastAsia" w:ascii="宋体" w:hAnsi="宋体" w:eastAsia="宋体" w:cs="宋体"/>
          <w:sz w:val="24"/>
          <w:highlight w:val="none"/>
          <w:lang w:eastAsia="zh-CN"/>
        </w:rPr>
      </w:pPr>
    </w:p>
    <w:p>
      <w:pPr>
        <w:kinsoku/>
        <w:wordWrap/>
        <w:overflowPunct/>
        <w:topLinePunct w:val="0"/>
        <w:bidi w:val="0"/>
        <w:snapToGrid w:val="0"/>
        <w:spacing w:line="360" w:lineRule="auto"/>
        <w:ind w:firstLine="5520" w:firstLineChars="2300"/>
        <w:outlineLvl w:val="9"/>
        <w:rPr>
          <w:rFonts w:hint="eastAsia" w:ascii="宋体" w:hAnsi="宋体" w:cs="宋体"/>
          <w:kern w:val="0"/>
          <w:sz w:val="24"/>
          <w:highlight w:val="none"/>
          <w:lang w:val="zh-CN"/>
        </w:rPr>
      </w:pPr>
    </w:p>
    <w:p>
      <w:pPr>
        <w:kinsoku/>
        <w:wordWrap/>
        <w:overflowPunct/>
        <w:topLinePunct w:val="0"/>
        <w:bidi w:val="0"/>
        <w:snapToGrid w:val="0"/>
        <w:spacing w:line="360" w:lineRule="auto"/>
        <w:ind w:firstLine="5520" w:firstLineChars="2300"/>
        <w:outlineLvl w:val="9"/>
        <w:rPr>
          <w:rFonts w:ascii="宋体" w:hAnsi="宋体" w:cs="宋体"/>
          <w:kern w:val="0"/>
          <w:sz w:val="24"/>
          <w:highlight w:val="none"/>
        </w:rPr>
      </w:pPr>
      <w:r>
        <w:rPr>
          <w:rFonts w:hint="eastAsia" w:ascii="宋体" w:hAnsi="宋体" w:cs="宋体"/>
          <w:kern w:val="0"/>
          <w:sz w:val="24"/>
          <w:highlight w:val="none"/>
          <w:lang w:val="zh-CN"/>
        </w:rPr>
        <w:t>供应商名称(电子签名)：</w:t>
      </w:r>
    </w:p>
    <w:p>
      <w:pPr>
        <w:kinsoku/>
        <w:wordWrap/>
        <w:overflowPunct/>
        <w:topLinePunct w:val="0"/>
        <w:bidi w:val="0"/>
        <w:snapToGrid w:val="0"/>
        <w:spacing w:line="360" w:lineRule="auto"/>
        <w:outlineLvl w:val="9"/>
        <w:rPr>
          <w:rFonts w:ascii="宋体" w:hAnsi="宋体" w:cs="宋体"/>
          <w:kern w:val="0"/>
          <w:sz w:val="24"/>
          <w:highlight w:val="none"/>
        </w:rPr>
      </w:pPr>
      <w:r>
        <w:rPr>
          <w:rFonts w:hint="eastAsia" w:ascii="宋体" w:hAnsi="宋体" w:cs="宋体"/>
          <w:kern w:val="0"/>
          <w:sz w:val="24"/>
          <w:highlight w:val="none"/>
          <w:lang w:val="zh-CN"/>
        </w:rPr>
        <w:t xml:space="preserve">                        </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outlineLvl w:val="9"/>
        <w:rPr>
          <w:rFonts w:ascii="宋体" w:hAnsi="宋体" w:cs="宋体"/>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hint="eastAsia" w:ascii="宋体" w:hAnsi="宋体" w:cs="宋体"/>
          <w:b/>
          <w:color w:val="auto"/>
          <w:kern w:val="0"/>
          <w:sz w:val="32"/>
          <w:szCs w:val="32"/>
          <w:highlight w:val="none"/>
        </w:rPr>
      </w:pPr>
    </w:p>
    <w:p>
      <w:pPr>
        <w:widowControl/>
        <w:kinsoku/>
        <w:wordWrap/>
        <w:overflowPunct/>
        <w:topLinePunct w:val="0"/>
        <w:bidi w:val="0"/>
        <w:spacing w:line="360" w:lineRule="auto"/>
        <w:ind w:firstLine="643" w:firstLineChars="20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pPr>
        <w:widowControl/>
        <w:kinsoku/>
        <w:wordWrap/>
        <w:overflowPunct/>
        <w:topLinePunct w:val="0"/>
        <w:bidi w:val="0"/>
        <w:spacing w:line="360" w:lineRule="auto"/>
        <w:ind w:firstLine="482" w:firstLineChars="200"/>
        <w:jc w:val="left"/>
        <w:outlineLvl w:val="9"/>
        <w:rPr>
          <w:rFonts w:ascii="宋体" w:hAnsi="宋体" w:cs="宋体"/>
          <w:b/>
          <w:sz w:val="24"/>
          <w:highlight w:val="none"/>
        </w:rPr>
      </w:pPr>
      <w:r>
        <w:rPr>
          <w:rFonts w:hint="eastAsia" w:ascii="宋体" w:hAnsi="宋体" w:cs="宋体"/>
          <w:b/>
          <w:sz w:val="24"/>
          <w:highlight w:val="none"/>
        </w:rPr>
        <w:t>[以联合体形式投标的，提供联合协议（附件5）；本项目不接受联合体投标或者</w:t>
      </w:r>
      <w:r>
        <w:rPr>
          <w:rFonts w:hint="eastAsia" w:ascii="宋体" w:hAnsi="宋体" w:cs="宋体"/>
          <w:b/>
          <w:sz w:val="24"/>
          <w:highlight w:val="none"/>
          <w:lang w:eastAsia="zh-CN"/>
        </w:rPr>
        <w:t>供应商</w:t>
      </w:r>
      <w:r>
        <w:rPr>
          <w:rFonts w:hint="eastAsia" w:ascii="宋体" w:hAnsi="宋体" w:cs="宋体"/>
          <w:b/>
          <w:sz w:val="24"/>
          <w:highlight w:val="none"/>
        </w:rPr>
        <w:t>不以联合体形式投标的，则不需要提供]</w:t>
      </w: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三、落实政府采购政策需满足的资格要求</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（根据招标公告落实政府采购政策需满足的资格要求选择提供相应的材料；未要求的，无需提供）</w:t>
      </w:r>
    </w:p>
    <w:p>
      <w:pPr>
        <w:kinsoku/>
        <w:wordWrap/>
        <w:overflowPunct/>
        <w:topLinePunct w:val="0"/>
        <w:bidi w:val="0"/>
        <w:snapToGrid w:val="0"/>
        <w:spacing w:before="50" w:after="50"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A</w:t>
      </w:r>
      <w:r>
        <w:rPr>
          <w:rFonts w:hint="eastAsia" w:ascii="宋体" w:hAnsi="宋体" w:cs="宋体"/>
          <w:sz w:val="24"/>
          <w:highlight w:val="none"/>
        </w:rPr>
        <w:t>.专门面向中小企业，货物全部由符合政策要求的中小企业（或小微企业）制造的，提供相应的中小企业声明函（附件</w:t>
      </w:r>
      <w:r>
        <w:rPr>
          <w:rFonts w:ascii="宋体" w:hAnsi="宋体" w:cs="宋体"/>
          <w:sz w:val="24"/>
          <w:highlight w:val="none"/>
        </w:rPr>
        <w:t>7</w:t>
      </w:r>
      <w:r>
        <w:rPr>
          <w:rFonts w:hint="eastAsia" w:ascii="宋体" w:hAnsi="宋体" w:cs="宋体"/>
          <w:sz w:val="24"/>
          <w:highlight w:val="none"/>
        </w:rPr>
        <w:t xml:space="preserve">）。 </w:t>
      </w:r>
    </w:p>
    <w:p>
      <w:pPr>
        <w:widowControl/>
        <w:kinsoku/>
        <w:wordWrap/>
        <w:overflowPunct/>
        <w:topLinePunct w:val="0"/>
        <w:bidi w:val="0"/>
        <w:spacing w:line="360" w:lineRule="auto"/>
        <w:ind w:firstLine="480"/>
        <w:jc w:val="left"/>
        <w:outlineLvl w:val="9"/>
        <w:rPr>
          <w:rFonts w:ascii="宋体" w:hAnsi="宋体" w:cs="宋体"/>
          <w:sz w:val="24"/>
          <w:highlight w:val="none"/>
        </w:rPr>
      </w:pPr>
    </w:p>
    <w:p>
      <w:pPr>
        <w:widowControl/>
        <w:kinsoku/>
        <w:wordWrap/>
        <w:overflowPunct/>
        <w:topLinePunct w:val="0"/>
        <w:bidi w:val="0"/>
        <w:spacing w:line="360" w:lineRule="auto"/>
        <w:ind w:firstLine="472" w:firstLineChars="196"/>
        <w:jc w:val="left"/>
        <w:outlineLvl w:val="9"/>
        <w:rPr>
          <w:rFonts w:ascii="宋体" w:hAnsi="宋体" w:cs="宋体"/>
          <w:sz w:val="24"/>
          <w:highlight w:val="none"/>
        </w:rPr>
      </w:pPr>
      <w:r>
        <w:rPr>
          <w:rFonts w:hint="eastAsia" w:ascii="宋体" w:hAnsi="宋体" w:cs="宋体"/>
          <w:b/>
          <w:sz w:val="24"/>
          <w:highlight w:val="none"/>
        </w:rPr>
        <w:t>B.</w:t>
      </w:r>
      <w:r>
        <w:rPr>
          <w:rFonts w:hint="eastAsia" w:ascii="宋体" w:hAnsi="宋体" w:cs="宋体"/>
          <w:sz w:val="24"/>
          <w:highlight w:val="none"/>
        </w:rPr>
        <w:t>要求以联合体形式参加的，提供联合协议（附件</w:t>
      </w:r>
      <w:r>
        <w:rPr>
          <w:rFonts w:ascii="宋体" w:hAnsi="宋体" w:cs="宋体"/>
          <w:sz w:val="24"/>
          <w:highlight w:val="none"/>
        </w:rPr>
        <w:t>5</w:t>
      </w:r>
      <w:r>
        <w:rPr>
          <w:rFonts w:hint="eastAsia" w:ascii="宋体" w:hAnsi="宋体" w:cs="宋体"/>
          <w:sz w:val="24"/>
          <w:highlight w:val="none"/>
        </w:rPr>
        <w:t>）和中小企业声明函（附件</w:t>
      </w:r>
      <w:r>
        <w:rPr>
          <w:rFonts w:ascii="宋体" w:hAnsi="宋体" w:cs="宋体"/>
          <w:sz w:val="24"/>
          <w:highlight w:val="none"/>
        </w:rPr>
        <w:t>7</w:t>
      </w:r>
      <w:r>
        <w:rPr>
          <w:rFonts w:hint="eastAsia" w:ascii="宋体" w:hAnsi="宋体" w:cs="宋体"/>
          <w:sz w:val="24"/>
          <w:highlight w:val="none"/>
        </w:rPr>
        <w:t>），联合协议中中小企业合同金额应当达到招标公告载明的比例；如果供应商本身提供所有标的均由中小企业制造的，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视同符合了资格条件，无需再与其他中小企业组成联合体参加政府采购活动，无需提供联合协议。</w:t>
      </w:r>
    </w:p>
    <w:p>
      <w:pPr>
        <w:kinsoku/>
        <w:wordWrap/>
        <w:overflowPunct/>
        <w:topLinePunct w:val="0"/>
        <w:bidi w:val="0"/>
        <w:snapToGrid w:val="0"/>
        <w:spacing w:before="50" w:after="50" w:line="360" w:lineRule="auto"/>
        <w:jc w:val="center"/>
        <w:outlineLvl w:val="9"/>
        <w:rPr>
          <w:rFonts w:ascii="宋体" w:hAnsi="宋体" w:cs="宋体"/>
          <w:sz w:val="24"/>
          <w:highlight w:val="none"/>
        </w:rPr>
      </w:pPr>
      <w:r>
        <w:rPr>
          <w:rFonts w:hint="eastAsia" w:ascii="宋体" w:hAnsi="宋体" w:cs="宋体"/>
          <w:b/>
          <w:sz w:val="24"/>
          <w:highlight w:val="none"/>
        </w:rPr>
        <w:t xml:space="preserve">    </w:t>
      </w:r>
    </w:p>
    <w:p>
      <w:pPr>
        <w:kinsoku/>
        <w:wordWrap/>
        <w:overflowPunct/>
        <w:topLinePunct w:val="0"/>
        <w:bidi w:val="0"/>
        <w:spacing w:line="360" w:lineRule="auto"/>
        <w:ind w:firstLine="482" w:firstLineChars="200"/>
        <w:outlineLvl w:val="9"/>
        <w:rPr>
          <w:rFonts w:ascii="宋体" w:hAnsi="宋体" w:cs="宋体"/>
          <w:sz w:val="24"/>
          <w:highlight w:val="none"/>
        </w:rPr>
      </w:pPr>
      <w:r>
        <w:rPr>
          <w:rFonts w:hint="eastAsia" w:ascii="宋体" w:hAnsi="宋体" w:cs="宋体"/>
          <w:b/>
          <w:sz w:val="24"/>
          <w:highlight w:val="none"/>
        </w:rPr>
        <w:t>C、</w:t>
      </w:r>
      <w:r>
        <w:rPr>
          <w:rFonts w:hint="eastAsia" w:ascii="宋体" w:hAnsi="宋体" w:cs="宋体"/>
          <w:sz w:val="24"/>
          <w:highlight w:val="none"/>
        </w:rPr>
        <w:t>要求合同分包的，提供分包意向协议（附件6）和中小企业声明函（附件</w:t>
      </w:r>
      <w:r>
        <w:rPr>
          <w:rFonts w:ascii="宋体" w:hAnsi="宋体" w:cs="宋体"/>
          <w:sz w:val="24"/>
          <w:highlight w:val="none"/>
        </w:rPr>
        <w:t>7</w:t>
      </w:r>
      <w:r>
        <w:rPr>
          <w:rFonts w:hint="eastAsia" w:ascii="宋体" w:hAnsi="宋体" w:cs="宋体"/>
          <w:sz w:val="24"/>
          <w:highlight w:val="none"/>
        </w:rPr>
        <w:t>），分包意向协议中中小企业合同金额应当达到招标公告载明的比例；如果供应商本身提供所有标的均由中小企业制造的，</w:t>
      </w:r>
      <w:r>
        <w:rPr>
          <w:rFonts w:hint="eastAsia" w:ascii="宋体" w:hAnsi="宋体" w:cs="宋体"/>
          <w:spacing w:val="8"/>
          <w:kern w:val="0"/>
          <w:sz w:val="24"/>
          <w:highlight w:val="none"/>
        </w:rPr>
        <w:t>并相应达到了前述比例要求，</w:t>
      </w:r>
      <w:r>
        <w:rPr>
          <w:rFonts w:hint="eastAsia" w:ascii="宋体" w:hAnsi="宋体" w:cs="宋体"/>
          <w:sz w:val="24"/>
          <w:highlight w:val="none"/>
        </w:rPr>
        <w:t>视同符合了资格条件，无需再向中小企业分包，无需提供分包意向协议。</w:t>
      </w:r>
    </w:p>
    <w:p>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p>
    <w:p>
      <w:pPr>
        <w:widowControl/>
        <w:kinsoku/>
        <w:wordWrap/>
        <w:overflowPunct/>
        <w:topLinePunct w:val="0"/>
        <w:bidi w:val="0"/>
        <w:spacing w:line="360" w:lineRule="auto"/>
        <w:ind w:left="15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四、本项目的特定资格要求</w:t>
      </w:r>
    </w:p>
    <w:p>
      <w:pPr>
        <w:kinsoku/>
        <w:wordWrap/>
        <w:overflowPunct/>
        <w:topLinePunct w:val="0"/>
        <w:bidi w:val="0"/>
        <w:spacing w:line="360" w:lineRule="auto"/>
        <w:jc w:val="center"/>
        <w:outlineLvl w:val="9"/>
        <w:rPr>
          <w:rFonts w:ascii="宋体" w:hAnsi="宋体" w:cs="宋体"/>
          <w:sz w:val="24"/>
          <w:highlight w:val="none"/>
        </w:rPr>
      </w:pPr>
      <w:r>
        <w:rPr>
          <w:rFonts w:hint="eastAsia" w:ascii="宋体" w:hAnsi="宋体" w:cs="宋体"/>
          <w:sz w:val="24"/>
          <w:highlight w:val="none"/>
        </w:rPr>
        <w:t>（根据招标公告本项目的特定资格要求提供相应的材料；未要求的，无需提供）</w:t>
      </w:r>
    </w:p>
    <w:p>
      <w:pPr>
        <w:kinsoku/>
        <w:wordWrap/>
        <w:overflowPunct/>
        <w:topLinePunct w:val="0"/>
        <w:bidi w:val="0"/>
        <w:outlineLvl w:val="9"/>
        <w:rPr>
          <w:rFonts w:ascii="宋体" w:hAnsi="宋体" w:cs="宋体"/>
          <w:highlight w:val="none"/>
        </w:rPr>
      </w:pPr>
    </w:p>
    <w:p>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r>
        <w:rPr>
          <w:rFonts w:hint="eastAsia" w:ascii="宋体" w:hAnsi="宋体" w:cs="宋体"/>
          <w:b/>
          <w:kern w:val="0"/>
          <w:sz w:val="36"/>
          <w:szCs w:val="36"/>
          <w:highlight w:val="none"/>
        </w:rPr>
        <w:t>商务技术文件部分</w:t>
      </w:r>
    </w:p>
    <w:p>
      <w:pPr>
        <w:kinsoku/>
        <w:wordWrap/>
        <w:overflowPunct/>
        <w:topLinePunct w:val="0"/>
        <w:bidi w:val="0"/>
        <w:spacing w:line="360" w:lineRule="auto"/>
        <w:jc w:val="center"/>
        <w:outlineLvl w:val="9"/>
        <w:rPr>
          <w:rFonts w:ascii="宋体" w:hAnsi="宋体" w:cs="宋体"/>
          <w:b/>
          <w:kern w:val="0"/>
          <w:sz w:val="28"/>
          <w:szCs w:val="28"/>
          <w:highlight w:val="none"/>
        </w:rPr>
      </w:pPr>
      <w:r>
        <w:rPr>
          <w:rFonts w:hint="eastAsia" w:ascii="宋体" w:hAnsi="宋体" w:cs="宋体"/>
          <w:b/>
          <w:kern w:val="0"/>
          <w:sz w:val="28"/>
          <w:szCs w:val="28"/>
          <w:highlight w:val="none"/>
        </w:rPr>
        <w:t>目录</w:t>
      </w:r>
    </w:p>
    <w:p>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（1）投标函</w:t>
      </w:r>
      <w:r>
        <w:rPr>
          <w:rFonts w:hint="eastAsia" w:ascii="宋体" w:hAnsi="宋体" w:cs="宋体"/>
          <w:highlight w:val="none"/>
        </w:rPr>
        <w:t>…………………………………………………………………………………（页码）</w:t>
      </w:r>
      <w:r>
        <w:rPr>
          <w:rFonts w:hint="eastAsia" w:ascii="宋体" w:hAnsi="宋体" w:cs="宋体"/>
          <w:sz w:val="24"/>
          <w:highlight w:val="none"/>
        </w:rPr>
        <w:t>（2）授权委托书或法定代表人（单位负责人、自然人本人）身份证明</w:t>
      </w:r>
      <w:r>
        <w:rPr>
          <w:rFonts w:hint="eastAsia" w:ascii="宋体" w:hAnsi="宋体" w:cs="宋体"/>
          <w:highlight w:val="none"/>
        </w:rPr>
        <w:t>………（页码）</w:t>
      </w:r>
    </w:p>
    <w:p>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3</w:t>
      </w:r>
      <w:r>
        <w:rPr>
          <w:rFonts w:hint="eastAsia" w:ascii="宋体" w:hAnsi="宋体" w:cs="宋体"/>
          <w:sz w:val="24"/>
          <w:highlight w:val="none"/>
        </w:rPr>
        <w:t>）分包意向协议</w:t>
      </w:r>
      <w:r>
        <w:rPr>
          <w:rFonts w:hint="eastAsia" w:ascii="宋体" w:hAnsi="宋体" w:cs="宋体"/>
          <w:highlight w:val="none"/>
        </w:rPr>
        <w:t>…………………………………………………………………………（页码）</w:t>
      </w:r>
    </w:p>
    <w:p>
      <w:pPr>
        <w:kinsoku/>
        <w:wordWrap/>
        <w:overflowPunct/>
        <w:topLinePunct w:val="0"/>
        <w:bidi w:val="0"/>
        <w:snapToGrid w:val="0"/>
        <w:spacing w:line="360" w:lineRule="auto"/>
        <w:ind w:firstLine="480" w:firstLineChars="200"/>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4</w:t>
      </w:r>
      <w:r>
        <w:rPr>
          <w:rFonts w:hint="eastAsia" w:ascii="宋体" w:hAnsi="宋体" w:cs="宋体"/>
          <w:sz w:val="24"/>
          <w:highlight w:val="none"/>
        </w:rPr>
        <w:t>）符合性审查资料</w:t>
      </w:r>
      <w:r>
        <w:rPr>
          <w:rFonts w:hint="eastAsia" w:ascii="宋体" w:hAnsi="宋体" w:cs="宋体"/>
          <w:highlight w:val="none"/>
        </w:rPr>
        <w:t>………………………………………………………………………（页码）</w:t>
      </w:r>
    </w:p>
    <w:p>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rPr>
        <w:t>（</w:t>
      </w:r>
      <w:r>
        <w:rPr>
          <w:rFonts w:ascii="宋体" w:hAnsi="宋体" w:cs="宋体"/>
          <w:sz w:val="24"/>
          <w:highlight w:val="none"/>
        </w:rPr>
        <w:t>5</w:t>
      </w:r>
      <w:r>
        <w:rPr>
          <w:rFonts w:hint="eastAsia" w:ascii="宋体" w:hAnsi="宋体" w:cs="宋体"/>
          <w:sz w:val="24"/>
          <w:highlight w:val="none"/>
        </w:rPr>
        <w:t>）评标标准相应的商务技术资料</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w:t>
      </w:r>
      <w:r>
        <w:rPr>
          <w:rFonts w:hint="eastAsia" w:ascii="宋体" w:hAnsi="宋体" w:cs="宋体"/>
          <w:sz w:val="24"/>
          <w:highlight w:val="none"/>
        </w:rPr>
        <w:t>…</w:t>
      </w:r>
      <w:r>
        <w:rPr>
          <w:rFonts w:hint="eastAsia" w:ascii="宋体" w:hAnsi="宋体" w:cs="宋体"/>
          <w:highlight w:val="none"/>
        </w:rPr>
        <w:t>……………（页码）</w:t>
      </w: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）商务技术偏离表</w:t>
      </w:r>
      <w:r>
        <w:rPr>
          <w:rFonts w:hint="eastAsia" w:ascii="宋体" w:hAnsi="宋体" w:cs="宋体"/>
          <w:highlight w:val="none"/>
        </w:rPr>
        <w:t>………………………………………………………………………（页码）</w:t>
      </w:r>
    </w:p>
    <w:p>
      <w:pPr>
        <w:kinsoku/>
        <w:wordWrap/>
        <w:overflowPunct/>
        <w:topLinePunct w:val="0"/>
        <w:bidi w:val="0"/>
        <w:snapToGrid w:val="0"/>
        <w:spacing w:line="360" w:lineRule="auto"/>
        <w:ind w:left="479" w:leftChars="228"/>
        <w:outlineLvl w:val="9"/>
        <w:rPr>
          <w:rFonts w:ascii="宋体" w:hAnsi="宋体" w:cs="宋体"/>
          <w:highlight w:val="none"/>
        </w:rPr>
      </w:pPr>
      <w:r>
        <w:rPr>
          <w:rFonts w:hint="eastAsia" w:ascii="宋体" w:hAnsi="宋体" w:cs="宋体"/>
          <w:sz w:val="24"/>
          <w:highlight w:val="none"/>
          <w:lang w:val="zh-CN"/>
        </w:rPr>
        <w:t>（</w:t>
      </w:r>
      <w:r>
        <w:rPr>
          <w:rFonts w:hint="eastAsia" w:ascii="宋体" w:hAnsi="宋体" w:cs="宋体"/>
          <w:sz w:val="24"/>
          <w:highlight w:val="none"/>
          <w:lang w:val="en-US" w:eastAsia="zh-CN"/>
        </w:rPr>
        <w:t>7</w:t>
      </w:r>
      <w:r>
        <w:rPr>
          <w:rFonts w:hint="eastAsia" w:ascii="宋体" w:hAnsi="宋体" w:cs="宋体"/>
          <w:sz w:val="24"/>
          <w:highlight w:val="none"/>
          <w:lang w:val="zh-CN"/>
        </w:rPr>
        <w:t>）政府采购供应商廉洁自律承诺书</w:t>
      </w:r>
      <w:r>
        <w:rPr>
          <w:rFonts w:hint="eastAsia" w:ascii="宋体" w:hAnsi="宋体" w:cs="宋体"/>
          <w:highlight w:val="none"/>
        </w:rPr>
        <w:t>…………………………………………………（页码）</w:t>
      </w:r>
    </w:p>
    <w:p>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lang w:val="zh-CN"/>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pPr>
        <w:kinsoku/>
        <w:wordWrap/>
        <w:overflowPunct/>
        <w:topLinePunct w:val="0"/>
        <w:bidi w:val="0"/>
        <w:outlineLvl w:val="9"/>
        <w:rPr>
          <w:rFonts w:ascii="宋体" w:hAnsi="宋体" w:cs="宋体"/>
          <w:highlight w:val="none"/>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rPr>
      </w:pPr>
    </w:p>
    <w:p>
      <w:pPr>
        <w:tabs>
          <w:tab w:val="left" w:pos="432"/>
        </w:tabs>
        <w:kinsoku/>
        <w:wordWrap/>
        <w:overflowPunct/>
        <w:topLinePunct w:val="0"/>
        <w:bidi w:val="0"/>
        <w:outlineLvl w:val="9"/>
        <w:rPr>
          <w:highlight w:val="none"/>
          <w:lang w:val="en-US"/>
        </w:rPr>
      </w:pPr>
    </w:p>
    <w:p>
      <w:pPr>
        <w:kinsoku/>
        <w:wordWrap/>
        <w:overflowPunct/>
        <w:topLinePunct w:val="0"/>
        <w:bidi w:val="0"/>
        <w:outlineLvl w:val="9"/>
        <w:rPr>
          <w:highlight w:val="none"/>
        </w:rPr>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pPr>
        <w:kinsoku/>
        <w:wordWrap/>
        <w:overflowPunct/>
        <w:topLinePunct w:val="0"/>
        <w:bidi w:val="0"/>
        <w:snapToGrid w:val="0"/>
        <w:spacing w:line="360" w:lineRule="auto"/>
        <w:ind w:firstLine="3855" w:firstLineChars="1200"/>
        <w:outlineLvl w:val="9"/>
        <w:rPr>
          <w:rFonts w:ascii="宋体" w:hAnsi="宋体" w:cs="宋体"/>
          <w:b/>
          <w:kern w:val="0"/>
          <w:sz w:val="32"/>
          <w:szCs w:val="32"/>
          <w:highlight w:val="none"/>
        </w:rPr>
      </w:pPr>
    </w:p>
    <w:p>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pPr>
        <w:kinsoku/>
        <w:wordWrap/>
        <w:overflowPunct/>
        <w:topLinePunct w:val="0"/>
        <w:bidi w:val="0"/>
        <w:snapToGrid w:val="0"/>
        <w:spacing w:line="360" w:lineRule="auto"/>
        <w:ind w:firstLine="3855" w:firstLineChars="1200"/>
        <w:outlineLvl w:val="9"/>
        <w:rPr>
          <w:rFonts w:ascii="宋体" w:hAnsi="宋体" w:cs="宋体"/>
          <w:b/>
          <w:sz w:val="32"/>
          <w:szCs w:val="32"/>
          <w:highlight w:val="none"/>
        </w:rPr>
      </w:pPr>
      <w:r>
        <w:rPr>
          <w:rFonts w:hint="eastAsia" w:ascii="宋体" w:hAnsi="宋体" w:cs="宋体"/>
          <w:b/>
          <w:kern w:val="0"/>
          <w:sz w:val="32"/>
          <w:szCs w:val="32"/>
          <w:highlight w:val="none"/>
        </w:rPr>
        <w:t>一、投标</w:t>
      </w:r>
      <w:r>
        <w:rPr>
          <w:rFonts w:hint="eastAsia" w:ascii="宋体" w:hAnsi="宋体" w:cs="宋体"/>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12" w:lineRule="auto"/>
        <w:textAlignment w:val="auto"/>
        <w:outlineLvl w:val="9"/>
        <w:rPr>
          <w:rFonts w:ascii="宋体" w:hAnsi="宋体" w:cs="宋体"/>
          <w:color w:val="auto"/>
          <w:sz w:val="24"/>
          <w:highlight w:val="none"/>
        </w:rPr>
      </w:pPr>
      <w:r>
        <w:rPr>
          <w:rFonts w:hint="eastAsia" w:ascii="宋体" w:hAnsi="宋体" w:cs="宋体"/>
          <w:color w:val="auto"/>
          <w:sz w:val="24"/>
          <w:highlight w:val="none"/>
        </w:rPr>
        <w:t>（采购人）、（采购代理机构）：</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2.1.1承诺函；</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12" w:lineRule="auto"/>
        <w:ind w:left="420" w:leftChars="200"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2.3.2中小企业声明函（如果有）。</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val="en-US" w:eastAsia="zh-CN"/>
        </w:rPr>
        <w:t>3</w:t>
      </w:r>
      <w:r>
        <w:rPr>
          <w:rFonts w:hint="eastAsia" w:ascii="宋体" w:hAnsi="宋体" w:cs="宋体"/>
          <w:sz w:val="24"/>
          <w:highlight w:val="none"/>
        </w:rPr>
        <w:t>在合同约定的期限内完成合同规定的全部义务。</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lang w:val="en-US" w:eastAsia="zh-CN"/>
        </w:rPr>
        <w:t>4.4</w:t>
      </w:r>
      <w:r>
        <w:rPr>
          <w:rFonts w:hint="eastAsia" w:cs="宋体" w:asciiTheme="minorEastAsia" w:hAnsiTheme="minorEastAsia" w:eastAsiaTheme="minorEastAsia"/>
          <w:sz w:val="24"/>
          <w:highlight w:val="none"/>
          <w:lang w:val="en-US" w:eastAsia="zh-CN"/>
        </w:rPr>
        <w:t>按照招标文件的规定，在中标后向采购代理机构一次性支付招标代理服务费。</w:t>
      </w:r>
      <w:r>
        <w:rPr>
          <w:rFonts w:hint="eastAsia" w:ascii="宋体" w:hAnsi="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12" w:lineRule="auto"/>
        <w:ind w:left="210" w:leftChars="100" w:firstLine="480" w:firstLineChars="200"/>
        <w:textAlignment w:val="auto"/>
        <w:outlineLvl w:val="9"/>
        <w:rPr>
          <w:rFonts w:ascii="宋体" w:hAnsi="宋体" w:cs="宋体"/>
          <w:sz w:val="24"/>
          <w:highlight w:val="none"/>
        </w:rPr>
      </w:pPr>
      <w:r>
        <w:rPr>
          <w:rFonts w:hint="eastAsia" w:ascii="宋体" w:hAnsi="宋体" w:cs="宋体"/>
          <w:sz w:val="24"/>
          <w:highlight w:val="none"/>
        </w:rPr>
        <w:t>5、其他补充说明:</w:t>
      </w:r>
      <w:r>
        <w:rPr>
          <w:rFonts w:hint="eastAsia" w:ascii="宋体" w:hAnsi="宋体" w:cs="宋体"/>
          <w:sz w:val="24"/>
          <w:highlight w:val="none"/>
          <w:u w:val="single"/>
        </w:rPr>
        <w:t xml:space="preserve">                                        </w:t>
      </w:r>
      <w:r>
        <w:rPr>
          <w:rFonts w:hint="eastAsia" w:ascii="宋体" w:hAnsi="宋体" w:cs="宋体"/>
          <w:sz w:val="24"/>
          <w:highlight w:val="none"/>
        </w:rPr>
        <w:t>。</w:t>
      </w:r>
    </w:p>
    <w:p>
      <w:pPr>
        <w:keepNext w:val="0"/>
        <w:keepLines w:val="0"/>
        <w:pageBreakBefore w:val="0"/>
        <w:widowControl w:val="0"/>
        <w:kinsoku/>
        <w:wordWrap/>
        <w:overflowPunct/>
        <w:topLinePunct w:val="0"/>
        <w:autoSpaceDE/>
        <w:autoSpaceDN/>
        <w:bidi w:val="0"/>
        <w:adjustRightInd w:val="0"/>
        <w:spacing w:line="312" w:lineRule="auto"/>
        <w:ind w:firstLine="3600" w:firstLineChars="1500"/>
        <w:textAlignment w:val="auto"/>
        <w:outlineLvl w:val="9"/>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 xml:space="preserve">名称（电子签名）：                          </w:t>
      </w:r>
    </w:p>
    <w:p>
      <w:pPr>
        <w:keepNext w:val="0"/>
        <w:keepLines w:val="0"/>
        <w:pageBreakBefore w:val="0"/>
        <w:widowControl w:val="0"/>
        <w:kinsoku/>
        <w:wordWrap/>
        <w:overflowPunct/>
        <w:topLinePunct w:val="0"/>
        <w:autoSpaceDE/>
        <w:autoSpaceDN/>
        <w:bidi w:val="0"/>
        <w:adjustRightInd w:val="0"/>
        <w:spacing w:line="312" w:lineRule="auto"/>
        <w:jc w:val="center"/>
        <w:textAlignment w:val="auto"/>
        <w:outlineLvl w:val="9"/>
        <w:rPr>
          <w:rFonts w:ascii="宋体" w:hAnsi="宋体" w:cs="宋体"/>
          <w:sz w:val="24"/>
          <w:highlight w:val="none"/>
        </w:rPr>
      </w:pPr>
      <w:r>
        <w:rPr>
          <w:rFonts w:hint="eastAsia" w:ascii="宋体" w:hAnsi="宋体" w:cs="宋体"/>
          <w:sz w:val="24"/>
          <w:highlight w:val="none"/>
        </w:rPr>
        <w:t xml:space="preserve">     日期：  年   月   日</w:t>
      </w:r>
    </w:p>
    <w:p>
      <w:pPr>
        <w:widowControl/>
        <w:kinsoku/>
        <w:wordWrap/>
        <w:overflowPunct/>
        <w:topLinePunct w:val="0"/>
        <w:bidi w:val="0"/>
        <w:adjustRightInd/>
        <w:jc w:val="left"/>
        <w:outlineLvl w:val="9"/>
        <w:rPr>
          <w:rFonts w:ascii="宋体" w:hAnsi="宋体" w:cs="宋体"/>
          <w:b/>
          <w:kern w:val="0"/>
          <w:sz w:val="32"/>
          <w:szCs w:val="32"/>
          <w:highlight w:val="none"/>
        </w:rPr>
      </w:pPr>
      <w:r>
        <w:rPr>
          <w:rFonts w:hint="eastAsia" w:ascii="宋体" w:hAnsi="宋体" w:cs="宋体"/>
          <w:sz w:val="24"/>
          <w:highlight w:val="none"/>
        </w:rPr>
        <w:t>注：按本格式和要求提供。</w:t>
      </w:r>
      <w:r>
        <w:rPr>
          <w:rFonts w:ascii="宋体" w:hAnsi="宋体" w:cs="宋体"/>
          <w:b/>
          <w:kern w:val="0"/>
          <w:sz w:val="32"/>
          <w:szCs w:val="32"/>
          <w:highlight w:val="none"/>
        </w:rPr>
        <w:br w:type="page"/>
      </w:r>
    </w:p>
    <w:p>
      <w:pPr>
        <w:kinsoku/>
        <w:wordWrap/>
        <w:overflowPunct/>
        <w:topLinePunct w:val="0"/>
        <w:bidi w:val="0"/>
        <w:jc w:val="center"/>
        <w:outlineLvl w:val="9"/>
        <w:rPr>
          <w:rFonts w:ascii="宋体" w:hAnsi="宋体" w:cs="宋体"/>
          <w:b/>
          <w:kern w:val="0"/>
          <w:sz w:val="32"/>
          <w:szCs w:val="32"/>
          <w:highlight w:val="none"/>
          <w:lang w:val="zh-CN"/>
        </w:rPr>
      </w:pPr>
      <w:r>
        <w:rPr>
          <w:rFonts w:hint="eastAsia" w:ascii="宋体" w:hAnsi="宋体" w:cs="宋体"/>
          <w:b/>
          <w:kern w:val="0"/>
          <w:sz w:val="32"/>
          <w:szCs w:val="32"/>
          <w:highlight w:val="none"/>
          <w:lang w:val="zh-CN"/>
        </w:rPr>
        <w:t>二、授权委托书或法定代表人（单位负责人、自然人本人）身份证明</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                                </w:t>
      </w:r>
    </w:p>
    <w:p>
      <w:pPr>
        <w:kinsoku/>
        <w:wordWrap/>
        <w:overflowPunct/>
        <w:topLinePunct w:val="0"/>
        <w:bidi w:val="0"/>
        <w:snapToGrid w:val="0"/>
        <w:spacing w:line="360" w:lineRule="auto"/>
        <w:ind w:firstLine="2872" w:firstLineChars="894"/>
        <w:outlineLvl w:val="9"/>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kinsoku/>
        <w:wordWrap/>
        <w:overflowPunct/>
        <w:topLinePunct w:val="0"/>
        <w:bidi w:val="0"/>
        <w:snapToGrid w:val="0"/>
        <w:spacing w:line="360" w:lineRule="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kinsoku/>
        <w:wordWrap/>
        <w:overflowPunct/>
        <w:topLinePunct w:val="0"/>
        <w:bidi w:val="0"/>
        <w:snapToGrid w:val="0"/>
        <w:spacing w:line="360" w:lineRule="auto"/>
        <w:outlineLvl w:val="9"/>
        <w:rPr>
          <w:rFonts w:ascii="宋体" w:hAnsi="宋体" w:cs="宋体"/>
          <w:color w:val="auto"/>
          <w:sz w:val="24"/>
          <w:highlight w:val="none"/>
        </w:rPr>
      </w:pPr>
    </w:p>
    <w:p>
      <w:pPr>
        <w:kinsoku/>
        <w:wordWrap/>
        <w:overflowPunct/>
        <w:topLinePunct w:val="0"/>
        <w:bidi w:val="0"/>
        <w:snapToGrid w:val="0"/>
        <w:spacing w:line="360" w:lineRule="auto"/>
        <w:outlineLvl w:val="9"/>
        <w:rPr>
          <w:rFonts w:ascii="宋体" w:hAnsi="宋体" w:cs="宋体"/>
          <w:sz w:val="24"/>
          <w:highlight w:val="none"/>
        </w:rPr>
      </w:pPr>
    </w:p>
    <w:p>
      <w:pPr>
        <w:kinsoku/>
        <w:wordWrap/>
        <w:overflowPunct/>
        <w:topLinePunct w:val="0"/>
        <w:bidi w:val="0"/>
        <w:snapToGrid w:val="0"/>
        <w:spacing w:line="360" w:lineRule="auto"/>
        <w:outlineLvl w:val="9"/>
        <w:rPr>
          <w:rFonts w:ascii="宋体" w:hAnsi="宋体" w:cs="宋体"/>
          <w:sz w:val="24"/>
          <w:highlight w:val="none"/>
        </w:rPr>
      </w:pPr>
    </w:p>
    <w:p>
      <w:pPr>
        <w:kinsoku/>
        <w:wordWrap/>
        <w:overflowPunct/>
        <w:topLinePunct w:val="0"/>
        <w:bidi w:val="0"/>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576"/>
        <w:outlineLvl w:val="9"/>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outlineLvl w:val="9"/>
        <w:rPr>
          <w:rFonts w:ascii="宋体" w:hAnsi="宋体" w:cs="宋体"/>
          <w:highlight w:val="none"/>
        </w:rPr>
      </w:pPr>
    </w:p>
    <w:p>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kinsoku/>
        <w:wordWrap/>
        <w:overflowPunct/>
        <w:topLinePunct w:val="0"/>
        <w:bidi w:val="0"/>
        <w:snapToGrid w:val="0"/>
        <w:spacing w:line="360" w:lineRule="auto"/>
        <w:ind w:firstLine="5040" w:firstLineChars="2100"/>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kinsoku/>
        <w:wordWrap/>
        <w:overflowPunct/>
        <w:topLinePunct w:val="0"/>
        <w:bidi w:val="0"/>
        <w:snapToGrid w:val="0"/>
        <w:spacing w:line="360" w:lineRule="auto"/>
        <w:ind w:firstLine="5760" w:firstLineChars="2400"/>
        <w:outlineLvl w:val="9"/>
        <w:rPr>
          <w:rFonts w:ascii="宋体" w:hAnsi="宋体" w:cs="宋体"/>
          <w:highlight w:val="none"/>
        </w:rPr>
      </w:pPr>
      <w:r>
        <w:rPr>
          <w:rFonts w:hint="eastAsia" w:ascii="宋体" w:hAnsi="宋体" w:cs="宋体"/>
          <w:kern w:val="0"/>
          <w:sz w:val="24"/>
          <w:highlight w:val="none"/>
          <w:lang w:val="zh-CN"/>
        </w:rPr>
        <w:t>……</w:t>
      </w:r>
    </w:p>
    <w:p>
      <w:pPr>
        <w:kinsoku/>
        <w:wordWrap/>
        <w:overflowPunct/>
        <w:topLinePunct w:val="0"/>
        <w:bidi w:val="0"/>
        <w:snapToGrid w:val="0"/>
        <w:spacing w:line="360" w:lineRule="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kinsoku/>
        <w:wordWrap/>
        <w:overflowPunct/>
        <w:topLinePunct w:val="0"/>
        <w:autoSpaceDE w:val="0"/>
        <w:autoSpaceDN w:val="0"/>
        <w:bidi w:val="0"/>
        <w:spacing w:line="360" w:lineRule="auto"/>
        <w:jc w:val="center"/>
        <w:outlineLvl w:val="9"/>
        <w:rPr>
          <w:rFonts w:hint="eastAsia" w:ascii="宋体" w:hAnsi="宋体" w:cs="宋体"/>
          <w:b/>
          <w:kern w:val="0"/>
          <w:sz w:val="32"/>
          <w:szCs w:val="32"/>
          <w:highlight w:val="none"/>
          <w:lang w:val="zh-CN"/>
        </w:rPr>
      </w:pPr>
    </w:p>
    <w:p>
      <w:pPr>
        <w:kinsoku/>
        <w:wordWrap/>
        <w:overflowPunct/>
        <w:topLinePunct w:val="0"/>
        <w:autoSpaceDE w:val="0"/>
        <w:autoSpaceDN w:val="0"/>
        <w:bidi w:val="0"/>
        <w:spacing w:line="360" w:lineRule="auto"/>
        <w:jc w:val="center"/>
        <w:outlineLvl w:val="9"/>
        <w:rPr>
          <w:rFonts w:ascii="宋体" w:hAnsi="宋体" w:cs="宋体"/>
          <w:b/>
          <w:sz w:val="24"/>
          <w:highlight w:val="none"/>
        </w:rPr>
      </w:pPr>
      <w:r>
        <w:rPr>
          <w:rFonts w:hint="eastAsia" w:ascii="宋体" w:hAnsi="宋体" w:cs="宋体"/>
          <w:b/>
          <w:kern w:val="0"/>
          <w:sz w:val="32"/>
          <w:szCs w:val="32"/>
          <w:highlight w:val="none"/>
          <w:lang w:val="zh-CN"/>
        </w:rPr>
        <w:t>法定代表人、单位负责人或自然人本人</w:t>
      </w:r>
      <w:r>
        <w:rPr>
          <w:rFonts w:hint="eastAsia" w:ascii="宋体" w:hAnsi="宋体" w:cs="宋体"/>
          <w:b/>
          <w:sz w:val="30"/>
          <w:szCs w:val="30"/>
          <w:highlight w:val="none"/>
        </w:rPr>
        <w:t>的身份证明（适用于法定代表人、单位负责人或者自然人本人代表</w:t>
      </w:r>
      <w:r>
        <w:rPr>
          <w:rFonts w:hint="eastAsia" w:ascii="宋体" w:hAnsi="宋体" w:cs="宋体"/>
          <w:b/>
          <w:sz w:val="30"/>
          <w:szCs w:val="30"/>
          <w:highlight w:val="none"/>
          <w:lang w:eastAsia="zh-CN"/>
        </w:rPr>
        <w:t>供应商</w:t>
      </w:r>
      <w:r>
        <w:rPr>
          <w:rFonts w:hint="eastAsia" w:ascii="宋体" w:hAnsi="宋体" w:cs="宋体"/>
          <w:b/>
          <w:sz w:val="30"/>
          <w:szCs w:val="30"/>
          <w:highlight w:val="none"/>
        </w:rPr>
        <w:t>参加投标）</w:t>
      </w:r>
    </w:p>
    <w:p>
      <w:pPr>
        <w:pStyle w:val="152"/>
        <w:kinsoku/>
        <w:wordWrap/>
        <w:overflowPunct/>
        <w:topLinePunct w:val="0"/>
        <w:bidi w:val="0"/>
        <w:spacing w:line="360" w:lineRule="auto"/>
        <w:outlineLvl w:val="9"/>
        <w:rPr>
          <w:rFonts w:hAnsi="宋体" w:cs="宋体"/>
          <w:bCs/>
          <w:sz w:val="24"/>
          <w:highlight w:val="none"/>
        </w:rPr>
      </w:pPr>
      <w:r>
        <w:rPr>
          <w:rFonts w:hint="eastAsia" w:hAnsi="宋体" w:cs="宋体"/>
          <w:bCs/>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2"/>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highlight w:val="none"/>
              </w:rPr>
            </w:pPr>
            <w:r>
              <w:rPr>
                <w:rFonts w:hint="eastAsia" w:hAnsi="宋体" w:cs="宋体"/>
                <w:bCs/>
                <w:sz w:val="24"/>
                <w:highlight w:val="none"/>
              </w:rPr>
              <w:t>正面：                                 反面：</w:t>
            </w:r>
          </w:p>
          <w:p>
            <w:pPr>
              <w:pStyle w:val="152"/>
              <w:keepNext w:val="0"/>
              <w:keepLines w:val="0"/>
              <w:suppressLineNumbers w:val="0"/>
              <w:kinsoku/>
              <w:wordWrap/>
              <w:overflowPunct/>
              <w:topLinePunct w:val="0"/>
              <w:bidi w:val="0"/>
              <w:adjustRightInd w:val="0"/>
              <w:spacing w:before="0" w:beforeAutospacing="0" w:after="0" w:afterAutospacing="0" w:line="360" w:lineRule="auto"/>
              <w:ind w:left="0" w:right="0"/>
              <w:outlineLvl w:val="9"/>
              <w:rPr>
                <w:rFonts w:hint="default" w:hAnsi="宋体" w:cs="宋体"/>
                <w:bCs/>
                <w:sz w:val="24"/>
                <w:highlight w:val="none"/>
              </w:rPr>
            </w:pPr>
          </w:p>
        </w:tc>
      </w:tr>
    </w:tbl>
    <w:p>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kinsoku/>
        <w:wordWrap/>
        <w:overflowPunct/>
        <w:topLinePunct w:val="0"/>
        <w:bidi w:val="0"/>
        <w:snapToGrid w:val="0"/>
        <w:spacing w:line="360" w:lineRule="auto"/>
        <w:ind w:firstLine="576"/>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供应商名称(电子签名)：                              </w:t>
      </w:r>
    </w:p>
    <w:p>
      <w:pPr>
        <w:kinsoku/>
        <w:wordWrap/>
        <w:overflowPunct/>
        <w:topLinePunct w:val="0"/>
        <w:bidi w:val="0"/>
        <w:spacing w:line="360" w:lineRule="auto"/>
        <w:jc w:val="center"/>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  年  月  日</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outlineLvl w:val="9"/>
        <w:rPr>
          <w:rFonts w:ascii="宋体" w:hAnsi="宋体" w:cs="宋体"/>
          <w:b/>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napToGrid w:val="0"/>
        <w:spacing w:line="360" w:lineRule="auto"/>
        <w:jc w:val="center"/>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pPr>
        <w:widowControl/>
        <w:kinsoku/>
        <w:wordWrap/>
        <w:overflowPunct/>
        <w:topLinePunct w:val="0"/>
        <w:bidi w:val="0"/>
        <w:spacing w:line="360" w:lineRule="auto"/>
        <w:ind w:firstLine="120" w:firstLineChars="50"/>
        <w:jc w:val="left"/>
        <w:outlineLvl w:val="9"/>
        <w:rPr>
          <w:rFonts w:ascii="宋体" w:hAnsi="宋体" w:cs="宋体"/>
          <w:sz w:val="24"/>
          <w:highlight w:val="none"/>
        </w:rPr>
      </w:pPr>
      <w:bookmarkStart w:id="515" w:name="_Hlk101169080"/>
      <w:r>
        <w:rPr>
          <w:rFonts w:hint="eastAsia" w:ascii="宋体" w:hAnsi="宋体" w:cs="宋体"/>
          <w:sz w:val="24"/>
          <w:highlight w:val="none"/>
        </w:rPr>
        <w:t>[</w:t>
      </w:r>
      <w:r>
        <w:rPr>
          <w:rFonts w:hint="eastAsia" w:ascii="宋体" w:hAnsi="宋体" w:cs="宋体"/>
          <w:b/>
          <w:sz w:val="24"/>
          <w:highlight w:val="none"/>
        </w:rPr>
        <w:t>中标后以分包方式履行合同的，提供分包意向协议(附件6</w:t>
      </w:r>
      <w:r>
        <w:rPr>
          <w:rFonts w:ascii="宋体" w:hAnsi="宋体" w:cs="宋体"/>
          <w:b/>
          <w:sz w:val="24"/>
          <w:highlight w:val="none"/>
        </w:rPr>
        <w:t>)</w:t>
      </w:r>
      <w:r>
        <w:rPr>
          <w:rFonts w:hint="eastAsia" w:ascii="宋体" w:hAnsi="宋体" w:cs="宋体"/>
          <w:b/>
          <w:sz w:val="24"/>
          <w:highlight w:val="none"/>
        </w:rPr>
        <w:t>；采购人不同意分包或者</w:t>
      </w:r>
      <w:r>
        <w:rPr>
          <w:rFonts w:hint="eastAsia" w:ascii="宋体" w:hAnsi="宋体" w:cs="宋体"/>
          <w:b/>
          <w:sz w:val="24"/>
          <w:highlight w:val="none"/>
          <w:lang w:eastAsia="zh-CN"/>
        </w:rPr>
        <w:t>供应商</w:t>
      </w:r>
      <w:r>
        <w:rPr>
          <w:rFonts w:hint="eastAsia" w:ascii="宋体" w:hAnsi="宋体" w:cs="宋体"/>
          <w:b/>
          <w:sz w:val="24"/>
          <w:highlight w:val="none"/>
        </w:rPr>
        <w:t>中标后不以分包方式履行合同的，则不需要提供。</w:t>
      </w:r>
      <w:r>
        <w:rPr>
          <w:rFonts w:hint="eastAsia" w:ascii="宋体" w:hAnsi="宋体" w:cs="宋体"/>
          <w:sz w:val="24"/>
          <w:highlight w:val="none"/>
        </w:rPr>
        <w:t>]</w:t>
      </w:r>
    </w:p>
    <w:bookmarkEnd w:id="515"/>
    <w:p>
      <w:pPr>
        <w:kinsoku/>
        <w:wordWrap/>
        <w:overflowPunct/>
        <w:topLinePunct w:val="0"/>
        <w:bidi w:val="0"/>
        <w:snapToGrid w:val="0"/>
        <w:spacing w:line="360" w:lineRule="auto"/>
        <w:outlineLvl w:val="9"/>
        <w:rPr>
          <w:rFonts w:ascii="宋体" w:hAnsi="宋体" w:cs="宋体"/>
          <w:kern w:val="0"/>
          <w:sz w:val="24"/>
          <w:highlight w:val="none"/>
        </w:rPr>
      </w:pPr>
    </w:p>
    <w:p>
      <w:pPr>
        <w:kinsoku/>
        <w:wordWrap/>
        <w:overflowPunct/>
        <w:topLinePunct w:val="0"/>
        <w:bidi w:val="0"/>
        <w:jc w:val="center"/>
        <w:outlineLvl w:val="9"/>
        <w:rPr>
          <w:rFonts w:ascii="宋体" w:hAnsi="宋体" w:cs="宋体"/>
          <w:b/>
          <w:kern w:val="0"/>
          <w:sz w:val="32"/>
          <w:szCs w:val="32"/>
          <w:highlight w:val="none"/>
        </w:rPr>
      </w:pPr>
    </w:p>
    <w:p>
      <w:pPr>
        <w:tabs>
          <w:tab w:val="left" w:pos="432"/>
        </w:tabs>
        <w:kinsoku/>
        <w:wordWrap/>
        <w:overflowPunct/>
        <w:topLinePunct w:val="0"/>
        <w:bidi w:val="0"/>
        <w:outlineLvl w:val="9"/>
        <w:rPr>
          <w:highlight w:val="none"/>
          <w:lang w:val="en-US"/>
        </w:rPr>
      </w:pPr>
    </w:p>
    <w:p>
      <w:pPr>
        <w:kinsoku/>
        <w:wordWrap/>
        <w:overflowPunct/>
        <w:topLinePunct w:val="0"/>
        <w:bidi w:val="0"/>
        <w:outlineLvl w:val="9"/>
        <w:rPr>
          <w:highlight w:val="none"/>
        </w:rPr>
      </w:pPr>
    </w:p>
    <w:p>
      <w:pPr>
        <w:tabs>
          <w:tab w:val="left" w:pos="432"/>
        </w:tabs>
        <w:kinsoku/>
        <w:wordWrap/>
        <w:overflowPunct/>
        <w:topLinePunct w:val="0"/>
        <w:bidi w:val="0"/>
        <w:outlineLvl w:val="9"/>
        <w:rPr>
          <w:highlight w:val="none"/>
          <w:lang w:val="en-US"/>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四、符合性审查资料</w:t>
      </w:r>
    </w:p>
    <w:p>
      <w:pPr>
        <w:kinsoku/>
        <w:wordWrap/>
        <w:overflowPunct/>
        <w:topLinePunct w:val="0"/>
        <w:bidi w:val="0"/>
        <w:jc w:val="center"/>
        <w:outlineLvl w:val="9"/>
        <w:rPr>
          <w:rFonts w:ascii="宋体" w:hAnsi="宋体" w:cs="宋体"/>
          <w:b/>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0"/>
        <w:gridCol w:w="310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highlight w:val="none"/>
              </w:rPr>
            </w:pPr>
            <w:r>
              <w:rPr>
                <w:rFonts w:hint="eastAsia" w:ascii="宋体" w:hAnsi="宋体" w:cs="宋体"/>
                <w:b/>
                <w:sz w:val="24"/>
                <w:highlight w:val="none"/>
              </w:rPr>
              <w:t>序号</w:t>
            </w:r>
          </w:p>
        </w:tc>
        <w:tc>
          <w:tcPr>
            <w:tcW w:w="4440"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highlight w:val="none"/>
              </w:rPr>
            </w:pPr>
            <w:r>
              <w:rPr>
                <w:rFonts w:hint="eastAsia" w:ascii="宋体" w:hAnsi="宋体" w:cs="宋体"/>
                <w:b/>
                <w:sz w:val="24"/>
                <w:highlight w:val="none"/>
              </w:rPr>
              <w:t>实质性要求</w:t>
            </w:r>
          </w:p>
        </w:tc>
        <w:tc>
          <w:tcPr>
            <w:tcW w:w="3102"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highlight w:val="none"/>
              </w:rPr>
            </w:pPr>
            <w:r>
              <w:rPr>
                <w:rFonts w:hint="eastAsia" w:ascii="宋体" w:hAnsi="宋体" w:cs="宋体"/>
                <w:b/>
                <w:sz w:val="24"/>
                <w:highlight w:val="none"/>
              </w:rPr>
              <w:t>需要提供的符合性审查资料</w:t>
            </w:r>
          </w:p>
        </w:tc>
        <w:tc>
          <w:tcPr>
            <w:tcW w:w="1418" w:type="dxa"/>
            <w:vAlign w:val="center"/>
          </w:tcPr>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highlight w:val="none"/>
              </w:rPr>
            </w:pPr>
            <w:r>
              <w:rPr>
                <w:rFonts w:hint="eastAsia" w:ascii="宋体" w:hAnsi="宋体" w:cs="宋体"/>
                <w:b/>
                <w:sz w:val="24"/>
                <w:highlight w:val="none"/>
              </w:rPr>
              <w:t>投标文件中的</w:t>
            </w:r>
          </w:p>
          <w:p>
            <w:pPr>
              <w:keepNext w:val="0"/>
              <w:keepLines w:val="0"/>
              <w:suppressLineNumbers w:val="0"/>
              <w:kinsoku/>
              <w:wordWrap/>
              <w:overflowPunct/>
              <w:topLinePunct w:val="0"/>
              <w:bidi w:val="0"/>
              <w:snapToGrid w:val="0"/>
              <w:spacing w:before="0" w:beforeAutospacing="0" w:after="0" w:afterAutospacing="0" w:line="240" w:lineRule="atLeast"/>
              <w:ind w:left="0" w:right="0"/>
              <w:jc w:val="center"/>
              <w:outlineLvl w:val="9"/>
              <w:rPr>
                <w:rFonts w:hint="default" w:ascii="宋体" w:hAnsi="宋体" w:cs="宋体"/>
                <w:b/>
                <w:sz w:val="24"/>
                <w:highlight w:val="none"/>
              </w:rPr>
            </w:pPr>
            <w:r>
              <w:rPr>
                <w:rFonts w:hint="eastAsia" w:ascii="宋体" w:hAnsi="宋体" w:cs="宋体"/>
                <w:b/>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highlight w:val="none"/>
              </w:rPr>
            </w:pPr>
            <w:r>
              <w:rPr>
                <w:rFonts w:hint="eastAsia" w:ascii="宋体" w:hAnsi="宋体" w:cs="宋体"/>
                <w:sz w:val="24"/>
                <w:highlight w:val="none"/>
              </w:rPr>
              <w:t>1</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highlight w:val="none"/>
              </w:rPr>
            </w:pPr>
            <w:r>
              <w:rPr>
                <w:rFonts w:hint="eastAsia" w:ascii="宋体" w:hAnsi="宋体" w:cs="宋体"/>
                <w:sz w:val="24"/>
                <w:highlight w:val="none"/>
              </w:rPr>
              <w:t>投标文件按照招标文件要求签署、盖章。</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highlight w:val="none"/>
              </w:rPr>
            </w:pPr>
            <w:r>
              <w:rPr>
                <w:rFonts w:hint="eastAsia" w:ascii="宋体" w:hAnsi="宋体" w:cs="宋体"/>
                <w:sz w:val="24"/>
                <w:highlight w:val="none"/>
              </w:rPr>
              <w:t>需要使用电子签名或者签字盖章的投标文件的组成部分</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sz w:val="24"/>
                <w:highlight w:val="none"/>
              </w:rPr>
            </w:pPr>
            <w:r>
              <w:rPr>
                <w:rFonts w:hint="eastAsia" w:ascii="宋体" w:hAnsi="宋体" w:cs="宋体"/>
                <w:sz w:val="24"/>
                <w:highlight w:val="none"/>
              </w:rPr>
              <w:t>见投标文件</w:t>
            </w:r>
          </w:p>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highlight w:val="none"/>
              </w:rPr>
            </w:pPr>
            <w:r>
              <w:rPr>
                <w:rFonts w:hint="eastAsia" w:ascii="宋体" w:hAnsi="宋体" w:cs="宋体"/>
                <w:sz w:val="24"/>
                <w:highlight w:val="none"/>
              </w:rPr>
              <w:t>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highlight w:val="none"/>
              </w:rPr>
            </w:pPr>
            <w:r>
              <w:rPr>
                <w:rFonts w:hint="eastAsia" w:ascii="宋体" w:hAnsi="宋体" w:cs="宋体"/>
                <w:sz w:val="24"/>
                <w:highlight w:val="none"/>
              </w:rPr>
              <w:t>2</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highlight w:val="none"/>
              </w:rPr>
            </w:pPr>
            <w:r>
              <w:rPr>
                <w:rFonts w:hint="eastAsia" w:ascii="宋体" w:hAnsi="宋体" w:cs="宋体"/>
                <w:sz w:val="24"/>
                <w:highlight w:val="none"/>
              </w:rPr>
              <w:t>投标文件中承诺的投标有效期不少于招标文件中载明的投标有效期。</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highlight w:val="none"/>
              </w:rPr>
            </w:pPr>
            <w:r>
              <w:rPr>
                <w:rFonts w:hint="eastAsia" w:ascii="宋体" w:hAnsi="宋体" w:cs="宋体"/>
                <w:sz w:val="24"/>
                <w:highlight w:val="none"/>
              </w:rPr>
              <w:t>投标函</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sz w:val="24"/>
                <w:highlight w:val="none"/>
              </w:rPr>
            </w:pPr>
            <w:r>
              <w:rPr>
                <w:rFonts w:hint="eastAsia" w:ascii="宋体" w:hAnsi="宋体" w:cs="宋体"/>
                <w:sz w:val="24"/>
                <w:highlight w:val="none"/>
              </w:rPr>
              <w:t>3</w:t>
            </w:r>
          </w:p>
        </w:tc>
        <w:tc>
          <w:tcPr>
            <w:tcW w:w="4440" w:type="dxa"/>
            <w:vAlign w:val="center"/>
          </w:tcPr>
          <w:p>
            <w:pPr>
              <w:keepNext w:val="0"/>
              <w:keepLines w:val="0"/>
              <w:suppressLineNumbers w:val="0"/>
              <w:kinsoku/>
              <w:wordWrap/>
              <w:overflowPunct/>
              <w:topLinePunct w:val="0"/>
              <w:bidi w:val="0"/>
              <w:spacing w:before="0" w:beforeAutospacing="0" w:after="0" w:afterAutospacing="0" w:line="360" w:lineRule="auto"/>
              <w:ind w:left="0" w:right="0"/>
              <w:jc w:val="both"/>
              <w:outlineLvl w:val="9"/>
              <w:rPr>
                <w:rFonts w:hint="default" w:ascii="宋体" w:hAnsi="宋体" w:cs="宋体"/>
                <w:sz w:val="24"/>
                <w:highlight w:val="none"/>
              </w:rPr>
            </w:pPr>
            <w:r>
              <w:rPr>
                <w:rFonts w:hint="eastAsia" w:ascii="宋体" w:hAnsi="宋体" w:cs="宋体"/>
                <w:sz w:val="24"/>
                <w:highlight w:val="none"/>
              </w:rPr>
              <w:t>投标文件满足招标文件的其它实质性要求。</w:t>
            </w:r>
          </w:p>
        </w:tc>
        <w:tc>
          <w:tcPr>
            <w:tcW w:w="3102" w:type="dxa"/>
            <w:vAlign w:val="center"/>
          </w:tcPr>
          <w:p>
            <w:pPr>
              <w:keepNext w:val="0"/>
              <w:keepLines w:val="0"/>
              <w:suppressLineNumbers w:val="0"/>
              <w:kinsoku/>
              <w:wordWrap/>
              <w:overflowPunct/>
              <w:topLinePunct w:val="0"/>
              <w:bidi w:val="0"/>
              <w:spacing w:before="0" w:beforeAutospacing="0" w:after="0" w:afterAutospacing="0"/>
              <w:ind w:left="0" w:right="0"/>
              <w:outlineLvl w:val="9"/>
              <w:rPr>
                <w:rFonts w:hint="default" w:ascii="宋体" w:hAnsi="宋体" w:cs="宋体"/>
                <w:sz w:val="24"/>
                <w:highlight w:val="none"/>
              </w:rPr>
            </w:pPr>
            <w:r>
              <w:rPr>
                <w:rFonts w:hint="eastAsia" w:ascii="宋体" w:hAnsi="宋体" w:cs="宋体"/>
                <w:kern w:val="0"/>
                <w:sz w:val="24"/>
                <w:highlight w:val="none"/>
              </w:rPr>
              <w:t>招标文件其它实质性要求相应的材料（“</w:t>
            </w:r>
            <w:r>
              <w:rPr>
                <w:rFonts w:hint="eastAsia" w:ascii="宋体" w:hAnsi="宋体" w:cs="宋体"/>
                <w:kern w:val="0"/>
                <w:sz w:val="24"/>
                <w:highlight w:val="none"/>
                <w:lang w:eastAsia="zh-CN"/>
              </w:rPr>
              <w:t>★</w:t>
            </w:r>
            <w:r>
              <w:rPr>
                <w:rFonts w:hint="eastAsia" w:ascii="宋体" w:hAnsi="宋体" w:cs="宋体"/>
                <w:kern w:val="0"/>
                <w:sz w:val="24"/>
                <w:highlight w:val="none"/>
              </w:rPr>
              <w:t>” 系指实质性要求条款，招标文件无其它实质性要求的，无需提供）</w:t>
            </w:r>
          </w:p>
        </w:tc>
        <w:tc>
          <w:tcPr>
            <w:tcW w:w="1418" w:type="dxa"/>
            <w:vAlign w:val="center"/>
          </w:tcPr>
          <w:p>
            <w:pPr>
              <w:keepNext w:val="0"/>
              <w:keepLines w:val="0"/>
              <w:suppressLineNumbers w:val="0"/>
              <w:kinsoku/>
              <w:wordWrap/>
              <w:overflowPunct/>
              <w:topLinePunct w:val="0"/>
              <w:bidi w:val="0"/>
              <w:spacing w:before="0" w:beforeAutospacing="0" w:after="0" w:afterAutospacing="0"/>
              <w:ind w:left="0" w:right="0"/>
              <w:jc w:val="both"/>
              <w:outlineLvl w:val="9"/>
              <w:rPr>
                <w:rFonts w:hint="default" w:ascii="宋体" w:hAnsi="宋体" w:cs="宋体"/>
                <w:highlight w:val="none"/>
              </w:rPr>
            </w:pPr>
            <w:r>
              <w:rPr>
                <w:rFonts w:hint="eastAsia" w:ascii="宋体" w:hAnsi="宋体" w:cs="宋体"/>
                <w:sz w:val="24"/>
                <w:highlight w:val="none"/>
              </w:rPr>
              <w:t>见投标文件第</w:t>
            </w:r>
            <w:r>
              <w:rPr>
                <w:rFonts w:hint="eastAsia" w:ascii="宋体" w:hAnsi="宋体" w:cs="宋体"/>
                <w:sz w:val="24"/>
                <w:highlight w:val="none"/>
                <w:u w:val="single"/>
              </w:rPr>
              <w:t xml:space="preserve">  </w:t>
            </w:r>
            <w:r>
              <w:rPr>
                <w:rFonts w:hint="eastAsia" w:ascii="宋体" w:hAnsi="宋体" w:cs="宋体"/>
                <w:sz w:val="24"/>
                <w:highlight w:val="none"/>
              </w:rPr>
              <w:t>页</w:t>
            </w:r>
          </w:p>
        </w:tc>
      </w:tr>
    </w:tbl>
    <w:p>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 xml:space="preserve">            </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pPr>
        <w:kinsoku/>
        <w:wordWrap/>
        <w:overflowPunct/>
        <w:topLinePunct w:val="0"/>
        <w:bidi w:val="0"/>
        <w:jc w:val="center"/>
        <w:outlineLvl w:val="9"/>
        <w:rPr>
          <w:rFonts w:ascii="宋体" w:hAnsi="宋体" w:cs="宋体"/>
          <w:highlight w:val="none"/>
        </w:rPr>
      </w:pPr>
      <w:r>
        <w:rPr>
          <w:rFonts w:hint="eastAsia" w:ascii="宋体" w:hAnsi="宋体" w:cs="宋体"/>
          <w:b/>
          <w:kern w:val="0"/>
          <w:sz w:val="32"/>
          <w:szCs w:val="32"/>
          <w:highlight w:val="none"/>
        </w:rPr>
        <w:t>五、评标标准相应的商务技术资料</w:t>
      </w:r>
    </w:p>
    <w:p>
      <w:pPr>
        <w:kinsoku/>
        <w:wordWrap/>
        <w:overflowPunct/>
        <w:topLinePunct w:val="0"/>
        <w:bidi w:val="0"/>
        <w:snapToGrid w:val="0"/>
        <w:spacing w:line="360" w:lineRule="auto"/>
        <w:jc w:val="left"/>
        <w:outlineLvl w:val="9"/>
        <w:rPr>
          <w:rFonts w:ascii="宋体" w:hAnsi="宋体" w:cs="宋体"/>
          <w:b/>
          <w:sz w:val="24"/>
          <w:highlight w:val="none"/>
        </w:rPr>
      </w:pPr>
      <w:r>
        <w:rPr>
          <w:rFonts w:hint="eastAsia" w:ascii="宋体" w:hAnsi="宋体" w:cs="宋体"/>
          <w:b/>
          <w:sz w:val="24"/>
          <w:highlight w:val="none"/>
        </w:rPr>
        <w:t>（按招标文件第四部分评标办法前附表中“投标文件中评标标准相应的商务技术资料目录”提供资料。）</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highlight w:val="none"/>
              </w:rPr>
            </w:pPr>
            <w:r>
              <w:rPr>
                <w:rFonts w:hint="eastAsia" w:ascii="宋体" w:hAnsi="宋体" w:cs="宋体"/>
                <w:b/>
                <w:bCs/>
                <w:sz w:val="24"/>
                <w:highlight w:val="none"/>
              </w:rPr>
              <w:t>序号</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highlight w:val="none"/>
              </w:rPr>
            </w:pPr>
            <w:r>
              <w:rPr>
                <w:rFonts w:hint="eastAsia" w:ascii="宋体" w:hAnsi="宋体" w:cs="宋体"/>
                <w:b/>
                <w:bCs/>
                <w:sz w:val="24"/>
                <w:highlight w:val="none"/>
              </w:rPr>
              <w:t>招标文件章节及具体内容</w:t>
            </w: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highlight w:val="none"/>
              </w:rPr>
            </w:pPr>
            <w:r>
              <w:rPr>
                <w:rFonts w:hint="eastAsia" w:ascii="宋体" w:hAnsi="宋体" w:cs="宋体"/>
                <w:b/>
                <w:bCs/>
                <w:sz w:val="24"/>
                <w:highlight w:val="none"/>
              </w:rPr>
              <w:t>投标文件章节及具体内容</w:t>
            </w: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highlight w:val="none"/>
              </w:rPr>
            </w:pPr>
            <w:r>
              <w:rPr>
                <w:rFonts w:hint="eastAsia" w:ascii="宋体" w:hAnsi="宋体" w:cs="宋体"/>
                <w:kern w:val="0"/>
                <w:sz w:val="24"/>
                <w:highlight w:val="none"/>
              </w:rPr>
              <w:t>1</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highlight w:val="none"/>
              </w:rPr>
            </w:pPr>
            <w:r>
              <w:rPr>
                <w:rFonts w:hint="eastAsia" w:ascii="宋体" w:hAnsi="宋体" w:cs="宋体"/>
                <w:kern w:val="0"/>
                <w:sz w:val="24"/>
                <w:highlight w:val="none"/>
              </w:rPr>
              <w:t>2</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kern w:val="0"/>
                <w:sz w:val="24"/>
                <w:highlight w:val="none"/>
              </w:rPr>
            </w:pPr>
            <w:r>
              <w:rPr>
                <w:rFonts w:hint="eastAsia" w:ascii="宋体" w:hAnsi="宋体" w:cs="宋体"/>
                <w:kern w:val="0"/>
                <w:sz w:val="24"/>
                <w:highlight w:val="none"/>
              </w:rPr>
              <w:t>……</w:t>
            </w:r>
          </w:p>
        </w:tc>
        <w:tc>
          <w:tcPr>
            <w:tcW w:w="3683"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354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c>
          <w:tcPr>
            <w:tcW w:w="1276" w:type="dxa"/>
          </w:tcPr>
          <w:p>
            <w:pPr>
              <w:keepNext w:val="0"/>
              <w:keepLines w:val="0"/>
              <w:suppressLineNumbers w:val="0"/>
              <w:kinsoku/>
              <w:wordWrap/>
              <w:overflowPunct/>
              <w:topLinePunct w:val="0"/>
              <w:bidi w:val="0"/>
              <w:spacing w:before="0" w:beforeAutospacing="0" w:after="0" w:afterAutospacing="0"/>
              <w:ind w:left="0" w:right="0"/>
              <w:jc w:val="center"/>
              <w:outlineLvl w:val="9"/>
              <w:rPr>
                <w:rFonts w:hint="default" w:ascii="宋体" w:hAnsi="宋体" w:cs="宋体"/>
                <w:b/>
                <w:kern w:val="0"/>
                <w:sz w:val="32"/>
                <w:szCs w:val="32"/>
                <w:highlight w:val="none"/>
              </w:rPr>
            </w:pPr>
          </w:p>
        </w:tc>
      </w:tr>
    </w:tbl>
    <w:p>
      <w:pPr>
        <w:kinsoku/>
        <w:wordWrap/>
        <w:overflowPunct/>
        <w:topLinePunct w:val="0"/>
        <w:bidi w:val="0"/>
        <w:jc w:val="left"/>
        <w:outlineLvl w:val="9"/>
        <w:rPr>
          <w:rFonts w:ascii="宋体" w:hAnsi="宋体" w:cs="宋体"/>
          <w:kern w:val="0"/>
          <w:sz w:val="24"/>
          <w:highlight w:val="none"/>
        </w:rPr>
      </w:pPr>
      <w:r>
        <w:rPr>
          <w:rFonts w:hint="eastAsia" w:ascii="宋体" w:hAnsi="宋体" w:cs="宋体"/>
          <w:kern w:val="0"/>
          <w:sz w:val="24"/>
          <w:highlight w:val="none"/>
          <w:lang w:eastAsia="zh-CN"/>
        </w:rPr>
        <w:t>供应商</w:t>
      </w:r>
      <w:r>
        <w:rPr>
          <w:rFonts w:hint="eastAsia" w:ascii="宋体" w:hAnsi="宋体" w:cs="宋体"/>
          <w:kern w:val="0"/>
          <w:sz w:val="24"/>
          <w:highlight w:val="none"/>
        </w:rPr>
        <w:t>保证：除商务技术偏离表列出的偏离外，</w:t>
      </w:r>
      <w:r>
        <w:rPr>
          <w:rFonts w:hint="eastAsia" w:ascii="宋体" w:hAnsi="宋体" w:cs="宋体"/>
          <w:kern w:val="0"/>
          <w:sz w:val="24"/>
          <w:highlight w:val="none"/>
          <w:lang w:eastAsia="zh-CN"/>
        </w:rPr>
        <w:t>供应商</w:t>
      </w:r>
      <w:r>
        <w:rPr>
          <w:rFonts w:hint="eastAsia" w:ascii="宋体" w:hAnsi="宋体" w:cs="宋体"/>
          <w:kern w:val="0"/>
          <w:sz w:val="24"/>
          <w:highlight w:val="none"/>
        </w:rPr>
        <w:t>响应招标文件的全部要求</w:t>
      </w:r>
    </w:p>
    <w:p>
      <w:pPr>
        <w:kinsoku/>
        <w:wordWrap/>
        <w:overflowPunct/>
        <w:topLinePunct w:val="0"/>
        <w:bidi w:val="0"/>
        <w:jc w:val="center"/>
        <w:outlineLvl w:val="9"/>
        <w:rPr>
          <w:rFonts w:ascii="宋体" w:hAnsi="宋体" w:cs="宋体"/>
          <w:b/>
          <w:kern w:val="0"/>
          <w:sz w:val="32"/>
          <w:szCs w:val="32"/>
          <w:highlight w:val="none"/>
        </w:rPr>
      </w:pPr>
    </w:p>
    <w:p>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pPr>
        <w:kinsoku/>
        <w:wordWrap/>
        <w:overflowPunct/>
        <w:topLinePunct w:val="0"/>
        <w:bidi w:val="0"/>
        <w:ind w:firstLine="1911" w:firstLineChars="595"/>
        <w:outlineLvl w:val="9"/>
        <w:rPr>
          <w:rFonts w:ascii="宋体" w:hAnsi="宋体" w:cs="宋体"/>
          <w:b/>
          <w:bCs/>
          <w:sz w:val="32"/>
          <w:szCs w:val="32"/>
          <w:highlight w:val="none"/>
        </w:rPr>
      </w:pPr>
    </w:p>
    <w:p>
      <w:pPr>
        <w:kinsoku/>
        <w:wordWrap/>
        <w:overflowPunct/>
        <w:topLinePunct w:val="0"/>
        <w:bidi w:val="0"/>
        <w:ind w:firstLine="1911" w:firstLineChars="595"/>
        <w:outlineLvl w:val="9"/>
        <w:rPr>
          <w:rFonts w:ascii="宋体" w:hAnsi="宋体" w:cs="宋体"/>
          <w:b/>
          <w:bCs/>
          <w:sz w:val="32"/>
          <w:szCs w:val="32"/>
          <w:highlight w:val="none"/>
        </w:rPr>
      </w:pPr>
    </w:p>
    <w:p>
      <w:pPr>
        <w:kinsoku/>
        <w:wordWrap/>
        <w:overflowPunct/>
        <w:topLinePunct w:val="0"/>
        <w:bidi w:val="0"/>
        <w:ind w:firstLine="1911" w:firstLineChars="595"/>
        <w:outlineLvl w:val="9"/>
        <w:rPr>
          <w:rFonts w:ascii="宋体" w:hAnsi="宋体" w:cs="宋体"/>
          <w:b/>
          <w:bCs/>
          <w:sz w:val="32"/>
          <w:szCs w:val="32"/>
          <w:highlight w:val="none"/>
        </w:rPr>
      </w:pPr>
    </w:p>
    <w:p>
      <w:pPr>
        <w:kinsoku/>
        <w:wordWrap/>
        <w:overflowPunct/>
        <w:topLinePunct w:val="0"/>
        <w:bidi w:val="0"/>
        <w:ind w:firstLine="1911" w:firstLineChars="595"/>
        <w:outlineLvl w:val="9"/>
        <w:rPr>
          <w:rFonts w:ascii="宋体" w:hAnsi="宋体" w:cs="宋体"/>
          <w:b/>
          <w:bCs/>
          <w:sz w:val="32"/>
          <w:szCs w:val="32"/>
          <w:highlight w:val="none"/>
        </w:rPr>
      </w:pPr>
    </w:p>
    <w:p>
      <w:pPr>
        <w:kinsoku/>
        <w:wordWrap/>
        <w:overflowPunct/>
        <w:topLinePunct w:val="0"/>
        <w:bidi w:val="0"/>
        <w:ind w:firstLine="1911" w:firstLineChars="595"/>
        <w:outlineLvl w:val="9"/>
        <w:rPr>
          <w:rFonts w:ascii="宋体" w:hAnsi="宋体" w:cs="宋体"/>
          <w:b/>
          <w:bCs/>
          <w:sz w:val="32"/>
          <w:szCs w:val="32"/>
          <w:highlight w:val="none"/>
        </w:rPr>
      </w:pPr>
    </w:p>
    <w:p>
      <w:pPr>
        <w:widowControl/>
        <w:kinsoku/>
        <w:wordWrap/>
        <w:overflowPunct/>
        <w:topLinePunct w:val="0"/>
        <w:bidi w:val="0"/>
        <w:adjustRightInd/>
        <w:jc w:val="left"/>
        <w:outlineLvl w:val="9"/>
        <w:rPr>
          <w:rFonts w:ascii="宋体" w:hAnsi="宋体" w:cs="宋体"/>
          <w:b/>
          <w:bCs/>
          <w:sz w:val="32"/>
          <w:szCs w:val="32"/>
          <w:highlight w:val="none"/>
        </w:rPr>
      </w:pPr>
      <w:r>
        <w:rPr>
          <w:rFonts w:ascii="宋体" w:hAnsi="宋体" w:cs="宋体"/>
          <w:b/>
          <w:bCs/>
          <w:sz w:val="32"/>
          <w:szCs w:val="32"/>
          <w:highlight w:val="none"/>
        </w:rPr>
        <w:br w:type="page"/>
      </w:r>
    </w:p>
    <w:p>
      <w:pPr>
        <w:kinsoku/>
        <w:wordWrap/>
        <w:overflowPunct/>
        <w:topLinePunct w:val="0"/>
        <w:bidi w:val="0"/>
        <w:ind w:firstLine="1911" w:firstLineChars="595"/>
        <w:outlineLvl w:val="9"/>
        <w:rPr>
          <w:rFonts w:ascii="宋体" w:hAnsi="宋体" w:cs="宋体"/>
          <w:b/>
          <w:kern w:val="0"/>
          <w:sz w:val="32"/>
          <w:szCs w:val="32"/>
          <w:highlight w:val="none"/>
        </w:rPr>
      </w:pPr>
      <w:r>
        <w:rPr>
          <w:rFonts w:hint="eastAsia" w:ascii="宋体" w:hAnsi="宋体" w:cs="宋体"/>
          <w:b/>
          <w:bCs/>
          <w:sz w:val="32"/>
          <w:szCs w:val="32"/>
          <w:highlight w:val="none"/>
          <w:lang w:eastAsia="zh-CN"/>
        </w:rPr>
        <w:t>七</w:t>
      </w:r>
      <w:r>
        <w:rPr>
          <w:rFonts w:hint="eastAsia" w:ascii="宋体" w:hAnsi="宋体" w:cs="宋体"/>
          <w:b/>
          <w:kern w:val="0"/>
          <w:sz w:val="32"/>
          <w:szCs w:val="32"/>
          <w:highlight w:val="none"/>
        </w:rPr>
        <w:t>、</w:t>
      </w:r>
      <w:r>
        <w:rPr>
          <w:rFonts w:hint="eastAsia" w:ascii="宋体" w:hAnsi="宋体" w:cs="宋体"/>
          <w:b/>
          <w:kern w:val="0"/>
          <w:sz w:val="32"/>
          <w:szCs w:val="32"/>
          <w:highlight w:val="none"/>
          <w:lang w:val="zh-CN"/>
        </w:rPr>
        <w:t>政府采购供应商廉洁自律承诺书</w:t>
      </w:r>
    </w:p>
    <w:p>
      <w:pPr>
        <w:kinsoku/>
        <w:wordWrap/>
        <w:overflowPunct/>
        <w:topLinePunct w:val="0"/>
        <w:bidi w:val="0"/>
        <w:snapToGrid w:val="0"/>
        <w:spacing w:line="360" w:lineRule="auto"/>
        <w:outlineLvl w:val="9"/>
        <w:rPr>
          <w:rFonts w:ascii="宋体" w:hAnsi="宋体" w:cs="宋体"/>
          <w:sz w:val="24"/>
          <w:highlight w:val="none"/>
        </w:rPr>
      </w:pPr>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我单位响应你</w:t>
      </w:r>
      <w:r>
        <w:rPr>
          <w:rFonts w:hint="eastAsia" w:ascii="宋体" w:hAnsi="宋体" w:cs="宋体"/>
          <w:sz w:val="24"/>
          <w:highlight w:val="none"/>
        </w:rPr>
        <w:t>单位</w:t>
      </w:r>
      <w:r>
        <w:rPr>
          <w:rFonts w:hint="eastAsia" w:ascii="宋体" w:hAnsi="宋体" w:cs="宋体"/>
          <w:kern w:val="0"/>
          <w:sz w:val="24"/>
          <w:highlight w:val="none"/>
          <w:lang w:val="zh-CN"/>
        </w:rPr>
        <w:t>项目招标要求参加投标。在这次投标过程中和中标后，我们将严格遵守国家法律法规要求，并郑重承诺：</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一、不向项目有关人员及部门赠送礼金礼物、有价证券、回扣以及中介费、介绍费、咨询费等好处费；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二、不为项目有关人员及部门报销应由你方单位或个人支付的费用；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三、不向项目有关人员及部门提供有可能影响公正的宴请和健身娱乐等活动； </w:t>
      </w:r>
    </w:p>
    <w:p>
      <w:pPr>
        <w:kinsoku/>
        <w:wordWrap/>
        <w:overflowPunct/>
        <w:topLinePunct w:val="0"/>
        <w:autoSpaceDE w:val="0"/>
        <w:autoSpaceDN w:val="0"/>
        <w:bidi w:val="0"/>
        <w:spacing w:line="360" w:lineRule="auto"/>
        <w:ind w:left="2" w:leftChars="1"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四、不为项目有关人员及部门出国（境）、旅游等提供方便；</w:t>
      </w:r>
    </w:p>
    <w:p>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五、不为项目有关人员个人装修住房、婚丧嫁娶、配偶子女工作安排等提供</w:t>
      </w:r>
    </w:p>
    <w:p>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好处；</w:t>
      </w:r>
    </w:p>
    <w:p>
      <w:pPr>
        <w:kinsoku/>
        <w:wordWrap/>
        <w:overflowPunct/>
        <w:topLinePunct w:val="0"/>
        <w:autoSpaceDE w:val="0"/>
        <w:autoSpaceDN w:val="0"/>
        <w:bidi w:val="0"/>
        <w:spacing w:line="360" w:lineRule="auto"/>
        <w:ind w:left="481" w:leftChars="229"/>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六、严格遵守《</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政府采购法》《</w:t>
      </w:r>
      <w:r>
        <w:rPr>
          <w:rFonts w:hint="eastAsia" w:ascii="宋体" w:hAnsi="宋体" w:cs="宋体"/>
          <w:sz w:val="24"/>
          <w:highlight w:val="none"/>
          <w:lang w:val="zh-CN"/>
        </w:rPr>
        <w:t>中华人民共和国</w:t>
      </w:r>
      <w:r>
        <w:rPr>
          <w:rFonts w:hint="eastAsia" w:ascii="宋体" w:hAnsi="宋体" w:cs="宋体"/>
          <w:kern w:val="0"/>
          <w:sz w:val="24"/>
          <w:highlight w:val="none"/>
          <w:lang w:val="zh-CN"/>
        </w:rPr>
        <w:t>招标投标</w:t>
      </w:r>
    </w:p>
    <w:p>
      <w:pPr>
        <w:kinsoku/>
        <w:wordWrap/>
        <w:overflowPunct/>
        <w:topLinePunct w:val="0"/>
        <w:autoSpaceDE w:val="0"/>
        <w:autoSpaceDN w:val="0"/>
        <w:bidi w:val="0"/>
        <w:spacing w:line="360" w:lineRule="auto"/>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法》</w:t>
      </w:r>
      <w:r>
        <w:rPr>
          <w:rFonts w:hint="eastAsia" w:ascii="宋体" w:hAnsi="宋体" w:cs="宋体"/>
          <w:sz w:val="24"/>
          <w:highlight w:val="none"/>
          <w:lang w:val="zh-CN"/>
        </w:rPr>
        <w:t>《中华人民共和国民法典》</w:t>
      </w:r>
      <w:r>
        <w:rPr>
          <w:rFonts w:hint="eastAsia" w:ascii="宋体" w:hAnsi="宋体" w:cs="宋体"/>
          <w:kern w:val="0"/>
          <w:sz w:val="24"/>
          <w:highlight w:val="none"/>
          <w:lang w:val="zh-CN"/>
        </w:rPr>
        <w:t xml:space="preserve">等法律法规，诚实守信，合法经营，坚决抵制各种违法违纪行为。 </w:t>
      </w:r>
    </w:p>
    <w:p>
      <w:pPr>
        <w:kinsoku/>
        <w:wordWrap/>
        <w:overflowPunct/>
        <w:topLinePunct w:val="0"/>
        <w:autoSpaceDE w:val="0"/>
        <w:autoSpaceDN w:val="0"/>
        <w:bidi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如违反上述承诺，你</w:t>
      </w:r>
      <w:r>
        <w:rPr>
          <w:rFonts w:hint="eastAsia" w:ascii="宋体" w:hAnsi="宋体" w:cs="宋体"/>
          <w:sz w:val="24"/>
          <w:highlight w:val="none"/>
        </w:rPr>
        <w:t>单位</w:t>
      </w:r>
      <w:r>
        <w:rPr>
          <w:rFonts w:hint="eastAsia" w:ascii="宋体" w:hAnsi="宋体" w:cs="宋体"/>
          <w:kern w:val="0"/>
          <w:sz w:val="24"/>
          <w:highlight w:val="none"/>
          <w:lang w:val="zh-CN"/>
        </w:rPr>
        <w:t>有权立即取消我单位投标、中标或在建项目的建设资格，有权拒绝我单位在一定时期内进入你</w:t>
      </w:r>
      <w:r>
        <w:rPr>
          <w:rFonts w:hint="eastAsia" w:ascii="宋体" w:hAnsi="宋体" w:cs="宋体"/>
          <w:sz w:val="24"/>
          <w:highlight w:val="none"/>
        </w:rPr>
        <w:t>单位</w:t>
      </w:r>
      <w:r>
        <w:rPr>
          <w:rFonts w:hint="eastAsia" w:ascii="宋体" w:hAnsi="宋体" w:cs="宋体"/>
          <w:kern w:val="0"/>
          <w:sz w:val="24"/>
          <w:highlight w:val="none"/>
          <w:lang w:val="zh-CN"/>
        </w:rPr>
        <w:t>进行项目建设或其他经营活动，并通报市财政局。由此引起的相应损失均由我单位承担。</w:t>
      </w:r>
    </w:p>
    <w:p>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pPr>
        <w:kinsoku/>
        <w:wordWrap/>
        <w:overflowPunct/>
        <w:topLinePunct w:val="0"/>
        <w:autoSpaceDE w:val="0"/>
        <w:autoSpaceDN w:val="0"/>
        <w:bidi w:val="0"/>
        <w:spacing w:line="360" w:lineRule="auto"/>
        <w:ind w:left="2"/>
        <w:jc w:val="left"/>
        <w:outlineLvl w:val="9"/>
        <w:rPr>
          <w:rFonts w:ascii="宋体" w:hAnsi="宋体" w:cs="宋体"/>
          <w:kern w:val="0"/>
          <w:sz w:val="24"/>
          <w:highlight w:val="none"/>
          <w:lang w:val="zh-CN"/>
        </w:rPr>
      </w:pPr>
    </w:p>
    <w:p>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供应商名称（</w:t>
      </w:r>
      <w:r>
        <w:rPr>
          <w:rFonts w:hint="eastAsia" w:ascii="宋体" w:hAnsi="宋体" w:cs="宋体"/>
          <w:sz w:val="24"/>
          <w:highlight w:val="none"/>
        </w:rPr>
        <w:t>电子签名</w:t>
      </w:r>
      <w:r>
        <w:rPr>
          <w:rFonts w:hint="eastAsia" w:ascii="宋体" w:hAnsi="宋体" w:cs="宋体"/>
          <w:kern w:val="0"/>
          <w:sz w:val="24"/>
          <w:highlight w:val="none"/>
          <w:lang w:val="zh-CN"/>
        </w:rPr>
        <w:t xml:space="preserve">）：                                                                                                                                                                                                               </w:t>
      </w:r>
    </w:p>
    <w:p>
      <w:pPr>
        <w:kinsoku/>
        <w:wordWrap/>
        <w:overflowPunct/>
        <w:topLinePunct w:val="0"/>
        <w:bidi w:val="0"/>
        <w:spacing w:line="360" w:lineRule="auto"/>
        <w:ind w:left="4620" w:leftChars="2200"/>
        <w:outlineLvl w:val="9"/>
        <w:rPr>
          <w:rFonts w:ascii="宋体" w:hAnsi="宋体" w:cs="宋体"/>
          <w:sz w:val="24"/>
          <w:highlight w:val="none"/>
        </w:rPr>
      </w:pPr>
      <w:r>
        <w:rPr>
          <w:rFonts w:hint="eastAsia" w:ascii="宋体" w:hAnsi="宋体" w:cs="宋体"/>
          <w:kern w:val="0"/>
          <w:sz w:val="24"/>
          <w:highlight w:val="none"/>
          <w:lang w:val="zh-CN"/>
        </w:rPr>
        <w:t>日期</w:t>
      </w:r>
      <w:r>
        <w:rPr>
          <w:rFonts w:hint="eastAsia" w:ascii="宋体" w:hAnsi="宋体" w:cs="宋体"/>
          <w:kern w:val="0"/>
          <w:sz w:val="24"/>
          <w:highlight w:val="none"/>
        </w:rPr>
        <w:t>：</w:t>
      </w:r>
      <w:r>
        <w:rPr>
          <w:rFonts w:hint="eastAsia" w:ascii="宋体" w:hAnsi="宋体" w:cs="宋体"/>
          <w:kern w:val="0"/>
          <w:sz w:val="24"/>
          <w:highlight w:val="none"/>
          <w:lang w:val="zh-CN"/>
        </w:rPr>
        <w:t xml:space="preserve">   年   月   日</w:t>
      </w:r>
    </w:p>
    <w:p>
      <w:pPr>
        <w:kinsoku/>
        <w:wordWrap/>
        <w:overflowPunct/>
        <w:topLinePunct w:val="0"/>
        <w:bidi w:val="0"/>
        <w:spacing w:line="360" w:lineRule="auto"/>
        <w:jc w:val="center"/>
        <w:outlineLvl w:val="9"/>
        <w:rPr>
          <w:rFonts w:ascii="宋体" w:hAnsi="宋体" w:cs="宋体"/>
          <w:b/>
          <w:bCs/>
          <w:sz w:val="24"/>
          <w:highlight w:val="none"/>
        </w:rPr>
      </w:pPr>
    </w:p>
    <w:p>
      <w:pPr>
        <w:kinsoku/>
        <w:wordWrap/>
        <w:overflowPunct/>
        <w:topLinePunct w:val="0"/>
        <w:bidi w:val="0"/>
        <w:spacing w:line="360" w:lineRule="auto"/>
        <w:ind w:right="420"/>
        <w:outlineLvl w:val="9"/>
        <w:rPr>
          <w:rFonts w:ascii="宋体" w:hAnsi="宋体" w:cs="宋体"/>
          <w:sz w:val="24"/>
          <w:highlight w:val="none"/>
        </w:rPr>
      </w:pPr>
      <w:r>
        <w:rPr>
          <w:rFonts w:hint="eastAsia" w:ascii="宋体" w:hAnsi="宋体" w:cs="宋体"/>
          <w:sz w:val="24"/>
          <w:highlight w:val="none"/>
        </w:rPr>
        <w:t>注：按本格式和要求提供。</w:t>
      </w:r>
    </w:p>
    <w:p>
      <w:pPr>
        <w:kinsoku/>
        <w:wordWrap/>
        <w:overflowPunct/>
        <w:topLinePunct w:val="0"/>
        <w:bidi w:val="0"/>
        <w:spacing w:line="360" w:lineRule="auto"/>
        <w:jc w:val="center"/>
        <w:outlineLvl w:val="9"/>
        <w:rPr>
          <w:rFonts w:ascii="宋体" w:hAnsi="宋体" w:cs="宋体"/>
          <w:b/>
          <w:bCs/>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报价文件部分</w:t>
      </w:r>
    </w:p>
    <w:p>
      <w:pPr>
        <w:kinsoku/>
        <w:wordWrap/>
        <w:overflowPunct/>
        <w:topLinePunct w:val="0"/>
        <w:bidi w:val="0"/>
        <w:spacing w:line="360" w:lineRule="auto"/>
        <w:jc w:val="center"/>
        <w:outlineLvl w:val="9"/>
        <w:rPr>
          <w:rFonts w:ascii="宋体" w:hAnsi="宋体" w:cs="宋体"/>
          <w:b/>
          <w:kern w:val="0"/>
          <w:sz w:val="36"/>
          <w:szCs w:val="36"/>
          <w:highlight w:val="none"/>
        </w:rPr>
      </w:pPr>
      <w:r>
        <w:rPr>
          <w:rFonts w:hint="eastAsia" w:ascii="宋体" w:hAnsi="宋体" w:cs="宋体"/>
          <w:b/>
          <w:kern w:val="0"/>
          <w:sz w:val="36"/>
          <w:szCs w:val="36"/>
          <w:highlight w:val="none"/>
        </w:rPr>
        <w:t>目录</w:t>
      </w:r>
    </w:p>
    <w:p>
      <w:pPr>
        <w:kinsoku/>
        <w:wordWrap/>
        <w:overflowPunct/>
        <w:topLinePunct w:val="0"/>
        <w:bidi w:val="0"/>
        <w:spacing w:line="360" w:lineRule="auto"/>
        <w:jc w:val="center"/>
        <w:outlineLvl w:val="9"/>
        <w:rPr>
          <w:rFonts w:ascii="宋体" w:hAnsi="宋体" w:cs="宋体"/>
          <w:b/>
          <w:kern w:val="0"/>
          <w:sz w:val="36"/>
          <w:szCs w:val="36"/>
          <w:highlight w:val="none"/>
        </w:rPr>
      </w:pP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（1）开标一览表（报价表）………………………………………………………（页码）</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（2）中小企业声明函………………………………………………………………（页码）</w:t>
      </w: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kinsoku/>
        <w:wordWrap/>
        <w:overflowPunct/>
        <w:topLinePunct w:val="0"/>
        <w:bidi w:val="0"/>
        <w:snapToGrid w:val="0"/>
        <w:spacing w:line="360" w:lineRule="auto"/>
        <w:ind w:right="480"/>
        <w:jc w:val="center"/>
        <w:outlineLvl w:val="9"/>
        <w:rPr>
          <w:rFonts w:ascii="宋体" w:hAnsi="宋体" w:cs="宋体"/>
          <w:b/>
          <w:kern w:val="0"/>
          <w:sz w:val="32"/>
          <w:szCs w:val="32"/>
          <w:highlight w:val="none"/>
        </w:rPr>
      </w:pPr>
    </w:p>
    <w:p>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pPr>
      <w:bookmarkStart w:id="516" w:name="_Toc18859"/>
      <w:bookmarkStart w:id="517" w:name="_Toc26425"/>
      <w:r>
        <w:rPr>
          <w:rFonts w:hint="eastAsia" w:ascii="宋体" w:hAnsi="宋体" w:eastAsia="宋体" w:cs="宋体"/>
          <w:kern w:val="2"/>
          <w:sz w:val="32"/>
          <w:szCs w:val="32"/>
          <w:highlight w:val="none"/>
        </w:rPr>
        <w:t>一、开标一览表（报价表）</w:t>
      </w:r>
      <w:bookmarkEnd w:id="516"/>
      <w:bookmarkEnd w:id="517"/>
    </w:p>
    <w:p>
      <w:pPr>
        <w:kinsoku/>
        <w:wordWrap/>
        <w:overflowPunct/>
        <w:topLinePunct w:val="0"/>
        <w:bidi w:val="0"/>
        <w:snapToGrid w:val="0"/>
        <w:spacing w:line="360" w:lineRule="auto"/>
        <w:outlineLvl w:val="9"/>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pPr>
        <w:kinsoku/>
        <w:wordWrap/>
        <w:overflowPunct/>
        <w:topLinePunct w:val="0"/>
        <w:bidi w:val="0"/>
        <w:snapToGrid w:val="0"/>
        <w:spacing w:line="360" w:lineRule="auto"/>
        <w:ind w:firstLine="482"/>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pPr>
        <w:kinsoku/>
        <w:wordWrap/>
        <w:overflowPunct/>
        <w:topLinePunct w:val="0"/>
        <w:bidi w:val="0"/>
        <w:spacing w:line="360" w:lineRule="auto"/>
        <w:jc w:val="center"/>
        <w:outlineLvl w:val="9"/>
        <w:rPr>
          <w:rFonts w:ascii="宋体" w:hAnsi="宋体" w:cs="宋体"/>
          <w:b/>
          <w:kern w:val="0"/>
          <w:sz w:val="24"/>
          <w:highlight w:val="none"/>
          <w:lang w:val="zh-CN"/>
        </w:rPr>
      </w:pPr>
      <w:r>
        <w:rPr>
          <w:rFonts w:hint="eastAsia" w:ascii="宋体" w:hAnsi="宋体" w:cs="宋体"/>
          <w:b/>
          <w:kern w:val="0"/>
          <w:sz w:val="24"/>
          <w:highlight w:val="none"/>
          <w:lang w:val="zh-CN"/>
        </w:rPr>
        <w:t>开标一览表（报价表）(单位均为人民币元)</w:t>
      </w:r>
    </w:p>
    <w:tbl>
      <w:tblPr>
        <w:tblStyle w:val="63"/>
        <w:tblW w:w="95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2"/>
        <w:gridCol w:w="3525"/>
        <w:gridCol w:w="4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12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宋体" w:hAnsi="宋体" w:eastAsia="宋体" w:cs="Times New Roman"/>
                <w:color w:val="000000"/>
                <w:szCs w:val="21"/>
                <w:highlight w:val="none"/>
              </w:rPr>
            </w:pPr>
            <w:r>
              <w:rPr>
                <w:rFonts w:hint="eastAsia" w:ascii="宋体" w:hAnsi="宋体" w:eastAsia="宋体" w:cs="宋体"/>
                <w:color w:val="000000"/>
                <w:highlight w:val="none"/>
              </w:rPr>
              <w:t>序号</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000000"/>
                <w:szCs w:val="21"/>
                <w:highlight w:val="none"/>
                <w:lang w:val="en-US" w:eastAsia="zh-CN"/>
              </w:rPr>
            </w:pPr>
            <w:r>
              <w:rPr>
                <w:rFonts w:hint="eastAsia" w:ascii="宋体" w:hAnsi="宋体" w:cs="宋体"/>
                <w:color w:val="000000"/>
                <w:highlight w:val="none"/>
                <w:lang w:val="en-US" w:eastAsia="zh-CN"/>
              </w:rPr>
              <w:t>服务内容</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eastAsia="zh-CN"/>
              </w:rPr>
              <w:t>合同履约期限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6" w:hRule="atLeast"/>
          <w:jc w:val="center"/>
        </w:trPr>
        <w:tc>
          <w:tcPr>
            <w:tcW w:w="1252" w:type="dxa"/>
            <w:tcBorders>
              <w:top w:val="single" w:color="auto" w:sz="4" w:space="0"/>
              <w:left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000000"/>
                <w:szCs w:val="21"/>
                <w:highlight w:val="none"/>
              </w:rPr>
            </w:pPr>
            <w:r>
              <w:rPr>
                <w:rFonts w:hint="eastAsia" w:ascii="宋体" w:hAnsi="宋体" w:eastAsia="宋体" w:cs="宋体"/>
                <w:color w:val="000000"/>
                <w:highlight w:val="none"/>
              </w:rPr>
              <w:t>1</w:t>
            </w:r>
          </w:p>
        </w:tc>
        <w:tc>
          <w:tcPr>
            <w:tcW w:w="3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Times New Roman" w:hAnsi="Times New Roman" w:eastAsia="宋体" w:cs="Times New Roman"/>
                <w:color w:val="000000"/>
                <w:highlight w:val="none"/>
              </w:rPr>
            </w:pPr>
          </w:p>
        </w:tc>
        <w:tc>
          <w:tcPr>
            <w:tcW w:w="4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default" w:ascii="宋体" w:hAnsi="宋体" w:eastAsia="宋体" w:cs="Times New Roman"/>
                <w:color w:val="000000"/>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4777" w:type="dxa"/>
            <w:gridSpan w:val="2"/>
            <w:tcBorders>
              <w:top w:val="single" w:color="auto" w:sz="4" w:space="0"/>
              <w:left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宋体" w:hAnsi="宋体" w:eastAsia="宋体" w:cs="宋体"/>
                <w:color w:val="000000"/>
                <w:highlight w:val="none"/>
              </w:rPr>
            </w:pPr>
            <w:r>
              <w:rPr>
                <w:rFonts w:hint="eastAsia" w:ascii="宋体" w:hAnsi="宋体" w:eastAsia="宋体" w:cs="宋体"/>
                <w:color w:val="000000"/>
                <w:highlight w:val="none"/>
              </w:rPr>
              <w:t>投标</w:t>
            </w:r>
            <w:r>
              <w:rPr>
                <w:rFonts w:hint="eastAsia" w:ascii="宋体" w:hAnsi="宋体" w:eastAsia="宋体" w:cs="宋体"/>
                <w:color w:val="000000"/>
                <w:highlight w:val="none"/>
                <w:lang w:val="en-US" w:eastAsia="zh-CN"/>
              </w:rPr>
              <w:t>总价</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lang w:val="en-US" w:eastAsia="zh-CN"/>
              </w:rPr>
              <w:t>元</w:t>
            </w:r>
            <w:r>
              <w:rPr>
                <w:rFonts w:hint="eastAsia" w:ascii="宋体" w:hAnsi="宋体" w:eastAsia="宋体" w:cs="宋体"/>
                <w:color w:val="000000"/>
                <w:highlight w:val="none"/>
                <w:lang w:eastAsia="zh-CN"/>
              </w:rPr>
              <w:t>）</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left"/>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kern w:val="2"/>
                <w:sz w:val="21"/>
                <w:szCs w:val="21"/>
                <w:highlight w:val="none"/>
                <w:lang w:val="en-US" w:eastAsia="zh-CN" w:bidi="ar-SA"/>
              </w:rPr>
              <w:t>大写：</w:t>
            </w:r>
          </w:p>
          <w:p>
            <w:pPr>
              <w:keepNext w:val="0"/>
              <w:keepLines w:val="0"/>
              <w:suppressLineNumbers w:val="0"/>
              <w:adjustRightInd/>
              <w:snapToGrid w:val="0"/>
              <w:spacing w:before="50" w:beforeAutospacing="0" w:after="50" w:afterAutospacing="0"/>
              <w:ind w:left="0" w:right="0"/>
              <w:jc w:val="left"/>
              <w:rPr>
                <w:rFonts w:hint="default" w:ascii="宋体" w:hAnsi="宋体" w:eastAsia="宋体" w:cs="Times New Roman"/>
                <w:color w:val="000000"/>
                <w:kern w:val="2"/>
                <w:sz w:val="21"/>
                <w:szCs w:val="21"/>
                <w:highlight w:val="none"/>
                <w:lang w:val="en-US" w:eastAsia="zh-CN" w:bidi="ar-SA"/>
              </w:rPr>
            </w:pPr>
            <w:r>
              <w:rPr>
                <w:rFonts w:hint="default" w:ascii="宋体" w:hAnsi="宋体" w:eastAsia="宋体" w:cs="Times New Roman"/>
                <w:color w:val="000000"/>
                <w:kern w:val="2"/>
                <w:sz w:val="21"/>
                <w:szCs w:val="21"/>
                <w:highlight w:val="none"/>
                <w:lang w:val="en-US" w:eastAsia="zh-CN" w:bidi="ar-SA"/>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47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jc w:val="center"/>
              <w:rPr>
                <w:rFonts w:hint="eastAsia" w:ascii="Times New Roman" w:hAnsi="Times New Roman" w:eastAsia="宋体" w:cs="Times New Roman"/>
                <w:color w:val="000000"/>
                <w:szCs w:val="21"/>
                <w:highlight w:val="none"/>
              </w:rPr>
            </w:pPr>
            <w:r>
              <w:rPr>
                <w:rFonts w:hint="eastAsia" w:ascii="Times New Roman" w:hAnsi="Times New Roman" w:eastAsia="宋体" w:cs="Times New Roman"/>
                <w:color w:val="000000"/>
                <w:szCs w:val="21"/>
                <w:highlight w:val="none"/>
              </w:rPr>
              <w:t>投标声明</w:t>
            </w:r>
          </w:p>
        </w:tc>
        <w:tc>
          <w:tcPr>
            <w:tcW w:w="4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snapToGrid w:val="0"/>
              <w:spacing w:before="50" w:beforeAutospacing="0" w:after="50" w:afterAutospacing="0"/>
              <w:ind w:left="0" w:right="0"/>
              <w:rPr>
                <w:rFonts w:hint="eastAsia" w:ascii="Times New Roman" w:hAnsi="Times New Roman" w:eastAsia="宋体" w:cs="Times New Roman"/>
                <w:color w:val="000000"/>
                <w:szCs w:val="21"/>
                <w:highlight w:val="none"/>
              </w:rPr>
            </w:pPr>
          </w:p>
        </w:tc>
      </w:tr>
    </w:tbl>
    <w:p>
      <w:pPr>
        <w:pStyle w:val="51"/>
        <w:rPr>
          <w:rFonts w:hint="eastAsia"/>
          <w:highlight w:val="none"/>
          <w:lang w:val="zh-CN"/>
        </w:rPr>
      </w:pPr>
    </w:p>
    <w:p>
      <w:pPr>
        <w:kinsoku/>
        <w:wordWrap/>
        <w:overflowPunct/>
        <w:topLinePunct w:val="0"/>
        <w:bidi w:val="0"/>
        <w:snapToGrid w:val="0"/>
        <w:spacing w:line="360" w:lineRule="auto"/>
        <w:ind w:left="480"/>
        <w:outlineLvl w:val="9"/>
        <w:rPr>
          <w:rFonts w:ascii="宋体" w:hAnsi="宋体" w:cs="宋体"/>
          <w:b/>
          <w:kern w:val="0"/>
          <w:sz w:val="24"/>
          <w:highlight w:val="none"/>
          <w:lang w:val="zh-CN"/>
        </w:rPr>
      </w:pPr>
      <w:r>
        <w:rPr>
          <w:rFonts w:hint="eastAsia" w:ascii="宋体" w:hAnsi="宋体" w:cs="宋体"/>
          <w:b/>
          <w:kern w:val="0"/>
          <w:sz w:val="24"/>
          <w:highlight w:val="none"/>
          <w:lang w:val="zh-CN"/>
        </w:rPr>
        <w:t>注：</w:t>
      </w:r>
    </w:p>
    <w:p>
      <w:pPr>
        <w:kinsoku/>
        <w:wordWrap/>
        <w:overflowPunct/>
        <w:topLinePunct w:val="0"/>
        <w:bidi w:val="0"/>
        <w:spacing w:line="360" w:lineRule="auto"/>
        <w:ind w:left="-2" w:leftChars="-1" w:firstLine="480" w:firstLineChars="200"/>
        <w:outlineLvl w:val="9"/>
        <w:rPr>
          <w:rFonts w:ascii="宋体" w:hAnsi="宋体" w:cs="宋体"/>
          <w:kern w:val="0"/>
          <w:sz w:val="24"/>
          <w:highlight w:val="none"/>
          <w:lang w:val="zh-CN"/>
        </w:rPr>
      </w:pPr>
      <w:r>
        <w:rPr>
          <w:rFonts w:hint="eastAsia" w:ascii="宋体" w:hAnsi="宋体" w:cs="宋体"/>
          <w:kern w:val="0"/>
          <w:sz w:val="24"/>
          <w:highlight w:val="none"/>
          <w:lang w:val="zh-CN"/>
        </w:rPr>
        <w:t>1、供应商需按本表格式填写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kern w:val="0"/>
          <w:sz w:val="24"/>
          <w:highlight w:val="none"/>
          <w:lang w:val="zh-CN"/>
        </w:rPr>
        <w:t>2、有关本项目实施所涉及的一切费用均计入报价。</w:t>
      </w:r>
      <w:r>
        <w:rPr>
          <w:rFonts w:hint="eastAsia" w:ascii="宋体" w:hAnsi="宋体" w:cs="宋体"/>
          <w:b/>
          <w:kern w:val="0"/>
          <w:sz w:val="24"/>
          <w:highlight w:val="none"/>
          <w:lang w:val="zh-CN"/>
        </w:rPr>
        <w:t>采购人将以合同形式有偿取得货物或服务，不接受供应商给予的赠品、回扣或者与采购无关的其他商品、服务</w:t>
      </w:r>
      <w:r>
        <w:rPr>
          <w:rFonts w:hint="eastAsia" w:ascii="宋体" w:hAnsi="宋体" w:cs="宋体"/>
          <w:kern w:val="0"/>
          <w:sz w:val="24"/>
          <w:highlight w:val="none"/>
          <w:lang w:val="zh-CN"/>
        </w:rPr>
        <w:t>，</w:t>
      </w:r>
      <w:r>
        <w:rPr>
          <w:rFonts w:hint="eastAsia" w:ascii="宋体" w:hAnsi="宋体" w:cs="宋体"/>
          <w:b/>
          <w:kern w:val="0"/>
          <w:sz w:val="24"/>
          <w:highlight w:val="none"/>
          <w:lang w:val="zh-CN"/>
        </w:rPr>
        <w:t>不得出现“0元”“免费赠送”等形式的无偿报价，</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b/>
          <w:kern w:val="0"/>
          <w:sz w:val="24"/>
          <w:highlight w:val="none"/>
          <w:lang w:val="zh-CN"/>
        </w:rPr>
        <w:t>；采购内容未包含在《开标一览表（报价表）》名称栏中，供应商不能作出合理解释的，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kinsoku/>
        <w:wordWrap/>
        <w:overflowPunct/>
        <w:topLinePunct w:val="0"/>
        <w:bidi w:val="0"/>
        <w:snapToGrid w:val="0"/>
        <w:spacing w:line="360" w:lineRule="auto"/>
        <w:ind w:firstLine="480" w:firstLineChars="200"/>
        <w:jc w:val="left"/>
        <w:outlineLvl w:val="9"/>
        <w:rPr>
          <w:rFonts w:ascii="宋体" w:hAnsi="宋体" w:cs="宋体"/>
          <w:kern w:val="0"/>
          <w:sz w:val="24"/>
          <w:highlight w:val="none"/>
          <w:lang w:val="zh-CN"/>
        </w:rPr>
      </w:pPr>
      <w:r>
        <w:rPr>
          <w:rFonts w:hint="eastAsia" w:ascii="宋体" w:hAnsi="宋体" w:cs="宋体"/>
          <w:kern w:val="0"/>
          <w:sz w:val="24"/>
          <w:highlight w:val="none"/>
          <w:lang w:val="zh-CN"/>
        </w:rPr>
        <w:t>3、特别提示：采购代理机构将对项目名称和项目编号，中标供应商名称、地址和中标金额，主要中标标的名称、品牌（如果有）、规格型号、数量、单价等予以公示。</w:t>
      </w:r>
    </w:p>
    <w:p>
      <w:pPr>
        <w:kinsoku/>
        <w:wordWrap/>
        <w:overflowPunct/>
        <w:topLinePunct w:val="0"/>
        <w:bidi w:val="0"/>
        <w:snapToGrid w:val="0"/>
        <w:spacing w:line="360" w:lineRule="auto"/>
        <w:ind w:firstLine="480" w:firstLineChars="200"/>
        <w:jc w:val="left"/>
        <w:outlineLvl w:val="9"/>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kern w:val="2"/>
          <w:sz w:val="32"/>
          <w:szCs w:val="32"/>
          <w:highlight w:val="none"/>
        </w:rPr>
        <w:sectPr>
          <w:pgSz w:w="11906" w:h="16838"/>
          <w:pgMar w:top="1247" w:right="1418" w:bottom="1276" w:left="1418" w:header="851" w:footer="992" w:gutter="0"/>
          <w:pgNumType w:fmt="decimal"/>
          <w:cols w:space="720" w:num="1"/>
          <w:titlePg/>
          <w:docGrid w:linePitch="312" w:charSpace="0"/>
        </w:sectPr>
      </w:pPr>
    </w:p>
    <w:p>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color w:val="auto"/>
          <w:sz w:val="32"/>
          <w:szCs w:val="32"/>
          <w:highlight w:val="none"/>
        </w:rPr>
      </w:pPr>
      <w:bookmarkStart w:id="518" w:name="_Toc30621"/>
      <w:bookmarkStart w:id="519" w:name="_Toc25773"/>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20" w:name="_Hlk101259491"/>
      <w:r>
        <w:rPr>
          <w:rFonts w:hint="eastAsia" w:ascii="宋体" w:hAnsi="宋体" w:eastAsia="宋体" w:cs="宋体"/>
          <w:color w:val="auto"/>
          <w:sz w:val="32"/>
          <w:szCs w:val="32"/>
          <w:highlight w:val="none"/>
        </w:rPr>
        <w:t>（如果有）</w:t>
      </w:r>
      <w:bookmarkEnd w:id="518"/>
      <w:bookmarkEnd w:id="519"/>
      <w:bookmarkEnd w:id="520"/>
    </w:p>
    <w:p>
      <w:pPr>
        <w:widowControl/>
        <w:kinsoku/>
        <w:wordWrap/>
        <w:overflowPunct/>
        <w:topLinePunct w:val="0"/>
        <w:bidi w:val="0"/>
        <w:spacing w:line="360" w:lineRule="auto"/>
        <w:ind w:firstLine="120" w:firstLineChars="50"/>
        <w:jc w:val="left"/>
        <w:outlineLvl w:val="9"/>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pPr>
        <w:pStyle w:val="692"/>
        <w:keepNext w:val="0"/>
        <w:pageBreakBefore w:val="0"/>
        <w:tabs>
          <w:tab w:val="clear" w:pos="720"/>
        </w:tabs>
        <w:kinsoku/>
        <w:wordWrap/>
        <w:overflowPunct/>
        <w:topLinePunct w:val="0"/>
        <w:bidi w:val="0"/>
        <w:snapToGrid w:val="0"/>
        <w:spacing w:before="120" w:after="120"/>
        <w:ind w:firstLine="643"/>
        <w:outlineLvl w:val="9"/>
        <w:rPr>
          <w:rFonts w:ascii="宋体" w:hAnsi="宋体" w:eastAsia="宋体" w:cs="宋体"/>
          <w:b w:val="0"/>
          <w:color w:val="FF0000"/>
          <w:sz w:val="32"/>
          <w:szCs w:val="32"/>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insoku/>
        <w:wordWrap/>
        <w:overflowPunct/>
        <w:topLinePunct w:val="0"/>
        <w:bidi w:val="0"/>
        <w:spacing w:line="360" w:lineRule="auto"/>
        <w:ind w:right="420" w:firstLine="3614" w:firstLineChars="1000"/>
        <w:outlineLvl w:val="9"/>
        <w:rPr>
          <w:rFonts w:ascii="宋体" w:hAnsi="宋体" w:cs="宋体"/>
          <w:b/>
          <w:kern w:val="0"/>
          <w:sz w:val="36"/>
          <w:szCs w:val="36"/>
          <w:highlight w:val="none"/>
        </w:rPr>
      </w:pPr>
    </w:p>
    <w:p>
      <w:pPr>
        <w:keepNext w:val="0"/>
        <w:keepLines w:val="0"/>
        <w:pageBreakBefore/>
        <w:widowControl/>
        <w:tabs>
          <w:tab w:val="left" w:pos="432"/>
        </w:tabs>
        <w:kinsoku/>
        <w:wordWrap/>
        <w:overflowPunct/>
        <w:topLinePunct w:val="0"/>
        <w:bidi w:val="0"/>
        <w:spacing w:before="100" w:beforeAutospacing="1" w:after="100" w:afterAutospacing="1" w:line="360" w:lineRule="auto"/>
        <w:jc w:val="center"/>
        <w:outlineLvl w:val="9"/>
        <w:rPr>
          <w:rFonts w:ascii="宋体" w:hAnsi="宋体" w:cs="宋体"/>
          <w:b/>
          <w:bCs/>
          <w:highlight w:val="none"/>
        </w:rPr>
      </w:pPr>
      <w:bookmarkStart w:id="521" w:name="_Toc465665161"/>
      <w:r>
        <w:rPr>
          <w:rFonts w:hint="eastAsia" w:ascii="宋体" w:hAnsi="宋体" w:cs="宋体"/>
          <w:b/>
          <w:bCs/>
          <w:highlight w:val="none"/>
        </w:rPr>
        <w:t>附件</w:t>
      </w:r>
      <w:bookmarkEnd w:id="521"/>
    </w:p>
    <w:p>
      <w:pPr>
        <w:kinsoku/>
        <w:wordWrap/>
        <w:overflowPunct/>
        <w:topLinePunct w:val="0"/>
        <w:bidi w:val="0"/>
        <w:spacing w:line="360" w:lineRule="auto"/>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附件1：</w:t>
      </w:r>
    </w:p>
    <w:p>
      <w:pPr>
        <w:kinsoku/>
        <w:wordWrap/>
        <w:overflowPunct/>
        <w:topLinePunct w:val="0"/>
        <w:bidi w:val="0"/>
        <w:spacing w:line="360" w:lineRule="auto"/>
        <w:jc w:val="center"/>
        <w:outlineLvl w:val="9"/>
        <w:rPr>
          <w:rFonts w:ascii="宋体" w:hAnsi="宋体" w:cs="宋体"/>
          <w:b/>
          <w:spacing w:val="6"/>
          <w:sz w:val="32"/>
          <w:szCs w:val="32"/>
          <w:highlight w:val="none"/>
        </w:rPr>
      </w:pPr>
      <w:bookmarkStart w:id="522" w:name="OLE_LINK13"/>
      <w:bookmarkStart w:id="523" w:name="OLE_LINK14"/>
      <w:r>
        <w:rPr>
          <w:rFonts w:hint="eastAsia" w:ascii="宋体" w:hAnsi="宋体" w:cs="宋体"/>
          <w:b/>
          <w:spacing w:val="6"/>
          <w:sz w:val="32"/>
          <w:szCs w:val="32"/>
          <w:highlight w:val="none"/>
        </w:rPr>
        <w:t>残疾人福利性单位声明函</w:t>
      </w:r>
    </w:p>
    <w:bookmarkEnd w:id="522"/>
    <w:bookmarkEnd w:id="523"/>
    <w:p>
      <w:pPr>
        <w:kinsoku/>
        <w:wordWrap/>
        <w:overflowPunct/>
        <w:topLinePunct w:val="0"/>
        <w:bidi w:val="0"/>
        <w:spacing w:line="360" w:lineRule="auto"/>
        <w:outlineLvl w:val="9"/>
        <w:rPr>
          <w:rFonts w:ascii="宋体" w:hAnsi="宋体" w:cs="宋体"/>
          <w:b/>
          <w:spacing w:val="6"/>
          <w:sz w:val="30"/>
          <w:szCs w:val="30"/>
          <w:highlight w:val="none"/>
        </w:rPr>
      </w:pPr>
    </w:p>
    <w:p>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w:t>
      </w:r>
      <w:r>
        <w:rPr>
          <w:rFonts w:hint="eastAsia" w:ascii="宋体" w:hAnsi="宋体" w:cs="宋体"/>
          <w:color w:val="auto"/>
          <w:sz w:val="24"/>
          <w:highlight w:val="none"/>
        </w:rPr>
        <w:t>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w:t>
      </w:r>
      <w:r>
        <w:rPr>
          <w:rFonts w:hint="eastAsia" w:ascii="宋体" w:hAnsi="宋体" w:cs="宋体"/>
          <w:sz w:val="24"/>
          <w:highlight w:val="none"/>
        </w:rPr>
        <w:t>造的货物（不包括使用非残疾人福利性单位注册商标的货物）。</w:t>
      </w:r>
    </w:p>
    <w:p>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kinsoku/>
        <w:wordWrap/>
        <w:overflowPunct/>
        <w:topLinePunct w:val="0"/>
        <w:bidi w:val="0"/>
        <w:spacing w:line="360" w:lineRule="auto"/>
        <w:ind w:firstLine="480" w:firstLineChars="200"/>
        <w:outlineLvl w:val="9"/>
        <w:rPr>
          <w:rFonts w:ascii="宋体" w:hAnsi="宋体" w:cs="宋体"/>
          <w:sz w:val="24"/>
          <w:highlight w:val="none"/>
        </w:rPr>
      </w:pPr>
    </w:p>
    <w:p>
      <w:pPr>
        <w:kinsoku/>
        <w:wordWrap/>
        <w:overflowPunct/>
        <w:topLinePunct w:val="0"/>
        <w:bidi w:val="0"/>
        <w:spacing w:line="360" w:lineRule="auto"/>
        <w:ind w:firstLine="480" w:firstLineChars="200"/>
        <w:outlineLvl w:val="9"/>
        <w:rPr>
          <w:rFonts w:ascii="宋体" w:hAnsi="宋体" w:cs="宋体"/>
          <w:sz w:val="24"/>
          <w:highlight w:val="none"/>
        </w:rPr>
      </w:pP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kern w:val="0"/>
          <w:sz w:val="24"/>
          <w:highlight w:val="none"/>
          <w:lang w:val="zh-CN"/>
        </w:rPr>
        <w:t>供应商名称（电子签名）</w:t>
      </w:r>
      <w:r>
        <w:rPr>
          <w:rFonts w:hint="eastAsia" w:ascii="宋体" w:hAnsi="宋体" w:cs="宋体"/>
          <w:sz w:val="24"/>
          <w:highlight w:val="none"/>
        </w:rPr>
        <w:t>：</w:t>
      </w:r>
    </w:p>
    <w:p>
      <w:pPr>
        <w:tabs>
          <w:tab w:val="left" w:pos="4860"/>
        </w:tabs>
        <w:kinsoku/>
        <w:wordWrap/>
        <w:overflowPunct/>
        <w:topLinePunct w:val="0"/>
        <w:bidi w:val="0"/>
        <w:spacing w:line="360" w:lineRule="auto"/>
        <w:ind w:right="1560" w:firstLine="480" w:firstLineChars="200"/>
        <w:jc w:val="center"/>
        <w:outlineLvl w:val="9"/>
        <w:rPr>
          <w:rFonts w:ascii="宋体" w:hAnsi="宋体" w:cs="宋体"/>
          <w:sz w:val="24"/>
          <w:highlight w:val="none"/>
        </w:rPr>
      </w:pPr>
      <w:r>
        <w:rPr>
          <w:rFonts w:hint="eastAsia" w:ascii="宋体" w:hAnsi="宋体" w:cs="宋体"/>
          <w:sz w:val="24"/>
          <w:highlight w:val="none"/>
        </w:rPr>
        <w:t xml:space="preserve">       日  期：</w:t>
      </w:r>
    </w:p>
    <w:p>
      <w:pPr>
        <w:kinsoku/>
        <w:wordWrap/>
        <w:overflowPunct/>
        <w:topLinePunct w:val="0"/>
        <w:bidi w:val="0"/>
        <w:spacing w:line="360" w:lineRule="auto"/>
        <w:ind w:firstLine="480" w:firstLineChars="200"/>
        <w:outlineLvl w:val="9"/>
        <w:rPr>
          <w:rFonts w:ascii="宋体" w:hAnsi="宋体" w:cs="宋体"/>
          <w:sz w:val="24"/>
          <w:highlight w:val="none"/>
        </w:rPr>
      </w:pPr>
    </w:p>
    <w:p>
      <w:pPr>
        <w:kinsoku/>
        <w:wordWrap/>
        <w:overflowPunct/>
        <w:topLinePunct w:val="0"/>
        <w:bidi w:val="0"/>
        <w:spacing w:line="360" w:lineRule="auto"/>
        <w:ind w:firstLine="420" w:firstLineChars="200"/>
        <w:outlineLvl w:val="9"/>
        <w:rPr>
          <w:rFonts w:ascii="宋体" w:hAnsi="宋体" w:cs="宋体"/>
          <w:highlight w:val="none"/>
        </w:rPr>
      </w:pPr>
    </w:p>
    <w:p>
      <w:pPr>
        <w:kinsoku/>
        <w:wordWrap/>
        <w:overflowPunct/>
        <w:topLinePunct w:val="0"/>
        <w:bidi w:val="0"/>
        <w:spacing w:line="360" w:lineRule="auto"/>
        <w:ind w:firstLine="420" w:firstLineChars="200"/>
        <w:outlineLvl w:val="9"/>
        <w:rPr>
          <w:rFonts w:ascii="宋体" w:hAnsi="宋体" w:cs="宋体"/>
          <w:highlight w:val="none"/>
        </w:rPr>
      </w:pPr>
    </w:p>
    <w:p>
      <w:pPr>
        <w:kinsoku/>
        <w:wordWrap/>
        <w:overflowPunct/>
        <w:topLinePunct w:val="0"/>
        <w:bidi w:val="0"/>
        <w:spacing w:line="360" w:lineRule="auto"/>
        <w:ind w:firstLine="420" w:firstLineChars="200"/>
        <w:outlineLvl w:val="9"/>
        <w:rPr>
          <w:rFonts w:ascii="宋体" w:hAnsi="宋体" w:cs="宋体"/>
          <w:highlight w:val="none"/>
        </w:rPr>
      </w:pPr>
    </w:p>
    <w:p>
      <w:pPr>
        <w:kinsoku/>
        <w:wordWrap/>
        <w:overflowPunct/>
        <w:topLinePunct w:val="0"/>
        <w:bidi w:val="0"/>
        <w:spacing w:line="360" w:lineRule="auto"/>
        <w:ind w:firstLine="420" w:firstLineChars="200"/>
        <w:outlineLvl w:val="9"/>
        <w:rPr>
          <w:rFonts w:ascii="宋体" w:hAnsi="宋体" w:cs="宋体"/>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jc w:val="left"/>
        <w:outlineLvl w:val="9"/>
        <w:rPr>
          <w:rFonts w:hint="eastAsia" w:ascii="宋体" w:hAnsi="宋体" w:cs="宋体"/>
          <w:b/>
          <w:spacing w:val="6"/>
          <w:sz w:val="32"/>
          <w:szCs w:val="32"/>
          <w:highlight w:val="none"/>
        </w:rPr>
      </w:pPr>
    </w:p>
    <w:p>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附件2：质疑函范本及制作说明</w:t>
      </w:r>
    </w:p>
    <w:p>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质疑函范本</w:t>
      </w:r>
    </w:p>
    <w:p>
      <w:pPr>
        <w:kinsoku/>
        <w:wordWrap/>
        <w:overflowPunct/>
        <w:topLinePunct w:val="0"/>
        <w:bidi w:val="0"/>
        <w:snapToGrid w:val="0"/>
        <w:spacing w:before="240" w:beforeLines="100" w:line="360" w:lineRule="auto"/>
        <w:outlineLvl w:val="9"/>
        <w:rPr>
          <w:rFonts w:ascii="宋体" w:hAnsi="宋体" w:cs="宋体"/>
          <w:bCs/>
          <w:sz w:val="24"/>
          <w:highlight w:val="none"/>
        </w:rPr>
      </w:pPr>
      <w:r>
        <w:rPr>
          <w:rFonts w:hint="eastAsia" w:ascii="宋体" w:hAnsi="宋体" w:cs="宋体"/>
          <w:bCs/>
          <w:sz w:val="24"/>
          <w:highlight w:val="none"/>
        </w:rPr>
        <w:t>一、质疑供应商基本信息</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 xml:space="preserve">地址： </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二、质疑项目基本情况</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lang w:eastAsia="zh-CN"/>
        </w:rPr>
        <w:t>招标文件</w:t>
      </w:r>
      <w:r>
        <w:rPr>
          <w:rFonts w:hint="eastAsia" w:ascii="宋体" w:hAnsi="宋体" w:cs="宋体"/>
          <w:sz w:val="24"/>
          <w:highlight w:val="none"/>
        </w:rPr>
        <w:t>获取日期：</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三、质疑事项具体内容</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质疑事项2</w:t>
      </w:r>
    </w:p>
    <w:p>
      <w:pPr>
        <w:kinsoku/>
        <w:wordWrap/>
        <w:overflowPunct/>
        <w:topLinePunct w:val="0"/>
        <w:bidi w:val="0"/>
        <w:snapToGrid w:val="0"/>
        <w:spacing w:line="360" w:lineRule="auto"/>
        <w:outlineLvl w:val="9"/>
        <w:rPr>
          <w:rFonts w:ascii="宋体" w:hAnsi="宋体" w:cs="宋体"/>
          <w:sz w:val="24"/>
          <w:highlight w:val="none"/>
        </w:rPr>
      </w:pPr>
      <w:r>
        <w:rPr>
          <w:rFonts w:hint="eastAsia" w:ascii="宋体" w:hAnsi="宋体" w:cs="宋体"/>
          <w:sz w:val="24"/>
          <w:highlight w:val="none"/>
        </w:rPr>
        <w:t>……</w:t>
      </w:r>
    </w:p>
    <w:p>
      <w:pPr>
        <w:kinsoku/>
        <w:wordWrap/>
        <w:overflowPunct/>
        <w:topLinePunct w:val="0"/>
        <w:bidi w:val="0"/>
        <w:snapToGrid w:val="0"/>
        <w:spacing w:line="360" w:lineRule="auto"/>
        <w:outlineLvl w:val="9"/>
        <w:rPr>
          <w:rFonts w:ascii="宋体" w:hAnsi="宋体" w:cs="宋体"/>
          <w:bCs/>
          <w:sz w:val="24"/>
          <w:highlight w:val="none"/>
        </w:rPr>
      </w:pPr>
      <w:r>
        <w:rPr>
          <w:rFonts w:hint="eastAsia" w:ascii="宋体" w:hAnsi="宋体" w:cs="宋体"/>
          <w:bCs/>
          <w:sz w:val="24"/>
          <w:highlight w:val="none"/>
        </w:rPr>
        <w:t>四、与质疑事项相关的质疑请求</w:t>
      </w:r>
    </w:p>
    <w:p>
      <w:pPr>
        <w:kinsoku/>
        <w:wordWrap/>
        <w:overflowPunct/>
        <w:topLinePunct w:val="0"/>
        <w:bidi w:val="0"/>
        <w:snapToGrid w:val="0"/>
        <w:spacing w:line="360" w:lineRule="auto"/>
        <w:outlineLvl w:val="9"/>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pPr>
        <w:kinsoku/>
        <w:wordWrap/>
        <w:overflowPunct/>
        <w:topLinePunct w:val="0"/>
        <w:bidi w:val="0"/>
        <w:spacing w:line="360" w:lineRule="auto"/>
        <w:jc w:val="center"/>
        <w:outlineLvl w:val="9"/>
        <w:rPr>
          <w:rFonts w:ascii="宋体" w:hAnsi="宋体" w:cs="宋体"/>
          <w:b/>
          <w:bCs/>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质疑函制作说明：</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1.供应商提出质疑时，应提交质疑函和必要的证明材料。</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2.质疑供应商若委托代理人进行质疑的，质疑函应按要求列明“授权代表”的有关内容，并在附件中提交由质疑</w:t>
      </w:r>
      <w:r>
        <w:rPr>
          <w:rFonts w:hint="eastAsia" w:ascii="宋体" w:hAnsi="宋体" w:cs="宋体"/>
          <w:kern w:val="0"/>
          <w:sz w:val="24"/>
          <w:highlight w:val="none"/>
        </w:rPr>
        <w:t>供应商签署的授权委托书。授权委托书应载明代理人的姓名或者名称、代理事项、具体权限、期限和相关事项。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3.质疑供应商若对项目的某一分包进行质疑，质疑函中应列明具体分包号。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4.质疑函的质疑事项应具体、明确，并有必要的事实依据和法律依据。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5.质疑函的质疑请求应与质疑事项相关。</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6.质疑供应商为自然人的，质疑函应由本人签字；质疑供应商为法人或者其他组织的，质疑函应由法定代表人、主要负责人，或者其授权代表签字或者盖章，并加盖公章。</w:t>
      </w:r>
    </w:p>
    <w:p>
      <w:pPr>
        <w:widowControl/>
        <w:kinsoku/>
        <w:wordWrap/>
        <w:overflowPunct/>
        <w:topLinePunct w:val="0"/>
        <w:bidi w:val="0"/>
        <w:spacing w:line="360" w:lineRule="auto"/>
        <w:ind w:firstLine="600" w:firstLineChars="200"/>
        <w:jc w:val="left"/>
        <w:outlineLvl w:val="9"/>
        <w:rPr>
          <w:rFonts w:ascii="宋体" w:hAnsi="宋体" w:cs="宋体"/>
          <w:sz w:val="30"/>
          <w:szCs w:val="30"/>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p>
    <w:p>
      <w:pPr>
        <w:kinsoku/>
        <w:wordWrap/>
        <w:overflowPunct/>
        <w:topLinePunct w:val="0"/>
        <w:bidi w:val="0"/>
        <w:spacing w:line="360" w:lineRule="auto"/>
        <w:jc w:val="left"/>
        <w:outlineLvl w:val="9"/>
        <w:rPr>
          <w:rFonts w:ascii="宋体" w:hAnsi="宋体" w:cs="宋体"/>
          <w:b/>
          <w:spacing w:val="6"/>
          <w:sz w:val="32"/>
          <w:szCs w:val="32"/>
          <w:highlight w:val="none"/>
        </w:rPr>
      </w:pPr>
    </w:p>
    <w:p>
      <w:pPr>
        <w:kinsoku/>
        <w:wordWrap/>
        <w:overflowPunct/>
        <w:topLinePunct w:val="0"/>
        <w:bidi w:val="0"/>
        <w:spacing w:line="360" w:lineRule="auto"/>
        <w:jc w:val="left"/>
        <w:outlineLvl w:val="9"/>
        <w:rPr>
          <w:rFonts w:ascii="宋体" w:hAnsi="宋体" w:cs="宋体"/>
          <w:b/>
          <w:spacing w:val="6"/>
          <w:sz w:val="32"/>
          <w:szCs w:val="32"/>
          <w:highlight w:val="none"/>
        </w:rPr>
      </w:pPr>
    </w:p>
    <w:p>
      <w:pPr>
        <w:kinsoku/>
        <w:wordWrap/>
        <w:overflowPunct/>
        <w:topLinePunct w:val="0"/>
        <w:bidi w:val="0"/>
        <w:spacing w:line="360" w:lineRule="auto"/>
        <w:jc w:val="left"/>
        <w:outlineLvl w:val="9"/>
        <w:rPr>
          <w:rFonts w:ascii="宋体" w:hAnsi="宋体" w:cs="宋体"/>
          <w:b/>
          <w:spacing w:val="6"/>
          <w:sz w:val="32"/>
          <w:szCs w:val="32"/>
          <w:highlight w:val="none"/>
        </w:rPr>
      </w:pPr>
      <w:r>
        <w:rPr>
          <w:rFonts w:hint="eastAsia" w:ascii="宋体" w:hAnsi="宋体" w:cs="宋体"/>
          <w:b/>
          <w:spacing w:val="6"/>
          <w:sz w:val="32"/>
          <w:szCs w:val="32"/>
          <w:highlight w:val="none"/>
        </w:rPr>
        <w:t>附件3：投诉书范本及制作说明</w:t>
      </w:r>
    </w:p>
    <w:p>
      <w:pPr>
        <w:kinsoku/>
        <w:wordWrap/>
        <w:overflowPunct/>
        <w:topLinePunct w:val="0"/>
        <w:bidi w:val="0"/>
        <w:spacing w:line="360" w:lineRule="auto"/>
        <w:jc w:val="center"/>
        <w:outlineLvl w:val="9"/>
        <w:rPr>
          <w:rFonts w:ascii="宋体" w:hAnsi="宋体" w:cs="宋体"/>
          <w:b/>
          <w:sz w:val="24"/>
          <w:highlight w:val="none"/>
        </w:rPr>
      </w:pPr>
    </w:p>
    <w:p>
      <w:pPr>
        <w:kinsoku/>
        <w:wordWrap/>
        <w:overflowPunct/>
        <w:topLinePunct w:val="0"/>
        <w:bidi w:val="0"/>
        <w:spacing w:line="360" w:lineRule="auto"/>
        <w:jc w:val="center"/>
        <w:outlineLvl w:val="9"/>
        <w:rPr>
          <w:rFonts w:ascii="宋体" w:hAnsi="宋体" w:cs="宋体"/>
          <w:b/>
          <w:spacing w:val="6"/>
          <w:sz w:val="32"/>
          <w:szCs w:val="32"/>
          <w:highlight w:val="none"/>
        </w:rPr>
      </w:pPr>
      <w:r>
        <w:rPr>
          <w:rFonts w:hint="eastAsia" w:ascii="宋体" w:hAnsi="宋体" w:cs="宋体"/>
          <w:b/>
          <w:spacing w:val="6"/>
          <w:sz w:val="32"/>
          <w:szCs w:val="32"/>
          <w:highlight w:val="none"/>
        </w:rPr>
        <w:t>投诉书范本</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一、投诉相关主体基本情况</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tabs>
          <w:tab w:val="left" w:pos="6510"/>
        </w:tabs>
        <w:kinsoku/>
        <w:wordWrap/>
        <w:overflowPunct/>
        <w:topLinePunct w:val="0"/>
        <w:bidi w:val="0"/>
        <w:spacing w:line="360" w:lineRule="auto"/>
        <w:jc w:val="left"/>
        <w:outlineLvl w:val="9"/>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tabs>
          <w:tab w:val="left" w:pos="6510"/>
        </w:tabs>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被投诉人2</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dotted"/>
        </w:rPr>
        <w:t xml:space="preserve">                             </w:t>
      </w:r>
      <w:r>
        <w:rPr>
          <w:rFonts w:hint="eastAsia" w:ascii="宋体" w:hAnsi="宋体" w:cs="宋体"/>
          <w:sz w:val="24"/>
          <w:highlight w:val="none"/>
        </w:rPr>
        <w:t>邮编：</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dotted"/>
        </w:rPr>
        <w:t xml:space="preserve">               </w:t>
      </w:r>
      <w:r>
        <w:rPr>
          <w:rFonts w:hint="eastAsia" w:ascii="宋体" w:hAnsi="宋体" w:cs="宋体"/>
          <w:sz w:val="24"/>
          <w:highlight w:val="none"/>
        </w:rPr>
        <w:t>联系电话：</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二、投诉项目基本情况</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dotted"/>
        </w:rPr>
        <w:t xml:space="preserve">                 </w:t>
      </w:r>
      <w:r>
        <w:rPr>
          <w:rFonts w:hint="eastAsia" w:ascii="宋体" w:hAnsi="宋体" w:cs="宋体"/>
          <w:sz w:val="24"/>
          <w:highlight w:val="none"/>
        </w:rPr>
        <w:t>包号：</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lang w:eastAsia="zh-CN"/>
        </w:rPr>
        <w:t>招标文件</w:t>
      </w:r>
      <w:r>
        <w:rPr>
          <w:rFonts w:hint="eastAsia" w:ascii="宋体" w:hAnsi="宋体" w:cs="宋体"/>
          <w:sz w:val="24"/>
          <w:highlight w:val="none"/>
        </w:rPr>
        <w:t>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dotted"/>
        </w:rPr>
        <w:t xml:space="preserve">是/否 </w:t>
      </w:r>
      <w:r>
        <w:rPr>
          <w:rFonts w:hint="eastAsia" w:ascii="宋体" w:hAnsi="宋体" w:cs="宋体"/>
          <w:sz w:val="24"/>
          <w:highlight w:val="none"/>
        </w:rPr>
        <w:t>公告期限：</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三、质疑基本情况</w:t>
      </w:r>
    </w:p>
    <w:p>
      <w:pPr>
        <w:kinsoku/>
        <w:wordWrap/>
        <w:overflowPunct/>
        <w:topLinePunct w:val="0"/>
        <w:bidi w:val="0"/>
        <w:spacing w:line="360" w:lineRule="auto"/>
        <w:ind w:firstLine="480" w:firstLineChars="200"/>
        <w:outlineLvl w:val="9"/>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dotted"/>
        </w:rPr>
        <w:t xml:space="preserve">                   </w:t>
      </w:r>
      <w:r>
        <w:rPr>
          <w:rFonts w:hint="eastAsia" w:ascii="宋体" w:hAnsi="宋体" w:cs="宋体"/>
          <w:sz w:val="24"/>
          <w:highlight w:val="none"/>
        </w:rPr>
        <w:t>提出质疑，质疑事项为：</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kinsoku/>
        <w:wordWrap/>
        <w:overflowPunct/>
        <w:topLinePunct w:val="0"/>
        <w:bidi w:val="0"/>
        <w:spacing w:line="360" w:lineRule="auto"/>
        <w:ind w:firstLine="360" w:firstLineChars="150"/>
        <w:outlineLvl w:val="9"/>
        <w:rPr>
          <w:rFonts w:ascii="宋体" w:hAnsi="宋体" w:cs="宋体"/>
          <w:sz w:val="24"/>
          <w:highlight w:val="none"/>
        </w:rPr>
      </w:pPr>
      <w:r>
        <w:rPr>
          <w:rFonts w:hint="eastAsia" w:ascii="宋体" w:hAnsi="宋体" w:cs="宋体"/>
          <w:sz w:val="24"/>
          <w:highlight w:val="none"/>
          <w:u w:val="dotted"/>
        </w:rPr>
        <w:t>采购人/代理机构</w:t>
      </w:r>
      <w:r>
        <w:rPr>
          <w:rFonts w:hint="eastAsia" w:ascii="宋体" w:hAnsi="宋体" w:cs="宋体"/>
          <w:sz w:val="24"/>
          <w:highlight w:val="none"/>
        </w:rPr>
        <w:t>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日,就质疑事项作出了答复/没有在法定期限内作出答复。</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四、投诉事项具体内容</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u w:val="dotted"/>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投诉事项2</w:t>
      </w:r>
    </w:p>
    <w:p>
      <w:pPr>
        <w:kinsoku/>
        <w:wordWrap/>
        <w:overflowPunct/>
        <w:topLinePunct w:val="0"/>
        <w:bidi w:val="0"/>
        <w:spacing w:line="360" w:lineRule="auto"/>
        <w:outlineLvl w:val="9"/>
        <w:rPr>
          <w:rFonts w:ascii="宋体" w:hAnsi="宋体" w:cs="宋体"/>
          <w:sz w:val="24"/>
          <w:highlight w:val="none"/>
          <w:u w:val="dotted"/>
        </w:rPr>
      </w:pPr>
      <w:r>
        <w:rPr>
          <w:rFonts w:hint="eastAsia" w:ascii="宋体" w:hAnsi="宋体" w:cs="宋体"/>
          <w:sz w:val="24"/>
          <w:highlight w:val="none"/>
        </w:rPr>
        <w:t>……</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五、与投诉事项相关的投诉请求</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dotted"/>
        </w:rPr>
        <w:t xml:space="preserve">                                              </w:t>
      </w:r>
      <w:r>
        <w:rPr>
          <w:rFonts w:hint="eastAsia" w:ascii="宋体" w:hAnsi="宋体" w:cs="宋体"/>
          <w:sz w:val="24"/>
          <w:highlight w:val="none"/>
        </w:rPr>
        <w:t xml:space="preserve"> </w:t>
      </w:r>
    </w:p>
    <w:p>
      <w:pPr>
        <w:kinsoku/>
        <w:wordWrap/>
        <w:overflowPunct/>
        <w:topLinePunct w:val="0"/>
        <w:bidi w:val="0"/>
        <w:spacing w:line="360" w:lineRule="auto"/>
        <w:outlineLvl w:val="9"/>
        <w:rPr>
          <w:rFonts w:ascii="宋体" w:hAnsi="宋体" w:cs="宋体"/>
          <w:sz w:val="24"/>
          <w:highlight w:val="none"/>
          <w:u w:val="single"/>
        </w:rPr>
      </w:pPr>
      <w:r>
        <w:rPr>
          <w:rFonts w:hint="eastAsia" w:ascii="宋体" w:hAnsi="宋体" w:cs="宋体"/>
          <w:sz w:val="24"/>
          <w:highlight w:val="none"/>
        </w:rPr>
        <w:t xml:space="preserve">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签字(签章)：                   公章：                      </w:t>
      </w:r>
    </w:p>
    <w:p>
      <w:pPr>
        <w:kinsoku/>
        <w:wordWrap/>
        <w:overflowPunct/>
        <w:topLinePunct w:val="0"/>
        <w:bidi w:val="0"/>
        <w:spacing w:line="360" w:lineRule="auto"/>
        <w:outlineLvl w:val="9"/>
        <w:rPr>
          <w:rFonts w:ascii="宋体" w:hAnsi="宋体" w:cs="宋体"/>
          <w:sz w:val="24"/>
          <w:highlight w:val="none"/>
        </w:rPr>
      </w:pPr>
      <w:r>
        <w:rPr>
          <w:rFonts w:hint="eastAsia" w:ascii="宋体" w:hAnsi="宋体" w:cs="宋体"/>
          <w:sz w:val="24"/>
          <w:highlight w:val="none"/>
        </w:rPr>
        <w:t xml:space="preserve">日期：    </w:t>
      </w: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bidi w:val="0"/>
        <w:spacing w:line="360" w:lineRule="auto"/>
        <w:outlineLvl w:val="9"/>
        <w:rPr>
          <w:rFonts w:ascii="宋体" w:hAnsi="宋体" w:cs="宋体"/>
          <w:b/>
          <w:sz w:val="24"/>
          <w:highlight w:val="none"/>
        </w:rPr>
      </w:pPr>
      <w:r>
        <w:rPr>
          <w:rFonts w:hint="eastAsia" w:ascii="宋体" w:hAnsi="宋体" w:cs="宋体"/>
          <w:b/>
          <w:sz w:val="24"/>
          <w:highlight w:val="none"/>
        </w:rPr>
        <w:t>投诉书制作说明：</w:t>
      </w:r>
    </w:p>
    <w:p>
      <w:pPr>
        <w:widowControl/>
        <w:kinsoku/>
        <w:wordWrap/>
        <w:overflowPunct/>
        <w:topLinePunct w:val="0"/>
        <w:bidi w:val="0"/>
        <w:spacing w:line="360" w:lineRule="auto"/>
        <w:ind w:firstLine="480" w:firstLineChars="200"/>
        <w:outlineLvl w:val="9"/>
        <w:rPr>
          <w:rFonts w:ascii="宋体" w:hAnsi="宋体" w:cs="宋体"/>
          <w:kern w:val="0"/>
          <w:sz w:val="24"/>
          <w:highlight w:val="none"/>
        </w:rPr>
      </w:pPr>
      <w:r>
        <w:rPr>
          <w:rFonts w:hint="eastAsia" w:ascii="宋体" w:hAnsi="宋体" w:cs="宋体"/>
          <w:sz w:val="24"/>
          <w:highlight w:val="none"/>
        </w:rPr>
        <w:t>1.投诉人提起投诉时，应当提交投诉书和必要的证明材料，并按照被投诉人和与投诉事项有关的供应商数量提供投诉书副本。</w:t>
      </w:r>
    </w:p>
    <w:p>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2.投诉人若委托代理人进行投诉的，投诉书应按照要求列明“授权代表”的有关内容，并在附件中提交由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3.投诉人若对项目的某一分包进行投诉，投诉书应列明具体分包号。</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4.投诉书应简要列明质疑事项，质疑函、质疑答复等作为附件材料提供。</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5.投诉书的投诉事项应具体、明确，并有必要的事实依据和法律依据。</w:t>
      </w:r>
    </w:p>
    <w:p>
      <w:pPr>
        <w:widowControl/>
        <w:kinsoku/>
        <w:wordWrap/>
        <w:overflowPunct/>
        <w:topLinePunct w:val="0"/>
        <w:bidi w:val="0"/>
        <w:spacing w:line="360" w:lineRule="auto"/>
        <w:ind w:firstLine="480" w:firstLineChars="200"/>
        <w:jc w:val="left"/>
        <w:outlineLvl w:val="9"/>
        <w:rPr>
          <w:rFonts w:ascii="宋体" w:hAnsi="宋体" w:cs="宋体"/>
          <w:sz w:val="24"/>
          <w:highlight w:val="none"/>
        </w:rPr>
      </w:pPr>
      <w:r>
        <w:rPr>
          <w:rFonts w:hint="eastAsia" w:ascii="宋体" w:hAnsi="宋体" w:cs="宋体"/>
          <w:sz w:val="24"/>
          <w:highlight w:val="none"/>
        </w:rPr>
        <w:t>6.投诉书的投诉请求应与投诉事项相关。</w:t>
      </w:r>
    </w:p>
    <w:p>
      <w:pPr>
        <w:widowControl/>
        <w:kinsoku/>
        <w:wordWrap/>
        <w:overflowPunct/>
        <w:topLinePunct w:val="0"/>
        <w:bidi w:val="0"/>
        <w:spacing w:line="360" w:lineRule="auto"/>
        <w:ind w:firstLine="480" w:firstLineChars="200"/>
        <w:jc w:val="left"/>
        <w:outlineLvl w:val="9"/>
        <w:rPr>
          <w:rFonts w:ascii="宋体" w:hAnsi="宋体" w:cs="宋体"/>
          <w:kern w:val="0"/>
          <w:sz w:val="24"/>
          <w:highlight w:val="none"/>
        </w:rPr>
      </w:pPr>
      <w:r>
        <w:rPr>
          <w:rFonts w:hint="eastAsia" w:ascii="宋体" w:hAnsi="宋体" w:cs="宋体"/>
          <w:sz w:val="24"/>
          <w:highlight w:val="none"/>
        </w:rPr>
        <w:t>7.投诉人为自然人的，投诉书应当由本人签字；投诉人为法人或者其他组织的，投诉书应当由法定代表人、主要负责人，或者其授权代表签字或者盖章，并加盖公章。</w:t>
      </w:r>
    </w:p>
    <w:p>
      <w:pPr>
        <w:kinsoku/>
        <w:wordWrap/>
        <w:overflowPunct/>
        <w:topLinePunct w:val="0"/>
        <w:bidi w:val="0"/>
        <w:spacing w:line="360" w:lineRule="auto"/>
        <w:outlineLvl w:val="9"/>
        <w:rPr>
          <w:rFonts w:ascii="宋体" w:hAnsi="宋体" w:cs="宋体"/>
          <w:b/>
          <w:sz w:val="24"/>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bCs/>
          <w:sz w:val="32"/>
          <w:szCs w:val="32"/>
          <w:highlight w:val="none"/>
        </w:rPr>
      </w:pPr>
      <w:r>
        <w:rPr>
          <w:rFonts w:hint="eastAsia" w:ascii="宋体" w:hAnsi="宋体" w:cs="宋体"/>
          <w:b/>
          <w:spacing w:val="6"/>
          <w:sz w:val="32"/>
          <w:szCs w:val="32"/>
          <w:highlight w:val="none"/>
        </w:rPr>
        <w:t>附件4：</w:t>
      </w:r>
      <w:r>
        <w:rPr>
          <w:rFonts w:hint="eastAsia" w:ascii="宋体" w:hAnsi="宋体" w:cs="宋体"/>
          <w:b/>
          <w:bCs/>
          <w:sz w:val="32"/>
          <w:szCs w:val="32"/>
          <w:highlight w:val="none"/>
        </w:rPr>
        <w:t>业务专用章使用说明函</w:t>
      </w:r>
    </w:p>
    <w:p>
      <w:pPr>
        <w:kinsoku/>
        <w:wordWrap/>
        <w:overflowPunct/>
        <w:topLinePunct w:val="0"/>
        <w:bidi w:val="0"/>
        <w:spacing w:line="360" w:lineRule="auto"/>
        <w:outlineLvl w:val="9"/>
        <w:rPr>
          <w:rFonts w:ascii="宋体" w:hAnsi="宋体" w:cs="宋体"/>
          <w:color w:val="0000FF"/>
          <w:sz w:val="24"/>
          <w:highlight w:val="none"/>
          <w:u w:val="single"/>
        </w:rPr>
      </w:pPr>
    </w:p>
    <w:p>
      <w:pPr>
        <w:kinsoku/>
        <w:wordWrap/>
        <w:overflowPunct/>
        <w:topLinePunct w:val="0"/>
        <w:bidi w:val="0"/>
        <w:spacing w:line="360" w:lineRule="auto"/>
        <w:outlineLvl w:val="9"/>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pPr>
        <w:kinsoku/>
        <w:wordWrap/>
        <w:overflowPunct/>
        <w:topLinePunct w:val="0"/>
        <w:bidi w:val="0"/>
        <w:spacing w:line="360" w:lineRule="auto"/>
        <w:ind w:firstLine="480" w:firstLineChars="200"/>
        <w:outlineLvl w:val="9"/>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kinsoku/>
        <w:wordWrap/>
        <w:overflowPunct/>
        <w:topLinePunct w:val="0"/>
        <w:bidi w:val="0"/>
        <w:spacing w:line="360" w:lineRule="auto"/>
        <w:ind w:firstLine="480" w:firstLineChars="200"/>
        <w:outlineLvl w:val="9"/>
        <w:rPr>
          <w:rFonts w:ascii="宋体" w:hAnsi="宋体" w:cs="宋体"/>
          <w:sz w:val="24"/>
          <w:highlight w:val="none"/>
        </w:rPr>
      </w:pPr>
      <w:r>
        <w:rPr>
          <w:rFonts w:hint="eastAsia" w:ascii="宋体" w:hAnsi="宋体" w:cs="宋体"/>
          <w:sz w:val="24"/>
          <w:highlight w:val="none"/>
        </w:rPr>
        <w:t>特此说明。</w:t>
      </w:r>
    </w:p>
    <w:p>
      <w:pPr>
        <w:kinsoku/>
        <w:wordWrap/>
        <w:overflowPunct/>
        <w:topLinePunct w:val="0"/>
        <w:bidi w:val="0"/>
        <w:spacing w:line="360" w:lineRule="auto"/>
        <w:ind w:firstLine="494"/>
        <w:outlineLvl w:val="9"/>
        <w:rPr>
          <w:rFonts w:ascii="宋体" w:hAnsi="宋体" w:cs="宋体"/>
          <w:sz w:val="24"/>
          <w:highlight w:val="none"/>
        </w:rPr>
      </w:pPr>
    </w:p>
    <w:p>
      <w:pPr>
        <w:kinsoku/>
        <w:wordWrap/>
        <w:overflowPunct/>
        <w:topLinePunct w:val="0"/>
        <w:bidi w:val="0"/>
        <w:spacing w:line="360" w:lineRule="auto"/>
        <w:ind w:firstLine="494"/>
        <w:outlineLvl w:val="9"/>
        <w:rPr>
          <w:rFonts w:ascii="宋体" w:hAnsi="宋体" w:cs="宋体"/>
          <w:sz w:val="24"/>
          <w:highlight w:val="none"/>
        </w:rPr>
      </w:pPr>
    </w:p>
    <w:p>
      <w:pPr>
        <w:kinsoku/>
        <w:wordWrap/>
        <w:overflowPunct/>
        <w:topLinePunct w:val="0"/>
        <w:bidi w:val="0"/>
        <w:spacing w:line="360" w:lineRule="auto"/>
        <w:ind w:firstLine="494"/>
        <w:outlineLvl w:val="9"/>
        <w:rPr>
          <w:rFonts w:ascii="宋体" w:hAnsi="宋体" w:cs="宋体"/>
          <w:sz w:val="24"/>
          <w:highlight w:val="none"/>
        </w:rPr>
      </w:pPr>
    </w:p>
    <w:p>
      <w:pPr>
        <w:kinsoku/>
        <w:wordWrap/>
        <w:overflowPunct/>
        <w:topLinePunct w:val="0"/>
        <w:bidi w:val="0"/>
        <w:spacing w:line="360" w:lineRule="auto"/>
        <w:ind w:right="480" w:firstLine="4080" w:firstLineChars="1700"/>
        <w:outlineLvl w:val="9"/>
        <w:rPr>
          <w:rFonts w:ascii="宋体" w:hAnsi="宋体" w:cs="宋体"/>
          <w:sz w:val="24"/>
          <w:highlight w:val="none"/>
        </w:rPr>
      </w:pPr>
      <w:r>
        <w:rPr>
          <w:rFonts w:hint="eastAsia" w:ascii="宋体" w:hAnsi="宋体" w:cs="宋体"/>
          <w:sz w:val="24"/>
          <w:highlight w:val="none"/>
        </w:rPr>
        <w:t>投标单位（法定名称章）：</w:t>
      </w:r>
    </w:p>
    <w:p>
      <w:pPr>
        <w:kinsoku/>
        <w:wordWrap/>
        <w:overflowPunct/>
        <w:topLinePunct w:val="0"/>
        <w:bidi w:val="0"/>
        <w:ind w:right="1440" w:firstLine="494"/>
        <w:jc w:val="center"/>
        <w:outlineLvl w:val="9"/>
        <w:rPr>
          <w:rFonts w:ascii="宋体" w:hAnsi="宋体" w:cs="宋体"/>
          <w:sz w:val="24"/>
          <w:highlight w:val="none"/>
        </w:rPr>
      </w:pPr>
      <w:r>
        <w:rPr>
          <w:rFonts w:hint="eastAsia" w:ascii="宋体" w:hAnsi="宋体" w:cs="宋体"/>
          <w:sz w:val="24"/>
          <w:highlight w:val="none"/>
        </w:rPr>
        <w:t xml:space="preserve">                              日期：       年     月     日</w:t>
      </w:r>
    </w:p>
    <w:p>
      <w:pPr>
        <w:kinsoku/>
        <w:wordWrap/>
        <w:overflowPunct/>
        <w:topLinePunct w:val="0"/>
        <w:bidi w:val="0"/>
        <w:outlineLvl w:val="9"/>
        <w:rPr>
          <w:rFonts w:ascii="宋体" w:hAnsi="宋体" w:cs="宋体"/>
          <w:sz w:val="24"/>
          <w:highlight w:val="none"/>
        </w:rPr>
      </w:pPr>
      <w:r>
        <w:rPr>
          <w:rFonts w:hint="eastAsia" w:ascii="宋体" w:hAnsi="宋体" w:cs="宋体"/>
          <w:b/>
          <w:bCs/>
          <w:sz w:val="24"/>
          <w:highlight w:val="none"/>
        </w:rPr>
        <w:t>附：</w:t>
      </w:r>
    </w:p>
    <w:p>
      <w:pPr>
        <w:kinsoku/>
        <w:wordWrap/>
        <w:overflowPunct/>
        <w:topLinePunct w:val="0"/>
        <w:bidi w:val="0"/>
        <w:spacing w:line="360" w:lineRule="auto"/>
        <w:outlineLvl w:val="9"/>
        <w:rPr>
          <w:rFonts w:ascii="宋体" w:hAnsi="宋体" w:cs="宋体"/>
          <w:bCs/>
          <w:sz w:val="24"/>
          <w:highlight w:val="none"/>
        </w:rPr>
      </w:pPr>
      <w:r>
        <w:rPr>
          <w:rFonts w:hint="eastAsia" w:ascii="宋体" w:hAnsi="宋体" w:cs="宋体"/>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b/>
          <w:bCs/>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sz w:val="24"/>
          <w:highlight w:val="none"/>
        </w:rPr>
        <w:t>投标单位法定名称章（印模）                投标单位“XX专用章”（印模）</w:t>
      </w: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autoSpaceDE w:val="0"/>
        <w:autoSpaceDN w:val="0"/>
        <w:bidi w:val="0"/>
        <w:jc w:val="center"/>
        <w:outlineLvl w:val="9"/>
        <w:rPr>
          <w:rFonts w:ascii="宋体" w:hAnsi="宋体" w:cs="宋体"/>
          <w:b/>
          <w:spacing w:val="6"/>
          <w:sz w:val="32"/>
          <w:szCs w:val="32"/>
          <w:highlight w:val="none"/>
        </w:rPr>
      </w:pPr>
    </w:p>
    <w:p>
      <w:pPr>
        <w:kinsoku/>
        <w:wordWrap/>
        <w:overflowPunct/>
        <w:topLinePunct w:val="0"/>
        <w:bidi w:val="0"/>
        <w:snapToGrid w:val="0"/>
        <w:spacing w:line="360" w:lineRule="auto"/>
        <w:jc w:val="center"/>
        <w:outlineLvl w:val="9"/>
        <w:rPr>
          <w:rFonts w:hint="eastAsia" w:ascii="宋体" w:hAnsi="宋体" w:cs="宋体"/>
          <w:b/>
          <w:kern w:val="0"/>
          <w:sz w:val="32"/>
          <w:szCs w:val="32"/>
          <w:highlight w:val="none"/>
        </w:rPr>
      </w:pPr>
    </w:p>
    <w:p>
      <w:pPr>
        <w:kinsoku/>
        <w:wordWrap/>
        <w:overflowPunct/>
        <w:topLinePunct w:val="0"/>
        <w:bidi w:val="0"/>
        <w:snapToGrid w:val="0"/>
        <w:spacing w:line="360" w:lineRule="auto"/>
        <w:jc w:val="center"/>
        <w:outlineLvl w:val="9"/>
        <w:rPr>
          <w:rFonts w:ascii="宋体" w:hAnsi="宋体" w:cs="宋体"/>
          <w:b/>
          <w:kern w:val="0"/>
          <w:sz w:val="32"/>
          <w:szCs w:val="32"/>
          <w:highlight w:val="none"/>
        </w:rPr>
      </w:pPr>
      <w:r>
        <w:rPr>
          <w:rFonts w:hint="eastAsia" w:ascii="宋体" w:hAnsi="宋体" w:cs="宋体"/>
          <w:b/>
          <w:kern w:val="0"/>
          <w:sz w:val="32"/>
          <w:szCs w:val="32"/>
          <w:highlight w:val="none"/>
        </w:rPr>
        <w:t>附件</w:t>
      </w:r>
      <w:r>
        <w:rPr>
          <w:rFonts w:ascii="宋体" w:hAnsi="宋体" w:cs="宋体"/>
          <w:b/>
          <w:kern w:val="0"/>
          <w:sz w:val="32"/>
          <w:szCs w:val="32"/>
          <w:highlight w:val="none"/>
        </w:rPr>
        <w:t>5</w:t>
      </w:r>
      <w:r>
        <w:rPr>
          <w:rFonts w:hint="eastAsia" w:ascii="宋体" w:hAnsi="宋体" w:cs="宋体"/>
          <w:b/>
          <w:kern w:val="0"/>
          <w:sz w:val="32"/>
          <w:szCs w:val="32"/>
          <w:highlight w:val="none"/>
        </w:rPr>
        <w:t>：联合协议</w:t>
      </w:r>
    </w:p>
    <w:p>
      <w:pPr>
        <w:keepNext w:val="0"/>
        <w:keepLines w:val="0"/>
        <w:pageBreakBefore w:val="0"/>
        <w:widowControl/>
        <w:kinsoku/>
        <w:wordWrap/>
        <w:overflowPunct/>
        <w:topLinePunct w:val="0"/>
        <w:autoSpaceDE/>
        <w:autoSpaceDN/>
        <w:bidi w:val="0"/>
        <w:adjustRightInd w:val="0"/>
        <w:spacing w:line="288" w:lineRule="auto"/>
        <w:ind w:firstLine="482" w:firstLineChars="200"/>
        <w:jc w:val="left"/>
        <w:textAlignment w:val="auto"/>
        <w:outlineLvl w:val="9"/>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不以联合体形式投标的，则不需要提供）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w:t>
      </w:r>
      <w:r>
        <w:rPr>
          <w:rFonts w:hint="eastAsia" w:ascii="宋体" w:hAnsi="宋体" w:cs="宋体"/>
          <w:sz w:val="24"/>
          <w:highlight w:val="none"/>
        </w:rPr>
        <w:t>表所有联合体成员负责投标和合同实施阶段的主办、协调工作</w:t>
      </w:r>
      <w:r>
        <w:rPr>
          <w:rFonts w:hint="eastAsia" w:ascii="宋体" w:hAnsi="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二、</w:t>
      </w:r>
      <w:r>
        <w:rPr>
          <w:rFonts w:hint="eastAsia" w:ascii="宋体" w:hAnsi="宋体" w:cs="宋体"/>
          <w:sz w:val="24"/>
          <w:highlight w:val="none"/>
        </w:rPr>
        <w:t>所有联合体成员各方签署授权书，授权书载明的</w:t>
      </w:r>
      <w:r>
        <w:rPr>
          <w:rFonts w:hint="eastAsia" w:ascii="宋体" w:hAnsi="宋体" w:cs="宋体"/>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三、本次联合投标中，分工如下：</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bookmarkStart w:id="524" w:name="_Hlk101134295"/>
      <w:r>
        <w:rPr>
          <w:rFonts w:hint="eastAsia" w:ascii="宋体" w:hAnsi="宋体" w:cs="宋体"/>
          <w:kern w:val="0"/>
          <w:sz w:val="24"/>
          <w:highlight w:val="none"/>
          <w:u w:val="single"/>
        </w:rPr>
        <w:t>（联合体成员1）</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u w:val="single"/>
        </w:rPr>
        <w:t>（联合体成员</w:t>
      </w:r>
      <w:r>
        <w:rPr>
          <w:rFonts w:ascii="宋体" w:hAnsi="宋体" w:cs="宋体"/>
          <w:kern w:val="0"/>
          <w:sz w:val="24"/>
          <w:highlight w:val="none"/>
          <w:u w:val="single"/>
        </w:rPr>
        <w:t>2</w:t>
      </w:r>
      <w:r>
        <w:rPr>
          <w:rFonts w:hint="eastAsia" w:ascii="宋体" w:hAnsi="宋体" w:cs="宋体"/>
          <w:kern w:val="0"/>
          <w:sz w:val="24"/>
          <w:highlight w:val="none"/>
          <w:u w:val="single"/>
        </w:rPr>
        <w:t>）</w:t>
      </w:r>
      <w:r>
        <w:rPr>
          <w:rFonts w:hint="eastAsia" w:ascii="宋体" w:hAnsi="宋体" w:cs="宋体"/>
          <w:kern w:val="0"/>
          <w:sz w:val="24"/>
          <w:highlight w:val="none"/>
          <w:lang w:val="zh-CN"/>
        </w:rPr>
        <w:t>承担的工作和义务为：</w:t>
      </w:r>
      <w:r>
        <w:rPr>
          <w:rFonts w:hint="eastAsia" w:ascii="宋体" w:hAnsi="宋体" w:cs="宋体"/>
          <w:highlight w:val="none"/>
          <w:u w:val="single"/>
        </w:rPr>
        <w:t xml:space="preserve">             </w:t>
      </w:r>
      <w:r>
        <w:rPr>
          <w:rFonts w:hint="eastAsia" w:ascii="宋体" w:hAnsi="宋体" w:cs="宋体"/>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w:t>
      </w:r>
    </w:p>
    <w:bookmarkEnd w:id="524"/>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四、联合体成员中小企业合同份额。</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b/>
          <w:kern w:val="0"/>
          <w:sz w:val="24"/>
          <w:highlight w:val="none"/>
          <w:lang w:val="zh-CN"/>
        </w:rPr>
      </w:pPr>
      <w:r>
        <w:rPr>
          <w:rFonts w:hint="eastAsia" w:ascii="宋体" w:hAnsi="宋体" w:cs="宋体"/>
          <w:kern w:val="0"/>
          <w:sz w:val="24"/>
          <w:highlight w:val="none"/>
          <w:lang w:val="zh-CN"/>
        </w:rPr>
        <w:t>1、</w:t>
      </w:r>
      <w:r>
        <w:rPr>
          <w:rFonts w:hint="eastAsia" w:ascii="宋体" w:hAnsi="宋体" w:cs="宋体"/>
          <w:kern w:val="0"/>
          <w:sz w:val="24"/>
          <w:highlight w:val="none"/>
          <w:u w:val="single"/>
        </w:rPr>
        <w:t>（联合体成员</w:t>
      </w:r>
      <w:r>
        <w:rPr>
          <w:rFonts w:ascii="宋体" w:hAnsi="宋体" w:cs="宋体"/>
          <w:kern w:val="0"/>
          <w:sz w:val="24"/>
          <w:highlight w:val="none"/>
          <w:u w:val="single"/>
        </w:rPr>
        <w:t>X,</w:t>
      </w:r>
      <w:r>
        <w:rPr>
          <w:rFonts w:hint="eastAsia" w:ascii="宋体" w:hAnsi="宋体" w:cs="宋体"/>
          <w:kern w:val="0"/>
          <w:sz w:val="24"/>
          <w:highlight w:val="none"/>
          <w:u w:val="single"/>
        </w:rPr>
        <w:t>……）</w:t>
      </w:r>
      <w:r>
        <w:rPr>
          <w:rFonts w:hint="eastAsia" w:ascii="宋体" w:hAnsi="宋体" w:cs="宋体"/>
          <w:kern w:val="0"/>
          <w:sz w:val="24"/>
          <w:highlight w:val="none"/>
        </w:rPr>
        <w:t>提供的全部货物由小微企业制造，其合同份额占到合同总金额</w:t>
      </w:r>
      <w:r>
        <w:rPr>
          <w:rFonts w:hint="eastAsia" w:ascii="宋体" w:hAnsi="宋体" w:cs="宋体"/>
          <w:kern w:val="0"/>
          <w:sz w:val="24"/>
          <w:highlight w:val="none"/>
          <w:u w:val="single"/>
        </w:rPr>
        <w:t xml:space="preserve">     </w:t>
      </w:r>
      <w:r>
        <w:rPr>
          <w:rFonts w:hint="eastAsia" w:ascii="宋体" w:hAnsi="宋体" w:cs="宋体"/>
          <w:kern w:val="0"/>
          <w:sz w:val="24"/>
          <w:highlight w:val="none"/>
        </w:rPr>
        <w:t>%以上；</w:t>
      </w:r>
      <w:r>
        <w:rPr>
          <w:rFonts w:hint="eastAsia" w:ascii="宋体" w:hAnsi="宋体" w:cs="宋体"/>
          <w:kern w:val="0"/>
          <w:sz w:val="24"/>
          <w:highlight w:val="none"/>
          <w:lang w:val="zh-CN"/>
        </w:rPr>
        <w:t>……。</w:t>
      </w:r>
      <w:r>
        <w:rPr>
          <w:rFonts w:hint="eastAsia" w:ascii="宋体" w:hAnsi="宋体" w:cs="宋体"/>
          <w:b/>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highlight w:val="none"/>
        </w:rPr>
        <w:t>拟享受以上价格扣除政策的，填写有关内容。</w:t>
      </w:r>
      <w:r>
        <w:rPr>
          <w:rFonts w:hint="eastAsia" w:ascii="宋体" w:hAnsi="宋体" w:cs="宋体"/>
          <w:b/>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sz w:val="24"/>
          <w:highlight w:val="none"/>
        </w:rPr>
        <w:t>2、中小企业合同金额达到</w:t>
      </w:r>
      <w:r>
        <w:rPr>
          <w:rFonts w:hint="eastAsia" w:ascii="宋体" w:hAnsi="宋体" w:cs="宋体"/>
          <w:sz w:val="24"/>
          <w:highlight w:val="none"/>
          <w:u w:val="single"/>
        </w:rPr>
        <w:t xml:space="preserve">  </w:t>
      </w:r>
      <w:r>
        <w:rPr>
          <w:rFonts w:hint="eastAsia" w:ascii="宋体" w:hAnsi="宋体" w:cs="宋体"/>
          <w:sz w:val="24"/>
          <w:highlight w:val="none"/>
        </w:rPr>
        <w:t>%，其中小微企业合同金额达到</w:t>
      </w:r>
      <w:r>
        <w:rPr>
          <w:rFonts w:hint="eastAsia" w:ascii="宋体" w:hAnsi="宋体" w:cs="宋体"/>
          <w:sz w:val="24"/>
          <w:highlight w:val="none"/>
          <w:u w:val="single"/>
        </w:rPr>
        <w:t xml:space="preserve"> </w:t>
      </w:r>
      <w:r>
        <w:rPr>
          <w:rFonts w:hint="eastAsia" w:ascii="宋体" w:hAnsi="宋体" w:cs="宋体"/>
          <w:sz w:val="24"/>
          <w:highlight w:val="none"/>
        </w:rPr>
        <w:t>%</w:t>
      </w:r>
      <w:r>
        <w:rPr>
          <w:rFonts w:hint="eastAsia" w:ascii="宋体" w:hAnsi="宋体" w:cs="宋体"/>
          <w:kern w:val="0"/>
          <w:sz w:val="24"/>
          <w:highlight w:val="none"/>
          <w:lang w:val="zh-CN"/>
        </w:rPr>
        <w:t>。</w:t>
      </w:r>
      <w:r>
        <w:rPr>
          <w:rFonts w:hint="eastAsia" w:ascii="宋体" w:hAnsi="宋体" w:cs="宋体"/>
          <w:b/>
          <w:bCs/>
          <w:kern w:val="0"/>
          <w:sz w:val="24"/>
          <w:highlight w:val="none"/>
          <w:lang w:val="zh-CN"/>
        </w:rPr>
        <w:t>（</w:t>
      </w:r>
      <w:r>
        <w:rPr>
          <w:rFonts w:hint="eastAsia" w:ascii="宋体" w:hAnsi="宋体" w:cs="宋体"/>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highlight w:val="none"/>
          <w:lang w:val="zh-CN"/>
        </w:rPr>
        <w:t>）</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五、如果中标，</w:t>
      </w:r>
      <w:r>
        <w:rPr>
          <w:rFonts w:hint="eastAsia" w:ascii="宋体" w:hAnsi="宋体" w:cs="宋体"/>
          <w:sz w:val="24"/>
          <w:highlight w:val="none"/>
        </w:rPr>
        <w:t>联合体各成员方共同与采购人签订合同，并就采购合同约定的事项对采购人承担连带责任。</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六、有关本次联合投标的其他事宜：</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1、联合体各方不再单独参加或者与其他供应商另外组成联合体参加同一合同项下的政府采购活动。</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2、联合体中有同类资质的各方按照联合体分工承担相同工作的，按照资质等级较低的供应商确定资质等级。</w:t>
      </w:r>
    </w:p>
    <w:p>
      <w:pPr>
        <w:keepNext w:val="0"/>
        <w:keepLines w:val="0"/>
        <w:pageBreakBefore w:val="0"/>
        <w:kinsoku/>
        <w:wordWrap/>
        <w:overflowPunct/>
        <w:topLinePunct w:val="0"/>
        <w:autoSpaceDE/>
        <w:autoSpaceDN/>
        <w:bidi w:val="0"/>
        <w:adjustRightInd w:val="0"/>
        <w:snapToGrid w:val="0"/>
        <w:spacing w:line="288" w:lineRule="auto"/>
        <w:ind w:firstLine="576"/>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3、本协议提交采购人、采购代理机构后，联合体各方不得以任何形式对上述内容进行修改或撤销。</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firstLine="5040" w:firstLineChars="2100"/>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联合体成员名称(电子签名/公章)：</w:t>
      </w:r>
    </w:p>
    <w:p>
      <w:pPr>
        <w:keepNext w:val="0"/>
        <w:keepLines w:val="0"/>
        <w:pageBreakBefore w:val="0"/>
        <w:kinsoku/>
        <w:wordWrap/>
        <w:overflowPunct/>
        <w:topLinePunct w:val="0"/>
        <w:autoSpaceDE/>
        <w:autoSpaceDN/>
        <w:bidi w:val="0"/>
        <w:adjustRightInd w:val="0"/>
        <w:snapToGrid w:val="0"/>
        <w:spacing w:line="288" w:lineRule="auto"/>
        <w:ind w:right="960"/>
        <w:jc w:val="center"/>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w:t>
      </w:r>
    </w:p>
    <w:p>
      <w:pPr>
        <w:keepNext w:val="0"/>
        <w:keepLines w:val="0"/>
        <w:pageBreakBefore w:val="0"/>
        <w:kinsoku/>
        <w:wordWrap/>
        <w:overflowPunct/>
        <w:topLinePunct w:val="0"/>
        <w:autoSpaceDE/>
        <w:autoSpaceDN/>
        <w:bidi w:val="0"/>
        <w:adjustRightInd w:val="0"/>
        <w:snapToGrid w:val="0"/>
        <w:spacing w:line="288" w:lineRule="auto"/>
        <w:jc w:val="right"/>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kinsoku/>
        <w:wordWrap/>
        <w:overflowPunct/>
        <w:topLinePunct w:val="0"/>
        <w:bidi w:val="0"/>
        <w:snapToGrid w:val="0"/>
        <w:spacing w:line="360" w:lineRule="auto"/>
        <w:jc w:val="both"/>
        <w:outlineLvl w:val="9"/>
        <w:rPr>
          <w:rFonts w:hint="eastAsia" w:ascii="宋体" w:hAnsi="宋体" w:cs="宋体"/>
          <w:sz w:val="24"/>
          <w:highlight w:val="none"/>
        </w:rPr>
      </w:pPr>
      <w:r>
        <w:rPr>
          <w:rFonts w:hint="eastAsia" w:ascii="宋体" w:hAnsi="宋体" w:cs="宋体"/>
          <w:sz w:val="24"/>
          <w:highlight w:val="none"/>
        </w:rPr>
        <w:t>注：按本格式和要求提供。</w:t>
      </w:r>
    </w:p>
    <w:p>
      <w:pPr>
        <w:kinsoku/>
        <w:wordWrap/>
        <w:overflowPunct/>
        <w:topLinePunct w:val="0"/>
        <w:bidi w:val="0"/>
        <w:outlineLvl w:val="9"/>
        <w:rPr>
          <w:rFonts w:hint="eastAsia" w:ascii="宋体" w:hAnsi="宋体" w:cs="宋体"/>
          <w:sz w:val="24"/>
          <w:highlight w:val="none"/>
        </w:rPr>
      </w:pPr>
      <w:r>
        <w:rPr>
          <w:rFonts w:hint="eastAsia" w:ascii="宋体" w:hAnsi="宋体" w:cs="宋体"/>
          <w:sz w:val="24"/>
          <w:highlight w:val="none"/>
        </w:rPr>
        <w:br w:type="page"/>
      </w:r>
    </w:p>
    <w:p>
      <w:pPr>
        <w:pageBreakBefore w:val="0"/>
        <w:kinsoku/>
        <w:wordWrap/>
        <w:overflowPunct/>
        <w:topLinePunct w:val="0"/>
        <w:autoSpaceDE/>
        <w:autoSpaceDN/>
        <w:bidi w:val="0"/>
        <w:snapToGrid w:val="0"/>
        <w:spacing w:line="312" w:lineRule="auto"/>
        <w:jc w:val="center"/>
        <w:textAlignment w:val="auto"/>
        <w:outlineLvl w:val="9"/>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pPr>
        <w:pageBreakBefore w:val="0"/>
        <w:widowControl/>
        <w:kinsoku/>
        <w:wordWrap/>
        <w:overflowPunct/>
        <w:topLinePunct w:val="0"/>
        <w:autoSpaceDE/>
        <w:autoSpaceDN/>
        <w:bidi w:val="0"/>
        <w:spacing w:line="312" w:lineRule="auto"/>
        <w:ind w:firstLine="120" w:firstLineChars="50"/>
        <w:jc w:val="left"/>
        <w:textAlignment w:val="auto"/>
        <w:outlineLvl w:val="9"/>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中标后不以分包方式履行合同的，则不需要提供。</w:t>
      </w:r>
      <w:r>
        <w:rPr>
          <w:rFonts w:hint="eastAsia" w:ascii="宋体" w:hAnsi="宋体" w:cs="宋体"/>
          <w:color w:val="auto"/>
          <w:sz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供应商</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pPr>
        <w:pageBreakBefore w:val="0"/>
        <w:tabs>
          <w:tab w:val="left" w:pos="432"/>
        </w:tabs>
        <w:kinsoku/>
        <w:wordWrap/>
        <w:overflowPunct/>
        <w:topLinePunct w:val="0"/>
        <w:autoSpaceDE/>
        <w:autoSpaceDN/>
        <w:bidi w:val="0"/>
        <w:spacing w:line="312" w:lineRule="auto"/>
        <w:ind w:left="664" w:leftChars="316" w:firstLine="228" w:firstLineChars="95"/>
        <w:textAlignment w:val="auto"/>
        <w:outlineLvl w:val="9"/>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pPr>
        <w:pageBreakBefore w:val="0"/>
        <w:kinsoku/>
        <w:wordWrap/>
        <w:overflowPunct/>
        <w:topLinePunct w:val="0"/>
        <w:autoSpaceDE/>
        <w:autoSpaceDN/>
        <w:bidi w:val="0"/>
        <w:spacing w:line="312" w:lineRule="auto"/>
        <w:ind w:firstLine="480" w:firstLineChars="200"/>
        <w:textAlignment w:val="auto"/>
        <w:outlineLvl w:val="9"/>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2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25"/>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highlight w:val="none"/>
          <w:u w:val="single"/>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3" w:leftChars="273"/>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pPr>
        <w:pageBreakBefore w:val="0"/>
        <w:kinsoku/>
        <w:wordWrap/>
        <w:overflowPunct/>
        <w:topLinePunct w:val="0"/>
        <w:autoSpaceDE/>
        <w:autoSpaceDN/>
        <w:bidi w:val="0"/>
        <w:snapToGrid w:val="0"/>
        <w:spacing w:line="312" w:lineRule="auto"/>
        <w:ind w:firstLine="576"/>
        <w:textAlignment w:val="auto"/>
        <w:outlineLvl w:val="9"/>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pPr>
        <w:pageBreakBefore w:val="0"/>
        <w:kinsoku/>
        <w:wordWrap/>
        <w:overflowPunct/>
        <w:topLinePunct w:val="0"/>
        <w:autoSpaceDE/>
        <w:autoSpaceDN/>
        <w:bidi w:val="0"/>
        <w:snapToGrid w:val="0"/>
        <w:spacing w:line="312" w:lineRule="auto"/>
        <w:ind w:left="5758" w:leftChars="342" w:hanging="5040" w:hangingChars="2100"/>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pPr>
        <w:pageBreakBefore w:val="0"/>
        <w:kinsoku/>
        <w:wordWrap/>
        <w:overflowPunct/>
        <w:topLinePunct w:val="0"/>
        <w:autoSpaceDE/>
        <w:autoSpaceDN/>
        <w:bidi w:val="0"/>
        <w:snapToGrid w:val="0"/>
        <w:spacing w:line="312" w:lineRule="auto"/>
        <w:jc w:val="right"/>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pPr>
        <w:pageBreakBefore w:val="0"/>
        <w:kinsoku/>
        <w:wordWrap/>
        <w:overflowPunct/>
        <w:topLinePunct w:val="0"/>
        <w:autoSpaceDE/>
        <w:autoSpaceDN/>
        <w:bidi w:val="0"/>
        <w:snapToGrid w:val="0"/>
        <w:spacing w:line="312" w:lineRule="auto"/>
        <w:ind w:firstLine="5760" w:firstLineChars="2400"/>
        <w:textAlignment w:val="auto"/>
        <w:outlineLvl w:val="9"/>
        <w:rPr>
          <w:rFonts w:ascii="宋体" w:hAnsi="宋体" w:cs="宋体"/>
          <w:color w:val="auto"/>
          <w:highlight w:val="none"/>
        </w:rPr>
      </w:pPr>
      <w:r>
        <w:rPr>
          <w:rFonts w:hint="eastAsia" w:ascii="宋体" w:hAnsi="宋体" w:cs="宋体"/>
          <w:color w:val="auto"/>
          <w:kern w:val="0"/>
          <w:sz w:val="24"/>
          <w:highlight w:val="none"/>
          <w:lang w:val="zh-CN"/>
        </w:rPr>
        <w:t>……</w:t>
      </w:r>
    </w:p>
    <w:p>
      <w:pPr>
        <w:pageBreakBefore w:val="0"/>
        <w:kinsoku/>
        <w:wordWrap/>
        <w:overflowPunct/>
        <w:topLinePunct w:val="0"/>
        <w:autoSpaceDE/>
        <w:autoSpaceDN/>
        <w:bidi w:val="0"/>
        <w:spacing w:line="312" w:lineRule="auto"/>
        <w:jc w:val="center"/>
        <w:textAlignment w:val="auto"/>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widowControl/>
        <w:kinsoku/>
        <w:wordWrap/>
        <w:overflowPunct/>
        <w:topLinePunct w:val="0"/>
        <w:bidi w:val="0"/>
        <w:adjustRightInd/>
        <w:jc w:val="left"/>
        <w:outlineLvl w:val="9"/>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pPr>
        <w:widowControl/>
        <w:kinsoku/>
        <w:wordWrap/>
        <w:overflowPunct/>
        <w:topLinePunct w:val="0"/>
        <w:bidi w:val="0"/>
        <w:adjustRightInd/>
        <w:jc w:val="left"/>
        <w:outlineLvl w:val="9"/>
        <w:rPr>
          <w:rFonts w:ascii="宋体" w:hAnsi="宋体" w:cs="宋体"/>
          <w:b/>
          <w:kern w:val="0"/>
          <w:sz w:val="32"/>
          <w:szCs w:val="32"/>
          <w:highlight w:val="none"/>
        </w:rPr>
      </w:pPr>
      <w:r>
        <w:rPr>
          <w:rFonts w:ascii="宋体" w:hAnsi="宋体" w:cs="宋体"/>
          <w:b/>
          <w:kern w:val="0"/>
          <w:sz w:val="32"/>
          <w:szCs w:val="32"/>
          <w:highlight w:val="none"/>
        </w:rPr>
        <w:br w:type="page"/>
      </w:r>
    </w:p>
    <w:p>
      <w:pPr>
        <w:pageBreakBefore w:val="0"/>
        <w:kinsoku/>
        <w:wordWrap/>
        <w:overflowPunct/>
        <w:topLinePunct w:val="0"/>
        <w:autoSpaceDE/>
        <w:autoSpaceDN/>
        <w:bidi w:val="0"/>
        <w:snapToGrid w:val="0"/>
        <w:spacing w:line="312" w:lineRule="auto"/>
        <w:jc w:val="both"/>
        <w:textAlignment w:val="auto"/>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pPr>
        <w:keepNext w:val="0"/>
        <w:keepLines w:val="0"/>
        <w:pageBreakBefore w:val="0"/>
        <w:widowControl w:val="0"/>
        <w:kinsoku/>
        <w:wordWrap/>
        <w:overflowPunct/>
        <w:topLinePunct w:val="0"/>
        <w:autoSpaceDE/>
        <w:autoSpaceDN/>
        <w:bidi w:val="0"/>
        <w:adjustRightInd w:val="0"/>
        <w:snapToGrid/>
        <w:spacing w:line="288" w:lineRule="auto"/>
        <w:jc w:val="center"/>
        <w:textAlignment w:val="auto"/>
        <w:outlineLvl w:val="9"/>
        <w:rPr>
          <w:rFonts w:ascii="宋体" w:hAnsi="宋体" w:cs="宋体"/>
          <w:b/>
          <w:sz w:val="32"/>
          <w:szCs w:val="32"/>
          <w:highlight w:val="none"/>
        </w:rPr>
      </w:pPr>
      <w:r>
        <w:rPr>
          <w:rFonts w:hint="eastAsia" w:ascii="宋体" w:hAnsi="宋体" w:cs="宋体"/>
          <w:b/>
          <w:sz w:val="32"/>
          <w:szCs w:val="32"/>
          <w:highlight w:val="none"/>
        </w:rPr>
        <w:t>中小企业声明函</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sz w:val="24"/>
          <w:highlight w:val="none"/>
        </w:rPr>
        <w:t>本公司（联合体）郑重声明，根据《政府采购促进中小企业发展管理办法》（财库﹝2020﹞46 号）的规定，本公司（联合体</w:t>
      </w:r>
      <w:r>
        <w:rPr>
          <w:rFonts w:hint="eastAsia" w:ascii="宋体" w:hAnsi="宋体" w:cs="宋体"/>
          <w:color w:val="auto"/>
          <w:sz w:val="24"/>
          <w:highlight w:val="none"/>
        </w:rPr>
        <w:t xml:space="preserve">）参加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电子软镜维保服务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电子软镜维保服务</w:t>
      </w:r>
      <w:r>
        <w:rPr>
          <w:rFonts w:hint="eastAsia" w:ascii="宋体" w:hAnsi="宋体" w:cs="宋体"/>
          <w:color w:val="auto"/>
          <w:sz w:val="24"/>
          <w:highlight w:val="none"/>
          <w:u w:val="single"/>
        </w:rPr>
        <w:t>）</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工业</w:t>
      </w:r>
      <w:r>
        <w:rPr>
          <w:rFonts w:hint="eastAsia" w:ascii="宋体" w:hAnsi="宋体" w:cs="宋体"/>
          <w:color w:val="auto"/>
          <w:sz w:val="24"/>
          <w:highlight w:val="none"/>
          <w:u w:val="single"/>
        </w:rPr>
        <w:t>）</w:t>
      </w:r>
      <w:r>
        <w:rPr>
          <w:rFonts w:hint="eastAsia" w:ascii="宋体" w:hAnsi="宋体" w:cs="宋体"/>
          <w:color w:val="auto"/>
          <w:sz w:val="24"/>
          <w:highlight w:val="none"/>
        </w:rPr>
        <w:t>行业 ；承建（承接）为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w:t>
      </w:r>
      <w:r>
        <w:rPr>
          <w:rFonts w:hint="eastAsia" w:ascii="宋体" w:hAnsi="宋体" w:cs="宋体"/>
          <w:sz w:val="24"/>
          <w:highlight w:val="none"/>
          <w:u w:val="single"/>
        </w:rPr>
        <w:t>业、小型企业、微型企业）</w:t>
      </w:r>
      <w:r>
        <w:rPr>
          <w:rFonts w:hint="eastAsia" w:ascii="宋体" w:hAnsi="宋体" w:cs="宋体"/>
          <w:sz w:val="24"/>
          <w:highlight w:val="none"/>
        </w:rPr>
        <w:t xml:space="preserve"> ；</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288" w:lineRule="auto"/>
        <w:ind w:firstLine="5160" w:firstLineChars="2150"/>
        <w:textAlignment w:val="auto"/>
        <w:outlineLvl w:val="9"/>
        <w:rPr>
          <w:rFonts w:ascii="宋体" w:hAnsi="宋体" w:cs="宋体"/>
          <w:kern w:val="0"/>
          <w:sz w:val="24"/>
          <w:highlight w:val="none"/>
        </w:rPr>
      </w:pPr>
      <w:r>
        <w:rPr>
          <w:rFonts w:hint="eastAsia" w:ascii="宋体" w:hAnsi="宋体" w:cs="宋体"/>
          <w:kern w:val="0"/>
          <w:sz w:val="24"/>
          <w:highlight w:val="none"/>
          <w:lang w:val="zh-CN"/>
        </w:rPr>
        <w:t>供应商名称(电子签名)：</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outlineLvl w:val="9"/>
        <w:rPr>
          <w:rFonts w:ascii="宋体" w:hAnsi="宋体" w:cs="宋体"/>
          <w:kern w:val="0"/>
          <w:sz w:val="24"/>
          <w:highlight w:val="none"/>
          <w:lang w:val="zh-CN"/>
        </w:rPr>
      </w:pP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pPr>
        <w:keepNext w:val="0"/>
        <w:keepLines w:val="0"/>
        <w:pageBreakBefore w:val="0"/>
        <w:widowControl w:val="0"/>
        <w:kinsoku/>
        <w:wordWrap/>
        <w:overflowPunct/>
        <w:topLinePunct w:val="0"/>
        <w:autoSpaceDE/>
        <w:autoSpaceDN/>
        <w:bidi w:val="0"/>
        <w:adjustRightInd w:val="0"/>
        <w:spacing w:line="288" w:lineRule="auto"/>
        <w:ind w:firstLine="480" w:firstLineChars="200"/>
        <w:textAlignment w:val="auto"/>
        <w:outlineLvl w:val="9"/>
        <w:rPr>
          <w:rFonts w:hint="eastAsia" w:ascii="宋体" w:hAnsi="宋体" w:eastAsia="宋体" w:cs="宋体"/>
          <w:sz w:val="24"/>
          <w:highlight w:val="none"/>
        </w:rPr>
      </w:pPr>
      <w:r>
        <w:rPr>
          <w:rFonts w:hint="eastAsia" w:ascii="宋体" w:hAnsi="宋体" w:eastAsia="宋体" w:cs="宋体"/>
          <w:sz w:val="24"/>
          <w:highlight w:val="none"/>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sz w:val="24"/>
          <w:highlight w:val="none"/>
        </w:rPr>
      </w:pPr>
      <w:r>
        <w:rPr>
          <w:rFonts w:hint="eastAsia" w:ascii="宋体" w:hAnsi="宋体" w:cs="宋体"/>
          <w:sz w:val="24"/>
          <w:highlight w:val="none"/>
        </w:rPr>
        <w:t>注：1、填写要求：①“标的名称”、“</w:t>
      </w:r>
      <w:r>
        <w:rPr>
          <w:rFonts w:hint="eastAsia" w:ascii="宋体" w:hAnsi="宋体" w:cs="宋体"/>
          <w:sz w:val="24"/>
          <w:highlight w:val="none"/>
          <w:lang w:eastAsia="zh-CN"/>
        </w:rPr>
        <w:t>招标文件</w:t>
      </w:r>
      <w:r>
        <w:rPr>
          <w:rFonts w:hint="eastAsia" w:ascii="宋体" w:hAnsi="宋体" w:cs="宋体"/>
          <w:sz w:val="24"/>
          <w:highlight w:val="none"/>
        </w:rPr>
        <w:t>中明确的所属行业”依据招标文件第二部分</w:t>
      </w:r>
      <w:r>
        <w:rPr>
          <w:rFonts w:hint="eastAsia" w:ascii="宋体" w:hAnsi="宋体" w:cs="宋体"/>
          <w:sz w:val="24"/>
          <w:highlight w:val="none"/>
          <w:lang w:eastAsia="zh-CN"/>
        </w:rPr>
        <w:t>供应商</w:t>
      </w:r>
      <w:r>
        <w:rPr>
          <w:rFonts w:hint="eastAsia" w:ascii="宋体" w:hAnsi="宋体" w:cs="宋体"/>
          <w:sz w:val="24"/>
          <w:highlight w:val="none"/>
        </w:rPr>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w:t>
      </w:r>
      <w:r>
        <w:rPr>
          <w:rFonts w:hint="eastAsia" w:ascii="宋体" w:hAnsi="宋体" w:cs="宋体"/>
          <w:sz w:val="24"/>
          <w:highlight w:val="none"/>
          <w:lang w:eastAsia="zh-CN"/>
        </w:rPr>
        <w:t>供应商</w:t>
      </w:r>
      <w:r>
        <w:rPr>
          <w:rFonts w:hint="eastAsia" w:ascii="宋体" w:hAnsi="宋体" w:cs="宋体"/>
          <w:sz w:val="24"/>
          <w:highlight w:val="none"/>
        </w:rPr>
        <w:t>提供的《中小企业声明函》与实际情况不符的或者未按以上要求填写的，中小企业声明函无效，不享受中小企业扶持政策。声明内容不实的，属于提供虚假材料谋取中标、成交的，依法承担法律责任。</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hint="eastAsia" w:ascii="宋体" w:hAnsi="宋体" w:cs="宋体"/>
          <w:sz w:val="24"/>
          <w:highlight w:val="none"/>
        </w:rPr>
      </w:pPr>
      <w:r>
        <w:rPr>
          <w:rFonts w:hint="eastAsia" w:ascii="宋体" w:hAnsi="宋体" w:cs="宋体"/>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w:t>
      </w:r>
      <w:r>
        <w:rPr>
          <w:rFonts w:hint="eastAsia" w:ascii="宋体" w:hAnsi="宋体" w:cs="宋体"/>
          <w:sz w:val="24"/>
          <w:highlight w:val="none"/>
          <w:lang w:eastAsia="zh-CN"/>
        </w:rPr>
        <w:t>供应商</w:t>
      </w:r>
      <w:r>
        <w:rPr>
          <w:rFonts w:hint="eastAsia" w:ascii="宋体" w:hAnsi="宋体" w:cs="宋体"/>
          <w:sz w:val="24"/>
          <w:highlight w:val="none"/>
        </w:rPr>
        <w:t>提供由省级以上监狱管理局、戒毒管理局（含新疆生产建设兵团）出具的属于监狱企业证明文件的，视同为小型和微型企业。</w:t>
      </w:r>
    </w:p>
    <w:p>
      <w:pPr>
        <w:keepNext w:val="0"/>
        <w:keepLines w:val="0"/>
        <w:pageBreakBefore w:val="0"/>
        <w:widowControl w:val="0"/>
        <w:kinsoku/>
        <w:wordWrap/>
        <w:overflowPunct/>
        <w:topLinePunct w:val="0"/>
        <w:autoSpaceDE/>
        <w:autoSpaceDN/>
        <w:bidi w:val="0"/>
        <w:adjustRightInd w:val="0"/>
        <w:spacing w:line="288" w:lineRule="auto"/>
        <w:ind w:right="420" w:firstLine="480" w:firstLineChars="200"/>
        <w:textAlignment w:val="auto"/>
        <w:outlineLvl w:val="9"/>
        <w:rPr>
          <w:rFonts w:ascii="宋体" w:hAnsi="宋体" w:cs="宋体"/>
          <w:bCs/>
          <w:sz w:val="24"/>
          <w:highlight w:val="none"/>
        </w:rPr>
      </w:pPr>
      <w:r>
        <w:rPr>
          <w:rFonts w:hint="eastAsia" w:ascii="宋体" w:hAnsi="宋体" w:cs="宋体"/>
          <w:sz w:val="24"/>
          <w:highlight w:val="none"/>
          <w:lang w:val="en-US" w:eastAsia="zh-CN"/>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2A"/>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5BAD"/>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2474"/>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18BB"/>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7EF"/>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1D10"/>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E04F0"/>
    <w:rsid w:val="0150424E"/>
    <w:rsid w:val="019F7441"/>
    <w:rsid w:val="01B37585"/>
    <w:rsid w:val="01B51D18"/>
    <w:rsid w:val="01B67601"/>
    <w:rsid w:val="01D55165"/>
    <w:rsid w:val="01DF6BF8"/>
    <w:rsid w:val="01EC2C57"/>
    <w:rsid w:val="01EF122A"/>
    <w:rsid w:val="0218414F"/>
    <w:rsid w:val="02426589"/>
    <w:rsid w:val="025F0711"/>
    <w:rsid w:val="026B2E25"/>
    <w:rsid w:val="02824D4D"/>
    <w:rsid w:val="0284056C"/>
    <w:rsid w:val="029712F4"/>
    <w:rsid w:val="029D18A6"/>
    <w:rsid w:val="02C1531D"/>
    <w:rsid w:val="02DC4B10"/>
    <w:rsid w:val="02DD76CE"/>
    <w:rsid w:val="02F36323"/>
    <w:rsid w:val="02F5619C"/>
    <w:rsid w:val="02FA11C7"/>
    <w:rsid w:val="0326446A"/>
    <w:rsid w:val="032D5555"/>
    <w:rsid w:val="036634D2"/>
    <w:rsid w:val="03905ADC"/>
    <w:rsid w:val="03DA48E8"/>
    <w:rsid w:val="03DD35E4"/>
    <w:rsid w:val="04073203"/>
    <w:rsid w:val="04076900"/>
    <w:rsid w:val="040F156E"/>
    <w:rsid w:val="041A5A3B"/>
    <w:rsid w:val="042042C5"/>
    <w:rsid w:val="042311BA"/>
    <w:rsid w:val="042B157A"/>
    <w:rsid w:val="043E721B"/>
    <w:rsid w:val="0458719A"/>
    <w:rsid w:val="045C69D9"/>
    <w:rsid w:val="04722D72"/>
    <w:rsid w:val="047C66AE"/>
    <w:rsid w:val="048F763B"/>
    <w:rsid w:val="04905D97"/>
    <w:rsid w:val="049F330E"/>
    <w:rsid w:val="04AA775C"/>
    <w:rsid w:val="04AF1889"/>
    <w:rsid w:val="04C15CE9"/>
    <w:rsid w:val="04C52A1F"/>
    <w:rsid w:val="04E3348B"/>
    <w:rsid w:val="04F66F48"/>
    <w:rsid w:val="05133589"/>
    <w:rsid w:val="0518354E"/>
    <w:rsid w:val="05251E14"/>
    <w:rsid w:val="054A7465"/>
    <w:rsid w:val="059B00A7"/>
    <w:rsid w:val="05A16594"/>
    <w:rsid w:val="05A7762D"/>
    <w:rsid w:val="05C869C2"/>
    <w:rsid w:val="05FB57F0"/>
    <w:rsid w:val="060A6FDB"/>
    <w:rsid w:val="060E5941"/>
    <w:rsid w:val="06110FAF"/>
    <w:rsid w:val="06206C00"/>
    <w:rsid w:val="06493CA7"/>
    <w:rsid w:val="065A6178"/>
    <w:rsid w:val="06605C46"/>
    <w:rsid w:val="066F1CF3"/>
    <w:rsid w:val="067A7832"/>
    <w:rsid w:val="06851580"/>
    <w:rsid w:val="06930BB8"/>
    <w:rsid w:val="06A26752"/>
    <w:rsid w:val="06A91D04"/>
    <w:rsid w:val="0705522E"/>
    <w:rsid w:val="07245D42"/>
    <w:rsid w:val="07261BF2"/>
    <w:rsid w:val="07264C62"/>
    <w:rsid w:val="072A7934"/>
    <w:rsid w:val="07703D20"/>
    <w:rsid w:val="0779354C"/>
    <w:rsid w:val="078D3A1F"/>
    <w:rsid w:val="07990616"/>
    <w:rsid w:val="07C35742"/>
    <w:rsid w:val="08061376"/>
    <w:rsid w:val="08065580"/>
    <w:rsid w:val="08123F24"/>
    <w:rsid w:val="08422A5C"/>
    <w:rsid w:val="0845254C"/>
    <w:rsid w:val="08452D77"/>
    <w:rsid w:val="086401F8"/>
    <w:rsid w:val="08751CAA"/>
    <w:rsid w:val="087E4C40"/>
    <w:rsid w:val="08A871D0"/>
    <w:rsid w:val="08AD7EA6"/>
    <w:rsid w:val="08D631A4"/>
    <w:rsid w:val="08D66AD6"/>
    <w:rsid w:val="08DA33A3"/>
    <w:rsid w:val="08E05092"/>
    <w:rsid w:val="08E80F13"/>
    <w:rsid w:val="08ED490B"/>
    <w:rsid w:val="092A537F"/>
    <w:rsid w:val="09335624"/>
    <w:rsid w:val="093403CB"/>
    <w:rsid w:val="0944690F"/>
    <w:rsid w:val="09535675"/>
    <w:rsid w:val="095C2F24"/>
    <w:rsid w:val="095F057D"/>
    <w:rsid w:val="09606C8A"/>
    <w:rsid w:val="09642282"/>
    <w:rsid w:val="09733572"/>
    <w:rsid w:val="09772C16"/>
    <w:rsid w:val="09815806"/>
    <w:rsid w:val="098353B5"/>
    <w:rsid w:val="098F7F12"/>
    <w:rsid w:val="09A92330"/>
    <w:rsid w:val="09B06B87"/>
    <w:rsid w:val="09C13146"/>
    <w:rsid w:val="09D46C43"/>
    <w:rsid w:val="09D709B0"/>
    <w:rsid w:val="09E04166"/>
    <w:rsid w:val="09E57ED5"/>
    <w:rsid w:val="09EF44EC"/>
    <w:rsid w:val="0A045B92"/>
    <w:rsid w:val="0A1C0718"/>
    <w:rsid w:val="0A3E7710"/>
    <w:rsid w:val="0A5B7E63"/>
    <w:rsid w:val="0A7E5DA1"/>
    <w:rsid w:val="0AA374A5"/>
    <w:rsid w:val="0AAB7649"/>
    <w:rsid w:val="0ABC5606"/>
    <w:rsid w:val="0B0D6C7C"/>
    <w:rsid w:val="0B30404E"/>
    <w:rsid w:val="0B3351D8"/>
    <w:rsid w:val="0B4C6C14"/>
    <w:rsid w:val="0B547599"/>
    <w:rsid w:val="0B631A88"/>
    <w:rsid w:val="0B683D45"/>
    <w:rsid w:val="0B7F3F11"/>
    <w:rsid w:val="0B884417"/>
    <w:rsid w:val="0BB2024E"/>
    <w:rsid w:val="0BB70527"/>
    <w:rsid w:val="0BF6188C"/>
    <w:rsid w:val="0BF73C91"/>
    <w:rsid w:val="0C170175"/>
    <w:rsid w:val="0C23311B"/>
    <w:rsid w:val="0C571A41"/>
    <w:rsid w:val="0C5C1171"/>
    <w:rsid w:val="0C5E1CBC"/>
    <w:rsid w:val="0C615B50"/>
    <w:rsid w:val="0C711B61"/>
    <w:rsid w:val="0C7927C4"/>
    <w:rsid w:val="0C8445DA"/>
    <w:rsid w:val="0C87121B"/>
    <w:rsid w:val="0CC007F7"/>
    <w:rsid w:val="0CC617AC"/>
    <w:rsid w:val="0CCC5321"/>
    <w:rsid w:val="0CDA32A3"/>
    <w:rsid w:val="0CE618DF"/>
    <w:rsid w:val="0CFE707A"/>
    <w:rsid w:val="0D063BDA"/>
    <w:rsid w:val="0D08375F"/>
    <w:rsid w:val="0D184CFB"/>
    <w:rsid w:val="0D4A7419"/>
    <w:rsid w:val="0D5F5E5E"/>
    <w:rsid w:val="0D827401"/>
    <w:rsid w:val="0D84094E"/>
    <w:rsid w:val="0D8A00E9"/>
    <w:rsid w:val="0D8D589E"/>
    <w:rsid w:val="0D8E5FAA"/>
    <w:rsid w:val="0DA01C73"/>
    <w:rsid w:val="0DC76E2C"/>
    <w:rsid w:val="0DCA2888"/>
    <w:rsid w:val="0DD63300"/>
    <w:rsid w:val="0DF50604"/>
    <w:rsid w:val="0DF702FE"/>
    <w:rsid w:val="0E013AA6"/>
    <w:rsid w:val="0E060E51"/>
    <w:rsid w:val="0E1434A7"/>
    <w:rsid w:val="0E5604B2"/>
    <w:rsid w:val="0E6D5D79"/>
    <w:rsid w:val="0E772D33"/>
    <w:rsid w:val="0E9A03FC"/>
    <w:rsid w:val="0E9D0089"/>
    <w:rsid w:val="0EA06CB7"/>
    <w:rsid w:val="0EA75D9A"/>
    <w:rsid w:val="0EAA7385"/>
    <w:rsid w:val="0EB803EE"/>
    <w:rsid w:val="0ECD3EA6"/>
    <w:rsid w:val="0EDC3291"/>
    <w:rsid w:val="0EF94D4B"/>
    <w:rsid w:val="0F170CE4"/>
    <w:rsid w:val="0F1C6E00"/>
    <w:rsid w:val="0F4958DC"/>
    <w:rsid w:val="0F515DF7"/>
    <w:rsid w:val="0F563291"/>
    <w:rsid w:val="0F596BA8"/>
    <w:rsid w:val="0F6248D2"/>
    <w:rsid w:val="0F693536"/>
    <w:rsid w:val="0F7B0511"/>
    <w:rsid w:val="0F7B76D9"/>
    <w:rsid w:val="0F816ACD"/>
    <w:rsid w:val="0F8B4F2A"/>
    <w:rsid w:val="0F9832DB"/>
    <w:rsid w:val="0FA53461"/>
    <w:rsid w:val="0FBC1727"/>
    <w:rsid w:val="0FBF3FD2"/>
    <w:rsid w:val="0FBF7FF3"/>
    <w:rsid w:val="10174821"/>
    <w:rsid w:val="103F23E9"/>
    <w:rsid w:val="104447E9"/>
    <w:rsid w:val="10646583"/>
    <w:rsid w:val="107514F4"/>
    <w:rsid w:val="107D4B15"/>
    <w:rsid w:val="108A3C80"/>
    <w:rsid w:val="10C02B10"/>
    <w:rsid w:val="10C26171"/>
    <w:rsid w:val="10F25EEC"/>
    <w:rsid w:val="10F33360"/>
    <w:rsid w:val="10FC16EA"/>
    <w:rsid w:val="110F1D40"/>
    <w:rsid w:val="11194998"/>
    <w:rsid w:val="11266F33"/>
    <w:rsid w:val="116033DA"/>
    <w:rsid w:val="11673E86"/>
    <w:rsid w:val="117669E6"/>
    <w:rsid w:val="1181450E"/>
    <w:rsid w:val="118963A1"/>
    <w:rsid w:val="11BF336F"/>
    <w:rsid w:val="11C6522A"/>
    <w:rsid w:val="11D067E4"/>
    <w:rsid w:val="11E104CC"/>
    <w:rsid w:val="11E20309"/>
    <w:rsid w:val="1201785C"/>
    <w:rsid w:val="12106436"/>
    <w:rsid w:val="121A1366"/>
    <w:rsid w:val="12255233"/>
    <w:rsid w:val="1226647F"/>
    <w:rsid w:val="12530213"/>
    <w:rsid w:val="12547EAC"/>
    <w:rsid w:val="125C0BBE"/>
    <w:rsid w:val="12691A06"/>
    <w:rsid w:val="12695089"/>
    <w:rsid w:val="127723A9"/>
    <w:rsid w:val="12862074"/>
    <w:rsid w:val="12883966"/>
    <w:rsid w:val="12937E5A"/>
    <w:rsid w:val="129E45B4"/>
    <w:rsid w:val="12AE6A32"/>
    <w:rsid w:val="12B91B6C"/>
    <w:rsid w:val="12D81596"/>
    <w:rsid w:val="12E72FE9"/>
    <w:rsid w:val="13072A44"/>
    <w:rsid w:val="1343264F"/>
    <w:rsid w:val="1346119F"/>
    <w:rsid w:val="135F4BE2"/>
    <w:rsid w:val="136A10B9"/>
    <w:rsid w:val="13815EDF"/>
    <w:rsid w:val="139B1A0A"/>
    <w:rsid w:val="139D25C7"/>
    <w:rsid w:val="13BF3CE4"/>
    <w:rsid w:val="13CA16CE"/>
    <w:rsid w:val="13F374B8"/>
    <w:rsid w:val="141008D8"/>
    <w:rsid w:val="14125FE6"/>
    <w:rsid w:val="146D271E"/>
    <w:rsid w:val="14982588"/>
    <w:rsid w:val="149A5AD9"/>
    <w:rsid w:val="14A7619D"/>
    <w:rsid w:val="14E135FC"/>
    <w:rsid w:val="14F70F66"/>
    <w:rsid w:val="150536C3"/>
    <w:rsid w:val="150C1963"/>
    <w:rsid w:val="151447A0"/>
    <w:rsid w:val="15163B8A"/>
    <w:rsid w:val="153F04BB"/>
    <w:rsid w:val="154A6454"/>
    <w:rsid w:val="15610299"/>
    <w:rsid w:val="156A0E93"/>
    <w:rsid w:val="156E3D61"/>
    <w:rsid w:val="15762120"/>
    <w:rsid w:val="15842905"/>
    <w:rsid w:val="15962639"/>
    <w:rsid w:val="15B36D47"/>
    <w:rsid w:val="15D157AE"/>
    <w:rsid w:val="15EB309C"/>
    <w:rsid w:val="15F76776"/>
    <w:rsid w:val="16A8729C"/>
    <w:rsid w:val="16B33777"/>
    <w:rsid w:val="16BC70A7"/>
    <w:rsid w:val="16C6339E"/>
    <w:rsid w:val="16E34270"/>
    <w:rsid w:val="172F2D79"/>
    <w:rsid w:val="173C2D6C"/>
    <w:rsid w:val="17557BEF"/>
    <w:rsid w:val="177625A5"/>
    <w:rsid w:val="17BE63A1"/>
    <w:rsid w:val="17D349C1"/>
    <w:rsid w:val="18244F26"/>
    <w:rsid w:val="18245CDA"/>
    <w:rsid w:val="1830729E"/>
    <w:rsid w:val="1870062C"/>
    <w:rsid w:val="18760BB3"/>
    <w:rsid w:val="18817102"/>
    <w:rsid w:val="18830A15"/>
    <w:rsid w:val="18852B28"/>
    <w:rsid w:val="188B5321"/>
    <w:rsid w:val="188E4CA2"/>
    <w:rsid w:val="18933499"/>
    <w:rsid w:val="18B00717"/>
    <w:rsid w:val="18B539B9"/>
    <w:rsid w:val="18D6213F"/>
    <w:rsid w:val="18E24C39"/>
    <w:rsid w:val="190D71AF"/>
    <w:rsid w:val="193E47DD"/>
    <w:rsid w:val="19932372"/>
    <w:rsid w:val="19A20DD5"/>
    <w:rsid w:val="19AE03F1"/>
    <w:rsid w:val="19C25DFF"/>
    <w:rsid w:val="19EF056A"/>
    <w:rsid w:val="1A071A03"/>
    <w:rsid w:val="1A1F16AE"/>
    <w:rsid w:val="1A2024D1"/>
    <w:rsid w:val="1A3B5C77"/>
    <w:rsid w:val="1A692698"/>
    <w:rsid w:val="1A846F04"/>
    <w:rsid w:val="1A984BAD"/>
    <w:rsid w:val="1AB8220E"/>
    <w:rsid w:val="1ABA46D4"/>
    <w:rsid w:val="1AE4166C"/>
    <w:rsid w:val="1AF06CFB"/>
    <w:rsid w:val="1AF11B8D"/>
    <w:rsid w:val="1B057F96"/>
    <w:rsid w:val="1B11359C"/>
    <w:rsid w:val="1B214753"/>
    <w:rsid w:val="1B2A271F"/>
    <w:rsid w:val="1B530544"/>
    <w:rsid w:val="1B570174"/>
    <w:rsid w:val="1B713184"/>
    <w:rsid w:val="1BA209CF"/>
    <w:rsid w:val="1BB4777D"/>
    <w:rsid w:val="1BBF058C"/>
    <w:rsid w:val="1BC752A5"/>
    <w:rsid w:val="1BCC110E"/>
    <w:rsid w:val="1BD75AB8"/>
    <w:rsid w:val="1C0459C2"/>
    <w:rsid w:val="1C1B3B4A"/>
    <w:rsid w:val="1C284B16"/>
    <w:rsid w:val="1C5E5533"/>
    <w:rsid w:val="1C610BFB"/>
    <w:rsid w:val="1C6B28A5"/>
    <w:rsid w:val="1C77656C"/>
    <w:rsid w:val="1C8574D5"/>
    <w:rsid w:val="1C88086E"/>
    <w:rsid w:val="1C8D7751"/>
    <w:rsid w:val="1C915908"/>
    <w:rsid w:val="1CC1038E"/>
    <w:rsid w:val="1CC17F9B"/>
    <w:rsid w:val="1CC37CA8"/>
    <w:rsid w:val="1CEB6DC6"/>
    <w:rsid w:val="1CF77E61"/>
    <w:rsid w:val="1CFF5F62"/>
    <w:rsid w:val="1D047E88"/>
    <w:rsid w:val="1D0E0D07"/>
    <w:rsid w:val="1D1E62D0"/>
    <w:rsid w:val="1D266CE1"/>
    <w:rsid w:val="1D355362"/>
    <w:rsid w:val="1D3963AF"/>
    <w:rsid w:val="1D417B50"/>
    <w:rsid w:val="1D4552E6"/>
    <w:rsid w:val="1D6A673C"/>
    <w:rsid w:val="1D6B6159"/>
    <w:rsid w:val="1D9247AE"/>
    <w:rsid w:val="1DB07D27"/>
    <w:rsid w:val="1DB567EC"/>
    <w:rsid w:val="1DF51A98"/>
    <w:rsid w:val="1E051CD9"/>
    <w:rsid w:val="1E3D060F"/>
    <w:rsid w:val="1E3F7D2E"/>
    <w:rsid w:val="1E4134E4"/>
    <w:rsid w:val="1E4569AA"/>
    <w:rsid w:val="1E5062B3"/>
    <w:rsid w:val="1E523514"/>
    <w:rsid w:val="1E714A66"/>
    <w:rsid w:val="1E802593"/>
    <w:rsid w:val="1E814BE5"/>
    <w:rsid w:val="1E8B6156"/>
    <w:rsid w:val="1EA703CC"/>
    <w:rsid w:val="1EB7330C"/>
    <w:rsid w:val="1EC94328"/>
    <w:rsid w:val="1EEC27E3"/>
    <w:rsid w:val="1EFC364D"/>
    <w:rsid w:val="1F0A0FF3"/>
    <w:rsid w:val="1F1A7A1E"/>
    <w:rsid w:val="1F3E1D77"/>
    <w:rsid w:val="1F47684D"/>
    <w:rsid w:val="1F5771FF"/>
    <w:rsid w:val="1F5F7009"/>
    <w:rsid w:val="1F930620"/>
    <w:rsid w:val="1FB57B5F"/>
    <w:rsid w:val="1FC73600"/>
    <w:rsid w:val="1FD52574"/>
    <w:rsid w:val="1FE868A9"/>
    <w:rsid w:val="20034907"/>
    <w:rsid w:val="20173E4B"/>
    <w:rsid w:val="204E48BC"/>
    <w:rsid w:val="208921B3"/>
    <w:rsid w:val="20973DEB"/>
    <w:rsid w:val="20A36034"/>
    <w:rsid w:val="20B26522"/>
    <w:rsid w:val="20B44310"/>
    <w:rsid w:val="20BF1705"/>
    <w:rsid w:val="20D858B3"/>
    <w:rsid w:val="21035A46"/>
    <w:rsid w:val="211116EB"/>
    <w:rsid w:val="21432B39"/>
    <w:rsid w:val="215018EE"/>
    <w:rsid w:val="215A6C10"/>
    <w:rsid w:val="216133FC"/>
    <w:rsid w:val="21A97B2D"/>
    <w:rsid w:val="21C45D42"/>
    <w:rsid w:val="21D56769"/>
    <w:rsid w:val="21DF255E"/>
    <w:rsid w:val="21E52EF3"/>
    <w:rsid w:val="21FB5D7B"/>
    <w:rsid w:val="22015E94"/>
    <w:rsid w:val="220B1C3D"/>
    <w:rsid w:val="220F64F1"/>
    <w:rsid w:val="221D1D20"/>
    <w:rsid w:val="22274D44"/>
    <w:rsid w:val="22326F75"/>
    <w:rsid w:val="22334A87"/>
    <w:rsid w:val="22384C79"/>
    <w:rsid w:val="22482214"/>
    <w:rsid w:val="22696FF6"/>
    <w:rsid w:val="226B7056"/>
    <w:rsid w:val="226F6442"/>
    <w:rsid w:val="227961F6"/>
    <w:rsid w:val="22BE6801"/>
    <w:rsid w:val="22CB2D3E"/>
    <w:rsid w:val="22E77254"/>
    <w:rsid w:val="22EC3898"/>
    <w:rsid w:val="232C68AC"/>
    <w:rsid w:val="233500BF"/>
    <w:rsid w:val="23377FF7"/>
    <w:rsid w:val="234F5CFB"/>
    <w:rsid w:val="236B046C"/>
    <w:rsid w:val="236B425F"/>
    <w:rsid w:val="23836192"/>
    <w:rsid w:val="23901F29"/>
    <w:rsid w:val="239C0061"/>
    <w:rsid w:val="23B2407F"/>
    <w:rsid w:val="23B908A4"/>
    <w:rsid w:val="23E95BEF"/>
    <w:rsid w:val="23F4261E"/>
    <w:rsid w:val="23FD0064"/>
    <w:rsid w:val="24077A99"/>
    <w:rsid w:val="24217571"/>
    <w:rsid w:val="244A4D1A"/>
    <w:rsid w:val="245375B0"/>
    <w:rsid w:val="24537BC5"/>
    <w:rsid w:val="245B6DB7"/>
    <w:rsid w:val="246279E1"/>
    <w:rsid w:val="24642C0A"/>
    <w:rsid w:val="2481057A"/>
    <w:rsid w:val="24B22173"/>
    <w:rsid w:val="24B618E1"/>
    <w:rsid w:val="24B95AD9"/>
    <w:rsid w:val="24BE24DA"/>
    <w:rsid w:val="24C3687B"/>
    <w:rsid w:val="24CF5825"/>
    <w:rsid w:val="24D663E6"/>
    <w:rsid w:val="24D757B6"/>
    <w:rsid w:val="24D77F2B"/>
    <w:rsid w:val="24DE5879"/>
    <w:rsid w:val="256718FC"/>
    <w:rsid w:val="258B00E2"/>
    <w:rsid w:val="25A917A6"/>
    <w:rsid w:val="25AB2553"/>
    <w:rsid w:val="25BE27CC"/>
    <w:rsid w:val="25D435EF"/>
    <w:rsid w:val="25F0544D"/>
    <w:rsid w:val="25F74A5C"/>
    <w:rsid w:val="261513AF"/>
    <w:rsid w:val="2628662C"/>
    <w:rsid w:val="262D45DE"/>
    <w:rsid w:val="26871DC8"/>
    <w:rsid w:val="268B161A"/>
    <w:rsid w:val="26A53EF9"/>
    <w:rsid w:val="26A544E4"/>
    <w:rsid w:val="26A94201"/>
    <w:rsid w:val="26AC274F"/>
    <w:rsid w:val="27044A29"/>
    <w:rsid w:val="271D34C8"/>
    <w:rsid w:val="272730F1"/>
    <w:rsid w:val="273036BA"/>
    <w:rsid w:val="27457CE6"/>
    <w:rsid w:val="276142BF"/>
    <w:rsid w:val="276370CF"/>
    <w:rsid w:val="27783712"/>
    <w:rsid w:val="278D4EE0"/>
    <w:rsid w:val="27907362"/>
    <w:rsid w:val="279544FE"/>
    <w:rsid w:val="27C17204"/>
    <w:rsid w:val="27CB3CE5"/>
    <w:rsid w:val="280276BA"/>
    <w:rsid w:val="28101DD7"/>
    <w:rsid w:val="28333E1D"/>
    <w:rsid w:val="28454BD6"/>
    <w:rsid w:val="28455253"/>
    <w:rsid w:val="28551971"/>
    <w:rsid w:val="285A2FA5"/>
    <w:rsid w:val="285B1C53"/>
    <w:rsid w:val="287702CA"/>
    <w:rsid w:val="288B5901"/>
    <w:rsid w:val="289F7086"/>
    <w:rsid w:val="28C32028"/>
    <w:rsid w:val="28CC490F"/>
    <w:rsid w:val="28D61EBD"/>
    <w:rsid w:val="28DE40AA"/>
    <w:rsid w:val="29333963"/>
    <w:rsid w:val="29345E77"/>
    <w:rsid w:val="29475CCC"/>
    <w:rsid w:val="294C65AD"/>
    <w:rsid w:val="2953671A"/>
    <w:rsid w:val="2965010A"/>
    <w:rsid w:val="29806583"/>
    <w:rsid w:val="298B3C4C"/>
    <w:rsid w:val="298F19EC"/>
    <w:rsid w:val="298F27C5"/>
    <w:rsid w:val="29AB0437"/>
    <w:rsid w:val="29E344D0"/>
    <w:rsid w:val="29F10CFD"/>
    <w:rsid w:val="29F26D24"/>
    <w:rsid w:val="2A0E67EA"/>
    <w:rsid w:val="2A15033F"/>
    <w:rsid w:val="2A1662C1"/>
    <w:rsid w:val="2A1C7367"/>
    <w:rsid w:val="2A2815FA"/>
    <w:rsid w:val="2A5F7045"/>
    <w:rsid w:val="2A636B36"/>
    <w:rsid w:val="2A6D6092"/>
    <w:rsid w:val="2A715F67"/>
    <w:rsid w:val="2A7D76B4"/>
    <w:rsid w:val="2AB56C65"/>
    <w:rsid w:val="2AED6C7B"/>
    <w:rsid w:val="2B09293F"/>
    <w:rsid w:val="2B437463"/>
    <w:rsid w:val="2B4F306B"/>
    <w:rsid w:val="2B7807EE"/>
    <w:rsid w:val="2B852AF3"/>
    <w:rsid w:val="2BA50BF7"/>
    <w:rsid w:val="2BBF00EC"/>
    <w:rsid w:val="2BC162D3"/>
    <w:rsid w:val="2BC37CFD"/>
    <w:rsid w:val="2BD5237F"/>
    <w:rsid w:val="2BE536CE"/>
    <w:rsid w:val="2BE758D9"/>
    <w:rsid w:val="2BE9496F"/>
    <w:rsid w:val="2BF10171"/>
    <w:rsid w:val="2BF346BB"/>
    <w:rsid w:val="2C09049E"/>
    <w:rsid w:val="2C0A653C"/>
    <w:rsid w:val="2C191F85"/>
    <w:rsid w:val="2C31056E"/>
    <w:rsid w:val="2C384254"/>
    <w:rsid w:val="2C3A0EA2"/>
    <w:rsid w:val="2C416A03"/>
    <w:rsid w:val="2C587AAB"/>
    <w:rsid w:val="2C5933A3"/>
    <w:rsid w:val="2C6554BB"/>
    <w:rsid w:val="2CE82D6F"/>
    <w:rsid w:val="2CF41CC7"/>
    <w:rsid w:val="2D0B17AA"/>
    <w:rsid w:val="2D197980"/>
    <w:rsid w:val="2D343236"/>
    <w:rsid w:val="2D575011"/>
    <w:rsid w:val="2D9E4D24"/>
    <w:rsid w:val="2D9F156A"/>
    <w:rsid w:val="2DAC5EA2"/>
    <w:rsid w:val="2DB11966"/>
    <w:rsid w:val="2DBE0ECB"/>
    <w:rsid w:val="2DD15014"/>
    <w:rsid w:val="2DF72DE4"/>
    <w:rsid w:val="2E0220AF"/>
    <w:rsid w:val="2E4B082A"/>
    <w:rsid w:val="2E5549E7"/>
    <w:rsid w:val="2E5A0900"/>
    <w:rsid w:val="2E5D4E86"/>
    <w:rsid w:val="2E5D790B"/>
    <w:rsid w:val="2E6136A4"/>
    <w:rsid w:val="2E840A66"/>
    <w:rsid w:val="2E9A3C18"/>
    <w:rsid w:val="2E9A78DD"/>
    <w:rsid w:val="2EBB0FEE"/>
    <w:rsid w:val="2EC63002"/>
    <w:rsid w:val="2ECF08DB"/>
    <w:rsid w:val="2F0A6B38"/>
    <w:rsid w:val="2F616D81"/>
    <w:rsid w:val="2F634EE2"/>
    <w:rsid w:val="2F7760A6"/>
    <w:rsid w:val="2F7960D4"/>
    <w:rsid w:val="2F8772D8"/>
    <w:rsid w:val="2F8A246F"/>
    <w:rsid w:val="2F905058"/>
    <w:rsid w:val="2F946CCB"/>
    <w:rsid w:val="2FAA0D51"/>
    <w:rsid w:val="2FD25781"/>
    <w:rsid w:val="2FDC745C"/>
    <w:rsid w:val="2FF434B5"/>
    <w:rsid w:val="2FFD7934"/>
    <w:rsid w:val="30134B5A"/>
    <w:rsid w:val="30733ACD"/>
    <w:rsid w:val="308C3862"/>
    <w:rsid w:val="309379D8"/>
    <w:rsid w:val="30A270F7"/>
    <w:rsid w:val="30B04157"/>
    <w:rsid w:val="30C25A2F"/>
    <w:rsid w:val="30DF1478"/>
    <w:rsid w:val="30EC586F"/>
    <w:rsid w:val="30FD3EF5"/>
    <w:rsid w:val="311734C2"/>
    <w:rsid w:val="311961A0"/>
    <w:rsid w:val="31413C4F"/>
    <w:rsid w:val="31501496"/>
    <w:rsid w:val="31796C3F"/>
    <w:rsid w:val="319C6071"/>
    <w:rsid w:val="319D4A39"/>
    <w:rsid w:val="319F38CE"/>
    <w:rsid w:val="31AC537E"/>
    <w:rsid w:val="31AE2A82"/>
    <w:rsid w:val="31C9409A"/>
    <w:rsid w:val="31E3679B"/>
    <w:rsid w:val="31E732FD"/>
    <w:rsid w:val="31E85B72"/>
    <w:rsid w:val="31FC517A"/>
    <w:rsid w:val="320C7229"/>
    <w:rsid w:val="32385D83"/>
    <w:rsid w:val="32517576"/>
    <w:rsid w:val="32764F2C"/>
    <w:rsid w:val="32BE5C2C"/>
    <w:rsid w:val="32FA790B"/>
    <w:rsid w:val="32FB6478"/>
    <w:rsid w:val="332629BB"/>
    <w:rsid w:val="33263B3F"/>
    <w:rsid w:val="333C0319"/>
    <w:rsid w:val="336963EB"/>
    <w:rsid w:val="337A5206"/>
    <w:rsid w:val="33816EEB"/>
    <w:rsid w:val="339A10EE"/>
    <w:rsid w:val="33EB55CD"/>
    <w:rsid w:val="33EC4C02"/>
    <w:rsid w:val="340D2360"/>
    <w:rsid w:val="3410665D"/>
    <w:rsid w:val="34190265"/>
    <w:rsid w:val="34211214"/>
    <w:rsid w:val="342E63AB"/>
    <w:rsid w:val="34321327"/>
    <w:rsid w:val="345A1D9D"/>
    <w:rsid w:val="34950E68"/>
    <w:rsid w:val="34986E94"/>
    <w:rsid w:val="34AF62C9"/>
    <w:rsid w:val="34CB4388"/>
    <w:rsid w:val="34E602EB"/>
    <w:rsid w:val="34F90942"/>
    <w:rsid w:val="34FA6E12"/>
    <w:rsid w:val="35092088"/>
    <w:rsid w:val="35132F06"/>
    <w:rsid w:val="354D7158"/>
    <w:rsid w:val="358D5588"/>
    <w:rsid w:val="35BA6F50"/>
    <w:rsid w:val="35DA3A24"/>
    <w:rsid w:val="35DF6310"/>
    <w:rsid w:val="361374D2"/>
    <w:rsid w:val="362441E9"/>
    <w:rsid w:val="363A3B40"/>
    <w:rsid w:val="363B0967"/>
    <w:rsid w:val="365302AE"/>
    <w:rsid w:val="3660217B"/>
    <w:rsid w:val="36607A0A"/>
    <w:rsid w:val="366E227C"/>
    <w:rsid w:val="366F2E0D"/>
    <w:rsid w:val="367B6A5C"/>
    <w:rsid w:val="368F0CB2"/>
    <w:rsid w:val="369C0E1F"/>
    <w:rsid w:val="369C39B5"/>
    <w:rsid w:val="369D2EA4"/>
    <w:rsid w:val="36A22794"/>
    <w:rsid w:val="36A74ADA"/>
    <w:rsid w:val="36AD60D5"/>
    <w:rsid w:val="36B224F9"/>
    <w:rsid w:val="36E44D2C"/>
    <w:rsid w:val="36EC0CC9"/>
    <w:rsid w:val="372C7F37"/>
    <w:rsid w:val="373F410B"/>
    <w:rsid w:val="374B61CE"/>
    <w:rsid w:val="37B24C58"/>
    <w:rsid w:val="37B409D1"/>
    <w:rsid w:val="37DA41AF"/>
    <w:rsid w:val="37EE7094"/>
    <w:rsid w:val="37F4701F"/>
    <w:rsid w:val="38296C89"/>
    <w:rsid w:val="383002EB"/>
    <w:rsid w:val="38406701"/>
    <w:rsid w:val="38586797"/>
    <w:rsid w:val="38593C76"/>
    <w:rsid w:val="385D15DF"/>
    <w:rsid w:val="386F25DF"/>
    <w:rsid w:val="38AC5B4C"/>
    <w:rsid w:val="38BC0149"/>
    <w:rsid w:val="38CD0DC8"/>
    <w:rsid w:val="38D87D1C"/>
    <w:rsid w:val="38E92C80"/>
    <w:rsid w:val="391334D5"/>
    <w:rsid w:val="39300DFB"/>
    <w:rsid w:val="39636459"/>
    <w:rsid w:val="396B7F6C"/>
    <w:rsid w:val="39B417A9"/>
    <w:rsid w:val="39C66799"/>
    <w:rsid w:val="39F540DE"/>
    <w:rsid w:val="39FC5695"/>
    <w:rsid w:val="3A006D8E"/>
    <w:rsid w:val="3A3651E5"/>
    <w:rsid w:val="3A74058B"/>
    <w:rsid w:val="3A744481"/>
    <w:rsid w:val="3A8C7BEF"/>
    <w:rsid w:val="3A8F302F"/>
    <w:rsid w:val="3A906246"/>
    <w:rsid w:val="3AFF6407"/>
    <w:rsid w:val="3B2349B7"/>
    <w:rsid w:val="3B2C0E8E"/>
    <w:rsid w:val="3B2D45F6"/>
    <w:rsid w:val="3B523D67"/>
    <w:rsid w:val="3B616CFF"/>
    <w:rsid w:val="3B6259F6"/>
    <w:rsid w:val="3B976654"/>
    <w:rsid w:val="3B9C37F1"/>
    <w:rsid w:val="3BC01EFC"/>
    <w:rsid w:val="3BC136BC"/>
    <w:rsid w:val="3BC60CD2"/>
    <w:rsid w:val="3BCA786A"/>
    <w:rsid w:val="3BD31E2F"/>
    <w:rsid w:val="3BEB698B"/>
    <w:rsid w:val="3BF15831"/>
    <w:rsid w:val="3BF770DE"/>
    <w:rsid w:val="3C105946"/>
    <w:rsid w:val="3C177780"/>
    <w:rsid w:val="3C471448"/>
    <w:rsid w:val="3C4E0AFB"/>
    <w:rsid w:val="3C536A3E"/>
    <w:rsid w:val="3C5F759A"/>
    <w:rsid w:val="3C6C525A"/>
    <w:rsid w:val="3CB44AC3"/>
    <w:rsid w:val="3CCE23CB"/>
    <w:rsid w:val="3CD17D17"/>
    <w:rsid w:val="3D362E0F"/>
    <w:rsid w:val="3D3C7F39"/>
    <w:rsid w:val="3D440F09"/>
    <w:rsid w:val="3D4504A0"/>
    <w:rsid w:val="3D4A5E08"/>
    <w:rsid w:val="3D6458FA"/>
    <w:rsid w:val="3D8734BB"/>
    <w:rsid w:val="3D8C5F4C"/>
    <w:rsid w:val="3D9A11D4"/>
    <w:rsid w:val="3DA16D89"/>
    <w:rsid w:val="3DA364BE"/>
    <w:rsid w:val="3DCD3E19"/>
    <w:rsid w:val="3DE041CB"/>
    <w:rsid w:val="3E0D48F6"/>
    <w:rsid w:val="3E1868B4"/>
    <w:rsid w:val="3E377251"/>
    <w:rsid w:val="3E42664B"/>
    <w:rsid w:val="3E507983"/>
    <w:rsid w:val="3E5A7334"/>
    <w:rsid w:val="3E7B5D6B"/>
    <w:rsid w:val="3E843E66"/>
    <w:rsid w:val="3E8F51FE"/>
    <w:rsid w:val="3E926F87"/>
    <w:rsid w:val="3E9A59DE"/>
    <w:rsid w:val="3EAF4836"/>
    <w:rsid w:val="3EC13ECC"/>
    <w:rsid w:val="3EC33DFA"/>
    <w:rsid w:val="3ED656D0"/>
    <w:rsid w:val="3F060E16"/>
    <w:rsid w:val="3F0D372E"/>
    <w:rsid w:val="3F1D1096"/>
    <w:rsid w:val="3F2504D1"/>
    <w:rsid w:val="3F2F0234"/>
    <w:rsid w:val="3F6363FE"/>
    <w:rsid w:val="3F6778AF"/>
    <w:rsid w:val="3F756B8F"/>
    <w:rsid w:val="3F7E53F5"/>
    <w:rsid w:val="3F95482B"/>
    <w:rsid w:val="3FB86B84"/>
    <w:rsid w:val="3FBB48C6"/>
    <w:rsid w:val="3FC16416"/>
    <w:rsid w:val="3FFF47B3"/>
    <w:rsid w:val="4019356B"/>
    <w:rsid w:val="40592157"/>
    <w:rsid w:val="406E1CAE"/>
    <w:rsid w:val="40A0133A"/>
    <w:rsid w:val="40A37834"/>
    <w:rsid w:val="40B44A20"/>
    <w:rsid w:val="40BA66CD"/>
    <w:rsid w:val="40C31A53"/>
    <w:rsid w:val="40C70712"/>
    <w:rsid w:val="40D479EE"/>
    <w:rsid w:val="40E83499"/>
    <w:rsid w:val="40FF545D"/>
    <w:rsid w:val="410067C8"/>
    <w:rsid w:val="414544E4"/>
    <w:rsid w:val="41536A5A"/>
    <w:rsid w:val="418F0D2A"/>
    <w:rsid w:val="41921B42"/>
    <w:rsid w:val="419B49AF"/>
    <w:rsid w:val="419C69FB"/>
    <w:rsid w:val="41B12798"/>
    <w:rsid w:val="41D01505"/>
    <w:rsid w:val="41F93484"/>
    <w:rsid w:val="42474939"/>
    <w:rsid w:val="424C3C57"/>
    <w:rsid w:val="42613FF3"/>
    <w:rsid w:val="42660D96"/>
    <w:rsid w:val="428667D2"/>
    <w:rsid w:val="429C0C25"/>
    <w:rsid w:val="42B1494A"/>
    <w:rsid w:val="42CD1CE0"/>
    <w:rsid w:val="42E1381E"/>
    <w:rsid w:val="42ED6459"/>
    <w:rsid w:val="42FE33C9"/>
    <w:rsid w:val="42FE58DD"/>
    <w:rsid w:val="43065E58"/>
    <w:rsid w:val="43174B3D"/>
    <w:rsid w:val="434B790E"/>
    <w:rsid w:val="435E7A42"/>
    <w:rsid w:val="4360274F"/>
    <w:rsid w:val="436074C4"/>
    <w:rsid w:val="43923B90"/>
    <w:rsid w:val="43977AB6"/>
    <w:rsid w:val="43A3342B"/>
    <w:rsid w:val="43C77C27"/>
    <w:rsid w:val="43DB20E4"/>
    <w:rsid w:val="43DE09EE"/>
    <w:rsid w:val="43E57386"/>
    <w:rsid w:val="43F54807"/>
    <w:rsid w:val="44002FAD"/>
    <w:rsid w:val="441B764E"/>
    <w:rsid w:val="44702643"/>
    <w:rsid w:val="4479751F"/>
    <w:rsid w:val="449101DD"/>
    <w:rsid w:val="44AB6CB7"/>
    <w:rsid w:val="44DE1391"/>
    <w:rsid w:val="451B225C"/>
    <w:rsid w:val="452410C9"/>
    <w:rsid w:val="45317DFB"/>
    <w:rsid w:val="45586D59"/>
    <w:rsid w:val="455E1F7C"/>
    <w:rsid w:val="456D3CE4"/>
    <w:rsid w:val="4579042C"/>
    <w:rsid w:val="457C68A6"/>
    <w:rsid w:val="457F0571"/>
    <w:rsid w:val="45851176"/>
    <w:rsid w:val="45935AF4"/>
    <w:rsid w:val="459C6612"/>
    <w:rsid w:val="45C5346C"/>
    <w:rsid w:val="45C63B94"/>
    <w:rsid w:val="45D264C6"/>
    <w:rsid w:val="45D65FB6"/>
    <w:rsid w:val="460E7DA5"/>
    <w:rsid w:val="461011E0"/>
    <w:rsid w:val="461104A1"/>
    <w:rsid w:val="4628284A"/>
    <w:rsid w:val="46333408"/>
    <w:rsid w:val="46422483"/>
    <w:rsid w:val="4647199E"/>
    <w:rsid w:val="464F7B16"/>
    <w:rsid w:val="4659254A"/>
    <w:rsid w:val="465B0637"/>
    <w:rsid w:val="465E3F0D"/>
    <w:rsid w:val="46625A9C"/>
    <w:rsid w:val="466A16E6"/>
    <w:rsid w:val="46893F2B"/>
    <w:rsid w:val="46B61F24"/>
    <w:rsid w:val="46C4686E"/>
    <w:rsid w:val="46D20D44"/>
    <w:rsid w:val="46E22739"/>
    <w:rsid w:val="46E55629"/>
    <w:rsid w:val="46E97F6B"/>
    <w:rsid w:val="471450A0"/>
    <w:rsid w:val="47156B58"/>
    <w:rsid w:val="477B778F"/>
    <w:rsid w:val="478203EC"/>
    <w:rsid w:val="47B025FA"/>
    <w:rsid w:val="4809698F"/>
    <w:rsid w:val="480C3F11"/>
    <w:rsid w:val="4811697D"/>
    <w:rsid w:val="4812283E"/>
    <w:rsid w:val="48194880"/>
    <w:rsid w:val="4836049D"/>
    <w:rsid w:val="487230E1"/>
    <w:rsid w:val="487A3E25"/>
    <w:rsid w:val="488B5503"/>
    <w:rsid w:val="48937E21"/>
    <w:rsid w:val="489A0361"/>
    <w:rsid w:val="48A653A7"/>
    <w:rsid w:val="48B306AC"/>
    <w:rsid w:val="48B94FF3"/>
    <w:rsid w:val="48E1714C"/>
    <w:rsid w:val="48E37AAB"/>
    <w:rsid w:val="48FD4B4C"/>
    <w:rsid w:val="490A68E0"/>
    <w:rsid w:val="491055FE"/>
    <w:rsid w:val="49261002"/>
    <w:rsid w:val="493D634C"/>
    <w:rsid w:val="495F5B3E"/>
    <w:rsid w:val="496B6655"/>
    <w:rsid w:val="496F77D7"/>
    <w:rsid w:val="497654FD"/>
    <w:rsid w:val="49892E51"/>
    <w:rsid w:val="49B64211"/>
    <w:rsid w:val="49C67378"/>
    <w:rsid w:val="49F6167F"/>
    <w:rsid w:val="4A064FA0"/>
    <w:rsid w:val="4A16615C"/>
    <w:rsid w:val="4A1B043B"/>
    <w:rsid w:val="4A2A1ED2"/>
    <w:rsid w:val="4A365779"/>
    <w:rsid w:val="4A4424D7"/>
    <w:rsid w:val="4A565766"/>
    <w:rsid w:val="4A5971B6"/>
    <w:rsid w:val="4A7E7A76"/>
    <w:rsid w:val="4A9E5367"/>
    <w:rsid w:val="4AB82D0F"/>
    <w:rsid w:val="4AD8632C"/>
    <w:rsid w:val="4AE64290"/>
    <w:rsid w:val="4AEB7664"/>
    <w:rsid w:val="4AED7781"/>
    <w:rsid w:val="4AF34F14"/>
    <w:rsid w:val="4AFD3FE5"/>
    <w:rsid w:val="4AFD7C19"/>
    <w:rsid w:val="4B0567D1"/>
    <w:rsid w:val="4B0E747A"/>
    <w:rsid w:val="4B236AAE"/>
    <w:rsid w:val="4B412124"/>
    <w:rsid w:val="4B4A45E7"/>
    <w:rsid w:val="4B5C51AF"/>
    <w:rsid w:val="4B707271"/>
    <w:rsid w:val="4B9739F7"/>
    <w:rsid w:val="4BBF5506"/>
    <w:rsid w:val="4BC0573E"/>
    <w:rsid w:val="4BEE2503"/>
    <w:rsid w:val="4BF11D83"/>
    <w:rsid w:val="4C245A30"/>
    <w:rsid w:val="4C281285"/>
    <w:rsid w:val="4C352698"/>
    <w:rsid w:val="4CB25804"/>
    <w:rsid w:val="4CB6685F"/>
    <w:rsid w:val="4CC367FE"/>
    <w:rsid w:val="4CEF5BAF"/>
    <w:rsid w:val="4D077F3C"/>
    <w:rsid w:val="4D123355"/>
    <w:rsid w:val="4D2A3B31"/>
    <w:rsid w:val="4D312C52"/>
    <w:rsid w:val="4D4F574C"/>
    <w:rsid w:val="4D565C2E"/>
    <w:rsid w:val="4D825DF2"/>
    <w:rsid w:val="4D905305"/>
    <w:rsid w:val="4D964A72"/>
    <w:rsid w:val="4D9B1643"/>
    <w:rsid w:val="4D9B201E"/>
    <w:rsid w:val="4D9C1254"/>
    <w:rsid w:val="4DB1031F"/>
    <w:rsid w:val="4DC25072"/>
    <w:rsid w:val="4DCB4CA4"/>
    <w:rsid w:val="4DD21759"/>
    <w:rsid w:val="4E083A40"/>
    <w:rsid w:val="4E793892"/>
    <w:rsid w:val="4E800872"/>
    <w:rsid w:val="4E90715E"/>
    <w:rsid w:val="4E95707A"/>
    <w:rsid w:val="4EC569ED"/>
    <w:rsid w:val="4ED50EA1"/>
    <w:rsid w:val="4EEC050C"/>
    <w:rsid w:val="4F104EC3"/>
    <w:rsid w:val="4F1633CA"/>
    <w:rsid w:val="4F47354A"/>
    <w:rsid w:val="4F62571C"/>
    <w:rsid w:val="4F7A5C04"/>
    <w:rsid w:val="4F911C54"/>
    <w:rsid w:val="4FC5018F"/>
    <w:rsid w:val="4FE625E0"/>
    <w:rsid w:val="5021480F"/>
    <w:rsid w:val="50527546"/>
    <w:rsid w:val="5076676F"/>
    <w:rsid w:val="50962ECB"/>
    <w:rsid w:val="50A42E38"/>
    <w:rsid w:val="50A4577F"/>
    <w:rsid w:val="50B73D1F"/>
    <w:rsid w:val="50BD5BC9"/>
    <w:rsid w:val="50C11EEE"/>
    <w:rsid w:val="50E97CFC"/>
    <w:rsid w:val="50EF43D0"/>
    <w:rsid w:val="50FA4028"/>
    <w:rsid w:val="510D65B7"/>
    <w:rsid w:val="511157AB"/>
    <w:rsid w:val="51256043"/>
    <w:rsid w:val="513C382A"/>
    <w:rsid w:val="5142540C"/>
    <w:rsid w:val="517D332A"/>
    <w:rsid w:val="518832C8"/>
    <w:rsid w:val="519D3C50"/>
    <w:rsid w:val="519D6B66"/>
    <w:rsid w:val="51A0432A"/>
    <w:rsid w:val="51A86090"/>
    <w:rsid w:val="51A90A23"/>
    <w:rsid w:val="51B7396D"/>
    <w:rsid w:val="51C06FBC"/>
    <w:rsid w:val="51CC6EC2"/>
    <w:rsid w:val="51F2795F"/>
    <w:rsid w:val="51FC57E6"/>
    <w:rsid w:val="52263AC6"/>
    <w:rsid w:val="522916A8"/>
    <w:rsid w:val="522E4CC3"/>
    <w:rsid w:val="5244713B"/>
    <w:rsid w:val="52615633"/>
    <w:rsid w:val="526F4DE4"/>
    <w:rsid w:val="5272134C"/>
    <w:rsid w:val="529214B7"/>
    <w:rsid w:val="52977FD4"/>
    <w:rsid w:val="529813CF"/>
    <w:rsid w:val="52A25790"/>
    <w:rsid w:val="52A96B6F"/>
    <w:rsid w:val="52B45975"/>
    <w:rsid w:val="52D753D2"/>
    <w:rsid w:val="52D94AA4"/>
    <w:rsid w:val="52E760A8"/>
    <w:rsid w:val="52EA3A62"/>
    <w:rsid w:val="52EC0BF4"/>
    <w:rsid w:val="52F50BB8"/>
    <w:rsid w:val="53097272"/>
    <w:rsid w:val="53544462"/>
    <w:rsid w:val="536C5EBC"/>
    <w:rsid w:val="537242E3"/>
    <w:rsid w:val="5397158E"/>
    <w:rsid w:val="53D14261"/>
    <w:rsid w:val="53E6260A"/>
    <w:rsid w:val="53F109E6"/>
    <w:rsid w:val="54013861"/>
    <w:rsid w:val="54014B46"/>
    <w:rsid w:val="540208BE"/>
    <w:rsid w:val="540F3ADB"/>
    <w:rsid w:val="543C16DA"/>
    <w:rsid w:val="5444720F"/>
    <w:rsid w:val="54487265"/>
    <w:rsid w:val="544D6070"/>
    <w:rsid w:val="54605E1E"/>
    <w:rsid w:val="54613836"/>
    <w:rsid w:val="54A45253"/>
    <w:rsid w:val="54B3506A"/>
    <w:rsid w:val="54C90683"/>
    <w:rsid w:val="54CA0D16"/>
    <w:rsid w:val="54DD4057"/>
    <w:rsid w:val="54E7490F"/>
    <w:rsid w:val="550764A4"/>
    <w:rsid w:val="550B2BF6"/>
    <w:rsid w:val="550F3998"/>
    <w:rsid w:val="55214EB5"/>
    <w:rsid w:val="55364EFD"/>
    <w:rsid w:val="55377F1F"/>
    <w:rsid w:val="555D4828"/>
    <w:rsid w:val="557A4C8B"/>
    <w:rsid w:val="558931E1"/>
    <w:rsid w:val="55923347"/>
    <w:rsid w:val="55925180"/>
    <w:rsid w:val="55983B1B"/>
    <w:rsid w:val="55A8376B"/>
    <w:rsid w:val="55AF1B1C"/>
    <w:rsid w:val="55B611EB"/>
    <w:rsid w:val="55B73BD3"/>
    <w:rsid w:val="55DC29B6"/>
    <w:rsid w:val="55DD4241"/>
    <w:rsid w:val="55E262B1"/>
    <w:rsid w:val="55FF50B5"/>
    <w:rsid w:val="566B6D1E"/>
    <w:rsid w:val="56835CE6"/>
    <w:rsid w:val="56CC38D1"/>
    <w:rsid w:val="56E11E48"/>
    <w:rsid w:val="57032A2C"/>
    <w:rsid w:val="570F5219"/>
    <w:rsid w:val="571E4796"/>
    <w:rsid w:val="5751600B"/>
    <w:rsid w:val="575D12B5"/>
    <w:rsid w:val="57610A87"/>
    <w:rsid w:val="576178A6"/>
    <w:rsid w:val="577B1140"/>
    <w:rsid w:val="577B7F21"/>
    <w:rsid w:val="577F181B"/>
    <w:rsid w:val="57921984"/>
    <w:rsid w:val="579737F0"/>
    <w:rsid w:val="57AB7B30"/>
    <w:rsid w:val="57AF5251"/>
    <w:rsid w:val="57B26373"/>
    <w:rsid w:val="57B63F04"/>
    <w:rsid w:val="57CD20C2"/>
    <w:rsid w:val="57D675AB"/>
    <w:rsid w:val="57D73717"/>
    <w:rsid w:val="57D95FDD"/>
    <w:rsid w:val="57E22784"/>
    <w:rsid w:val="57E82409"/>
    <w:rsid w:val="58490869"/>
    <w:rsid w:val="58501BF8"/>
    <w:rsid w:val="586438F5"/>
    <w:rsid w:val="58727DC0"/>
    <w:rsid w:val="587C3B8A"/>
    <w:rsid w:val="58900246"/>
    <w:rsid w:val="58917D2F"/>
    <w:rsid w:val="5894085C"/>
    <w:rsid w:val="58AE4F0C"/>
    <w:rsid w:val="58B85899"/>
    <w:rsid w:val="58E363A9"/>
    <w:rsid w:val="58EF598F"/>
    <w:rsid w:val="59044820"/>
    <w:rsid w:val="59166304"/>
    <w:rsid w:val="59301424"/>
    <w:rsid w:val="59372DB8"/>
    <w:rsid w:val="595E1678"/>
    <w:rsid w:val="59645A89"/>
    <w:rsid w:val="596D5BD4"/>
    <w:rsid w:val="597332A9"/>
    <w:rsid w:val="5978041C"/>
    <w:rsid w:val="597E3DD8"/>
    <w:rsid w:val="59837DAB"/>
    <w:rsid w:val="59A0672C"/>
    <w:rsid w:val="59AC5554"/>
    <w:rsid w:val="59B352CD"/>
    <w:rsid w:val="59DE4FE1"/>
    <w:rsid w:val="59EF245F"/>
    <w:rsid w:val="59F80043"/>
    <w:rsid w:val="5A09252F"/>
    <w:rsid w:val="5A0B2778"/>
    <w:rsid w:val="5A2A7C7B"/>
    <w:rsid w:val="5A3E2560"/>
    <w:rsid w:val="5A4932C9"/>
    <w:rsid w:val="5A5D3B6E"/>
    <w:rsid w:val="5A637A76"/>
    <w:rsid w:val="5A6D33BA"/>
    <w:rsid w:val="5A792B1F"/>
    <w:rsid w:val="5A874767"/>
    <w:rsid w:val="5A955FE8"/>
    <w:rsid w:val="5AA85BE2"/>
    <w:rsid w:val="5AA958C1"/>
    <w:rsid w:val="5AAD6F28"/>
    <w:rsid w:val="5AC0437F"/>
    <w:rsid w:val="5AC8016B"/>
    <w:rsid w:val="5AD63A24"/>
    <w:rsid w:val="5AEB1E12"/>
    <w:rsid w:val="5B2E1A1D"/>
    <w:rsid w:val="5B3C552A"/>
    <w:rsid w:val="5B461BF1"/>
    <w:rsid w:val="5B843432"/>
    <w:rsid w:val="5B843A1C"/>
    <w:rsid w:val="5B873E3F"/>
    <w:rsid w:val="5BBF1697"/>
    <w:rsid w:val="5BEE3D39"/>
    <w:rsid w:val="5BF1724E"/>
    <w:rsid w:val="5C02690E"/>
    <w:rsid w:val="5C196DA7"/>
    <w:rsid w:val="5C2A048C"/>
    <w:rsid w:val="5C3435DF"/>
    <w:rsid w:val="5C3C7C98"/>
    <w:rsid w:val="5C4A5F64"/>
    <w:rsid w:val="5C6E4D42"/>
    <w:rsid w:val="5C80234E"/>
    <w:rsid w:val="5C883936"/>
    <w:rsid w:val="5C8A680C"/>
    <w:rsid w:val="5CF76771"/>
    <w:rsid w:val="5CFA1A85"/>
    <w:rsid w:val="5D0C4701"/>
    <w:rsid w:val="5D0F0395"/>
    <w:rsid w:val="5D221076"/>
    <w:rsid w:val="5D2B1F4F"/>
    <w:rsid w:val="5D2C42B6"/>
    <w:rsid w:val="5D397964"/>
    <w:rsid w:val="5D5A391C"/>
    <w:rsid w:val="5D5F10C0"/>
    <w:rsid w:val="5D794F45"/>
    <w:rsid w:val="5D891B7B"/>
    <w:rsid w:val="5D9603E5"/>
    <w:rsid w:val="5D9C2856"/>
    <w:rsid w:val="5DA75383"/>
    <w:rsid w:val="5DAD38EE"/>
    <w:rsid w:val="5DB524FD"/>
    <w:rsid w:val="5DC310BE"/>
    <w:rsid w:val="5DDE1A54"/>
    <w:rsid w:val="5E006862"/>
    <w:rsid w:val="5E0207B9"/>
    <w:rsid w:val="5E1834A1"/>
    <w:rsid w:val="5E261785"/>
    <w:rsid w:val="5E4A7017"/>
    <w:rsid w:val="5E4B2D2D"/>
    <w:rsid w:val="5E552BBA"/>
    <w:rsid w:val="5E611C10"/>
    <w:rsid w:val="5E762B94"/>
    <w:rsid w:val="5E7A0F3F"/>
    <w:rsid w:val="5E993BCD"/>
    <w:rsid w:val="5EF37781"/>
    <w:rsid w:val="5EFC7377"/>
    <w:rsid w:val="5F06174D"/>
    <w:rsid w:val="5F3A3602"/>
    <w:rsid w:val="5F45733B"/>
    <w:rsid w:val="5F520B89"/>
    <w:rsid w:val="5F6277C6"/>
    <w:rsid w:val="5F6366B5"/>
    <w:rsid w:val="5F6D0B1D"/>
    <w:rsid w:val="5F7B6E87"/>
    <w:rsid w:val="5F8D0B82"/>
    <w:rsid w:val="5FCC5339"/>
    <w:rsid w:val="5FE34A5B"/>
    <w:rsid w:val="5FE35C69"/>
    <w:rsid w:val="5FFE1E36"/>
    <w:rsid w:val="60003F04"/>
    <w:rsid w:val="6004172D"/>
    <w:rsid w:val="600B5EB3"/>
    <w:rsid w:val="60232584"/>
    <w:rsid w:val="60252844"/>
    <w:rsid w:val="607330CE"/>
    <w:rsid w:val="60825176"/>
    <w:rsid w:val="608A5EC3"/>
    <w:rsid w:val="60982218"/>
    <w:rsid w:val="609F2AC4"/>
    <w:rsid w:val="60B82A30"/>
    <w:rsid w:val="60C330AE"/>
    <w:rsid w:val="60E0295D"/>
    <w:rsid w:val="60FA2EE8"/>
    <w:rsid w:val="61054A27"/>
    <w:rsid w:val="610A52BC"/>
    <w:rsid w:val="611D2366"/>
    <w:rsid w:val="61257885"/>
    <w:rsid w:val="612754C0"/>
    <w:rsid w:val="6141056D"/>
    <w:rsid w:val="61421856"/>
    <w:rsid w:val="615227C4"/>
    <w:rsid w:val="61526F6E"/>
    <w:rsid w:val="61551709"/>
    <w:rsid w:val="615E238B"/>
    <w:rsid w:val="61652E80"/>
    <w:rsid w:val="61654E3F"/>
    <w:rsid w:val="617701F5"/>
    <w:rsid w:val="6182292A"/>
    <w:rsid w:val="619F7F92"/>
    <w:rsid w:val="61BA6334"/>
    <w:rsid w:val="61C15914"/>
    <w:rsid w:val="61C807BC"/>
    <w:rsid w:val="61E81EE3"/>
    <w:rsid w:val="61F03696"/>
    <w:rsid w:val="61F94C26"/>
    <w:rsid w:val="62000E56"/>
    <w:rsid w:val="62043966"/>
    <w:rsid w:val="6228716A"/>
    <w:rsid w:val="624F3E49"/>
    <w:rsid w:val="62522A10"/>
    <w:rsid w:val="626200AF"/>
    <w:rsid w:val="62632286"/>
    <w:rsid w:val="627155B6"/>
    <w:rsid w:val="627B1F67"/>
    <w:rsid w:val="62885958"/>
    <w:rsid w:val="628C1A7E"/>
    <w:rsid w:val="629E2D3B"/>
    <w:rsid w:val="62C27B96"/>
    <w:rsid w:val="62F31C3F"/>
    <w:rsid w:val="62F40B65"/>
    <w:rsid w:val="62F6339C"/>
    <w:rsid w:val="62FC2CFE"/>
    <w:rsid w:val="63024505"/>
    <w:rsid w:val="630737FB"/>
    <w:rsid w:val="635600A5"/>
    <w:rsid w:val="635B1DB5"/>
    <w:rsid w:val="63711FED"/>
    <w:rsid w:val="63880DDC"/>
    <w:rsid w:val="638D750D"/>
    <w:rsid w:val="63AC6CC0"/>
    <w:rsid w:val="63B07EEF"/>
    <w:rsid w:val="63EC5FEE"/>
    <w:rsid w:val="63F44780"/>
    <w:rsid w:val="64030141"/>
    <w:rsid w:val="64055776"/>
    <w:rsid w:val="64175A5B"/>
    <w:rsid w:val="64240056"/>
    <w:rsid w:val="643B1604"/>
    <w:rsid w:val="643E143A"/>
    <w:rsid w:val="64491666"/>
    <w:rsid w:val="645A5BAC"/>
    <w:rsid w:val="648B6EEF"/>
    <w:rsid w:val="649C354E"/>
    <w:rsid w:val="64AA2690"/>
    <w:rsid w:val="64C158BF"/>
    <w:rsid w:val="64CE2EAA"/>
    <w:rsid w:val="65294F03"/>
    <w:rsid w:val="653C3090"/>
    <w:rsid w:val="653D3504"/>
    <w:rsid w:val="655B2F90"/>
    <w:rsid w:val="655F0EAE"/>
    <w:rsid w:val="656B5366"/>
    <w:rsid w:val="65853702"/>
    <w:rsid w:val="65854376"/>
    <w:rsid w:val="658767BE"/>
    <w:rsid w:val="658820E9"/>
    <w:rsid w:val="65892531"/>
    <w:rsid w:val="66195831"/>
    <w:rsid w:val="661B0E4D"/>
    <w:rsid w:val="662D5327"/>
    <w:rsid w:val="662E75B1"/>
    <w:rsid w:val="663012BB"/>
    <w:rsid w:val="66342C2E"/>
    <w:rsid w:val="663E784C"/>
    <w:rsid w:val="66805D9E"/>
    <w:rsid w:val="668B6A45"/>
    <w:rsid w:val="668C0B60"/>
    <w:rsid w:val="66AA44AC"/>
    <w:rsid w:val="66BA1100"/>
    <w:rsid w:val="670544F5"/>
    <w:rsid w:val="672F3F24"/>
    <w:rsid w:val="673E055F"/>
    <w:rsid w:val="6751439C"/>
    <w:rsid w:val="67551CE3"/>
    <w:rsid w:val="676378A7"/>
    <w:rsid w:val="678554B6"/>
    <w:rsid w:val="67A22552"/>
    <w:rsid w:val="67B22DCC"/>
    <w:rsid w:val="67BE71AA"/>
    <w:rsid w:val="67D90273"/>
    <w:rsid w:val="67DE5875"/>
    <w:rsid w:val="67E55852"/>
    <w:rsid w:val="67EA7CCE"/>
    <w:rsid w:val="67EB1AB4"/>
    <w:rsid w:val="67FA1285"/>
    <w:rsid w:val="68172B1F"/>
    <w:rsid w:val="682B3AE8"/>
    <w:rsid w:val="684E345F"/>
    <w:rsid w:val="68551F4F"/>
    <w:rsid w:val="687C10C9"/>
    <w:rsid w:val="68840C16"/>
    <w:rsid w:val="68866387"/>
    <w:rsid w:val="68876EFB"/>
    <w:rsid w:val="68884654"/>
    <w:rsid w:val="689F444F"/>
    <w:rsid w:val="68B82181"/>
    <w:rsid w:val="68B96DBB"/>
    <w:rsid w:val="68CA2805"/>
    <w:rsid w:val="68D0468F"/>
    <w:rsid w:val="68D27724"/>
    <w:rsid w:val="68E937A3"/>
    <w:rsid w:val="68EC1B68"/>
    <w:rsid w:val="68FC1897"/>
    <w:rsid w:val="693E15D3"/>
    <w:rsid w:val="69407A67"/>
    <w:rsid w:val="69482477"/>
    <w:rsid w:val="694F177F"/>
    <w:rsid w:val="69531548"/>
    <w:rsid w:val="695B6585"/>
    <w:rsid w:val="69627681"/>
    <w:rsid w:val="6977531D"/>
    <w:rsid w:val="69990490"/>
    <w:rsid w:val="699930D0"/>
    <w:rsid w:val="69CC2BFF"/>
    <w:rsid w:val="69E231EE"/>
    <w:rsid w:val="69F30635"/>
    <w:rsid w:val="69FD55B8"/>
    <w:rsid w:val="6A0B1C62"/>
    <w:rsid w:val="6A2406C8"/>
    <w:rsid w:val="6AA43E1A"/>
    <w:rsid w:val="6AAB0F10"/>
    <w:rsid w:val="6AB50B02"/>
    <w:rsid w:val="6ADE0BD1"/>
    <w:rsid w:val="6AE96859"/>
    <w:rsid w:val="6AED1528"/>
    <w:rsid w:val="6AF64A64"/>
    <w:rsid w:val="6B147746"/>
    <w:rsid w:val="6B166CD1"/>
    <w:rsid w:val="6B24787C"/>
    <w:rsid w:val="6B486645"/>
    <w:rsid w:val="6B573233"/>
    <w:rsid w:val="6B5B6274"/>
    <w:rsid w:val="6B847F5E"/>
    <w:rsid w:val="6B935D53"/>
    <w:rsid w:val="6B9E5CFE"/>
    <w:rsid w:val="6BAC3618"/>
    <w:rsid w:val="6C044D7B"/>
    <w:rsid w:val="6C196F71"/>
    <w:rsid w:val="6C226FCB"/>
    <w:rsid w:val="6C2B5723"/>
    <w:rsid w:val="6C2E1E2A"/>
    <w:rsid w:val="6C31226F"/>
    <w:rsid w:val="6C552F0B"/>
    <w:rsid w:val="6C677FCB"/>
    <w:rsid w:val="6C700663"/>
    <w:rsid w:val="6C7843B5"/>
    <w:rsid w:val="6C7D1436"/>
    <w:rsid w:val="6C8C67B7"/>
    <w:rsid w:val="6C9D744C"/>
    <w:rsid w:val="6D03720A"/>
    <w:rsid w:val="6D167928"/>
    <w:rsid w:val="6D1A237D"/>
    <w:rsid w:val="6D21370B"/>
    <w:rsid w:val="6D26299B"/>
    <w:rsid w:val="6D4772EC"/>
    <w:rsid w:val="6D8228B3"/>
    <w:rsid w:val="6D9078AF"/>
    <w:rsid w:val="6DA00AD4"/>
    <w:rsid w:val="6DA0348B"/>
    <w:rsid w:val="6DAA3FEF"/>
    <w:rsid w:val="6DB12CE1"/>
    <w:rsid w:val="6DC0172B"/>
    <w:rsid w:val="6DCB690C"/>
    <w:rsid w:val="6DD41A5B"/>
    <w:rsid w:val="6DF43C2E"/>
    <w:rsid w:val="6DF51CA3"/>
    <w:rsid w:val="6E4678CD"/>
    <w:rsid w:val="6E8335BD"/>
    <w:rsid w:val="6E8E12EF"/>
    <w:rsid w:val="6E972936"/>
    <w:rsid w:val="6EB40202"/>
    <w:rsid w:val="6ED446C5"/>
    <w:rsid w:val="6EE214DD"/>
    <w:rsid w:val="6F130D38"/>
    <w:rsid w:val="6F2A7D94"/>
    <w:rsid w:val="6F8331F1"/>
    <w:rsid w:val="6F8A0D9E"/>
    <w:rsid w:val="6FAE1A09"/>
    <w:rsid w:val="6FD75BF8"/>
    <w:rsid w:val="6FD76303"/>
    <w:rsid w:val="6FF922DA"/>
    <w:rsid w:val="70001CFE"/>
    <w:rsid w:val="700659F8"/>
    <w:rsid w:val="700D583A"/>
    <w:rsid w:val="70297111"/>
    <w:rsid w:val="704020FA"/>
    <w:rsid w:val="707723D0"/>
    <w:rsid w:val="708F2CC4"/>
    <w:rsid w:val="70904F00"/>
    <w:rsid w:val="70961D03"/>
    <w:rsid w:val="70B054D2"/>
    <w:rsid w:val="70F5661B"/>
    <w:rsid w:val="70FE283F"/>
    <w:rsid w:val="71125845"/>
    <w:rsid w:val="71357CB6"/>
    <w:rsid w:val="71360107"/>
    <w:rsid w:val="71374018"/>
    <w:rsid w:val="713B688E"/>
    <w:rsid w:val="71456569"/>
    <w:rsid w:val="714A4C8C"/>
    <w:rsid w:val="714E061E"/>
    <w:rsid w:val="716342F2"/>
    <w:rsid w:val="717128A4"/>
    <w:rsid w:val="718C1A9B"/>
    <w:rsid w:val="71A6677C"/>
    <w:rsid w:val="71AF1970"/>
    <w:rsid w:val="71D43752"/>
    <w:rsid w:val="71F1796A"/>
    <w:rsid w:val="7201383B"/>
    <w:rsid w:val="72154626"/>
    <w:rsid w:val="72262B5D"/>
    <w:rsid w:val="72283FF7"/>
    <w:rsid w:val="722E7212"/>
    <w:rsid w:val="7232489D"/>
    <w:rsid w:val="723A0474"/>
    <w:rsid w:val="725923E4"/>
    <w:rsid w:val="7262796D"/>
    <w:rsid w:val="728531A8"/>
    <w:rsid w:val="72864BF7"/>
    <w:rsid w:val="729023FC"/>
    <w:rsid w:val="72A2709C"/>
    <w:rsid w:val="732803ED"/>
    <w:rsid w:val="73551D32"/>
    <w:rsid w:val="735A1831"/>
    <w:rsid w:val="73773186"/>
    <w:rsid w:val="73795218"/>
    <w:rsid w:val="73C0646E"/>
    <w:rsid w:val="73CB43D1"/>
    <w:rsid w:val="73FE0302"/>
    <w:rsid w:val="742222F5"/>
    <w:rsid w:val="74326CDE"/>
    <w:rsid w:val="74476126"/>
    <w:rsid w:val="746C7962"/>
    <w:rsid w:val="74706664"/>
    <w:rsid w:val="747F3682"/>
    <w:rsid w:val="74930F19"/>
    <w:rsid w:val="749C4185"/>
    <w:rsid w:val="74AF48D2"/>
    <w:rsid w:val="74BB61F3"/>
    <w:rsid w:val="74ED5B50"/>
    <w:rsid w:val="75067759"/>
    <w:rsid w:val="752E6DCD"/>
    <w:rsid w:val="7551380D"/>
    <w:rsid w:val="75543963"/>
    <w:rsid w:val="75600BE5"/>
    <w:rsid w:val="7564475C"/>
    <w:rsid w:val="7583797F"/>
    <w:rsid w:val="75917B29"/>
    <w:rsid w:val="75B07D22"/>
    <w:rsid w:val="75B74C0D"/>
    <w:rsid w:val="75C01326"/>
    <w:rsid w:val="75CC1203"/>
    <w:rsid w:val="75D20F1D"/>
    <w:rsid w:val="75DA2C18"/>
    <w:rsid w:val="75DA6B4D"/>
    <w:rsid w:val="75DD4A5B"/>
    <w:rsid w:val="75F223AC"/>
    <w:rsid w:val="75F54412"/>
    <w:rsid w:val="761D08E0"/>
    <w:rsid w:val="765D347C"/>
    <w:rsid w:val="76607052"/>
    <w:rsid w:val="766755D0"/>
    <w:rsid w:val="76826699"/>
    <w:rsid w:val="76A870A5"/>
    <w:rsid w:val="76C87133"/>
    <w:rsid w:val="76CD08D5"/>
    <w:rsid w:val="76DB4B92"/>
    <w:rsid w:val="77052AA4"/>
    <w:rsid w:val="77136511"/>
    <w:rsid w:val="77170059"/>
    <w:rsid w:val="77340A39"/>
    <w:rsid w:val="77351FD0"/>
    <w:rsid w:val="77472422"/>
    <w:rsid w:val="774F0B38"/>
    <w:rsid w:val="777F31F2"/>
    <w:rsid w:val="77BE0D98"/>
    <w:rsid w:val="77C163F0"/>
    <w:rsid w:val="77CD629B"/>
    <w:rsid w:val="77D1700D"/>
    <w:rsid w:val="77E44E04"/>
    <w:rsid w:val="77EC04CC"/>
    <w:rsid w:val="78075902"/>
    <w:rsid w:val="786B1CDE"/>
    <w:rsid w:val="78775729"/>
    <w:rsid w:val="78A42DB0"/>
    <w:rsid w:val="78A656AB"/>
    <w:rsid w:val="78B2245C"/>
    <w:rsid w:val="78B81351"/>
    <w:rsid w:val="78E172CC"/>
    <w:rsid w:val="78EA1D1F"/>
    <w:rsid w:val="7904172F"/>
    <w:rsid w:val="790C1713"/>
    <w:rsid w:val="790F7E27"/>
    <w:rsid w:val="792A231A"/>
    <w:rsid w:val="792C05C1"/>
    <w:rsid w:val="79316829"/>
    <w:rsid w:val="7956298E"/>
    <w:rsid w:val="797E66A9"/>
    <w:rsid w:val="798518A4"/>
    <w:rsid w:val="79A13C0A"/>
    <w:rsid w:val="79A77132"/>
    <w:rsid w:val="79A97383"/>
    <w:rsid w:val="79E27E8B"/>
    <w:rsid w:val="79E47F9A"/>
    <w:rsid w:val="79ED50A1"/>
    <w:rsid w:val="79F850CE"/>
    <w:rsid w:val="79FD443C"/>
    <w:rsid w:val="7A1D1975"/>
    <w:rsid w:val="7A3E5150"/>
    <w:rsid w:val="7A4670D6"/>
    <w:rsid w:val="7A490096"/>
    <w:rsid w:val="7A534B63"/>
    <w:rsid w:val="7A615382"/>
    <w:rsid w:val="7A67303B"/>
    <w:rsid w:val="7A707A80"/>
    <w:rsid w:val="7A812BFE"/>
    <w:rsid w:val="7AA80FC8"/>
    <w:rsid w:val="7AAB1D04"/>
    <w:rsid w:val="7ABA4368"/>
    <w:rsid w:val="7AC57DCC"/>
    <w:rsid w:val="7AD05746"/>
    <w:rsid w:val="7B072192"/>
    <w:rsid w:val="7B0B0CDB"/>
    <w:rsid w:val="7B257FFD"/>
    <w:rsid w:val="7B343476"/>
    <w:rsid w:val="7B5A2978"/>
    <w:rsid w:val="7B5A7E4C"/>
    <w:rsid w:val="7B667AF9"/>
    <w:rsid w:val="7B7468F8"/>
    <w:rsid w:val="7B9D4040"/>
    <w:rsid w:val="7BEE0103"/>
    <w:rsid w:val="7C0A0FE4"/>
    <w:rsid w:val="7C254906"/>
    <w:rsid w:val="7C37059C"/>
    <w:rsid w:val="7C590818"/>
    <w:rsid w:val="7C7C10F6"/>
    <w:rsid w:val="7C853BEA"/>
    <w:rsid w:val="7C881368"/>
    <w:rsid w:val="7C8820A3"/>
    <w:rsid w:val="7CDC13FD"/>
    <w:rsid w:val="7CE27788"/>
    <w:rsid w:val="7D080444"/>
    <w:rsid w:val="7D0C32F1"/>
    <w:rsid w:val="7D0F408D"/>
    <w:rsid w:val="7D126BCC"/>
    <w:rsid w:val="7D276B1C"/>
    <w:rsid w:val="7D491C6C"/>
    <w:rsid w:val="7D5429C0"/>
    <w:rsid w:val="7D6E6D43"/>
    <w:rsid w:val="7D974B56"/>
    <w:rsid w:val="7DB57A34"/>
    <w:rsid w:val="7DE60973"/>
    <w:rsid w:val="7DE65520"/>
    <w:rsid w:val="7DEF0916"/>
    <w:rsid w:val="7E105802"/>
    <w:rsid w:val="7E1E5218"/>
    <w:rsid w:val="7E215C47"/>
    <w:rsid w:val="7E2C27CE"/>
    <w:rsid w:val="7E437985"/>
    <w:rsid w:val="7E4C41F6"/>
    <w:rsid w:val="7E5E46CC"/>
    <w:rsid w:val="7E9A4E1F"/>
    <w:rsid w:val="7EA7723A"/>
    <w:rsid w:val="7EB62349"/>
    <w:rsid w:val="7EC34F75"/>
    <w:rsid w:val="7ECC39DB"/>
    <w:rsid w:val="7ECF1219"/>
    <w:rsid w:val="7ED755DB"/>
    <w:rsid w:val="7EF56FBB"/>
    <w:rsid w:val="7F0768EB"/>
    <w:rsid w:val="7F143BEC"/>
    <w:rsid w:val="7F3215D4"/>
    <w:rsid w:val="7F390D88"/>
    <w:rsid w:val="7F42147D"/>
    <w:rsid w:val="7F531E4A"/>
    <w:rsid w:val="7F6477A9"/>
    <w:rsid w:val="7F715AF2"/>
    <w:rsid w:val="7F886E69"/>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0"/>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5"/>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3"/>
    <w:basedOn w:val="3"/>
    <w:autoRedefine/>
    <w:qFormat/>
    <w:uiPriority w:val="0"/>
    <w:pPr>
      <w:tabs>
        <w:tab w:val="left" w:pos="2790"/>
        <w:tab w:val="left" w:pos="4230"/>
      </w:tabs>
      <w:spacing w:before="312" w:beforeLines="100"/>
      <w:jc w:val="left"/>
    </w:pPr>
  </w:style>
  <w:style w:type="paragraph" w:styleId="3">
    <w:name w:val="Plain Text"/>
    <w:basedOn w:val="1"/>
    <w:link w:val="128"/>
    <w:autoRedefine/>
    <w:qFormat/>
    <w:uiPriority w:val="0"/>
    <w:rPr>
      <w:rFonts w:ascii="宋体" w:hAnsi="Courier New" w:cs="Arial"/>
      <w:snapToGrid w:val="0"/>
      <w:szCs w:val="21"/>
    </w:rPr>
  </w:style>
  <w:style w:type="paragraph" w:styleId="7">
    <w:name w:val="Normal Indent"/>
    <w:basedOn w:val="1"/>
    <w:link w:val="19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2"/>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5"/>
    <w:autoRedefine/>
    <w:qFormat/>
    <w:uiPriority w:val="0"/>
    <w:pPr>
      <w:shd w:val="clear" w:color="auto" w:fill="000080"/>
    </w:pPr>
  </w:style>
  <w:style w:type="paragraph" w:styleId="21">
    <w:name w:val="annotation text"/>
    <w:basedOn w:val="1"/>
    <w:link w:val="346"/>
    <w:autoRedefine/>
    <w:qFormat/>
    <w:uiPriority w:val="99"/>
    <w:pPr>
      <w:jc w:val="left"/>
    </w:pPr>
  </w:style>
  <w:style w:type="paragraph" w:styleId="22">
    <w:name w:val="Salutation"/>
    <w:basedOn w:val="1"/>
    <w:next w:val="1"/>
    <w:link w:val="300"/>
    <w:autoRedefine/>
    <w:qFormat/>
    <w:uiPriority w:val="0"/>
    <w:rPr>
      <w:rFonts w:ascii="仿宋_GB2312" w:eastAsia="仿宋_GB2312"/>
      <w:sz w:val="28"/>
      <w:szCs w:val="20"/>
    </w:rPr>
  </w:style>
  <w:style w:type="paragraph" w:styleId="23">
    <w:name w:val="Body Text 3"/>
    <w:basedOn w:val="1"/>
    <w:link w:val="332"/>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link w:val="267"/>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2"/>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4"/>
    <w:autoRedefine/>
    <w:qFormat/>
    <w:uiPriority w:val="0"/>
    <w:pPr>
      <w:ind w:left="100" w:leftChars="2500"/>
    </w:pPr>
    <w:rPr>
      <w:rFonts w:ascii="宋体"/>
      <w:sz w:val="24"/>
      <w:szCs w:val="21"/>
      <w:lang w:val="zh-CN"/>
    </w:rPr>
  </w:style>
  <w:style w:type="paragraph" w:styleId="37">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91"/>
    <w:autoRedefine/>
    <w:qFormat/>
    <w:uiPriority w:val="0"/>
    <w:rPr>
      <w:sz w:val="18"/>
      <w:szCs w:val="18"/>
    </w:rPr>
  </w:style>
  <w:style w:type="paragraph" w:styleId="40">
    <w:name w:val="footer"/>
    <w:basedOn w:val="1"/>
    <w:link w:val="385"/>
    <w:autoRedefine/>
    <w:qFormat/>
    <w:uiPriority w:val="99"/>
    <w:pPr>
      <w:tabs>
        <w:tab w:val="center" w:pos="4153"/>
        <w:tab w:val="right" w:pos="8306"/>
      </w:tabs>
      <w:snapToGrid w:val="0"/>
      <w:jc w:val="left"/>
    </w:pPr>
    <w:rPr>
      <w:sz w:val="18"/>
      <w:szCs w:val="18"/>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next w:val="1"/>
    <w:link w:val="136"/>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7"/>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9"/>
    <w:autoRedefine/>
    <w:qFormat/>
    <w:uiPriority w:val="0"/>
    <w:rPr>
      <w:b/>
      <w:bCs/>
    </w:rPr>
  </w:style>
  <w:style w:type="paragraph" w:styleId="61">
    <w:name w:val="Body Text First Indent"/>
    <w:basedOn w:val="1"/>
    <w:link w:val="323"/>
    <w:autoRedefine/>
    <w:qFormat/>
    <w:uiPriority w:val="0"/>
    <w:pPr>
      <w:ind w:firstLine="420"/>
    </w:pPr>
    <w:rPr>
      <w:rFonts w:hAnsi="Calibri" w:cs="Times New Roman"/>
      <w:snapToGrid/>
      <w:szCs w:val="20"/>
    </w:rPr>
  </w:style>
  <w:style w:type="paragraph" w:styleId="62">
    <w:name w:val="Body Text First Indent 2"/>
    <w:basedOn w:val="26"/>
    <w:link w:val="124"/>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Body Text First Indent 21"/>
    <w:basedOn w:val="82"/>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82">
    <w:name w:val="Body Text Indent1"/>
    <w:basedOn w:val="1"/>
    <w:next w:val="1"/>
    <w:autoRedefine/>
    <w:qFormat/>
    <w:uiPriority w:val="0"/>
    <w:pPr>
      <w:spacing w:after="120" w:afterLines="0"/>
      <w:ind w:left="420" w:leftChars="200"/>
    </w:pPr>
    <w:rPr>
      <w:color w:val="000000"/>
      <w:sz w:val="21"/>
      <w:szCs w:val="21"/>
    </w:rPr>
  </w:style>
  <w:style w:type="paragraph" w:customStyle="1" w:styleId="83">
    <w:name w:val="_Style 3"/>
    <w:basedOn w:val="1"/>
    <w:autoRedefine/>
    <w:qFormat/>
    <w:uiPriority w:val="0"/>
    <w:pPr>
      <w:adjustRightInd/>
      <w:ind w:firstLine="420" w:firstLineChars="200"/>
    </w:pPr>
    <w:rPr>
      <w:rFonts w:eastAsia="仿宋_GB2312"/>
      <w:sz w:val="28"/>
    </w:rPr>
  </w:style>
  <w:style w:type="paragraph" w:styleId="84">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5">
    <w:name w:val="表格非标题文字 Char"/>
    <w:link w:val="86"/>
    <w:autoRedefine/>
    <w:qFormat/>
    <w:uiPriority w:val="0"/>
    <w:rPr>
      <w:rFonts w:ascii="Futura Bk" w:hAnsi="Futura Bk"/>
      <w:kern w:val="2"/>
      <w:sz w:val="18"/>
      <w:szCs w:val="21"/>
      <w:lang w:val="en-US" w:eastAsia="zh-CN" w:bidi="ar-SA"/>
    </w:rPr>
  </w:style>
  <w:style w:type="paragraph" w:customStyle="1" w:styleId="86">
    <w:name w:val="表格非标题文字"/>
    <w:link w:val="85"/>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autoRedefine/>
    <w:qFormat/>
    <w:locked/>
    <w:uiPriority w:val="0"/>
    <w:rPr>
      <w:rFonts w:ascii="宋体" w:hAnsi="宋体"/>
      <w:sz w:val="24"/>
    </w:rPr>
  </w:style>
  <w:style w:type="paragraph" w:customStyle="1" w:styleId="88">
    <w:name w:val="*正文"/>
    <w:basedOn w:val="1"/>
    <w:link w:val="87"/>
    <w:autoRedefine/>
    <w:qFormat/>
    <w:uiPriority w:val="0"/>
    <w:pPr>
      <w:snapToGrid w:val="0"/>
      <w:spacing w:line="360" w:lineRule="auto"/>
      <w:ind w:firstLine="482"/>
      <w:jc w:val="left"/>
    </w:pPr>
    <w:rPr>
      <w:rFonts w:ascii="宋体" w:hAnsi="宋体"/>
      <w:kern w:val="0"/>
      <w:sz w:val="24"/>
      <w:szCs w:val="20"/>
    </w:rPr>
  </w:style>
  <w:style w:type="character" w:customStyle="1" w:styleId="89">
    <w:name w:val="Char Char71"/>
    <w:autoRedefine/>
    <w:semiHidden/>
    <w:qFormat/>
    <w:uiPriority w:val="0"/>
    <w:rPr>
      <w:rFonts w:eastAsia="宋体"/>
      <w:kern w:val="2"/>
      <w:sz w:val="21"/>
      <w:szCs w:val="24"/>
      <w:lang w:val="en-US" w:eastAsia="zh-CN" w:bidi="ar-SA"/>
    </w:rPr>
  </w:style>
  <w:style w:type="character" w:customStyle="1" w:styleId="90">
    <w:name w:val="Char Char6"/>
    <w:autoRedefine/>
    <w:qFormat/>
    <w:uiPriority w:val="0"/>
    <w:rPr>
      <w:rFonts w:eastAsia="宋体"/>
      <w:kern w:val="2"/>
      <w:sz w:val="21"/>
      <w:szCs w:val="24"/>
      <w:lang w:val="en-US" w:eastAsia="zh-CN" w:bidi="ar-SA"/>
    </w:rPr>
  </w:style>
  <w:style w:type="character" w:customStyle="1" w:styleId="91">
    <w:name w:val="正文缩进 Char"/>
    <w:autoRedefine/>
    <w:qFormat/>
    <w:uiPriority w:val="0"/>
    <w:rPr>
      <w:rFonts w:eastAsia="宋体"/>
      <w:kern w:val="2"/>
      <w:sz w:val="21"/>
      <w:lang w:val="en-US" w:eastAsia="zh-CN"/>
    </w:rPr>
  </w:style>
  <w:style w:type="character" w:customStyle="1" w:styleId="92">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3">
    <w:name w:val="Char Char28"/>
    <w:autoRedefine/>
    <w:qFormat/>
    <w:uiPriority w:val="6"/>
    <w:rPr>
      <w:rFonts w:ascii="仿宋_GB2312" w:hAnsi="仿宋_GB2312" w:eastAsia="仿宋_GB2312"/>
      <w:kern w:val="1"/>
      <w:sz w:val="28"/>
    </w:rPr>
  </w:style>
  <w:style w:type="character" w:customStyle="1" w:styleId="94">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autoRedefine/>
    <w:qFormat/>
    <w:uiPriority w:val="6"/>
    <w:rPr>
      <w:rFonts w:ascii="Times New Roman" w:hAnsi="Times New Roman" w:eastAsia="黑体" w:cs="Times New Roman"/>
      <w:b/>
      <w:kern w:val="0"/>
      <w:sz w:val="24"/>
      <w:szCs w:val="24"/>
    </w:rPr>
  </w:style>
  <w:style w:type="character" w:customStyle="1" w:styleId="96">
    <w:name w:val="U_正文 Char"/>
    <w:link w:val="97"/>
    <w:autoRedefine/>
    <w:qFormat/>
    <w:uiPriority w:val="0"/>
    <w:rPr>
      <w:sz w:val="24"/>
      <w:szCs w:val="24"/>
    </w:rPr>
  </w:style>
  <w:style w:type="paragraph" w:customStyle="1" w:styleId="97">
    <w:name w:val="U_正文"/>
    <w:basedOn w:val="1"/>
    <w:link w:val="96"/>
    <w:autoRedefine/>
    <w:qFormat/>
    <w:uiPriority w:val="0"/>
    <w:pPr>
      <w:adjustRightInd/>
      <w:spacing w:beforeLines="20" w:afterLines="20" w:line="300" w:lineRule="auto"/>
      <w:ind w:firstLine="200" w:firstLineChars="200"/>
    </w:pPr>
    <w:rPr>
      <w:kern w:val="0"/>
      <w:sz w:val="24"/>
    </w:rPr>
  </w:style>
  <w:style w:type="character" w:customStyle="1" w:styleId="98">
    <w:name w:val="HTML 地址 Char1"/>
    <w:autoRedefine/>
    <w:qFormat/>
    <w:uiPriority w:val="0"/>
    <w:rPr>
      <w:rFonts w:ascii="Times New Roman" w:hAnsi="Times New Roman" w:eastAsia="宋体" w:cs="Times New Roman"/>
      <w:i/>
      <w:iCs/>
      <w:szCs w:val="24"/>
    </w:rPr>
  </w:style>
  <w:style w:type="character" w:customStyle="1" w:styleId="99">
    <w:name w:val="批注主题 Char1"/>
    <w:link w:val="60"/>
    <w:autoRedefine/>
    <w:qFormat/>
    <w:uiPriority w:val="0"/>
    <w:rPr>
      <w:b/>
      <w:bCs/>
      <w:kern w:val="2"/>
      <w:sz w:val="21"/>
      <w:szCs w:val="24"/>
    </w:rPr>
  </w:style>
  <w:style w:type="character" w:customStyle="1" w:styleId="100">
    <w:name w:val="Char Char51"/>
    <w:autoRedefine/>
    <w:qFormat/>
    <w:uiPriority w:val="0"/>
    <w:rPr>
      <w:rFonts w:ascii="宋体" w:hAnsi="Courier New" w:eastAsia="宋体"/>
      <w:kern w:val="2"/>
      <w:sz w:val="21"/>
      <w:lang w:val="en-US" w:eastAsia="zh-CN"/>
    </w:rPr>
  </w:style>
  <w:style w:type="character" w:customStyle="1" w:styleId="101">
    <w:name w:val="表正文 Char"/>
    <w:autoRedefine/>
    <w:qFormat/>
    <w:uiPriority w:val="0"/>
    <w:rPr>
      <w:rFonts w:ascii="宋体" w:eastAsia="宋体"/>
      <w:snapToGrid w:val="0"/>
      <w:color w:val="000000"/>
      <w:kern w:val="28"/>
      <w:sz w:val="28"/>
      <w:lang w:val="en-US" w:eastAsia="zh-CN" w:bidi="ar-SA"/>
    </w:rPr>
  </w:style>
  <w:style w:type="character" w:customStyle="1" w:styleId="102">
    <w:name w:val="Char Char34"/>
    <w:autoRedefine/>
    <w:qFormat/>
    <w:uiPriority w:val="6"/>
    <w:rPr>
      <w:b/>
      <w:kern w:val="1"/>
      <w:sz w:val="28"/>
      <w:szCs w:val="28"/>
    </w:rPr>
  </w:style>
  <w:style w:type="character" w:customStyle="1" w:styleId="103">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autoRedefine/>
    <w:qFormat/>
    <w:uiPriority w:val="0"/>
    <w:rPr>
      <w:rFonts w:ascii="宋体" w:hAnsi="宋体" w:eastAsia="宋体"/>
      <w:kern w:val="2"/>
      <w:sz w:val="24"/>
      <w:lang w:bidi="ar-SA"/>
    </w:rPr>
  </w:style>
  <w:style w:type="paragraph" w:customStyle="1" w:styleId="105">
    <w:name w:val="哈哈正文"/>
    <w:basedOn w:val="1"/>
    <w:link w:val="104"/>
    <w:autoRedefine/>
    <w:qFormat/>
    <w:uiPriority w:val="0"/>
    <w:pPr>
      <w:adjustRightInd/>
      <w:spacing w:line="360" w:lineRule="auto"/>
      <w:ind w:firstLine="200" w:firstLineChars="200"/>
    </w:pPr>
    <w:rPr>
      <w:rFonts w:ascii="宋体" w:hAnsi="宋体"/>
      <w:sz w:val="24"/>
      <w:szCs w:val="20"/>
    </w:rPr>
  </w:style>
  <w:style w:type="character" w:customStyle="1" w:styleId="106">
    <w:name w:val="未处理的提及1"/>
    <w:autoRedefine/>
    <w:qFormat/>
    <w:uiPriority w:val="0"/>
    <w:rPr>
      <w:color w:val="808080"/>
      <w:shd w:val="clear" w:color="auto" w:fill="E6E6E6"/>
    </w:rPr>
  </w:style>
  <w:style w:type="character" w:customStyle="1" w:styleId="107">
    <w:name w:val="txt"/>
    <w:autoRedefine/>
    <w:qFormat/>
    <w:uiPriority w:val="0"/>
    <w:rPr>
      <w:rFonts w:ascii="仿宋_GB2312" w:eastAsia="微软雅黑"/>
      <w:b/>
      <w:kern w:val="2"/>
      <w:sz w:val="32"/>
      <w:szCs w:val="32"/>
      <w:lang w:val="en-US" w:eastAsia="zh-CN" w:bidi="ar-SA"/>
    </w:rPr>
  </w:style>
  <w:style w:type="character" w:customStyle="1" w:styleId="10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9">
    <w:name w:val="Char Char32"/>
    <w:autoRedefine/>
    <w:qFormat/>
    <w:uiPriority w:val="6"/>
    <w:rPr>
      <w:b/>
      <w:kern w:val="1"/>
      <w:sz w:val="24"/>
      <w:szCs w:val="24"/>
    </w:rPr>
  </w:style>
  <w:style w:type="character" w:customStyle="1" w:styleId="110">
    <w:name w:val="PI Char1"/>
    <w:autoRedefine/>
    <w:qFormat/>
    <w:uiPriority w:val="0"/>
    <w:rPr>
      <w:rFonts w:ascii="宋体" w:hAnsi="宋体"/>
      <w:kern w:val="2"/>
      <w:sz w:val="24"/>
      <w:szCs w:val="24"/>
    </w:rPr>
  </w:style>
  <w:style w:type="character" w:customStyle="1" w:styleId="111">
    <w:name w:val="tw4winTerm"/>
    <w:autoRedefine/>
    <w:qFormat/>
    <w:uiPriority w:val="0"/>
    <w:rPr>
      <w:color w:val="0000FF"/>
    </w:rPr>
  </w:style>
  <w:style w:type="character" w:customStyle="1" w:styleId="112">
    <w:name w:val="Footer Char"/>
    <w:autoRedefine/>
    <w:qFormat/>
    <w:locked/>
    <w:uiPriority w:val="0"/>
    <w:rPr>
      <w:rFonts w:eastAsia="宋体"/>
      <w:kern w:val="2"/>
      <w:sz w:val="18"/>
      <w:lang w:val="en-US" w:eastAsia="zh-CN" w:bidi="ar-SA"/>
    </w:rPr>
  </w:style>
  <w:style w:type="character" w:customStyle="1" w:styleId="113">
    <w:name w:val="普通文字 Char Char1"/>
    <w:autoRedefine/>
    <w:qFormat/>
    <w:uiPriority w:val="0"/>
    <w:rPr>
      <w:rFonts w:ascii="宋体" w:hAnsi="Courier New"/>
      <w:kern w:val="2"/>
      <w:sz w:val="21"/>
    </w:rPr>
  </w:style>
  <w:style w:type="character" w:customStyle="1" w:styleId="114">
    <w:name w:val="Char Char101"/>
    <w:autoRedefine/>
    <w:qFormat/>
    <w:uiPriority w:val="6"/>
    <w:rPr>
      <w:rFonts w:ascii="宋体" w:hAnsi="宋体"/>
      <w:kern w:val="2"/>
      <w:sz w:val="21"/>
      <w:szCs w:val="24"/>
      <w:lang w:val="en-US" w:eastAsia="zh-CN"/>
    </w:rPr>
  </w:style>
  <w:style w:type="character" w:customStyle="1" w:styleId="115">
    <w:name w:val="标题 4 Char"/>
    <w:autoRedefine/>
    <w:qFormat/>
    <w:uiPriority w:val="0"/>
    <w:rPr>
      <w:rFonts w:ascii="Arial" w:hAnsi="Arial" w:eastAsia="黑体"/>
      <w:b/>
      <w:kern w:val="2"/>
      <w:sz w:val="28"/>
    </w:rPr>
  </w:style>
  <w:style w:type="character" w:customStyle="1" w:styleId="116">
    <w:name w:val="链接"/>
    <w:autoRedefine/>
    <w:qFormat/>
    <w:uiPriority w:val="0"/>
    <w:rPr>
      <w:color w:val="0000FF"/>
      <w:sz w:val="21"/>
      <w:szCs w:val="21"/>
      <w:u w:val="single"/>
    </w:rPr>
  </w:style>
  <w:style w:type="character" w:customStyle="1" w:styleId="117">
    <w:name w:val="h4 Char"/>
    <w:autoRedefine/>
    <w:qFormat/>
    <w:uiPriority w:val="0"/>
    <w:rPr>
      <w:rFonts w:ascii="Arial" w:hAnsi="Arial" w:eastAsia="黑体"/>
      <w:b/>
      <w:bCs/>
      <w:kern w:val="2"/>
      <w:sz w:val="28"/>
      <w:szCs w:val="28"/>
      <w:lang w:val="zh-CN" w:eastAsia="zh-CN" w:bidi="ar-SA"/>
    </w:rPr>
  </w:style>
  <w:style w:type="character" w:customStyle="1" w:styleId="118">
    <w:name w:val="5正文 Char"/>
    <w:link w:val="119"/>
    <w:autoRedefine/>
    <w:qFormat/>
    <w:uiPriority w:val="0"/>
    <w:rPr>
      <w:rFonts w:ascii="仿宋_GB2312" w:hAnsi="微软雅黑" w:eastAsia="仿宋_GB2312"/>
      <w:sz w:val="28"/>
      <w:szCs w:val="21"/>
    </w:rPr>
  </w:style>
  <w:style w:type="paragraph" w:customStyle="1" w:styleId="119">
    <w:name w:val="5正文"/>
    <w:basedOn w:val="1"/>
    <w:link w:val="11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autoRedefine/>
    <w:qFormat/>
    <w:uiPriority w:val="9"/>
    <w:rPr>
      <w:b/>
      <w:bCs/>
      <w:kern w:val="2"/>
      <w:sz w:val="32"/>
      <w:szCs w:val="32"/>
    </w:rPr>
  </w:style>
  <w:style w:type="character" w:customStyle="1" w:styleId="121">
    <w:name w:val="样式6 Char"/>
    <w:autoRedefine/>
    <w:qFormat/>
    <w:uiPriority w:val="0"/>
    <w:rPr>
      <w:rFonts w:ascii="仿宋_GB2312" w:hAnsi="宋体" w:eastAsia="仿宋_GB2312"/>
      <w:b/>
      <w:bCs/>
      <w:kern w:val="2"/>
      <w:sz w:val="24"/>
      <w:szCs w:val="24"/>
      <w:lang w:val="en-US" w:eastAsia="zh-CN" w:bidi="ar-SA"/>
    </w:rPr>
  </w:style>
  <w:style w:type="character" w:customStyle="1" w:styleId="122">
    <w:name w:val="Char Char14"/>
    <w:autoRedefine/>
    <w:qFormat/>
    <w:uiPriority w:val="6"/>
    <w:rPr>
      <w:rFonts w:ascii="黑体" w:hAnsi="黑体" w:eastAsia="黑体"/>
    </w:rPr>
  </w:style>
  <w:style w:type="character" w:customStyle="1" w:styleId="123">
    <w:name w:val="Heading 2 Hidden Char"/>
    <w:autoRedefine/>
    <w:qFormat/>
    <w:uiPriority w:val="0"/>
    <w:rPr>
      <w:rFonts w:ascii="仿宋_GB2312" w:eastAsia="仿宋_GB2312"/>
      <w:b/>
      <w:bCs/>
      <w:kern w:val="2"/>
      <w:sz w:val="24"/>
      <w:szCs w:val="24"/>
      <w:lang w:val="zh-CN" w:eastAsia="zh-CN" w:bidi="ar-SA"/>
    </w:rPr>
  </w:style>
  <w:style w:type="character" w:customStyle="1" w:styleId="124">
    <w:name w:val="正文首行缩进 2 Char"/>
    <w:link w:val="62"/>
    <w:autoRedefine/>
    <w:qFormat/>
    <w:uiPriority w:val="0"/>
    <w:rPr>
      <w:rFonts w:ascii="宋体" w:hAnsi="宋体"/>
      <w:kern w:val="2"/>
      <w:sz w:val="21"/>
      <w:szCs w:val="24"/>
    </w:rPr>
  </w:style>
  <w:style w:type="character" w:customStyle="1" w:styleId="125">
    <w:name w:val="font11"/>
    <w:basedOn w:val="70"/>
    <w:autoRedefine/>
    <w:qFormat/>
    <w:uiPriority w:val="0"/>
    <w:rPr>
      <w:rFonts w:hint="default" w:ascii="Times New Roman" w:hAnsi="Times New Roman" w:cs="Times New Roman"/>
      <w:color w:val="000000"/>
      <w:sz w:val="22"/>
      <w:szCs w:val="22"/>
      <w:u w:val="none"/>
    </w:rPr>
  </w:style>
  <w:style w:type="character" w:customStyle="1" w:styleId="126">
    <w:name w:val="表正文 Char1"/>
    <w:autoRedefine/>
    <w:qFormat/>
    <w:uiPriority w:val="0"/>
    <w:rPr>
      <w:rFonts w:ascii="宋体" w:eastAsia="宋体"/>
      <w:snapToGrid w:val="0"/>
      <w:color w:val="000000"/>
      <w:kern w:val="28"/>
      <w:sz w:val="28"/>
    </w:rPr>
  </w:style>
  <w:style w:type="character" w:customStyle="1" w:styleId="127">
    <w:name w:val="blue1"/>
    <w:basedOn w:val="70"/>
    <w:autoRedefine/>
    <w:qFormat/>
    <w:uiPriority w:val="0"/>
    <w:rPr>
      <w:rFonts w:ascii="Arial" w:hAnsi="Arial" w:eastAsia="黑体" w:cs="Arial"/>
      <w:snapToGrid w:val="0"/>
      <w:kern w:val="0"/>
      <w:szCs w:val="21"/>
    </w:rPr>
  </w:style>
  <w:style w:type="character" w:customStyle="1" w:styleId="128">
    <w:name w:val="纯文本 Char"/>
    <w:link w:val="3"/>
    <w:autoRedefine/>
    <w:qFormat/>
    <w:uiPriority w:val="0"/>
    <w:rPr>
      <w:rFonts w:ascii="宋体" w:hAnsi="Courier New" w:eastAsia="宋体" w:cs="Arial"/>
      <w:snapToGrid w:val="0"/>
      <w:kern w:val="2"/>
      <w:sz w:val="21"/>
      <w:szCs w:val="21"/>
      <w:lang w:val="en-US" w:eastAsia="zh-CN" w:bidi="ar-SA"/>
    </w:rPr>
  </w:style>
  <w:style w:type="character" w:customStyle="1" w:styleId="129">
    <w:name w:val="标书1 Char"/>
    <w:autoRedefine/>
    <w:qFormat/>
    <w:uiPriority w:val="0"/>
    <w:rPr>
      <w:rFonts w:eastAsia="宋体"/>
      <w:b/>
      <w:bCs/>
      <w:kern w:val="44"/>
      <w:sz w:val="44"/>
      <w:szCs w:val="44"/>
      <w:lang w:val="en-US" w:eastAsia="zh-CN" w:bidi="ar-SA"/>
    </w:rPr>
  </w:style>
  <w:style w:type="character" w:customStyle="1" w:styleId="130">
    <w:name w:val="样式5 Char"/>
    <w:autoRedefine/>
    <w:qFormat/>
    <w:uiPriority w:val="0"/>
    <w:rPr>
      <w:rFonts w:ascii="仿宋_GB2312" w:hAnsi="仿宋" w:eastAsia="仿宋_GB2312"/>
      <w:kern w:val="2"/>
      <w:sz w:val="24"/>
      <w:szCs w:val="24"/>
    </w:rPr>
  </w:style>
  <w:style w:type="character" w:customStyle="1" w:styleId="131">
    <w:name w:val="样式4 Char"/>
    <w:autoRedefine/>
    <w:qFormat/>
    <w:uiPriority w:val="0"/>
    <w:rPr>
      <w:rFonts w:ascii="仿宋_GB2312" w:hAnsi="仿宋" w:eastAsia="仿宋_GB2312"/>
      <w:b/>
      <w:kern w:val="2"/>
      <w:sz w:val="32"/>
      <w:szCs w:val="32"/>
      <w:lang w:bidi="ar-SA"/>
    </w:rPr>
  </w:style>
  <w:style w:type="character" w:customStyle="1" w:styleId="132">
    <w:name w:val="插图说明 Char"/>
    <w:autoRedefine/>
    <w:qFormat/>
    <w:uiPriority w:val="0"/>
    <w:rPr>
      <w:rFonts w:eastAsia="黑体"/>
      <w:sz w:val="24"/>
      <w:lang w:val="en-US" w:eastAsia="zh-CN"/>
    </w:rPr>
  </w:style>
  <w:style w:type="character" w:customStyle="1" w:styleId="133">
    <w:name w:val="正文2 Char Char"/>
    <w:link w:val="134"/>
    <w:autoRedefine/>
    <w:qFormat/>
    <w:uiPriority w:val="0"/>
    <w:rPr>
      <w:rFonts w:eastAsia="宋体"/>
      <w:kern w:val="2"/>
      <w:sz w:val="24"/>
      <w:lang w:val="en-US" w:eastAsia="zh-CN" w:bidi="ar-SA"/>
    </w:rPr>
  </w:style>
  <w:style w:type="paragraph" w:customStyle="1" w:styleId="134">
    <w:name w:val="正文2"/>
    <w:basedOn w:val="1"/>
    <w:link w:val="133"/>
    <w:autoRedefine/>
    <w:qFormat/>
    <w:uiPriority w:val="0"/>
    <w:pPr>
      <w:spacing w:before="156" w:line="360" w:lineRule="auto"/>
      <w:ind w:firstLine="510" w:firstLineChars="200"/>
    </w:pPr>
    <w:rPr>
      <w:sz w:val="24"/>
      <w:szCs w:val="20"/>
    </w:rPr>
  </w:style>
  <w:style w:type="character" w:customStyle="1" w:styleId="135">
    <w:name w:val="Char Char24"/>
    <w:autoRedefine/>
    <w:qFormat/>
    <w:uiPriority w:val="6"/>
    <w:rPr>
      <w:kern w:val="1"/>
      <w:sz w:val="21"/>
    </w:rPr>
  </w:style>
  <w:style w:type="character" w:customStyle="1" w:styleId="136">
    <w:name w:val="副标题 Char"/>
    <w:link w:val="47"/>
    <w:autoRedefine/>
    <w:qFormat/>
    <w:uiPriority w:val="0"/>
    <w:rPr>
      <w:rFonts w:ascii="Arial" w:hAnsi="Arial" w:eastAsia="隶书"/>
      <w:b/>
      <w:bCs/>
      <w:kern w:val="28"/>
      <w:sz w:val="44"/>
      <w:szCs w:val="32"/>
      <w:lang w:val="en-US" w:eastAsia="zh-CN" w:bidi="ar-SA"/>
    </w:rPr>
  </w:style>
  <w:style w:type="character" w:customStyle="1" w:styleId="137">
    <w:name w:val="普通文字 Char1 Char"/>
    <w:autoRedefine/>
    <w:qFormat/>
    <w:uiPriority w:val="0"/>
    <w:rPr>
      <w:rFonts w:ascii="宋体" w:hAnsi="Courier New" w:eastAsia="宋体"/>
      <w:kern w:val="2"/>
      <w:sz w:val="21"/>
      <w:szCs w:val="24"/>
      <w:lang w:val="en-US" w:eastAsia="zh-CN" w:bidi="ar-SA"/>
    </w:rPr>
  </w:style>
  <w:style w:type="character" w:customStyle="1" w:styleId="138">
    <w:name w:val="h3 Char1"/>
    <w:autoRedefine/>
    <w:qFormat/>
    <w:uiPriority w:val="0"/>
    <w:rPr>
      <w:rFonts w:eastAsia="宋体"/>
      <w:b/>
      <w:bCs/>
      <w:kern w:val="2"/>
      <w:sz w:val="32"/>
      <w:szCs w:val="32"/>
      <w:lang w:bidi="ar-SA"/>
    </w:rPr>
  </w:style>
  <w:style w:type="character" w:customStyle="1" w:styleId="139">
    <w:name w:val="标题 Char1"/>
    <w:autoRedefine/>
    <w:qFormat/>
    <w:uiPriority w:val="0"/>
    <w:rPr>
      <w:rFonts w:ascii="Cambria" w:hAnsi="Cambria" w:eastAsia="宋体" w:cs="Times New Roman"/>
      <w:b/>
      <w:bCs/>
      <w:sz w:val="32"/>
      <w:szCs w:val="32"/>
      <w:lang w:bidi="ar-SA"/>
    </w:rPr>
  </w:style>
  <w:style w:type="character" w:customStyle="1" w:styleId="140">
    <w:name w:val="gf正文1 Char"/>
    <w:autoRedefine/>
    <w:qFormat/>
    <w:uiPriority w:val="0"/>
    <w:rPr>
      <w:rFonts w:ascii="宋体" w:hAnsi="宋体" w:eastAsia="宋体" w:cs="宋体"/>
      <w:kern w:val="2"/>
      <w:sz w:val="24"/>
      <w:szCs w:val="24"/>
      <w:lang w:val="en-US" w:eastAsia="zh-CN" w:bidi="ar-SA"/>
    </w:rPr>
  </w:style>
  <w:style w:type="character" w:customStyle="1" w:styleId="141">
    <w:name w:val="正文文本缩进 Char1"/>
    <w:autoRedefine/>
    <w:qFormat/>
    <w:uiPriority w:val="0"/>
    <w:rPr>
      <w:rFonts w:ascii="Calibri" w:hAnsi="Calibri"/>
      <w:sz w:val="28"/>
    </w:rPr>
  </w:style>
  <w:style w:type="character" w:customStyle="1" w:styleId="142">
    <w:name w:val="No Spacing Char"/>
    <w:link w:val="143"/>
    <w:autoRedefine/>
    <w:qFormat/>
    <w:uiPriority w:val="1"/>
    <w:rPr>
      <w:sz w:val="22"/>
      <w:szCs w:val="22"/>
      <w:lang w:val="en-US" w:eastAsia="zh-CN" w:bidi="ar-SA"/>
    </w:rPr>
  </w:style>
  <w:style w:type="paragraph" w:customStyle="1" w:styleId="143">
    <w:name w:val="无间隔1"/>
    <w:link w:val="142"/>
    <w:autoRedefine/>
    <w:qFormat/>
    <w:uiPriority w:val="1"/>
    <w:rPr>
      <w:rFonts w:ascii="Times New Roman" w:hAnsi="Times New Roman" w:eastAsia="宋体" w:cs="Times New Roman"/>
      <w:sz w:val="22"/>
      <w:szCs w:val="22"/>
      <w:lang w:val="en-US" w:eastAsia="zh-CN" w:bidi="ar-SA"/>
    </w:rPr>
  </w:style>
  <w:style w:type="character" w:customStyle="1" w:styleId="144">
    <w:name w:val="样式7 Char"/>
    <w:autoRedefine/>
    <w:qFormat/>
    <w:uiPriority w:val="0"/>
    <w:rPr>
      <w:rFonts w:ascii="仿宋_GB2312" w:hAnsi="仿宋" w:eastAsia="仿宋_GB2312"/>
      <w:b/>
      <w:kern w:val="2"/>
      <w:sz w:val="24"/>
      <w:szCs w:val="24"/>
    </w:rPr>
  </w:style>
  <w:style w:type="character" w:customStyle="1" w:styleId="145">
    <w:name w:val="font12gray1"/>
    <w:autoRedefine/>
    <w:qFormat/>
    <w:uiPriority w:val="0"/>
    <w:rPr>
      <w:rFonts w:ascii="仿宋_GB2312" w:eastAsia="微软雅黑"/>
      <w:b/>
      <w:spacing w:val="300"/>
      <w:kern w:val="2"/>
      <w:sz w:val="18"/>
      <w:szCs w:val="18"/>
      <w:lang w:val="en-US" w:eastAsia="zh-CN" w:bidi="ar-SA"/>
    </w:rPr>
  </w:style>
  <w:style w:type="character" w:customStyle="1" w:styleId="146">
    <w:name w:val="Char Char7"/>
    <w:autoRedefine/>
    <w:semiHidden/>
    <w:qFormat/>
    <w:uiPriority w:val="0"/>
    <w:rPr>
      <w:rFonts w:eastAsia="宋体"/>
      <w:kern w:val="2"/>
      <w:sz w:val="21"/>
      <w:szCs w:val="24"/>
      <w:lang w:val="en-US" w:eastAsia="zh-CN" w:bidi="ar-SA"/>
    </w:rPr>
  </w:style>
  <w:style w:type="character" w:customStyle="1" w:styleId="147">
    <w:name w:val="表名 Char"/>
    <w:autoRedefine/>
    <w:qFormat/>
    <w:uiPriority w:val="0"/>
    <w:rPr>
      <w:rFonts w:eastAsia="宋体"/>
      <w:b/>
      <w:bCs/>
      <w:kern w:val="2"/>
      <w:sz w:val="24"/>
      <w:szCs w:val="24"/>
      <w:lang w:val="en-US" w:eastAsia="zh-CN" w:bidi="ar-SA"/>
    </w:rPr>
  </w:style>
  <w:style w:type="character" w:customStyle="1" w:styleId="148">
    <w:name w:val="Document Map Char"/>
    <w:autoRedefine/>
    <w:qFormat/>
    <w:locked/>
    <w:uiPriority w:val="0"/>
    <w:rPr>
      <w:rFonts w:eastAsia="宋体"/>
      <w:kern w:val="2"/>
      <w:sz w:val="21"/>
      <w:szCs w:val="24"/>
      <w:lang w:val="en-US" w:eastAsia="zh-CN" w:bidi="ar-SA"/>
    </w:rPr>
  </w:style>
  <w:style w:type="character" w:customStyle="1" w:styleId="149">
    <w:name w:val="font41"/>
    <w:basedOn w:val="70"/>
    <w:autoRedefine/>
    <w:qFormat/>
    <w:uiPriority w:val="0"/>
    <w:rPr>
      <w:rFonts w:hint="eastAsia" w:ascii="仿宋_GB2312" w:eastAsia="仿宋_GB2312" w:cs="仿宋_GB2312"/>
      <w:color w:val="000000"/>
      <w:sz w:val="22"/>
      <w:szCs w:val="22"/>
      <w:u w:val="none"/>
    </w:rPr>
  </w:style>
  <w:style w:type="character" w:customStyle="1" w:styleId="150">
    <w:name w:val="标题 6 Char"/>
    <w:link w:val="10"/>
    <w:autoRedefine/>
    <w:qFormat/>
    <w:uiPriority w:val="0"/>
    <w:rPr>
      <w:rFonts w:ascii="Arial" w:hAnsi="Arial" w:eastAsia="黑体"/>
      <w:b/>
      <w:bCs/>
      <w:kern w:val="2"/>
      <w:sz w:val="24"/>
      <w:szCs w:val="24"/>
    </w:rPr>
  </w:style>
  <w:style w:type="character" w:customStyle="1" w:styleId="151">
    <w:name w:val="纯文本 Char_0"/>
    <w:link w:val="152"/>
    <w:autoRedefine/>
    <w:qFormat/>
    <w:uiPriority w:val="0"/>
    <w:rPr>
      <w:rFonts w:ascii="宋体" w:hAnsi="Courier New"/>
      <w:kern w:val="2"/>
      <w:sz w:val="21"/>
      <w:szCs w:val="21"/>
      <w:lang w:val="en-US" w:eastAsia="zh-CN"/>
    </w:rPr>
  </w:style>
  <w:style w:type="paragraph" w:customStyle="1" w:styleId="152">
    <w:name w:val="纯文本_0_0"/>
    <w:basedOn w:val="153"/>
    <w:link w:val="151"/>
    <w:autoRedefine/>
    <w:qFormat/>
    <w:uiPriority w:val="0"/>
    <w:rPr>
      <w:rFonts w:ascii="宋体" w:hAnsi="Courier New"/>
      <w:szCs w:val="21"/>
    </w:rPr>
  </w:style>
  <w:style w:type="paragraph" w:customStyle="1" w:styleId="15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autoRedefine/>
    <w:qFormat/>
    <w:locked/>
    <w:uiPriority w:val="0"/>
    <w:rPr>
      <w:rFonts w:eastAsia="宋体"/>
      <w:kern w:val="2"/>
      <w:sz w:val="18"/>
      <w:szCs w:val="18"/>
      <w:lang w:val="en-US" w:eastAsia="zh-CN" w:bidi="ar-SA"/>
    </w:rPr>
  </w:style>
  <w:style w:type="character" w:customStyle="1" w:styleId="155">
    <w:name w:val="正文 项目2 Char"/>
    <w:basedOn w:val="156"/>
    <w:autoRedefine/>
    <w:qFormat/>
    <w:uiPriority w:val="0"/>
    <w:rPr>
      <w:rFonts w:ascii="仿宋_GB2312" w:hAnsi="仿宋_GB2312" w:eastAsia="仿宋_GB2312"/>
      <w:kern w:val="2"/>
      <w:sz w:val="24"/>
      <w:lang w:bidi="ar-SA"/>
    </w:rPr>
  </w:style>
  <w:style w:type="character" w:customStyle="1" w:styleId="156">
    <w:name w:val="正文 项目 Char"/>
    <w:autoRedefine/>
    <w:qFormat/>
    <w:uiPriority w:val="0"/>
    <w:rPr>
      <w:rFonts w:ascii="仿宋_GB2312" w:hAnsi="仿宋_GB2312" w:eastAsia="仿宋_GB2312"/>
      <w:kern w:val="2"/>
      <w:sz w:val="24"/>
      <w:lang w:bidi="ar-SA"/>
    </w:rPr>
  </w:style>
  <w:style w:type="character" w:customStyle="1" w:styleId="157">
    <w:name w:val="h Char Char1"/>
    <w:autoRedefine/>
    <w:qFormat/>
    <w:uiPriority w:val="0"/>
    <w:rPr>
      <w:rFonts w:eastAsia="宋体"/>
      <w:kern w:val="2"/>
      <w:sz w:val="18"/>
      <w:szCs w:val="18"/>
      <w:lang w:val="en-US" w:eastAsia="zh-CN" w:bidi="ar-SA"/>
    </w:rPr>
  </w:style>
  <w:style w:type="character" w:customStyle="1" w:styleId="158">
    <w:name w:val="Char Char27"/>
    <w:autoRedefine/>
    <w:qFormat/>
    <w:uiPriority w:val="6"/>
    <w:rPr>
      <w:rFonts w:ascii="宋体" w:hAnsi="宋体" w:eastAsia="宋体"/>
      <w:color w:val="000000"/>
      <w:kern w:val="1"/>
      <w:sz w:val="28"/>
      <w:lang w:val="en-US" w:eastAsia="zh-CN" w:bidi="ar-SA"/>
    </w:rPr>
  </w:style>
  <w:style w:type="character" w:customStyle="1" w:styleId="159">
    <w:name w:val="px14"/>
    <w:autoRedefine/>
    <w:qFormat/>
    <w:uiPriority w:val="0"/>
    <w:rPr>
      <w:rFonts w:ascii="仿宋_GB2312" w:eastAsia="微软雅黑" w:cs="Times New Roman"/>
      <w:b/>
      <w:kern w:val="2"/>
      <w:sz w:val="32"/>
      <w:szCs w:val="32"/>
      <w:lang w:val="en-US" w:eastAsia="zh-CN" w:bidi="ar-SA"/>
    </w:rPr>
  </w:style>
  <w:style w:type="character" w:customStyle="1" w:styleId="160">
    <w:name w:val="HTML 预设格式 Char1"/>
    <w:autoRedefine/>
    <w:qFormat/>
    <w:uiPriority w:val="0"/>
    <w:rPr>
      <w:rFonts w:ascii="Courier New" w:hAnsi="Courier New" w:eastAsia="宋体" w:cs="Courier New"/>
      <w:sz w:val="20"/>
      <w:szCs w:val="20"/>
    </w:rPr>
  </w:style>
  <w:style w:type="character" w:customStyle="1" w:styleId="161">
    <w:name w:val="普通文字 Char1"/>
    <w:autoRedefine/>
    <w:qFormat/>
    <w:uiPriority w:val="0"/>
    <w:rPr>
      <w:rFonts w:ascii="宋体" w:hAnsi="Courier New" w:eastAsia="宋体"/>
      <w:kern w:val="2"/>
      <w:sz w:val="21"/>
      <w:lang w:val="en-US" w:eastAsia="zh-CN"/>
    </w:rPr>
  </w:style>
  <w:style w:type="character" w:customStyle="1" w:styleId="162">
    <w:name w:val="hei16b1"/>
    <w:autoRedefine/>
    <w:qFormat/>
    <w:uiPriority w:val="0"/>
    <w:rPr>
      <w:rFonts w:hint="default" w:ascii="Arial" w:hAnsi="Arial" w:cs="Arial"/>
      <w:b/>
      <w:bCs/>
      <w:color w:val="000000"/>
      <w:sz w:val="24"/>
      <w:szCs w:val="24"/>
    </w:rPr>
  </w:style>
  <w:style w:type="character" w:customStyle="1" w:styleId="163">
    <w:name w:val="正文（绿盟科技） Char"/>
    <w:link w:val="164"/>
    <w:autoRedefine/>
    <w:qFormat/>
    <w:uiPriority w:val="0"/>
    <w:rPr>
      <w:rFonts w:ascii="Arial" w:hAnsi="Arial"/>
      <w:sz w:val="21"/>
      <w:szCs w:val="21"/>
    </w:rPr>
  </w:style>
  <w:style w:type="paragraph" w:customStyle="1" w:styleId="164">
    <w:name w:val="正文（绿盟科技）"/>
    <w:link w:val="163"/>
    <w:autoRedefine/>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autoRedefine/>
    <w:qFormat/>
    <w:uiPriority w:val="6"/>
    <w:rPr>
      <w:rFonts w:ascii="宋体" w:hAnsi="宋体"/>
      <w:i/>
      <w:sz w:val="24"/>
      <w:szCs w:val="24"/>
    </w:rPr>
  </w:style>
  <w:style w:type="character" w:customStyle="1" w:styleId="166">
    <w:name w:val="页脚 Char"/>
    <w:autoRedefine/>
    <w:qFormat/>
    <w:uiPriority w:val="0"/>
    <w:rPr>
      <w:rFonts w:eastAsia="仿宋_GB2312"/>
      <w:kern w:val="2"/>
      <w:sz w:val="18"/>
      <w:lang w:val="en-US" w:eastAsia="zh-CN"/>
    </w:rPr>
  </w:style>
  <w:style w:type="character" w:customStyle="1" w:styleId="167">
    <w:name w:val="批注主题 Char"/>
    <w:autoRedefine/>
    <w:qFormat/>
    <w:uiPriority w:val="0"/>
    <w:rPr>
      <w:rFonts w:eastAsia="宋体"/>
      <w:b/>
      <w:bCs/>
      <w:kern w:val="2"/>
      <w:sz w:val="21"/>
      <w:szCs w:val="24"/>
      <w:lang w:val="en-US" w:eastAsia="zh-CN" w:bidi="ar-SA"/>
    </w:rPr>
  </w:style>
  <w:style w:type="character" w:customStyle="1" w:styleId="168">
    <w:name w:val="Comment Text Char"/>
    <w:autoRedefine/>
    <w:qFormat/>
    <w:locked/>
    <w:uiPriority w:val="0"/>
    <w:rPr>
      <w:rFonts w:ascii="宋体" w:hAnsi="宋体" w:eastAsia="宋体"/>
      <w:kern w:val="2"/>
      <w:sz w:val="24"/>
      <w:lang w:val="en-US" w:eastAsia="zh-CN" w:bidi="ar-SA"/>
    </w:rPr>
  </w:style>
  <w:style w:type="character" w:customStyle="1" w:styleId="169">
    <w:name w:val="标题 2 字符"/>
    <w:autoRedefine/>
    <w:qFormat/>
    <w:uiPriority w:val="1"/>
    <w:rPr>
      <w:rFonts w:ascii="仿宋_GB2312" w:hAnsi="Times New Roman" w:eastAsia="仿宋_GB2312" w:cs="Times New Roman"/>
      <w:b/>
      <w:kern w:val="2"/>
      <w:sz w:val="24"/>
      <w:lang w:val="zh-CN"/>
    </w:rPr>
  </w:style>
  <w:style w:type="character" w:customStyle="1" w:styleId="170">
    <w:name w:val="Char Char72"/>
    <w:autoRedefine/>
    <w:qFormat/>
    <w:uiPriority w:val="0"/>
    <w:rPr>
      <w:rFonts w:eastAsia="宋体"/>
      <w:kern w:val="2"/>
      <w:sz w:val="21"/>
      <w:szCs w:val="24"/>
      <w:lang w:val="en-US" w:eastAsia="zh-CN" w:bidi="ar-SA"/>
    </w:rPr>
  </w:style>
  <w:style w:type="character" w:customStyle="1" w:styleId="171">
    <w:name w:val="正文文本缩进 Char2"/>
    <w:autoRedefine/>
    <w:qFormat/>
    <w:uiPriority w:val="0"/>
    <w:rPr>
      <w:rFonts w:ascii="Times New Roman" w:hAnsi="Times New Roman" w:eastAsia="宋体" w:cs="Times New Roman"/>
      <w:snapToGrid w:val="0"/>
      <w:kern w:val="0"/>
      <w:szCs w:val="24"/>
    </w:rPr>
  </w:style>
  <w:style w:type="character" w:customStyle="1" w:styleId="172">
    <w:name w:val="样式2 Char"/>
    <w:autoRedefine/>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autoRedefine/>
    <w:qFormat/>
    <w:uiPriority w:val="0"/>
    <w:rPr>
      <w:sz w:val="32"/>
    </w:rPr>
  </w:style>
  <w:style w:type="paragraph" w:customStyle="1" w:styleId="174">
    <w:name w:val="表格名称"/>
    <w:basedOn w:val="5"/>
    <w:link w:val="173"/>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autoRedefine/>
    <w:qFormat/>
    <w:uiPriority w:val="0"/>
    <w:rPr>
      <w:rFonts w:eastAsia="宋体"/>
      <w:b/>
      <w:sz w:val="24"/>
      <w:lang w:val="en-GB" w:eastAsia="zh-CN" w:bidi="ar-SA"/>
    </w:rPr>
  </w:style>
  <w:style w:type="character" w:customStyle="1" w:styleId="176">
    <w:name w:val="c7 style3"/>
    <w:autoRedefine/>
    <w:qFormat/>
    <w:uiPriority w:val="0"/>
  </w:style>
  <w:style w:type="character" w:customStyle="1" w:styleId="177">
    <w:name w:val="正文文本 3 Char1"/>
    <w:autoRedefine/>
    <w:semiHidden/>
    <w:qFormat/>
    <w:uiPriority w:val="99"/>
    <w:rPr>
      <w:rFonts w:ascii="Times New Roman" w:hAnsi="Times New Roman" w:eastAsia="宋体" w:cs="Times New Roman"/>
      <w:sz w:val="16"/>
      <w:szCs w:val="16"/>
    </w:rPr>
  </w:style>
  <w:style w:type="character" w:customStyle="1" w:styleId="178">
    <w:name w:val="tw4winInternal"/>
    <w:autoRedefine/>
    <w:qFormat/>
    <w:uiPriority w:val="0"/>
    <w:rPr>
      <w:rFonts w:ascii="Courier New" w:hAnsi="Courier New" w:cs="Courier New"/>
      <w:color w:val="FF0000"/>
      <w:lang w:val="en-US" w:eastAsia="zh-CN"/>
    </w:rPr>
  </w:style>
  <w:style w:type="character" w:customStyle="1" w:styleId="179">
    <w:name w:val="Char Char10"/>
    <w:autoRedefine/>
    <w:semiHidden/>
    <w:qFormat/>
    <w:uiPriority w:val="0"/>
    <w:rPr>
      <w:rFonts w:ascii="宋体" w:hAnsi="宋体"/>
      <w:kern w:val="2"/>
      <w:sz w:val="21"/>
      <w:szCs w:val="24"/>
      <w:lang w:val="en-US" w:eastAsia="zh-CN"/>
    </w:rPr>
  </w:style>
  <w:style w:type="character" w:customStyle="1" w:styleId="180">
    <w:name w:val="shadow11"/>
    <w:autoRedefine/>
    <w:qFormat/>
    <w:uiPriority w:val="0"/>
    <w:rPr>
      <w:color w:val="000000"/>
      <w:sz w:val="21"/>
    </w:rPr>
  </w:style>
  <w:style w:type="character" w:customStyle="1" w:styleId="181">
    <w:name w:val="正文非缩进 Char3"/>
    <w:autoRedefine/>
    <w:qFormat/>
    <w:uiPriority w:val="0"/>
    <w:rPr>
      <w:rFonts w:ascii="宋体" w:eastAsia="宋体"/>
      <w:snapToGrid w:val="0"/>
      <w:color w:val="000000"/>
      <w:kern w:val="28"/>
      <w:sz w:val="28"/>
      <w:lang w:val="en-US" w:eastAsia="zh-CN" w:bidi="ar-SA"/>
    </w:rPr>
  </w:style>
  <w:style w:type="character" w:customStyle="1" w:styleId="182">
    <w:name w:val="Char Char"/>
    <w:autoRedefine/>
    <w:qFormat/>
    <w:uiPriority w:val="0"/>
    <w:rPr>
      <w:rFonts w:ascii="宋体" w:hAnsi="Courier New" w:eastAsia="宋体"/>
      <w:kern w:val="2"/>
      <w:sz w:val="21"/>
      <w:lang w:val="en-US" w:eastAsia="zh-CN" w:bidi="ar-SA"/>
    </w:rPr>
  </w:style>
  <w:style w:type="character" w:customStyle="1" w:styleId="183">
    <w:name w:val="签名 Char1"/>
    <w:autoRedefine/>
    <w:qFormat/>
    <w:uiPriority w:val="0"/>
    <w:rPr>
      <w:rFonts w:ascii="Times New Roman" w:hAnsi="Times New Roman" w:eastAsia="宋体" w:cs="Times New Roman"/>
      <w:szCs w:val="24"/>
    </w:rPr>
  </w:style>
  <w:style w:type="character" w:customStyle="1" w:styleId="184">
    <w:name w:val="日期 Char"/>
    <w:link w:val="36"/>
    <w:autoRedefine/>
    <w:qFormat/>
    <w:uiPriority w:val="0"/>
    <w:rPr>
      <w:rFonts w:ascii="宋体"/>
      <w:kern w:val="2"/>
      <w:sz w:val="24"/>
      <w:szCs w:val="21"/>
      <w:lang w:val="zh-CN"/>
    </w:rPr>
  </w:style>
  <w:style w:type="character" w:customStyle="1" w:styleId="185">
    <w:name w:val="标题 9 Char"/>
    <w:link w:val="13"/>
    <w:autoRedefine/>
    <w:qFormat/>
    <w:uiPriority w:val="0"/>
    <w:rPr>
      <w:rFonts w:ascii="Arial" w:hAnsi="Arial" w:eastAsia="黑体"/>
      <w:kern w:val="2"/>
      <w:sz w:val="21"/>
      <w:szCs w:val="21"/>
    </w:rPr>
  </w:style>
  <w:style w:type="character" w:customStyle="1" w:styleId="186">
    <w:name w:val="Char Char18"/>
    <w:autoRedefine/>
    <w:qFormat/>
    <w:uiPriority w:val="6"/>
    <w:rPr>
      <w:rFonts w:ascii="宋体" w:hAnsi="宋体"/>
      <w:sz w:val="28"/>
    </w:rPr>
  </w:style>
  <w:style w:type="character" w:customStyle="1" w:styleId="187">
    <w:name w:val="批注文字 Char"/>
    <w:autoRedefine/>
    <w:qFormat/>
    <w:uiPriority w:val="0"/>
    <w:rPr>
      <w:kern w:val="2"/>
      <w:sz w:val="21"/>
      <w:szCs w:val="24"/>
    </w:rPr>
  </w:style>
  <w:style w:type="character" w:customStyle="1" w:styleId="188">
    <w:name w:val="Char Char22"/>
    <w:autoRedefine/>
    <w:qFormat/>
    <w:uiPriority w:val="6"/>
    <w:rPr>
      <w:rFonts w:ascii="宋体" w:hAnsi="宋体"/>
      <w:kern w:val="1"/>
      <w:sz w:val="24"/>
      <w:szCs w:val="24"/>
    </w:rPr>
  </w:style>
  <w:style w:type="character" w:customStyle="1" w:styleId="189">
    <w:name w:val="pt141"/>
    <w:autoRedefine/>
    <w:qFormat/>
    <w:uiPriority w:val="0"/>
    <w:rPr>
      <w:color w:val="330066"/>
      <w:sz w:val="22"/>
      <w:szCs w:val="22"/>
    </w:rPr>
  </w:style>
  <w:style w:type="character" w:customStyle="1" w:styleId="190">
    <w:name w:val="正文文本缩进 2 Char1"/>
    <w:autoRedefine/>
    <w:semiHidden/>
    <w:qFormat/>
    <w:uiPriority w:val="99"/>
    <w:rPr>
      <w:rFonts w:ascii="Times New Roman" w:hAnsi="Times New Roman" w:eastAsia="宋体" w:cs="Times New Roman"/>
      <w:szCs w:val="24"/>
    </w:rPr>
  </w:style>
  <w:style w:type="character" w:customStyle="1" w:styleId="191">
    <w:name w:val="批注框文本 Char"/>
    <w:link w:val="39"/>
    <w:autoRedefine/>
    <w:qFormat/>
    <w:uiPriority w:val="0"/>
    <w:rPr>
      <w:kern w:val="2"/>
      <w:sz w:val="18"/>
      <w:szCs w:val="18"/>
    </w:rPr>
  </w:style>
  <w:style w:type="character" w:customStyle="1" w:styleId="192">
    <w:name w:val="Char Char611"/>
    <w:autoRedefine/>
    <w:qFormat/>
    <w:uiPriority w:val="0"/>
    <w:rPr>
      <w:rFonts w:eastAsia="宋体"/>
      <w:kern w:val="2"/>
      <w:sz w:val="21"/>
      <w:szCs w:val="24"/>
      <w:lang w:val="en-US" w:eastAsia="zh-CN" w:bidi="ar-SA"/>
    </w:rPr>
  </w:style>
  <w:style w:type="character" w:customStyle="1" w:styleId="193">
    <w:name w:val="highlight1"/>
    <w:autoRedefine/>
    <w:qFormat/>
    <w:uiPriority w:val="0"/>
    <w:rPr>
      <w:rFonts w:ascii="仿宋_GB2312" w:eastAsia="微软雅黑"/>
      <w:b/>
      <w:kern w:val="2"/>
      <w:sz w:val="23"/>
      <w:szCs w:val="23"/>
      <w:lang w:val="en-US" w:eastAsia="zh-CN" w:bidi="ar-SA"/>
    </w:rPr>
  </w:style>
  <w:style w:type="character" w:customStyle="1" w:styleId="194">
    <w:name w:val="my正文 Char"/>
    <w:link w:val="195"/>
    <w:autoRedefine/>
    <w:qFormat/>
    <w:locked/>
    <w:uiPriority w:val="0"/>
    <w:rPr>
      <w:rFonts w:ascii="Tahoma" w:hAnsi="Tahoma"/>
      <w:sz w:val="24"/>
      <w:szCs w:val="24"/>
    </w:rPr>
  </w:style>
  <w:style w:type="paragraph" w:customStyle="1" w:styleId="195">
    <w:name w:val="my正文"/>
    <w:basedOn w:val="1"/>
    <w:link w:val="194"/>
    <w:autoRedefine/>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autoRedefine/>
    <w:qFormat/>
    <w:uiPriority w:val="0"/>
    <w:rPr>
      <w:color w:val="0000FF"/>
      <w:sz w:val="21"/>
    </w:rPr>
  </w:style>
  <w:style w:type="character" w:customStyle="1" w:styleId="198">
    <w:name w:val="页眉 Char"/>
    <w:autoRedefine/>
    <w:qFormat/>
    <w:uiPriority w:val="0"/>
    <w:rPr>
      <w:rFonts w:eastAsia="仿宋_GB2312"/>
      <w:kern w:val="2"/>
      <w:sz w:val="18"/>
      <w:lang w:val="en-US" w:eastAsia="zh-CN"/>
    </w:rPr>
  </w:style>
  <w:style w:type="character" w:customStyle="1" w:styleId="199">
    <w:name w:val="FA正文 Char Char"/>
    <w:autoRedefine/>
    <w:qFormat/>
    <w:uiPriority w:val="0"/>
    <w:rPr>
      <w:rFonts w:hAnsi="宋体"/>
      <w:kern w:val="2"/>
      <w:sz w:val="24"/>
      <w:lang w:bidi="ar-SA"/>
    </w:rPr>
  </w:style>
  <w:style w:type="character" w:customStyle="1" w:styleId="20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autoRedefine/>
    <w:qFormat/>
    <w:uiPriority w:val="0"/>
    <w:rPr>
      <w:rFonts w:ascii="宋体" w:hAnsi="宋体"/>
      <w:b/>
      <w:bCs/>
      <w:snapToGrid/>
      <w:sz w:val="28"/>
    </w:rPr>
  </w:style>
  <w:style w:type="paragraph" w:customStyle="1" w:styleId="202">
    <w:name w:val="3级"/>
    <w:basedOn w:val="203"/>
    <w:link w:val="201"/>
    <w:autoRedefine/>
    <w:qFormat/>
    <w:uiPriority w:val="0"/>
    <w:pPr>
      <w:ind w:left="0" w:right="466" w:firstLine="288"/>
    </w:pPr>
    <w:rPr>
      <w:rFonts w:hAnsi="宋体"/>
      <w:snapToGrid/>
    </w:rPr>
  </w:style>
  <w:style w:type="paragraph" w:customStyle="1" w:styleId="203">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autoRedefine/>
    <w:qFormat/>
    <w:uiPriority w:val="0"/>
    <w:rPr>
      <w:rFonts w:ascii="仿宋_GB2312" w:eastAsia="微软雅黑"/>
      <w:b/>
      <w:kern w:val="2"/>
      <w:sz w:val="32"/>
      <w:szCs w:val="32"/>
      <w:lang w:val="en-US" w:eastAsia="zh-CN" w:bidi="ar-SA"/>
    </w:rPr>
  </w:style>
  <w:style w:type="character" w:customStyle="1" w:styleId="205">
    <w:name w:val="文档结构图 Char1"/>
    <w:link w:val="20"/>
    <w:autoRedefine/>
    <w:qFormat/>
    <w:uiPriority w:val="0"/>
    <w:rPr>
      <w:kern w:val="2"/>
      <w:sz w:val="21"/>
      <w:szCs w:val="24"/>
      <w:shd w:val="clear" w:color="auto" w:fill="000080"/>
    </w:rPr>
  </w:style>
  <w:style w:type="character" w:customStyle="1" w:styleId="206">
    <w:name w:val="H6 Char"/>
    <w:autoRedefine/>
    <w:qFormat/>
    <w:uiPriority w:val="0"/>
    <w:rPr>
      <w:rFonts w:ascii="Arial" w:hAnsi="Arial" w:eastAsia="黑体"/>
      <w:b/>
      <w:bCs/>
      <w:kern w:val="2"/>
      <w:sz w:val="24"/>
      <w:szCs w:val="24"/>
    </w:rPr>
  </w:style>
  <w:style w:type="character" w:customStyle="1" w:styleId="207">
    <w:name w:val="Char Char91"/>
    <w:autoRedefine/>
    <w:qFormat/>
    <w:uiPriority w:val="0"/>
    <w:rPr>
      <w:rFonts w:eastAsia="宋体"/>
      <w:kern w:val="2"/>
      <w:sz w:val="18"/>
      <w:szCs w:val="18"/>
      <w:lang w:val="en-US" w:eastAsia="zh-CN" w:bidi="ar-SA"/>
    </w:rPr>
  </w:style>
  <w:style w:type="character" w:customStyle="1" w:styleId="208">
    <w:name w:val="副标题 Char1"/>
    <w:autoRedefine/>
    <w:qFormat/>
    <w:uiPriority w:val="0"/>
    <w:rPr>
      <w:rFonts w:ascii="Cambria" w:hAnsi="Cambria" w:eastAsia="宋体" w:cs="Times New Roman"/>
      <w:b/>
      <w:bCs/>
      <w:snapToGrid w:val="0"/>
      <w:kern w:val="28"/>
      <w:sz w:val="32"/>
      <w:szCs w:val="32"/>
    </w:rPr>
  </w:style>
  <w:style w:type="character" w:customStyle="1" w:styleId="209">
    <w:name w:val="font61"/>
    <w:basedOn w:val="70"/>
    <w:autoRedefine/>
    <w:qFormat/>
    <w:uiPriority w:val="0"/>
    <w:rPr>
      <w:rFonts w:hint="eastAsia" w:ascii="仿宋" w:hAnsi="仿宋" w:eastAsia="仿宋" w:cs="仿宋"/>
      <w:color w:val="000000"/>
      <w:sz w:val="20"/>
      <w:szCs w:val="20"/>
      <w:u w:val="none"/>
    </w:rPr>
  </w:style>
  <w:style w:type="character" w:customStyle="1" w:styleId="21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autoRedefine/>
    <w:qFormat/>
    <w:uiPriority w:val="0"/>
    <w:rPr>
      <w:rFonts w:eastAsia="宋体"/>
      <w:b/>
      <w:bCs/>
      <w:kern w:val="2"/>
      <w:sz w:val="21"/>
      <w:szCs w:val="24"/>
      <w:lang w:val="en-US" w:eastAsia="zh-CN" w:bidi="ar-SA"/>
    </w:rPr>
  </w:style>
  <w:style w:type="character" w:customStyle="1" w:styleId="212">
    <w:name w:val="标题 2 Char"/>
    <w:autoRedefine/>
    <w:qFormat/>
    <w:uiPriority w:val="0"/>
    <w:rPr>
      <w:rFonts w:ascii="Arial" w:hAnsi="Arial" w:eastAsia="黑体"/>
      <w:b/>
      <w:kern w:val="2"/>
      <w:sz w:val="32"/>
      <w:lang w:val="en-US" w:eastAsia="zh-CN"/>
    </w:rPr>
  </w:style>
  <w:style w:type="character" w:customStyle="1" w:styleId="213">
    <w:name w:val="maywed421"/>
    <w:autoRedefine/>
    <w:qFormat/>
    <w:uiPriority w:val="0"/>
    <w:rPr>
      <w:color w:val="366FB6"/>
      <w:u w:val="none"/>
    </w:rPr>
  </w:style>
  <w:style w:type="character" w:customStyle="1" w:styleId="214">
    <w:name w:val="正文文本缩进 Char"/>
    <w:autoRedefine/>
    <w:qFormat/>
    <w:uiPriority w:val="0"/>
    <w:rPr>
      <w:rFonts w:ascii="宋体" w:hAnsi="宋体"/>
      <w:kern w:val="2"/>
      <w:sz w:val="24"/>
      <w:szCs w:val="24"/>
    </w:rPr>
  </w:style>
  <w:style w:type="character" w:customStyle="1" w:styleId="215">
    <w:name w:val="Char Char102"/>
    <w:autoRedefine/>
    <w:semiHidden/>
    <w:qFormat/>
    <w:uiPriority w:val="0"/>
    <w:rPr>
      <w:rFonts w:ascii="宋体" w:hAnsi="宋体"/>
      <w:kern w:val="2"/>
      <w:sz w:val="21"/>
      <w:szCs w:val="24"/>
      <w:lang w:val="en-US" w:eastAsia="zh-CN"/>
    </w:rPr>
  </w:style>
  <w:style w:type="character" w:customStyle="1" w:styleId="216">
    <w:name w:val="页眉 Char1"/>
    <w:autoRedefine/>
    <w:qFormat/>
    <w:uiPriority w:val="0"/>
    <w:rPr>
      <w:rFonts w:eastAsia="宋体"/>
      <w:kern w:val="2"/>
      <w:sz w:val="18"/>
      <w:szCs w:val="18"/>
      <w:lang w:val="en-US" w:eastAsia="zh-CN" w:bidi="ar-SA"/>
    </w:rPr>
  </w:style>
  <w:style w:type="character" w:customStyle="1" w:styleId="217">
    <w:name w:val="md"/>
    <w:basedOn w:val="70"/>
    <w:autoRedefine/>
    <w:qFormat/>
    <w:uiPriority w:val="0"/>
    <w:rPr>
      <w:rFonts w:ascii="Arial" w:hAnsi="Arial" w:eastAsia="黑体" w:cs="Arial"/>
      <w:snapToGrid w:val="0"/>
      <w:kern w:val="0"/>
      <w:szCs w:val="21"/>
    </w:rPr>
  </w:style>
  <w:style w:type="character" w:customStyle="1" w:styleId="218">
    <w:name w:val="big1"/>
    <w:autoRedefine/>
    <w:qFormat/>
    <w:uiPriority w:val="0"/>
    <w:rPr>
      <w:rFonts w:hint="eastAsia" w:ascii="宋体" w:hAnsi="宋体" w:eastAsia="宋体"/>
      <w:color w:val="333333"/>
      <w:sz w:val="22"/>
      <w:szCs w:val="22"/>
    </w:rPr>
  </w:style>
  <w:style w:type="character" w:customStyle="1" w:styleId="219">
    <w:name w:val="Char Char311"/>
    <w:autoRedefine/>
    <w:qFormat/>
    <w:uiPriority w:val="0"/>
    <w:rPr>
      <w:rFonts w:eastAsia="宋体"/>
      <w:kern w:val="2"/>
      <w:sz w:val="21"/>
      <w:szCs w:val="24"/>
      <w:lang w:val="en-US" w:eastAsia="zh-CN" w:bidi="ar-SA"/>
    </w:rPr>
  </w:style>
  <w:style w:type="character" w:customStyle="1" w:styleId="220">
    <w:name w:val="Char Char81"/>
    <w:autoRedefine/>
    <w:qFormat/>
    <w:uiPriority w:val="6"/>
    <w:rPr>
      <w:rFonts w:eastAsia="宋体"/>
      <w:b/>
      <w:sz w:val="24"/>
      <w:lang w:val="en-GB" w:eastAsia="zh-CN"/>
    </w:rPr>
  </w:style>
  <w:style w:type="character" w:customStyle="1" w:styleId="221">
    <w:name w:val="样式3 Char"/>
    <w:basedOn w:val="172"/>
    <w:autoRedefine/>
    <w:qFormat/>
    <w:uiPriority w:val="0"/>
    <w:rPr>
      <w:rFonts w:ascii="仿宋_GB2312" w:hAnsi="仿宋" w:eastAsia="仿宋_GB2312" w:cs="仿宋_GB2312"/>
      <w:sz w:val="32"/>
      <w:szCs w:val="30"/>
      <w:lang w:val="zh-CN"/>
    </w:rPr>
  </w:style>
  <w:style w:type="character" w:customStyle="1" w:styleId="222">
    <w:name w:val="HTML 地址 Char"/>
    <w:link w:val="31"/>
    <w:autoRedefine/>
    <w:qFormat/>
    <w:uiPriority w:val="0"/>
    <w:rPr>
      <w:rFonts w:ascii="宋体" w:hAnsi="宋体"/>
      <w:i/>
      <w:iCs/>
      <w:sz w:val="24"/>
      <w:szCs w:val="24"/>
    </w:rPr>
  </w:style>
  <w:style w:type="character" w:customStyle="1" w:styleId="223">
    <w:name w:val="正文首行缩进 2 Char1"/>
    <w:autoRedefine/>
    <w:qFormat/>
    <w:uiPriority w:val="0"/>
    <w:rPr>
      <w:rFonts w:ascii="Times New Roman" w:hAnsi="Times New Roman" w:eastAsia="宋体" w:cs="Times New Roman"/>
      <w:kern w:val="2"/>
      <w:sz w:val="24"/>
      <w:szCs w:val="24"/>
    </w:rPr>
  </w:style>
  <w:style w:type="character" w:customStyle="1" w:styleId="224">
    <w:name w:val="副标题 Char2"/>
    <w:autoRedefine/>
    <w:qFormat/>
    <w:uiPriority w:val="0"/>
    <w:rPr>
      <w:rFonts w:ascii="Cambria" w:hAnsi="Cambria" w:eastAsia="宋体" w:cs="Times New Roman"/>
      <w:b/>
      <w:bCs/>
      <w:snapToGrid w:val="0"/>
      <w:kern w:val="28"/>
      <w:sz w:val="32"/>
      <w:szCs w:val="32"/>
    </w:rPr>
  </w:style>
  <w:style w:type="character" w:customStyle="1" w:styleId="225">
    <w:name w:val="标题4-dyf Char"/>
    <w:link w:val="226"/>
    <w:autoRedefine/>
    <w:qFormat/>
    <w:uiPriority w:val="0"/>
    <w:rPr>
      <w:rFonts w:ascii="Cambria" w:hAnsi="Cambria"/>
      <w:b/>
      <w:bCs/>
      <w:color w:val="000000"/>
      <w:kern w:val="2"/>
      <w:sz w:val="21"/>
      <w:szCs w:val="21"/>
    </w:rPr>
  </w:style>
  <w:style w:type="paragraph" w:customStyle="1" w:styleId="226">
    <w:name w:val="标题4-dyf"/>
    <w:basedOn w:val="8"/>
    <w:link w:val="22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autoRedefine/>
    <w:qFormat/>
    <w:uiPriority w:val="0"/>
    <w:rPr>
      <w:rFonts w:ascii="宋体" w:hAnsi="宋体" w:eastAsia="宋体"/>
      <w:color w:val="333333"/>
      <w:sz w:val="21"/>
      <w:szCs w:val="21"/>
      <w:u w:val="none"/>
    </w:rPr>
  </w:style>
  <w:style w:type="character" w:customStyle="1" w:styleId="228">
    <w:name w:val="冯 Char"/>
    <w:link w:val="229"/>
    <w:autoRedefine/>
    <w:qFormat/>
    <w:uiPriority w:val="0"/>
    <w:rPr>
      <w:rFonts w:ascii="宋体" w:hAnsi="宋体"/>
      <w:color w:val="000000"/>
      <w:sz w:val="24"/>
      <w:szCs w:val="24"/>
    </w:rPr>
  </w:style>
  <w:style w:type="paragraph" w:customStyle="1" w:styleId="229">
    <w:name w:val="冯"/>
    <w:basedOn w:val="1"/>
    <w:link w:val="228"/>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autoRedefine/>
    <w:qFormat/>
    <w:locked/>
    <w:uiPriority w:val="0"/>
    <w:rPr>
      <w:rFonts w:eastAsia="宋体"/>
      <w:kern w:val="2"/>
      <w:sz w:val="18"/>
      <w:szCs w:val="18"/>
      <w:lang w:val="en-US" w:eastAsia="zh-CN" w:bidi="ar-SA"/>
    </w:rPr>
  </w:style>
  <w:style w:type="character" w:customStyle="1" w:styleId="231">
    <w:name w:val="Char Char12"/>
    <w:autoRedefine/>
    <w:qFormat/>
    <w:uiPriority w:val="0"/>
    <w:rPr>
      <w:rFonts w:ascii="仿宋_GB2312" w:eastAsia="仿宋_GB2312"/>
      <w:b/>
      <w:bCs/>
      <w:kern w:val="2"/>
      <w:sz w:val="24"/>
      <w:szCs w:val="24"/>
      <w:lang w:val="zh-CN" w:eastAsia="zh-CN" w:bidi="ar-SA"/>
    </w:rPr>
  </w:style>
  <w:style w:type="character" w:customStyle="1" w:styleId="232">
    <w:name w:val="题注 Char"/>
    <w:link w:val="18"/>
    <w:autoRedefine/>
    <w:qFormat/>
    <w:uiPriority w:val="0"/>
    <w:rPr>
      <w:b/>
      <w:kern w:val="2"/>
      <w:sz w:val="28"/>
    </w:rPr>
  </w:style>
  <w:style w:type="character" w:customStyle="1" w:styleId="233">
    <w:name w:val="普通文字 Char3"/>
    <w:autoRedefine/>
    <w:qFormat/>
    <w:uiPriority w:val="0"/>
    <w:rPr>
      <w:rFonts w:ascii="宋体" w:hAnsi="Courier New" w:eastAsia="宋体"/>
      <w:kern w:val="2"/>
      <w:sz w:val="21"/>
      <w:lang w:val="en-US" w:eastAsia="zh-CN" w:bidi="ar-SA"/>
    </w:rPr>
  </w:style>
  <w:style w:type="character" w:customStyle="1" w:styleId="234">
    <w:name w:val="公文正文 Char"/>
    <w:autoRedefine/>
    <w:qFormat/>
    <w:uiPriority w:val="0"/>
    <w:rPr>
      <w:rFonts w:ascii="仿宋_GB2312" w:eastAsia="仿宋_GB2312"/>
      <w:kern w:val="2"/>
      <w:sz w:val="24"/>
      <w:szCs w:val="24"/>
      <w:lang w:val="en-US" w:eastAsia="zh-CN" w:bidi="ar-SA"/>
    </w:rPr>
  </w:style>
  <w:style w:type="character" w:customStyle="1" w:styleId="235">
    <w:name w:val="正文首行缩进 Char Char Char Char Char"/>
    <w:autoRedefine/>
    <w:qFormat/>
    <w:uiPriority w:val="0"/>
    <w:rPr>
      <w:rFonts w:ascii="宋体"/>
      <w:kern w:val="2"/>
      <w:sz w:val="24"/>
      <w:lang w:val="zh-CN"/>
    </w:rPr>
  </w:style>
  <w:style w:type="character" w:customStyle="1" w:styleId="236">
    <w:name w:val="PI Char"/>
    <w:autoRedefine/>
    <w:qFormat/>
    <w:uiPriority w:val="0"/>
    <w:rPr>
      <w:rFonts w:ascii="宋体" w:hAnsi="宋体" w:eastAsia="宋体"/>
      <w:kern w:val="2"/>
      <w:sz w:val="24"/>
      <w:szCs w:val="24"/>
      <w:lang w:val="en-US" w:eastAsia="zh-CN" w:bidi="ar-SA"/>
    </w:rPr>
  </w:style>
  <w:style w:type="character" w:customStyle="1" w:styleId="237">
    <w:name w:val="Default Char"/>
    <w:link w:val="238"/>
    <w:autoRedefine/>
    <w:qFormat/>
    <w:uiPriority w:val="0"/>
    <w:rPr>
      <w:rFonts w:ascii="仿宋_GB2312" w:eastAsia="仿宋_GB2312" w:cs="仿宋_GB2312"/>
      <w:color w:val="000000"/>
      <w:sz w:val="24"/>
      <w:szCs w:val="24"/>
      <w:lang w:val="en-US" w:eastAsia="zh-CN" w:bidi="ar-SA"/>
    </w:rPr>
  </w:style>
  <w:style w:type="paragraph" w:customStyle="1" w:styleId="238">
    <w:name w:val="Default"/>
    <w:link w:val="23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spacing w:line="360" w:lineRule="auto"/>
      <w:ind w:firstLine="480" w:firstLineChars="200"/>
    </w:pPr>
    <w:rPr>
      <w:kern w:val="0"/>
      <w:sz w:val="24"/>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84"/>
    <w:link w:val="259"/>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仿宋_GB2312" w:eastAsia="仿宋_GB2312"/>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Char3"/>
    <w:link w:val="26"/>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Char"/>
    <w:link w:val="4"/>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Char2"/>
    <w:link w:val="59"/>
    <w:autoRedefine/>
    <w:qFormat/>
    <w:uiPriority w:val="10"/>
    <w:rPr>
      <w:b/>
      <w:sz w:val="24"/>
      <w:lang w:val="en-GB"/>
    </w:rPr>
  </w:style>
  <w:style w:type="character" w:customStyle="1" w:styleId="289">
    <w:name w:val="font81"/>
    <w:basedOn w:val="70"/>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仿宋_GB2312" w:eastAsia="微软雅黑"/>
      <w:b/>
      <w:kern w:val="2"/>
      <w:sz w:val="23"/>
      <w:szCs w:val="23"/>
      <w:lang w:val="en-US" w:eastAsia="zh-CN" w:bidi="ar-SA"/>
    </w:rPr>
  </w:style>
  <w:style w:type="character" w:customStyle="1" w:styleId="292">
    <w:name w:val="样式8 Char"/>
    <w:autoRedefine/>
    <w:qFormat/>
    <w:uiPriority w:val="0"/>
    <w:rPr>
      <w:rFonts w:ascii="仿宋_GB2312" w:hAnsi="宋体" w:eastAsia="仿宋_GB2312"/>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Char"/>
    <w:link w:val="9"/>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仿宋_GB2312" w:eastAsia="仿宋_GB2312"/>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Char"/>
    <w:link w:val="22"/>
    <w:autoRedefine/>
    <w:qFormat/>
    <w:uiPriority w:val="0"/>
    <w:rPr>
      <w:rFonts w:ascii="仿宋_GB2312" w:eastAsia="仿宋_GB2312"/>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Char"/>
    <w:link w:val="57"/>
    <w:autoRedefine/>
    <w:qFormat/>
    <w:uiPriority w:val="0"/>
    <w:rPr>
      <w:rFonts w:ascii="黑体" w:hAnsi="Courier New" w:eastAsia="黑体"/>
    </w:rPr>
  </w:style>
  <w:style w:type="character" w:customStyle="1" w:styleId="304">
    <w:name w:val="正文文本 2 Char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8"/>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Char"/>
    <w:link w:val="11"/>
    <w:autoRedefine/>
    <w:qFormat/>
    <w:uiPriority w:val="0"/>
    <w:rPr>
      <w:b/>
      <w:bCs/>
      <w:kern w:val="2"/>
      <w:sz w:val="24"/>
      <w:szCs w:val="24"/>
    </w:rPr>
  </w:style>
  <w:style w:type="character" w:customStyle="1" w:styleId="310">
    <w:name w:val="正文文本缩进 2 Char"/>
    <w:link w:val="37"/>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Char"/>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Char"/>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Char2"/>
    <w:link w:val="8"/>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Char"/>
    <w:link w:val="23"/>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仿宋_GB2312" w:eastAsia="仿宋_GB2312"/>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仿宋_GB2312" w:hAnsi="Courier New" w:eastAsia="仿宋_GB2312"/>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autoRedefine/>
    <w:qFormat/>
    <w:uiPriority w:val="0"/>
    <w:rPr>
      <w:kern w:val="2"/>
      <w:sz w:val="21"/>
      <w:szCs w:val="24"/>
    </w:rPr>
  </w:style>
  <w:style w:type="character" w:customStyle="1" w:styleId="347">
    <w:name w:val="签名 Char"/>
    <w:link w:val="42"/>
    <w:autoRedefine/>
    <w:qFormat/>
    <w:uiPriority w:val="0"/>
    <w:rPr>
      <w:rFonts w:eastAsia="仿宋_GB2312"/>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仿宋_GB2312"/>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仿宋_GB2312" w:eastAsia="仿宋_GB2312"/>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2"/>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仿宋_GB2312"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basedOn w:val="70"/>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Char"/>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仿宋_GB2312" w:eastAsia="仿宋_GB2312"/>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Char2"/>
    <w:link w:val="40"/>
    <w:autoRedefine/>
    <w:qFormat/>
    <w:locked/>
    <w:uiPriority w:val="99"/>
    <w:rPr>
      <w:kern w:val="2"/>
      <w:sz w:val="18"/>
      <w:szCs w:val="18"/>
    </w:rPr>
  </w:style>
  <w:style w:type="character" w:customStyle="1" w:styleId="386">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Char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仿宋_GB2312" w:eastAsia="仿宋_GB2312"/>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仿宋_GB2312"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7"/>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4"/>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10"/>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6"/>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9"/>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4"/>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8"/>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8"/>
    <w:next w:val="238"/>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8"/>
    <w:next w:val="238"/>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4"/>
    <w:autoRedefine/>
    <w:qFormat/>
    <w:uiPriority w:val="0"/>
    <w:pPr>
      <w:tabs>
        <w:tab w:val="left" w:pos="840"/>
      </w:tabs>
      <w:adjustRightInd/>
      <w:ind w:left="840" w:hanging="420"/>
    </w:pPr>
  </w:style>
  <w:style w:type="paragraph" w:customStyle="1" w:styleId="625">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8"/>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8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639"/>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8"/>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7"/>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6"/>
    <w:next w:val="53"/>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8"/>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7"/>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20"/>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84"/>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9"/>
    <w:next w:val="1"/>
    <w:autoRedefine/>
    <w:qFormat/>
    <w:uiPriority w:val="0"/>
    <w:pPr>
      <w:tabs>
        <w:tab w:val="left" w:pos="1080"/>
      </w:tabs>
      <w:ind w:left="1080" w:hanging="1080"/>
    </w:pPr>
  </w:style>
  <w:style w:type="paragraph" w:customStyle="1" w:styleId="896">
    <w:name w:val="数字标题1"/>
    <w:basedOn w:val="4"/>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5"/>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84"/>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965">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6">
    <w:name w:val="WPSOffice手动目录 1"/>
    <w:autoRedefine/>
    <w:qFormat/>
    <w:uiPriority w:val="0"/>
    <w:pPr>
      <w:ind w:leftChars="0"/>
    </w:pPr>
    <w:rPr>
      <w:rFonts w:ascii="Times New Roman" w:hAnsi="Times New Roman" w:eastAsia="宋体" w:cs="Times New Roman"/>
      <w:sz w:val="20"/>
      <w:szCs w:val="20"/>
    </w:rPr>
  </w:style>
  <w:style w:type="paragraph" w:customStyle="1" w:styleId="967">
    <w:name w:val="列表段落"/>
    <w:basedOn w:val="1"/>
    <w:autoRedefine/>
    <w:qFormat/>
    <w:uiPriority w:val="99"/>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70</Pages>
  <Words>35233</Words>
  <Characters>37170</Characters>
  <Lines>1</Lines>
  <Paragraphs>1</Paragraphs>
  <TotalTime>6</TotalTime>
  <ScaleCrop>false</ScaleCrop>
  <LinksUpToDate>false</LinksUpToDate>
  <CharactersWithSpaces>42044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朱同学。</cp:lastModifiedBy>
  <cp:lastPrinted>2023-03-28T06:19:00Z</cp:lastPrinted>
  <dcterms:modified xsi:type="dcterms:W3CDTF">2024-05-06T03:15:08Z</dcterms:modified>
  <dc:title>杭州市市民卡扩大发卡工程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0D65CCA805844FC781561E586E5D4776</vt:lpwstr>
  </property>
</Properties>
</file>