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宋体" w:hAnsi="宋体" w:cs="宋体"/>
          <w:sz w:val="32"/>
          <w:szCs w:val="32"/>
          <w:highlight w:val="none"/>
        </w:rPr>
      </w:pPr>
    </w:p>
    <w:p>
      <w:pPr>
        <w:jc w:val="center"/>
        <w:rPr>
          <w:rFonts w:ascii="宋体" w:hAnsi="宋体" w:cs="宋体"/>
          <w:b/>
          <w:bCs/>
          <w:sz w:val="72"/>
          <w:szCs w:val="72"/>
          <w:highlight w:val="none"/>
        </w:rPr>
      </w:pPr>
      <w:r>
        <w:rPr>
          <w:rFonts w:hint="eastAsia" w:ascii="宋体" w:hAnsi="宋体" w:cs="宋体"/>
          <w:b/>
          <w:bCs/>
          <w:sz w:val="72"/>
          <w:szCs w:val="72"/>
          <w:highlight w:val="none"/>
        </w:rPr>
        <w:t>政府采购</w:t>
      </w:r>
    </w:p>
    <w:p>
      <w:pPr>
        <w:jc w:val="center"/>
        <w:rPr>
          <w:rFonts w:ascii="宋体" w:hAnsi="宋体" w:cs="宋体"/>
          <w:b/>
          <w:bCs/>
          <w:sz w:val="72"/>
          <w:szCs w:val="72"/>
          <w:highlight w:val="none"/>
        </w:rPr>
      </w:pPr>
      <w:r>
        <w:rPr>
          <w:rFonts w:hint="eastAsia" w:ascii="宋体" w:hAnsi="宋体" w:cs="宋体"/>
          <w:b/>
          <w:bCs/>
          <w:sz w:val="72"/>
          <w:szCs w:val="72"/>
          <w:highlight w:val="none"/>
        </w:rPr>
        <w:t>公开招标文件</w:t>
      </w:r>
    </w:p>
    <w:p>
      <w:pPr>
        <w:spacing w:beforeLines="50"/>
        <w:jc w:val="center"/>
        <w:rPr>
          <w:rFonts w:ascii="宋体" w:hAnsi="宋体" w:cs="宋体"/>
          <w:b/>
          <w:bCs/>
          <w:sz w:val="36"/>
          <w:szCs w:val="36"/>
          <w:highlight w:val="none"/>
        </w:rPr>
      </w:pPr>
      <w:r>
        <w:rPr>
          <w:rFonts w:hint="eastAsia" w:ascii="宋体" w:hAnsi="宋体" w:cs="宋体"/>
          <w:b/>
          <w:bCs/>
          <w:sz w:val="36"/>
          <w:szCs w:val="36"/>
          <w:highlight w:val="none"/>
        </w:rPr>
        <w:t>（全一册）</w:t>
      </w:r>
    </w:p>
    <w:p>
      <w:pPr>
        <w:jc w:val="center"/>
        <w:rPr>
          <w:rFonts w:ascii="宋体" w:hAnsi="宋体" w:cs="宋体"/>
          <w:b/>
          <w:bCs/>
          <w:sz w:val="100"/>
          <w:highlight w:val="none"/>
        </w:rPr>
      </w:pPr>
    </w:p>
    <w:p>
      <w:pPr>
        <w:jc w:val="center"/>
        <w:rPr>
          <w:rFonts w:ascii="宋体" w:hAnsi="宋体" w:cs="宋体"/>
          <w:b/>
          <w:bCs/>
          <w:sz w:val="100"/>
          <w:highlight w:val="none"/>
        </w:rPr>
      </w:pPr>
    </w:p>
    <w:tbl>
      <w:tblPr>
        <w:tblStyle w:val="46"/>
        <w:tblW w:w="8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6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atLeast"/>
          <w:jc w:val="center"/>
        </w:trPr>
        <w:tc>
          <w:tcPr>
            <w:tcW w:w="1960" w:type="dxa"/>
            <w:vAlign w:val="center"/>
          </w:tcPr>
          <w:p>
            <w:pPr>
              <w:jc w:val="center"/>
              <w:rPr>
                <w:rFonts w:ascii="宋体" w:hAnsi="宋体" w:cs="宋体"/>
                <w:b/>
                <w:bCs/>
                <w:sz w:val="30"/>
                <w:szCs w:val="30"/>
                <w:highlight w:val="none"/>
              </w:rPr>
            </w:pPr>
            <w:r>
              <w:rPr>
                <w:rFonts w:hint="eastAsia" w:ascii="宋体" w:hAnsi="宋体" w:cs="宋体"/>
                <w:b/>
                <w:bCs/>
                <w:sz w:val="30"/>
                <w:szCs w:val="30"/>
                <w:highlight w:val="none"/>
              </w:rPr>
              <w:t>采购项目：</w:t>
            </w:r>
          </w:p>
        </w:tc>
        <w:tc>
          <w:tcPr>
            <w:tcW w:w="6352" w:type="dxa"/>
            <w:vAlign w:val="center"/>
          </w:tcPr>
          <w:p>
            <w:pPr>
              <w:jc w:val="center"/>
              <w:rPr>
                <w:rFonts w:hint="eastAsia" w:ascii="宋体" w:hAnsi="宋体" w:eastAsia="宋体" w:cs="宋体"/>
                <w:b/>
                <w:bCs/>
                <w:sz w:val="30"/>
                <w:szCs w:val="30"/>
                <w:highlight w:val="none"/>
                <w:lang w:eastAsia="zh-CN"/>
              </w:rPr>
            </w:pPr>
            <w:r>
              <w:rPr>
                <w:rFonts w:hint="eastAsia" w:ascii="宋体" w:hAnsi="宋体" w:cs="宋体"/>
                <w:b/>
                <w:bCs/>
                <w:sz w:val="30"/>
                <w:szCs w:val="30"/>
                <w:highlight w:val="none"/>
                <w:lang w:eastAsia="zh-CN"/>
              </w:rPr>
              <w:t>宁海县桃源街道城乡环卫保洁服务项目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960" w:type="dxa"/>
            <w:vAlign w:val="center"/>
          </w:tcPr>
          <w:p>
            <w:pPr>
              <w:jc w:val="center"/>
              <w:rPr>
                <w:rFonts w:ascii="宋体" w:hAnsi="宋体" w:cs="宋体"/>
                <w:b/>
                <w:bCs/>
                <w:sz w:val="30"/>
                <w:szCs w:val="30"/>
                <w:highlight w:val="none"/>
              </w:rPr>
            </w:pPr>
            <w:r>
              <w:rPr>
                <w:rFonts w:hint="eastAsia" w:ascii="宋体" w:hAnsi="宋体" w:cs="宋体"/>
                <w:b/>
                <w:bCs/>
                <w:sz w:val="30"/>
                <w:szCs w:val="30"/>
                <w:highlight w:val="none"/>
              </w:rPr>
              <w:t>项目编号：</w:t>
            </w:r>
          </w:p>
        </w:tc>
        <w:tc>
          <w:tcPr>
            <w:tcW w:w="6352" w:type="dxa"/>
            <w:vAlign w:val="center"/>
          </w:tcPr>
          <w:p>
            <w:pPr>
              <w:jc w:val="center"/>
              <w:rPr>
                <w:rFonts w:hint="eastAsia" w:ascii="宋体" w:hAnsi="宋体" w:eastAsia="宋体" w:cs="宋体"/>
                <w:b/>
                <w:bCs/>
                <w:sz w:val="30"/>
                <w:szCs w:val="30"/>
                <w:highlight w:val="none"/>
                <w:lang w:eastAsia="zh-CN"/>
              </w:rPr>
            </w:pPr>
            <w:r>
              <w:rPr>
                <w:rFonts w:hint="eastAsia" w:ascii="宋体" w:hAnsi="宋体" w:cs="宋体"/>
                <w:b/>
                <w:bCs/>
                <w:sz w:val="30"/>
                <w:szCs w:val="30"/>
                <w:highlight w:val="none"/>
                <w:lang w:eastAsia="zh-CN"/>
              </w:rPr>
              <w:t>CBZJ-20226175G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960" w:type="dxa"/>
            <w:vAlign w:val="center"/>
          </w:tcPr>
          <w:p>
            <w:pPr>
              <w:jc w:val="center"/>
              <w:rPr>
                <w:rFonts w:ascii="宋体" w:hAnsi="宋体" w:cs="宋体"/>
                <w:b/>
                <w:bCs/>
                <w:sz w:val="30"/>
                <w:szCs w:val="30"/>
                <w:highlight w:val="none"/>
              </w:rPr>
            </w:pPr>
            <w:r>
              <w:rPr>
                <w:rFonts w:hint="eastAsia" w:ascii="宋体" w:hAnsi="宋体" w:cs="宋体"/>
                <w:b/>
                <w:bCs/>
                <w:sz w:val="30"/>
                <w:szCs w:val="30"/>
                <w:highlight w:val="none"/>
              </w:rPr>
              <w:t>采购人：</w:t>
            </w:r>
          </w:p>
        </w:tc>
        <w:tc>
          <w:tcPr>
            <w:tcW w:w="6352" w:type="dxa"/>
            <w:vAlign w:val="center"/>
          </w:tcPr>
          <w:p>
            <w:pPr>
              <w:jc w:val="center"/>
              <w:rPr>
                <w:rFonts w:hint="eastAsia" w:ascii="宋体" w:hAnsi="宋体" w:eastAsia="宋体" w:cs="宋体"/>
                <w:b/>
                <w:bCs/>
                <w:sz w:val="30"/>
                <w:szCs w:val="30"/>
                <w:highlight w:val="none"/>
                <w:lang w:eastAsia="zh-CN"/>
              </w:rPr>
            </w:pPr>
            <w:r>
              <w:rPr>
                <w:rFonts w:hint="eastAsia" w:ascii="宋体" w:hAnsi="宋体" w:cs="宋体"/>
                <w:b/>
                <w:bCs/>
                <w:sz w:val="30"/>
                <w:szCs w:val="30"/>
                <w:highlight w:val="none"/>
                <w:lang w:eastAsia="zh-CN"/>
              </w:rPr>
              <w:t>宁海县人民政府桃源街道办事处</w:t>
            </w:r>
          </w:p>
        </w:tc>
      </w:tr>
    </w:tbl>
    <w:p>
      <w:pPr>
        <w:jc w:val="center"/>
        <w:rPr>
          <w:rFonts w:ascii="宋体" w:hAnsi="宋体" w:cs="宋体"/>
          <w:b/>
          <w:bCs/>
          <w:sz w:val="100"/>
          <w:highlight w:val="none"/>
        </w:rPr>
      </w:pPr>
    </w:p>
    <w:p>
      <w:pPr>
        <w:jc w:val="center"/>
        <w:rPr>
          <w:rFonts w:ascii="宋体" w:hAnsi="宋体" w:cs="宋体"/>
          <w:b/>
          <w:bCs/>
          <w:sz w:val="100"/>
          <w:highlight w:val="none"/>
        </w:rPr>
      </w:pPr>
    </w:p>
    <w:p>
      <w:pPr>
        <w:jc w:val="center"/>
        <w:rPr>
          <w:rFonts w:ascii="宋体" w:hAnsi="宋体" w:cs="宋体"/>
          <w:b/>
          <w:bCs/>
          <w:sz w:val="44"/>
          <w:szCs w:val="44"/>
          <w:highlight w:val="none"/>
        </w:rPr>
      </w:pPr>
      <w:r>
        <w:rPr>
          <w:rFonts w:hint="eastAsia" w:ascii="宋体" w:hAnsi="宋体" w:cs="宋体"/>
          <w:b/>
          <w:bCs/>
          <w:sz w:val="44"/>
          <w:szCs w:val="44"/>
          <w:highlight w:val="none"/>
        </w:rPr>
        <w:t>浙江中基正采管理咨询有限公司</w:t>
      </w:r>
    </w:p>
    <w:p>
      <w:pPr>
        <w:jc w:val="center"/>
        <w:rPr>
          <w:rFonts w:ascii="宋体" w:hAnsi="宋体" w:cs="宋体"/>
          <w:b/>
          <w:bCs/>
          <w:sz w:val="44"/>
          <w:szCs w:val="44"/>
          <w:highlight w:val="none"/>
        </w:rPr>
      </w:pPr>
      <w:r>
        <w:rPr>
          <w:rFonts w:hint="eastAsia" w:ascii="宋体" w:hAnsi="宋体" w:cs="宋体"/>
          <w:b/>
          <w:bCs/>
          <w:sz w:val="44"/>
          <w:szCs w:val="44"/>
          <w:highlight w:val="none"/>
        </w:rPr>
        <w:t>二〇二二年</w:t>
      </w:r>
      <w:r>
        <w:rPr>
          <w:rFonts w:hint="eastAsia" w:ascii="宋体" w:hAnsi="宋体" w:cs="宋体"/>
          <w:b/>
          <w:bCs/>
          <w:sz w:val="44"/>
          <w:szCs w:val="44"/>
          <w:highlight w:val="none"/>
          <w:lang w:val="en-US" w:eastAsia="zh-CN"/>
        </w:rPr>
        <w:t>十一</w:t>
      </w:r>
      <w:r>
        <w:rPr>
          <w:rFonts w:hint="eastAsia" w:ascii="宋体" w:hAnsi="宋体" w:cs="宋体"/>
          <w:b/>
          <w:bCs/>
          <w:sz w:val="44"/>
          <w:szCs w:val="44"/>
          <w:highlight w:val="none"/>
        </w:rPr>
        <w:t>月</w:t>
      </w:r>
    </w:p>
    <w:p>
      <w:pPr>
        <w:jc w:val="center"/>
        <w:rPr>
          <w:rFonts w:ascii="宋体" w:hAnsi="宋体" w:cs="宋体"/>
          <w:b/>
          <w:bCs/>
          <w:sz w:val="44"/>
          <w:szCs w:val="44"/>
          <w:highlight w:val="none"/>
        </w:rPr>
      </w:pPr>
      <w:r>
        <w:rPr>
          <w:rFonts w:hint="eastAsia" w:ascii="宋体" w:hAnsi="宋体" w:cs="宋体"/>
          <w:b/>
          <w:bCs/>
          <w:sz w:val="44"/>
          <w:szCs w:val="44"/>
          <w:highlight w:val="none"/>
        </w:rPr>
        <w:br w:type="page"/>
      </w:r>
    </w:p>
    <w:p>
      <w:pPr>
        <w:pStyle w:val="45"/>
        <w:ind w:firstLine="344"/>
        <w:rPr>
          <w:rFonts w:hint="default" w:ascii="宋体" w:hAnsi="宋体" w:cs="宋体"/>
          <w:highlight w:val="none"/>
        </w:rPr>
      </w:pPr>
    </w:p>
    <w:p>
      <w:pPr>
        <w:pStyle w:val="45"/>
        <w:ind w:firstLine="344"/>
        <w:rPr>
          <w:rFonts w:hint="default" w:ascii="宋体" w:hAnsi="宋体" w:cs="宋体"/>
          <w:highlight w:val="none"/>
        </w:rPr>
        <w:sectPr>
          <w:headerReference r:id="rId3" w:type="default"/>
          <w:pgSz w:w="11906" w:h="16838"/>
          <w:pgMar w:top="1474" w:right="1797" w:bottom="1247" w:left="1797" w:header="851" w:footer="851" w:gutter="0"/>
          <w:pgNumType w:start="2"/>
          <w:cols w:space="720" w:num="1"/>
          <w:titlePg/>
          <w:docGrid w:linePitch="312" w:charSpace="0"/>
        </w:sectPr>
      </w:pPr>
    </w:p>
    <w:p>
      <w:pPr>
        <w:snapToGrid w:val="0"/>
        <w:spacing w:line="360" w:lineRule="auto"/>
        <w:jc w:val="center"/>
        <w:rPr>
          <w:rFonts w:ascii="宋体" w:hAnsi="宋体" w:cs="宋体"/>
          <w:b/>
          <w:sz w:val="52"/>
          <w:szCs w:val="52"/>
          <w:highlight w:val="none"/>
        </w:rPr>
      </w:pPr>
    </w:p>
    <w:p>
      <w:pPr>
        <w:snapToGrid w:val="0"/>
        <w:spacing w:line="480" w:lineRule="auto"/>
        <w:jc w:val="center"/>
        <w:rPr>
          <w:rFonts w:ascii="宋体" w:hAnsi="宋体" w:cs="宋体"/>
          <w:sz w:val="30"/>
          <w:szCs w:val="20"/>
          <w:highlight w:val="none"/>
        </w:rPr>
      </w:pPr>
      <w:r>
        <w:rPr>
          <w:rFonts w:hint="eastAsia" w:ascii="宋体" w:hAnsi="宋体" w:cs="宋体"/>
          <w:b/>
          <w:sz w:val="52"/>
          <w:szCs w:val="52"/>
          <w:highlight w:val="none"/>
        </w:rPr>
        <w:t>目    录</w:t>
      </w:r>
    </w:p>
    <w:p>
      <w:pPr>
        <w:pStyle w:val="2"/>
        <w:tabs>
          <w:tab w:val="right" w:leader="dot" w:pos="8302"/>
        </w:tabs>
        <w:spacing w:line="480" w:lineRule="auto"/>
        <w:rPr>
          <w:rFonts w:ascii="宋体" w:hAnsi="宋体" w:cs="宋体"/>
          <w:sz w:val="36"/>
          <w:szCs w:val="36"/>
          <w:highlight w:val="none"/>
        </w:rPr>
      </w:pPr>
    </w:p>
    <w:p>
      <w:pPr>
        <w:pStyle w:val="2"/>
        <w:tabs>
          <w:tab w:val="right" w:leader="dot" w:pos="8312"/>
        </w:tabs>
        <w:spacing w:line="360" w:lineRule="auto"/>
        <w:rPr>
          <w:sz w:val="36"/>
          <w:szCs w:val="44"/>
          <w:highlight w:val="none"/>
        </w:rPr>
      </w:pPr>
      <w:r>
        <w:rPr>
          <w:rFonts w:hint="eastAsia" w:ascii="宋体" w:hAnsi="宋体" w:cs="宋体"/>
          <w:sz w:val="56"/>
          <w:szCs w:val="56"/>
          <w:highlight w:val="none"/>
        </w:rPr>
        <w:fldChar w:fldCharType="begin"/>
      </w:r>
      <w:r>
        <w:rPr>
          <w:rFonts w:hint="eastAsia" w:ascii="宋体" w:hAnsi="宋体" w:cs="宋体"/>
          <w:sz w:val="56"/>
          <w:szCs w:val="56"/>
          <w:highlight w:val="none"/>
        </w:rPr>
        <w:instrText xml:space="preserve">TOC \o "1-1" \h \u </w:instrText>
      </w:r>
      <w:r>
        <w:rPr>
          <w:rFonts w:hint="eastAsia" w:ascii="宋体" w:hAnsi="宋体" w:cs="宋体"/>
          <w:sz w:val="56"/>
          <w:szCs w:val="56"/>
          <w:highlight w:val="none"/>
        </w:rPr>
        <w:fldChar w:fldCharType="separate"/>
      </w:r>
      <w:r>
        <w:rPr>
          <w:highlight w:val="none"/>
        </w:rPr>
        <w:fldChar w:fldCharType="begin"/>
      </w:r>
      <w:r>
        <w:rPr>
          <w:highlight w:val="none"/>
        </w:rPr>
        <w:instrText xml:space="preserve"> HYPERLINK \l "_Toc7691" </w:instrText>
      </w:r>
      <w:r>
        <w:rPr>
          <w:highlight w:val="none"/>
        </w:rPr>
        <w:fldChar w:fldCharType="separate"/>
      </w:r>
      <w:r>
        <w:rPr>
          <w:rFonts w:hint="eastAsia" w:ascii="宋体" w:hAnsi="宋体" w:cs="宋体"/>
          <w:sz w:val="36"/>
          <w:szCs w:val="52"/>
          <w:highlight w:val="none"/>
        </w:rPr>
        <w:t xml:space="preserve">第一章  </w:t>
      </w:r>
      <w:r>
        <w:rPr>
          <w:rFonts w:hint="eastAsia" w:hAnsi="宋体" w:cs="宋体"/>
          <w:sz w:val="36"/>
          <w:szCs w:val="52"/>
          <w:highlight w:val="none"/>
        </w:rPr>
        <w:t>公开招标公告</w:t>
      </w:r>
      <w:r>
        <w:rPr>
          <w:sz w:val="36"/>
          <w:szCs w:val="44"/>
          <w:highlight w:val="none"/>
        </w:rPr>
        <w:tab/>
      </w:r>
      <w:r>
        <w:rPr>
          <w:sz w:val="36"/>
          <w:szCs w:val="44"/>
          <w:highlight w:val="none"/>
        </w:rPr>
        <w:fldChar w:fldCharType="begin"/>
      </w:r>
      <w:r>
        <w:rPr>
          <w:sz w:val="36"/>
          <w:szCs w:val="44"/>
          <w:highlight w:val="none"/>
        </w:rPr>
        <w:instrText xml:space="preserve"> PAGEREF _Toc7691 \h </w:instrText>
      </w:r>
      <w:r>
        <w:rPr>
          <w:sz w:val="36"/>
          <w:szCs w:val="44"/>
          <w:highlight w:val="none"/>
        </w:rPr>
        <w:fldChar w:fldCharType="separate"/>
      </w:r>
      <w:r>
        <w:rPr>
          <w:sz w:val="36"/>
          <w:szCs w:val="44"/>
          <w:highlight w:val="none"/>
        </w:rPr>
        <w:t>1</w:t>
      </w:r>
      <w:r>
        <w:rPr>
          <w:sz w:val="36"/>
          <w:szCs w:val="44"/>
          <w:highlight w:val="none"/>
        </w:rPr>
        <w:fldChar w:fldCharType="end"/>
      </w:r>
      <w:r>
        <w:rPr>
          <w:sz w:val="36"/>
          <w:szCs w:val="44"/>
          <w:highlight w:val="none"/>
        </w:rPr>
        <w:fldChar w:fldCharType="end"/>
      </w:r>
    </w:p>
    <w:p>
      <w:pPr>
        <w:pStyle w:val="2"/>
        <w:tabs>
          <w:tab w:val="right" w:leader="dot" w:pos="8312"/>
        </w:tabs>
        <w:spacing w:line="360" w:lineRule="auto"/>
        <w:rPr>
          <w:sz w:val="36"/>
          <w:szCs w:val="44"/>
          <w:highlight w:val="none"/>
        </w:rPr>
      </w:pPr>
      <w:r>
        <w:rPr>
          <w:highlight w:val="none"/>
        </w:rPr>
        <w:fldChar w:fldCharType="begin"/>
      </w:r>
      <w:r>
        <w:rPr>
          <w:highlight w:val="none"/>
        </w:rPr>
        <w:instrText xml:space="preserve"> HYPERLINK \l "_Toc21866" </w:instrText>
      </w:r>
      <w:r>
        <w:rPr>
          <w:highlight w:val="none"/>
        </w:rPr>
        <w:fldChar w:fldCharType="separate"/>
      </w:r>
      <w:r>
        <w:rPr>
          <w:rFonts w:hint="eastAsia" w:ascii="宋体" w:hAnsi="宋体" w:cs="宋体"/>
          <w:sz w:val="36"/>
          <w:szCs w:val="52"/>
          <w:highlight w:val="none"/>
        </w:rPr>
        <w:t>第二章  采购需求</w:t>
      </w:r>
      <w:r>
        <w:rPr>
          <w:sz w:val="36"/>
          <w:szCs w:val="44"/>
          <w:highlight w:val="none"/>
        </w:rPr>
        <w:tab/>
      </w:r>
      <w:r>
        <w:rPr>
          <w:sz w:val="36"/>
          <w:szCs w:val="44"/>
          <w:highlight w:val="none"/>
        </w:rPr>
        <w:fldChar w:fldCharType="begin"/>
      </w:r>
      <w:r>
        <w:rPr>
          <w:sz w:val="36"/>
          <w:szCs w:val="44"/>
          <w:highlight w:val="none"/>
        </w:rPr>
        <w:instrText xml:space="preserve"> PAGEREF _Toc21866 \h </w:instrText>
      </w:r>
      <w:r>
        <w:rPr>
          <w:sz w:val="36"/>
          <w:szCs w:val="44"/>
          <w:highlight w:val="none"/>
        </w:rPr>
        <w:fldChar w:fldCharType="separate"/>
      </w:r>
      <w:r>
        <w:rPr>
          <w:sz w:val="36"/>
          <w:szCs w:val="44"/>
          <w:highlight w:val="none"/>
        </w:rPr>
        <w:t>5</w:t>
      </w:r>
      <w:r>
        <w:rPr>
          <w:sz w:val="36"/>
          <w:szCs w:val="44"/>
          <w:highlight w:val="none"/>
        </w:rPr>
        <w:fldChar w:fldCharType="end"/>
      </w:r>
      <w:r>
        <w:rPr>
          <w:sz w:val="36"/>
          <w:szCs w:val="44"/>
          <w:highlight w:val="none"/>
        </w:rPr>
        <w:fldChar w:fldCharType="end"/>
      </w:r>
    </w:p>
    <w:p>
      <w:pPr>
        <w:pStyle w:val="2"/>
        <w:tabs>
          <w:tab w:val="right" w:leader="dot" w:pos="8312"/>
        </w:tabs>
        <w:spacing w:line="360" w:lineRule="auto"/>
        <w:rPr>
          <w:sz w:val="36"/>
          <w:szCs w:val="44"/>
          <w:highlight w:val="none"/>
        </w:rPr>
      </w:pPr>
      <w:r>
        <w:rPr>
          <w:highlight w:val="none"/>
        </w:rPr>
        <w:fldChar w:fldCharType="begin"/>
      </w:r>
      <w:r>
        <w:rPr>
          <w:highlight w:val="none"/>
        </w:rPr>
        <w:instrText xml:space="preserve"> HYPERLINK \l "_Toc4265" </w:instrText>
      </w:r>
      <w:r>
        <w:rPr>
          <w:highlight w:val="none"/>
        </w:rPr>
        <w:fldChar w:fldCharType="separate"/>
      </w:r>
      <w:r>
        <w:rPr>
          <w:rFonts w:hint="eastAsia" w:ascii="宋体" w:hAnsi="宋体" w:cs="宋体"/>
          <w:sz w:val="36"/>
          <w:szCs w:val="52"/>
          <w:highlight w:val="none"/>
        </w:rPr>
        <w:t>第三章  供应商须知</w:t>
      </w:r>
      <w:r>
        <w:rPr>
          <w:sz w:val="36"/>
          <w:szCs w:val="44"/>
          <w:highlight w:val="none"/>
        </w:rPr>
        <w:tab/>
      </w:r>
      <w:r>
        <w:rPr>
          <w:sz w:val="36"/>
          <w:szCs w:val="44"/>
          <w:highlight w:val="none"/>
        </w:rPr>
        <w:fldChar w:fldCharType="begin"/>
      </w:r>
      <w:r>
        <w:rPr>
          <w:sz w:val="36"/>
          <w:szCs w:val="44"/>
          <w:highlight w:val="none"/>
        </w:rPr>
        <w:instrText xml:space="preserve"> PAGEREF _Toc4265 \h </w:instrText>
      </w:r>
      <w:r>
        <w:rPr>
          <w:sz w:val="36"/>
          <w:szCs w:val="44"/>
          <w:highlight w:val="none"/>
        </w:rPr>
        <w:fldChar w:fldCharType="separate"/>
      </w:r>
      <w:r>
        <w:rPr>
          <w:sz w:val="36"/>
          <w:szCs w:val="44"/>
          <w:highlight w:val="none"/>
        </w:rPr>
        <w:t>22</w:t>
      </w:r>
      <w:r>
        <w:rPr>
          <w:sz w:val="36"/>
          <w:szCs w:val="44"/>
          <w:highlight w:val="none"/>
        </w:rPr>
        <w:fldChar w:fldCharType="end"/>
      </w:r>
      <w:r>
        <w:rPr>
          <w:sz w:val="36"/>
          <w:szCs w:val="44"/>
          <w:highlight w:val="none"/>
        </w:rPr>
        <w:fldChar w:fldCharType="end"/>
      </w:r>
    </w:p>
    <w:p>
      <w:pPr>
        <w:pStyle w:val="2"/>
        <w:tabs>
          <w:tab w:val="right" w:leader="dot" w:pos="8312"/>
        </w:tabs>
        <w:spacing w:line="360" w:lineRule="auto"/>
        <w:rPr>
          <w:sz w:val="36"/>
          <w:szCs w:val="44"/>
          <w:highlight w:val="none"/>
        </w:rPr>
      </w:pPr>
      <w:r>
        <w:rPr>
          <w:highlight w:val="none"/>
        </w:rPr>
        <w:fldChar w:fldCharType="begin"/>
      </w:r>
      <w:r>
        <w:rPr>
          <w:highlight w:val="none"/>
        </w:rPr>
        <w:instrText xml:space="preserve"> HYPERLINK \l "_Toc8968" </w:instrText>
      </w:r>
      <w:r>
        <w:rPr>
          <w:highlight w:val="none"/>
        </w:rPr>
        <w:fldChar w:fldCharType="separate"/>
      </w:r>
      <w:r>
        <w:rPr>
          <w:rFonts w:hint="eastAsia" w:ascii="宋体" w:hAnsi="宋体" w:cs="宋体"/>
          <w:bCs/>
          <w:sz w:val="36"/>
          <w:szCs w:val="52"/>
          <w:highlight w:val="none"/>
        </w:rPr>
        <w:t>第四章  评标办法及评分标准</w:t>
      </w:r>
      <w:r>
        <w:rPr>
          <w:sz w:val="36"/>
          <w:szCs w:val="44"/>
          <w:highlight w:val="none"/>
        </w:rPr>
        <w:tab/>
      </w:r>
      <w:r>
        <w:rPr>
          <w:sz w:val="36"/>
          <w:szCs w:val="44"/>
          <w:highlight w:val="none"/>
        </w:rPr>
        <w:fldChar w:fldCharType="begin"/>
      </w:r>
      <w:r>
        <w:rPr>
          <w:sz w:val="36"/>
          <w:szCs w:val="44"/>
          <w:highlight w:val="none"/>
        </w:rPr>
        <w:instrText xml:space="preserve"> PAGEREF _Toc8968 \h </w:instrText>
      </w:r>
      <w:r>
        <w:rPr>
          <w:sz w:val="36"/>
          <w:szCs w:val="44"/>
          <w:highlight w:val="none"/>
        </w:rPr>
        <w:fldChar w:fldCharType="separate"/>
      </w:r>
      <w:r>
        <w:rPr>
          <w:sz w:val="36"/>
          <w:szCs w:val="44"/>
          <w:highlight w:val="none"/>
        </w:rPr>
        <w:t>31</w:t>
      </w:r>
      <w:r>
        <w:rPr>
          <w:sz w:val="36"/>
          <w:szCs w:val="44"/>
          <w:highlight w:val="none"/>
        </w:rPr>
        <w:fldChar w:fldCharType="end"/>
      </w:r>
      <w:r>
        <w:rPr>
          <w:sz w:val="36"/>
          <w:szCs w:val="44"/>
          <w:highlight w:val="none"/>
        </w:rPr>
        <w:fldChar w:fldCharType="end"/>
      </w:r>
    </w:p>
    <w:p>
      <w:pPr>
        <w:pStyle w:val="2"/>
        <w:tabs>
          <w:tab w:val="right" w:leader="dot" w:pos="8312"/>
        </w:tabs>
        <w:spacing w:line="360" w:lineRule="auto"/>
        <w:rPr>
          <w:sz w:val="36"/>
          <w:szCs w:val="44"/>
          <w:highlight w:val="none"/>
        </w:rPr>
      </w:pPr>
      <w:r>
        <w:rPr>
          <w:highlight w:val="none"/>
        </w:rPr>
        <w:fldChar w:fldCharType="begin"/>
      </w:r>
      <w:r>
        <w:rPr>
          <w:highlight w:val="none"/>
        </w:rPr>
        <w:instrText xml:space="preserve"> HYPERLINK \l "_Toc9993" </w:instrText>
      </w:r>
      <w:r>
        <w:rPr>
          <w:highlight w:val="none"/>
        </w:rPr>
        <w:fldChar w:fldCharType="separate"/>
      </w:r>
      <w:r>
        <w:rPr>
          <w:rFonts w:hint="eastAsia" w:ascii="宋体" w:hAnsi="宋体" w:cs="宋体"/>
          <w:sz w:val="36"/>
          <w:szCs w:val="52"/>
          <w:highlight w:val="none"/>
        </w:rPr>
        <w:t>第五章  政府采购合同主要条款</w:t>
      </w:r>
      <w:r>
        <w:rPr>
          <w:sz w:val="36"/>
          <w:szCs w:val="44"/>
          <w:highlight w:val="none"/>
        </w:rPr>
        <w:tab/>
      </w:r>
      <w:r>
        <w:rPr>
          <w:sz w:val="36"/>
          <w:szCs w:val="44"/>
          <w:highlight w:val="none"/>
        </w:rPr>
        <w:fldChar w:fldCharType="begin"/>
      </w:r>
      <w:r>
        <w:rPr>
          <w:sz w:val="36"/>
          <w:szCs w:val="44"/>
          <w:highlight w:val="none"/>
        </w:rPr>
        <w:instrText xml:space="preserve"> PAGEREF _Toc9993 \h </w:instrText>
      </w:r>
      <w:r>
        <w:rPr>
          <w:sz w:val="36"/>
          <w:szCs w:val="44"/>
          <w:highlight w:val="none"/>
        </w:rPr>
        <w:fldChar w:fldCharType="separate"/>
      </w:r>
      <w:r>
        <w:rPr>
          <w:sz w:val="36"/>
          <w:szCs w:val="44"/>
          <w:highlight w:val="none"/>
        </w:rPr>
        <w:t>40</w:t>
      </w:r>
      <w:r>
        <w:rPr>
          <w:sz w:val="36"/>
          <w:szCs w:val="44"/>
          <w:highlight w:val="none"/>
        </w:rPr>
        <w:fldChar w:fldCharType="end"/>
      </w:r>
      <w:r>
        <w:rPr>
          <w:sz w:val="36"/>
          <w:szCs w:val="44"/>
          <w:highlight w:val="none"/>
        </w:rPr>
        <w:fldChar w:fldCharType="end"/>
      </w:r>
    </w:p>
    <w:p>
      <w:pPr>
        <w:pStyle w:val="2"/>
        <w:tabs>
          <w:tab w:val="right" w:leader="dot" w:pos="8312"/>
        </w:tabs>
        <w:spacing w:line="360" w:lineRule="auto"/>
        <w:rPr>
          <w:sz w:val="36"/>
          <w:szCs w:val="44"/>
          <w:highlight w:val="none"/>
        </w:rPr>
      </w:pPr>
      <w:r>
        <w:rPr>
          <w:highlight w:val="none"/>
        </w:rPr>
        <w:fldChar w:fldCharType="begin"/>
      </w:r>
      <w:r>
        <w:rPr>
          <w:highlight w:val="none"/>
        </w:rPr>
        <w:instrText xml:space="preserve"> HYPERLINK \l "_Toc4952" </w:instrText>
      </w:r>
      <w:r>
        <w:rPr>
          <w:highlight w:val="none"/>
        </w:rPr>
        <w:fldChar w:fldCharType="separate"/>
      </w:r>
      <w:r>
        <w:rPr>
          <w:rFonts w:hint="eastAsia" w:ascii="宋体" w:hAnsi="宋体" w:cs="宋体"/>
          <w:sz w:val="36"/>
          <w:szCs w:val="52"/>
          <w:highlight w:val="none"/>
        </w:rPr>
        <w:t>第六章　投标文件格式</w:t>
      </w:r>
      <w:r>
        <w:rPr>
          <w:sz w:val="36"/>
          <w:szCs w:val="44"/>
          <w:highlight w:val="none"/>
        </w:rPr>
        <w:tab/>
      </w:r>
      <w:r>
        <w:rPr>
          <w:sz w:val="36"/>
          <w:szCs w:val="44"/>
          <w:highlight w:val="none"/>
        </w:rPr>
        <w:fldChar w:fldCharType="begin"/>
      </w:r>
      <w:r>
        <w:rPr>
          <w:sz w:val="36"/>
          <w:szCs w:val="44"/>
          <w:highlight w:val="none"/>
        </w:rPr>
        <w:instrText xml:space="preserve"> PAGEREF _Toc4952 \h </w:instrText>
      </w:r>
      <w:r>
        <w:rPr>
          <w:sz w:val="36"/>
          <w:szCs w:val="44"/>
          <w:highlight w:val="none"/>
        </w:rPr>
        <w:fldChar w:fldCharType="separate"/>
      </w:r>
      <w:r>
        <w:rPr>
          <w:sz w:val="36"/>
          <w:szCs w:val="44"/>
          <w:highlight w:val="none"/>
        </w:rPr>
        <w:t>47</w:t>
      </w:r>
      <w:r>
        <w:rPr>
          <w:sz w:val="36"/>
          <w:szCs w:val="44"/>
          <w:highlight w:val="none"/>
        </w:rPr>
        <w:fldChar w:fldCharType="end"/>
      </w:r>
      <w:r>
        <w:rPr>
          <w:sz w:val="36"/>
          <w:szCs w:val="44"/>
          <w:highlight w:val="none"/>
        </w:rPr>
        <w:fldChar w:fldCharType="end"/>
      </w:r>
    </w:p>
    <w:p>
      <w:pPr>
        <w:spacing w:beforeLines="100" w:afterLines="100" w:line="360" w:lineRule="auto"/>
        <w:rPr>
          <w:rFonts w:ascii="宋体" w:hAnsi="宋体" w:cs="宋体"/>
          <w:sz w:val="36"/>
          <w:szCs w:val="36"/>
          <w:highlight w:val="none"/>
        </w:rPr>
      </w:pPr>
      <w:r>
        <w:rPr>
          <w:rFonts w:hint="eastAsia" w:ascii="宋体" w:hAnsi="宋体" w:cs="宋体"/>
          <w:sz w:val="36"/>
          <w:szCs w:val="56"/>
          <w:highlight w:val="none"/>
        </w:rPr>
        <w:fldChar w:fldCharType="end"/>
      </w:r>
    </w:p>
    <w:p>
      <w:pPr>
        <w:spacing w:beforeLines="100" w:afterLines="100" w:line="360" w:lineRule="auto"/>
        <w:rPr>
          <w:rFonts w:ascii="宋体" w:hAnsi="宋体" w:cs="宋体"/>
          <w:sz w:val="36"/>
          <w:szCs w:val="36"/>
          <w:highlight w:val="none"/>
        </w:rPr>
      </w:pPr>
      <w:r>
        <w:rPr>
          <w:rFonts w:hint="eastAsia" w:ascii="宋体" w:hAnsi="宋体" w:cs="宋体"/>
          <w:sz w:val="36"/>
          <w:szCs w:val="36"/>
          <w:highlight w:val="none"/>
        </w:rPr>
        <w:br w:type="page"/>
      </w:r>
    </w:p>
    <w:p>
      <w:pPr>
        <w:pStyle w:val="27"/>
        <w:snapToGrid w:val="0"/>
        <w:spacing w:beforeLines="0" w:afterLines="0" w:line="360" w:lineRule="auto"/>
        <w:rPr>
          <w:rFonts w:hint="default" w:hAnsi="宋体" w:cs="宋体"/>
          <w:b/>
          <w:sz w:val="30"/>
          <w:szCs w:val="30"/>
          <w:highlight w:val="none"/>
        </w:rPr>
        <w:sectPr>
          <w:pgSz w:w="11906" w:h="16838"/>
          <w:pgMar w:top="1474" w:right="1797" w:bottom="1247" w:left="1797" w:header="851" w:footer="851" w:gutter="0"/>
          <w:pgNumType w:start="2"/>
          <w:cols w:space="720" w:num="1"/>
          <w:titlePg/>
          <w:docGrid w:linePitch="312" w:charSpace="0"/>
        </w:sectPr>
      </w:pPr>
    </w:p>
    <w:p>
      <w:pPr>
        <w:pStyle w:val="27"/>
        <w:snapToGrid w:val="0"/>
        <w:spacing w:beforeLines="0" w:afterLines="0" w:line="360" w:lineRule="auto"/>
        <w:jc w:val="center"/>
        <w:outlineLvl w:val="0"/>
        <w:rPr>
          <w:rFonts w:hint="default" w:hAnsi="宋体" w:cs="宋体"/>
          <w:b/>
          <w:sz w:val="32"/>
          <w:szCs w:val="32"/>
          <w:highlight w:val="none"/>
        </w:rPr>
      </w:pPr>
      <w:bookmarkStart w:id="0" w:name="_Toc14924"/>
      <w:bookmarkStart w:id="1" w:name="_Toc7691"/>
      <w:r>
        <w:rPr>
          <w:rFonts w:hAnsi="宋体" w:cs="宋体"/>
          <w:b/>
          <w:sz w:val="32"/>
          <w:szCs w:val="32"/>
          <w:highlight w:val="none"/>
        </w:rPr>
        <w:t xml:space="preserve">第一章  </w:t>
      </w:r>
      <w:bookmarkEnd w:id="0"/>
      <w:r>
        <w:rPr>
          <w:rFonts w:hAnsi="宋体" w:cs="宋体"/>
          <w:b/>
          <w:sz w:val="32"/>
          <w:szCs w:val="32"/>
          <w:highlight w:val="none"/>
        </w:rPr>
        <w:t>公开招标公告</w:t>
      </w:r>
      <w:bookmarkEnd w:id="1"/>
    </w:p>
    <w:tbl>
      <w:tblPr>
        <w:tblStyle w:val="4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28" w:type="dxa"/>
          </w:tcPr>
          <w:p>
            <w:pPr>
              <w:adjustRightInd/>
              <w:spacing w:line="360" w:lineRule="auto"/>
              <w:textAlignment w:val="auto"/>
              <w:rPr>
                <w:rFonts w:ascii="宋体" w:hAnsi="宋体" w:cs="宋体"/>
                <w:szCs w:val="21"/>
                <w:highlight w:val="none"/>
              </w:rPr>
            </w:pPr>
            <w:r>
              <w:rPr>
                <w:rFonts w:hint="eastAsia" w:ascii="宋体" w:hAnsi="宋体" w:cs="宋体"/>
                <w:szCs w:val="21"/>
                <w:highlight w:val="none"/>
              </w:rPr>
              <w:t>项目概况：</w:t>
            </w:r>
          </w:p>
          <w:p>
            <w:pPr>
              <w:adjustRightInd/>
              <w:spacing w:line="360" w:lineRule="auto"/>
              <w:ind w:firstLine="420" w:firstLineChars="200"/>
              <w:textAlignment w:val="auto"/>
              <w:rPr>
                <w:rFonts w:ascii="宋体" w:hAnsi="宋体" w:cs="宋体"/>
                <w:szCs w:val="21"/>
                <w:highlight w:val="none"/>
              </w:rPr>
            </w:pPr>
            <w:r>
              <w:rPr>
                <w:rFonts w:hint="eastAsia" w:ascii="宋体" w:hAnsi="宋体" w:cs="宋体"/>
                <w:szCs w:val="21"/>
                <w:highlight w:val="none"/>
                <w:u w:val="single"/>
                <w:lang w:eastAsia="zh-CN"/>
              </w:rPr>
              <w:t>宁海县桃源街道城乡环卫保洁服务项目</w:t>
            </w:r>
            <w:r>
              <w:rPr>
                <w:rFonts w:hint="eastAsia" w:ascii="宋体" w:hAnsi="宋体" w:cs="宋体"/>
                <w:szCs w:val="21"/>
                <w:highlight w:val="none"/>
              </w:rPr>
              <w:t>招标项目的潜在投标人应在政府采购云平台（www.zcygov.cn）获取（下载）招标文件，并于</w:t>
            </w:r>
            <w:r>
              <w:rPr>
                <w:rFonts w:hint="eastAsia" w:ascii="宋体" w:hAnsi="宋体" w:cs="宋体"/>
                <w:szCs w:val="21"/>
                <w:highlight w:val="none"/>
                <w:u w:val="single"/>
                <w:lang w:eastAsia="zh-CN"/>
              </w:rPr>
              <w:t>2022年</w:t>
            </w:r>
            <w:r>
              <w:rPr>
                <w:rFonts w:hint="eastAsia" w:ascii="宋体" w:hAnsi="宋体" w:cs="宋体"/>
                <w:szCs w:val="21"/>
                <w:highlight w:val="none"/>
                <w:u w:val="single"/>
                <w:lang w:val="en-US" w:eastAsia="zh-CN"/>
              </w:rPr>
              <w:t>12</w:t>
            </w:r>
            <w:r>
              <w:rPr>
                <w:rFonts w:hint="eastAsia" w:ascii="宋体" w:hAnsi="宋体" w:cs="宋体"/>
                <w:szCs w:val="21"/>
                <w:highlight w:val="none"/>
                <w:u w:val="single"/>
                <w:lang w:eastAsia="zh-CN"/>
              </w:rPr>
              <w:t>月</w:t>
            </w:r>
            <w:r>
              <w:rPr>
                <w:rFonts w:hint="eastAsia" w:ascii="宋体" w:hAnsi="宋体" w:cs="宋体"/>
                <w:szCs w:val="21"/>
                <w:highlight w:val="none"/>
                <w:u w:val="single"/>
                <w:lang w:val="en-US" w:eastAsia="zh-CN"/>
              </w:rPr>
              <w:t>2</w:t>
            </w:r>
            <w:r>
              <w:rPr>
                <w:rFonts w:hint="eastAsia" w:ascii="宋体" w:hAnsi="宋体" w:cs="宋体"/>
                <w:szCs w:val="21"/>
                <w:highlight w:val="none"/>
                <w:u w:val="single"/>
                <w:lang w:eastAsia="zh-CN"/>
              </w:rPr>
              <w:t>日</w:t>
            </w:r>
            <w:r>
              <w:rPr>
                <w:rFonts w:hint="eastAsia" w:ascii="宋体" w:hAnsi="宋体" w:cs="宋体"/>
                <w:szCs w:val="21"/>
                <w:highlight w:val="none"/>
                <w:u w:val="single"/>
                <w:lang w:val="en-US" w:eastAsia="zh-CN"/>
              </w:rPr>
              <w:t>13</w:t>
            </w:r>
            <w:r>
              <w:rPr>
                <w:rFonts w:hint="eastAsia" w:ascii="宋体" w:hAnsi="宋体" w:cs="宋体"/>
                <w:szCs w:val="21"/>
                <w:highlight w:val="none"/>
                <w:u w:val="single"/>
                <w:lang w:eastAsia="zh-CN"/>
              </w:rPr>
              <w:t>:</w:t>
            </w:r>
            <w:r>
              <w:rPr>
                <w:rFonts w:hint="eastAsia" w:ascii="宋体" w:hAnsi="宋体" w:cs="宋体"/>
                <w:szCs w:val="21"/>
                <w:highlight w:val="none"/>
                <w:u w:val="single"/>
                <w:lang w:val="en-US" w:eastAsia="zh-CN"/>
              </w:rPr>
              <w:t>30</w:t>
            </w:r>
            <w:r>
              <w:rPr>
                <w:rFonts w:hint="eastAsia" w:ascii="宋体" w:hAnsi="宋体" w:cs="宋体"/>
                <w:bCs/>
                <w:szCs w:val="21"/>
                <w:highlight w:val="none"/>
                <w:u w:val="single"/>
              </w:rPr>
              <w:t>（北京时间）</w:t>
            </w:r>
            <w:r>
              <w:rPr>
                <w:rFonts w:hint="eastAsia" w:ascii="宋体" w:hAnsi="宋体" w:cs="宋体"/>
                <w:bCs/>
                <w:szCs w:val="21"/>
                <w:highlight w:val="none"/>
              </w:rPr>
              <w:t>前递交（上传）投标文件</w:t>
            </w:r>
            <w:r>
              <w:rPr>
                <w:rFonts w:hint="eastAsia" w:ascii="宋体" w:hAnsi="宋体" w:cs="宋体"/>
                <w:szCs w:val="21"/>
                <w:highlight w:val="none"/>
              </w:rPr>
              <w:t>。</w:t>
            </w:r>
          </w:p>
        </w:tc>
      </w:tr>
    </w:tbl>
    <w:p>
      <w:pPr>
        <w:pStyle w:val="4"/>
        <w:spacing w:before="0" w:after="0" w:line="348" w:lineRule="auto"/>
        <w:rPr>
          <w:rFonts w:ascii="宋体" w:hAnsi="宋体" w:eastAsia="宋体" w:cs="宋体"/>
          <w:sz w:val="21"/>
          <w:szCs w:val="21"/>
          <w:highlight w:val="none"/>
        </w:rPr>
      </w:pPr>
      <w:bookmarkStart w:id="2" w:name="_Toc35393790"/>
      <w:bookmarkStart w:id="3" w:name="_Toc35393621"/>
      <w:bookmarkStart w:id="4" w:name="_Toc28359002"/>
      <w:bookmarkStart w:id="5" w:name="_Toc28359079"/>
      <w:bookmarkStart w:id="6" w:name="_Hlk24379207"/>
      <w:r>
        <w:rPr>
          <w:rFonts w:hint="eastAsia" w:ascii="宋体" w:hAnsi="宋体" w:eastAsia="宋体" w:cs="宋体"/>
          <w:sz w:val="21"/>
          <w:szCs w:val="21"/>
          <w:highlight w:val="none"/>
        </w:rPr>
        <w:t>一、项目基本情况</w:t>
      </w:r>
      <w:bookmarkEnd w:id="2"/>
      <w:bookmarkEnd w:id="3"/>
      <w:bookmarkEnd w:id="4"/>
      <w:bookmarkEnd w:id="5"/>
    </w:p>
    <w:p>
      <w:pPr>
        <w:spacing w:line="348"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1.项目编号：</w:t>
      </w:r>
      <w:r>
        <w:rPr>
          <w:rFonts w:hint="eastAsia" w:ascii="宋体" w:hAnsi="宋体" w:cs="宋体"/>
          <w:szCs w:val="21"/>
          <w:highlight w:val="none"/>
          <w:lang w:eastAsia="zh-CN"/>
        </w:rPr>
        <w:t>CBZJ-20226175G</w:t>
      </w:r>
    </w:p>
    <w:p>
      <w:pPr>
        <w:spacing w:line="348"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2.项目名称：</w:t>
      </w:r>
      <w:r>
        <w:rPr>
          <w:rFonts w:hint="eastAsia" w:ascii="宋体" w:hAnsi="宋体" w:cs="宋体"/>
          <w:szCs w:val="21"/>
          <w:highlight w:val="none"/>
          <w:lang w:eastAsia="zh-CN"/>
        </w:rPr>
        <w:t>宁海县桃源街道城乡环卫保洁服务项目</w:t>
      </w:r>
    </w:p>
    <w:bookmarkEnd w:id="6"/>
    <w:p>
      <w:pPr>
        <w:spacing w:line="348"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3.预算金额（元）：</w:t>
      </w:r>
      <w:r>
        <w:rPr>
          <w:rFonts w:hint="eastAsia" w:ascii="宋体" w:hAnsi="宋体" w:cs="宋体"/>
          <w:szCs w:val="21"/>
          <w:highlight w:val="none"/>
          <w:lang w:eastAsia="zh-CN"/>
        </w:rPr>
        <w:t>33884838</w:t>
      </w:r>
    </w:p>
    <w:p>
      <w:pPr>
        <w:spacing w:line="348"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4.最高限价（元）：</w:t>
      </w:r>
      <w:r>
        <w:rPr>
          <w:rFonts w:hint="eastAsia" w:ascii="宋体" w:hAnsi="宋体" w:cs="宋体"/>
          <w:szCs w:val="21"/>
          <w:highlight w:val="none"/>
          <w:lang w:eastAsia="zh-CN"/>
        </w:rPr>
        <w:t>33884838</w:t>
      </w:r>
    </w:p>
    <w:p>
      <w:pPr>
        <w:spacing w:line="348" w:lineRule="auto"/>
        <w:ind w:firstLine="420" w:firstLineChars="200"/>
        <w:rPr>
          <w:rFonts w:ascii="宋体" w:hAnsi="宋体" w:cs="宋体"/>
          <w:szCs w:val="21"/>
          <w:highlight w:val="none"/>
        </w:rPr>
      </w:pPr>
      <w:r>
        <w:rPr>
          <w:rFonts w:hint="eastAsia" w:ascii="宋体" w:hAnsi="宋体" w:cs="宋体"/>
          <w:szCs w:val="21"/>
          <w:highlight w:val="none"/>
        </w:rPr>
        <w:t>5.采购需求：</w:t>
      </w:r>
    </w:p>
    <w:p>
      <w:pPr>
        <w:spacing w:line="348" w:lineRule="auto"/>
        <w:ind w:firstLine="420" w:firstLineChars="200"/>
        <w:rPr>
          <w:rFonts w:ascii="宋体" w:hAnsi="宋体" w:cs="宋体"/>
          <w:szCs w:val="21"/>
          <w:highlight w:val="none"/>
        </w:rPr>
      </w:pPr>
      <w:r>
        <w:rPr>
          <w:rFonts w:hint="eastAsia" w:ascii="宋体" w:hAnsi="宋体" w:cs="宋体"/>
          <w:szCs w:val="21"/>
          <w:highlight w:val="none"/>
        </w:rPr>
        <w:t>标项名称:</w:t>
      </w:r>
      <w:r>
        <w:rPr>
          <w:rFonts w:hint="eastAsia" w:ascii="宋体" w:hAnsi="宋体" w:cs="宋体"/>
          <w:szCs w:val="21"/>
          <w:highlight w:val="none"/>
          <w:lang w:eastAsia="zh-CN"/>
        </w:rPr>
        <w:t>宁海县桃源街道城乡环卫保洁服务</w:t>
      </w:r>
    </w:p>
    <w:p>
      <w:pPr>
        <w:spacing w:line="348" w:lineRule="auto"/>
        <w:ind w:firstLine="420" w:firstLineChars="200"/>
        <w:rPr>
          <w:rFonts w:ascii="宋体" w:hAnsi="宋体" w:cs="宋体"/>
          <w:szCs w:val="21"/>
          <w:highlight w:val="none"/>
        </w:rPr>
      </w:pPr>
      <w:r>
        <w:rPr>
          <w:rFonts w:hint="eastAsia" w:ascii="宋体" w:hAnsi="宋体" w:cs="宋体"/>
          <w:szCs w:val="21"/>
          <w:highlight w:val="none"/>
        </w:rPr>
        <w:t>数量:1项</w:t>
      </w:r>
    </w:p>
    <w:p>
      <w:pPr>
        <w:spacing w:line="348"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预算金额（元）:</w:t>
      </w:r>
      <w:r>
        <w:rPr>
          <w:rFonts w:hint="eastAsia" w:ascii="宋体" w:hAnsi="宋体" w:cs="宋体"/>
          <w:szCs w:val="21"/>
          <w:highlight w:val="none"/>
          <w:lang w:eastAsia="zh-CN"/>
        </w:rPr>
        <w:t>33884838</w:t>
      </w:r>
    </w:p>
    <w:p>
      <w:pPr>
        <w:spacing w:line="348" w:lineRule="auto"/>
        <w:ind w:firstLine="420" w:firstLineChars="200"/>
        <w:rPr>
          <w:rFonts w:ascii="宋体" w:hAnsi="宋体" w:cs="宋体"/>
          <w:szCs w:val="21"/>
          <w:highlight w:val="none"/>
        </w:rPr>
      </w:pPr>
      <w:r>
        <w:rPr>
          <w:rFonts w:hint="eastAsia" w:ascii="宋体" w:hAnsi="宋体" w:cs="宋体"/>
          <w:szCs w:val="21"/>
          <w:highlight w:val="none"/>
        </w:rPr>
        <w:t>简要规格描述或项目基本概况介绍、用途：</w:t>
      </w:r>
      <w:r>
        <w:rPr>
          <w:rFonts w:hint="eastAsia" w:ascii="宋体" w:hAnsi="宋体"/>
          <w:highlight w:val="none"/>
        </w:rPr>
        <w:t>服务内容包括村内环卫保洁、生活垃圾</w:t>
      </w:r>
      <w:r>
        <w:rPr>
          <w:rFonts w:hint="eastAsia" w:ascii="宋体" w:hAnsi="宋体"/>
          <w:highlight w:val="none"/>
          <w:lang w:eastAsia="zh-CN"/>
        </w:rPr>
        <w:t>（</w:t>
      </w:r>
      <w:r>
        <w:rPr>
          <w:rFonts w:hint="eastAsia" w:ascii="宋体" w:hAnsi="宋体"/>
          <w:highlight w:val="none"/>
          <w:lang w:val="en-US" w:eastAsia="zh-CN"/>
        </w:rPr>
        <w:t>含厨余垃圾及其他垃圾</w:t>
      </w:r>
      <w:r>
        <w:rPr>
          <w:rFonts w:hint="eastAsia" w:ascii="宋体" w:hAnsi="宋体"/>
          <w:highlight w:val="none"/>
          <w:lang w:eastAsia="zh-CN"/>
        </w:rPr>
        <w:t>）</w:t>
      </w:r>
      <w:r>
        <w:rPr>
          <w:rFonts w:hint="eastAsia" w:ascii="宋体" w:hAnsi="宋体"/>
          <w:highlight w:val="none"/>
        </w:rPr>
        <w:t>清运、应急保障工作等。服务范围包括宁海县桃源街道辖区内的</w:t>
      </w:r>
      <w:r>
        <w:rPr>
          <w:rFonts w:hint="eastAsia" w:ascii="宋体" w:hAnsi="宋体"/>
          <w:highlight w:val="none"/>
          <w:lang w:eastAsia="zh-CN"/>
        </w:rPr>
        <w:t>31个行政村和股份经济合作社</w:t>
      </w:r>
      <w:r>
        <w:rPr>
          <w:rFonts w:hint="eastAsia" w:ascii="宋体" w:hAnsi="宋体"/>
          <w:highlight w:val="none"/>
        </w:rPr>
        <w:t>。详见《第二章  采购需求》。</w:t>
      </w:r>
    </w:p>
    <w:p>
      <w:pPr>
        <w:spacing w:line="348" w:lineRule="auto"/>
        <w:ind w:firstLine="420" w:firstLineChars="200"/>
        <w:rPr>
          <w:rFonts w:ascii="宋体" w:hAnsi="宋体" w:cs="宋体"/>
          <w:szCs w:val="21"/>
          <w:highlight w:val="none"/>
        </w:rPr>
      </w:pPr>
      <w:r>
        <w:rPr>
          <w:rFonts w:hint="eastAsia" w:ascii="宋体" w:hAnsi="宋体" w:cs="宋体"/>
          <w:szCs w:val="21"/>
          <w:highlight w:val="none"/>
        </w:rPr>
        <w:t>备注：组成联合体的成员数量不超过2个。</w:t>
      </w:r>
      <w:r>
        <w:rPr>
          <w:rFonts w:hint="eastAsia" w:ascii="宋体" w:hAnsi="宋体" w:cs="宋体"/>
          <w:szCs w:val="21"/>
          <w:highlight w:val="none"/>
          <w:lang w:val="en-US" w:eastAsia="zh-CN"/>
        </w:rPr>
        <w:t>本项目</w:t>
      </w:r>
      <w:r>
        <w:rPr>
          <w:rFonts w:hint="eastAsia" w:ascii="宋体" w:hAnsi="宋体" w:cs="宋体"/>
          <w:szCs w:val="21"/>
          <w:highlight w:val="none"/>
        </w:rPr>
        <w:t>年度</w:t>
      </w:r>
      <w:r>
        <w:rPr>
          <w:rFonts w:hint="eastAsia" w:ascii="宋体" w:hAnsi="宋体" w:cs="宋体"/>
          <w:szCs w:val="21"/>
          <w:highlight w:val="none"/>
          <w:lang w:val="en-US" w:eastAsia="zh-CN"/>
        </w:rPr>
        <w:t>最高限价</w:t>
      </w:r>
      <w:r>
        <w:rPr>
          <w:rFonts w:hint="eastAsia" w:ascii="宋体" w:hAnsi="宋体" w:cs="宋体"/>
          <w:szCs w:val="21"/>
          <w:highlight w:val="none"/>
        </w:rPr>
        <w:t>为1129</w:t>
      </w:r>
      <w:r>
        <w:rPr>
          <w:rFonts w:hint="eastAsia" w:ascii="宋体" w:hAnsi="宋体" w:cs="宋体"/>
          <w:szCs w:val="21"/>
          <w:highlight w:val="none"/>
          <w:lang w:val="en-US" w:eastAsia="zh-CN"/>
        </w:rPr>
        <w:t>4946</w:t>
      </w:r>
      <w:r>
        <w:rPr>
          <w:rFonts w:hint="eastAsia" w:ascii="宋体" w:hAnsi="宋体" w:cs="宋体"/>
          <w:szCs w:val="21"/>
          <w:highlight w:val="none"/>
        </w:rPr>
        <w:t>元</w:t>
      </w:r>
      <w:r>
        <w:rPr>
          <w:rFonts w:hint="eastAsia" w:ascii="宋体" w:hAnsi="宋体" w:cs="宋体"/>
          <w:szCs w:val="21"/>
          <w:highlight w:val="none"/>
          <w:lang w:val="en-US" w:eastAsia="zh-CN"/>
        </w:rPr>
        <w:t>/年</w:t>
      </w:r>
      <w:r>
        <w:rPr>
          <w:rFonts w:hint="eastAsia" w:ascii="宋体" w:hAnsi="宋体" w:cs="宋体"/>
          <w:szCs w:val="21"/>
          <w:highlight w:val="none"/>
        </w:rPr>
        <w:t>。</w:t>
      </w:r>
    </w:p>
    <w:p>
      <w:pPr>
        <w:spacing w:line="348" w:lineRule="auto"/>
        <w:ind w:firstLine="420" w:firstLineChars="200"/>
        <w:rPr>
          <w:rFonts w:ascii="宋体" w:hAnsi="宋体" w:cs="宋体"/>
          <w:szCs w:val="21"/>
          <w:highlight w:val="none"/>
        </w:rPr>
      </w:pPr>
      <w:r>
        <w:rPr>
          <w:rFonts w:hint="eastAsia" w:ascii="宋体" w:hAnsi="宋体" w:cs="宋体"/>
          <w:szCs w:val="21"/>
          <w:highlight w:val="none"/>
        </w:rPr>
        <w:t>6.合同履行期限：本服务项目一招暂定三年，合同必须为一年一签。合同应符合政府采购预算安排要求，经批准，并经采购人考核验收，双方同意后，方可续签订下一年度的合同。合同续签后，应经原政府采购代理机构见证及备案，并报宁海县政府采购管理办公室。</w:t>
      </w:r>
    </w:p>
    <w:p>
      <w:pPr>
        <w:spacing w:line="348" w:lineRule="auto"/>
        <w:ind w:firstLine="420" w:firstLineChars="200"/>
        <w:rPr>
          <w:rFonts w:ascii="宋体" w:hAnsi="宋体" w:cs="宋体"/>
          <w:szCs w:val="21"/>
          <w:highlight w:val="none"/>
          <w:u w:val="single"/>
        </w:rPr>
      </w:pPr>
      <w:r>
        <w:rPr>
          <w:rFonts w:hint="eastAsia" w:ascii="宋体" w:hAnsi="宋体" w:cs="宋体"/>
          <w:szCs w:val="21"/>
          <w:highlight w:val="none"/>
        </w:rPr>
        <w:t>7.本项目（是）接受联合体投标。</w:t>
      </w:r>
    </w:p>
    <w:p>
      <w:pPr>
        <w:pStyle w:val="4"/>
        <w:spacing w:before="0" w:after="0" w:line="348" w:lineRule="auto"/>
        <w:ind w:firstLine="422" w:firstLineChars="200"/>
        <w:rPr>
          <w:rFonts w:ascii="宋体" w:hAnsi="宋体" w:eastAsia="宋体" w:cs="宋体"/>
          <w:sz w:val="21"/>
          <w:szCs w:val="21"/>
          <w:highlight w:val="none"/>
        </w:rPr>
      </w:pPr>
      <w:bookmarkStart w:id="7" w:name="_Toc28359080"/>
      <w:bookmarkStart w:id="8" w:name="_Toc35393791"/>
      <w:bookmarkStart w:id="9" w:name="_Toc28359003"/>
      <w:bookmarkStart w:id="10" w:name="_Toc35393622"/>
      <w:r>
        <w:rPr>
          <w:rFonts w:hint="eastAsia" w:ascii="宋体" w:hAnsi="宋体" w:eastAsia="宋体" w:cs="宋体"/>
          <w:sz w:val="21"/>
          <w:szCs w:val="21"/>
          <w:highlight w:val="none"/>
        </w:rPr>
        <w:t>二、申请人的资格要求：</w:t>
      </w:r>
      <w:bookmarkEnd w:id="7"/>
      <w:bookmarkEnd w:id="8"/>
      <w:bookmarkEnd w:id="9"/>
      <w:bookmarkEnd w:id="10"/>
    </w:p>
    <w:p>
      <w:pPr>
        <w:spacing w:line="348" w:lineRule="auto"/>
        <w:ind w:firstLine="420" w:firstLineChars="200"/>
        <w:rPr>
          <w:rFonts w:ascii="宋体" w:hAnsi="宋体" w:cs="宋体"/>
          <w:szCs w:val="21"/>
          <w:highlight w:val="none"/>
        </w:rPr>
      </w:pPr>
      <w:r>
        <w:rPr>
          <w:rFonts w:hint="eastAsia" w:ascii="宋体" w:hAnsi="宋体" w:cs="宋体"/>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48" w:lineRule="auto"/>
        <w:ind w:firstLine="420" w:firstLineChars="200"/>
        <w:rPr>
          <w:rFonts w:hint="eastAsia" w:ascii="宋体" w:hAnsi="宋体" w:eastAsia="宋体" w:cs="宋体"/>
          <w:szCs w:val="21"/>
          <w:highlight w:val="none"/>
          <w:lang w:eastAsia="zh-CN"/>
        </w:rPr>
      </w:pPr>
      <w:bookmarkStart w:id="11" w:name="_Toc28359081"/>
      <w:bookmarkStart w:id="12" w:name="_Toc28359004"/>
      <w:r>
        <w:rPr>
          <w:rFonts w:hint="eastAsia" w:ascii="宋体" w:hAnsi="宋体" w:cs="宋体"/>
          <w:szCs w:val="21"/>
          <w:highlight w:val="none"/>
        </w:rPr>
        <w:t>2.落实政府采购政策需满足的资格要求：</w:t>
      </w:r>
      <w:r>
        <w:rPr>
          <w:rFonts w:hint="eastAsia" w:ascii="宋体" w:hAnsi="宋体" w:cs="宋体"/>
          <w:szCs w:val="21"/>
          <w:highlight w:val="none"/>
          <w:lang w:val="en-US" w:eastAsia="zh-CN"/>
        </w:rPr>
        <w:t>无。</w:t>
      </w:r>
    </w:p>
    <w:p>
      <w:pPr>
        <w:spacing w:line="348" w:lineRule="auto"/>
        <w:ind w:firstLine="420" w:firstLineChars="200"/>
        <w:rPr>
          <w:rFonts w:ascii="宋体" w:hAnsi="宋体" w:cs="宋体"/>
          <w:szCs w:val="21"/>
          <w:highlight w:val="none"/>
        </w:rPr>
      </w:pPr>
      <w:r>
        <w:rPr>
          <w:rFonts w:hint="eastAsia" w:ascii="宋体" w:hAnsi="宋体" w:cs="宋体"/>
          <w:szCs w:val="21"/>
          <w:highlight w:val="none"/>
        </w:rPr>
        <w:t>3.本项目的特定资格要求：3.1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3.2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pPr>
        <w:pStyle w:val="4"/>
        <w:spacing w:before="0" w:after="0" w:line="348" w:lineRule="auto"/>
        <w:rPr>
          <w:rFonts w:ascii="宋体" w:hAnsi="宋体" w:eastAsia="宋体" w:cs="宋体"/>
          <w:sz w:val="21"/>
          <w:szCs w:val="21"/>
          <w:highlight w:val="none"/>
        </w:rPr>
      </w:pPr>
      <w:bookmarkStart w:id="13" w:name="_Toc35393792"/>
      <w:bookmarkStart w:id="14" w:name="_Toc35393623"/>
      <w:r>
        <w:rPr>
          <w:rFonts w:hint="eastAsia" w:ascii="宋体" w:hAnsi="宋体" w:eastAsia="宋体" w:cs="宋体"/>
          <w:sz w:val="21"/>
          <w:szCs w:val="21"/>
          <w:highlight w:val="none"/>
        </w:rPr>
        <w:t>三、获取招标文件</w:t>
      </w:r>
      <w:bookmarkEnd w:id="11"/>
      <w:bookmarkEnd w:id="12"/>
      <w:bookmarkEnd w:id="13"/>
      <w:bookmarkEnd w:id="14"/>
    </w:p>
    <w:p>
      <w:pPr>
        <w:spacing w:line="348" w:lineRule="auto"/>
        <w:ind w:firstLine="540"/>
        <w:rPr>
          <w:rFonts w:ascii="宋体" w:hAnsi="宋体" w:cs="宋体"/>
          <w:szCs w:val="21"/>
          <w:highlight w:val="none"/>
        </w:rPr>
      </w:pPr>
      <w:r>
        <w:rPr>
          <w:rFonts w:hint="eastAsia" w:ascii="宋体" w:hAnsi="宋体" w:cs="宋体"/>
          <w:szCs w:val="21"/>
          <w:highlight w:val="none"/>
        </w:rPr>
        <w:t>1.时间：</w:t>
      </w:r>
      <w:r>
        <w:rPr>
          <w:rFonts w:hint="eastAsia" w:ascii="宋体" w:hAnsi="宋体" w:cs="宋体"/>
          <w:szCs w:val="21"/>
          <w:highlight w:val="none"/>
          <w:u w:val="single"/>
        </w:rPr>
        <w:t>2022年</w:t>
      </w:r>
      <w:r>
        <w:rPr>
          <w:rFonts w:hint="eastAsia" w:ascii="宋体" w:hAnsi="宋体" w:cs="宋体"/>
          <w:szCs w:val="21"/>
          <w:highlight w:val="none"/>
          <w:u w:val="single"/>
          <w:lang w:val="en-US" w:eastAsia="zh-CN"/>
        </w:rPr>
        <w:t>11</w:t>
      </w:r>
      <w:r>
        <w:rPr>
          <w:rFonts w:hint="eastAsia" w:ascii="宋体" w:hAnsi="宋体" w:cs="宋体"/>
          <w:szCs w:val="21"/>
          <w:highlight w:val="none"/>
          <w:u w:val="single"/>
        </w:rPr>
        <w:t>月</w:t>
      </w:r>
      <w:r>
        <w:rPr>
          <w:rFonts w:hint="eastAsia" w:ascii="宋体" w:hAnsi="宋体" w:cs="宋体"/>
          <w:szCs w:val="21"/>
          <w:highlight w:val="none"/>
          <w:u w:val="single"/>
          <w:lang w:val="en-US" w:eastAsia="zh-CN"/>
        </w:rPr>
        <w:t>11</w:t>
      </w:r>
      <w:r>
        <w:rPr>
          <w:rFonts w:hint="eastAsia" w:ascii="宋体" w:hAnsi="宋体" w:cs="宋体"/>
          <w:szCs w:val="21"/>
          <w:highlight w:val="none"/>
          <w:u w:val="single"/>
        </w:rPr>
        <w:t>日</w:t>
      </w:r>
      <w:r>
        <w:rPr>
          <w:rFonts w:hint="eastAsia" w:ascii="宋体" w:hAnsi="宋体" w:cs="宋体"/>
          <w:szCs w:val="21"/>
          <w:highlight w:val="none"/>
        </w:rPr>
        <w:t>至</w:t>
      </w:r>
      <w:r>
        <w:rPr>
          <w:rFonts w:hint="eastAsia" w:ascii="宋体" w:hAnsi="宋体" w:cs="宋体"/>
          <w:szCs w:val="21"/>
          <w:highlight w:val="none"/>
          <w:u w:val="single"/>
        </w:rPr>
        <w:t>2022年</w:t>
      </w:r>
      <w:r>
        <w:rPr>
          <w:rFonts w:hint="eastAsia" w:ascii="宋体" w:hAnsi="宋体" w:cs="宋体"/>
          <w:szCs w:val="21"/>
          <w:highlight w:val="none"/>
          <w:u w:val="single"/>
          <w:lang w:val="en-US" w:eastAsia="zh-CN"/>
        </w:rPr>
        <w:t>11</w:t>
      </w:r>
      <w:r>
        <w:rPr>
          <w:rFonts w:hint="eastAsia" w:ascii="宋体" w:hAnsi="宋体" w:cs="宋体"/>
          <w:szCs w:val="21"/>
          <w:highlight w:val="none"/>
          <w:u w:val="single"/>
        </w:rPr>
        <w:t>月</w:t>
      </w:r>
      <w:r>
        <w:rPr>
          <w:rFonts w:hint="eastAsia" w:ascii="宋体" w:hAnsi="宋体" w:cs="宋体"/>
          <w:szCs w:val="21"/>
          <w:highlight w:val="none"/>
          <w:u w:val="single"/>
          <w:lang w:val="en-US" w:eastAsia="zh-CN"/>
        </w:rPr>
        <w:t>21</w:t>
      </w:r>
      <w:r>
        <w:rPr>
          <w:rFonts w:hint="eastAsia" w:ascii="宋体" w:hAnsi="宋体" w:cs="宋体"/>
          <w:szCs w:val="21"/>
          <w:highlight w:val="none"/>
          <w:u w:val="single"/>
        </w:rPr>
        <w:t>日</w:t>
      </w:r>
      <w:r>
        <w:rPr>
          <w:rFonts w:hint="eastAsia" w:ascii="宋体" w:hAnsi="宋体" w:cs="宋体"/>
          <w:szCs w:val="21"/>
          <w:highlight w:val="none"/>
        </w:rPr>
        <w:t>，每天上午</w:t>
      </w:r>
      <w:r>
        <w:rPr>
          <w:rFonts w:hint="eastAsia" w:ascii="宋体" w:hAnsi="宋体" w:cs="宋体"/>
          <w:szCs w:val="21"/>
          <w:highlight w:val="none"/>
          <w:u w:val="single"/>
        </w:rPr>
        <w:t>00:00</w:t>
      </w:r>
      <w:r>
        <w:rPr>
          <w:rFonts w:hint="eastAsia" w:ascii="宋体" w:hAnsi="宋体" w:cs="宋体"/>
          <w:szCs w:val="21"/>
          <w:highlight w:val="none"/>
        </w:rPr>
        <w:t>至</w:t>
      </w:r>
      <w:r>
        <w:rPr>
          <w:rFonts w:hint="eastAsia" w:ascii="宋体" w:hAnsi="宋体" w:cs="宋体"/>
          <w:szCs w:val="21"/>
          <w:highlight w:val="none"/>
          <w:u w:val="single"/>
        </w:rPr>
        <w:t>12:00</w:t>
      </w:r>
      <w:r>
        <w:rPr>
          <w:rFonts w:hint="eastAsia" w:ascii="宋体" w:hAnsi="宋体" w:cs="宋体"/>
          <w:szCs w:val="21"/>
          <w:highlight w:val="none"/>
        </w:rPr>
        <w:t>，下午</w:t>
      </w:r>
      <w:r>
        <w:rPr>
          <w:rFonts w:hint="eastAsia" w:ascii="宋体" w:hAnsi="宋体" w:cs="宋体"/>
          <w:szCs w:val="21"/>
          <w:highlight w:val="none"/>
          <w:u w:val="single"/>
        </w:rPr>
        <w:t>12:00</w:t>
      </w:r>
      <w:r>
        <w:rPr>
          <w:rFonts w:hint="eastAsia" w:ascii="宋体" w:hAnsi="宋体" w:cs="宋体"/>
          <w:szCs w:val="21"/>
          <w:highlight w:val="none"/>
        </w:rPr>
        <w:t>至</w:t>
      </w:r>
      <w:r>
        <w:rPr>
          <w:rFonts w:hint="eastAsia" w:ascii="宋体" w:hAnsi="宋体" w:cs="宋体"/>
          <w:szCs w:val="21"/>
          <w:highlight w:val="none"/>
          <w:u w:val="single"/>
        </w:rPr>
        <w:t>23:59</w:t>
      </w:r>
      <w:r>
        <w:rPr>
          <w:rFonts w:hint="eastAsia" w:ascii="宋体" w:hAnsi="宋体" w:cs="宋体"/>
          <w:szCs w:val="21"/>
          <w:highlight w:val="none"/>
        </w:rPr>
        <w:t>（北京时间，线上获取法定节假日均可，线下获取文件法定节假日除外）。</w:t>
      </w:r>
    </w:p>
    <w:p>
      <w:pPr>
        <w:spacing w:line="348" w:lineRule="auto"/>
        <w:ind w:firstLine="540"/>
        <w:rPr>
          <w:rFonts w:ascii="宋体" w:hAnsi="宋体" w:cs="宋体"/>
          <w:szCs w:val="21"/>
          <w:highlight w:val="none"/>
          <w:u w:val="single"/>
        </w:rPr>
      </w:pPr>
      <w:r>
        <w:rPr>
          <w:rFonts w:hint="eastAsia" w:ascii="宋体" w:hAnsi="宋体" w:cs="宋体"/>
          <w:szCs w:val="21"/>
          <w:highlight w:val="none"/>
        </w:rPr>
        <w:t>2.地点（网址）：政府采购云平台（www.zcygov.cn）。</w:t>
      </w:r>
    </w:p>
    <w:p>
      <w:pPr>
        <w:spacing w:line="348" w:lineRule="auto"/>
        <w:ind w:firstLine="540"/>
        <w:rPr>
          <w:rFonts w:ascii="宋体" w:hAnsi="宋体" w:cs="宋体"/>
          <w:szCs w:val="21"/>
          <w:highlight w:val="none"/>
          <w:u w:val="single"/>
        </w:rPr>
      </w:pPr>
      <w:r>
        <w:rPr>
          <w:rFonts w:hint="eastAsia" w:ascii="宋体" w:hAnsi="宋体" w:cs="宋体"/>
          <w:szCs w:val="21"/>
          <w:highlight w:val="none"/>
        </w:rPr>
        <w:t>3.方式：供应商注册后直接登录“政府采购云平台”（www.zcygov.cn）下载电子招标文件。供应商未在规定时间内或未按上述方式获取招标文件的，其投标无效。</w:t>
      </w:r>
    </w:p>
    <w:p>
      <w:pPr>
        <w:spacing w:line="348" w:lineRule="auto"/>
        <w:ind w:firstLine="540"/>
        <w:rPr>
          <w:rFonts w:ascii="宋体" w:hAnsi="宋体" w:cs="宋体"/>
          <w:szCs w:val="21"/>
          <w:highlight w:val="none"/>
        </w:rPr>
      </w:pPr>
      <w:r>
        <w:rPr>
          <w:rFonts w:hint="eastAsia" w:ascii="宋体" w:hAnsi="宋体" w:cs="宋体"/>
          <w:szCs w:val="21"/>
          <w:highlight w:val="none"/>
        </w:rPr>
        <w:t>4.售价（元）：0</w:t>
      </w:r>
    </w:p>
    <w:p>
      <w:pPr>
        <w:pStyle w:val="4"/>
        <w:spacing w:before="0" w:after="0" w:line="348" w:lineRule="auto"/>
        <w:rPr>
          <w:rFonts w:ascii="宋体" w:hAnsi="宋体" w:eastAsia="宋体" w:cs="宋体"/>
          <w:sz w:val="21"/>
          <w:szCs w:val="21"/>
          <w:highlight w:val="none"/>
        </w:rPr>
      </w:pPr>
      <w:bookmarkStart w:id="15" w:name="_Toc28359082"/>
      <w:bookmarkStart w:id="16" w:name="_Toc28359005"/>
      <w:bookmarkStart w:id="17" w:name="_Toc35393793"/>
      <w:bookmarkStart w:id="18" w:name="_Toc35393624"/>
      <w:r>
        <w:rPr>
          <w:rFonts w:hint="eastAsia" w:ascii="宋体" w:hAnsi="宋体" w:eastAsia="宋体" w:cs="宋体"/>
          <w:sz w:val="21"/>
          <w:szCs w:val="21"/>
          <w:highlight w:val="none"/>
        </w:rPr>
        <w:t>四、提交投标文件</w:t>
      </w:r>
      <w:bookmarkEnd w:id="15"/>
      <w:bookmarkEnd w:id="16"/>
      <w:r>
        <w:rPr>
          <w:rFonts w:hint="eastAsia" w:ascii="宋体" w:hAnsi="宋体" w:eastAsia="宋体" w:cs="宋体"/>
          <w:sz w:val="21"/>
          <w:szCs w:val="21"/>
          <w:highlight w:val="none"/>
        </w:rPr>
        <w:t>截止时间、开标时间和地点</w:t>
      </w:r>
      <w:bookmarkEnd w:id="17"/>
      <w:bookmarkEnd w:id="18"/>
    </w:p>
    <w:p>
      <w:pPr>
        <w:spacing w:line="348" w:lineRule="auto"/>
        <w:ind w:firstLine="540"/>
        <w:rPr>
          <w:rFonts w:ascii="宋体" w:hAnsi="宋体" w:cs="宋体"/>
          <w:szCs w:val="21"/>
          <w:highlight w:val="none"/>
        </w:rPr>
      </w:pPr>
      <w:r>
        <w:rPr>
          <w:rFonts w:hint="eastAsia" w:ascii="宋体" w:hAnsi="宋体" w:cs="宋体"/>
          <w:szCs w:val="21"/>
          <w:highlight w:val="none"/>
        </w:rPr>
        <w:t>1.提交投标文件截止时间：</w:t>
      </w:r>
      <w:r>
        <w:rPr>
          <w:rFonts w:hint="eastAsia" w:ascii="宋体" w:hAnsi="宋体" w:cs="宋体"/>
          <w:szCs w:val="21"/>
          <w:highlight w:val="none"/>
          <w:lang w:eastAsia="zh-CN"/>
        </w:rPr>
        <w:t>2022年</w:t>
      </w:r>
      <w:r>
        <w:rPr>
          <w:rFonts w:hint="eastAsia" w:ascii="宋体" w:hAnsi="宋体" w:cs="宋体"/>
          <w:szCs w:val="21"/>
          <w:highlight w:val="none"/>
          <w:lang w:val="en-US" w:eastAsia="zh-CN"/>
        </w:rPr>
        <w:t>12</w:t>
      </w:r>
      <w:r>
        <w:rPr>
          <w:rFonts w:hint="eastAsia" w:ascii="宋体" w:hAnsi="宋体" w:cs="宋体"/>
          <w:szCs w:val="21"/>
          <w:highlight w:val="none"/>
          <w:lang w:eastAsia="zh-CN"/>
        </w:rPr>
        <w:t>月</w:t>
      </w:r>
      <w:r>
        <w:rPr>
          <w:rFonts w:hint="eastAsia" w:ascii="宋体" w:hAnsi="宋体" w:cs="宋体"/>
          <w:szCs w:val="21"/>
          <w:highlight w:val="none"/>
          <w:lang w:val="en-US" w:eastAsia="zh-CN"/>
        </w:rPr>
        <w:t>2</w:t>
      </w:r>
      <w:r>
        <w:rPr>
          <w:rFonts w:hint="eastAsia" w:ascii="宋体" w:hAnsi="宋体" w:cs="宋体"/>
          <w:szCs w:val="21"/>
          <w:highlight w:val="none"/>
          <w:lang w:eastAsia="zh-CN"/>
        </w:rPr>
        <w:t>日</w:t>
      </w:r>
      <w:r>
        <w:rPr>
          <w:rFonts w:hint="eastAsia" w:ascii="宋体" w:hAnsi="宋体" w:cs="宋体"/>
          <w:szCs w:val="21"/>
          <w:highlight w:val="none"/>
          <w:lang w:val="en-US" w:eastAsia="zh-CN"/>
        </w:rPr>
        <w:t>13</w:t>
      </w:r>
      <w:r>
        <w:rPr>
          <w:rFonts w:hint="eastAsia" w:ascii="宋体" w:hAnsi="宋体" w:cs="宋体"/>
          <w:szCs w:val="21"/>
          <w:highlight w:val="none"/>
          <w:lang w:eastAsia="zh-CN"/>
        </w:rPr>
        <w:t>:</w:t>
      </w:r>
      <w:r>
        <w:rPr>
          <w:rFonts w:hint="eastAsia" w:ascii="宋体" w:hAnsi="宋体" w:cs="宋体"/>
          <w:szCs w:val="21"/>
          <w:highlight w:val="none"/>
          <w:lang w:val="en-US" w:eastAsia="zh-CN"/>
        </w:rPr>
        <w:t>30</w:t>
      </w:r>
      <w:r>
        <w:rPr>
          <w:rFonts w:hint="eastAsia" w:ascii="宋体" w:hAnsi="宋体" w:cs="宋体"/>
          <w:szCs w:val="21"/>
          <w:highlight w:val="none"/>
        </w:rPr>
        <w:t>（北京时间）。</w:t>
      </w:r>
    </w:p>
    <w:p>
      <w:pPr>
        <w:spacing w:line="348" w:lineRule="auto"/>
        <w:ind w:firstLine="540"/>
        <w:rPr>
          <w:rFonts w:ascii="宋体" w:hAnsi="宋体" w:cs="宋体"/>
          <w:szCs w:val="21"/>
          <w:highlight w:val="none"/>
        </w:rPr>
      </w:pPr>
      <w:r>
        <w:rPr>
          <w:rFonts w:hint="eastAsia" w:ascii="宋体" w:hAnsi="宋体" w:cs="宋体"/>
          <w:szCs w:val="21"/>
          <w:highlight w:val="none"/>
        </w:rPr>
        <w:t>2.投标地点（网址）：</w:t>
      </w:r>
      <w:r>
        <w:rPr>
          <w:rFonts w:hint="eastAsia" w:ascii="宋体" w:hAnsi="宋体" w:cs="宋体"/>
          <w:szCs w:val="21"/>
          <w:highlight w:val="none"/>
          <w:u w:val="single"/>
        </w:rPr>
        <w:t>政府采购云平台（www.zcygov.cn）</w:t>
      </w:r>
      <w:r>
        <w:rPr>
          <w:rFonts w:hint="eastAsia" w:ascii="宋体" w:hAnsi="宋体" w:cs="宋体"/>
          <w:szCs w:val="21"/>
          <w:highlight w:val="none"/>
        </w:rPr>
        <w:t>。</w:t>
      </w:r>
    </w:p>
    <w:p>
      <w:pPr>
        <w:spacing w:line="348" w:lineRule="auto"/>
        <w:ind w:firstLine="540"/>
        <w:rPr>
          <w:rFonts w:hint="eastAsia" w:ascii="宋体" w:hAnsi="宋体" w:eastAsia="宋体" w:cs="宋体"/>
          <w:szCs w:val="21"/>
          <w:highlight w:val="none"/>
          <w:lang w:eastAsia="zh-CN"/>
        </w:rPr>
      </w:pPr>
      <w:r>
        <w:rPr>
          <w:rFonts w:hint="eastAsia" w:ascii="宋体" w:hAnsi="宋体" w:cs="宋体"/>
          <w:szCs w:val="21"/>
          <w:highlight w:val="none"/>
        </w:rPr>
        <w:t>3.开标时间：</w:t>
      </w:r>
      <w:r>
        <w:rPr>
          <w:rFonts w:hint="eastAsia" w:ascii="宋体" w:hAnsi="宋体" w:cs="宋体"/>
          <w:szCs w:val="21"/>
          <w:highlight w:val="none"/>
          <w:lang w:eastAsia="zh-CN"/>
        </w:rPr>
        <w:t>2022年</w:t>
      </w:r>
      <w:r>
        <w:rPr>
          <w:rFonts w:hint="eastAsia" w:ascii="宋体" w:hAnsi="宋体" w:cs="宋体"/>
          <w:szCs w:val="21"/>
          <w:highlight w:val="none"/>
          <w:lang w:val="en-US" w:eastAsia="zh-CN"/>
        </w:rPr>
        <w:t>12</w:t>
      </w:r>
      <w:r>
        <w:rPr>
          <w:rFonts w:hint="eastAsia" w:ascii="宋体" w:hAnsi="宋体" w:cs="宋体"/>
          <w:szCs w:val="21"/>
          <w:highlight w:val="none"/>
          <w:lang w:eastAsia="zh-CN"/>
        </w:rPr>
        <w:t>月</w:t>
      </w:r>
      <w:r>
        <w:rPr>
          <w:rFonts w:hint="eastAsia" w:ascii="宋体" w:hAnsi="宋体" w:cs="宋体"/>
          <w:szCs w:val="21"/>
          <w:highlight w:val="none"/>
          <w:lang w:val="en-US" w:eastAsia="zh-CN"/>
        </w:rPr>
        <w:t>2</w:t>
      </w:r>
      <w:r>
        <w:rPr>
          <w:rFonts w:hint="eastAsia" w:ascii="宋体" w:hAnsi="宋体" w:cs="宋体"/>
          <w:szCs w:val="21"/>
          <w:highlight w:val="none"/>
          <w:lang w:eastAsia="zh-CN"/>
        </w:rPr>
        <w:t>日</w:t>
      </w:r>
      <w:r>
        <w:rPr>
          <w:rFonts w:hint="eastAsia" w:ascii="宋体" w:hAnsi="宋体" w:cs="宋体"/>
          <w:szCs w:val="21"/>
          <w:highlight w:val="none"/>
          <w:lang w:val="en-US" w:eastAsia="zh-CN"/>
        </w:rPr>
        <w:t>13</w:t>
      </w:r>
      <w:r>
        <w:rPr>
          <w:rFonts w:hint="eastAsia" w:ascii="宋体" w:hAnsi="宋体" w:cs="宋体"/>
          <w:szCs w:val="21"/>
          <w:highlight w:val="none"/>
          <w:lang w:eastAsia="zh-CN"/>
        </w:rPr>
        <w:t>:</w:t>
      </w:r>
      <w:r>
        <w:rPr>
          <w:rFonts w:hint="eastAsia" w:ascii="宋体" w:hAnsi="宋体" w:cs="宋体"/>
          <w:szCs w:val="21"/>
          <w:highlight w:val="none"/>
          <w:lang w:val="en-US" w:eastAsia="zh-CN"/>
        </w:rPr>
        <w:t>30</w:t>
      </w:r>
    </w:p>
    <w:p>
      <w:pPr>
        <w:spacing w:line="348" w:lineRule="auto"/>
        <w:ind w:firstLine="540"/>
        <w:rPr>
          <w:rFonts w:ascii="宋体" w:hAnsi="宋体" w:cs="宋体"/>
          <w:szCs w:val="21"/>
          <w:highlight w:val="none"/>
        </w:rPr>
      </w:pPr>
      <w:r>
        <w:rPr>
          <w:rFonts w:hint="eastAsia" w:ascii="宋体" w:hAnsi="宋体" w:cs="宋体"/>
          <w:szCs w:val="21"/>
          <w:highlight w:val="none"/>
        </w:rPr>
        <w:t>4.开标地点（网址）：</w:t>
      </w:r>
      <w:r>
        <w:rPr>
          <w:rFonts w:hint="eastAsia" w:ascii="宋体" w:hAnsi="宋体" w:cs="宋体"/>
          <w:szCs w:val="21"/>
          <w:highlight w:val="none"/>
          <w:u w:val="single"/>
        </w:rPr>
        <w:t>政府采购云平台（www.zcygov.cn）</w:t>
      </w:r>
      <w:r>
        <w:rPr>
          <w:rFonts w:hint="eastAsia" w:ascii="宋体" w:hAnsi="宋体" w:cs="宋体"/>
          <w:szCs w:val="21"/>
          <w:highlight w:val="none"/>
        </w:rPr>
        <w:t>。</w:t>
      </w:r>
    </w:p>
    <w:p>
      <w:pPr>
        <w:pStyle w:val="4"/>
        <w:spacing w:before="0" w:after="0" w:line="348" w:lineRule="auto"/>
        <w:rPr>
          <w:rFonts w:ascii="宋体" w:hAnsi="宋体" w:eastAsia="宋体" w:cs="宋体"/>
          <w:sz w:val="21"/>
          <w:szCs w:val="21"/>
          <w:highlight w:val="none"/>
        </w:rPr>
      </w:pPr>
      <w:bookmarkStart w:id="19" w:name="_Toc35393625"/>
      <w:bookmarkStart w:id="20" w:name="_Toc28359084"/>
      <w:bookmarkStart w:id="21" w:name="_Toc35393794"/>
      <w:bookmarkStart w:id="22" w:name="_Toc28359007"/>
      <w:r>
        <w:rPr>
          <w:rFonts w:hint="eastAsia" w:ascii="宋体" w:hAnsi="宋体" w:eastAsia="宋体" w:cs="宋体"/>
          <w:sz w:val="21"/>
          <w:szCs w:val="21"/>
          <w:highlight w:val="none"/>
        </w:rPr>
        <w:t>五、公告期限</w:t>
      </w:r>
      <w:bookmarkEnd w:id="19"/>
      <w:bookmarkEnd w:id="20"/>
      <w:bookmarkEnd w:id="21"/>
      <w:bookmarkEnd w:id="22"/>
    </w:p>
    <w:p>
      <w:pPr>
        <w:spacing w:line="348" w:lineRule="auto"/>
        <w:ind w:firstLine="420" w:firstLineChars="200"/>
        <w:rPr>
          <w:rFonts w:ascii="宋体" w:hAnsi="宋体" w:cs="宋体"/>
          <w:kern w:val="0"/>
          <w:szCs w:val="21"/>
          <w:highlight w:val="none"/>
        </w:rPr>
      </w:pPr>
      <w:r>
        <w:rPr>
          <w:rFonts w:hint="eastAsia" w:ascii="宋体" w:hAnsi="宋体" w:cs="宋体"/>
          <w:kern w:val="0"/>
          <w:szCs w:val="21"/>
          <w:highlight w:val="none"/>
        </w:rPr>
        <w:t>自本公告发布之日起5个工作日。</w:t>
      </w:r>
    </w:p>
    <w:p>
      <w:pPr>
        <w:pStyle w:val="4"/>
        <w:spacing w:before="0" w:after="0" w:line="348" w:lineRule="auto"/>
        <w:rPr>
          <w:rFonts w:ascii="宋体" w:hAnsi="宋体" w:eastAsia="宋体" w:cs="宋体"/>
          <w:sz w:val="21"/>
          <w:szCs w:val="21"/>
          <w:highlight w:val="none"/>
        </w:rPr>
      </w:pPr>
      <w:bookmarkStart w:id="23" w:name="_Toc35393626"/>
      <w:bookmarkStart w:id="24" w:name="_Toc35393795"/>
      <w:r>
        <w:rPr>
          <w:rFonts w:hint="eastAsia" w:ascii="宋体" w:hAnsi="宋体" w:eastAsia="宋体" w:cs="宋体"/>
          <w:sz w:val="21"/>
          <w:szCs w:val="21"/>
          <w:highlight w:val="none"/>
        </w:rPr>
        <w:t>六、其他补充事宜</w:t>
      </w:r>
      <w:bookmarkEnd w:id="23"/>
      <w:bookmarkEnd w:id="24"/>
    </w:p>
    <w:p>
      <w:pPr>
        <w:widowControl/>
        <w:spacing w:line="348" w:lineRule="auto"/>
        <w:ind w:firstLine="420" w:firstLineChars="200"/>
        <w:rPr>
          <w:rFonts w:ascii="宋体" w:hAnsi="宋体" w:cs="宋体"/>
          <w:kern w:val="0"/>
          <w:szCs w:val="21"/>
          <w:highlight w:val="none"/>
        </w:rPr>
      </w:pPr>
      <w:r>
        <w:rPr>
          <w:rFonts w:hint="eastAsia" w:ascii="宋体" w:hAnsi="宋体" w:cs="宋体"/>
          <w:kern w:val="0"/>
          <w:szCs w:val="21"/>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line="348" w:lineRule="auto"/>
        <w:ind w:firstLine="420" w:firstLineChars="200"/>
        <w:rPr>
          <w:rFonts w:ascii="宋体" w:hAnsi="宋体" w:cs="宋体"/>
          <w:kern w:val="0"/>
          <w:szCs w:val="21"/>
          <w:highlight w:val="none"/>
        </w:rPr>
      </w:pPr>
      <w:r>
        <w:rPr>
          <w:rFonts w:hint="eastAsia" w:ascii="宋体" w:hAnsi="宋体" w:cs="宋体"/>
          <w:kern w:val="0"/>
          <w:szCs w:val="21"/>
          <w:highlight w:val="none"/>
        </w:rPr>
        <w:t>2.其他事项：</w:t>
      </w:r>
    </w:p>
    <w:p>
      <w:pPr>
        <w:widowControl/>
        <w:spacing w:line="348" w:lineRule="auto"/>
        <w:ind w:firstLine="420" w:firstLineChars="200"/>
        <w:rPr>
          <w:rFonts w:ascii="宋体" w:hAnsi="宋体" w:cs="宋体"/>
          <w:kern w:val="0"/>
          <w:szCs w:val="21"/>
          <w:highlight w:val="none"/>
        </w:rPr>
      </w:pPr>
      <w:r>
        <w:rPr>
          <w:rFonts w:hint="eastAsia" w:ascii="宋体" w:hAnsi="宋体" w:cs="宋体"/>
          <w:kern w:val="0"/>
          <w:szCs w:val="21"/>
          <w:highlight w:val="none"/>
        </w:rPr>
        <w:t>2.1落实的政策：</w:t>
      </w:r>
    </w:p>
    <w:p>
      <w:pPr>
        <w:widowControl/>
        <w:spacing w:line="348" w:lineRule="auto"/>
        <w:ind w:firstLine="420" w:firstLineChars="200"/>
        <w:rPr>
          <w:rFonts w:ascii="宋体" w:hAnsi="宋体" w:cs="宋体"/>
          <w:kern w:val="0"/>
          <w:szCs w:val="21"/>
          <w:highlight w:val="none"/>
        </w:rPr>
      </w:pPr>
      <w:r>
        <w:rPr>
          <w:rFonts w:hint="eastAsia" w:ascii="宋体" w:hAnsi="宋体" w:cs="宋体"/>
          <w:kern w:val="0"/>
          <w:szCs w:val="21"/>
          <w:highlight w:val="none"/>
        </w:rPr>
        <w:t>2.1.1执行中小企业扶持政策（监狱企业、残疾人福利性单位视同小微企业）；</w:t>
      </w:r>
    </w:p>
    <w:p>
      <w:pPr>
        <w:widowControl/>
        <w:spacing w:line="348" w:lineRule="auto"/>
        <w:ind w:firstLine="420" w:firstLineChars="200"/>
        <w:rPr>
          <w:rFonts w:ascii="宋体" w:hAnsi="宋体" w:cs="宋体"/>
          <w:kern w:val="0"/>
          <w:szCs w:val="21"/>
          <w:highlight w:val="none"/>
        </w:rPr>
      </w:pPr>
      <w:r>
        <w:rPr>
          <w:rFonts w:hint="eastAsia" w:ascii="宋体" w:hAnsi="宋体" w:cs="宋体"/>
          <w:kern w:val="0"/>
          <w:szCs w:val="21"/>
          <w:highlight w:val="none"/>
        </w:rPr>
        <w:t>2.2投标与开标注意事项</w:t>
      </w:r>
    </w:p>
    <w:p>
      <w:pPr>
        <w:widowControl/>
        <w:spacing w:line="348" w:lineRule="auto"/>
        <w:ind w:firstLine="420" w:firstLineChars="200"/>
        <w:rPr>
          <w:rFonts w:ascii="宋体" w:hAnsi="宋体" w:cs="宋体"/>
          <w:kern w:val="0"/>
          <w:szCs w:val="21"/>
          <w:highlight w:val="none"/>
        </w:rPr>
      </w:pPr>
      <w:r>
        <w:rPr>
          <w:rFonts w:hint="eastAsia" w:ascii="宋体" w:hAnsi="宋体" w:cs="宋体"/>
          <w:kern w:val="0"/>
          <w:szCs w:val="21"/>
          <w:highlight w:val="none"/>
        </w:rPr>
        <w:t>2.2.1本项目实行网上投标，采用电子投标文件。若供应商参与投标，自行承担投标一切费用。</w:t>
      </w:r>
    </w:p>
    <w:p>
      <w:pPr>
        <w:widowControl/>
        <w:spacing w:line="348" w:lineRule="auto"/>
        <w:ind w:firstLine="420" w:firstLineChars="200"/>
        <w:rPr>
          <w:rFonts w:ascii="宋体" w:hAnsi="宋体" w:cs="宋体"/>
          <w:kern w:val="0"/>
          <w:szCs w:val="21"/>
          <w:highlight w:val="none"/>
        </w:rPr>
      </w:pPr>
      <w:r>
        <w:rPr>
          <w:rFonts w:hint="eastAsia" w:ascii="宋体" w:hAnsi="宋体" w:cs="宋体"/>
          <w:kern w:val="0"/>
          <w:szCs w:val="21"/>
          <w:highlight w:val="none"/>
        </w:rPr>
        <w:t>2.2.2标前准备：因未办理CA数字证书等原因造成无法投标或投标失败等后果由供应商自行承担。</w:t>
      </w:r>
    </w:p>
    <w:p>
      <w:pPr>
        <w:widowControl/>
        <w:spacing w:line="348" w:lineRule="auto"/>
        <w:ind w:firstLine="420" w:firstLineChars="200"/>
        <w:rPr>
          <w:rFonts w:ascii="宋体" w:hAnsi="宋体" w:cs="宋体"/>
          <w:kern w:val="0"/>
          <w:szCs w:val="21"/>
          <w:highlight w:val="none"/>
        </w:rPr>
      </w:pPr>
      <w:r>
        <w:rPr>
          <w:rFonts w:hint="eastAsia" w:ascii="宋体" w:hAnsi="宋体" w:cs="宋体"/>
          <w:kern w:val="0"/>
          <w:szCs w:val="21"/>
          <w:highlight w:val="none"/>
        </w:rPr>
        <w:t>2.2.3投标文件制作：</w:t>
      </w:r>
    </w:p>
    <w:p>
      <w:pPr>
        <w:widowControl/>
        <w:spacing w:line="348" w:lineRule="auto"/>
        <w:ind w:firstLine="420" w:firstLineChars="200"/>
        <w:rPr>
          <w:rFonts w:ascii="宋体" w:hAnsi="宋体" w:cs="宋体"/>
          <w:kern w:val="0"/>
          <w:szCs w:val="21"/>
          <w:highlight w:val="none"/>
        </w:rPr>
      </w:pPr>
      <w:r>
        <w:rPr>
          <w:rFonts w:hint="eastAsia" w:ascii="宋体" w:hAnsi="宋体" w:cs="宋体"/>
          <w:kern w:val="0"/>
          <w:szCs w:val="21"/>
          <w:highlight w:val="none"/>
        </w:rPr>
        <w:t>2.2.3.1应按照本项目招标文件和政府采购云平台的要求编制、加密并递交投标文件。供应商在使用系统进行投标的过程中遇到涉及平台使用的任何问题，可致电政府采购云平台技术支持热线咨询，联系方式：400-8817190。</w:t>
      </w:r>
    </w:p>
    <w:p>
      <w:pPr>
        <w:widowControl/>
        <w:spacing w:line="348" w:lineRule="auto"/>
        <w:ind w:firstLine="420" w:firstLineChars="200"/>
        <w:rPr>
          <w:rFonts w:ascii="宋体" w:hAnsi="宋体" w:cs="宋体"/>
          <w:kern w:val="0"/>
          <w:szCs w:val="21"/>
          <w:highlight w:val="none"/>
        </w:rPr>
      </w:pPr>
      <w:r>
        <w:rPr>
          <w:rFonts w:hint="eastAsia" w:ascii="宋体" w:hAnsi="宋体" w:cs="宋体"/>
          <w:kern w:val="0"/>
          <w:szCs w:val="21"/>
          <w:highlight w:val="none"/>
        </w:rPr>
        <w:t>2.2.3.2供应商通过政府采购云平台电子投标工具制作投标文件，电子投标工具请供应商自行前往浙江政府采购网下载并安装，投标文件制作具体流程详见政府采购云平台。</w:t>
      </w:r>
    </w:p>
    <w:p>
      <w:pPr>
        <w:widowControl/>
        <w:spacing w:line="348" w:lineRule="auto"/>
        <w:ind w:firstLine="420" w:firstLineChars="200"/>
        <w:rPr>
          <w:rFonts w:ascii="宋体" w:hAnsi="宋体" w:cs="宋体"/>
          <w:kern w:val="0"/>
          <w:szCs w:val="21"/>
          <w:highlight w:val="none"/>
        </w:rPr>
      </w:pPr>
      <w:r>
        <w:rPr>
          <w:rFonts w:hint="eastAsia" w:ascii="宋体" w:hAnsi="宋体" w:cs="宋体"/>
          <w:kern w:val="0"/>
          <w:szCs w:val="21"/>
          <w:highlight w:val="none"/>
        </w:rPr>
        <w:t>2.2.3.3以U盘存储的电子备份投标文件1份，按政府采购云平台要求</w:t>
      </w:r>
      <w:r>
        <w:rPr>
          <w:rFonts w:hint="eastAsia" w:ascii="宋体" w:hAnsi="宋体" w:cs="宋体"/>
          <w:szCs w:val="21"/>
          <w:highlight w:val="none"/>
        </w:rPr>
        <w:t>制作的电子备份文件</w:t>
      </w:r>
      <w:r>
        <w:rPr>
          <w:rFonts w:hint="eastAsia" w:ascii="宋体" w:hAnsi="宋体" w:cs="宋体"/>
          <w:kern w:val="0"/>
          <w:szCs w:val="21"/>
          <w:highlight w:val="none"/>
        </w:rPr>
        <w:t>，以用于异常情况处理。</w:t>
      </w:r>
    </w:p>
    <w:p>
      <w:pPr>
        <w:spacing w:line="348" w:lineRule="auto"/>
        <w:ind w:firstLine="420"/>
        <w:rPr>
          <w:rFonts w:ascii="宋体" w:hAnsi="宋体" w:cs="宋体"/>
          <w:bCs/>
          <w:szCs w:val="21"/>
          <w:highlight w:val="none"/>
        </w:rPr>
      </w:pPr>
      <w:r>
        <w:rPr>
          <w:rFonts w:hint="eastAsia" w:ascii="宋体" w:hAnsi="宋体" w:cs="宋体"/>
          <w:kern w:val="0"/>
          <w:szCs w:val="21"/>
          <w:highlight w:val="none"/>
        </w:rPr>
        <w:t>2.3本招标公告附件中的招标文件仅供阅览使用，供应商应在规定的招标文件获取期限内在政采云平台登录供应商注册的账号后获取招标文件，未按上述方式获取招标文件的，不得对招标文件提起质疑投诉。</w:t>
      </w:r>
    </w:p>
    <w:p>
      <w:pPr>
        <w:widowControl/>
        <w:spacing w:line="348" w:lineRule="auto"/>
        <w:ind w:firstLine="420" w:firstLineChars="200"/>
        <w:rPr>
          <w:rFonts w:ascii="宋体" w:hAnsi="宋体" w:cs="宋体"/>
          <w:kern w:val="0"/>
          <w:szCs w:val="21"/>
          <w:highlight w:val="none"/>
        </w:rPr>
      </w:pPr>
      <w:r>
        <w:rPr>
          <w:rFonts w:hint="eastAsia" w:ascii="宋体" w:hAnsi="宋体" w:cs="宋体"/>
          <w:kern w:val="0"/>
          <w:szCs w:val="21"/>
          <w:highlight w:val="none"/>
        </w:rPr>
        <w:t>2.4供应商应于投标截止时间前将电子投标文件上传到政府采购云平台www.zcygov.cn，未上传电子投标文件，视为供应商放弃投标。</w:t>
      </w:r>
    </w:p>
    <w:p>
      <w:pPr>
        <w:widowControl/>
        <w:spacing w:line="348" w:lineRule="auto"/>
        <w:ind w:firstLine="420" w:firstLineChars="200"/>
        <w:rPr>
          <w:rFonts w:ascii="宋体" w:hAnsi="宋体" w:cs="宋体"/>
          <w:kern w:val="0"/>
          <w:szCs w:val="21"/>
          <w:highlight w:val="none"/>
        </w:rPr>
      </w:pPr>
      <w:r>
        <w:rPr>
          <w:rFonts w:hint="eastAsia" w:ascii="宋体" w:hAnsi="宋体" w:cs="宋体"/>
          <w:kern w:val="0"/>
          <w:szCs w:val="21"/>
          <w:highlight w:val="none"/>
        </w:rPr>
        <w:t>2.5供应商如提供备份投标文件的，应于提交投标文件截止时间前，将以U盘存储的电子备份投标文件密封，递交至</w:t>
      </w:r>
      <w:r>
        <w:rPr>
          <w:rFonts w:hint="eastAsia" w:ascii="宋体" w:hAnsi="宋体" w:cs="宋体"/>
          <w:szCs w:val="21"/>
          <w:highlight w:val="none"/>
          <w:u w:val="single"/>
        </w:rPr>
        <w:t>宁海县公共资源交易中心（宁海县桃源街道金水东路5号五楼，详见五楼大厅公告）</w:t>
      </w:r>
      <w:r>
        <w:rPr>
          <w:rFonts w:hint="eastAsia" w:ascii="宋体" w:hAnsi="宋体" w:cs="宋体"/>
          <w:kern w:val="0"/>
          <w:szCs w:val="21"/>
          <w:highlight w:val="none"/>
        </w:rPr>
        <w:t>，逾期送达或未密封将予以拒收。供应商仅提供以U盘存储的电子备份投标文件的，投标无效。</w:t>
      </w:r>
    </w:p>
    <w:p>
      <w:pPr>
        <w:widowControl/>
        <w:spacing w:line="348" w:lineRule="auto"/>
        <w:ind w:firstLine="420" w:firstLineChars="200"/>
        <w:rPr>
          <w:rFonts w:ascii="宋体" w:hAnsi="宋体" w:cs="宋体"/>
          <w:kern w:val="0"/>
          <w:szCs w:val="21"/>
          <w:highlight w:val="none"/>
        </w:rPr>
      </w:pPr>
      <w:r>
        <w:rPr>
          <w:rFonts w:hint="eastAsia" w:ascii="宋体" w:hAnsi="宋体" w:cs="宋体"/>
          <w:kern w:val="0"/>
          <w:szCs w:val="21"/>
          <w:highlight w:val="none"/>
        </w:rPr>
        <w:t>2.6采购代理机构将在招标文件规定的开标时间通过政府采购云平台组织开标、开启投标文件，所有供应商均应准时在线参加。开标时间后30分钟内供应商可以登录政府采购云平台www.zcygov.cn，用“项目采购-开标评标”功能进行解密投标文件。</w:t>
      </w:r>
    </w:p>
    <w:p>
      <w:pPr>
        <w:widowControl/>
        <w:spacing w:line="348" w:lineRule="auto"/>
        <w:ind w:firstLine="420" w:firstLineChars="200"/>
        <w:rPr>
          <w:rFonts w:ascii="宋体" w:hAnsi="宋体" w:cs="宋体"/>
          <w:kern w:val="0"/>
          <w:szCs w:val="21"/>
          <w:highlight w:val="none"/>
        </w:rPr>
      </w:pPr>
      <w:r>
        <w:rPr>
          <w:rFonts w:hint="eastAsia" w:ascii="宋体" w:hAnsi="宋体" w:cs="宋体"/>
          <w:kern w:val="0"/>
          <w:szCs w:val="21"/>
          <w:highlight w:val="none"/>
        </w:rPr>
        <w:t>2.7供应商可采用邮寄（含快递）方式或现场方式递交备份投标文件。</w:t>
      </w:r>
    </w:p>
    <w:p>
      <w:pPr>
        <w:widowControl/>
        <w:spacing w:line="348" w:lineRule="auto"/>
        <w:ind w:firstLine="420" w:firstLineChars="200"/>
        <w:rPr>
          <w:rFonts w:ascii="宋体" w:hAnsi="宋体" w:cs="宋体"/>
          <w:kern w:val="0"/>
          <w:szCs w:val="21"/>
          <w:highlight w:val="none"/>
        </w:rPr>
      </w:pPr>
      <w:r>
        <w:rPr>
          <w:rFonts w:hint="eastAsia" w:ascii="宋体" w:hAnsi="宋体" w:cs="宋体"/>
          <w:kern w:val="0"/>
          <w:szCs w:val="21"/>
          <w:highlight w:val="none"/>
        </w:rPr>
        <w:t>2.7.1采用邮寄方式递交备份投标文件，需按以下要求递交：</w:t>
      </w:r>
    </w:p>
    <w:p>
      <w:pPr>
        <w:widowControl/>
        <w:spacing w:line="348" w:lineRule="auto"/>
        <w:ind w:firstLine="420" w:firstLineChars="200"/>
        <w:rPr>
          <w:rFonts w:ascii="宋体" w:hAnsi="宋体" w:cs="宋体"/>
          <w:kern w:val="0"/>
          <w:szCs w:val="21"/>
          <w:highlight w:val="none"/>
        </w:rPr>
      </w:pPr>
      <w:r>
        <w:rPr>
          <w:rFonts w:hint="eastAsia" w:ascii="宋体" w:hAnsi="宋体" w:cs="宋体"/>
          <w:kern w:val="0"/>
          <w:szCs w:val="21"/>
          <w:highlight w:val="none"/>
        </w:rPr>
        <w:t>各供应商在投标截止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pPr>
        <w:widowControl/>
        <w:spacing w:line="348" w:lineRule="auto"/>
        <w:ind w:firstLine="420" w:firstLineChars="200"/>
        <w:rPr>
          <w:rFonts w:ascii="宋体" w:hAnsi="宋体" w:cs="宋体"/>
          <w:kern w:val="0"/>
          <w:szCs w:val="21"/>
          <w:highlight w:val="none"/>
        </w:rPr>
      </w:pPr>
      <w:r>
        <w:rPr>
          <w:rFonts w:hint="eastAsia" w:ascii="宋体" w:hAnsi="宋体" w:cs="宋体"/>
          <w:kern w:val="0"/>
          <w:szCs w:val="21"/>
          <w:highlight w:val="none"/>
        </w:rPr>
        <w:t>拟在2022年</w:t>
      </w:r>
      <w:r>
        <w:rPr>
          <w:rFonts w:hint="eastAsia" w:ascii="宋体" w:hAnsi="宋体" w:cs="宋体"/>
          <w:kern w:val="0"/>
          <w:szCs w:val="21"/>
          <w:highlight w:val="none"/>
          <w:lang w:val="en-US" w:eastAsia="zh-CN"/>
        </w:rPr>
        <w:t>12</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1</w:t>
      </w:r>
      <w:r>
        <w:rPr>
          <w:rFonts w:hint="eastAsia" w:ascii="宋体" w:hAnsi="宋体" w:cs="宋体"/>
          <w:kern w:val="0"/>
          <w:szCs w:val="21"/>
          <w:highlight w:val="none"/>
        </w:rPr>
        <w:t>日16:00（含）前到件的邮寄地址为：宁波市鄞州区天童南路666号中基大厦19楼业务六部；</w:t>
      </w:r>
    </w:p>
    <w:p>
      <w:pPr>
        <w:widowControl/>
        <w:tabs>
          <w:tab w:val="left" w:pos="5153"/>
        </w:tabs>
        <w:spacing w:line="348" w:lineRule="auto"/>
        <w:ind w:firstLine="420" w:firstLineChars="200"/>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收件人：</w:t>
      </w:r>
      <w:r>
        <w:rPr>
          <w:rFonts w:hint="eastAsia" w:ascii="宋体" w:hAnsi="宋体" w:cs="宋体"/>
          <w:kern w:val="0"/>
          <w:szCs w:val="21"/>
          <w:highlight w:val="none"/>
          <w:lang w:val="en-US" w:eastAsia="zh-CN"/>
        </w:rPr>
        <w:t>王</w:t>
      </w:r>
      <w:r>
        <w:rPr>
          <w:rFonts w:hint="eastAsia" w:ascii="宋体" w:hAnsi="宋体" w:cs="宋体"/>
          <w:kern w:val="0"/>
          <w:szCs w:val="21"/>
          <w:highlight w:val="none"/>
        </w:rPr>
        <w:t>工   联系方式：0574-87425</w:t>
      </w:r>
      <w:r>
        <w:rPr>
          <w:rFonts w:hint="eastAsia" w:ascii="宋体" w:hAnsi="宋体" w:cs="宋体"/>
          <w:kern w:val="0"/>
          <w:szCs w:val="21"/>
          <w:highlight w:val="none"/>
          <w:lang w:val="en-US" w:eastAsia="zh-CN"/>
        </w:rPr>
        <w:t>583</w:t>
      </w:r>
    </w:p>
    <w:p>
      <w:pPr>
        <w:widowControl/>
        <w:spacing w:line="348" w:lineRule="auto"/>
        <w:ind w:firstLine="420" w:firstLineChars="200"/>
        <w:rPr>
          <w:rFonts w:ascii="宋体" w:hAnsi="宋体" w:cs="宋体"/>
          <w:kern w:val="0"/>
          <w:szCs w:val="21"/>
          <w:highlight w:val="none"/>
        </w:rPr>
      </w:pPr>
      <w:r>
        <w:rPr>
          <w:rFonts w:hint="eastAsia" w:ascii="宋体" w:hAnsi="宋体" w:cs="宋体"/>
          <w:kern w:val="0"/>
          <w:szCs w:val="21"/>
          <w:highlight w:val="none"/>
        </w:rPr>
        <w:t>请各供应商确保密封包装在邮寄过程密封包装完好，因邮寄过程的密封破损造成不符合开标要求的，本采购代理及采购人概不负责。</w:t>
      </w:r>
    </w:p>
    <w:p>
      <w:pPr>
        <w:widowControl/>
        <w:spacing w:line="348" w:lineRule="auto"/>
        <w:ind w:firstLine="420" w:firstLineChars="200"/>
        <w:rPr>
          <w:rFonts w:ascii="宋体" w:hAnsi="宋体" w:cs="宋体"/>
          <w:kern w:val="0"/>
          <w:szCs w:val="21"/>
          <w:highlight w:val="none"/>
        </w:rPr>
      </w:pPr>
      <w:r>
        <w:rPr>
          <w:rFonts w:hint="eastAsia" w:ascii="宋体" w:hAnsi="宋体" w:cs="宋体"/>
          <w:kern w:val="0"/>
          <w:szCs w:val="21"/>
          <w:highlight w:val="none"/>
        </w:rPr>
        <w:t>2.7.2采用现场方式送达备份投标文件，需按以下要求递交：</w:t>
      </w:r>
    </w:p>
    <w:p>
      <w:pPr>
        <w:widowControl/>
        <w:spacing w:line="348" w:lineRule="auto"/>
        <w:ind w:firstLine="420" w:firstLineChars="200"/>
        <w:rPr>
          <w:rFonts w:ascii="宋体" w:hAnsi="宋体" w:cs="宋体"/>
          <w:kern w:val="0"/>
          <w:szCs w:val="21"/>
          <w:highlight w:val="none"/>
        </w:rPr>
      </w:pPr>
      <w:r>
        <w:rPr>
          <w:rFonts w:hint="eastAsia" w:ascii="宋体" w:hAnsi="宋体" w:cs="宋体"/>
          <w:kern w:val="0"/>
          <w:szCs w:val="21"/>
          <w:highlight w:val="none"/>
        </w:rPr>
        <w:t>所有供应商安排“健康码”为绿色的相关人员（原则上不超过一名）在投标截止时间前将备份投标文件送至：</w:t>
      </w:r>
      <w:r>
        <w:rPr>
          <w:rFonts w:hint="eastAsia" w:ascii="宋体" w:hAnsi="宋体" w:cs="宋体"/>
          <w:szCs w:val="21"/>
          <w:highlight w:val="none"/>
          <w:u w:val="single"/>
        </w:rPr>
        <w:t>宁海县公共资源交易中心（宁海县桃源街道金水东路5号五楼，详见五楼大厅公告）</w:t>
      </w:r>
      <w:r>
        <w:rPr>
          <w:rFonts w:hint="eastAsia" w:ascii="宋体" w:hAnsi="宋体" w:cs="宋体"/>
          <w:kern w:val="0"/>
          <w:szCs w:val="21"/>
          <w:highlight w:val="none"/>
        </w:rPr>
        <w:t>。投标文件递交时需同时递交供应商的法定代表人（或其委托代理人）联系方式，并保证开标期间联系方式的畅通。</w:t>
      </w:r>
    </w:p>
    <w:p>
      <w:pPr>
        <w:widowControl/>
        <w:spacing w:line="348" w:lineRule="auto"/>
        <w:ind w:firstLine="420" w:firstLineChars="200"/>
        <w:rPr>
          <w:rFonts w:ascii="宋体" w:hAnsi="宋体" w:cs="宋体"/>
          <w:kern w:val="0"/>
          <w:szCs w:val="21"/>
          <w:highlight w:val="none"/>
        </w:rPr>
      </w:pPr>
      <w:r>
        <w:rPr>
          <w:rFonts w:hint="eastAsia" w:ascii="宋体" w:hAnsi="宋体" w:cs="宋体"/>
          <w:kern w:val="0"/>
          <w:szCs w:val="21"/>
          <w:highlight w:val="none"/>
        </w:rPr>
        <w:t>2.8开标过程全程视频监控记录。</w:t>
      </w:r>
    </w:p>
    <w:p>
      <w:pPr>
        <w:widowControl/>
        <w:spacing w:line="348" w:lineRule="auto"/>
        <w:ind w:firstLine="420" w:firstLineChars="200"/>
        <w:rPr>
          <w:rFonts w:ascii="宋体" w:hAnsi="宋体" w:cs="宋体"/>
          <w:kern w:val="0"/>
          <w:szCs w:val="21"/>
          <w:highlight w:val="none"/>
        </w:rPr>
      </w:pPr>
      <w:r>
        <w:rPr>
          <w:rFonts w:hint="eastAsia" w:ascii="宋体" w:hAnsi="宋体" w:cs="宋体"/>
          <w:kern w:val="0"/>
          <w:szCs w:val="21"/>
          <w:highlight w:val="none"/>
        </w:rPr>
        <w:t>2.9投标人员须做好佩戴口罩、手套等防护措施，自觉接受体温检测、接受防疫询问，并如实报告相关情况。</w:t>
      </w:r>
    </w:p>
    <w:p>
      <w:pPr>
        <w:widowControl/>
        <w:spacing w:line="348" w:lineRule="auto"/>
        <w:ind w:firstLine="420" w:firstLineChars="200"/>
        <w:rPr>
          <w:rFonts w:ascii="宋体" w:hAnsi="宋体" w:cs="宋体"/>
          <w:kern w:val="0"/>
          <w:szCs w:val="21"/>
          <w:highlight w:val="none"/>
        </w:rPr>
      </w:pPr>
      <w:r>
        <w:rPr>
          <w:rFonts w:hint="eastAsia" w:ascii="宋体" w:hAnsi="宋体" w:cs="宋体"/>
          <w:kern w:val="0"/>
          <w:szCs w:val="21"/>
          <w:highlight w:val="none"/>
        </w:rPr>
        <w:t>2.10投标人员还需配合做好疫情防控“五个一律”：一律全面消毒、一律体温检测、一律承诺登记、一律按序办事、一律服从管理。</w:t>
      </w:r>
    </w:p>
    <w:p>
      <w:pPr>
        <w:spacing w:line="348" w:lineRule="auto"/>
        <w:ind w:firstLine="420"/>
        <w:rPr>
          <w:rFonts w:ascii="宋体" w:hAnsi="宋体" w:cs="宋体"/>
          <w:bCs/>
          <w:szCs w:val="21"/>
          <w:highlight w:val="none"/>
        </w:rPr>
      </w:pPr>
      <w:r>
        <w:rPr>
          <w:rFonts w:hint="eastAsia" w:ascii="宋体" w:hAnsi="宋体" w:cs="宋体"/>
          <w:bCs/>
          <w:szCs w:val="21"/>
          <w:highlight w:val="none"/>
        </w:rPr>
        <w:t>2.11如投标截止时间前疫情解除，上述第2.7-2.10条内容废止。</w:t>
      </w:r>
    </w:p>
    <w:p>
      <w:pPr>
        <w:widowControl/>
        <w:spacing w:line="348" w:lineRule="auto"/>
        <w:ind w:firstLine="420" w:firstLineChars="200"/>
        <w:rPr>
          <w:rFonts w:ascii="宋体" w:hAnsi="宋体" w:cs="宋体"/>
          <w:bCs/>
          <w:szCs w:val="21"/>
          <w:highlight w:val="none"/>
        </w:rPr>
      </w:pPr>
      <w:r>
        <w:rPr>
          <w:rFonts w:hint="eastAsia" w:ascii="宋体" w:hAnsi="宋体" w:cs="宋体"/>
          <w:bCs/>
          <w:szCs w:val="21"/>
          <w:highlight w:val="none"/>
        </w:rPr>
        <w:t>2.12肺炎防疫期间，请各供应商遵守</w:t>
      </w:r>
      <w:r>
        <w:rPr>
          <w:rFonts w:hint="eastAsia" w:ascii="宋体" w:hAnsi="宋体" w:cs="宋体"/>
          <w:kern w:val="0"/>
          <w:szCs w:val="21"/>
          <w:highlight w:val="none"/>
        </w:rPr>
        <w:t>宁波市宁海县公共资源交易中心</w:t>
      </w:r>
      <w:r>
        <w:rPr>
          <w:rFonts w:hint="eastAsia" w:ascii="宋体" w:hAnsi="宋体" w:cs="宋体"/>
          <w:bCs/>
          <w:szCs w:val="21"/>
          <w:highlight w:val="none"/>
        </w:rPr>
        <w:t>各项防疫措施规定。</w:t>
      </w:r>
    </w:p>
    <w:p>
      <w:pPr>
        <w:widowControl/>
        <w:spacing w:line="348" w:lineRule="auto"/>
        <w:ind w:firstLine="420" w:firstLineChars="200"/>
        <w:rPr>
          <w:rFonts w:ascii="宋体" w:hAnsi="宋体" w:cs="宋体"/>
          <w:kern w:val="0"/>
          <w:szCs w:val="21"/>
          <w:highlight w:val="none"/>
        </w:rPr>
      </w:pPr>
      <w:r>
        <w:rPr>
          <w:rFonts w:hint="eastAsia" w:ascii="宋体" w:hAnsi="宋体" w:cs="宋体"/>
          <w:bCs/>
          <w:szCs w:val="21"/>
          <w:highlight w:val="none"/>
        </w:rPr>
        <w:t>2.13</w:t>
      </w:r>
      <w:r>
        <w:rPr>
          <w:rFonts w:ascii="宋体" w:hAnsi="宋体" w:cs="宋体"/>
          <w:bCs/>
          <w:szCs w:val="21"/>
          <w:highlight w:val="none"/>
        </w:rPr>
        <w:t>本招标公告中二、申请人的资格要求：第一条中的“重大税收违法案件当事人名单”即为“重大税收违法失信主体”。</w:t>
      </w:r>
    </w:p>
    <w:p>
      <w:pPr>
        <w:pStyle w:val="4"/>
        <w:spacing w:before="0" w:after="0" w:line="348" w:lineRule="auto"/>
        <w:rPr>
          <w:rFonts w:ascii="宋体" w:hAnsi="宋体" w:eastAsia="宋体" w:cs="宋体"/>
          <w:sz w:val="21"/>
          <w:szCs w:val="21"/>
          <w:highlight w:val="none"/>
        </w:rPr>
      </w:pPr>
      <w:bookmarkStart w:id="25" w:name="_Toc35393796"/>
      <w:bookmarkStart w:id="26" w:name="_Toc35393627"/>
      <w:bookmarkStart w:id="27" w:name="_Toc28359085"/>
      <w:bookmarkStart w:id="28" w:name="_Toc28359008"/>
      <w:r>
        <w:rPr>
          <w:rFonts w:hint="eastAsia" w:ascii="宋体" w:hAnsi="宋体" w:eastAsia="宋体" w:cs="宋体"/>
          <w:sz w:val="21"/>
          <w:szCs w:val="21"/>
          <w:highlight w:val="none"/>
        </w:rPr>
        <w:t>七、对本次采购提出询问、质疑、投诉，请按以下方式联系。</w:t>
      </w:r>
      <w:bookmarkEnd w:id="25"/>
      <w:bookmarkEnd w:id="26"/>
      <w:bookmarkEnd w:id="27"/>
      <w:bookmarkEnd w:id="28"/>
    </w:p>
    <w:p>
      <w:pPr>
        <w:pStyle w:val="43"/>
        <w:spacing w:before="0" w:beforeAutospacing="0" w:after="0" w:afterAutospacing="0" w:line="348" w:lineRule="auto"/>
        <w:ind w:firstLine="420" w:firstLineChars="200"/>
        <w:rPr>
          <w:rFonts w:ascii="宋体" w:hAnsi="宋体" w:cs="宋体"/>
          <w:sz w:val="21"/>
          <w:szCs w:val="21"/>
          <w:highlight w:val="none"/>
        </w:rPr>
      </w:pPr>
      <w:r>
        <w:rPr>
          <w:rFonts w:hint="eastAsia" w:ascii="宋体" w:hAnsi="宋体" w:cs="宋体"/>
          <w:sz w:val="21"/>
          <w:szCs w:val="21"/>
          <w:highlight w:val="none"/>
        </w:rPr>
        <w:t>1.采购人信息</w:t>
      </w:r>
    </w:p>
    <w:p>
      <w:pPr>
        <w:pStyle w:val="43"/>
        <w:spacing w:before="0" w:beforeAutospacing="0" w:after="0" w:afterAutospacing="0" w:line="348" w:lineRule="auto"/>
        <w:ind w:firstLine="420" w:firstLineChars="200"/>
        <w:rPr>
          <w:rFonts w:hint="eastAsia" w:ascii="宋体" w:hAnsi="宋体" w:eastAsia="宋体" w:cs="宋体"/>
          <w:sz w:val="21"/>
          <w:szCs w:val="21"/>
          <w:highlight w:val="none"/>
          <w:lang w:eastAsia="zh-CN"/>
        </w:rPr>
      </w:pPr>
      <w:r>
        <w:rPr>
          <w:rFonts w:hint="eastAsia" w:ascii="宋体" w:hAnsi="宋体" w:cs="宋体"/>
          <w:sz w:val="21"/>
          <w:szCs w:val="21"/>
          <w:highlight w:val="none"/>
        </w:rPr>
        <w:t>名称：</w:t>
      </w:r>
      <w:r>
        <w:rPr>
          <w:rFonts w:hint="eastAsia" w:ascii="宋体" w:hAnsi="宋体" w:cs="宋体"/>
          <w:sz w:val="21"/>
          <w:szCs w:val="21"/>
          <w:highlight w:val="none"/>
          <w:lang w:eastAsia="zh-CN"/>
        </w:rPr>
        <w:t>宁海县人民政府桃源街道办事处</w:t>
      </w:r>
    </w:p>
    <w:p>
      <w:pPr>
        <w:pStyle w:val="43"/>
        <w:spacing w:before="0" w:beforeAutospacing="0" w:after="0" w:afterAutospacing="0" w:line="348" w:lineRule="auto"/>
        <w:ind w:firstLine="420" w:firstLineChars="200"/>
        <w:rPr>
          <w:rFonts w:ascii="宋体" w:hAnsi="宋体" w:cs="宋体"/>
          <w:sz w:val="21"/>
          <w:szCs w:val="21"/>
          <w:highlight w:val="none"/>
        </w:rPr>
      </w:pPr>
      <w:r>
        <w:rPr>
          <w:rFonts w:hint="eastAsia" w:ascii="宋体" w:hAnsi="宋体" w:cs="宋体"/>
          <w:sz w:val="21"/>
          <w:szCs w:val="21"/>
          <w:highlight w:val="none"/>
        </w:rPr>
        <w:t>地址：宁波市宁海县科二路189号</w:t>
      </w:r>
    </w:p>
    <w:p>
      <w:pPr>
        <w:pStyle w:val="43"/>
        <w:spacing w:before="0" w:beforeAutospacing="0" w:after="0" w:afterAutospacing="0" w:line="348" w:lineRule="auto"/>
        <w:ind w:firstLine="420" w:firstLineChars="200"/>
        <w:rPr>
          <w:rFonts w:ascii="宋体" w:hAnsi="宋体" w:cs="宋体"/>
          <w:sz w:val="21"/>
          <w:szCs w:val="21"/>
          <w:highlight w:val="none"/>
        </w:rPr>
      </w:pPr>
      <w:r>
        <w:rPr>
          <w:rFonts w:hint="eastAsia" w:ascii="宋体" w:hAnsi="宋体" w:cs="宋体"/>
          <w:sz w:val="21"/>
          <w:szCs w:val="21"/>
          <w:highlight w:val="none"/>
        </w:rPr>
        <w:t>传真：/</w:t>
      </w:r>
    </w:p>
    <w:p>
      <w:pPr>
        <w:pStyle w:val="43"/>
        <w:spacing w:before="0" w:beforeAutospacing="0" w:after="0" w:afterAutospacing="0" w:line="348" w:lineRule="auto"/>
        <w:ind w:firstLine="420" w:firstLineChars="200"/>
        <w:rPr>
          <w:rFonts w:hint="eastAsia" w:ascii="宋体" w:hAnsi="宋体" w:eastAsia="宋体" w:cs="宋体"/>
          <w:sz w:val="21"/>
          <w:szCs w:val="21"/>
          <w:highlight w:val="none"/>
          <w:lang w:eastAsia="zh-CN"/>
        </w:rPr>
      </w:pPr>
      <w:r>
        <w:rPr>
          <w:rFonts w:hint="eastAsia" w:ascii="宋体" w:hAnsi="宋体" w:cs="宋体"/>
          <w:sz w:val="21"/>
          <w:szCs w:val="21"/>
          <w:highlight w:val="none"/>
        </w:rPr>
        <w:t>项目联系人（询问）：</w:t>
      </w:r>
      <w:r>
        <w:rPr>
          <w:rFonts w:hint="eastAsia" w:ascii="宋体" w:hAnsi="宋体" w:cs="宋体"/>
          <w:sz w:val="21"/>
          <w:szCs w:val="21"/>
          <w:highlight w:val="none"/>
          <w:lang w:val="en-US" w:eastAsia="zh-CN"/>
        </w:rPr>
        <w:t xml:space="preserve">刘老师 </w:t>
      </w:r>
    </w:p>
    <w:p>
      <w:pPr>
        <w:pStyle w:val="43"/>
        <w:spacing w:before="0" w:beforeAutospacing="0" w:after="0" w:afterAutospacing="0" w:line="348" w:lineRule="auto"/>
        <w:ind w:firstLine="420" w:firstLineChars="200"/>
        <w:rPr>
          <w:rFonts w:hint="default" w:ascii="宋体" w:hAnsi="宋体" w:eastAsia="宋体" w:cs="宋体"/>
          <w:sz w:val="21"/>
          <w:szCs w:val="21"/>
          <w:highlight w:val="none"/>
          <w:lang w:val="en-US" w:eastAsia="zh-CN"/>
        </w:rPr>
      </w:pPr>
      <w:r>
        <w:rPr>
          <w:rFonts w:hint="eastAsia" w:ascii="宋体" w:hAnsi="宋体" w:cs="宋体"/>
          <w:sz w:val="21"/>
          <w:szCs w:val="21"/>
          <w:highlight w:val="none"/>
        </w:rPr>
        <w:t>项目联系方式（询问）：0574-</w:t>
      </w:r>
      <w:r>
        <w:rPr>
          <w:rFonts w:hint="eastAsia" w:ascii="宋体" w:hAnsi="宋体" w:cs="宋体"/>
          <w:sz w:val="21"/>
          <w:szCs w:val="21"/>
          <w:highlight w:val="none"/>
          <w:lang w:val="en-US" w:eastAsia="zh-CN"/>
        </w:rPr>
        <w:t>82539307</w:t>
      </w:r>
    </w:p>
    <w:p>
      <w:pPr>
        <w:pStyle w:val="43"/>
        <w:spacing w:before="0" w:beforeAutospacing="0" w:after="0" w:afterAutospacing="0" w:line="348" w:lineRule="auto"/>
        <w:ind w:firstLine="420" w:firstLineChars="200"/>
        <w:rPr>
          <w:rFonts w:hint="eastAsia" w:ascii="宋体" w:hAnsi="宋体" w:eastAsia="宋体" w:cs="宋体"/>
          <w:sz w:val="21"/>
          <w:szCs w:val="21"/>
          <w:highlight w:val="none"/>
          <w:lang w:eastAsia="zh-CN"/>
        </w:rPr>
      </w:pPr>
      <w:r>
        <w:rPr>
          <w:rFonts w:hint="eastAsia" w:ascii="宋体" w:hAnsi="宋体" w:cs="宋体"/>
          <w:sz w:val="21"/>
          <w:szCs w:val="21"/>
          <w:highlight w:val="none"/>
        </w:rPr>
        <w:t>质疑联系人：</w:t>
      </w:r>
      <w:r>
        <w:rPr>
          <w:rFonts w:hint="eastAsia" w:ascii="宋体" w:hAnsi="宋体" w:cs="宋体"/>
          <w:sz w:val="21"/>
          <w:szCs w:val="21"/>
          <w:highlight w:val="none"/>
          <w:lang w:val="en-US" w:eastAsia="zh-CN"/>
        </w:rPr>
        <w:t xml:space="preserve">蔡老师 </w:t>
      </w:r>
    </w:p>
    <w:p>
      <w:pPr>
        <w:pStyle w:val="43"/>
        <w:spacing w:before="0" w:beforeAutospacing="0" w:after="0" w:afterAutospacing="0" w:line="348" w:lineRule="auto"/>
        <w:ind w:firstLine="420" w:firstLineChars="200"/>
        <w:rPr>
          <w:rFonts w:hint="eastAsia" w:ascii="宋体" w:hAnsi="宋体" w:eastAsia="宋体" w:cs="宋体"/>
          <w:sz w:val="21"/>
          <w:szCs w:val="21"/>
          <w:highlight w:val="none"/>
          <w:lang w:eastAsia="zh-CN"/>
        </w:rPr>
      </w:pPr>
      <w:r>
        <w:rPr>
          <w:rFonts w:hint="eastAsia" w:ascii="宋体" w:hAnsi="宋体" w:cs="宋体"/>
          <w:sz w:val="21"/>
          <w:szCs w:val="21"/>
          <w:highlight w:val="none"/>
        </w:rPr>
        <w:t>质疑联系方式：0574-</w:t>
      </w:r>
      <w:r>
        <w:rPr>
          <w:rFonts w:hint="eastAsia" w:ascii="宋体" w:hAnsi="宋体" w:cs="宋体"/>
          <w:sz w:val="21"/>
          <w:szCs w:val="21"/>
          <w:highlight w:val="none"/>
          <w:lang w:val="en-US" w:eastAsia="zh-CN"/>
        </w:rPr>
        <w:t xml:space="preserve">65336012 </w:t>
      </w:r>
    </w:p>
    <w:p>
      <w:pPr>
        <w:pStyle w:val="43"/>
        <w:spacing w:before="0" w:beforeAutospacing="0" w:after="0" w:afterAutospacing="0" w:line="348" w:lineRule="auto"/>
        <w:ind w:firstLine="420" w:firstLineChars="200"/>
        <w:rPr>
          <w:rFonts w:ascii="宋体" w:hAnsi="宋体" w:cs="宋体"/>
          <w:sz w:val="21"/>
          <w:szCs w:val="21"/>
          <w:highlight w:val="none"/>
        </w:rPr>
      </w:pPr>
      <w:r>
        <w:rPr>
          <w:rFonts w:hint="eastAsia" w:ascii="宋体" w:hAnsi="宋体" w:cs="宋体"/>
          <w:sz w:val="21"/>
          <w:szCs w:val="21"/>
          <w:highlight w:val="none"/>
        </w:rPr>
        <w:t>2.采购代理机构信息</w:t>
      </w:r>
    </w:p>
    <w:p>
      <w:pPr>
        <w:pStyle w:val="43"/>
        <w:spacing w:before="0" w:beforeAutospacing="0" w:after="0" w:afterAutospacing="0" w:line="348" w:lineRule="auto"/>
        <w:ind w:firstLine="420" w:firstLineChars="200"/>
        <w:rPr>
          <w:rFonts w:ascii="宋体" w:hAnsi="宋体" w:cs="宋体"/>
          <w:sz w:val="21"/>
          <w:szCs w:val="21"/>
          <w:highlight w:val="none"/>
        </w:rPr>
      </w:pPr>
      <w:r>
        <w:rPr>
          <w:rFonts w:hint="eastAsia" w:ascii="宋体" w:hAnsi="宋体" w:cs="宋体"/>
          <w:sz w:val="21"/>
          <w:szCs w:val="21"/>
          <w:highlight w:val="none"/>
        </w:rPr>
        <w:t>名称：浙江中基正采管理咨询有限公司</w:t>
      </w:r>
    </w:p>
    <w:p>
      <w:pPr>
        <w:pStyle w:val="43"/>
        <w:spacing w:before="0" w:beforeAutospacing="0" w:after="0" w:afterAutospacing="0" w:line="348" w:lineRule="auto"/>
        <w:ind w:firstLine="420" w:firstLineChars="200"/>
        <w:rPr>
          <w:rFonts w:ascii="宋体" w:hAnsi="宋体" w:cs="宋体"/>
          <w:sz w:val="21"/>
          <w:szCs w:val="21"/>
          <w:highlight w:val="none"/>
        </w:rPr>
      </w:pPr>
      <w:r>
        <w:rPr>
          <w:rFonts w:hint="eastAsia" w:ascii="宋体" w:hAnsi="宋体" w:cs="宋体"/>
          <w:sz w:val="21"/>
          <w:szCs w:val="21"/>
          <w:highlight w:val="none"/>
        </w:rPr>
        <w:t>地址：宁波市鄞州区天童南路666号中基大厦19楼</w:t>
      </w:r>
    </w:p>
    <w:p>
      <w:pPr>
        <w:pStyle w:val="43"/>
        <w:spacing w:before="0" w:beforeAutospacing="0" w:after="0" w:afterAutospacing="0" w:line="348" w:lineRule="auto"/>
        <w:ind w:firstLine="420" w:firstLineChars="200"/>
        <w:rPr>
          <w:rFonts w:ascii="宋体" w:hAnsi="宋体" w:cs="宋体"/>
          <w:sz w:val="21"/>
          <w:szCs w:val="21"/>
          <w:highlight w:val="none"/>
        </w:rPr>
      </w:pPr>
      <w:r>
        <w:rPr>
          <w:rFonts w:hint="eastAsia" w:ascii="宋体" w:hAnsi="宋体" w:cs="宋体"/>
          <w:sz w:val="21"/>
          <w:szCs w:val="21"/>
          <w:highlight w:val="none"/>
        </w:rPr>
        <w:t>传真：0574-87425373</w:t>
      </w:r>
    </w:p>
    <w:p>
      <w:pPr>
        <w:pStyle w:val="43"/>
        <w:spacing w:before="0" w:beforeAutospacing="0" w:after="0" w:afterAutospacing="0" w:line="348" w:lineRule="auto"/>
        <w:ind w:firstLine="420" w:firstLineChars="200"/>
        <w:rPr>
          <w:rFonts w:ascii="宋体" w:hAnsi="宋体" w:cs="宋体"/>
          <w:sz w:val="21"/>
          <w:szCs w:val="21"/>
          <w:highlight w:val="none"/>
        </w:rPr>
      </w:pPr>
      <w:r>
        <w:rPr>
          <w:rFonts w:hint="eastAsia" w:ascii="宋体" w:hAnsi="宋体" w:cs="宋体"/>
          <w:sz w:val="21"/>
          <w:szCs w:val="21"/>
          <w:highlight w:val="none"/>
        </w:rPr>
        <w:t>项目联系人（询问）：王工</w:t>
      </w:r>
    </w:p>
    <w:p>
      <w:pPr>
        <w:pStyle w:val="43"/>
        <w:spacing w:before="0" w:beforeAutospacing="0" w:after="0" w:afterAutospacing="0" w:line="348" w:lineRule="auto"/>
        <w:ind w:firstLine="420" w:firstLineChars="200"/>
        <w:rPr>
          <w:rFonts w:hint="default" w:ascii="宋体" w:hAnsi="宋体" w:eastAsia="宋体" w:cs="宋体"/>
          <w:sz w:val="21"/>
          <w:szCs w:val="21"/>
          <w:highlight w:val="none"/>
          <w:lang w:val="en-US" w:eastAsia="zh-CN"/>
        </w:rPr>
      </w:pPr>
      <w:r>
        <w:rPr>
          <w:rFonts w:hint="eastAsia" w:ascii="宋体" w:hAnsi="宋体" w:cs="宋体"/>
          <w:sz w:val="21"/>
          <w:szCs w:val="21"/>
          <w:highlight w:val="none"/>
        </w:rPr>
        <w:t>项目联系方式（询问）：0574-874255</w:t>
      </w:r>
      <w:r>
        <w:rPr>
          <w:rFonts w:hint="eastAsia" w:ascii="宋体" w:hAnsi="宋体" w:cs="宋体"/>
          <w:sz w:val="21"/>
          <w:szCs w:val="21"/>
          <w:highlight w:val="none"/>
          <w:lang w:val="en-US" w:eastAsia="zh-CN"/>
        </w:rPr>
        <w:t>83</w:t>
      </w:r>
    </w:p>
    <w:p>
      <w:pPr>
        <w:pStyle w:val="43"/>
        <w:spacing w:before="0" w:beforeAutospacing="0" w:after="0" w:afterAutospacing="0" w:line="348" w:lineRule="auto"/>
        <w:ind w:firstLine="420" w:firstLineChars="200"/>
        <w:rPr>
          <w:rFonts w:ascii="宋体" w:hAnsi="宋体" w:cs="宋体"/>
          <w:sz w:val="21"/>
          <w:szCs w:val="21"/>
          <w:highlight w:val="none"/>
        </w:rPr>
      </w:pPr>
      <w:r>
        <w:rPr>
          <w:rFonts w:hint="eastAsia" w:ascii="宋体" w:hAnsi="宋体" w:cs="宋体"/>
          <w:sz w:val="21"/>
          <w:szCs w:val="21"/>
          <w:highlight w:val="none"/>
        </w:rPr>
        <w:t>质疑联系人：王燕</w:t>
      </w:r>
    </w:p>
    <w:p>
      <w:pPr>
        <w:pStyle w:val="43"/>
        <w:spacing w:before="0" w:beforeAutospacing="0" w:after="0" w:afterAutospacing="0" w:line="348" w:lineRule="auto"/>
        <w:ind w:firstLine="420" w:firstLineChars="200"/>
        <w:rPr>
          <w:rFonts w:hint="default" w:ascii="宋体" w:hAnsi="宋体" w:eastAsia="宋体" w:cs="宋体"/>
          <w:sz w:val="21"/>
          <w:szCs w:val="21"/>
          <w:highlight w:val="none"/>
          <w:lang w:val="en-US" w:eastAsia="zh-CN"/>
        </w:rPr>
      </w:pPr>
      <w:r>
        <w:rPr>
          <w:rFonts w:hint="eastAsia" w:ascii="宋体" w:hAnsi="宋体" w:cs="宋体"/>
          <w:sz w:val="21"/>
          <w:szCs w:val="21"/>
          <w:highlight w:val="none"/>
        </w:rPr>
        <w:t>质疑联系方式：0574-8742</w:t>
      </w:r>
      <w:r>
        <w:rPr>
          <w:rFonts w:hint="eastAsia" w:ascii="宋体" w:hAnsi="宋体" w:cs="宋体"/>
          <w:sz w:val="21"/>
          <w:szCs w:val="21"/>
          <w:highlight w:val="none"/>
          <w:lang w:val="en-US" w:eastAsia="zh-CN"/>
        </w:rPr>
        <w:t>6203</w:t>
      </w:r>
    </w:p>
    <w:p>
      <w:pPr>
        <w:pStyle w:val="43"/>
        <w:spacing w:before="0" w:beforeAutospacing="0" w:after="0" w:afterAutospacing="0" w:line="348" w:lineRule="auto"/>
        <w:ind w:firstLine="420" w:firstLineChars="200"/>
        <w:rPr>
          <w:rFonts w:ascii="宋体" w:hAnsi="宋体" w:cs="宋体"/>
          <w:sz w:val="21"/>
          <w:szCs w:val="21"/>
          <w:highlight w:val="none"/>
        </w:rPr>
      </w:pPr>
      <w:r>
        <w:rPr>
          <w:rFonts w:hint="eastAsia" w:ascii="宋体" w:hAnsi="宋体" w:cs="宋体"/>
          <w:sz w:val="21"/>
          <w:szCs w:val="21"/>
          <w:highlight w:val="none"/>
        </w:rPr>
        <w:t>3.同级政府采购监督管理部门</w:t>
      </w:r>
    </w:p>
    <w:p>
      <w:pPr>
        <w:pStyle w:val="43"/>
        <w:spacing w:before="0" w:beforeAutospacing="0" w:after="0" w:afterAutospacing="0" w:line="348" w:lineRule="auto"/>
        <w:ind w:firstLine="420" w:firstLineChars="200"/>
        <w:rPr>
          <w:rFonts w:ascii="宋体" w:hAnsi="宋体" w:cs="宋体"/>
          <w:sz w:val="21"/>
          <w:szCs w:val="21"/>
          <w:highlight w:val="none"/>
        </w:rPr>
      </w:pPr>
      <w:r>
        <w:rPr>
          <w:rFonts w:hint="eastAsia" w:ascii="宋体" w:hAnsi="宋体" w:cs="宋体"/>
          <w:sz w:val="21"/>
          <w:szCs w:val="21"/>
          <w:highlight w:val="none"/>
        </w:rPr>
        <w:t>名称：宁海县政府采购管理办公室</w:t>
      </w:r>
    </w:p>
    <w:p>
      <w:pPr>
        <w:pStyle w:val="43"/>
        <w:spacing w:before="0" w:beforeAutospacing="0" w:after="0" w:afterAutospacing="0" w:line="348" w:lineRule="auto"/>
        <w:ind w:firstLine="420" w:firstLineChars="200"/>
        <w:rPr>
          <w:rFonts w:ascii="宋体" w:hAnsi="宋体" w:cs="宋体"/>
          <w:sz w:val="21"/>
          <w:szCs w:val="21"/>
          <w:highlight w:val="none"/>
        </w:rPr>
      </w:pPr>
      <w:r>
        <w:rPr>
          <w:rFonts w:hint="eastAsia" w:ascii="宋体" w:hAnsi="宋体" w:cs="宋体"/>
          <w:sz w:val="21"/>
          <w:szCs w:val="21"/>
          <w:highlight w:val="none"/>
        </w:rPr>
        <w:t xml:space="preserve">地址：宁海县跃龙街道桃源中路218号 </w:t>
      </w:r>
    </w:p>
    <w:p>
      <w:pPr>
        <w:pStyle w:val="43"/>
        <w:spacing w:before="0" w:beforeAutospacing="0" w:after="0" w:afterAutospacing="0" w:line="348" w:lineRule="auto"/>
        <w:ind w:firstLine="420" w:firstLineChars="200"/>
        <w:rPr>
          <w:rFonts w:ascii="宋体" w:hAnsi="宋体" w:cs="宋体"/>
          <w:sz w:val="21"/>
          <w:szCs w:val="21"/>
          <w:highlight w:val="none"/>
        </w:rPr>
      </w:pPr>
      <w:r>
        <w:rPr>
          <w:rFonts w:hint="eastAsia" w:ascii="宋体" w:hAnsi="宋体" w:cs="宋体"/>
          <w:sz w:val="21"/>
          <w:szCs w:val="21"/>
          <w:highlight w:val="none"/>
        </w:rPr>
        <w:t>传真：0574-65265612</w:t>
      </w:r>
    </w:p>
    <w:p>
      <w:pPr>
        <w:pStyle w:val="43"/>
        <w:spacing w:before="0" w:beforeAutospacing="0" w:after="0" w:afterAutospacing="0" w:line="348" w:lineRule="auto"/>
        <w:ind w:firstLine="420" w:firstLineChars="200"/>
        <w:rPr>
          <w:rFonts w:ascii="宋体" w:hAnsi="宋体" w:cs="宋体"/>
          <w:sz w:val="21"/>
          <w:szCs w:val="21"/>
          <w:highlight w:val="none"/>
        </w:rPr>
      </w:pPr>
      <w:r>
        <w:rPr>
          <w:rFonts w:hint="eastAsia" w:ascii="宋体" w:hAnsi="宋体" w:cs="宋体"/>
          <w:sz w:val="21"/>
          <w:szCs w:val="21"/>
          <w:highlight w:val="none"/>
        </w:rPr>
        <w:t>联系人：王老师</w:t>
      </w:r>
    </w:p>
    <w:p>
      <w:pPr>
        <w:spacing w:line="348" w:lineRule="auto"/>
        <w:ind w:firstLine="420"/>
        <w:rPr>
          <w:rFonts w:ascii="宋体" w:hAnsi="宋体" w:cs="宋体"/>
          <w:szCs w:val="21"/>
          <w:highlight w:val="none"/>
        </w:rPr>
      </w:pPr>
      <w:r>
        <w:rPr>
          <w:rFonts w:hint="eastAsia" w:ascii="宋体" w:hAnsi="宋体" w:cs="宋体"/>
          <w:szCs w:val="21"/>
          <w:highlight w:val="none"/>
        </w:rPr>
        <w:t xml:space="preserve">监督投诉电话：0574-65265668 </w:t>
      </w:r>
    </w:p>
    <w:p>
      <w:pPr>
        <w:spacing w:line="348" w:lineRule="auto"/>
        <w:rPr>
          <w:highlight w:val="none"/>
        </w:rPr>
      </w:pPr>
    </w:p>
    <w:p>
      <w:pPr>
        <w:spacing w:line="348" w:lineRule="auto"/>
        <w:ind w:firstLine="420" w:firstLineChars="200"/>
        <w:rPr>
          <w:rFonts w:ascii="宋体" w:hAnsi="宋体" w:cs="宋体"/>
          <w:highlight w:val="none"/>
        </w:rPr>
      </w:pPr>
      <w:r>
        <w:rPr>
          <w:rFonts w:hint="eastAsia" w:ascii="宋体" w:hAnsi="宋体" w:cs="宋体"/>
          <w:highlight w:val="none"/>
        </w:rPr>
        <w:t>若对项目采购电子交易系统操作有疑问，可登录政采云（https://www.zcygov.cn/），点击右侧咨询小采，获取采小蜜智能服务管家帮助，或拨打政采云服务热线400-881-7190获取热线服务帮助。</w:t>
      </w:r>
    </w:p>
    <w:p>
      <w:pPr>
        <w:spacing w:line="348" w:lineRule="auto"/>
        <w:ind w:firstLine="420" w:firstLineChars="200"/>
        <w:rPr>
          <w:rFonts w:ascii="宋体" w:hAnsi="宋体" w:cs="宋体"/>
          <w:b/>
          <w:bCs/>
          <w:sz w:val="28"/>
          <w:szCs w:val="28"/>
          <w:highlight w:val="none"/>
        </w:rPr>
      </w:pPr>
      <w:r>
        <w:rPr>
          <w:rFonts w:hint="eastAsia" w:ascii="宋体" w:hAnsi="宋体" w:cs="宋体"/>
          <w:highlight w:val="none"/>
        </w:rPr>
        <w:t>CA问题联系电话（人工）：汇信CA 400-888-4636；天谷CA 400-087-8198。</w:t>
      </w:r>
    </w:p>
    <w:p>
      <w:pPr>
        <w:spacing w:line="360" w:lineRule="auto"/>
        <w:ind w:firstLine="420" w:firstLineChars="200"/>
        <w:jc w:val="right"/>
        <w:rPr>
          <w:rFonts w:ascii="宋体" w:hAnsi="宋体" w:cs="宋体"/>
          <w:szCs w:val="21"/>
          <w:highlight w:val="none"/>
        </w:rPr>
      </w:pPr>
    </w:p>
    <w:p>
      <w:pPr>
        <w:pStyle w:val="27"/>
        <w:snapToGrid w:val="0"/>
        <w:spacing w:beforeLines="0" w:afterLines="0" w:line="360" w:lineRule="auto"/>
        <w:jc w:val="center"/>
        <w:outlineLvl w:val="0"/>
        <w:rPr>
          <w:rFonts w:hint="default" w:hAnsi="宋体" w:cs="宋体"/>
          <w:sz w:val="32"/>
          <w:szCs w:val="32"/>
          <w:highlight w:val="none"/>
        </w:rPr>
      </w:pPr>
      <w:r>
        <w:rPr>
          <w:rFonts w:hAnsi="宋体" w:cs="宋体"/>
          <w:b/>
          <w:bCs/>
          <w:sz w:val="32"/>
          <w:szCs w:val="32"/>
          <w:highlight w:val="none"/>
        </w:rPr>
        <w:br w:type="page"/>
      </w:r>
      <w:bookmarkStart w:id="29" w:name="_Toc21866"/>
      <w:r>
        <w:rPr>
          <w:rFonts w:hAnsi="宋体" w:cs="宋体"/>
          <w:b/>
          <w:sz w:val="32"/>
          <w:szCs w:val="32"/>
          <w:highlight w:val="none"/>
        </w:rPr>
        <w:t>第二章  采购需求</w:t>
      </w:r>
      <w:bookmarkEnd w:id="29"/>
    </w:p>
    <w:p>
      <w:pPr>
        <w:spacing w:line="360" w:lineRule="auto"/>
        <w:jc w:val="center"/>
        <w:rPr>
          <w:rFonts w:ascii="宋体" w:hAnsi="宋体" w:cs="宋体"/>
          <w:b/>
          <w:sz w:val="24"/>
          <w:highlight w:val="none"/>
        </w:rPr>
      </w:pPr>
      <w:r>
        <w:rPr>
          <w:rFonts w:hint="eastAsia" w:ascii="宋体" w:hAnsi="宋体" w:cs="宋体"/>
          <w:b/>
          <w:sz w:val="24"/>
          <w:highlight w:val="none"/>
        </w:rPr>
        <w:t>前附表</w:t>
      </w:r>
    </w:p>
    <w:tbl>
      <w:tblPr>
        <w:tblStyle w:val="46"/>
        <w:tblW w:w="8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400"/>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13" w:type="dxa"/>
            <w:vAlign w:val="center"/>
          </w:tcPr>
          <w:p>
            <w:pPr>
              <w:spacing w:line="360" w:lineRule="auto"/>
              <w:jc w:val="center"/>
              <w:rPr>
                <w:rFonts w:ascii="宋体" w:hAnsi="宋体" w:cs="宋体"/>
                <w:b/>
                <w:szCs w:val="21"/>
                <w:highlight w:val="none"/>
              </w:rPr>
            </w:pPr>
            <w:r>
              <w:rPr>
                <w:rFonts w:hint="eastAsia" w:ascii="宋体" w:hAnsi="宋体" w:cs="宋体"/>
                <w:b/>
                <w:szCs w:val="21"/>
                <w:highlight w:val="none"/>
              </w:rPr>
              <w:t>序号</w:t>
            </w:r>
          </w:p>
        </w:tc>
        <w:tc>
          <w:tcPr>
            <w:tcW w:w="2400" w:type="dxa"/>
            <w:vAlign w:val="center"/>
          </w:tcPr>
          <w:p>
            <w:pPr>
              <w:spacing w:line="360" w:lineRule="auto"/>
              <w:jc w:val="center"/>
              <w:rPr>
                <w:rFonts w:ascii="宋体" w:hAnsi="宋体" w:cs="宋体"/>
                <w:b/>
                <w:szCs w:val="21"/>
                <w:highlight w:val="none"/>
              </w:rPr>
            </w:pPr>
            <w:r>
              <w:rPr>
                <w:rFonts w:hint="eastAsia" w:ascii="宋体" w:hAnsi="宋体" w:cs="宋体"/>
                <w:b/>
                <w:szCs w:val="21"/>
                <w:highlight w:val="none"/>
              </w:rPr>
              <w:t>项目</w:t>
            </w:r>
          </w:p>
        </w:tc>
        <w:tc>
          <w:tcPr>
            <w:tcW w:w="5253" w:type="dxa"/>
            <w:vAlign w:val="center"/>
          </w:tcPr>
          <w:p>
            <w:pPr>
              <w:spacing w:line="360" w:lineRule="auto"/>
              <w:jc w:val="center"/>
              <w:rPr>
                <w:rFonts w:ascii="宋体" w:hAnsi="宋体" w:cs="宋体"/>
                <w:b/>
                <w:szCs w:val="21"/>
                <w:highlight w:val="none"/>
              </w:rPr>
            </w:pPr>
            <w:r>
              <w:rPr>
                <w:rFonts w:hint="eastAsia" w:ascii="宋体" w:hAnsi="宋体" w:cs="宋体"/>
                <w:b/>
                <w:szCs w:val="21"/>
                <w:highlight w:val="none"/>
              </w:rPr>
              <w:t>采购需求内容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ascii="宋体" w:hAnsi="宋体" w:cs="宋体"/>
                <w:szCs w:val="21"/>
                <w:highlight w:val="none"/>
              </w:rPr>
            </w:pPr>
            <w:r>
              <w:rPr>
                <w:rFonts w:hint="eastAsia" w:ascii="宋体" w:hAnsi="宋体" w:eastAsia="宋体" w:cs="宋体"/>
                <w:color w:val="auto"/>
                <w:szCs w:val="21"/>
                <w:highlight w:val="none"/>
              </w:rPr>
              <w:t>1</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336" w:lineRule="auto"/>
              <w:jc w:val="left"/>
              <w:rPr>
                <w:rFonts w:ascii="宋体" w:hAnsi="宋体" w:cs="宋体"/>
                <w:szCs w:val="21"/>
                <w:highlight w:val="none"/>
              </w:rPr>
            </w:pPr>
            <w:r>
              <w:rPr>
                <w:rFonts w:hint="eastAsia" w:ascii="宋体" w:hAnsi="宋体" w:eastAsia="宋体" w:cs="宋体"/>
                <w:color w:val="auto"/>
                <w:szCs w:val="21"/>
                <w:highlight w:val="none"/>
              </w:rPr>
              <w:t>采购内容</w:t>
            </w:r>
          </w:p>
        </w:tc>
        <w:tc>
          <w:tcPr>
            <w:tcW w:w="5253" w:type="dxa"/>
            <w:vAlign w:val="center"/>
          </w:tcPr>
          <w:p>
            <w:pPr>
              <w:keepNext w:val="0"/>
              <w:keepLines w:val="0"/>
              <w:pageBreakBefore w:val="0"/>
              <w:widowControl w:val="0"/>
              <w:kinsoku/>
              <w:wordWrap/>
              <w:overflowPunct/>
              <w:topLinePunct w:val="0"/>
              <w:autoSpaceDE/>
              <w:autoSpaceDN/>
              <w:bidi w:val="0"/>
              <w:adjustRightInd/>
              <w:snapToGrid/>
              <w:spacing w:line="336" w:lineRule="auto"/>
              <w:jc w:val="both"/>
              <w:rPr>
                <w:rFonts w:ascii="宋体" w:hAnsi="宋体" w:cs="宋体"/>
                <w:szCs w:val="21"/>
                <w:highlight w:val="none"/>
              </w:rPr>
            </w:pPr>
            <w:r>
              <w:rPr>
                <w:rFonts w:hint="eastAsia" w:ascii="宋体" w:hAnsi="宋体" w:eastAsia="宋体" w:cs="宋体"/>
                <w:bCs/>
                <w:color w:val="auto"/>
                <w:szCs w:val="21"/>
                <w:highlight w:val="none"/>
              </w:rPr>
              <w:t>详见</w:t>
            </w:r>
            <w:r>
              <w:rPr>
                <w:rFonts w:hint="eastAsia" w:ascii="宋体" w:hAnsi="宋体" w:eastAsia="宋体" w:cs="宋体"/>
                <w:color w:val="auto"/>
                <w:szCs w:val="21"/>
                <w:highlight w:val="none"/>
              </w:rPr>
              <w:t>第一章 《</w:t>
            </w:r>
            <w:r>
              <w:rPr>
                <w:rFonts w:hint="eastAsia" w:ascii="宋体" w:hAnsi="宋体" w:eastAsia="宋体" w:cs="宋体"/>
                <w:color w:val="auto"/>
                <w:szCs w:val="21"/>
                <w:highlight w:val="none"/>
                <w:lang w:eastAsia="zh-CN"/>
              </w:rPr>
              <w:t>公开招标公告</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ascii="宋体" w:hAnsi="宋体" w:cs="宋体"/>
                <w:szCs w:val="21"/>
                <w:highlight w:val="none"/>
              </w:rPr>
            </w:pPr>
            <w:r>
              <w:rPr>
                <w:rFonts w:hint="eastAsia" w:ascii="宋体" w:hAnsi="宋体" w:eastAsia="宋体" w:cs="宋体"/>
                <w:color w:val="auto"/>
                <w:szCs w:val="21"/>
                <w:highlight w:val="none"/>
              </w:rPr>
              <w:t>2</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336" w:lineRule="auto"/>
              <w:jc w:val="left"/>
              <w:rPr>
                <w:rFonts w:ascii="宋体" w:hAnsi="宋体" w:cs="宋体"/>
                <w:szCs w:val="21"/>
                <w:highlight w:val="none"/>
              </w:rPr>
            </w:pPr>
            <w:r>
              <w:rPr>
                <w:rFonts w:hint="eastAsia" w:ascii="宋体" w:hAnsi="宋体" w:eastAsia="宋体" w:cs="宋体"/>
                <w:color w:val="auto"/>
                <w:szCs w:val="21"/>
                <w:highlight w:val="none"/>
              </w:rPr>
              <w:t>单位及数量</w:t>
            </w:r>
          </w:p>
        </w:tc>
        <w:tc>
          <w:tcPr>
            <w:tcW w:w="5253" w:type="dxa"/>
            <w:vAlign w:val="center"/>
          </w:tcPr>
          <w:p>
            <w:pPr>
              <w:keepNext w:val="0"/>
              <w:keepLines w:val="0"/>
              <w:pageBreakBefore w:val="0"/>
              <w:widowControl w:val="0"/>
              <w:kinsoku/>
              <w:wordWrap/>
              <w:overflowPunct/>
              <w:topLinePunct w:val="0"/>
              <w:autoSpaceDE/>
              <w:autoSpaceDN/>
              <w:bidi w:val="0"/>
              <w:adjustRightInd/>
              <w:snapToGrid/>
              <w:spacing w:line="336" w:lineRule="auto"/>
              <w:jc w:val="both"/>
              <w:rPr>
                <w:rFonts w:ascii="宋体" w:hAnsi="宋体" w:cs="宋体"/>
                <w:szCs w:val="21"/>
                <w:highlight w:val="none"/>
              </w:rPr>
            </w:pPr>
            <w:r>
              <w:rPr>
                <w:rFonts w:hint="eastAsia" w:ascii="宋体" w:hAnsi="宋体" w:eastAsia="宋体" w:cs="宋体"/>
                <w:bCs/>
                <w:color w:val="auto"/>
                <w:szCs w:val="21"/>
                <w:highlight w:val="none"/>
              </w:rPr>
              <w:t>详见</w:t>
            </w:r>
            <w:r>
              <w:rPr>
                <w:rFonts w:hint="eastAsia" w:ascii="宋体" w:hAnsi="宋体" w:eastAsia="宋体" w:cs="宋体"/>
                <w:color w:val="auto"/>
                <w:szCs w:val="21"/>
                <w:highlight w:val="none"/>
              </w:rPr>
              <w:t>第一章 《</w:t>
            </w:r>
            <w:r>
              <w:rPr>
                <w:rFonts w:hint="eastAsia" w:ascii="宋体" w:hAnsi="宋体" w:eastAsia="宋体" w:cs="宋体"/>
                <w:color w:val="auto"/>
                <w:szCs w:val="21"/>
                <w:highlight w:val="none"/>
                <w:lang w:eastAsia="zh-CN"/>
              </w:rPr>
              <w:t>公开招标公告</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ascii="宋体" w:hAnsi="宋体" w:cs="宋体"/>
                <w:szCs w:val="21"/>
                <w:highlight w:val="none"/>
              </w:rPr>
            </w:pPr>
            <w:r>
              <w:rPr>
                <w:rFonts w:hint="eastAsia" w:ascii="宋体" w:hAnsi="宋体" w:eastAsia="宋体" w:cs="宋体"/>
                <w:color w:val="auto"/>
                <w:szCs w:val="21"/>
                <w:highlight w:val="none"/>
              </w:rPr>
              <w:t>3</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336" w:lineRule="auto"/>
              <w:jc w:val="left"/>
              <w:textAlignment w:val="baseline"/>
              <w:rPr>
                <w:rFonts w:ascii="宋体" w:hAnsi="宋体" w:cs="宋体"/>
                <w:szCs w:val="21"/>
                <w:highlight w:val="none"/>
              </w:rPr>
            </w:pPr>
            <w:r>
              <w:rPr>
                <w:rFonts w:hint="eastAsia" w:ascii="宋体" w:hAnsi="宋体" w:eastAsia="宋体" w:cs="宋体"/>
                <w:color w:val="auto"/>
                <w:szCs w:val="21"/>
                <w:highlight w:val="none"/>
              </w:rPr>
              <w:t>交付或者实施的时间和地点</w:t>
            </w:r>
          </w:p>
        </w:tc>
        <w:tc>
          <w:tcPr>
            <w:tcW w:w="5253" w:type="dxa"/>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336" w:lineRule="auto"/>
              <w:jc w:val="both"/>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eastAsia="zh-CN"/>
              </w:rPr>
              <w:t>合同履行期限</w:t>
            </w:r>
            <w:r>
              <w:rPr>
                <w:rFonts w:hint="eastAsia" w:ascii="宋体" w:hAnsi="宋体" w:cs="宋体"/>
                <w:b w:val="0"/>
                <w:bCs w:val="0"/>
                <w:color w:val="auto"/>
                <w:szCs w:val="21"/>
                <w:highlight w:val="none"/>
              </w:rPr>
              <w:t>：详见第一章 《</w:t>
            </w:r>
            <w:r>
              <w:rPr>
                <w:rFonts w:hint="eastAsia" w:ascii="宋体" w:hAnsi="宋体" w:cs="宋体"/>
                <w:b w:val="0"/>
                <w:bCs w:val="0"/>
                <w:color w:val="auto"/>
                <w:szCs w:val="21"/>
                <w:highlight w:val="none"/>
                <w:lang w:eastAsia="zh-CN"/>
              </w:rPr>
              <w:t>公开招标公告</w:t>
            </w:r>
            <w:r>
              <w:rPr>
                <w:rFonts w:hint="eastAsia" w:ascii="宋体" w:hAnsi="宋体" w:cs="宋体"/>
                <w:b w:val="0"/>
                <w:bCs w:val="0"/>
                <w:color w:val="auto"/>
                <w:szCs w:val="21"/>
                <w:highlight w:val="none"/>
              </w:rPr>
              <w:t>》</w:t>
            </w:r>
          </w:p>
          <w:p>
            <w:pPr>
              <w:keepNext w:val="0"/>
              <w:keepLines w:val="0"/>
              <w:pageBreakBefore w:val="0"/>
              <w:widowControl w:val="0"/>
              <w:numPr>
                <w:ilvl w:val="0"/>
                <w:numId w:val="6"/>
              </w:numPr>
              <w:kinsoku/>
              <w:wordWrap/>
              <w:overflowPunct/>
              <w:topLinePunct w:val="0"/>
              <w:autoSpaceDE/>
              <w:autoSpaceDN/>
              <w:bidi w:val="0"/>
              <w:adjustRightInd/>
              <w:snapToGrid/>
              <w:spacing w:line="336" w:lineRule="auto"/>
              <w:jc w:val="both"/>
              <w:rPr>
                <w:rFonts w:ascii="宋体" w:hAnsi="宋体" w:cs="宋体"/>
                <w:szCs w:val="21"/>
                <w:highlight w:val="none"/>
              </w:rPr>
            </w:pPr>
            <w:r>
              <w:rPr>
                <w:rFonts w:hint="eastAsia" w:ascii="宋体" w:hAnsi="宋体" w:cs="宋体"/>
                <w:b w:val="0"/>
                <w:bCs w:val="0"/>
                <w:color w:val="auto"/>
                <w:szCs w:val="21"/>
                <w:highlight w:val="none"/>
              </w:rPr>
              <w:t>实施地点：详见本章内容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ascii="宋体" w:hAnsi="宋体" w:cs="宋体"/>
                <w:szCs w:val="21"/>
                <w:highlight w:val="none"/>
              </w:rPr>
            </w:pPr>
            <w:r>
              <w:rPr>
                <w:rFonts w:hint="eastAsia" w:ascii="宋体" w:hAnsi="宋体" w:eastAsia="宋体" w:cs="宋体"/>
                <w:color w:val="auto"/>
                <w:szCs w:val="21"/>
                <w:highlight w:val="none"/>
              </w:rPr>
              <w:t>4</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336" w:lineRule="auto"/>
              <w:jc w:val="left"/>
              <w:textAlignment w:val="baseline"/>
              <w:rPr>
                <w:rFonts w:ascii="宋体" w:hAnsi="宋体" w:cs="宋体"/>
                <w:szCs w:val="21"/>
                <w:highlight w:val="none"/>
              </w:rPr>
            </w:pPr>
            <w:r>
              <w:rPr>
                <w:rFonts w:hint="eastAsia" w:ascii="宋体" w:hAnsi="宋体" w:eastAsia="宋体" w:cs="宋体"/>
                <w:color w:val="auto"/>
                <w:szCs w:val="21"/>
                <w:highlight w:val="none"/>
              </w:rPr>
              <w:t>需实现的功能或者目标</w:t>
            </w:r>
          </w:p>
        </w:tc>
        <w:tc>
          <w:tcPr>
            <w:tcW w:w="5253" w:type="dxa"/>
            <w:vAlign w:val="center"/>
          </w:tcPr>
          <w:p>
            <w:pPr>
              <w:numPr>
                <w:ilvl w:val="0"/>
                <w:numId w:val="7"/>
              </w:num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通过本次公开招标，促进保洁质量考核体系的完善。一是各类保洁项目作业要求的标准化，二是考核内容的标准量化，三是考核分与保洁经费的挂钩。</w:t>
            </w:r>
          </w:p>
          <w:p>
            <w:pPr>
              <w:numPr>
                <w:ilvl w:val="0"/>
                <w:numId w:val="7"/>
              </w:numPr>
              <w:spacing w:line="360" w:lineRule="auto"/>
              <w:jc w:val="left"/>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通过本次公开招标，促进各保洁公司建立完善的安全管理体系。安全管理体系要全面落实保险保障、健全安全作业规范、加强宿舍安全管理。</w:t>
            </w:r>
          </w:p>
          <w:p>
            <w:pPr>
              <w:numPr>
                <w:ilvl w:val="0"/>
                <w:numId w:val="7"/>
              </w:numPr>
              <w:spacing w:line="360" w:lineRule="auto"/>
              <w:jc w:val="left"/>
              <w:rPr>
                <w:rFonts w:ascii="宋体" w:hAnsi="宋体" w:cs="宋体"/>
                <w:szCs w:val="21"/>
                <w:highlight w:val="none"/>
              </w:rPr>
            </w:pPr>
            <w:r>
              <w:rPr>
                <w:rFonts w:hint="eastAsia" w:ascii="宋体" w:hAnsi="宋体" w:cs="宋体"/>
                <w:color w:val="auto"/>
                <w:szCs w:val="21"/>
                <w:highlight w:val="none"/>
              </w:rPr>
              <w:t>要求中标保洁公司必须按本章保洁作业要求进行道路人工清扫、果壳箱保洁、垃圾桶清运等环卫保洁工作，并遵守相关的安全生产制度和管理考核制度。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ascii="宋体" w:hAnsi="宋体" w:cs="宋体"/>
                <w:szCs w:val="21"/>
                <w:highlight w:val="none"/>
              </w:rPr>
            </w:pPr>
            <w:r>
              <w:rPr>
                <w:rFonts w:hint="eastAsia" w:ascii="宋体" w:hAnsi="宋体" w:eastAsia="宋体" w:cs="宋体"/>
                <w:color w:val="auto"/>
                <w:szCs w:val="21"/>
                <w:highlight w:val="none"/>
              </w:rPr>
              <w:t>5</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336" w:lineRule="auto"/>
              <w:jc w:val="left"/>
              <w:textAlignment w:val="baseline"/>
              <w:rPr>
                <w:rFonts w:ascii="宋体" w:hAnsi="宋体" w:cs="宋体"/>
                <w:szCs w:val="21"/>
                <w:highlight w:val="none"/>
              </w:rPr>
            </w:pPr>
            <w:r>
              <w:rPr>
                <w:rFonts w:hint="eastAsia" w:ascii="宋体" w:hAnsi="宋体" w:eastAsia="宋体" w:cs="宋体"/>
                <w:color w:val="auto"/>
                <w:szCs w:val="21"/>
                <w:highlight w:val="none"/>
              </w:rPr>
              <w:t>执行的国家相关标准、行业标准、地方标准或者其它标准、规范</w:t>
            </w:r>
          </w:p>
        </w:tc>
        <w:tc>
          <w:tcPr>
            <w:tcW w:w="5253" w:type="dxa"/>
            <w:vAlign w:val="center"/>
          </w:tcPr>
          <w:p>
            <w:pPr>
              <w:keepNext w:val="0"/>
              <w:keepLines w:val="0"/>
              <w:pageBreakBefore w:val="0"/>
              <w:widowControl w:val="0"/>
              <w:kinsoku/>
              <w:wordWrap/>
              <w:overflowPunct/>
              <w:topLinePunct w:val="0"/>
              <w:autoSpaceDE/>
              <w:autoSpaceDN/>
              <w:bidi w:val="0"/>
              <w:adjustRightInd/>
              <w:snapToGrid/>
              <w:spacing w:line="336" w:lineRule="auto"/>
              <w:jc w:val="both"/>
              <w:rPr>
                <w:rFonts w:ascii="宋体" w:hAnsi="宋体" w:cs="宋体"/>
                <w:szCs w:val="21"/>
                <w:highlight w:val="none"/>
              </w:rPr>
            </w:pPr>
            <w:r>
              <w:rPr>
                <w:rFonts w:hint="eastAsia" w:ascii="宋体" w:hAnsi="宋体" w:cs="宋体"/>
                <w:color w:val="auto"/>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ascii="宋体" w:hAnsi="宋体" w:cs="宋体"/>
                <w:szCs w:val="21"/>
                <w:highlight w:val="none"/>
              </w:rPr>
            </w:pPr>
            <w:r>
              <w:rPr>
                <w:rFonts w:hint="eastAsia" w:ascii="宋体" w:hAnsi="宋体" w:eastAsia="宋体" w:cs="宋体"/>
                <w:color w:val="auto"/>
                <w:szCs w:val="21"/>
                <w:highlight w:val="none"/>
              </w:rPr>
              <w:t>6</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336" w:lineRule="auto"/>
              <w:jc w:val="left"/>
              <w:rPr>
                <w:rFonts w:ascii="宋体" w:hAnsi="宋体" w:cs="宋体"/>
                <w:szCs w:val="21"/>
                <w:highlight w:val="none"/>
              </w:rPr>
            </w:pPr>
            <w:r>
              <w:rPr>
                <w:rFonts w:hint="eastAsia" w:ascii="宋体" w:hAnsi="宋体" w:eastAsia="宋体" w:cs="宋体"/>
                <w:color w:val="auto"/>
                <w:szCs w:val="21"/>
                <w:highlight w:val="none"/>
              </w:rPr>
              <w:t>技术规格要求</w:t>
            </w:r>
          </w:p>
        </w:tc>
        <w:tc>
          <w:tcPr>
            <w:tcW w:w="5253" w:type="dxa"/>
            <w:vAlign w:val="center"/>
          </w:tcPr>
          <w:p>
            <w:pPr>
              <w:keepNext w:val="0"/>
              <w:keepLines w:val="0"/>
              <w:pageBreakBefore w:val="0"/>
              <w:widowControl w:val="0"/>
              <w:kinsoku/>
              <w:wordWrap/>
              <w:overflowPunct/>
              <w:topLinePunct w:val="0"/>
              <w:autoSpaceDE/>
              <w:autoSpaceDN/>
              <w:bidi w:val="0"/>
              <w:adjustRightInd/>
              <w:snapToGrid/>
              <w:spacing w:line="336" w:lineRule="auto"/>
              <w:jc w:val="both"/>
              <w:rPr>
                <w:rFonts w:ascii="宋体" w:hAnsi="宋体" w:cs="宋体"/>
                <w:highlight w:val="none"/>
              </w:rPr>
            </w:pPr>
            <w:r>
              <w:rPr>
                <w:rFonts w:hint="eastAsia" w:ascii="宋体" w:hAnsi="宋体" w:eastAsia="宋体" w:cs="宋体"/>
                <w:color w:val="auto"/>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ascii="宋体" w:hAnsi="宋体" w:cs="宋体"/>
                <w:szCs w:val="21"/>
                <w:highlight w:val="none"/>
              </w:rPr>
            </w:pPr>
            <w:r>
              <w:rPr>
                <w:rFonts w:hint="eastAsia" w:ascii="宋体" w:hAnsi="宋体" w:eastAsia="宋体" w:cs="宋体"/>
                <w:color w:val="auto"/>
                <w:szCs w:val="21"/>
                <w:highlight w:val="none"/>
              </w:rPr>
              <w:t>7</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336" w:lineRule="auto"/>
              <w:jc w:val="left"/>
              <w:rPr>
                <w:rFonts w:ascii="宋体" w:hAnsi="宋体" w:cs="宋体"/>
                <w:szCs w:val="21"/>
                <w:highlight w:val="none"/>
              </w:rPr>
            </w:pPr>
            <w:r>
              <w:rPr>
                <w:rFonts w:hint="eastAsia" w:ascii="宋体" w:hAnsi="宋体" w:eastAsia="宋体" w:cs="宋体"/>
                <w:color w:val="auto"/>
                <w:szCs w:val="21"/>
                <w:highlight w:val="none"/>
              </w:rPr>
              <w:t>物理特性要求</w:t>
            </w:r>
          </w:p>
        </w:tc>
        <w:tc>
          <w:tcPr>
            <w:tcW w:w="5253" w:type="dxa"/>
            <w:vAlign w:val="center"/>
          </w:tcPr>
          <w:p>
            <w:pPr>
              <w:numPr>
                <w:ilvl w:val="0"/>
                <w:numId w:val="0"/>
              </w:num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ascii="宋体" w:hAnsi="宋体" w:cs="宋体"/>
                <w:szCs w:val="21"/>
                <w:highlight w:val="none"/>
              </w:rPr>
            </w:pPr>
            <w:r>
              <w:rPr>
                <w:rFonts w:hint="eastAsia" w:ascii="宋体" w:hAnsi="宋体" w:eastAsia="宋体" w:cs="宋体"/>
                <w:color w:val="auto"/>
                <w:szCs w:val="21"/>
                <w:highlight w:val="none"/>
              </w:rPr>
              <w:t>8</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336" w:lineRule="auto"/>
              <w:jc w:val="left"/>
              <w:rPr>
                <w:rFonts w:ascii="宋体" w:hAnsi="宋体" w:cs="宋体"/>
                <w:szCs w:val="21"/>
                <w:highlight w:val="none"/>
              </w:rPr>
            </w:pPr>
            <w:r>
              <w:rPr>
                <w:rFonts w:hint="eastAsia" w:ascii="宋体" w:hAnsi="宋体" w:eastAsia="宋体" w:cs="宋体"/>
                <w:color w:val="auto"/>
                <w:szCs w:val="21"/>
                <w:highlight w:val="none"/>
              </w:rPr>
              <w:t>质量、安全要求</w:t>
            </w:r>
          </w:p>
        </w:tc>
        <w:tc>
          <w:tcPr>
            <w:tcW w:w="5253" w:type="dxa"/>
            <w:vAlign w:val="center"/>
          </w:tcPr>
          <w:p>
            <w:pPr>
              <w:numPr>
                <w:ilvl w:val="0"/>
                <w:numId w:val="0"/>
              </w:numPr>
              <w:spacing w:line="360" w:lineRule="auto"/>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质量要求：</w:t>
            </w:r>
            <w:r>
              <w:rPr>
                <w:rFonts w:hint="eastAsia" w:ascii="宋体" w:hAnsi="宋体" w:eastAsia="宋体" w:cs="宋体"/>
                <w:color w:val="auto"/>
                <w:szCs w:val="21"/>
                <w:highlight w:val="none"/>
              </w:rPr>
              <w:t>详见本章内容</w:t>
            </w:r>
          </w:p>
          <w:p>
            <w:pPr>
              <w:numPr>
                <w:ilvl w:val="0"/>
                <w:numId w:val="0"/>
              </w:num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安全要求：中标人</w:t>
            </w:r>
            <w:r>
              <w:rPr>
                <w:rFonts w:hint="eastAsia" w:ascii="宋体" w:hAnsi="宋体" w:cs="宋体"/>
                <w:color w:val="auto"/>
                <w:szCs w:val="21"/>
                <w:highlight w:val="none"/>
              </w:rPr>
              <w:t>应严格按照《浙江省落实生产经营单位安全生产主体责任暂行规定》承担安全生产主体责任。</w:t>
            </w:r>
            <w:r>
              <w:rPr>
                <w:rFonts w:hint="eastAsia" w:ascii="宋体" w:hAnsi="宋体" w:cs="宋体"/>
                <w:color w:val="auto"/>
                <w:szCs w:val="21"/>
                <w:highlight w:val="none"/>
                <w:lang w:val="en-US" w:eastAsia="zh-CN"/>
              </w:rPr>
              <w:t>中标人的</w:t>
            </w:r>
            <w:r>
              <w:rPr>
                <w:rFonts w:hint="eastAsia" w:ascii="宋体" w:hAnsi="宋体" w:cs="宋体"/>
                <w:color w:val="auto"/>
                <w:szCs w:val="21"/>
                <w:highlight w:val="none"/>
              </w:rPr>
              <w:t>法定代表人是本项目安全生产的第一责任人，应对本单位的安全生产负全部责任。对单位所发生的一切安全事故（包括由于作业受伤等引起的全部事故内容），全部责任由</w:t>
            </w: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自行承担，自主负责处理解决并承担相关费用。</w:t>
            </w: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的职工在法律规定的工伤认定范围内发生事故的应按工伤赔偿标准赔偿。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ascii="宋体" w:hAnsi="宋体" w:cs="宋体"/>
                <w:szCs w:val="21"/>
                <w:highlight w:val="none"/>
              </w:rPr>
            </w:pPr>
            <w:r>
              <w:rPr>
                <w:rFonts w:hint="eastAsia" w:ascii="宋体" w:hAnsi="宋体" w:eastAsia="宋体" w:cs="宋体"/>
                <w:color w:val="auto"/>
                <w:szCs w:val="21"/>
                <w:highlight w:val="none"/>
              </w:rPr>
              <w:t>9</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336" w:lineRule="auto"/>
              <w:jc w:val="left"/>
              <w:rPr>
                <w:rFonts w:ascii="宋体" w:hAnsi="宋体" w:cs="宋体"/>
                <w:szCs w:val="21"/>
                <w:highlight w:val="none"/>
              </w:rPr>
            </w:pPr>
            <w:r>
              <w:rPr>
                <w:rFonts w:hint="eastAsia" w:ascii="宋体" w:hAnsi="宋体" w:eastAsia="宋体" w:cs="宋体"/>
                <w:color w:val="auto"/>
                <w:szCs w:val="21"/>
                <w:highlight w:val="none"/>
              </w:rPr>
              <w:t>服务标准、期限、效率(培训等）</w:t>
            </w:r>
          </w:p>
        </w:tc>
        <w:tc>
          <w:tcPr>
            <w:tcW w:w="5253" w:type="dxa"/>
            <w:vAlign w:val="center"/>
          </w:tcPr>
          <w:p>
            <w:pPr>
              <w:keepNext w:val="0"/>
              <w:keepLines w:val="0"/>
              <w:pageBreakBefore w:val="0"/>
              <w:widowControl w:val="0"/>
              <w:kinsoku/>
              <w:wordWrap/>
              <w:overflowPunct/>
              <w:topLinePunct w:val="0"/>
              <w:autoSpaceDE/>
              <w:autoSpaceDN/>
              <w:bidi w:val="0"/>
              <w:adjustRightInd/>
              <w:snapToGrid/>
              <w:spacing w:line="336" w:lineRule="auto"/>
              <w:jc w:val="both"/>
              <w:rPr>
                <w:rFonts w:ascii="宋体" w:hAnsi="宋体" w:cs="宋体"/>
                <w:highlight w:val="none"/>
              </w:rPr>
            </w:pPr>
            <w:r>
              <w:rPr>
                <w:rFonts w:hint="eastAsia" w:ascii="宋体" w:hAnsi="宋体" w:eastAsia="宋体" w:cs="宋体"/>
                <w:color w:val="auto"/>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ascii="宋体" w:hAnsi="宋体" w:cs="宋体"/>
                <w:szCs w:val="21"/>
                <w:highlight w:val="none"/>
              </w:rPr>
            </w:pPr>
            <w:r>
              <w:rPr>
                <w:rFonts w:hint="eastAsia" w:ascii="宋体" w:hAnsi="宋体" w:eastAsia="宋体" w:cs="宋体"/>
                <w:color w:val="auto"/>
                <w:szCs w:val="21"/>
                <w:highlight w:val="none"/>
              </w:rPr>
              <w:t>10</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336" w:lineRule="auto"/>
              <w:jc w:val="left"/>
              <w:rPr>
                <w:rFonts w:ascii="宋体" w:hAnsi="宋体" w:cs="宋体"/>
                <w:szCs w:val="21"/>
                <w:highlight w:val="none"/>
              </w:rPr>
            </w:pPr>
            <w:r>
              <w:rPr>
                <w:rFonts w:hint="eastAsia" w:ascii="宋体" w:hAnsi="宋体" w:eastAsia="宋体" w:cs="宋体"/>
                <w:color w:val="auto"/>
                <w:szCs w:val="21"/>
                <w:highlight w:val="none"/>
              </w:rPr>
              <w:t>验收标准</w:t>
            </w:r>
          </w:p>
        </w:tc>
        <w:tc>
          <w:tcPr>
            <w:tcW w:w="5253" w:type="dxa"/>
            <w:vAlign w:val="center"/>
          </w:tcPr>
          <w:p>
            <w:pPr>
              <w:keepNext w:val="0"/>
              <w:keepLines w:val="0"/>
              <w:pageBreakBefore w:val="0"/>
              <w:widowControl w:val="0"/>
              <w:kinsoku/>
              <w:wordWrap/>
              <w:overflowPunct/>
              <w:topLinePunct w:val="0"/>
              <w:autoSpaceDE/>
              <w:autoSpaceDN/>
              <w:bidi w:val="0"/>
              <w:adjustRightInd/>
              <w:snapToGrid/>
              <w:spacing w:line="336" w:lineRule="auto"/>
              <w:jc w:val="both"/>
              <w:rPr>
                <w:rFonts w:ascii="宋体" w:hAnsi="宋体" w:cs="宋体"/>
                <w:highlight w:val="none"/>
              </w:rPr>
            </w:pPr>
            <w:r>
              <w:rPr>
                <w:rFonts w:hint="eastAsia" w:ascii="宋体" w:hAnsi="宋体" w:eastAsia="宋体" w:cs="宋体"/>
                <w:color w:val="auto"/>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ascii="宋体" w:hAnsi="宋体" w:cs="宋体"/>
                <w:szCs w:val="21"/>
                <w:highlight w:val="none"/>
              </w:rPr>
            </w:pPr>
            <w:r>
              <w:rPr>
                <w:rFonts w:hint="eastAsia" w:ascii="宋体" w:hAnsi="宋体" w:eastAsia="宋体" w:cs="宋体"/>
                <w:color w:val="auto"/>
                <w:szCs w:val="21"/>
                <w:highlight w:val="none"/>
              </w:rPr>
              <w:t>11</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336" w:lineRule="auto"/>
              <w:jc w:val="left"/>
              <w:rPr>
                <w:rFonts w:ascii="宋体" w:hAnsi="宋体" w:cs="宋体"/>
                <w:szCs w:val="21"/>
                <w:highlight w:val="none"/>
              </w:rPr>
            </w:pPr>
            <w:r>
              <w:rPr>
                <w:rFonts w:hint="eastAsia" w:ascii="宋体" w:hAnsi="宋体" w:eastAsia="宋体" w:cs="宋体"/>
                <w:color w:val="auto"/>
                <w:szCs w:val="21"/>
                <w:highlight w:val="none"/>
              </w:rPr>
              <w:t>现场踏勘</w:t>
            </w:r>
          </w:p>
        </w:tc>
        <w:tc>
          <w:tcPr>
            <w:tcW w:w="5253" w:type="dxa"/>
            <w:vAlign w:val="center"/>
          </w:tcPr>
          <w:p>
            <w:pPr>
              <w:keepNext w:val="0"/>
              <w:keepLines w:val="0"/>
              <w:pageBreakBefore w:val="0"/>
              <w:widowControl w:val="0"/>
              <w:kinsoku/>
              <w:wordWrap/>
              <w:overflowPunct/>
              <w:topLinePunct w:val="0"/>
              <w:autoSpaceDE/>
              <w:autoSpaceDN/>
              <w:bidi w:val="0"/>
              <w:adjustRightInd/>
              <w:snapToGrid/>
              <w:spacing w:line="336" w:lineRule="auto"/>
              <w:jc w:val="both"/>
              <w:rPr>
                <w:rFonts w:ascii="宋体" w:hAnsi="宋体" w:cs="宋体"/>
                <w:szCs w:val="21"/>
                <w:highlight w:val="none"/>
              </w:rPr>
            </w:pPr>
            <w:r>
              <w:rPr>
                <w:rFonts w:hint="eastAsia" w:ascii="宋体" w:hAnsi="宋体" w:eastAsia="宋体" w:cs="宋体"/>
                <w:color w:val="auto"/>
                <w:highlight w:val="none"/>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ascii="宋体" w:hAnsi="宋体" w:cs="宋体"/>
                <w:szCs w:val="21"/>
                <w:highlight w:val="none"/>
              </w:rPr>
            </w:pPr>
            <w:r>
              <w:rPr>
                <w:rFonts w:hint="eastAsia" w:ascii="宋体" w:hAnsi="宋体" w:eastAsia="宋体" w:cs="宋体"/>
                <w:color w:val="auto"/>
                <w:szCs w:val="21"/>
                <w:highlight w:val="none"/>
              </w:rPr>
              <w:t>12</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336" w:lineRule="auto"/>
              <w:jc w:val="left"/>
              <w:rPr>
                <w:rFonts w:ascii="宋体" w:hAnsi="宋体" w:cs="宋体"/>
                <w:szCs w:val="21"/>
                <w:highlight w:val="none"/>
              </w:rPr>
            </w:pPr>
            <w:r>
              <w:rPr>
                <w:rFonts w:hint="eastAsia" w:ascii="宋体" w:hAnsi="宋体" w:eastAsia="宋体" w:cs="宋体"/>
                <w:color w:val="auto"/>
                <w:szCs w:val="21"/>
                <w:highlight w:val="none"/>
              </w:rPr>
              <w:t>演示时间及地点</w:t>
            </w:r>
          </w:p>
        </w:tc>
        <w:tc>
          <w:tcPr>
            <w:tcW w:w="5253" w:type="dxa"/>
            <w:vAlign w:val="center"/>
          </w:tcPr>
          <w:p>
            <w:pPr>
              <w:keepNext w:val="0"/>
              <w:keepLines w:val="0"/>
              <w:pageBreakBefore w:val="0"/>
              <w:widowControl w:val="0"/>
              <w:kinsoku/>
              <w:wordWrap/>
              <w:overflowPunct/>
              <w:topLinePunct w:val="0"/>
              <w:autoSpaceDE/>
              <w:autoSpaceDN/>
              <w:bidi w:val="0"/>
              <w:adjustRightInd/>
              <w:snapToGrid/>
              <w:spacing w:line="336" w:lineRule="auto"/>
              <w:jc w:val="both"/>
              <w:rPr>
                <w:rFonts w:ascii="宋体" w:hAnsi="宋体" w:cs="宋体"/>
                <w:szCs w:val="21"/>
                <w:highlight w:val="none"/>
              </w:rPr>
            </w:pPr>
            <w:r>
              <w:rPr>
                <w:rFonts w:hint="eastAsia" w:ascii="宋体" w:hAnsi="宋体" w:eastAsia="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ascii="宋体" w:hAnsi="宋体" w:cs="宋体"/>
                <w:szCs w:val="21"/>
                <w:highlight w:val="none"/>
              </w:rPr>
            </w:pPr>
            <w:r>
              <w:rPr>
                <w:rFonts w:hint="eastAsia" w:ascii="宋体" w:hAnsi="宋体" w:eastAsia="宋体" w:cs="宋体"/>
                <w:color w:val="auto"/>
                <w:szCs w:val="21"/>
                <w:highlight w:val="none"/>
              </w:rPr>
              <w:t>13</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336" w:lineRule="auto"/>
              <w:jc w:val="left"/>
              <w:rPr>
                <w:rFonts w:ascii="宋体" w:hAnsi="宋体" w:cs="宋体"/>
                <w:szCs w:val="21"/>
                <w:highlight w:val="none"/>
              </w:rPr>
            </w:pPr>
            <w:r>
              <w:rPr>
                <w:rFonts w:hint="eastAsia" w:ascii="宋体" w:hAnsi="宋体" w:eastAsia="宋体" w:cs="宋体"/>
                <w:color w:val="auto"/>
                <w:szCs w:val="21"/>
                <w:highlight w:val="none"/>
              </w:rPr>
              <w:t>样品要求</w:t>
            </w:r>
          </w:p>
        </w:tc>
        <w:tc>
          <w:tcPr>
            <w:tcW w:w="5253" w:type="dxa"/>
            <w:vAlign w:val="center"/>
          </w:tcPr>
          <w:p>
            <w:pPr>
              <w:keepNext w:val="0"/>
              <w:keepLines w:val="0"/>
              <w:pageBreakBefore w:val="0"/>
              <w:widowControl w:val="0"/>
              <w:kinsoku/>
              <w:wordWrap/>
              <w:overflowPunct/>
              <w:topLinePunct w:val="0"/>
              <w:autoSpaceDE/>
              <w:autoSpaceDN/>
              <w:bidi w:val="0"/>
              <w:adjustRightInd/>
              <w:snapToGrid/>
              <w:spacing w:line="336" w:lineRule="auto"/>
              <w:jc w:val="both"/>
              <w:rPr>
                <w:rFonts w:ascii="宋体" w:hAnsi="宋体" w:cs="宋体"/>
                <w:szCs w:val="21"/>
                <w:highlight w:val="none"/>
              </w:rPr>
            </w:pPr>
            <w:r>
              <w:rPr>
                <w:rFonts w:hint="eastAsia" w:ascii="宋体" w:hAnsi="宋体" w:eastAsia="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ascii="宋体" w:hAnsi="宋体" w:cs="宋体"/>
                <w:szCs w:val="21"/>
                <w:highlight w:val="none"/>
              </w:rPr>
            </w:pPr>
            <w:r>
              <w:rPr>
                <w:rFonts w:hint="eastAsia" w:ascii="宋体" w:hAnsi="宋体" w:eastAsia="宋体" w:cs="宋体"/>
                <w:color w:val="auto"/>
                <w:szCs w:val="21"/>
                <w:highlight w:val="none"/>
              </w:rPr>
              <w:t>14</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336" w:lineRule="auto"/>
              <w:jc w:val="left"/>
              <w:rPr>
                <w:rFonts w:ascii="宋体" w:hAnsi="宋体" w:cs="宋体"/>
                <w:szCs w:val="21"/>
                <w:highlight w:val="none"/>
              </w:rPr>
            </w:pPr>
            <w:r>
              <w:rPr>
                <w:rFonts w:hint="eastAsia" w:ascii="宋体" w:hAnsi="宋体" w:eastAsia="宋体" w:cs="宋体"/>
                <w:color w:val="auto"/>
                <w:szCs w:val="21"/>
                <w:highlight w:val="none"/>
              </w:rPr>
              <w:t>本项目的核心产品</w:t>
            </w:r>
          </w:p>
        </w:tc>
        <w:tc>
          <w:tcPr>
            <w:tcW w:w="5253" w:type="dxa"/>
            <w:vAlign w:val="center"/>
          </w:tcPr>
          <w:p>
            <w:pPr>
              <w:keepNext w:val="0"/>
              <w:keepLines w:val="0"/>
              <w:pageBreakBefore w:val="0"/>
              <w:widowControl w:val="0"/>
              <w:kinsoku/>
              <w:wordWrap/>
              <w:overflowPunct/>
              <w:topLinePunct w:val="0"/>
              <w:autoSpaceDE/>
              <w:autoSpaceDN/>
              <w:bidi w:val="0"/>
              <w:adjustRightInd/>
              <w:snapToGrid/>
              <w:spacing w:line="336" w:lineRule="auto"/>
              <w:jc w:val="both"/>
              <w:rPr>
                <w:rFonts w:ascii="宋体" w:hAnsi="宋体" w:cs="宋体"/>
                <w:szCs w:val="21"/>
                <w:highlight w:val="none"/>
              </w:rPr>
            </w:pPr>
            <w:r>
              <w:rPr>
                <w:rFonts w:hint="eastAsia" w:ascii="宋体" w:hAnsi="宋体" w:eastAsia="宋体" w:cs="宋体"/>
                <w:color w:val="auto"/>
                <w:szCs w:val="21"/>
                <w:highlight w:val="none"/>
              </w:rPr>
              <w:t>无</w:t>
            </w:r>
          </w:p>
        </w:tc>
      </w:tr>
    </w:tbl>
    <w:p>
      <w:pPr>
        <w:spacing w:line="360" w:lineRule="auto"/>
        <w:rPr>
          <w:rFonts w:ascii="宋体" w:hAnsi="宋体" w:cs="宋体"/>
          <w:b/>
          <w:szCs w:val="21"/>
          <w:highlight w:val="none"/>
        </w:rPr>
      </w:pPr>
      <w:r>
        <w:rPr>
          <w:rFonts w:hint="eastAsia" w:ascii="宋体" w:hAnsi="宋体" w:cs="宋体"/>
          <w:b/>
          <w:szCs w:val="21"/>
          <w:highlight w:val="none"/>
        </w:rPr>
        <w:br w:type="page"/>
      </w:r>
      <w:r>
        <w:rPr>
          <w:rFonts w:hint="eastAsia" w:ascii="宋体" w:hAnsi="宋体" w:cs="宋体"/>
          <w:szCs w:val="21"/>
          <w:highlight w:val="none"/>
        </w:rPr>
        <w:t>★</w:t>
      </w:r>
      <w:r>
        <w:rPr>
          <w:rFonts w:hint="eastAsia" w:ascii="宋体" w:hAnsi="宋体" w:cs="宋体"/>
          <w:b/>
          <w:szCs w:val="21"/>
          <w:highlight w:val="none"/>
        </w:rPr>
        <w:t>一、重要商务要求一览表</w:t>
      </w:r>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70"/>
        <w:gridCol w:w="65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1"/>
                <w:szCs w:val="21"/>
                <w:highlight w:val="none"/>
              </w:rPr>
            </w:pPr>
            <w:bookmarkStart w:id="30" w:name="_Toc513103337"/>
            <w:r>
              <w:rPr>
                <w:rFonts w:hint="eastAsia" w:ascii="宋体" w:hAnsi="宋体" w:eastAsia="宋体" w:cs="宋体"/>
                <w:b/>
                <w:bCs/>
                <w:color w:val="auto"/>
                <w:sz w:val="21"/>
                <w:szCs w:val="21"/>
                <w:highlight w:val="none"/>
              </w:rPr>
              <w:t>项目</w:t>
            </w:r>
          </w:p>
        </w:tc>
        <w:tc>
          <w:tcPr>
            <w:tcW w:w="6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要 求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合同履行期限及地点</w:t>
            </w:r>
          </w:p>
        </w:tc>
        <w:tc>
          <w:tcPr>
            <w:tcW w:w="6509" w:type="dxa"/>
            <w:tcBorders>
              <w:top w:val="single" w:color="auto" w:sz="4" w:space="0"/>
              <w:left w:val="single" w:color="auto" w:sz="4" w:space="0"/>
              <w:bottom w:val="single" w:color="auto" w:sz="4" w:space="0"/>
              <w:right w:val="single" w:color="auto" w:sz="4" w:space="0"/>
            </w:tcBorders>
            <w:noWrap w:val="0"/>
            <w:vAlign w:val="center"/>
          </w:tcPr>
          <w:p>
            <w:pPr>
              <w:spacing w:line="312"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）合同履行期限：详见第一章 《公开招标公告》。</w:t>
            </w:r>
          </w:p>
          <w:p>
            <w:pPr>
              <w:spacing w:line="312"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）实施地点：桃源街道辖区内的31个行政村和股份经济合作社</w:t>
            </w:r>
            <w:r>
              <w:rPr>
                <w:rFonts w:hint="eastAsia" w:ascii="宋体" w:hAnsi="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2、付款方式</w:t>
            </w:r>
          </w:p>
        </w:tc>
        <w:tc>
          <w:tcPr>
            <w:tcW w:w="6509" w:type="dxa"/>
            <w:tcBorders>
              <w:top w:val="single" w:color="auto" w:sz="4" w:space="0"/>
              <w:left w:val="single" w:color="auto" w:sz="4" w:space="0"/>
              <w:bottom w:val="single" w:color="auto" w:sz="4" w:space="0"/>
              <w:right w:val="single" w:color="auto" w:sz="4" w:space="0"/>
            </w:tcBorders>
            <w:noWrap w:val="0"/>
            <w:vAlign w:val="center"/>
          </w:tcPr>
          <w:p>
            <w:pPr>
              <w:spacing w:line="312"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合同签订后，</w:t>
            </w:r>
            <w:r>
              <w:rPr>
                <w:rFonts w:hint="eastAsia" w:ascii="宋体" w:hAnsi="宋体" w:eastAsia="宋体" w:cs="宋体"/>
                <w:color w:val="auto"/>
                <w:highlight w:val="none"/>
                <w:lang w:val="en-US" w:eastAsia="zh-CN"/>
              </w:rPr>
              <w:t>在确认完成当月工作并通过考核后，按月支付给中标人。以上付款方式结合每月考核结果（具体考核办法详见本章七、考核标准）予以支付（月服务经费=1年合同总价/12）。</w:t>
            </w:r>
          </w:p>
          <w:p>
            <w:pPr>
              <w:spacing w:line="312"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）如采购人出具书面整改意见要求进行整改，在出具整改意见后七天内中标人未按规定整改的，将延迟拨付月服务经费的30%。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pPr>
              <w:spacing w:line="312"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3、履约保证金</w:t>
            </w:r>
          </w:p>
        </w:tc>
        <w:tc>
          <w:tcPr>
            <w:tcW w:w="6509" w:type="dxa"/>
            <w:tcBorders>
              <w:top w:val="single" w:color="auto" w:sz="4" w:space="0"/>
              <w:left w:val="single" w:color="auto" w:sz="4" w:space="0"/>
              <w:bottom w:val="single" w:color="auto" w:sz="4" w:space="0"/>
              <w:right w:val="single" w:color="auto" w:sz="4" w:space="0"/>
            </w:tcBorders>
            <w:noWrap w:val="0"/>
            <w:vAlign w:val="center"/>
          </w:tcPr>
          <w:p>
            <w:pPr>
              <w:spacing w:line="312"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履约保证金金额及形式：年度合同金额的</w:t>
            </w:r>
            <w:r>
              <w:rPr>
                <w:rFonts w:hint="eastAsia" w:ascii="宋体" w:hAnsi="宋体" w:cs="宋体"/>
                <w:color w:val="auto"/>
                <w:highlight w:val="none"/>
                <w:lang w:val="en-US" w:eastAsia="zh-CN"/>
              </w:rPr>
              <w:t>1</w:t>
            </w:r>
            <w:r>
              <w:rPr>
                <w:rFonts w:hint="eastAsia" w:ascii="宋体" w:hAnsi="宋体" w:eastAsia="宋体" w:cs="宋体"/>
                <w:color w:val="auto"/>
                <w:highlight w:val="none"/>
                <w:lang w:eastAsia="zh-CN"/>
              </w:rPr>
              <w:t>%；中标人以</w:t>
            </w:r>
            <w:r>
              <w:rPr>
                <w:rFonts w:hint="eastAsia" w:ascii="宋体" w:hAnsi="宋体" w:eastAsia="宋体" w:cs="宋体"/>
                <w:color w:val="auto"/>
                <w:highlight w:val="none"/>
                <w:lang w:val="en-US" w:eastAsia="zh-CN"/>
              </w:rPr>
              <w:t>银行汇票、转账、电汇、保函等形式缴纳至采购人专用账户。</w:t>
            </w:r>
          </w:p>
          <w:p>
            <w:pPr>
              <w:spacing w:line="312"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（2）履约保证金在保洁服务合同完成后无息退还。如中标人未能履行合同规定的任何义务，采购人有权从履约保证金中优先受偿。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234"/>
              </w:tabs>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、合同终止</w:t>
            </w:r>
          </w:p>
        </w:tc>
        <w:tc>
          <w:tcPr>
            <w:tcW w:w="6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中标人在合同有效期内，不得</w:t>
            </w:r>
            <w:r>
              <w:rPr>
                <w:rFonts w:hint="eastAsia" w:ascii="宋体" w:hAnsi="宋体" w:eastAsia="宋体" w:cs="宋体"/>
                <w:color w:val="auto"/>
                <w:sz w:val="21"/>
                <w:szCs w:val="21"/>
                <w:highlight w:val="none"/>
                <w:lang w:eastAsia="zh-CN"/>
              </w:rPr>
              <w:t>无</w:t>
            </w:r>
            <w:r>
              <w:rPr>
                <w:rFonts w:hint="eastAsia" w:ascii="宋体" w:hAnsi="宋体" w:eastAsia="宋体" w:cs="宋体"/>
                <w:color w:val="auto"/>
                <w:sz w:val="21"/>
                <w:szCs w:val="21"/>
                <w:highlight w:val="none"/>
              </w:rPr>
              <w:t>理由终止合同，确有特殊情况的，须提前两个月向采购人提出书面申请，经采购人同意后，方可终止合同。因中标人发生重大差错事故的，采购人可有权</w:t>
            </w:r>
            <w:r>
              <w:rPr>
                <w:rFonts w:hint="eastAsia" w:ascii="宋体" w:hAnsi="宋体" w:eastAsia="宋体" w:cs="宋体"/>
                <w:color w:val="auto"/>
                <w:sz w:val="21"/>
                <w:szCs w:val="21"/>
                <w:highlight w:val="none"/>
                <w:lang w:val="en-US" w:eastAsia="zh-CN"/>
              </w:rPr>
              <w:t>单方面</w:t>
            </w:r>
            <w:r>
              <w:rPr>
                <w:rFonts w:hint="eastAsia" w:ascii="宋体" w:hAnsi="宋体" w:eastAsia="宋体" w:cs="宋体"/>
                <w:color w:val="auto"/>
                <w:sz w:val="21"/>
                <w:szCs w:val="21"/>
                <w:highlight w:val="none"/>
              </w:rPr>
              <w:t>终止</w:t>
            </w:r>
            <w:r>
              <w:rPr>
                <w:rFonts w:hint="eastAsia" w:ascii="宋体" w:hAnsi="宋体" w:eastAsia="宋体" w:cs="宋体"/>
                <w:color w:val="auto"/>
                <w:sz w:val="21"/>
                <w:szCs w:val="21"/>
                <w:highlight w:val="none"/>
                <w:lang w:val="en-US" w:eastAsia="zh-CN"/>
              </w:rPr>
              <w:t>合同</w:t>
            </w:r>
            <w:r>
              <w:rPr>
                <w:rFonts w:hint="eastAsia" w:ascii="宋体" w:hAnsi="宋体" w:eastAsia="宋体" w:cs="宋体"/>
                <w:color w:val="auto"/>
                <w:sz w:val="21"/>
                <w:szCs w:val="21"/>
                <w:highlight w:val="none"/>
              </w:rPr>
              <w:t>，中标人承担全部责任。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、对采购内容进行变更的处理</w:t>
            </w:r>
          </w:p>
        </w:tc>
        <w:tc>
          <w:tcPr>
            <w:tcW w:w="6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（1）合同期内，因故致使本合同保洁项目面积发生变更的，由采购人根据实际变更量，按中标综合单价进行增减，按实结算保洁服务费（核增金额不超过年度合同总金额的10%），采购人出具</w:t>
            </w:r>
            <w:r>
              <w:rPr>
                <w:rFonts w:hint="eastAsia" w:ascii="宋体" w:hAnsi="宋体" w:cs="宋体"/>
                <w:color w:val="auto"/>
                <w:highlight w:val="none"/>
                <w:lang w:val="en-US" w:eastAsia="zh-CN"/>
              </w:rPr>
              <w:t>的</w:t>
            </w:r>
            <w:r>
              <w:rPr>
                <w:rFonts w:hint="eastAsia" w:ascii="宋体" w:hAnsi="宋体" w:eastAsia="宋体" w:cs="宋体"/>
                <w:color w:val="auto"/>
                <w:highlight w:val="none"/>
                <w:lang w:val="en-US" w:eastAsia="zh-CN"/>
              </w:rPr>
              <w:t>联系单</w:t>
            </w:r>
            <w:r>
              <w:rPr>
                <w:rFonts w:hint="eastAsia" w:ascii="宋体" w:hAnsi="宋体" w:cs="宋体"/>
                <w:color w:val="auto"/>
                <w:highlight w:val="none"/>
                <w:lang w:val="en-US" w:eastAsia="zh-CN"/>
              </w:rPr>
              <w:t>将</w:t>
            </w:r>
            <w:r>
              <w:rPr>
                <w:rFonts w:hint="eastAsia" w:ascii="宋体" w:hAnsi="宋体" w:eastAsia="宋体" w:cs="宋体"/>
                <w:color w:val="auto"/>
                <w:highlight w:val="none"/>
                <w:lang w:val="en-US" w:eastAsia="zh-CN"/>
              </w:rPr>
              <w:t>作为保洁费用调整结算的依据。</w:t>
            </w:r>
          </w:p>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（2）国家上调最低工资标准的，</w:t>
            </w:r>
            <w:r>
              <w:rPr>
                <w:rFonts w:hint="eastAsia" w:ascii="宋体" w:hAnsi="宋体" w:cs="宋体"/>
                <w:color w:val="auto"/>
                <w:highlight w:val="none"/>
                <w:lang w:val="en-US" w:eastAsia="zh-CN"/>
              </w:rPr>
              <w:t>不予</w:t>
            </w:r>
            <w:r>
              <w:rPr>
                <w:rFonts w:hint="eastAsia" w:ascii="宋体" w:hAnsi="宋体" w:eastAsia="宋体" w:cs="宋体"/>
                <w:color w:val="auto"/>
                <w:highlight w:val="none"/>
                <w:lang w:val="en-US" w:eastAsia="zh-CN"/>
              </w:rPr>
              <w:t>追加保洁服务费；</w:t>
            </w:r>
          </w:p>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（3）因工作需要调整保洁标准的，中标人须按新保洁标准执行，保洁费用不予调整。</w:t>
            </w:r>
          </w:p>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（4）除因重大政策要求外，合同期内，因故致使本合同保洁项目设施量（果壳箱、垃圾桶、分类箱体）发生变更的，保洁费用不予调整。</w:t>
            </w:r>
          </w:p>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（5）道路全封闭且封闭时间大于15日的按中标综合单价核减，核减日期以道路封闭公告为准；道路未全部封闭且在通行的保洁经费不予核减；全封闭时间少于15日的保洁经费不予核减。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6、其他要求</w:t>
            </w:r>
          </w:p>
        </w:tc>
        <w:tc>
          <w:tcPr>
            <w:tcW w:w="6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因宁海县桃源街道建筑垃圾和装潢垃圾清运项目合同履约期限未到期，故于2024年2月28日前，本项目中标人在宁海县桃源街道建筑垃圾和装潢垃圾清运项目合同履约期限内不承担建筑垃圾和装潢垃圾清运服务，采购人将从每月服务经费中扣除21360元用于支付宁海县桃源街道建筑垃圾和装潢垃圾清运项目的承包人，直至自2024年3月1日起，不再扣除经费，由中标人负责服务范围内的建筑垃圾和装潢垃圾清运服务。</w:t>
            </w:r>
          </w:p>
        </w:tc>
      </w:tr>
      <w:bookmarkEnd w:id="30"/>
    </w:tbl>
    <w:p>
      <w:pPr>
        <w:spacing w:line="360" w:lineRule="auto"/>
        <w:jc w:val="left"/>
        <w:rPr>
          <w:rFonts w:ascii="宋体" w:hAnsi="宋体" w:cs="宋体"/>
          <w:kern w:val="0"/>
          <w:szCs w:val="21"/>
          <w:highlight w:val="none"/>
        </w:rPr>
      </w:pPr>
      <w:r>
        <w:rPr>
          <w:rFonts w:hint="eastAsia" w:ascii="宋体" w:hAnsi="宋体" w:cs="宋体"/>
          <w:b/>
          <w:szCs w:val="21"/>
          <w:highlight w:val="none"/>
        </w:rPr>
        <w:t>二、项目概况</w:t>
      </w:r>
    </w:p>
    <w:p>
      <w:pPr>
        <w:spacing w:line="360" w:lineRule="auto"/>
        <w:ind w:firstLine="422" w:firstLineChars="200"/>
        <w:jc w:val="left"/>
        <w:rPr>
          <w:rFonts w:ascii="宋体" w:hAnsi="宋体" w:cs="宋体"/>
          <w:b/>
          <w:bCs/>
          <w:szCs w:val="21"/>
          <w:highlight w:val="none"/>
        </w:rPr>
      </w:pPr>
      <w:r>
        <w:rPr>
          <w:rFonts w:hint="eastAsia" w:ascii="宋体" w:hAnsi="宋体" w:cs="宋体"/>
          <w:b/>
          <w:bCs/>
          <w:szCs w:val="21"/>
          <w:highlight w:val="none"/>
          <w:lang w:eastAsia="zh-CN"/>
        </w:rPr>
        <w:t>（</w:t>
      </w:r>
      <w:r>
        <w:rPr>
          <w:rFonts w:hint="eastAsia" w:ascii="宋体" w:hAnsi="宋体" w:cs="宋体"/>
          <w:b/>
          <w:bCs/>
          <w:szCs w:val="21"/>
          <w:highlight w:val="none"/>
          <w:lang w:val="en-US" w:eastAsia="zh-CN"/>
        </w:rPr>
        <w:t>一</w:t>
      </w:r>
      <w:r>
        <w:rPr>
          <w:rFonts w:hint="eastAsia" w:ascii="宋体" w:hAnsi="宋体" w:cs="宋体"/>
          <w:b/>
          <w:bCs/>
          <w:szCs w:val="21"/>
          <w:highlight w:val="none"/>
          <w:lang w:eastAsia="zh-CN"/>
        </w:rPr>
        <w:t>）</w:t>
      </w:r>
      <w:r>
        <w:rPr>
          <w:rFonts w:hint="eastAsia" w:ascii="宋体" w:hAnsi="宋体" w:cs="宋体"/>
          <w:b/>
          <w:bCs/>
          <w:szCs w:val="21"/>
          <w:highlight w:val="none"/>
        </w:rPr>
        <w:t>服务范围：</w:t>
      </w:r>
    </w:p>
    <w:p>
      <w:pPr>
        <w:spacing w:line="360" w:lineRule="auto"/>
        <w:ind w:firstLine="420" w:firstLineChars="0"/>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本项目包含保洁及垃圾清运（即桃源街道全域保洁、清运），具体实施范围为桃源街道辖区内的31个行政村和股份经济合作社，具体为大金村、前黄村、竹口储村、王社村、钱岙村、新西岙村、民主村、后丁村、胜利村、翻身村、建设村、上洋村、后徐村、尤家村、上山尤村、花山村、南岙村、茶堂村、西洋村、大房村、堂墙村、下洋葛村、后畈王村、横金村、下洋顾村、应家山村、塘溪村、瓦窑头村、杏蒋村、石家岙村、溪旁徐村。经统计，需要保洁的村社道路面积约为 81.24 万平方米。具体详见附表1：《宁海县桃源街道城乡道路保洁面积明细表》。</w:t>
      </w:r>
    </w:p>
    <w:p>
      <w:pPr>
        <w:spacing w:line="360" w:lineRule="auto"/>
        <w:ind w:firstLine="420" w:firstLineChars="0"/>
        <w:jc w:val="left"/>
        <w:rPr>
          <w:rFonts w:hint="default" w:ascii="宋体" w:hAnsi="宋体" w:cs="宋体"/>
          <w:color w:val="auto"/>
          <w:highlight w:val="none"/>
          <w:lang w:val="en-US" w:eastAsia="zh-CN"/>
        </w:rPr>
      </w:pPr>
      <w:r>
        <w:rPr>
          <w:rFonts w:hint="eastAsia" w:ascii="宋体" w:hAnsi="宋体" w:cs="宋体"/>
          <w:color w:val="auto"/>
          <w:highlight w:val="none"/>
          <w:lang w:val="en-US" w:eastAsia="zh-CN"/>
        </w:rPr>
        <w:t>★本项目与其他保洁范围交接处，纳入本次保洁范围内，供应商需作出无推诿承诺，按照保洁要求完成交接处以内的保洁工作。</w:t>
      </w:r>
    </w:p>
    <w:p>
      <w:pPr>
        <w:pStyle w:val="20"/>
        <w:jc w:val="center"/>
        <w:rPr>
          <w:rFonts w:hint="default"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附表1：《宁海县桃源街道城乡道路保洁面积明细表》。</w:t>
      </w:r>
    </w:p>
    <w:tbl>
      <w:tblPr>
        <w:tblStyle w:val="204"/>
        <w:tblW w:w="8277"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0"/>
        <w:gridCol w:w="1099"/>
        <w:gridCol w:w="2142"/>
        <w:gridCol w:w="884"/>
        <w:gridCol w:w="1534"/>
        <w:gridCol w:w="18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0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村社</w:t>
            </w:r>
          </w:p>
        </w:tc>
        <w:tc>
          <w:tcPr>
            <w:tcW w:w="21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保洁面积 (m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 xml:space="preserve"> )</w:t>
            </w:r>
          </w:p>
        </w:tc>
        <w:tc>
          <w:tcPr>
            <w:tcW w:w="8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村社</w:t>
            </w:r>
          </w:p>
        </w:tc>
        <w:tc>
          <w:tcPr>
            <w:tcW w:w="1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保洁面积 (m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新西岙</w:t>
            </w:r>
          </w:p>
        </w:tc>
        <w:tc>
          <w:tcPr>
            <w:tcW w:w="21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32830</w:t>
            </w:r>
          </w:p>
        </w:tc>
        <w:tc>
          <w:tcPr>
            <w:tcW w:w="8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5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南岙</w:t>
            </w:r>
          </w:p>
        </w:tc>
        <w:tc>
          <w:tcPr>
            <w:tcW w:w="1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钱岙</w:t>
            </w:r>
          </w:p>
        </w:tc>
        <w:tc>
          <w:tcPr>
            <w:tcW w:w="21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33000</w:t>
            </w:r>
          </w:p>
        </w:tc>
        <w:tc>
          <w:tcPr>
            <w:tcW w:w="8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5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茶堂</w:t>
            </w:r>
          </w:p>
        </w:tc>
        <w:tc>
          <w:tcPr>
            <w:tcW w:w="1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0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民主</w:t>
            </w:r>
          </w:p>
        </w:tc>
        <w:tc>
          <w:tcPr>
            <w:tcW w:w="21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39000</w:t>
            </w:r>
          </w:p>
        </w:tc>
        <w:tc>
          <w:tcPr>
            <w:tcW w:w="8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5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竹口储</w:t>
            </w:r>
          </w:p>
        </w:tc>
        <w:tc>
          <w:tcPr>
            <w:tcW w:w="1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0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后丁</w:t>
            </w:r>
          </w:p>
        </w:tc>
        <w:tc>
          <w:tcPr>
            <w:tcW w:w="21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6000</w:t>
            </w:r>
          </w:p>
        </w:tc>
        <w:tc>
          <w:tcPr>
            <w:tcW w:w="8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5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王社</w:t>
            </w:r>
          </w:p>
        </w:tc>
        <w:tc>
          <w:tcPr>
            <w:tcW w:w="1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0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w:t>
            </w:r>
          </w:p>
        </w:tc>
        <w:tc>
          <w:tcPr>
            <w:tcW w:w="21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23000</w:t>
            </w:r>
          </w:p>
        </w:tc>
        <w:tc>
          <w:tcPr>
            <w:tcW w:w="8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5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瓦窑头</w:t>
            </w:r>
          </w:p>
        </w:tc>
        <w:tc>
          <w:tcPr>
            <w:tcW w:w="1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0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翻身</w:t>
            </w:r>
          </w:p>
        </w:tc>
        <w:tc>
          <w:tcPr>
            <w:tcW w:w="21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32000</w:t>
            </w:r>
          </w:p>
        </w:tc>
        <w:tc>
          <w:tcPr>
            <w:tcW w:w="8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5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堂墙</w:t>
            </w:r>
          </w:p>
        </w:tc>
        <w:tc>
          <w:tcPr>
            <w:tcW w:w="1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0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上洋</w:t>
            </w:r>
          </w:p>
        </w:tc>
        <w:tc>
          <w:tcPr>
            <w:tcW w:w="21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17000</w:t>
            </w:r>
          </w:p>
        </w:tc>
        <w:tc>
          <w:tcPr>
            <w:tcW w:w="8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5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西洋</w:t>
            </w:r>
          </w:p>
        </w:tc>
        <w:tc>
          <w:tcPr>
            <w:tcW w:w="1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0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胜利</w:t>
            </w:r>
          </w:p>
        </w:tc>
        <w:tc>
          <w:tcPr>
            <w:tcW w:w="21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25000</w:t>
            </w:r>
          </w:p>
        </w:tc>
        <w:tc>
          <w:tcPr>
            <w:tcW w:w="8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5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大房</w:t>
            </w:r>
          </w:p>
        </w:tc>
        <w:tc>
          <w:tcPr>
            <w:tcW w:w="1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0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后徐</w:t>
            </w:r>
          </w:p>
        </w:tc>
        <w:tc>
          <w:tcPr>
            <w:tcW w:w="21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15000</w:t>
            </w:r>
          </w:p>
        </w:tc>
        <w:tc>
          <w:tcPr>
            <w:tcW w:w="8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5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应家山</w:t>
            </w:r>
          </w:p>
        </w:tc>
        <w:tc>
          <w:tcPr>
            <w:tcW w:w="1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0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大金</w:t>
            </w:r>
          </w:p>
        </w:tc>
        <w:tc>
          <w:tcPr>
            <w:tcW w:w="21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25000</w:t>
            </w:r>
          </w:p>
        </w:tc>
        <w:tc>
          <w:tcPr>
            <w:tcW w:w="8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5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后畈王</w:t>
            </w:r>
          </w:p>
        </w:tc>
        <w:tc>
          <w:tcPr>
            <w:tcW w:w="1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33440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0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前黄</w:t>
            </w:r>
          </w:p>
        </w:tc>
        <w:tc>
          <w:tcPr>
            <w:tcW w:w="21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15000</w:t>
            </w:r>
          </w:p>
        </w:tc>
        <w:tc>
          <w:tcPr>
            <w:tcW w:w="8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5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下洋葛</w:t>
            </w:r>
          </w:p>
        </w:tc>
        <w:tc>
          <w:tcPr>
            <w:tcW w:w="1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0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上山尤</w:t>
            </w:r>
          </w:p>
        </w:tc>
        <w:tc>
          <w:tcPr>
            <w:tcW w:w="21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8500</w:t>
            </w:r>
          </w:p>
        </w:tc>
        <w:tc>
          <w:tcPr>
            <w:tcW w:w="8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5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石家岙</w:t>
            </w:r>
          </w:p>
        </w:tc>
        <w:tc>
          <w:tcPr>
            <w:tcW w:w="1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0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尤家</w:t>
            </w:r>
          </w:p>
        </w:tc>
        <w:tc>
          <w:tcPr>
            <w:tcW w:w="21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18000</w:t>
            </w:r>
          </w:p>
        </w:tc>
        <w:tc>
          <w:tcPr>
            <w:tcW w:w="8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5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杏蒋</w:t>
            </w:r>
          </w:p>
        </w:tc>
        <w:tc>
          <w:tcPr>
            <w:tcW w:w="1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0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下洋顾</w:t>
            </w:r>
          </w:p>
        </w:tc>
        <w:tc>
          <w:tcPr>
            <w:tcW w:w="21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34600</w:t>
            </w:r>
          </w:p>
        </w:tc>
        <w:tc>
          <w:tcPr>
            <w:tcW w:w="8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5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溪旁徐</w:t>
            </w:r>
          </w:p>
        </w:tc>
        <w:tc>
          <w:tcPr>
            <w:tcW w:w="1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0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花山</w:t>
            </w:r>
          </w:p>
        </w:tc>
        <w:tc>
          <w:tcPr>
            <w:tcW w:w="21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30000</w:t>
            </w:r>
          </w:p>
        </w:tc>
        <w:tc>
          <w:tcPr>
            <w:tcW w:w="8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5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横金</w:t>
            </w:r>
          </w:p>
        </w:tc>
        <w:tc>
          <w:tcPr>
            <w:tcW w:w="1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0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塘溪</w:t>
            </w:r>
          </w:p>
        </w:tc>
        <w:tc>
          <w:tcPr>
            <w:tcW w:w="21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48000</w:t>
            </w:r>
          </w:p>
        </w:tc>
        <w:tc>
          <w:tcPr>
            <w:tcW w:w="8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5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 w:hRule="atLeast"/>
        </w:trPr>
        <w:tc>
          <w:tcPr>
            <w:tcW w:w="6449"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1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812370</w:t>
            </w:r>
          </w:p>
        </w:tc>
      </w:tr>
    </w:tbl>
    <w:p>
      <w:pPr>
        <w:spacing w:line="360" w:lineRule="auto"/>
        <w:ind w:firstLine="420" w:firstLineChars="0"/>
        <w:jc w:val="left"/>
        <w:rPr>
          <w:rFonts w:hint="default" w:ascii="宋体" w:hAnsi="宋体" w:eastAsia="宋体" w:cs="宋体"/>
          <w:szCs w:val="21"/>
          <w:highlight w:val="none"/>
          <w:lang w:val="en-US"/>
        </w:rPr>
      </w:pPr>
      <w:r>
        <w:rPr>
          <w:rFonts w:hint="eastAsia" w:ascii="宋体" w:hAnsi="宋体" w:cs="宋体"/>
          <w:color w:val="auto"/>
          <w:highlight w:val="none"/>
          <w:lang w:val="en-US" w:eastAsia="zh-CN"/>
        </w:rPr>
        <w:t>此外，各村存在开放区域（含入本次保洁范围，占比约为村社道路面积的20%，费用不另计，含入本次保洁费用内），中标人需要进行垃圾捡拾。采购人有权根据实际需要对保洁面积及服务等级进行调整（调整范围不超过±10%）。</w:t>
      </w:r>
    </w:p>
    <w:p>
      <w:pPr>
        <w:spacing w:line="360" w:lineRule="auto"/>
        <w:ind w:firstLine="420" w:firstLineChars="0"/>
        <w:jc w:val="left"/>
        <w:rPr>
          <w:rFonts w:ascii="宋体" w:hAnsi="宋体" w:cs="宋体"/>
          <w:b/>
          <w:szCs w:val="21"/>
          <w:highlight w:val="none"/>
        </w:rPr>
      </w:pPr>
      <w:r>
        <w:rPr>
          <w:rFonts w:hint="eastAsia" w:ascii="宋体" w:hAnsi="宋体" w:cs="宋体"/>
          <w:b/>
          <w:szCs w:val="21"/>
          <w:highlight w:val="none"/>
          <w:lang w:eastAsia="zh-CN"/>
        </w:rPr>
        <w:t>（</w:t>
      </w:r>
      <w:r>
        <w:rPr>
          <w:rFonts w:hint="eastAsia" w:ascii="宋体" w:hAnsi="宋体" w:cs="宋体"/>
          <w:b/>
          <w:szCs w:val="21"/>
          <w:highlight w:val="none"/>
          <w:lang w:val="en-US" w:eastAsia="zh-CN"/>
        </w:rPr>
        <w:t>二</w:t>
      </w:r>
      <w:r>
        <w:rPr>
          <w:rFonts w:hint="eastAsia" w:ascii="宋体" w:hAnsi="宋体" w:cs="宋体"/>
          <w:b/>
          <w:szCs w:val="21"/>
          <w:highlight w:val="none"/>
          <w:lang w:eastAsia="zh-CN"/>
        </w:rPr>
        <w:t>）</w:t>
      </w:r>
      <w:r>
        <w:rPr>
          <w:rFonts w:hint="eastAsia" w:ascii="宋体" w:hAnsi="宋体" w:cs="宋体"/>
          <w:b/>
          <w:szCs w:val="21"/>
          <w:highlight w:val="none"/>
        </w:rPr>
        <w:t>服务</w:t>
      </w:r>
      <w:r>
        <w:rPr>
          <w:rFonts w:hint="eastAsia" w:ascii="宋体" w:hAnsi="宋体" w:cs="宋体"/>
          <w:b/>
          <w:szCs w:val="21"/>
          <w:highlight w:val="none"/>
          <w:lang w:val="en-US" w:eastAsia="zh-CN"/>
        </w:rPr>
        <w:t>基本内容</w:t>
      </w:r>
      <w:r>
        <w:rPr>
          <w:rFonts w:hint="eastAsia" w:ascii="宋体" w:hAnsi="宋体" w:cs="宋体"/>
          <w:b/>
          <w:szCs w:val="21"/>
          <w:highlight w:val="none"/>
        </w:rPr>
        <w:t>：</w:t>
      </w:r>
    </w:p>
    <w:p>
      <w:pPr>
        <w:pStyle w:val="198"/>
        <w:adjustRightInd/>
        <w:spacing w:line="360" w:lineRule="auto"/>
        <w:ind w:left="0"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1、村内环卫保洁</w:t>
      </w:r>
    </w:p>
    <w:p>
      <w:pPr>
        <w:pStyle w:val="198"/>
        <w:adjustRightInd/>
        <w:spacing w:line="360" w:lineRule="auto"/>
        <w:ind w:left="0"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主要包括对辖区行政村和股份经济合作社范围内的道路、绿化带进行清扫，对拆迁地块、边沟、池塘等其他开放区域内的垃圾进行捡拾，确保视线可见范围内无明显垃圾痕迹；对各行政村的公厕进行保洁，对三乱进行清理，对建筑垃圾进行清运等。</w:t>
      </w:r>
    </w:p>
    <w:p>
      <w:pPr>
        <w:pStyle w:val="198"/>
        <w:adjustRightInd/>
        <w:spacing w:line="360" w:lineRule="auto"/>
        <w:ind w:left="0"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2、生活垃圾清运</w:t>
      </w:r>
    </w:p>
    <w:p>
      <w:pPr>
        <w:pStyle w:val="198"/>
        <w:adjustRightInd/>
        <w:spacing w:line="360" w:lineRule="auto"/>
        <w:ind w:left="0"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以上门收集的方式对各村</w:t>
      </w:r>
      <w:r>
        <w:rPr>
          <w:rFonts w:hint="eastAsia" w:hAnsi="宋体" w:cs="宋体"/>
          <w:szCs w:val="21"/>
          <w:highlight w:val="none"/>
          <w:lang w:val="en-US" w:eastAsia="zh-CN"/>
        </w:rPr>
        <w:t>每日</w:t>
      </w:r>
      <w:r>
        <w:rPr>
          <w:rFonts w:hint="eastAsia" w:ascii="宋体" w:hAnsi="宋体" w:eastAsia="宋体" w:cs="宋体"/>
          <w:szCs w:val="21"/>
          <w:highlight w:val="none"/>
          <w:lang w:val="en-US" w:eastAsia="zh-CN"/>
        </w:rPr>
        <w:t>产生的生活垃圾</w:t>
      </w:r>
      <w:r>
        <w:rPr>
          <w:rFonts w:hint="eastAsia" w:hAnsi="宋体" w:cs="宋体"/>
          <w:szCs w:val="21"/>
          <w:highlight w:val="none"/>
          <w:lang w:val="en-US" w:eastAsia="zh-CN"/>
        </w:rPr>
        <w:t>（含厨余垃圾及其他垃圾，</w:t>
      </w:r>
      <w:r>
        <w:rPr>
          <w:rFonts w:hint="eastAsia" w:ascii="宋体" w:hAnsi="宋体" w:eastAsia="宋体" w:cs="宋体"/>
          <w:color w:val="auto"/>
          <w:sz w:val="21"/>
          <w:szCs w:val="21"/>
          <w:highlight w:val="none"/>
        </w:rPr>
        <w:t>清运必须符合垃圾分类相关要求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如政策变化，</w:t>
      </w:r>
      <w:r>
        <w:rPr>
          <w:rFonts w:hint="eastAsia" w:hAnsi="宋体" w:cs="宋体"/>
          <w:color w:val="auto"/>
          <w:sz w:val="21"/>
          <w:szCs w:val="21"/>
          <w:highlight w:val="none"/>
          <w:lang w:val="en-US" w:eastAsia="zh-CN"/>
        </w:rPr>
        <w:t>中标人</w:t>
      </w:r>
      <w:r>
        <w:rPr>
          <w:rFonts w:hint="eastAsia" w:ascii="宋体" w:hAnsi="宋体" w:eastAsia="宋体" w:cs="宋体"/>
          <w:color w:val="auto"/>
          <w:sz w:val="21"/>
          <w:szCs w:val="21"/>
          <w:highlight w:val="none"/>
          <w:lang w:val="en-US" w:eastAsia="zh-CN"/>
        </w:rPr>
        <w:t>须按照新政策要求执行</w:t>
      </w:r>
      <w:r>
        <w:rPr>
          <w:rFonts w:hint="eastAsia" w:hAnsi="宋体" w:cs="宋体"/>
          <w:szCs w:val="21"/>
          <w:highlight w:val="none"/>
          <w:lang w:val="en-US" w:eastAsia="zh-CN"/>
        </w:rPr>
        <w:t>）及时</w:t>
      </w:r>
      <w:r>
        <w:rPr>
          <w:rFonts w:hint="eastAsia" w:ascii="宋体" w:hAnsi="宋体" w:eastAsia="宋体" w:cs="宋体"/>
          <w:szCs w:val="21"/>
          <w:highlight w:val="none"/>
          <w:lang w:val="en-US" w:eastAsia="zh-CN"/>
        </w:rPr>
        <w:t>进行清运</w:t>
      </w:r>
      <w:r>
        <w:rPr>
          <w:rFonts w:hint="eastAsia" w:hAnsi="宋体" w:cs="宋体"/>
          <w:szCs w:val="21"/>
          <w:highlight w:val="none"/>
          <w:lang w:val="en-US" w:eastAsia="zh-CN"/>
        </w:rPr>
        <w:t>处理，</w:t>
      </w:r>
      <w:r>
        <w:rPr>
          <w:rFonts w:hint="eastAsia" w:ascii="宋体" w:hAnsi="宋体" w:eastAsia="宋体" w:cs="宋体"/>
          <w:color w:val="auto"/>
          <w:kern w:val="2"/>
          <w:sz w:val="21"/>
          <w:szCs w:val="21"/>
          <w:highlight w:val="none"/>
          <w:lang w:val="en-US" w:eastAsia="zh-CN" w:bidi="ar-SA"/>
        </w:rPr>
        <w:t>每天上门收运</w:t>
      </w:r>
      <w:r>
        <w:rPr>
          <w:rFonts w:hint="eastAsia" w:ascii="宋体" w:hAnsi="宋体" w:eastAsia="宋体" w:cs="宋体"/>
          <w:color w:val="auto"/>
          <w:szCs w:val="21"/>
          <w:highlight w:val="none"/>
          <w:lang w:val="en-US" w:eastAsia="zh-CN"/>
        </w:rPr>
        <w:t>不少于</w:t>
      </w:r>
      <w:r>
        <w:rPr>
          <w:rFonts w:hint="eastAsia"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次。</w:t>
      </w:r>
    </w:p>
    <w:p>
      <w:pPr>
        <w:pStyle w:val="198"/>
        <w:numPr>
          <w:ilvl w:val="0"/>
          <w:numId w:val="0"/>
        </w:numPr>
        <w:adjustRightInd/>
        <w:spacing w:line="360" w:lineRule="auto"/>
        <w:ind w:left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3、应急保障工作</w:t>
      </w:r>
    </w:p>
    <w:p>
      <w:pPr>
        <w:pStyle w:val="198"/>
        <w:adjustRightInd/>
        <w:spacing w:line="360" w:lineRule="auto"/>
        <w:ind w:left="0" w:firstLine="420" w:firstLineChars="200"/>
        <w:rPr>
          <w:rFonts w:hint="eastAsia" w:ascii="宋体" w:hAnsi="宋体" w:eastAsia="宋体" w:cs="宋体"/>
          <w:szCs w:val="21"/>
          <w:highlight w:val="none"/>
          <w:lang w:val="en-US" w:eastAsia="zh-CN"/>
        </w:rPr>
      </w:pPr>
      <w:r>
        <w:rPr>
          <w:rFonts w:hint="eastAsia" w:ascii="宋体" w:hAnsi="宋体" w:cs="宋体"/>
          <w:color w:val="auto"/>
          <w:highlight w:val="none"/>
          <w:lang w:val="en-US" w:eastAsia="zh-CN"/>
        </w:rPr>
        <w:t>因</w:t>
      </w:r>
      <w:r>
        <w:rPr>
          <w:rFonts w:hint="eastAsia" w:ascii="宋体" w:hAnsi="宋体" w:cs="宋体"/>
          <w:color w:val="auto"/>
          <w:szCs w:val="21"/>
          <w:highlight w:val="none"/>
        </w:rPr>
        <w:t>防台防汛、雨雪冰冻极端天气</w:t>
      </w:r>
      <w:r>
        <w:rPr>
          <w:rFonts w:hint="eastAsia" w:hAnsi="宋体"/>
          <w:color w:val="auto"/>
          <w:szCs w:val="21"/>
          <w:highlight w:val="none"/>
        </w:rPr>
        <w:t>等自然灾害</w:t>
      </w:r>
      <w:r>
        <w:rPr>
          <w:rFonts w:hint="eastAsia" w:ascii="宋体" w:hAnsi="宋体" w:cs="宋体"/>
          <w:color w:val="auto"/>
          <w:szCs w:val="21"/>
          <w:highlight w:val="none"/>
        </w:rPr>
        <w:t>期间</w:t>
      </w:r>
      <w:r>
        <w:rPr>
          <w:rFonts w:hint="eastAsia" w:ascii="宋体" w:hAnsi="宋体" w:cs="宋体"/>
          <w:color w:val="auto"/>
          <w:szCs w:val="21"/>
          <w:highlight w:val="none"/>
          <w:lang w:val="en-US" w:eastAsia="zh-CN"/>
        </w:rPr>
        <w:t>、</w:t>
      </w:r>
      <w:r>
        <w:rPr>
          <w:rFonts w:hint="eastAsia" w:ascii="宋体" w:hAnsi="宋体"/>
          <w:bCs/>
          <w:color w:val="auto"/>
          <w:szCs w:val="21"/>
          <w:highlight w:val="none"/>
          <w:lang w:val="en-US" w:eastAsia="zh-CN"/>
        </w:rPr>
        <w:t>疫情防控期间、</w:t>
      </w:r>
      <w:r>
        <w:rPr>
          <w:rFonts w:hint="eastAsia" w:ascii="宋体" w:hAnsi="宋体" w:eastAsia="宋体" w:cs="宋体"/>
          <w:szCs w:val="21"/>
          <w:highlight w:val="none"/>
          <w:lang w:val="en-US" w:eastAsia="zh-CN"/>
        </w:rPr>
        <w:t>全国文明城市创建期间</w:t>
      </w:r>
      <w:r>
        <w:rPr>
          <w:rFonts w:hint="eastAsia" w:ascii="宋体" w:hAnsi="宋体"/>
          <w:bCs/>
          <w:color w:val="auto"/>
          <w:szCs w:val="21"/>
          <w:highlight w:val="none"/>
          <w:lang w:val="en-US" w:eastAsia="zh-CN"/>
        </w:rPr>
        <w:t>工作需要</w:t>
      </w:r>
      <w:r>
        <w:rPr>
          <w:rFonts w:hint="eastAsia" w:ascii="宋体" w:hAnsi="宋体" w:cs="宋体"/>
          <w:color w:val="auto"/>
          <w:highlight w:val="none"/>
        </w:rPr>
        <w:t>，道路</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公厕</w:t>
      </w:r>
      <w:r>
        <w:rPr>
          <w:rFonts w:hint="eastAsia" w:ascii="宋体" w:hAnsi="宋体" w:cs="宋体"/>
          <w:color w:val="auto"/>
          <w:highlight w:val="none"/>
          <w:lang w:eastAsia="zh-CN"/>
        </w:rPr>
        <w:t>）</w:t>
      </w:r>
      <w:r>
        <w:rPr>
          <w:rFonts w:hint="eastAsia" w:ascii="宋体" w:hAnsi="宋体" w:cs="宋体"/>
          <w:color w:val="auto"/>
          <w:highlight w:val="none"/>
        </w:rPr>
        <w:t>保洁需增加人员投入，提供应急保障工作。</w:t>
      </w:r>
    </w:p>
    <w:p>
      <w:pPr>
        <w:spacing w:line="360" w:lineRule="auto"/>
        <w:jc w:val="left"/>
        <w:rPr>
          <w:rFonts w:hint="eastAsia" w:ascii="宋体" w:hAnsi="宋体" w:cs="宋体"/>
          <w:b/>
          <w:szCs w:val="21"/>
          <w:highlight w:val="none"/>
        </w:rPr>
      </w:pPr>
      <w:r>
        <w:rPr>
          <w:rFonts w:hint="eastAsia" w:ascii="宋体" w:hAnsi="宋体" w:cs="宋体"/>
          <w:b/>
          <w:szCs w:val="21"/>
          <w:highlight w:val="none"/>
          <w:lang w:val="en-US" w:eastAsia="zh-CN"/>
        </w:rPr>
        <w:t>三</w:t>
      </w:r>
      <w:r>
        <w:rPr>
          <w:rFonts w:hint="eastAsia" w:ascii="宋体" w:hAnsi="宋体" w:cs="宋体"/>
          <w:b/>
          <w:szCs w:val="21"/>
          <w:highlight w:val="none"/>
        </w:rPr>
        <w:t>、服务经费测算</w:t>
      </w:r>
    </w:p>
    <w:p>
      <w:pPr>
        <w:numPr>
          <w:ilvl w:val="0"/>
          <w:numId w:val="8"/>
        </w:numPr>
        <w:spacing w:line="360" w:lineRule="auto"/>
        <w:ind w:left="0" w:firstLine="420"/>
        <w:rPr>
          <w:rFonts w:hint="eastAsia" w:ascii="宋体" w:hAnsi="宋体" w:eastAsia="宋体" w:cs="宋体"/>
          <w:b/>
          <w:color w:val="auto"/>
          <w:sz w:val="24"/>
          <w:highlight w:val="none"/>
        </w:rPr>
      </w:pPr>
      <w:r>
        <w:rPr>
          <w:rFonts w:hint="eastAsia" w:ascii="宋体" w:hAnsi="宋体" w:eastAsia="宋体" w:cs="宋体"/>
          <w:b/>
          <w:bCs/>
          <w:color w:val="auto"/>
          <w:highlight w:val="none"/>
        </w:rPr>
        <w:t>工人工资福利计算表</w:t>
      </w:r>
    </w:p>
    <w:p>
      <w:pPr>
        <w:spacing w:line="360" w:lineRule="auto"/>
        <w:ind w:firstLine="420" w:firstLineChars="0"/>
        <w:jc w:val="left"/>
        <w:rPr>
          <w:rFonts w:hint="eastAsia" w:ascii="宋体" w:hAnsi="宋体" w:cs="宋体"/>
          <w:b/>
          <w:szCs w:val="21"/>
          <w:highlight w:val="none"/>
        </w:rPr>
      </w:pPr>
      <w:r>
        <w:rPr>
          <w:rFonts w:hint="eastAsia" w:ascii="宋体" w:hAnsi="宋体" w:eastAsia="宋体" w:cs="宋体"/>
          <w:color w:val="auto"/>
          <w:szCs w:val="21"/>
          <w:highlight w:val="none"/>
        </w:rPr>
        <w:t>根据《浙江省人民政府办公厅关于进一步改善环卫工人生活条件的促进环卫事业持续健康发展的若干意见》（浙政办〔2009〕190号）、《宁波市城市管理局关于开展环卫工人“爱心早餐”工作的通知》（甬城管〔2015〕12号）、《宁波市2021年度人力资源市场部分职位工资价位及2020年度行业人工成本信息》、《关于公布社会保险有关基数的通知》（浙人社发〔2021〕54号）、《浙江省人民政府关于调整全省最低工资标准的通知》（浙政发〔2021〕22号）、《关于调整宁波市最低工资标准的通知》（甬人社发〔2021〕25号）等测算如下：</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298"/>
        <w:gridCol w:w="2481"/>
        <w:gridCol w:w="4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费用名称</w:t>
            </w:r>
          </w:p>
        </w:tc>
        <w:tc>
          <w:tcPr>
            <w:tcW w:w="248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w:t>
            </w:r>
          </w:p>
        </w:tc>
        <w:tc>
          <w:tcPr>
            <w:tcW w:w="40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780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sz w:val="21"/>
                <w:szCs w:val="21"/>
                <w:highlight w:val="none"/>
              </w:rPr>
            </w:pP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1.基本工资</w:t>
            </w:r>
          </w:p>
        </w:tc>
        <w:tc>
          <w:tcPr>
            <w:tcW w:w="248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保洁员：27324元/人·年。</w:t>
            </w:r>
          </w:p>
        </w:tc>
        <w:tc>
          <w:tcPr>
            <w:tcW w:w="4028"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保洁员按照宁海县最低工资标准2070元/月的1.1倍计，即27324元/人·年。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sz w:val="21"/>
                <w:szCs w:val="21"/>
                <w:highlight w:val="none"/>
              </w:rPr>
            </w:pP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2.社会保险</w:t>
            </w:r>
          </w:p>
        </w:tc>
        <w:tc>
          <w:tcPr>
            <w:tcW w:w="248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11966 元/人·年。</w:t>
            </w:r>
          </w:p>
        </w:tc>
        <w:tc>
          <w:tcPr>
            <w:tcW w:w="4028"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根据《宁波市关于申报2021 年度社会保险费个人缴费基数的通告》，目前社保缴费基数下限调整为3957 元，养老、医疗(生育保险合并医疗里) 、失业、工伤企业缴费费率分别按16%、8.5%、0.5%、0.2%，“五险”缴费标准为997.16元/月， 即11966元/人·年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sz w:val="21"/>
                <w:szCs w:val="21"/>
                <w:highlight w:val="none"/>
              </w:rPr>
            </w:pP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3.住房公积金</w:t>
            </w:r>
          </w:p>
        </w:tc>
        <w:tc>
          <w:tcPr>
            <w:tcW w:w="248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1366 元/人·年。</w:t>
            </w:r>
          </w:p>
        </w:tc>
        <w:tc>
          <w:tcPr>
            <w:tcW w:w="4028"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住房公积金缴存基数按照环卫工人基本工资 2277 元/人·月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标准测算，缴存比例按照 5%的最低缴费比例标准测算，住房公积金缴存标准为 1366 元/人·年。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sz w:val="21"/>
                <w:szCs w:val="21"/>
                <w:highlight w:val="none"/>
              </w:rPr>
            </w:pP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4.爱心早餐补贴</w:t>
            </w:r>
          </w:p>
        </w:tc>
        <w:tc>
          <w:tcPr>
            <w:tcW w:w="248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2128 元/岗·年。</w:t>
            </w:r>
          </w:p>
        </w:tc>
        <w:tc>
          <w:tcPr>
            <w:tcW w:w="4028"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按照出勤天数计算，标准为 7 元/天，计：2432 小时/年 ÷8 小时/天 ×7 元/天=2128 元/年，爱心早餐补贴对象对一线早班环卫工人，因此按照岗位数进行补贴。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sz w:val="21"/>
                <w:szCs w:val="21"/>
                <w:highlight w:val="none"/>
              </w:rPr>
            </w:pP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5.人身意外险</w:t>
            </w:r>
          </w:p>
        </w:tc>
        <w:tc>
          <w:tcPr>
            <w:tcW w:w="248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根据实际保费测算。</w:t>
            </w:r>
          </w:p>
        </w:tc>
        <w:tc>
          <w:tcPr>
            <w:tcW w:w="4028"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包括意外事故和意外残疾2个主要险种，保额均为</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sz w:val="21"/>
                <w:szCs w:val="21"/>
                <w:highlight w:val="none"/>
              </w:rPr>
            </w:pP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6.加班补贴</w:t>
            </w:r>
          </w:p>
        </w:tc>
        <w:tc>
          <w:tcPr>
            <w:tcW w:w="248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根据实际加班情况测算。</w:t>
            </w:r>
          </w:p>
        </w:tc>
        <w:tc>
          <w:tcPr>
            <w:tcW w:w="4028"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加班基数按2277元/月的最低工资标准计，</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rPr>
              <w:t>为13.09元/小时。延长工作时间根据综合工时制，非法定加班按 1.5 倍计算，法定节假日按3倍工资计算</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sz w:val="21"/>
                <w:szCs w:val="21"/>
                <w:highlight w:val="none"/>
              </w:rPr>
            </w:pP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7.特殊岗位津贴</w:t>
            </w:r>
          </w:p>
        </w:tc>
        <w:tc>
          <w:tcPr>
            <w:tcW w:w="248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3040 元/人·年。</w:t>
            </w:r>
          </w:p>
        </w:tc>
        <w:tc>
          <w:tcPr>
            <w:tcW w:w="4028"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特殊岗位津贴根据实际出勤率，按照每人每天10元发放，计：2432小时/年÷8 小时/天×10元/天=3040元/人·年。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sz w:val="21"/>
                <w:szCs w:val="21"/>
                <w:highlight w:val="none"/>
              </w:rPr>
            </w:pP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8.环卫工人福利及体检</w:t>
            </w:r>
          </w:p>
        </w:tc>
        <w:tc>
          <w:tcPr>
            <w:tcW w:w="248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1800 元/人·年。</w:t>
            </w:r>
          </w:p>
        </w:tc>
        <w:tc>
          <w:tcPr>
            <w:tcW w:w="4028"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根据《关于印发进一步加强市容环卫行业管理实施意见的通知》( 甬政办发〔2014〕70号) 、《浙江省政府办公厅关于进一步改善环卫工人工作生活条件促进环卫事业持续健康发展的若干意见》 (浙政办发〔2009〕190号)，建立健全环卫工人定期健康体检制度，并适当保障环卫工人福利待遇。按照历年实际标准，每年每人 1500元福利费以及每年进行一次体检(300元)，共计1800元/人·年。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w:t>
            </w:r>
          </w:p>
        </w:tc>
        <w:tc>
          <w:tcPr>
            <w:tcW w:w="780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材料工具费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sz w:val="21"/>
                <w:szCs w:val="21"/>
                <w:highlight w:val="none"/>
                <w:lang w:val="en-US" w:eastAsia="zh-CN"/>
              </w:rPr>
            </w:pP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1.劳保用品</w:t>
            </w:r>
          </w:p>
        </w:tc>
        <w:tc>
          <w:tcPr>
            <w:tcW w:w="248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1423 元/人·年。</w:t>
            </w:r>
          </w:p>
        </w:tc>
        <w:tc>
          <w:tcPr>
            <w:tcW w:w="40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主要包括：各类保洁作业中须使用的工作服，工作鞋，雨衣、雨鞋、工作帽、手套、香皂、洗衣粉等劳保品的消耗，共计 1423 元/年·人。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sz w:val="21"/>
                <w:szCs w:val="21"/>
                <w:highlight w:val="none"/>
                <w:lang w:val="en-US" w:eastAsia="zh-CN"/>
              </w:rPr>
            </w:pP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2.工具材料</w:t>
            </w:r>
          </w:p>
        </w:tc>
        <w:tc>
          <w:tcPr>
            <w:tcW w:w="248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2920 元/年 ·年。</w:t>
            </w:r>
          </w:p>
        </w:tc>
        <w:tc>
          <w:tcPr>
            <w:tcW w:w="40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主要包括：扫帚、人力车、畚斗、铁锹等用品，共计 2920 元/年·年</w:t>
            </w:r>
            <w:r>
              <w:rPr>
                <w:rFonts w:hint="eastAsia" w:ascii="宋体" w:hAnsi="宋体" w:eastAsia="宋体" w:cs="宋体"/>
                <w:color w:val="auto"/>
                <w:sz w:val="21"/>
                <w:szCs w:val="21"/>
                <w:highlight w:val="none"/>
                <w:lang w:eastAsia="zh-CN"/>
              </w:rPr>
              <w:t>。</w:t>
            </w:r>
          </w:p>
        </w:tc>
      </w:tr>
    </w:tbl>
    <w:p>
      <w:pPr>
        <w:spacing w:line="360" w:lineRule="auto"/>
        <w:jc w:val="left"/>
        <w:rPr>
          <w:rFonts w:hint="eastAsia" w:ascii="宋体" w:hAnsi="宋体" w:cs="宋体"/>
          <w:b/>
          <w:szCs w:val="21"/>
          <w:highlight w:val="none"/>
          <w:lang w:val="en-US" w:eastAsia="zh-CN"/>
        </w:rPr>
      </w:pPr>
      <w:r>
        <w:rPr>
          <w:rFonts w:hint="eastAsia" w:ascii="宋体" w:hAnsi="宋体" w:cs="宋体"/>
          <w:b/>
          <w:szCs w:val="21"/>
          <w:highlight w:val="none"/>
        </w:rPr>
        <w:t>注：★1.供应商拟投入本项目人员工资福利低于上表标准的作无效标处理。</w:t>
      </w:r>
      <w:r>
        <w:rPr>
          <w:rFonts w:hint="eastAsia" w:ascii="宋体" w:hAnsi="宋体" w:cs="宋体"/>
          <w:b/>
          <w:szCs w:val="21"/>
          <w:highlight w:val="none"/>
          <w:lang w:val="en-US" w:eastAsia="zh-CN"/>
        </w:rPr>
        <w:t>其中社会保险、住房公积金仅适用于未达到法定退休年龄的人员（男性：60周岁以下；女性：50周岁以下）。</w:t>
      </w:r>
    </w:p>
    <w:p>
      <w:pPr>
        <w:spacing w:line="360" w:lineRule="auto"/>
        <w:jc w:val="left"/>
        <w:rPr>
          <w:rFonts w:hint="eastAsia" w:ascii="宋体" w:hAnsi="宋体" w:cs="宋体"/>
          <w:b/>
          <w:szCs w:val="21"/>
          <w:highlight w:val="none"/>
        </w:rPr>
      </w:pPr>
      <w:r>
        <w:rPr>
          <w:rFonts w:hint="eastAsia" w:ascii="宋体" w:hAnsi="宋体" w:cs="宋体"/>
          <w:b/>
          <w:szCs w:val="21"/>
          <w:highlight w:val="none"/>
        </w:rPr>
        <w:t>2.合同履行期限内，如有最新政策要求，人员费用及福利等应按照最新标准执行。</w:t>
      </w:r>
    </w:p>
    <w:p>
      <w:pPr>
        <w:spacing w:line="360" w:lineRule="auto"/>
        <w:jc w:val="left"/>
        <w:rPr>
          <w:rFonts w:hint="eastAsia" w:ascii="宋体" w:hAnsi="宋体" w:cs="宋体"/>
          <w:b/>
          <w:szCs w:val="21"/>
          <w:highlight w:val="none"/>
        </w:rPr>
      </w:pPr>
      <w:r>
        <w:rPr>
          <w:rFonts w:hint="eastAsia" w:ascii="宋体" w:hAnsi="宋体" w:cs="宋体"/>
          <w:b/>
          <w:szCs w:val="21"/>
          <w:highlight w:val="none"/>
        </w:rPr>
        <w:t>★3.拟投入本项目的所有人员的人员经费均需含入投标总价内，不接受人员的人员经费由公司另行支付或安排支出的情况。</w:t>
      </w:r>
    </w:p>
    <w:p>
      <w:pPr>
        <w:numPr>
          <w:ilvl w:val="0"/>
          <w:numId w:val="9"/>
        </w:numPr>
        <w:tabs>
          <w:tab w:val="center" w:pos="4156"/>
        </w:tabs>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人员和车辆</w:t>
      </w:r>
      <w:r>
        <w:rPr>
          <w:rFonts w:hint="eastAsia" w:ascii="宋体" w:hAnsi="宋体" w:cs="宋体"/>
          <w:b/>
          <w:color w:val="auto"/>
          <w:szCs w:val="21"/>
          <w:highlight w:val="none"/>
          <w:lang w:val="en-US" w:eastAsia="zh-CN"/>
        </w:rPr>
        <w:t>设备等</w:t>
      </w:r>
      <w:r>
        <w:rPr>
          <w:rFonts w:hint="eastAsia" w:ascii="宋体" w:hAnsi="宋体" w:cs="宋体"/>
          <w:b/>
          <w:color w:val="auto"/>
          <w:szCs w:val="21"/>
          <w:highlight w:val="none"/>
        </w:rPr>
        <w:t>配置要求</w:t>
      </w:r>
    </w:p>
    <w:p>
      <w:pPr>
        <w:numPr>
          <w:ilvl w:val="0"/>
          <w:numId w:val="10"/>
        </w:numPr>
        <w:spacing w:line="360" w:lineRule="auto"/>
        <w:ind w:firstLine="0"/>
        <w:rPr>
          <w:rFonts w:hint="eastAsia" w:ascii="宋体" w:hAnsi="宋体" w:cs="宋体"/>
          <w:b/>
          <w:bCs/>
          <w:color w:val="auto"/>
          <w:highlight w:val="none"/>
        </w:rPr>
      </w:pPr>
      <w:r>
        <w:rPr>
          <w:rFonts w:hint="eastAsia" w:ascii="宋体" w:hAnsi="宋体" w:cs="宋体"/>
          <w:b/>
          <w:bCs/>
          <w:color w:val="auto"/>
          <w:highlight w:val="none"/>
          <w:lang w:val="en-US" w:eastAsia="zh-CN"/>
        </w:rPr>
        <w:t>总体要求</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（1）人员、车辆、机械设备等允许在中标后进行配置。</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★（2）供应商需承诺：（投标文件中须提供相关承诺书，格式见第六章）</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1.拟投入本项目的人员应按投标文件中承诺的人数，在进驻日前应全部配置完</w:t>
      </w:r>
      <w:r>
        <w:rPr>
          <w:rFonts w:hint="eastAsia" w:ascii="宋体" w:hAnsi="宋体" w:eastAsia="宋体" w:cs="宋体"/>
          <w:color w:val="auto"/>
          <w:szCs w:val="21"/>
          <w:highlight w:val="none"/>
        </w:rPr>
        <w:t>毕</w:t>
      </w:r>
      <w:r>
        <w:rPr>
          <w:rFonts w:hint="eastAsia" w:ascii="宋体" w:hAnsi="宋体" w:eastAsia="宋体" w:cs="宋体"/>
          <w:color w:val="auto"/>
          <w:szCs w:val="21"/>
          <w:highlight w:val="none"/>
          <w:lang w:eastAsia="zh-CN"/>
        </w:rPr>
        <w:t>。</w:t>
      </w:r>
    </w:p>
    <w:p>
      <w:pPr>
        <w:spacing w:line="360" w:lineRule="auto"/>
        <w:ind w:firstLine="420" w:firstLineChars="200"/>
        <w:rPr>
          <w:rFonts w:hint="default"/>
          <w:color w:val="auto"/>
          <w:highlight w:val="none"/>
          <w:lang w:val="en-US" w:eastAsia="zh-CN"/>
        </w:rPr>
      </w:pPr>
      <w:r>
        <w:rPr>
          <w:rFonts w:hint="eastAsia" w:ascii="宋体" w:hAnsi="宋体" w:eastAsia="宋体" w:cs="宋体"/>
          <w:color w:val="auto"/>
          <w:szCs w:val="21"/>
          <w:highlight w:val="none"/>
          <w:lang w:val="en-US" w:eastAsia="zh-CN"/>
        </w:rPr>
        <w:t>在进驻日，如存在人数未达到投标承诺的：采购人将</w:t>
      </w:r>
      <w:r>
        <w:rPr>
          <w:rFonts w:hint="eastAsia" w:ascii="宋体" w:hAnsi="宋体" w:eastAsia="宋体" w:cs="宋体"/>
          <w:color w:val="auto"/>
          <w:szCs w:val="21"/>
          <w:highlight w:val="none"/>
        </w:rPr>
        <w:t>下达整改通知</w:t>
      </w:r>
      <w:r>
        <w:rPr>
          <w:rFonts w:hint="eastAsia" w:ascii="宋体" w:hAnsi="宋体" w:eastAsia="宋体" w:cs="宋体"/>
          <w:color w:val="auto"/>
          <w:szCs w:val="21"/>
          <w:highlight w:val="none"/>
          <w:lang w:val="en-US" w:eastAsia="zh-CN"/>
        </w:rPr>
        <w:t>，同时按1万元/天进行扣罚；如在进驻日起15日（含进驻日）内中标人未按规定整改完成的，次日起，采购人将按3万元/天进行扣罚；扣罚费用在服务经费中支出。如在进驻日起60日（含进驻日）内中标人仍未按规定整改完成的，采购人将有权单方面解除合同，并不予支付保洁服务经费。</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2.在投标文件中承诺投入本项目的车辆、机械设备等在进驻日前应全部配置完</w:t>
      </w:r>
      <w:r>
        <w:rPr>
          <w:rFonts w:hint="eastAsia" w:ascii="宋体" w:hAnsi="宋体" w:eastAsia="宋体" w:cs="宋体"/>
          <w:color w:val="auto"/>
          <w:szCs w:val="21"/>
          <w:highlight w:val="none"/>
        </w:rPr>
        <w:t>毕</w:t>
      </w:r>
      <w:r>
        <w:rPr>
          <w:rFonts w:hint="eastAsia" w:ascii="宋体" w:hAnsi="宋体" w:eastAsia="宋体" w:cs="宋体"/>
          <w:color w:val="auto"/>
          <w:szCs w:val="21"/>
          <w:highlight w:val="none"/>
          <w:lang w:eastAsia="zh-CN"/>
        </w:rPr>
        <w:t>。</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在进驻日，如存在数量未达到投标承诺的：采购人将</w:t>
      </w:r>
      <w:r>
        <w:rPr>
          <w:rFonts w:hint="eastAsia" w:ascii="宋体" w:hAnsi="宋体" w:eastAsia="宋体" w:cs="宋体"/>
          <w:color w:val="auto"/>
          <w:szCs w:val="21"/>
          <w:highlight w:val="none"/>
        </w:rPr>
        <w:t>下达整改通知</w:t>
      </w:r>
      <w:r>
        <w:rPr>
          <w:rFonts w:hint="eastAsia" w:ascii="宋体" w:hAnsi="宋体" w:eastAsia="宋体" w:cs="宋体"/>
          <w:color w:val="auto"/>
          <w:szCs w:val="21"/>
          <w:highlight w:val="none"/>
          <w:lang w:val="en-US" w:eastAsia="zh-CN"/>
        </w:rPr>
        <w:t>，同时按1万元/天进行扣罚；如在进驻日起15日（含进驻日）内中标人未按规定整改完成的，次日起，采购人将按3万元/天进行扣罚；扣罚费用在服务经费中支出。如在进驻日起60日（含进驻日）内中标人仍未按规定整改完成的，采购人将有权单方面解除合同，并不予支付保洁服务经费。</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在进驻日，如投标文件中列明的拟投入本项目的车辆（或其他机械设备）与实际投入车辆（或其他机械设备）不一致的：采购人将</w:t>
      </w:r>
      <w:r>
        <w:rPr>
          <w:rFonts w:hint="eastAsia" w:ascii="宋体" w:hAnsi="宋体" w:eastAsia="宋体" w:cs="宋体"/>
          <w:color w:val="auto"/>
          <w:szCs w:val="21"/>
          <w:highlight w:val="none"/>
        </w:rPr>
        <w:t>下达整改通知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中标人需提供同规格、型号车辆（或其他机械设备）或经采购人认可的优于投标文件承诺规格、型号车辆（或其他机械设备）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同时按1万元/天进行扣罚；如在进驻日起15日（含进驻日）内中标人未按规定整改完成的，次日起，采购人将按3万元/天进行扣罚；扣罚费用在服务经费中支出。如在进驻日起60日（含进驻日）内中标人仍未按规定整改完成的，采购人将有权单方面解除合同，并不予支付保洁服务经费。</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注：优于投标文件承诺规格、型号车辆（或其他机械设备）认定：</w:t>
      </w:r>
    </w:p>
    <w:p>
      <w:pPr>
        <w:numPr>
          <w:ilvl w:val="0"/>
          <w:numId w:val="11"/>
        </w:numPr>
        <w:spacing w:line="360" w:lineRule="auto"/>
        <w:ind w:left="0" w:lef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购置金额需高于投标文件中拟投入设备购置金额。【提供替换车辆（或其他机械设备）的购置发票与原拟投入车辆（或其他机械设备）的购置发票。】</w:t>
      </w:r>
    </w:p>
    <w:p>
      <w:pPr>
        <w:numPr>
          <w:ilvl w:val="0"/>
          <w:numId w:val="11"/>
        </w:numPr>
        <w:spacing w:line="360" w:lineRule="auto"/>
        <w:ind w:left="0" w:leftChars="0"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保洁作业功能需高于原拟投入车辆（或其他机械设备）：提供相关证明材料。</w:t>
      </w:r>
    </w:p>
    <w:p>
      <w:pPr>
        <w:numPr>
          <w:ilvl w:val="0"/>
          <w:numId w:val="10"/>
        </w:numPr>
        <w:spacing w:line="360" w:lineRule="auto"/>
        <w:ind w:firstLine="0"/>
        <w:rPr>
          <w:rFonts w:hint="eastAsia" w:ascii="宋体" w:hAnsi="宋体" w:cs="宋体"/>
          <w:b/>
          <w:bCs/>
          <w:color w:val="auto"/>
          <w:highlight w:val="none"/>
        </w:rPr>
      </w:pPr>
      <w:r>
        <w:rPr>
          <w:rFonts w:hint="eastAsia" w:ascii="宋体" w:hAnsi="宋体" w:cs="宋体"/>
          <w:b/>
          <w:color w:val="auto"/>
          <w:szCs w:val="21"/>
          <w:highlight w:val="none"/>
        </w:rPr>
        <w:t>人员配置要求</w:t>
      </w:r>
    </w:p>
    <w:p>
      <w:pPr>
        <w:numPr>
          <w:ilvl w:val="0"/>
          <w:numId w:val="12"/>
        </w:numPr>
        <w:spacing w:line="360" w:lineRule="auto"/>
        <w:rPr>
          <w:rFonts w:hint="eastAsia" w:ascii="宋体" w:hAnsi="宋体" w:cs="宋体"/>
          <w:b/>
          <w:bCs/>
          <w:color w:val="auto"/>
          <w:highlight w:val="none"/>
        </w:rPr>
      </w:pPr>
      <w:r>
        <w:rPr>
          <w:rFonts w:hint="eastAsia" w:ascii="宋体" w:hAnsi="宋体" w:cs="宋体"/>
          <w:b/>
          <w:bCs/>
          <w:color w:val="auto"/>
          <w:highlight w:val="none"/>
        </w:rPr>
        <w:t>基本数量要求</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4624"/>
        <w:gridCol w:w="2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210"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4624"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项目内容</w:t>
            </w:r>
          </w:p>
        </w:tc>
        <w:tc>
          <w:tcPr>
            <w:tcW w:w="2586"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最低人员配置数量（人）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210"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一</w:t>
            </w:r>
          </w:p>
        </w:tc>
        <w:tc>
          <w:tcPr>
            <w:tcW w:w="4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eastAsia="宋体" w:cs="宋体"/>
                <w:szCs w:val="21"/>
                <w:highlight w:val="none"/>
                <w:lang w:val="en-US" w:eastAsia="zh-CN"/>
              </w:rPr>
              <w:t>村内环卫保洁</w:t>
            </w:r>
          </w:p>
        </w:tc>
        <w:tc>
          <w:tcPr>
            <w:tcW w:w="2586" w:type="dxa"/>
            <w:vMerge w:val="restart"/>
            <w:tcBorders>
              <w:top w:val="single" w:color="auto" w:sz="4" w:space="0"/>
              <w:left w:val="single" w:color="auto" w:sz="4" w:space="0"/>
              <w:right w:val="single" w:color="auto" w:sz="4" w:space="0"/>
            </w:tcBorders>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210" w:type="dxa"/>
            <w:tcBorders>
              <w:left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二</w:t>
            </w:r>
          </w:p>
        </w:tc>
        <w:tc>
          <w:tcPr>
            <w:tcW w:w="4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生活垃圾清运</w:t>
            </w:r>
          </w:p>
        </w:tc>
        <w:tc>
          <w:tcPr>
            <w:tcW w:w="2586"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210" w:type="dxa"/>
            <w:tcBorders>
              <w:left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三</w:t>
            </w:r>
          </w:p>
        </w:tc>
        <w:tc>
          <w:tcPr>
            <w:tcW w:w="4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安全员</w:t>
            </w:r>
          </w:p>
        </w:tc>
        <w:tc>
          <w:tcPr>
            <w:tcW w:w="2586"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bl>
    <w:p>
      <w:pPr>
        <w:numPr>
          <w:ilvl w:val="0"/>
          <w:numId w:val="12"/>
        </w:numPr>
        <w:spacing w:line="360" w:lineRule="auto"/>
        <w:rPr>
          <w:rFonts w:hint="eastAsia" w:ascii="宋体" w:hAnsi="宋体" w:cs="宋体"/>
          <w:b/>
          <w:bCs/>
          <w:color w:val="auto"/>
          <w:highlight w:val="none"/>
        </w:rPr>
      </w:pPr>
      <w:r>
        <w:rPr>
          <w:rFonts w:hint="eastAsia" w:ascii="宋体" w:hAnsi="宋体" w:cs="宋体"/>
          <w:b/>
          <w:bCs/>
          <w:color w:val="auto"/>
          <w:highlight w:val="none"/>
        </w:rPr>
        <w:t>其他要求</w:t>
      </w:r>
    </w:p>
    <w:p>
      <w:pPr>
        <w:numPr>
          <w:ilvl w:val="0"/>
          <w:numId w:val="0"/>
        </w:numPr>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1.供应商拟投入本项目的人员数量不得低于上述要求的最低人员配置数量，否则作无效标处理。（投标文件中须提供相关承诺书，格式见第六章）</w:t>
      </w:r>
    </w:p>
    <w:p>
      <w:pPr>
        <w:spacing w:line="360" w:lineRule="auto"/>
        <w:rPr>
          <w:rFonts w:hint="eastAsia" w:ascii="宋体" w:hAnsi="宋体" w:eastAsia="宋体" w:cs="宋体"/>
          <w:bCs/>
          <w:color w:val="auto"/>
          <w:kern w:val="0"/>
          <w:szCs w:val="21"/>
          <w:highlight w:val="none"/>
          <w:lang w:val="en-US" w:eastAsia="zh-CN"/>
        </w:rPr>
      </w:pPr>
      <w:r>
        <w:rPr>
          <w:rFonts w:hint="eastAsia" w:ascii="宋体" w:hAnsi="宋体" w:cs="宋体"/>
          <w:b/>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cs="宋体"/>
          <w:bCs/>
          <w:color w:val="auto"/>
          <w:kern w:val="0"/>
          <w:szCs w:val="21"/>
          <w:highlight w:val="none"/>
          <w:lang w:val="en-US" w:eastAsia="zh-CN"/>
        </w:rPr>
        <w:t>供应商需承诺投入本项目的项目负责人须与投标文件所列举的一致。服务期间</w:t>
      </w:r>
      <w:r>
        <w:rPr>
          <w:rFonts w:hint="eastAsia" w:ascii="宋体" w:hAnsi="宋体" w:eastAsia="宋体" w:cs="宋体"/>
          <w:bCs/>
          <w:color w:val="auto"/>
          <w:kern w:val="0"/>
          <w:szCs w:val="21"/>
          <w:highlight w:val="none"/>
          <w:lang w:val="en-US" w:eastAsia="zh-CN"/>
        </w:rPr>
        <w:t>一般不得更换项目负责人，特殊情况必须更换项目负责人的，须在满足工作需求的情况下，经采购人书面同意后方可更换，无正当理由擅自更换项目负责人的须向采购人支付每人次50000元的违约金。（投标文件中须提供相关承诺书，格式见第六章）</w:t>
      </w:r>
    </w:p>
    <w:p>
      <w:pPr>
        <w:spacing w:line="360" w:lineRule="auto"/>
        <w:rPr>
          <w:rFonts w:hint="eastAsia" w:ascii="宋体" w:hAnsi="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中标人原</w:t>
      </w:r>
      <w:r>
        <w:rPr>
          <w:rFonts w:hint="eastAsia" w:ascii="宋体" w:hAnsi="宋体" w:cs="宋体"/>
          <w:color w:val="auto"/>
          <w:szCs w:val="21"/>
          <w:highlight w:val="none"/>
        </w:rPr>
        <w:t>则上应优先收购原保洁车辆</w:t>
      </w:r>
      <w:r>
        <w:rPr>
          <w:rFonts w:hint="eastAsia" w:ascii="宋体" w:hAnsi="宋体" w:cs="宋体"/>
          <w:color w:val="auto"/>
          <w:szCs w:val="21"/>
          <w:highlight w:val="none"/>
          <w:lang w:val="en-US" w:eastAsia="zh-CN"/>
        </w:rPr>
        <w:t>并</w:t>
      </w:r>
      <w:r>
        <w:rPr>
          <w:rFonts w:hint="eastAsia" w:ascii="宋体" w:hAnsi="宋体" w:cs="宋体"/>
          <w:color w:val="auto"/>
          <w:szCs w:val="21"/>
          <w:highlight w:val="none"/>
        </w:rPr>
        <w:t>优先聘用原保洁作业人员。</w:t>
      </w:r>
    </w:p>
    <w:p>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.要求</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在投标方案中根据道路保洁明细表单独列出每条道路保洁人员配置数量及其他环卫考核管理工作人员数量。</w:t>
      </w:r>
    </w:p>
    <w:p>
      <w:pPr>
        <w:spacing w:line="360" w:lineRule="auto"/>
        <w:rPr>
          <w:rFonts w:hint="eastAsia" w:ascii="宋体" w:hAnsi="宋体" w:cs="宋体"/>
          <w:bCs/>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bCs/>
          <w:color w:val="auto"/>
          <w:szCs w:val="21"/>
          <w:highlight w:val="none"/>
        </w:rPr>
        <w:t>驾驶员应具备相应工种资格证，带证上岗，并定时接受培训。</w:t>
      </w:r>
      <w:r>
        <w:rPr>
          <w:rFonts w:hint="eastAsia" w:ascii="宋体" w:hAnsi="宋体" w:cs="宋体"/>
          <w:color w:val="auto"/>
          <w:szCs w:val="21"/>
          <w:highlight w:val="none"/>
        </w:rPr>
        <w:t>（投标文件中须提供相关承诺书，格式见第六章）</w:t>
      </w:r>
    </w:p>
    <w:p>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.本项目配备的从业人员基本要求：</w:t>
      </w:r>
    </w:p>
    <w:p>
      <w:pPr>
        <w:numPr>
          <w:ilvl w:val="0"/>
          <w:numId w:val="13"/>
        </w:numPr>
        <w:spacing w:line="360" w:lineRule="auto"/>
        <w:ind w:left="845"/>
        <w:rPr>
          <w:rFonts w:hint="eastAsia" w:ascii="宋体" w:hAnsi="宋体" w:cs="宋体"/>
          <w:color w:val="auto"/>
          <w:szCs w:val="21"/>
          <w:highlight w:val="none"/>
        </w:rPr>
      </w:pPr>
      <w:r>
        <w:rPr>
          <w:rFonts w:hint="eastAsia" w:ascii="宋体" w:hAnsi="宋体" w:cs="宋体"/>
          <w:color w:val="auto"/>
          <w:szCs w:val="21"/>
          <w:highlight w:val="none"/>
        </w:rPr>
        <w:t>身体健康，无器质性疾病；</w:t>
      </w:r>
    </w:p>
    <w:p>
      <w:pPr>
        <w:numPr>
          <w:ilvl w:val="0"/>
          <w:numId w:val="13"/>
        </w:numPr>
        <w:spacing w:line="360" w:lineRule="auto"/>
        <w:ind w:left="845"/>
        <w:rPr>
          <w:rFonts w:hint="eastAsia" w:ascii="宋体" w:hAnsi="宋体" w:cs="宋体"/>
          <w:color w:val="auto"/>
          <w:szCs w:val="21"/>
          <w:highlight w:val="none"/>
        </w:rPr>
      </w:pPr>
      <w:r>
        <w:rPr>
          <w:rFonts w:hint="eastAsia" w:ascii="宋体" w:hAnsi="宋体" w:cs="宋体"/>
          <w:color w:val="auto"/>
          <w:szCs w:val="21"/>
          <w:highlight w:val="none"/>
        </w:rPr>
        <w:t>思想端正，无不良记录；</w:t>
      </w:r>
    </w:p>
    <w:p>
      <w:pPr>
        <w:numPr>
          <w:ilvl w:val="0"/>
          <w:numId w:val="13"/>
        </w:numPr>
        <w:spacing w:line="360" w:lineRule="auto"/>
        <w:ind w:left="845"/>
        <w:rPr>
          <w:rFonts w:hint="eastAsia" w:ascii="宋体" w:hAnsi="宋体" w:cs="宋体"/>
          <w:color w:val="auto"/>
          <w:szCs w:val="21"/>
          <w:highlight w:val="none"/>
        </w:rPr>
      </w:pPr>
      <w:r>
        <w:rPr>
          <w:rFonts w:hint="eastAsia" w:ascii="宋体" w:hAnsi="宋体" w:cs="宋体"/>
          <w:color w:val="auto"/>
          <w:szCs w:val="21"/>
          <w:highlight w:val="none"/>
        </w:rPr>
        <w:t>保洁人员规范、服装统一、整洁着装， 佩戴上岗证或胸牌，注意仪表；</w:t>
      </w:r>
    </w:p>
    <w:p>
      <w:pPr>
        <w:numPr>
          <w:ilvl w:val="0"/>
          <w:numId w:val="13"/>
        </w:numPr>
        <w:spacing w:line="360" w:lineRule="auto"/>
        <w:ind w:left="845"/>
        <w:rPr>
          <w:rFonts w:hint="eastAsia" w:ascii="宋体" w:hAnsi="宋体" w:cs="宋体"/>
          <w:color w:val="auto"/>
          <w:szCs w:val="21"/>
          <w:highlight w:val="none"/>
        </w:rPr>
      </w:pPr>
      <w:r>
        <w:rPr>
          <w:rFonts w:hint="eastAsia" w:ascii="宋体" w:hAnsi="宋体" w:cs="宋体"/>
          <w:color w:val="auto"/>
          <w:szCs w:val="21"/>
          <w:highlight w:val="none"/>
        </w:rPr>
        <w:t>不得擅自离岗，如有特殊原因需向单位请假，且由单位安排专人代岗；</w:t>
      </w:r>
    </w:p>
    <w:p>
      <w:pPr>
        <w:numPr>
          <w:ilvl w:val="0"/>
          <w:numId w:val="13"/>
        </w:numPr>
        <w:spacing w:line="360" w:lineRule="auto"/>
        <w:ind w:left="845"/>
        <w:rPr>
          <w:rFonts w:hint="eastAsia" w:ascii="宋体" w:hAnsi="宋体" w:cs="宋体"/>
          <w:color w:val="auto"/>
          <w:szCs w:val="21"/>
          <w:highlight w:val="none"/>
        </w:rPr>
      </w:pPr>
      <w:r>
        <w:rPr>
          <w:rFonts w:hint="eastAsia" w:ascii="宋体" w:hAnsi="宋体" w:cs="宋体"/>
          <w:color w:val="auto"/>
          <w:szCs w:val="21"/>
          <w:highlight w:val="none"/>
        </w:rPr>
        <w:t>工作期间禁止饮酒、文明用餐。</w:t>
      </w:r>
    </w:p>
    <w:p>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.岗位培训要求：</w:t>
      </w:r>
    </w:p>
    <w:p>
      <w:pPr>
        <w:numPr>
          <w:ilvl w:val="0"/>
          <w:numId w:val="14"/>
        </w:numPr>
        <w:spacing w:line="360" w:lineRule="auto"/>
        <w:ind w:left="845"/>
        <w:rPr>
          <w:rFonts w:hint="eastAsia" w:ascii="宋体" w:hAnsi="宋体" w:cs="宋体"/>
          <w:color w:val="auto"/>
          <w:szCs w:val="21"/>
          <w:highlight w:val="none"/>
        </w:rPr>
      </w:pPr>
      <w:r>
        <w:rPr>
          <w:rFonts w:hint="eastAsia" w:ascii="宋体" w:hAnsi="宋体" w:cs="宋体"/>
          <w:color w:val="auto"/>
          <w:szCs w:val="21"/>
          <w:highlight w:val="none"/>
        </w:rPr>
        <w:t>根据法律法规规定，新入职员工必须经过入职培训合格后方可上岗；</w:t>
      </w:r>
    </w:p>
    <w:p>
      <w:pPr>
        <w:numPr>
          <w:ilvl w:val="0"/>
          <w:numId w:val="14"/>
        </w:numPr>
        <w:spacing w:line="360" w:lineRule="auto"/>
        <w:ind w:left="845"/>
        <w:rPr>
          <w:rFonts w:hint="eastAsia" w:ascii="宋体" w:hAnsi="宋体" w:cs="宋体"/>
          <w:color w:val="auto"/>
          <w:szCs w:val="21"/>
          <w:highlight w:val="none"/>
        </w:rPr>
      </w:pPr>
      <w:r>
        <w:rPr>
          <w:rFonts w:hint="eastAsia" w:ascii="宋体" w:hAnsi="宋体" w:cs="宋体"/>
          <w:color w:val="auto"/>
          <w:szCs w:val="21"/>
          <w:highlight w:val="none"/>
        </w:rPr>
        <w:t>人员培训的内容包括公司规章制度、保洁操作流程、保洁质量要求、清洁工具的使用、要注意的事项及安全责任。</w:t>
      </w:r>
    </w:p>
    <w:p>
      <w:pPr>
        <w:spacing w:line="360" w:lineRule="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8.供应商对现场作业人员应配备电子轨迹巡查系统，以确保作业人员在作业过程中的人身安全。采购人可通过电子轨迹巡查系统进行日常检查监督。由此产生的所有费用包含在投标报价中，采购人不另行支付。</w:t>
      </w:r>
    </w:p>
    <w:p>
      <w:pPr>
        <w:numPr>
          <w:ilvl w:val="0"/>
          <w:numId w:val="0"/>
        </w:numPr>
        <w:spacing w:line="360" w:lineRule="auto"/>
        <w:ind w:left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★9.供应商需承诺投入本项目的一线作业人员的劳动合同时间必须跟本合同时间相一致。（投标文件中须提供相关承诺书，格式见第六章）</w:t>
      </w:r>
    </w:p>
    <w:p>
      <w:pPr>
        <w:numPr>
          <w:ilvl w:val="0"/>
          <w:numId w:val="0"/>
        </w:numPr>
        <w:spacing w:line="360" w:lineRule="auto"/>
        <w:ind w:left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★10.供应商须严格按照《宁波市人民政府办公厅关于印发进一步加强市容环卫行业管理实施意见的通知》（甬政办发【2014】70号）的规定执行。（投标文件中须提供相关承诺书，格式见第六章）</w:t>
      </w:r>
    </w:p>
    <w:p>
      <w:pPr>
        <w:numPr>
          <w:ilvl w:val="0"/>
          <w:numId w:val="0"/>
        </w:numPr>
        <w:spacing w:line="360" w:lineRule="auto"/>
        <w:ind w:left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★11.供应商须对所有符合参加人身意外伤害保险条件的人员统一进行参保。（投标文件中须提供相关承诺书《特殊承诺》，格式见第六章）</w:t>
      </w:r>
    </w:p>
    <w:p>
      <w:pPr>
        <w:numPr>
          <w:ilvl w:val="0"/>
          <w:numId w:val="10"/>
        </w:numPr>
        <w:spacing w:line="360" w:lineRule="auto"/>
        <w:ind w:firstLine="0"/>
        <w:rPr>
          <w:rFonts w:hint="eastAsia" w:ascii="宋体" w:hAnsi="宋体" w:cs="宋体"/>
          <w:color w:val="auto"/>
          <w:highlight w:val="none"/>
        </w:rPr>
      </w:pPr>
      <w:r>
        <w:rPr>
          <w:rFonts w:hint="eastAsia" w:ascii="宋体" w:hAnsi="宋体" w:cs="宋体"/>
          <w:b/>
          <w:color w:val="auto"/>
          <w:szCs w:val="21"/>
          <w:highlight w:val="none"/>
        </w:rPr>
        <w:t>车辆配置要求</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车辆吨位认定以行驶证标注的总质量为准</w:t>
      </w:r>
      <w:r>
        <w:rPr>
          <w:rFonts w:hint="eastAsia" w:ascii="宋体" w:hAnsi="宋体" w:cs="宋体"/>
          <w:b/>
          <w:color w:val="auto"/>
          <w:szCs w:val="21"/>
          <w:highlight w:val="none"/>
          <w:lang w:eastAsia="zh-CN"/>
        </w:rPr>
        <w:t>）</w:t>
      </w:r>
    </w:p>
    <w:p>
      <w:pPr>
        <w:spacing w:line="360" w:lineRule="auto"/>
        <w:rPr>
          <w:rFonts w:hint="eastAsia" w:ascii="宋体" w:hAnsi="宋体" w:cs="宋体"/>
          <w:b/>
          <w:bCs/>
          <w:color w:val="auto"/>
          <w:highlight w:val="none"/>
        </w:rPr>
      </w:pPr>
      <w:r>
        <w:rPr>
          <w:rFonts w:hint="eastAsia" w:ascii="宋体" w:hAnsi="宋体" w:cs="宋体"/>
          <w:b/>
          <w:bCs/>
          <w:color w:val="auto"/>
          <w:highlight w:val="none"/>
        </w:rPr>
        <w:t>（1）基本数量要求</w:t>
      </w:r>
    </w:p>
    <w:tbl>
      <w:tblPr>
        <w:tblStyle w:val="46"/>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3542"/>
        <w:gridCol w:w="3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5"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3542"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车辆种类</w:t>
            </w:r>
          </w:p>
        </w:tc>
        <w:tc>
          <w:tcPr>
            <w:tcW w:w="3546"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车辆配置最低数量（辆）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 w:hRule="atLeast"/>
        </w:trPr>
        <w:tc>
          <w:tcPr>
            <w:tcW w:w="1125" w:type="dxa"/>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5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电动三轮车</w:t>
            </w:r>
          </w:p>
        </w:tc>
        <w:tc>
          <w:tcPr>
            <w:tcW w:w="35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49</w:t>
            </w:r>
          </w:p>
        </w:tc>
      </w:tr>
    </w:tbl>
    <w:p>
      <w:pPr>
        <w:spacing w:line="360" w:lineRule="auto"/>
        <w:rPr>
          <w:rFonts w:hint="eastAsia" w:ascii="宋体" w:hAnsi="宋体" w:cs="宋体"/>
          <w:b/>
          <w:bCs/>
          <w:color w:val="auto"/>
          <w:highlight w:val="none"/>
        </w:rPr>
      </w:pPr>
      <w:r>
        <w:rPr>
          <w:rFonts w:hint="eastAsia" w:ascii="宋体" w:hAnsi="宋体" w:cs="宋体"/>
          <w:b/>
          <w:bCs/>
          <w:color w:val="auto"/>
          <w:highlight w:val="none"/>
        </w:rPr>
        <w:t>（2）其他要求</w:t>
      </w:r>
    </w:p>
    <w:p>
      <w:pPr>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1.供应商拟投入本项目的</w:t>
      </w:r>
      <w:r>
        <w:rPr>
          <w:rFonts w:hint="eastAsia" w:ascii="宋体" w:hAnsi="宋体" w:cs="宋体"/>
          <w:color w:val="auto"/>
          <w:szCs w:val="21"/>
          <w:highlight w:val="none"/>
          <w:lang w:val="en-US" w:eastAsia="zh-CN"/>
        </w:rPr>
        <w:t>车辆</w:t>
      </w:r>
      <w:r>
        <w:rPr>
          <w:rFonts w:hint="eastAsia" w:ascii="宋体" w:hAnsi="宋体" w:cs="宋体"/>
          <w:color w:val="auto"/>
          <w:szCs w:val="21"/>
          <w:highlight w:val="none"/>
        </w:rPr>
        <w:t>数量不得低于上述要求的车辆配置最低数量，否则作无效标处理。（投标文件中须提供相关承诺书，格式见第六章）</w:t>
      </w:r>
    </w:p>
    <w:p>
      <w:pPr>
        <w:spacing w:line="360" w:lineRule="auto"/>
        <w:rPr>
          <w:rFonts w:hint="eastAsia" w:ascii="Times New Roman" w:hAnsi="Times New Roman" w:eastAsia="宋体" w:cs="Times New Roman"/>
          <w:color w:val="auto"/>
          <w:highlight w:val="none"/>
          <w:lang w:val="en-US" w:eastAsia="zh-CN"/>
        </w:rPr>
      </w:pPr>
      <w:r>
        <w:rPr>
          <w:rFonts w:hint="eastAsia"/>
          <w:color w:val="auto"/>
          <w:highlight w:val="none"/>
          <w:lang w:val="en-US" w:eastAsia="zh-CN"/>
        </w:rPr>
        <w:t>2.</w:t>
      </w:r>
      <w:r>
        <w:rPr>
          <w:rFonts w:hint="eastAsia"/>
          <w:color w:val="auto"/>
          <w:highlight w:val="none"/>
        </w:rPr>
        <w:t>中标人对所需车辆全部自行出资购置，</w:t>
      </w:r>
      <w:r>
        <w:rPr>
          <w:rFonts w:hint="eastAsia"/>
          <w:color w:val="auto"/>
          <w:highlight w:val="none"/>
          <w:lang w:val="en-US" w:eastAsia="zh-CN"/>
        </w:rPr>
        <w:t>投标文件中需明确拟投入本项目已购置车辆清单（明确车辆规格、型号、品牌、车牌号）。</w:t>
      </w:r>
      <w:r>
        <w:rPr>
          <w:rFonts w:hint="eastAsia"/>
          <w:color w:val="auto"/>
          <w:highlight w:val="none"/>
        </w:rPr>
        <w:t>新购车辆规格、型号、品牌应经采购人核准。在合同期内车辆使用期限达到国家标准要求，超过使用年限的车辆中标人需及时更新换代，另外现有作业车辆配置不能满足日常作业需求时，中标人须增购作业车辆，弥补机械作</w:t>
      </w:r>
      <w:r>
        <w:rPr>
          <w:rFonts w:hint="eastAsia" w:ascii="Times New Roman" w:hAnsi="Times New Roman" w:eastAsia="宋体" w:cs="Times New Roman"/>
          <w:color w:val="auto"/>
          <w:highlight w:val="none"/>
          <w:lang w:val="en-US" w:eastAsia="zh-CN"/>
        </w:rPr>
        <w:t>业量不足，费用不作调整。</w:t>
      </w:r>
    </w:p>
    <w:p>
      <w:pPr>
        <w:spacing w:line="360" w:lineRule="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3.供应商应</w:t>
      </w:r>
      <w:r>
        <w:rPr>
          <w:rFonts w:hint="default" w:ascii="Times New Roman" w:hAnsi="Times New Roman" w:eastAsia="宋体" w:cs="Times New Roman"/>
          <w:color w:val="auto"/>
          <w:highlight w:val="none"/>
          <w:lang w:val="en-US" w:eastAsia="zh-CN"/>
        </w:rPr>
        <w:t>选用新科技、高性能、低能耗的机械车辆，并加强保养和维护。</w:t>
      </w:r>
    </w:p>
    <w:p>
      <w:pPr>
        <w:spacing w:line="360" w:lineRule="auto"/>
        <w:rPr>
          <w:rFonts w:hint="eastAsia" w:ascii="宋体" w:hAnsi="宋体" w:cs="宋体"/>
          <w:b/>
          <w:szCs w:val="21"/>
          <w:highlight w:val="none"/>
        </w:rPr>
      </w:pPr>
      <w:r>
        <w:rPr>
          <w:rFonts w:hint="eastAsia" w:ascii="Times New Roman" w:hAnsi="Times New Roman" w:eastAsia="宋体" w:cs="Times New Roman"/>
          <w:color w:val="auto"/>
          <w:highlight w:val="none"/>
          <w:lang w:val="en-US" w:eastAsia="zh-CN"/>
        </w:rPr>
        <w:t>4.供应商拟投入的所有车辆应符合《中华人民共和国道路交通安全法》以及省、市、县等关于道路通行的相关规定。若出现因违反道路通行规定被依法查处等情况，由中标人自行承担所有责任及后果。</w:t>
      </w:r>
    </w:p>
    <w:p>
      <w:pPr>
        <w:spacing w:line="360" w:lineRule="auto"/>
        <w:jc w:val="left"/>
        <w:rPr>
          <w:rFonts w:ascii="宋体" w:hAnsi="宋体" w:cs="宋体"/>
          <w:kern w:val="0"/>
          <w:szCs w:val="21"/>
          <w:highlight w:val="none"/>
        </w:rPr>
      </w:pPr>
      <w:r>
        <w:rPr>
          <w:rFonts w:hint="eastAsia" w:ascii="宋体" w:hAnsi="宋体" w:cs="宋体"/>
          <w:b/>
          <w:szCs w:val="21"/>
          <w:highlight w:val="none"/>
        </w:rPr>
        <w:t>二、作业标准</w:t>
      </w:r>
    </w:p>
    <w:p>
      <w:pPr>
        <w:numPr>
          <w:ilvl w:val="0"/>
          <w:numId w:val="15"/>
        </w:numPr>
        <w:spacing w:line="360" w:lineRule="auto"/>
        <w:ind w:left="0" w:firstLine="42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道路清扫保洁质量要求</w:t>
      </w:r>
    </w:p>
    <w:p>
      <w:pPr>
        <w:numPr>
          <w:ilvl w:val="0"/>
          <w:numId w:val="16"/>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道路清扫保洁的通用质量要求应达到路面整洁，排水口清洁，无残留污水，无残积沙土，道路收集容器等环卫设施无明显污迹的要求，大面积落叶季节可适当延长滞留时间。</w:t>
      </w:r>
    </w:p>
    <w:p>
      <w:pPr>
        <w:numPr>
          <w:ilvl w:val="0"/>
          <w:numId w:val="16"/>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道路路面首次普扫质量应符合下表规定。</w:t>
      </w:r>
    </w:p>
    <w:p>
      <w:pPr>
        <w:spacing w:line="360" w:lineRule="auto"/>
        <w:jc w:val="center"/>
        <w:rPr>
          <w:rFonts w:hint="eastAsia" w:ascii="宋体" w:hAnsi="宋体" w:eastAsia="宋体" w:cs="宋体"/>
          <w:color w:val="auto"/>
          <w:szCs w:val="21"/>
          <w:highlight w:val="none"/>
        </w:rPr>
      </w:pPr>
    </w:p>
    <w:p>
      <w:pPr>
        <w:spacing w:line="360" w:lineRule="auto"/>
        <w:jc w:val="center"/>
        <w:rPr>
          <w:rFonts w:hint="eastAsia" w:ascii="宋体" w:hAnsi="宋体" w:eastAsia="宋体" w:cs="宋体"/>
          <w:color w:val="auto"/>
          <w:szCs w:val="21"/>
          <w:highlight w:val="none"/>
        </w:rPr>
      </w:pPr>
    </w:p>
    <w:p>
      <w:pPr>
        <w:spacing w:line="360" w:lineRule="auto"/>
        <w:jc w:val="center"/>
        <w:rPr>
          <w:rFonts w:hint="eastAsia" w:ascii="宋体" w:hAnsi="宋体" w:eastAsia="宋体" w:cs="宋体"/>
          <w:color w:val="auto"/>
          <w:szCs w:val="21"/>
          <w:highlight w:val="none"/>
        </w:rPr>
      </w:pPr>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路面普扫质量要求</w:t>
      </w:r>
    </w:p>
    <w:tbl>
      <w:tblPr>
        <w:tblStyle w:val="4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6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520" w:type="dxa"/>
            <w:gridSpan w:val="2"/>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399" w:type="dxa"/>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路面基本见本色</w:t>
            </w:r>
          </w:p>
        </w:tc>
        <w:tc>
          <w:tcPr>
            <w:tcW w:w="6121" w:type="dxa"/>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五无五净）：道路无垃圾、无杂物、无积泥、无积水、无污迹；路面干净，绿地和树池干净，边角侧石干净，雨水井沟畅通干净，环卫设施及绿化隔离带干净。（无青苔、杂草；包括道路两侧明沟或水渠、墙夹缝。）</w:t>
            </w:r>
          </w:p>
        </w:tc>
      </w:tr>
    </w:tbl>
    <w:p>
      <w:pPr>
        <w:numPr>
          <w:ilvl w:val="0"/>
          <w:numId w:val="16"/>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路面废弃物控制指标应符合下表规定，但在同一单位面积内，不得超过各单项废弃物总量的50%。</w:t>
      </w:r>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路面废弃物控制指标</w:t>
      </w:r>
    </w:p>
    <w:tbl>
      <w:tblPr>
        <w:tblStyle w:val="46"/>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1270"/>
        <w:gridCol w:w="1255"/>
        <w:gridCol w:w="1357"/>
        <w:gridCol w:w="1303"/>
        <w:gridCol w:w="1311"/>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274" w:type="dxa"/>
            <w:noWrap w:val="0"/>
            <w:vAlign w:val="center"/>
          </w:tcPr>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果皮</w:t>
            </w:r>
          </w:p>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（片/1000m</w:t>
            </w:r>
            <w:r>
              <w:rPr>
                <w:rFonts w:hint="eastAsia" w:ascii="宋体" w:hAnsi="宋体" w:eastAsia="宋体" w:cs="宋体"/>
                <w:color w:val="auto"/>
                <w:sz w:val="18"/>
                <w:szCs w:val="18"/>
                <w:highlight w:val="none"/>
                <w:vertAlign w:val="superscript"/>
              </w:rPr>
              <w:t>2</w:t>
            </w:r>
            <w:r>
              <w:rPr>
                <w:rFonts w:hint="eastAsia" w:ascii="宋体" w:hAnsi="宋体" w:eastAsia="宋体" w:cs="宋体"/>
                <w:color w:val="auto"/>
                <w:sz w:val="18"/>
                <w:szCs w:val="18"/>
                <w:highlight w:val="none"/>
              </w:rPr>
              <w:t>）</w:t>
            </w:r>
          </w:p>
        </w:tc>
        <w:tc>
          <w:tcPr>
            <w:tcW w:w="1270" w:type="dxa"/>
            <w:noWrap w:val="0"/>
            <w:vAlign w:val="center"/>
          </w:tcPr>
          <w:p>
            <w:pPr>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纸屑塑膜</w:t>
            </w:r>
          </w:p>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（片/1000m</w:t>
            </w:r>
            <w:r>
              <w:rPr>
                <w:rFonts w:hint="eastAsia" w:ascii="宋体" w:hAnsi="宋体" w:eastAsia="宋体" w:cs="宋体"/>
                <w:color w:val="auto"/>
                <w:sz w:val="18"/>
                <w:szCs w:val="18"/>
                <w:highlight w:val="none"/>
                <w:vertAlign w:val="superscript"/>
              </w:rPr>
              <w:t>2</w:t>
            </w:r>
            <w:r>
              <w:rPr>
                <w:rFonts w:hint="eastAsia" w:ascii="宋体" w:hAnsi="宋体" w:eastAsia="宋体" w:cs="宋体"/>
                <w:color w:val="auto"/>
                <w:sz w:val="18"/>
                <w:szCs w:val="18"/>
                <w:highlight w:val="none"/>
              </w:rPr>
              <w:t>）</w:t>
            </w:r>
          </w:p>
        </w:tc>
        <w:tc>
          <w:tcPr>
            <w:tcW w:w="1255" w:type="dxa"/>
            <w:noWrap w:val="0"/>
            <w:vAlign w:val="center"/>
          </w:tcPr>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烟蒂</w:t>
            </w:r>
          </w:p>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（个/1000m</w:t>
            </w:r>
            <w:r>
              <w:rPr>
                <w:rFonts w:hint="eastAsia" w:ascii="宋体" w:hAnsi="宋体" w:eastAsia="宋体" w:cs="宋体"/>
                <w:color w:val="auto"/>
                <w:sz w:val="18"/>
                <w:szCs w:val="18"/>
                <w:highlight w:val="none"/>
                <w:vertAlign w:val="superscript"/>
              </w:rPr>
              <w:t>2</w:t>
            </w:r>
            <w:r>
              <w:rPr>
                <w:rFonts w:hint="eastAsia" w:ascii="宋体" w:hAnsi="宋体" w:eastAsia="宋体" w:cs="宋体"/>
                <w:color w:val="auto"/>
                <w:sz w:val="18"/>
                <w:szCs w:val="18"/>
                <w:highlight w:val="none"/>
              </w:rPr>
              <w:t>）</w:t>
            </w:r>
          </w:p>
        </w:tc>
        <w:tc>
          <w:tcPr>
            <w:tcW w:w="1357" w:type="dxa"/>
            <w:noWrap w:val="0"/>
            <w:vAlign w:val="center"/>
          </w:tcPr>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痰迹</w:t>
            </w:r>
          </w:p>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（处/1000m</w:t>
            </w:r>
            <w:r>
              <w:rPr>
                <w:rFonts w:hint="eastAsia" w:ascii="宋体" w:hAnsi="宋体" w:eastAsia="宋体" w:cs="宋体"/>
                <w:color w:val="auto"/>
                <w:sz w:val="18"/>
                <w:szCs w:val="18"/>
                <w:highlight w:val="none"/>
                <w:vertAlign w:val="superscript"/>
              </w:rPr>
              <w:t>2</w:t>
            </w:r>
            <w:r>
              <w:rPr>
                <w:rFonts w:hint="eastAsia" w:ascii="宋体" w:hAnsi="宋体" w:eastAsia="宋体" w:cs="宋体"/>
                <w:color w:val="auto"/>
                <w:sz w:val="18"/>
                <w:szCs w:val="18"/>
                <w:highlight w:val="none"/>
              </w:rPr>
              <w:t>）</w:t>
            </w:r>
          </w:p>
        </w:tc>
        <w:tc>
          <w:tcPr>
            <w:tcW w:w="1303" w:type="dxa"/>
            <w:noWrap w:val="0"/>
            <w:vAlign w:val="center"/>
          </w:tcPr>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污水</w:t>
            </w:r>
          </w:p>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（m</w:t>
            </w:r>
            <w:r>
              <w:rPr>
                <w:rFonts w:hint="eastAsia" w:ascii="宋体" w:hAnsi="宋体" w:eastAsia="宋体" w:cs="宋体"/>
                <w:color w:val="auto"/>
                <w:sz w:val="18"/>
                <w:szCs w:val="18"/>
                <w:highlight w:val="none"/>
                <w:vertAlign w:val="superscript"/>
              </w:rPr>
              <w:t>2</w:t>
            </w:r>
            <w:r>
              <w:rPr>
                <w:rFonts w:hint="eastAsia" w:ascii="宋体" w:hAnsi="宋体" w:eastAsia="宋体" w:cs="宋体"/>
                <w:color w:val="auto"/>
                <w:sz w:val="18"/>
                <w:szCs w:val="18"/>
                <w:highlight w:val="none"/>
              </w:rPr>
              <w:t>/1000m</w:t>
            </w:r>
            <w:r>
              <w:rPr>
                <w:rFonts w:hint="eastAsia" w:ascii="宋体" w:hAnsi="宋体" w:eastAsia="宋体" w:cs="宋体"/>
                <w:color w:val="auto"/>
                <w:sz w:val="18"/>
                <w:szCs w:val="18"/>
                <w:highlight w:val="none"/>
                <w:vertAlign w:val="superscript"/>
              </w:rPr>
              <w:t>2</w:t>
            </w:r>
            <w:r>
              <w:rPr>
                <w:rFonts w:hint="eastAsia" w:ascii="宋体" w:hAnsi="宋体" w:eastAsia="宋体" w:cs="宋体"/>
                <w:color w:val="auto"/>
                <w:sz w:val="18"/>
                <w:szCs w:val="18"/>
                <w:highlight w:val="none"/>
              </w:rPr>
              <w:t>）</w:t>
            </w:r>
          </w:p>
        </w:tc>
        <w:tc>
          <w:tcPr>
            <w:tcW w:w="1311" w:type="dxa"/>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其它</w:t>
            </w:r>
          </w:p>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（处/1000m</w:t>
            </w:r>
            <w:r>
              <w:rPr>
                <w:rFonts w:hint="eastAsia" w:ascii="宋体" w:hAnsi="宋体" w:eastAsia="宋体" w:cs="宋体"/>
                <w:color w:val="auto"/>
                <w:sz w:val="18"/>
                <w:szCs w:val="18"/>
                <w:highlight w:val="none"/>
                <w:vertAlign w:val="superscript"/>
              </w:rPr>
              <w:t>2</w:t>
            </w:r>
            <w:r>
              <w:rPr>
                <w:rFonts w:hint="eastAsia" w:ascii="宋体" w:hAnsi="宋体" w:eastAsia="宋体" w:cs="宋体"/>
                <w:color w:val="auto"/>
                <w:sz w:val="18"/>
                <w:szCs w:val="18"/>
                <w:highlight w:val="none"/>
              </w:rPr>
              <w:t>）</w:t>
            </w:r>
          </w:p>
        </w:tc>
        <w:tc>
          <w:tcPr>
            <w:tcW w:w="887" w:type="dxa"/>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滞留</w:t>
            </w:r>
          </w:p>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时间</w:t>
            </w:r>
          </w:p>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274" w:type="dxa"/>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1270" w:type="dxa"/>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1255" w:type="dxa"/>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p>
        </w:tc>
        <w:tc>
          <w:tcPr>
            <w:tcW w:w="1357" w:type="dxa"/>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p>
        </w:tc>
        <w:tc>
          <w:tcPr>
            <w:tcW w:w="1303" w:type="dxa"/>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≤0.5</w:t>
            </w:r>
          </w:p>
        </w:tc>
        <w:tc>
          <w:tcPr>
            <w:tcW w:w="1311" w:type="dxa"/>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887" w:type="dxa"/>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≤40</w:t>
            </w:r>
          </w:p>
        </w:tc>
      </w:tr>
    </w:tbl>
    <w:p>
      <w:pPr>
        <w:numPr>
          <w:ilvl w:val="0"/>
          <w:numId w:val="16"/>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道路保洁应符合下列规定：</w:t>
      </w:r>
      <w:r>
        <w:rPr>
          <w:rFonts w:hint="eastAsia" w:ascii="宋体" w:hAnsi="宋体" w:cs="宋体"/>
          <w:color w:val="auto"/>
          <w:szCs w:val="21"/>
          <w:highlight w:val="none"/>
        </w:rPr>
        <w:t>全天</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小时循环保洁，</w:t>
      </w:r>
      <w:r>
        <w:rPr>
          <w:rFonts w:hint="eastAsia" w:ascii="宋体" w:hAnsi="宋体" w:cs="宋体"/>
          <w:color w:val="auto"/>
          <w:szCs w:val="21"/>
          <w:highlight w:val="none"/>
          <w:lang w:val="en-US" w:eastAsia="zh-CN"/>
        </w:rPr>
        <w:t>具体作业时间以采购人要求为准；</w:t>
      </w:r>
      <w:r>
        <w:rPr>
          <w:rFonts w:hint="eastAsia" w:ascii="宋体" w:hAnsi="宋体" w:cs="宋体"/>
          <w:color w:val="auto"/>
          <w:szCs w:val="21"/>
          <w:highlight w:val="none"/>
        </w:rPr>
        <w:t>首次普遍清扫应在清晨7时00分前结束</w:t>
      </w:r>
      <w:r>
        <w:rPr>
          <w:rFonts w:hint="eastAsia" w:ascii="宋体" w:hAnsi="宋体" w:cs="宋体"/>
          <w:color w:val="auto"/>
          <w:szCs w:val="21"/>
          <w:highlight w:val="none"/>
          <w:lang w:eastAsia="zh-CN"/>
        </w:rPr>
        <w:t>。</w:t>
      </w:r>
    </w:p>
    <w:p>
      <w:pPr>
        <w:numPr>
          <w:ilvl w:val="0"/>
          <w:numId w:val="16"/>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大桥桥面的保洁质量应与所连接的道路保洁质量标准相同，阶梯、扶手、栏杆等附属物应干净整洁，无乱贴、乱画。</w:t>
      </w:r>
    </w:p>
    <w:p>
      <w:pPr>
        <w:numPr>
          <w:ilvl w:val="0"/>
          <w:numId w:val="16"/>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道路保洁作业与安全要求：</w:t>
      </w:r>
    </w:p>
    <w:p>
      <w:pPr>
        <w:spacing w:line="360" w:lineRule="auto"/>
        <w:ind w:left="210" w:lef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道路保洁人员必须穿着反光安全工作服执证上岗，作业时，应按车行线反方向清扫，保洁车辆停放应地点适宜，不能太靠近车行线，车容应整洁。特殊情况作业时，需在来车方向设置醒目的路障，并做好防护措施。</w:t>
      </w:r>
    </w:p>
    <w:p>
      <w:pPr>
        <w:spacing w:line="360" w:lineRule="auto"/>
        <w:ind w:left="210" w:lef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2.道路保洁人员清洗、冲刷道路以及冬季雪天作业时应注意自身安全，谨防跌倒。</w:t>
      </w:r>
    </w:p>
    <w:p>
      <w:pPr>
        <w:spacing w:line="360" w:lineRule="auto"/>
        <w:ind w:left="210" w:lef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3.道路保洁人员应文明作业，不得将垃圾、污水扫到、溅到行人身上，禁止将垃圾堆放或停留在窨井盖上，禁止将垃圾扫入或倒入窨井、道路绿地、河道等处，必须运送指定地点。</w:t>
      </w:r>
    </w:p>
    <w:p>
      <w:pPr>
        <w:spacing w:line="360" w:lineRule="auto"/>
        <w:ind w:left="210" w:lef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.车辆应有序停放在指定场地指定位置，并服从场地管理员的统一调配。</w:t>
      </w:r>
    </w:p>
    <w:p>
      <w:pPr>
        <w:spacing w:line="360" w:lineRule="auto"/>
        <w:ind w:left="210" w:leftChars="1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.驾驶员在工作过程中，要遵守道路交通安全法，礼让行车，注意行人的安全。</w:t>
      </w:r>
    </w:p>
    <w:p>
      <w:pPr>
        <w:numPr>
          <w:ilvl w:val="0"/>
          <w:numId w:val="15"/>
        </w:numPr>
        <w:spacing w:line="360" w:lineRule="auto"/>
        <w:ind w:left="0" w:firstLine="42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各项目具体保洁要求：</w:t>
      </w:r>
    </w:p>
    <w:p>
      <w:pPr>
        <w:numPr>
          <w:ilvl w:val="0"/>
          <w:numId w:val="17"/>
        </w:numPr>
        <w:spacing w:line="360" w:lineRule="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道路人工清扫保洁</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1.普扫结束后做好巡回保洁工作。</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2.道路清扫后达到无零星垃圾、瓦砾；无果皮、纸屑、烟头、塑料袋；无积泥、水；路面、非机动车道、喇叭口净；树穴、花坛周围净。</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3.街、巷、弄达到无零星垃圾、瓦砾、杂草。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4.对于道路两旁明沟应每日清理，做到沟内无垃圾、杂物，沟底无淤泥（明沟指宽度少于30厘米的屋前小沟，不包括河道）。</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每日要对绿化带（含车道绿化带、树穴人行道绿地）进行清理保洁，保持绿化区域土地平整，无杂物，无枯枝烂叶、砖石、有色垃圾、煤饼、瓦砾、纸屑、果皮、烟头、塑料袋，除下的杂草、修剪的树枝应及时清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路面、路牙（垫板、雨水口、巷口、井盖）、便道（包括：树坑、公交车站）及隔离墩（栅）、周围的地面无污物（无积泥、积沙、积水、油污），露出道路本色。保洁路牙时要站在牙下依次顺序作业，并带扫1米宽的路面。人工清扫保洁作业时，道路、非机动车道（含店前道路）不得漏扫、反扫，垃圾应归拢、归堆并清除彻底，清扫保洁时不得将垃圾扫入窨井中或向道路两侧反扫，人工清雪作业时不得向路面洒雪。垃圾应倾倒在规定地点，不得焚烧垃圾、树叶。落叶旺季做到及时清扫和转运处理。 绿地和绿地内无烟头、瓜果皮核、纸屑、包装框、箱、盒、袋等污物。</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7.服务范围内的开放区域（如拆迁地块、边沟、池塘等）需进行垃圾捡拾，确保视线可见范围内无明显垃圾痕迹。</w:t>
      </w:r>
      <w:r>
        <w:rPr>
          <w:rFonts w:hint="eastAsia" w:ascii="宋体" w:hAnsi="宋体" w:eastAsia="宋体" w:cs="宋体"/>
          <w:color w:val="auto"/>
          <w:szCs w:val="21"/>
          <w:highlight w:val="none"/>
        </w:rPr>
        <w:t xml:space="preserve">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.保洁作业人员和作业工具管理：</w:t>
      </w:r>
    </w:p>
    <w:p>
      <w:pPr>
        <w:numPr>
          <w:ilvl w:val="0"/>
          <w:numId w:val="18"/>
        </w:numPr>
        <w:spacing w:line="360" w:lineRule="auto"/>
        <w:ind w:left="845"/>
        <w:rPr>
          <w:rFonts w:hint="eastAsia" w:ascii="宋体" w:hAnsi="宋体" w:eastAsia="宋体" w:cs="宋体"/>
          <w:color w:val="auto"/>
          <w:szCs w:val="21"/>
          <w:highlight w:val="none"/>
        </w:rPr>
      </w:pPr>
      <w:r>
        <w:rPr>
          <w:rFonts w:hint="eastAsia" w:ascii="宋体" w:hAnsi="宋体" w:eastAsia="宋体" w:cs="宋体"/>
          <w:color w:val="auto"/>
          <w:szCs w:val="21"/>
          <w:highlight w:val="none"/>
        </w:rPr>
        <w:t>清扫保洁工作人员上岗按照规定统一着作业装，上装须有安全反光标志，并佩带胸卡，头戴工作帽。</w:t>
      </w:r>
    </w:p>
    <w:p>
      <w:pPr>
        <w:numPr>
          <w:ilvl w:val="0"/>
          <w:numId w:val="18"/>
        </w:numPr>
        <w:spacing w:line="360" w:lineRule="auto"/>
        <w:ind w:left="845"/>
        <w:rPr>
          <w:rFonts w:hint="eastAsia" w:ascii="宋体" w:hAnsi="宋体" w:eastAsia="宋体" w:cs="宋体"/>
          <w:color w:val="auto"/>
          <w:szCs w:val="21"/>
          <w:highlight w:val="none"/>
        </w:rPr>
      </w:pPr>
      <w:r>
        <w:rPr>
          <w:rFonts w:hint="eastAsia" w:ascii="宋体" w:hAnsi="宋体" w:eastAsia="宋体" w:cs="宋体"/>
          <w:color w:val="auto"/>
          <w:szCs w:val="21"/>
          <w:highlight w:val="none"/>
        </w:rPr>
        <w:t>清扫保洁工作人员着装要干净整齐，无破损，不得赤膊作业，作业时不得穿拖鞋，不得随地大小便。</w:t>
      </w:r>
    </w:p>
    <w:p>
      <w:pPr>
        <w:numPr>
          <w:ilvl w:val="0"/>
          <w:numId w:val="18"/>
        </w:numPr>
        <w:spacing w:line="360" w:lineRule="auto"/>
        <w:ind w:left="845"/>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不得利用工作之便捡卖物品、干私活等。</w:t>
      </w:r>
    </w:p>
    <w:p>
      <w:pPr>
        <w:numPr>
          <w:ilvl w:val="0"/>
          <w:numId w:val="18"/>
        </w:numPr>
        <w:spacing w:line="360" w:lineRule="auto"/>
        <w:ind w:left="845"/>
        <w:rPr>
          <w:rFonts w:hint="eastAsia" w:ascii="宋体" w:hAnsi="宋体" w:eastAsia="宋体" w:cs="宋体"/>
          <w:color w:val="auto"/>
          <w:szCs w:val="21"/>
          <w:highlight w:val="none"/>
        </w:rPr>
      </w:pPr>
      <w:r>
        <w:rPr>
          <w:rFonts w:hint="eastAsia" w:ascii="宋体" w:hAnsi="宋体" w:eastAsia="宋体" w:cs="宋体"/>
          <w:color w:val="auto"/>
          <w:szCs w:val="21"/>
          <w:highlight w:val="none"/>
        </w:rPr>
        <w:t>清扫保洁工作人员要遵纪守法、遵守社会公德。</w:t>
      </w:r>
    </w:p>
    <w:p>
      <w:pPr>
        <w:numPr>
          <w:ilvl w:val="0"/>
          <w:numId w:val="18"/>
        </w:numPr>
        <w:spacing w:line="360" w:lineRule="auto"/>
        <w:ind w:left="845"/>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保洁员不得逆向行驶、闯红灯、横穿马路。</w:t>
      </w:r>
    </w:p>
    <w:p>
      <w:pPr>
        <w:numPr>
          <w:ilvl w:val="0"/>
          <w:numId w:val="17"/>
        </w:numPr>
        <w:spacing w:line="360" w:lineRule="auto"/>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公厕保洁</w:t>
      </w:r>
    </w:p>
    <w:p>
      <w:pPr>
        <w:spacing w:line="360" w:lineRule="auto"/>
        <w:ind w:firstLine="420" w:firstLineChars="200"/>
        <w:rPr>
          <w:rFonts w:hint="eastAsia" w:ascii="宋体" w:hAnsi="宋体" w:eastAsia="宋体" w:cs="宋体"/>
          <w:b w:val="0"/>
          <w:bCs/>
          <w:color w:val="auto"/>
          <w:kern w:val="0"/>
          <w:szCs w:val="21"/>
          <w:highlight w:val="none"/>
        </w:rPr>
      </w:pPr>
      <w:r>
        <w:rPr>
          <w:rFonts w:hint="eastAsia" w:ascii="宋体" w:hAnsi="宋体" w:eastAsia="宋体" w:cs="宋体"/>
          <w:b w:val="0"/>
          <w:bCs/>
          <w:color w:val="auto"/>
          <w:kern w:val="0"/>
          <w:szCs w:val="21"/>
          <w:highlight w:val="none"/>
          <w:lang w:eastAsia="zh-CN"/>
        </w:rPr>
        <w:t>（</w:t>
      </w:r>
      <w:r>
        <w:rPr>
          <w:rFonts w:hint="eastAsia" w:ascii="宋体" w:hAnsi="宋体" w:eastAsia="宋体" w:cs="宋体"/>
          <w:b w:val="0"/>
          <w:bCs/>
          <w:color w:val="auto"/>
          <w:kern w:val="0"/>
          <w:szCs w:val="21"/>
          <w:highlight w:val="none"/>
        </w:rPr>
        <w:t>1）实行动态保洁服务，每天工作8小时，</w:t>
      </w:r>
      <w:r>
        <w:rPr>
          <w:rFonts w:hint="eastAsia" w:ascii="宋体" w:hAnsi="宋体" w:eastAsia="宋体" w:cs="宋体"/>
          <w:b w:val="0"/>
          <w:bCs/>
          <w:color w:val="auto"/>
          <w:kern w:val="0"/>
          <w:szCs w:val="21"/>
          <w:highlight w:val="none"/>
          <w:lang w:val="en-US" w:eastAsia="zh-CN"/>
        </w:rPr>
        <w:t>定期清理</w:t>
      </w:r>
      <w:r>
        <w:rPr>
          <w:rFonts w:hint="eastAsia" w:ascii="宋体" w:hAnsi="宋体" w:eastAsia="宋体" w:cs="宋体"/>
          <w:b w:val="0"/>
          <w:bCs/>
          <w:color w:val="auto"/>
          <w:kern w:val="0"/>
          <w:szCs w:val="21"/>
          <w:highlight w:val="none"/>
        </w:rPr>
        <w:t>化粪池</w:t>
      </w:r>
      <w:r>
        <w:rPr>
          <w:rFonts w:hint="eastAsia" w:ascii="宋体" w:hAnsi="宋体" w:eastAsia="宋体" w:cs="宋体"/>
          <w:b w:val="0"/>
          <w:bCs/>
          <w:color w:val="auto"/>
          <w:kern w:val="0"/>
          <w:szCs w:val="21"/>
          <w:highlight w:val="none"/>
          <w:lang w:val="en-US" w:eastAsia="zh-CN"/>
        </w:rPr>
        <w:t>及吸粪作业</w:t>
      </w:r>
      <w:r>
        <w:rPr>
          <w:rFonts w:hint="eastAsia" w:ascii="宋体" w:hAnsi="宋体" w:eastAsia="宋体" w:cs="宋体"/>
          <w:b w:val="0"/>
          <w:bCs/>
          <w:color w:val="auto"/>
          <w:kern w:val="0"/>
          <w:szCs w:val="21"/>
          <w:highlight w:val="none"/>
        </w:rPr>
        <w:t>，保持化粪池不满溢。</w:t>
      </w:r>
    </w:p>
    <w:p>
      <w:pPr>
        <w:spacing w:line="360" w:lineRule="auto"/>
        <w:ind w:firstLine="420" w:firstLineChars="200"/>
        <w:rPr>
          <w:rFonts w:hint="eastAsia" w:ascii="宋体" w:hAnsi="宋体" w:eastAsia="宋体" w:cs="宋体"/>
          <w:b w:val="0"/>
          <w:bCs/>
          <w:color w:val="auto"/>
          <w:kern w:val="0"/>
          <w:szCs w:val="21"/>
          <w:highlight w:val="none"/>
        </w:rPr>
      </w:pPr>
      <w:r>
        <w:rPr>
          <w:rFonts w:hint="eastAsia" w:ascii="宋体" w:hAnsi="宋体" w:eastAsia="宋体" w:cs="宋体"/>
          <w:b w:val="0"/>
          <w:bCs/>
          <w:color w:val="auto"/>
          <w:kern w:val="0"/>
          <w:szCs w:val="21"/>
          <w:highlight w:val="none"/>
          <w:lang w:eastAsia="zh-CN"/>
        </w:rPr>
        <w:t>（</w:t>
      </w:r>
      <w:r>
        <w:rPr>
          <w:rFonts w:hint="eastAsia" w:ascii="宋体" w:hAnsi="宋体" w:eastAsia="宋体" w:cs="宋体"/>
          <w:b w:val="0"/>
          <w:bCs/>
          <w:color w:val="auto"/>
          <w:kern w:val="0"/>
          <w:szCs w:val="21"/>
          <w:highlight w:val="none"/>
          <w:lang w:val="en-US" w:eastAsia="zh-CN"/>
        </w:rPr>
        <w:t>2</w:t>
      </w:r>
      <w:r>
        <w:rPr>
          <w:rFonts w:hint="eastAsia" w:ascii="宋体" w:hAnsi="宋体" w:eastAsia="宋体" w:cs="宋体"/>
          <w:b w:val="0"/>
          <w:bCs/>
          <w:color w:val="auto"/>
          <w:kern w:val="0"/>
          <w:szCs w:val="21"/>
          <w:highlight w:val="none"/>
        </w:rPr>
        <w:t>）公厕管理制度上墙，厕所标志明显、齐全、规范，厕所内外设施、设备完好无损。</w:t>
      </w:r>
    </w:p>
    <w:p>
      <w:pPr>
        <w:spacing w:line="360" w:lineRule="auto"/>
        <w:ind w:firstLine="420" w:firstLineChars="200"/>
        <w:rPr>
          <w:rFonts w:hint="eastAsia" w:ascii="宋体" w:hAnsi="宋体" w:eastAsia="宋体" w:cs="宋体"/>
          <w:b w:val="0"/>
          <w:bCs/>
          <w:color w:val="auto"/>
          <w:kern w:val="0"/>
          <w:szCs w:val="21"/>
          <w:highlight w:val="none"/>
        </w:rPr>
      </w:pPr>
      <w:r>
        <w:rPr>
          <w:rFonts w:hint="eastAsia" w:ascii="宋体" w:hAnsi="宋体" w:eastAsia="宋体" w:cs="宋体"/>
          <w:b w:val="0"/>
          <w:bCs/>
          <w:color w:val="auto"/>
          <w:kern w:val="0"/>
          <w:szCs w:val="21"/>
          <w:highlight w:val="none"/>
          <w:lang w:eastAsia="zh-CN"/>
        </w:rPr>
        <w:t>（</w:t>
      </w:r>
      <w:r>
        <w:rPr>
          <w:rFonts w:hint="eastAsia" w:ascii="宋体" w:hAnsi="宋体" w:eastAsia="宋体" w:cs="宋体"/>
          <w:b w:val="0"/>
          <w:bCs/>
          <w:color w:val="auto"/>
          <w:kern w:val="0"/>
          <w:szCs w:val="21"/>
          <w:highlight w:val="none"/>
          <w:lang w:val="en-US" w:eastAsia="zh-CN"/>
        </w:rPr>
        <w:t>3</w:t>
      </w:r>
      <w:r>
        <w:rPr>
          <w:rFonts w:hint="eastAsia" w:ascii="宋体" w:hAnsi="宋体" w:eastAsia="宋体" w:cs="宋体"/>
          <w:b w:val="0"/>
          <w:bCs/>
          <w:color w:val="auto"/>
          <w:kern w:val="0"/>
          <w:szCs w:val="21"/>
          <w:highlight w:val="none"/>
        </w:rPr>
        <w:t>）公厕卫生质量应达到：</w:t>
      </w:r>
    </w:p>
    <w:p>
      <w:pPr>
        <w:numPr>
          <w:ilvl w:val="0"/>
          <w:numId w:val="19"/>
        </w:numPr>
        <w:spacing w:line="360" w:lineRule="auto"/>
        <w:ind w:left="420" w:leftChars="0" w:firstLine="420" w:firstLineChars="200"/>
        <w:rPr>
          <w:rFonts w:hint="eastAsia" w:ascii="宋体" w:hAnsi="宋体"/>
          <w:color w:val="auto"/>
          <w:highlight w:val="none"/>
        </w:rPr>
      </w:pPr>
      <w:r>
        <w:rPr>
          <w:rFonts w:hint="eastAsia" w:ascii="宋体" w:hAnsi="宋体"/>
          <w:color w:val="auto"/>
          <w:highlight w:val="none"/>
        </w:rPr>
        <w:t>公厕外环境：</w:t>
      </w:r>
    </w:p>
    <w:p>
      <w:pPr>
        <w:numPr>
          <w:ilvl w:val="0"/>
          <w:numId w:val="20"/>
        </w:numPr>
        <w:spacing w:line="360" w:lineRule="auto"/>
        <w:ind w:left="1685" w:left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公共厕所外环境整洁美观，无吊挂，四周3-5m范围内，无积灰，无可见垃圾。</w:t>
      </w:r>
    </w:p>
    <w:p>
      <w:pPr>
        <w:numPr>
          <w:ilvl w:val="0"/>
          <w:numId w:val="20"/>
        </w:numPr>
        <w:spacing w:line="360" w:lineRule="auto"/>
        <w:ind w:left="1685" w:left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化粪池盖实，无污迹，无渗漏。</w:t>
      </w:r>
    </w:p>
    <w:p>
      <w:pPr>
        <w:numPr>
          <w:ilvl w:val="0"/>
          <w:numId w:val="20"/>
        </w:numPr>
        <w:spacing w:line="360" w:lineRule="auto"/>
        <w:ind w:left="1685" w:left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无障碍设施完好无损，牢固整洁。</w:t>
      </w:r>
    </w:p>
    <w:p>
      <w:pPr>
        <w:numPr>
          <w:ilvl w:val="0"/>
          <w:numId w:val="19"/>
        </w:numPr>
        <w:spacing w:line="360" w:lineRule="auto"/>
        <w:ind w:left="420" w:leftChars="0" w:firstLine="420" w:firstLineChars="200"/>
        <w:rPr>
          <w:rFonts w:hint="eastAsia" w:ascii="宋体" w:hAnsi="宋体"/>
          <w:color w:val="auto"/>
          <w:highlight w:val="none"/>
        </w:rPr>
      </w:pPr>
      <w:r>
        <w:rPr>
          <w:rFonts w:hint="eastAsia" w:ascii="宋体" w:hAnsi="宋体"/>
          <w:color w:val="auto"/>
          <w:highlight w:val="none"/>
        </w:rPr>
        <w:t>公厕内环境要求：</w:t>
      </w:r>
    </w:p>
    <w:p>
      <w:pPr>
        <w:numPr>
          <w:ilvl w:val="0"/>
          <w:numId w:val="21"/>
        </w:numPr>
        <w:spacing w:line="360" w:lineRule="auto"/>
        <w:ind w:left="1685" w:left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工具间存放保洁工具，干净整洁无杂物堆放。</w:t>
      </w:r>
    </w:p>
    <w:p>
      <w:pPr>
        <w:numPr>
          <w:ilvl w:val="0"/>
          <w:numId w:val="21"/>
        </w:numPr>
        <w:spacing w:line="360" w:lineRule="auto"/>
        <w:ind w:left="1685" w:left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地面无纸屑、烟蒂、干燥无积水、无污渍、无破损。</w:t>
      </w:r>
    </w:p>
    <w:p>
      <w:pPr>
        <w:numPr>
          <w:ilvl w:val="0"/>
          <w:numId w:val="21"/>
        </w:numPr>
        <w:spacing w:line="360" w:lineRule="auto"/>
        <w:ind w:left="1685" w:left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室内墙面门窗干净，无涂写张贴，无破损，无蛛网积灰，蚊蝇滋生季节，定时喷蚊蝇药物，厕内无蚊蝇，无虫蛆。</w:t>
      </w:r>
    </w:p>
    <w:p>
      <w:pPr>
        <w:numPr>
          <w:ilvl w:val="0"/>
          <w:numId w:val="19"/>
        </w:numPr>
        <w:spacing w:line="360" w:lineRule="auto"/>
        <w:ind w:left="420" w:leftChars="0" w:firstLine="420" w:firstLineChars="200"/>
        <w:rPr>
          <w:rFonts w:hint="eastAsia" w:ascii="宋体" w:hAnsi="宋体"/>
          <w:color w:val="auto"/>
          <w:highlight w:val="none"/>
        </w:rPr>
      </w:pPr>
      <w:r>
        <w:rPr>
          <w:rFonts w:hint="eastAsia" w:ascii="宋体" w:hAnsi="宋体"/>
          <w:color w:val="auto"/>
          <w:highlight w:val="none"/>
        </w:rPr>
        <w:t>室内</w:t>
      </w:r>
      <w:r>
        <w:rPr>
          <w:rFonts w:hint="eastAsia" w:ascii="宋体" w:hAnsi="宋体" w:eastAsia="宋体" w:cs="Times New Roman"/>
          <w:color w:val="auto"/>
          <w:highlight w:val="none"/>
        </w:rPr>
        <w:t>设施</w:t>
      </w:r>
      <w:r>
        <w:rPr>
          <w:rFonts w:hint="eastAsia" w:ascii="宋体" w:hAnsi="宋体"/>
          <w:color w:val="auto"/>
          <w:highlight w:val="none"/>
        </w:rPr>
        <w:t>要求：</w:t>
      </w:r>
    </w:p>
    <w:p>
      <w:pPr>
        <w:numPr>
          <w:ilvl w:val="0"/>
          <w:numId w:val="22"/>
        </w:numPr>
        <w:spacing w:line="360" w:lineRule="auto"/>
        <w:ind w:left="1685" w:left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洗手槽清洁，无积水。</w:t>
      </w:r>
    </w:p>
    <w:p>
      <w:pPr>
        <w:numPr>
          <w:ilvl w:val="0"/>
          <w:numId w:val="22"/>
        </w:numPr>
        <w:spacing w:line="360" w:lineRule="auto"/>
        <w:ind w:left="1685" w:left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小便斗无黄迹尿碱，无痰迹，不堵塞。</w:t>
      </w:r>
    </w:p>
    <w:p>
      <w:pPr>
        <w:numPr>
          <w:ilvl w:val="0"/>
          <w:numId w:val="22"/>
        </w:numPr>
        <w:spacing w:line="360" w:lineRule="auto"/>
        <w:ind w:left="1685" w:left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蹲便器、座便器内外侧无粪便污物，洁净见底，沟槽无阻塞。</w:t>
      </w:r>
    </w:p>
    <w:p>
      <w:pPr>
        <w:numPr>
          <w:ilvl w:val="0"/>
          <w:numId w:val="22"/>
        </w:numPr>
        <w:spacing w:line="360" w:lineRule="auto"/>
        <w:ind w:left="1685" w:left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公厕水箱完好，无漏水、堵塞。</w:t>
      </w:r>
    </w:p>
    <w:p>
      <w:pPr>
        <w:numPr>
          <w:ilvl w:val="0"/>
          <w:numId w:val="22"/>
        </w:numPr>
        <w:spacing w:line="360" w:lineRule="auto"/>
        <w:ind w:left="1685" w:left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各类设施冲水设备、水龙头、下水管道完好无损，无漏水。</w:t>
      </w:r>
    </w:p>
    <w:p>
      <w:pPr>
        <w:numPr>
          <w:ilvl w:val="0"/>
          <w:numId w:val="22"/>
        </w:numPr>
        <w:spacing w:line="360" w:lineRule="auto"/>
        <w:ind w:left="1685" w:left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挂衣钩齐全。</w:t>
      </w:r>
    </w:p>
    <w:p>
      <w:pPr>
        <w:numPr>
          <w:ilvl w:val="0"/>
          <w:numId w:val="22"/>
        </w:numPr>
        <w:spacing w:line="360" w:lineRule="auto"/>
        <w:ind w:left="1685" w:left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灯具完整，可照明。</w:t>
      </w:r>
    </w:p>
    <w:p>
      <w:pPr>
        <w:numPr>
          <w:ilvl w:val="0"/>
          <w:numId w:val="22"/>
        </w:numPr>
        <w:spacing w:line="360" w:lineRule="auto"/>
        <w:ind w:left="1685" w:left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标识牌完好，无缺损。</w:t>
      </w:r>
    </w:p>
    <w:p>
      <w:pPr>
        <w:numPr>
          <w:ilvl w:val="0"/>
          <w:numId w:val="22"/>
        </w:numPr>
        <w:spacing w:line="360" w:lineRule="auto"/>
        <w:ind w:left="1685" w:left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面镜无明显水迹、积灰。</w:t>
      </w:r>
    </w:p>
    <w:p>
      <w:pPr>
        <w:numPr>
          <w:ilvl w:val="0"/>
          <w:numId w:val="22"/>
        </w:numPr>
        <w:spacing w:line="360" w:lineRule="auto"/>
        <w:ind w:left="1685" w:left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隔断板无字迹，无破损。</w:t>
      </w:r>
    </w:p>
    <w:p>
      <w:pPr>
        <w:numPr>
          <w:ilvl w:val="0"/>
          <w:numId w:val="22"/>
        </w:numPr>
        <w:spacing w:line="360" w:lineRule="auto"/>
        <w:ind w:left="1685" w:left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废纸篓保持清洁。</w:t>
      </w:r>
    </w:p>
    <w:p>
      <w:pPr>
        <w:numPr>
          <w:ilvl w:val="0"/>
          <w:numId w:val="22"/>
        </w:numPr>
        <w:spacing w:line="360" w:lineRule="auto"/>
        <w:ind w:left="1685" w:leftChars="0"/>
        <w:rPr>
          <w:rFonts w:hint="eastAsia" w:ascii="宋体" w:hAnsi="宋体"/>
          <w:color w:val="auto"/>
          <w:highlight w:val="none"/>
        </w:rPr>
      </w:pPr>
      <w:r>
        <w:rPr>
          <w:rFonts w:hint="eastAsia" w:ascii="宋体" w:hAnsi="宋体" w:eastAsia="宋体" w:cs="宋体"/>
          <w:color w:val="auto"/>
          <w:szCs w:val="21"/>
          <w:highlight w:val="none"/>
          <w:lang w:val="en-US" w:eastAsia="zh-CN"/>
        </w:rPr>
        <w:t>拖把池整洁，无积灰，无积水，无污物沉淀。</w:t>
      </w:r>
    </w:p>
    <w:p>
      <w:pPr>
        <w:spacing w:line="360" w:lineRule="auto"/>
        <w:ind w:firstLine="420" w:firstLineChars="200"/>
        <w:rPr>
          <w:rFonts w:hint="eastAsia" w:ascii="宋体" w:hAnsi="宋体" w:eastAsia="宋体" w:cs="宋体"/>
          <w:b w:val="0"/>
          <w:bCs/>
          <w:color w:val="auto"/>
          <w:kern w:val="0"/>
          <w:szCs w:val="21"/>
          <w:highlight w:val="none"/>
        </w:rPr>
      </w:pPr>
      <w:r>
        <w:rPr>
          <w:rFonts w:hint="eastAsia" w:ascii="宋体" w:hAnsi="宋体" w:eastAsia="宋体" w:cs="宋体"/>
          <w:b w:val="0"/>
          <w:bCs/>
          <w:color w:val="auto"/>
          <w:kern w:val="0"/>
          <w:szCs w:val="21"/>
          <w:highlight w:val="none"/>
          <w:lang w:eastAsia="zh-CN"/>
        </w:rPr>
        <w:t>（</w:t>
      </w:r>
      <w:r>
        <w:rPr>
          <w:rFonts w:hint="eastAsia" w:ascii="宋体" w:hAnsi="宋体" w:eastAsia="宋体" w:cs="宋体"/>
          <w:b w:val="0"/>
          <w:bCs/>
          <w:color w:val="auto"/>
          <w:kern w:val="0"/>
          <w:szCs w:val="21"/>
          <w:highlight w:val="none"/>
          <w:lang w:val="en-US" w:eastAsia="zh-CN"/>
        </w:rPr>
        <w:t>4</w:t>
      </w:r>
      <w:r>
        <w:rPr>
          <w:rFonts w:hint="eastAsia" w:ascii="宋体" w:hAnsi="宋体" w:eastAsia="宋体" w:cs="宋体"/>
          <w:b w:val="0"/>
          <w:bCs/>
          <w:color w:val="auto"/>
          <w:kern w:val="0"/>
          <w:szCs w:val="21"/>
          <w:highlight w:val="none"/>
        </w:rPr>
        <w:t>）管理公厕作业人员应在规定的时间内开放公厕，且坚守岗位、着装整齐、配证上岗，使用文明礼貌用语、文明服务。</w:t>
      </w:r>
    </w:p>
    <w:p>
      <w:pPr>
        <w:spacing w:line="360" w:lineRule="auto"/>
        <w:ind w:firstLine="420" w:firstLineChars="200"/>
        <w:rPr>
          <w:rFonts w:hint="eastAsia" w:ascii="宋体" w:hAnsi="宋体" w:eastAsia="宋体" w:cs="宋体"/>
          <w:b w:val="0"/>
          <w:bCs/>
          <w:color w:val="auto"/>
          <w:kern w:val="0"/>
          <w:szCs w:val="21"/>
          <w:highlight w:val="none"/>
        </w:rPr>
      </w:pPr>
      <w:r>
        <w:rPr>
          <w:rFonts w:hint="eastAsia" w:ascii="宋体" w:hAnsi="宋体" w:eastAsia="宋体" w:cs="宋体"/>
          <w:b w:val="0"/>
          <w:bCs/>
          <w:color w:val="auto"/>
          <w:kern w:val="0"/>
          <w:szCs w:val="21"/>
          <w:highlight w:val="none"/>
          <w:lang w:eastAsia="zh-CN"/>
        </w:rPr>
        <w:t>（</w:t>
      </w:r>
      <w:r>
        <w:rPr>
          <w:rFonts w:hint="eastAsia" w:ascii="宋体" w:hAnsi="宋体" w:eastAsia="宋体" w:cs="宋体"/>
          <w:b w:val="0"/>
          <w:bCs/>
          <w:color w:val="auto"/>
          <w:kern w:val="0"/>
          <w:szCs w:val="21"/>
          <w:highlight w:val="none"/>
          <w:lang w:val="en-US" w:eastAsia="zh-CN"/>
        </w:rPr>
        <w:t>5</w:t>
      </w:r>
      <w:r>
        <w:rPr>
          <w:rFonts w:hint="eastAsia" w:ascii="宋体" w:hAnsi="宋体" w:eastAsia="宋体" w:cs="宋体"/>
          <w:b w:val="0"/>
          <w:bCs/>
          <w:color w:val="auto"/>
          <w:kern w:val="0"/>
          <w:szCs w:val="21"/>
          <w:highlight w:val="none"/>
        </w:rPr>
        <w:t>）公厕保洁做到：环境见脏就扫，地面见水就擦，便器用后就冲，管道不畅就通，管理房内整洁，工具摆放整齐。</w:t>
      </w:r>
    </w:p>
    <w:p>
      <w:pPr>
        <w:spacing w:line="360" w:lineRule="auto"/>
        <w:ind w:firstLine="420" w:firstLineChars="200"/>
        <w:rPr>
          <w:rFonts w:hint="eastAsia" w:ascii="宋体" w:hAnsi="宋体" w:eastAsia="宋体" w:cs="宋体"/>
          <w:b w:val="0"/>
          <w:bCs/>
          <w:color w:val="auto"/>
          <w:kern w:val="0"/>
          <w:szCs w:val="21"/>
          <w:highlight w:val="none"/>
        </w:rPr>
      </w:pPr>
      <w:r>
        <w:rPr>
          <w:rFonts w:hint="eastAsia" w:ascii="宋体" w:hAnsi="宋体" w:eastAsia="宋体" w:cs="宋体"/>
          <w:b w:val="0"/>
          <w:bCs/>
          <w:color w:val="auto"/>
          <w:kern w:val="0"/>
          <w:szCs w:val="21"/>
          <w:highlight w:val="none"/>
          <w:lang w:eastAsia="zh-CN"/>
        </w:rPr>
        <w:t>（</w:t>
      </w:r>
      <w:r>
        <w:rPr>
          <w:rFonts w:hint="eastAsia" w:ascii="宋体" w:hAnsi="宋体" w:eastAsia="宋体" w:cs="宋体"/>
          <w:b w:val="0"/>
          <w:bCs/>
          <w:color w:val="auto"/>
          <w:kern w:val="0"/>
          <w:szCs w:val="21"/>
          <w:highlight w:val="none"/>
          <w:lang w:val="en-US" w:eastAsia="zh-CN"/>
        </w:rPr>
        <w:t>6</w:t>
      </w:r>
      <w:r>
        <w:rPr>
          <w:rFonts w:hint="eastAsia" w:ascii="宋体" w:hAnsi="宋体" w:eastAsia="宋体" w:cs="宋体"/>
          <w:b w:val="0"/>
          <w:bCs/>
          <w:color w:val="auto"/>
          <w:kern w:val="0"/>
          <w:szCs w:val="21"/>
          <w:highlight w:val="none"/>
        </w:rPr>
        <w:t>）发现公厕、便斗设施设备损坏应立即维修或上报。</w:t>
      </w:r>
    </w:p>
    <w:p>
      <w:pPr>
        <w:spacing w:line="360" w:lineRule="auto"/>
        <w:ind w:firstLine="420" w:firstLineChars="200"/>
        <w:rPr>
          <w:rFonts w:hint="eastAsia" w:ascii="宋体" w:hAnsi="宋体" w:eastAsia="宋体" w:cs="宋体"/>
          <w:b w:val="0"/>
          <w:bCs/>
          <w:color w:val="auto"/>
          <w:kern w:val="0"/>
          <w:szCs w:val="21"/>
          <w:highlight w:val="none"/>
        </w:rPr>
      </w:pPr>
      <w:r>
        <w:rPr>
          <w:rFonts w:hint="eastAsia" w:ascii="宋体" w:hAnsi="宋体" w:eastAsia="宋体" w:cs="宋体"/>
          <w:b w:val="0"/>
          <w:bCs/>
          <w:color w:val="auto"/>
          <w:kern w:val="0"/>
          <w:szCs w:val="21"/>
          <w:highlight w:val="none"/>
          <w:lang w:eastAsia="zh-CN"/>
        </w:rPr>
        <w:t>（</w:t>
      </w:r>
      <w:r>
        <w:rPr>
          <w:rFonts w:hint="eastAsia" w:ascii="宋体" w:hAnsi="宋体" w:eastAsia="宋体" w:cs="宋体"/>
          <w:b w:val="0"/>
          <w:bCs/>
          <w:color w:val="auto"/>
          <w:kern w:val="0"/>
          <w:szCs w:val="21"/>
          <w:highlight w:val="none"/>
          <w:lang w:val="en-US" w:eastAsia="zh-CN"/>
        </w:rPr>
        <w:t>7</w:t>
      </w:r>
      <w:r>
        <w:rPr>
          <w:rFonts w:hint="eastAsia" w:ascii="宋体" w:hAnsi="宋体" w:eastAsia="宋体" w:cs="宋体"/>
          <w:b w:val="0"/>
          <w:bCs/>
          <w:color w:val="auto"/>
          <w:kern w:val="0"/>
          <w:szCs w:val="21"/>
          <w:highlight w:val="none"/>
        </w:rPr>
        <w:t>）消毒季节按规定要求消</w:t>
      </w:r>
      <w:r>
        <w:rPr>
          <w:rFonts w:hint="eastAsia" w:ascii="宋体" w:hAnsi="宋体" w:cs="宋体"/>
          <w:b w:val="0"/>
          <w:bCs/>
          <w:color w:val="auto"/>
          <w:kern w:val="0"/>
          <w:szCs w:val="21"/>
          <w:highlight w:val="none"/>
          <w:lang w:val="en-US" w:eastAsia="zh-CN"/>
        </w:rPr>
        <w:t>毒</w:t>
      </w:r>
      <w:r>
        <w:rPr>
          <w:rFonts w:hint="eastAsia" w:ascii="宋体" w:hAnsi="宋体" w:eastAsia="宋体" w:cs="宋体"/>
          <w:b w:val="0"/>
          <w:bCs/>
          <w:color w:val="auto"/>
          <w:kern w:val="0"/>
          <w:szCs w:val="21"/>
          <w:highlight w:val="none"/>
        </w:rPr>
        <w:t>：做到消杀彻底。公厕、便斗等核定范围内的蚊少于规定标准（3只以下），消毒后将死蚊等虫子及时清除干净。在蚊蝇孳生季节应定时喷洒药水，有效控蝇蛆孳生。</w:t>
      </w:r>
    </w:p>
    <w:p>
      <w:pPr>
        <w:spacing w:line="360" w:lineRule="auto"/>
        <w:ind w:firstLine="420" w:firstLineChars="200"/>
        <w:rPr>
          <w:rFonts w:hint="eastAsia" w:ascii="宋体" w:hAnsi="宋体" w:eastAsia="宋体" w:cs="宋体"/>
          <w:b w:val="0"/>
          <w:bCs/>
          <w:color w:val="auto"/>
          <w:kern w:val="0"/>
          <w:szCs w:val="21"/>
          <w:highlight w:val="none"/>
        </w:rPr>
      </w:pPr>
      <w:r>
        <w:rPr>
          <w:rFonts w:hint="eastAsia" w:ascii="宋体" w:hAnsi="宋体" w:eastAsia="宋体" w:cs="宋体"/>
          <w:b w:val="0"/>
          <w:bCs/>
          <w:color w:val="auto"/>
          <w:kern w:val="0"/>
          <w:szCs w:val="21"/>
          <w:highlight w:val="none"/>
          <w:lang w:eastAsia="zh-CN"/>
        </w:rPr>
        <w:t>（</w:t>
      </w:r>
      <w:r>
        <w:rPr>
          <w:rFonts w:hint="eastAsia" w:ascii="宋体" w:hAnsi="宋体" w:eastAsia="宋体" w:cs="宋体"/>
          <w:b w:val="0"/>
          <w:bCs/>
          <w:color w:val="auto"/>
          <w:kern w:val="0"/>
          <w:szCs w:val="21"/>
          <w:highlight w:val="none"/>
          <w:lang w:val="en-US" w:eastAsia="zh-CN"/>
        </w:rPr>
        <w:t>8</w:t>
      </w:r>
      <w:r>
        <w:rPr>
          <w:rFonts w:hint="eastAsia" w:ascii="宋体" w:hAnsi="宋体" w:eastAsia="宋体" w:cs="宋体"/>
          <w:b w:val="0"/>
          <w:bCs/>
          <w:color w:val="auto"/>
          <w:kern w:val="0"/>
          <w:szCs w:val="21"/>
          <w:highlight w:val="none"/>
        </w:rPr>
        <w:t>）消毒作业过程要注意消毒物品、工具安全存放，作业中不准吸烟、喝水进食，喷药时要戴口罩和胶皮手套，要注意如厕者和自身的安全，谨防药物中毒。作业结束必须用肥皂彻底洗手，消毒物品妥善保管，残留药物谨慎处理，不能乱丢乱放。</w:t>
      </w:r>
    </w:p>
    <w:p>
      <w:pPr>
        <w:spacing w:line="360" w:lineRule="auto"/>
        <w:ind w:firstLine="420" w:firstLineChars="200"/>
        <w:rPr>
          <w:rFonts w:hint="eastAsia" w:ascii="宋体" w:hAnsi="宋体" w:eastAsia="宋体" w:cs="宋体"/>
          <w:b w:val="0"/>
          <w:bCs/>
          <w:color w:val="auto"/>
          <w:kern w:val="0"/>
          <w:szCs w:val="21"/>
          <w:highlight w:val="none"/>
        </w:rPr>
      </w:pPr>
      <w:r>
        <w:rPr>
          <w:rFonts w:hint="eastAsia" w:ascii="宋体" w:hAnsi="宋体" w:eastAsia="宋体" w:cs="宋体"/>
          <w:b w:val="0"/>
          <w:bCs/>
          <w:color w:val="auto"/>
          <w:kern w:val="0"/>
          <w:szCs w:val="21"/>
          <w:highlight w:val="none"/>
          <w:lang w:eastAsia="zh-CN"/>
        </w:rPr>
        <w:t>（</w:t>
      </w:r>
      <w:r>
        <w:rPr>
          <w:rFonts w:hint="eastAsia" w:ascii="宋体" w:hAnsi="宋体" w:eastAsia="宋体" w:cs="宋体"/>
          <w:b w:val="0"/>
          <w:bCs/>
          <w:color w:val="auto"/>
          <w:kern w:val="0"/>
          <w:szCs w:val="21"/>
          <w:highlight w:val="none"/>
          <w:lang w:val="en-US" w:eastAsia="zh-CN"/>
        </w:rPr>
        <w:t>9</w:t>
      </w:r>
      <w:r>
        <w:rPr>
          <w:rFonts w:hint="eastAsia" w:ascii="宋体" w:hAnsi="宋体" w:eastAsia="宋体" w:cs="宋体"/>
          <w:b w:val="0"/>
          <w:bCs/>
          <w:color w:val="auto"/>
          <w:kern w:val="0"/>
          <w:szCs w:val="21"/>
          <w:highlight w:val="none"/>
        </w:rPr>
        <w:t>）清厕保洁作业结束，各种工具按规定地点存放，不能随意放在公厕、便斗附近。</w:t>
      </w:r>
    </w:p>
    <w:p>
      <w:pPr>
        <w:numPr>
          <w:ilvl w:val="0"/>
          <w:numId w:val="17"/>
        </w:numPr>
        <w:spacing w:line="360" w:lineRule="auto"/>
        <w:rPr>
          <w:rFonts w:hint="default"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废弃物清理（作业时间：8小时）</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及时清理</w:t>
      </w:r>
      <w:r>
        <w:rPr>
          <w:rFonts w:hint="eastAsia" w:ascii="宋体" w:hAnsi="宋体" w:eastAsia="宋体" w:cs="宋体"/>
          <w:color w:val="auto"/>
          <w:szCs w:val="21"/>
          <w:highlight w:val="none"/>
          <w:lang w:val="en-US" w:eastAsia="zh-CN"/>
        </w:rPr>
        <w:t>保洁范围</w:t>
      </w:r>
      <w:r>
        <w:rPr>
          <w:rFonts w:hint="eastAsia" w:ascii="宋体" w:hAnsi="宋体" w:eastAsia="宋体" w:cs="宋体"/>
          <w:color w:val="auto"/>
          <w:szCs w:val="21"/>
          <w:highlight w:val="none"/>
        </w:rPr>
        <w:t>内</w:t>
      </w:r>
      <w:r>
        <w:rPr>
          <w:rFonts w:hint="eastAsia" w:ascii="宋体" w:hAnsi="宋体" w:eastAsia="宋体" w:cs="宋体"/>
          <w:color w:val="auto"/>
          <w:szCs w:val="21"/>
          <w:highlight w:val="none"/>
          <w:lang w:val="en-US" w:eastAsia="zh-CN"/>
        </w:rPr>
        <w:t>路边</w:t>
      </w:r>
      <w:r>
        <w:rPr>
          <w:rFonts w:hint="eastAsia" w:ascii="宋体" w:hAnsi="宋体" w:eastAsia="宋体" w:cs="宋体"/>
          <w:color w:val="auto"/>
          <w:szCs w:val="21"/>
          <w:highlight w:val="none"/>
        </w:rPr>
        <w:t>各种零星建筑垃圾、大件垃圾、园林垃圾等废弃物</w:t>
      </w:r>
      <w:r>
        <w:rPr>
          <w:rFonts w:hint="eastAsia" w:ascii="宋体" w:hAnsi="宋体" w:eastAsia="宋体" w:cs="宋体"/>
          <w:color w:val="auto"/>
          <w:szCs w:val="21"/>
          <w:highlight w:val="none"/>
          <w:lang w:val="en-US" w:eastAsia="zh-CN"/>
        </w:rPr>
        <w:t>或堆积物</w:t>
      </w:r>
      <w:r>
        <w:rPr>
          <w:rFonts w:hint="eastAsia" w:ascii="宋体" w:hAnsi="宋体" w:eastAsia="宋体" w:cs="宋体"/>
          <w:color w:val="auto"/>
          <w:szCs w:val="21"/>
          <w:highlight w:val="none"/>
          <w:lang w:eastAsia="zh-CN"/>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及时清理及回收服务范围内</w:t>
      </w:r>
      <w:r>
        <w:rPr>
          <w:rFonts w:hint="eastAsia" w:ascii="宋体" w:hAnsi="宋体" w:cs="宋体"/>
          <w:color w:val="auto"/>
          <w:szCs w:val="21"/>
          <w:highlight w:val="none"/>
          <w:lang w:val="en-US" w:eastAsia="zh-CN"/>
        </w:rPr>
        <w:t>区域</w:t>
      </w:r>
      <w:r>
        <w:rPr>
          <w:rFonts w:hint="eastAsia" w:ascii="宋体" w:hAnsi="宋体" w:eastAsia="宋体" w:cs="宋体"/>
          <w:color w:val="auto"/>
          <w:szCs w:val="21"/>
          <w:highlight w:val="none"/>
        </w:rPr>
        <w:t>（含沟渠），各类废弃物必须统一回收至规定回收点。</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协助各行政村和股份经济合作社做好堆积物清理</w:t>
      </w:r>
      <w:r>
        <w:rPr>
          <w:rFonts w:hint="eastAsia" w:ascii="宋体" w:hAnsi="宋体" w:eastAsia="宋体" w:cs="宋体"/>
          <w:color w:val="auto"/>
          <w:szCs w:val="21"/>
          <w:highlight w:val="none"/>
          <w:lang w:eastAsia="zh-CN"/>
        </w:rPr>
        <w:t>。</w:t>
      </w:r>
    </w:p>
    <w:p>
      <w:pPr>
        <w:numPr>
          <w:ilvl w:val="0"/>
          <w:numId w:val="17"/>
        </w:numPr>
        <w:spacing w:line="360" w:lineRule="auto"/>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“三乱”清理（作业时间：8小时）</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（1）涂写类“三乱”清理</w:t>
      </w:r>
    </w:p>
    <w:p>
      <w:pPr>
        <w:pStyle w:val="9"/>
        <w:keepNext w:val="0"/>
        <w:keepLines w:val="0"/>
        <w:pageBreakBefore w:val="0"/>
        <w:widowControl w:val="0"/>
        <w:numPr>
          <w:ilvl w:val="0"/>
          <w:numId w:val="23"/>
        </w:numPr>
        <w:kinsoku/>
        <w:wordWrap/>
        <w:overflowPunct/>
        <w:topLinePunct w:val="0"/>
        <w:autoSpaceDE/>
        <w:autoSpaceDN/>
        <w:bidi w:val="0"/>
        <w:adjustRightInd/>
        <w:snapToGrid/>
        <w:spacing w:line="360" w:lineRule="auto"/>
        <w:ind w:left="420" w:leftChars="0" w:firstLine="420" w:firstLineChars="200"/>
        <w:jc w:val="both"/>
        <w:textAlignment w:val="auto"/>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瓷砖、配电箱、空调、油漆表面、塑锂板表面等涂写类“三乱”的清理。</w:t>
      </w:r>
    </w:p>
    <w:p>
      <w:pPr>
        <w:pStyle w:val="9"/>
        <w:keepNext w:val="0"/>
        <w:keepLines w:val="0"/>
        <w:pageBreakBefore w:val="0"/>
        <w:widowControl w:val="0"/>
        <w:numPr>
          <w:ilvl w:val="0"/>
          <w:numId w:val="23"/>
        </w:numPr>
        <w:kinsoku/>
        <w:wordWrap/>
        <w:overflowPunct/>
        <w:topLinePunct w:val="0"/>
        <w:autoSpaceDE/>
        <w:autoSpaceDN/>
        <w:bidi w:val="0"/>
        <w:adjustRightInd/>
        <w:snapToGrid/>
        <w:spacing w:line="360" w:lineRule="auto"/>
        <w:ind w:left="420" w:leftChars="0" w:firstLine="420" w:firstLineChars="200"/>
        <w:jc w:val="both"/>
        <w:textAlignment w:val="auto"/>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大理石、火烧板表面等涂写类“三乱”的清理。</w:t>
      </w:r>
    </w:p>
    <w:p>
      <w:pPr>
        <w:pStyle w:val="9"/>
        <w:keepNext w:val="0"/>
        <w:keepLines w:val="0"/>
        <w:pageBreakBefore w:val="0"/>
        <w:widowControl w:val="0"/>
        <w:numPr>
          <w:ilvl w:val="0"/>
          <w:numId w:val="23"/>
        </w:numPr>
        <w:kinsoku/>
        <w:wordWrap/>
        <w:overflowPunct/>
        <w:topLinePunct w:val="0"/>
        <w:autoSpaceDE/>
        <w:autoSpaceDN/>
        <w:bidi w:val="0"/>
        <w:adjustRightInd/>
        <w:snapToGrid/>
        <w:spacing w:line="360" w:lineRule="auto"/>
        <w:ind w:left="420" w:leftChars="0" w:firstLine="420" w:firstLineChars="200"/>
        <w:jc w:val="both"/>
        <w:textAlignment w:val="auto"/>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喷绘广告等涂写类“三乱”的清理。</w:t>
      </w:r>
    </w:p>
    <w:p>
      <w:pPr>
        <w:pStyle w:val="9"/>
        <w:keepNext w:val="0"/>
        <w:keepLines w:val="0"/>
        <w:pageBreakBefore w:val="0"/>
        <w:widowControl w:val="0"/>
        <w:numPr>
          <w:ilvl w:val="0"/>
          <w:numId w:val="23"/>
        </w:numPr>
        <w:kinsoku/>
        <w:wordWrap/>
        <w:overflowPunct/>
        <w:topLinePunct w:val="0"/>
        <w:autoSpaceDE/>
        <w:autoSpaceDN/>
        <w:bidi w:val="0"/>
        <w:adjustRightInd/>
        <w:snapToGrid/>
        <w:spacing w:line="360" w:lineRule="auto"/>
        <w:ind w:left="420" w:leftChars="0" w:firstLine="420" w:firstLineChars="200"/>
        <w:jc w:val="both"/>
        <w:textAlignment w:val="auto"/>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对沿街石灰墙面和水泥墙面等涂写类“三乱”的清理。部分墙面要求进行美化处理。</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（2）粘贴类“三乱”清理</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清理服务范围内所有路段的路灯杆、电力杆、红绿灯杆、公交站牌、候车亭、指路牌、店面招牌、空调室外机、落水管、墙面、地面等表面所附着的纸张，要求进行铲除、清除。</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（3）不妥覆盖清理</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对以前清理中的不妥覆盖，进行修复。</w:t>
      </w:r>
    </w:p>
    <w:p>
      <w:pPr>
        <w:pStyle w:val="9"/>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20" w:leftChars="0" w:firstLine="420" w:firstLineChars="200"/>
        <w:jc w:val="both"/>
        <w:textAlignment w:val="auto"/>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对瓷砖、配电箱、空调、油漆表面、塑锂板表面等不妥覆盖的清理。</w:t>
      </w:r>
    </w:p>
    <w:p>
      <w:pPr>
        <w:pStyle w:val="9"/>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20" w:leftChars="0" w:firstLine="420" w:firstLineChars="200"/>
        <w:jc w:val="both"/>
        <w:textAlignment w:val="auto"/>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对大理石、火烧板表面、瓷砖、 配电箱、空调、油漆表面、塑锂板表面等不妥覆盖的清理。</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（4）对服务范围实行 365 天每天巡查及三乱清理。</w:t>
      </w:r>
    </w:p>
    <w:p>
      <w:pPr>
        <w:spacing w:line="360" w:lineRule="auto"/>
        <w:ind w:firstLine="420" w:firstLineChars="200"/>
        <w:rPr>
          <w:rFonts w:hint="eastAsia" w:ascii="宋体" w:hAnsi="宋体" w:eastAsia="宋体" w:cs="宋体"/>
          <w:b/>
          <w:color w:val="auto"/>
          <w:kern w:val="0"/>
          <w:szCs w:val="21"/>
          <w:highlight w:val="none"/>
        </w:rPr>
      </w:pPr>
      <w:r>
        <w:rPr>
          <w:rFonts w:hint="eastAsia" w:ascii="宋体" w:hAnsi="宋体" w:eastAsia="宋体" w:cs="宋体"/>
          <w:color w:val="auto"/>
          <w:szCs w:val="21"/>
          <w:highlight w:val="none"/>
          <w:lang w:val="en-US" w:eastAsia="zh-CN"/>
        </w:rPr>
        <w:t>（5）三乱清理完毕后，应及时清理地面遗留物，保持周边地面整洁。</w:t>
      </w:r>
    </w:p>
    <w:p>
      <w:pPr>
        <w:numPr>
          <w:ilvl w:val="0"/>
          <w:numId w:val="17"/>
        </w:numPr>
        <w:spacing w:line="360" w:lineRule="auto"/>
        <w:rPr>
          <w:rFonts w:hint="eastAsia" w:ascii="宋体" w:hAnsi="宋体" w:eastAsia="宋体" w:cs="宋体"/>
          <w:b/>
          <w:color w:val="auto"/>
          <w:kern w:val="0"/>
          <w:szCs w:val="21"/>
          <w:highlight w:val="none"/>
        </w:rPr>
      </w:pPr>
      <w:r>
        <w:rPr>
          <w:rFonts w:hint="eastAsia" w:ascii="宋体" w:hAnsi="宋体" w:cs="宋体"/>
          <w:b/>
          <w:color w:val="auto"/>
          <w:kern w:val="0"/>
          <w:szCs w:val="21"/>
          <w:highlight w:val="none"/>
          <w:lang w:val="en-US" w:eastAsia="zh-CN"/>
        </w:rPr>
        <w:t>生活</w:t>
      </w:r>
      <w:r>
        <w:rPr>
          <w:rFonts w:hint="eastAsia" w:ascii="宋体" w:hAnsi="宋体" w:eastAsia="宋体" w:cs="宋体"/>
          <w:b/>
          <w:color w:val="auto"/>
          <w:kern w:val="0"/>
          <w:szCs w:val="21"/>
          <w:highlight w:val="none"/>
        </w:rPr>
        <w:t>垃圾收集及清运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bCs/>
          <w:color w:val="auto"/>
          <w:szCs w:val="21"/>
          <w:highlight w:val="none"/>
        </w:rPr>
        <w:t>按照规定时间及时上门收集</w:t>
      </w:r>
      <w:r>
        <w:rPr>
          <w:rFonts w:hint="eastAsia" w:ascii="宋体" w:hAnsi="宋体" w:cs="宋体"/>
          <w:bCs/>
          <w:color w:val="auto"/>
          <w:szCs w:val="21"/>
          <w:highlight w:val="none"/>
          <w:lang w:val="en-US" w:eastAsia="zh-CN"/>
        </w:rPr>
        <w:t>每户人家垃圾</w:t>
      </w: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引导垃圾分类，</w:t>
      </w:r>
      <w:r>
        <w:rPr>
          <w:rFonts w:hint="eastAsia" w:ascii="宋体" w:hAnsi="宋体" w:eastAsia="宋体" w:cs="宋体"/>
          <w:bCs/>
          <w:color w:val="auto"/>
          <w:szCs w:val="21"/>
          <w:highlight w:val="none"/>
        </w:rPr>
        <w:t>完成每日收集任务。</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rPr>
        <w:t>要做到日产日清，做到垃圾不满溢，覆盖严密，作业时垃圾不得落地、不得遗撒。禁止焚烧垃圾，禁止拾废品，如有发现及时阻止，阻止无效则上报监督部门。</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.在收运过程中应保持车辆内外整洁</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停放整齐。装载车辆按规定的时间、路线行驶。清运时，注意行车安全。</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平时负有对</w:t>
      </w:r>
      <w:r>
        <w:rPr>
          <w:rFonts w:hint="eastAsia" w:ascii="宋体" w:hAnsi="宋体" w:eastAsia="宋体" w:cs="宋体"/>
          <w:bCs/>
          <w:color w:val="auto"/>
          <w:szCs w:val="21"/>
          <w:highlight w:val="none"/>
          <w:lang w:val="en-US" w:eastAsia="zh-CN"/>
        </w:rPr>
        <w:t>垃圾分类</w:t>
      </w:r>
      <w:r>
        <w:rPr>
          <w:rFonts w:hint="eastAsia" w:ascii="宋体" w:hAnsi="宋体" w:eastAsia="宋体" w:cs="宋体"/>
          <w:bCs/>
          <w:color w:val="auto"/>
          <w:szCs w:val="21"/>
          <w:highlight w:val="none"/>
        </w:rPr>
        <w:t>工作的宣传、监督义务。</w:t>
      </w:r>
    </w:p>
    <w:p>
      <w:pPr>
        <w:numPr>
          <w:ilvl w:val="0"/>
          <w:numId w:val="9"/>
        </w:numPr>
        <w:tabs>
          <w:tab w:val="center" w:pos="4156"/>
        </w:tabs>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其它要求</w:t>
      </w:r>
    </w:p>
    <w:p>
      <w:pPr>
        <w:numPr>
          <w:ilvl w:val="0"/>
          <w:numId w:val="25"/>
        </w:numPr>
        <w:spacing w:line="360" w:lineRule="auto"/>
        <w:ind w:left="0" w:firstLine="420"/>
        <w:rPr>
          <w:rFonts w:hint="eastAsia" w:ascii="宋体" w:hAnsi="宋体" w:eastAsia="宋体" w:cs="宋体"/>
          <w:color w:val="auto"/>
          <w:highlight w:val="none"/>
        </w:rPr>
      </w:pPr>
      <w:r>
        <w:rPr>
          <w:rFonts w:hint="eastAsia" w:ascii="宋体" w:hAnsi="宋体" w:eastAsia="宋体" w:cs="宋体"/>
          <w:color w:val="auto"/>
          <w:highlight w:val="none"/>
        </w:rPr>
        <w:t>若遇如突击检查、上级部门考核、各类创建活动等特殊情况，中标人须无条件做好服务范围内的相关工作，服从采购人指挥，增加或调配人员和调整作业时间，并组织完成突击性任务，所需一切费用由中标人自理。</w:t>
      </w:r>
    </w:p>
    <w:p>
      <w:pPr>
        <w:numPr>
          <w:ilvl w:val="0"/>
          <w:numId w:val="25"/>
        </w:numPr>
        <w:spacing w:line="360" w:lineRule="auto"/>
        <w:ind w:left="0" w:firstLine="420"/>
        <w:rPr>
          <w:rFonts w:hint="eastAsia" w:ascii="宋体" w:hAnsi="宋体" w:eastAsia="宋体" w:cs="宋体"/>
          <w:color w:val="auto"/>
          <w:highlight w:val="none"/>
        </w:rPr>
      </w:pPr>
      <w:r>
        <w:rPr>
          <w:rFonts w:hint="eastAsia" w:ascii="宋体" w:hAnsi="宋体" w:eastAsia="宋体" w:cs="宋体"/>
          <w:color w:val="auto"/>
          <w:highlight w:val="none"/>
        </w:rPr>
        <w:t>中标人应在签订合同之日起一个月内向</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提交保洁管理规定、保洁负责人岗位职责、保洁人员岗位职责等规章制度，并作为合同条款。</w:t>
      </w:r>
    </w:p>
    <w:p>
      <w:pPr>
        <w:numPr>
          <w:ilvl w:val="0"/>
          <w:numId w:val="25"/>
        </w:numPr>
        <w:spacing w:line="360" w:lineRule="auto"/>
        <w:ind w:left="0" w:firstLine="420"/>
        <w:rPr>
          <w:rFonts w:hint="eastAsia" w:ascii="宋体" w:hAnsi="宋体" w:eastAsia="宋体" w:cs="宋体"/>
          <w:bCs/>
          <w:color w:val="auto"/>
          <w:szCs w:val="21"/>
          <w:highlight w:val="none"/>
        </w:rPr>
      </w:pPr>
      <w:r>
        <w:rPr>
          <w:rFonts w:hint="eastAsia" w:ascii="宋体" w:hAnsi="宋体" w:eastAsia="宋体" w:cs="宋体"/>
          <w:color w:val="auto"/>
          <w:highlight w:val="none"/>
        </w:rPr>
        <w:t>环卫服务标准：如市、县</w:t>
      </w:r>
      <w:r>
        <w:rPr>
          <w:rFonts w:hint="eastAsia" w:ascii="宋体" w:hAnsi="宋体" w:cs="宋体"/>
          <w:color w:val="auto"/>
          <w:highlight w:val="none"/>
          <w:lang w:eastAsia="zh-CN"/>
        </w:rPr>
        <w:t>、</w:t>
      </w:r>
      <w:r>
        <w:rPr>
          <w:rFonts w:hint="eastAsia" w:ascii="宋体" w:hAnsi="宋体" w:cs="宋体"/>
          <w:color w:val="auto"/>
          <w:highlight w:val="none"/>
          <w:lang w:val="en-US" w:eastAsia="zh-CN"/>
        </w:rPr>
        <w:t>街道</w:t>
      </w:r>
      <w:r>
        <w:rPr>
          <w:rFonts w:hint="eastAsia" w:ascii="宋体" w:hAnsi="宋体" w:eastAsia="宋体" w:cs="宋体"/>
          <w:color w:val="auto"/>
          <w:highlight w:val="none"/>
        </w:rPr>
        <w:t>有新要求，中标人必须按新要求执行，并对此进行承诺。</w:t>
      </w:r>
    </w:p>
    <w:p>
      <w:pPr>
        <w:numPr>
          <w:ilvl w:val="0"/>
          <w:numId w:val="25"/>
        </w:numPr>
        <w:spacing w:line="360" w:lineRule="auto"/>
        <w:ind w:left="0" w:firstLine="420"/>
        <w:rPr>
          <w:rFonts w:hint="eastAsia" w:ascii="宋体" w:hAnsi="宋体" w:eastAsia="宋体" w:cs="宋体"/>
          <w:color w:val="auto"/>
          <w:highlight w:val="none"/>
        </w:rPr>
      </w:pPr>
      <w:r>
        <w:rPr>
          <w:rFonts w:hint="eastAsia" w:ascii="宋体" w:hAnsi="宋体" w:eastAsia="宋体" w:cs="宋体"/>
          <w:color w:val="auto"/>
          <w:highlight w:val="none"/>
        </w:rPr>
        <w:t>建立健全公司各项管理制度，包括岗位职责、考勤制度、考核及奖惩制度等。</w:t>
      </w:r>
    </w:p>
    <w:p>
      <w:pPr>
        <w:numPr>
          <w:ilvl w:val="0"/>
          <w:numId w:val="25"/>
        </w:numPr>
        <w:spacing w:line="360" w:lineRule="auto"/>
        <w:ind w:left="0" w:firstLine="420"/>
        <w:rPr>
          <w:rFonts w:hint="eastAsia" w:ascii="宋体" w:hAnsi="宋体" w:eastAsia="宋体" w:cs="宋体"/>
          <w:color w:val="auto"/>
          <w:highlight w:val="none"/>
        </w:rPr>
      </w:pPr>
      <w:r>
        <w:rPr>
          <w:rFonts w:hint="eastAsia" w:ascii="宋体" w:hAnsi="宋体" w:eastAsia="宋体" w:cs="宋体"/>
          <w:color w:val="auto"/>
          <w:highlight w:val="none"/>
        </w:rPr>
        <w:t>做好人员安排、车辆管理等台帐的记录，积极落实投诉、通报情况，并以书面形式进行上报。</w:t>
      </w:r>
    </w:p>
    <w:p>
      <w:pPr>
        <w:numPr>
          <w:ilvl w:val="0"/>
          <w:numId w:val="25"/>
        </w:numPr>
        <w:spacing w:line="360" w:lineRule="auto"/>
        <w:ind w:left="0" w:firstLine="420"/>
        <w:rPr>
          <w:rFonts w:hint="eastAsia" w:ascii="宋体" w:hAnsi="宋体" w:eastAsia="宋体" w:cs="宋体"/>
          <w:color w:val="auto"/>
          <w:highlight w:val="none"/>
        </w:rPr>
      </w:pPr>
      <w:r>
        <w:rPr>
          <w:rFonts w:hint="eastAsia" w:ascii="宋体" w:hAnsi="宋体" w:eastAsia="宋体" w:cs="宋体"/>
          <w:color w:val="auto"/>
          <w:highlight w:val="none"/>
        </w:rPr>
        <w:t>制定重大活动、节庆假日、突击检查、创先评优、气象灾害和极端天气等特殊时期的应急保障措施，提供应急保洁人员安排表，并无条件配合</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做好相关保障。</w:t>
      </w:r>
    </w:p>
    <w:p>
      <w:pPr>
        <w:numPr>
          <w:ilvl w:val="0"/>
          <w:numId w:val="25"/>
        </w:numPr>
        <w:spacing w:line="360" w:lineRule="auto"/>
        <w:ind w:left="0" w:firstLine="420"/>
        <w:rPr>
          <w:rFonts w:hint="eastAsia" w:ascii="宋体" w:hAnsi="宋体" w:eastAsia="宋体" w:cs="宋体"/>
          <w:color w:val="auto"/>
          <w:highlight w:val="none"/>
        </w:rPr>
      </w:pPr>
      <w:r>
        <w:rPr>
          <w:rFonts w:hint="eastAsia" w:ascii="宋体" w:hAnsi="宋体" w:eastAsia="宋体" w:cs="宋体"/>
          <w:color w:val="auto"/>
          <w:highlight w:val="none"/>
        </w:rPr>
        <w:t>选择聘用身体健康、思想端正的人员，加强管理并根据预算足额发放劳动报酬（含基本工资、特殊岗位津贴、节假日加班费、高温补贴以及购买社会保险、</w:t>
      </w:r>
      <w:r>
        <w:rPr>
          <w:rFonts w:hint="eastAsia" w:ascii="宋体" w:hAnsi="宋体" w:eastAsia="宋体" w:cs="宋体"/>
          <w:color w:val="auto"/>
          <w:highlight w:val="none"/>
          <w:lang w:val="en-US" w:eastAsia="zh-CN"/>
        </w:rPr>
        <w:t>住房公积金、</w:t>
      </w:r>
      <w:r>
        <w:rPr>
          <w:rFonts w:hint="eastAsia" w:ascii="宋体" w:hAnsi="宋体" w:eastAsia="宋体" w:cs="宋体"/>
          <w:color w:val="auto"/>
          <w:highlight w:val="none"/>
        </w:rPr>
        <w:t>体检、节日慰问等福利）。</w:t>
      </w:r>
    </w:p>
    <w:p>
      <w:pPr>
        <w:numPr>
          <w:ilvl w:val="0"/>
          <w:numId w:val="25"/>
        </w:numPr>
        <w:spacing w:line="360" w:lineRule="auto"/>
        <w:ind w:left="0" w:firstLine="420"/>
        <w:rPr>
          <w:rFonts w:hint="eastAsia" w:ascii="宋体" w:hAnsi="宋体" w:eastAsia="宋体" w:cs="宋体"/>
          <w:color w:val="auto"/>
          <w:highlight w:val="none"/>
        </w:rPr>
      </w:pPr>
      <w:r>
        <w:rPr>
          <w:rFonts w:hint="eastAsia" w:ascii="宋体" w:hAnsi="宋体" w:eastAsia="宋体" w:cs="宋体"/>
          <w:color w:val="auto"/>
          <w:highlight w:val="none"/>
        </w:rPr>
        <w:t>划分科学合理的清扫区域，按要求配置足够的清扫保洁人员；制定科学节能的清扫路线，提高机械车辆的利用率。</w:t>
      </w:r>
    </w:p>
    <w:p>
      <w:pPr>
        <w:numPr>
          <w:ilvl w:val="0"/>
          <w:numId w:val="25"/>
        </w:numPr>
        <w:spacing w:line="360" w:lineRule="auto"/>
        <w:ind w:left="0" w:firstLine="420"/>
        <w:rPr>
          <w:rFonts w:hint="eastAsia" w:ascii="宋体" w:hAnsi="宋体" w:eastAsia="宋体" w:cs="宋体"/>
          <w:color w:val="auto"/>
          <w:highlight w:val="none"/>
        </w:rPr>
      </w:pPr>
      <w:r>
        <w:rPr>
          <w:rFonts w:hint="eastAsia" w:ascii="宋体" w:hAnsi="宋体" w:eastAsia="宋体" w:cs="宋体"/>
          <w:color w:val="auto"/>
          <w:highlight w:val="none"/>
        </w:rPr>
        <w:t>加强对公司管理人员及重要特殊岗位工作人员的相关业务培训。</w:t>
      </w:r>
    </w:p>
    <w:p>
      <w:pPr>
        <w:numPr>
          <w:ilvl w:val="0"/>
          <w:numId w:val="25"/>
        </w:numPr>
        <w:spacing w:line="360" w:lineRule="auto"/>
        <w:ind w:left="0" w:firstLine="420"/>
        <w:rPr>
          <w:rFonts w:hint="eastAsia" w:ascii="宋体" w:hAnsi="宋体" w:eastAsia="宋体" w:cs="宋体"/>
          <w:color w:val="auto"/>
          <w:highlight w:val="none"/>
        </w:rPr>
      </w:pPr>
      <w:r>
        <w:rPr>
          <w:rFonts w:hint="eastAsia" w:ascii="宋体" w:hAnsi="宋体" w:eastAsia="宋体" w:cs="宋体"/>
          <w:color w:val="auto"/>
          <w:highlight w:val="none"/>
        </w:rPr>
        <w:t>安全生产管理职责：</w:t>
      </w:r>
    </w:p>
    <w:p>
      <w:pPr>
        <w:numPr>
          <w:ilvl w:val="0"/>
          <w:numId w:val="26"/>
        </w:numPr>
        <w:spacing w:line="360" w:lineRule="auto"/>
        <w:ind w:left="840" w:leftChars="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成立安全生产领导小组，落实安全生产责任人，制定安全生产相关制度和应急预案。配备安全生产专员，合理开支安全生产专项管理经费。</w:t>
      </w:r>
    </w:p>
    <w:p>
      <w:pPr>
        <w:numPr>
          <w:ilvl w:val="0"/>
          <w:numId w:val="26"/>
        </w:numPr>
        <w:spacing w:line="360" w:lineRule="auto"/>
        <w:ind w:left="840" w:leftChars="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办公场所、宿舍、停车场地和车辆必须按标准配备灭火器等消防设备，安全用水用电，定期组织消防安全演练，宣传安全生产相关知识。</w:t>
      </w:r>
    </w:p>
    <w:p>
      <w:pPr>
        <w:numPr>
          <w:ilvl w:val="0"/>
          <w:numId w:val="26"/>
        </w:numPr>
        <w:spacing w:line="360" w:lineRule="auto"/>
        <w:ind w:left="840" w:leftChars="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加强巡查，加强安全隐患排查，发现问题及时整改，彻底杜绝安全事故的发生。如发生安全事故及时上报，不得瞒报。</w:t>
      </w:r>
    </w:p>
    <w:p>
      <w:pPr>
        <w:numPr>
          <w:ilvl w:val="0"/>
          <w:numId w:val="26"/>
        </w:numPr>
        <w:spacing w:line="360" w:lineRule="auto"/>
        <w:ind w:left="840" w:leftChars="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加强交通安全知识教育，督促清扫保洁人员和驾驶员遵守交通法规，注意自身和行人安全。</w:t>
      </w:r>
    </w:p>
    <w:p>
      <w:pPr>
        <w:numPr>
          <w:ilvl w:val="0"/>
          <w:numId w:val="26"/>
        </w:numPr>
        <w:spacing w:line="360" w:lineRule="auto"/>
        <w:ind w:left="840" w:leftChars="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每季度召开一次安全会议。</w:t>
      </w:r>
    </w:p>
    <w:p>
      <w:pPr>
        <w:numPr>
          <w:ilvl w:val="0"/>
          <w:numId w:val="26"/>
        </w:numPr>
        <w:spacing w:line="360" w:lineRule="auto"/>
        <w:ind w:left="840" w:leftChars="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车辆须按时年检，购买保险。</w:t>
      </w:r>
    </w:p>
    <w:p>
      <w:pPr>
        <w:numPr>
          <w:ilvl w:val="0"/>
          <w:numId w:val="25"/>
        </w:numPr>
        <w:spacing w:line="360" w:lineRule="auto"/>
        <w:ind w:left="0" w:firstLine="42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积极落实环卫行业相关文件精神，做好企业文化宣传，积极参加环卫行业重大活动等。</w:t>
      </w:r>
    </w:p>
    <w:p>
      <w:pPr>
        <w:numPr>
          <w:ilvl w:val="0"/>
          <w:numId w:val="25"/>
        </w:numPr>
        <w:spacing w:line="360" w:lineRule="auto"/>
        <w:ind w:left="0" w:firstLine="420"/>
        <w:rPr>
          <w:rFonts w:hint="eastAsia" w:ascii="宋体" w:hAnsi="宋体" w:eastAsia="宋体" w:cs="宋体"/>
          <w:color w:val="auto"/>
          <w:highlight w:val="none"/>
        </w:rPr>
      </w:pPr>
      <w:r>
        <w:rPr>
          <w:rFonts w:hint="eastAsia" w:ascii="宋体" w:hAnsi="宋体" w:eastAsia="宋体" w:cs="宋体"/>
          <w:bCs/>
          <w:color w:val="auto"/>
          <w:kern w:val="0"/>
          <w:szCs w:val="21"/>
          <w:highlight w:val="none"/>
        </w:rPr>
        <w:t>中标人要提供完备的相关（包括安全）台账资料的登记、管理制度，制作的各类台账要规范、真实、清晰、准确。</w:t>
      </w:r>
    </w:p>
    <w:p>
      <w:pPr>
        <w:numPr>
          <w:ilvl w:val="0"/>
          <w:numId w:val="27"/>
        </w:numPr>
        <w:spacing w:line="360" w:lineRule="auto"/>
        <w:ind w:left="840" w:leftChars="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每月根据采购人要求上交花名册、工资清单、社保清单等；</w:t>
      </w:r>
    </w:p>
    <w:p>
      <w:pPr>
        <w:numPr>
          <w:ilvl w:val="0"/>
          <w:numId w:val="27"/>
        </w:numPr>
        <w:spacing w:line="360" w:lineRule="auto"/>
        <w:ind w:left="840" w:leftChars="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建立线下保洁分配表（各路段人员分配）。</w:t>
      </w:r>
    </w:p>
    <w:p>
      <w:pPr>
        <w:numPr>
          <w:ilvl w:val="0"/>
          <w:numId w:val="25"/>
        </w:numPr>
        <w:spacing w:line="360" w:lineRule="auto"/>
        <w:ind w:left="0" w:firstLine="420"/>
        <w:rPr>
          <w:rFonts w:hint="eastAsia" w:ascii="宋体" w:hAnsi="宋体" w:eastAsia="宋体" w:cs="宋体"/>
          <w:color w:val="auto"/>
          <w:highlight w:val="none"/>
        </w:rPr>
      </w:pPr>
      <w:r>
        <w:rPr>
          <w:rFonts w:hint="eastAsia" w:ascii="宋体" w:hAnsi="宋体" w:eastAsia="宋体" w:cs="宋体"/>
          <w:color w:val="auto"/>
          <w:highlight w:val="none"/>
        </w:rPr>
        <w:t>不得干扰、谩骂、挑衅、延误、干扰考核人员或上级检查人员正常检查（拍照取证）。</w:t>
      </w:r>
    </w:p>
    <w:p>
      <w:pPr>
        <w:numPr>
          <w:ilvl w:val="0"/>
          <w:numId w:val="25"/>
        </w:numPr>
        <w:spacing w:line="360" w:lineRule="auto"/>
        <w:ind w:left="0" w:firstLine="420"/>
        <w:rPr>
          <w:rFonts w:hint="eastAsia" w:ascii="宋体" w:hAnsi="宋体" w:eastAsia="宋体" w:cs="宋体"/>
          <w:color w:val="auto"/>
          <w:highlight w:val="none"/>
        </w:rPr>
      </w:pPr>
      <w:r>
        <w:rPr>
          <w:rFonts w:hint="eastAsia" w:ascii="宋体" w:hAnsi="宋体" w:eastAsia="宋体" w:cs="宋体"/>
          <w:color w:val="auto"/>
          <w:highlight w:val="none"/>
        </w:rPr>
        <w:t>每月</w:t>
      </w:r>
      <w:r>
        <w:rPr>
          <w:rFonts w:hint="eastAsia" w:ascii="宋体" w:hAnsi="宋体" w:cs="宋体"/>
          <w:color w:val="auto"/>
          <w:highlight w:val="none"/>
          <w:lang w:val="en-US" w:eastAsia="zh-CN"/>
        </w:rPr>
        <w:t>采购人有权</w:t>
      </w:r>
      <w:r>
        <w:rPr>
          <w:rFonts w:hint="eastAsia" w:ascii="宋体" w:hAnsi="宋体" w:eastAsia="宋体" w:cs="宋体"/>
          <w:color w:val="auto"/>
          <w:highlight w:val="none"/>
        </w:rPr>
        <w:t>联合相关部门到中标单位对其员工社保缴纳信息等台账资料进行检查，如发现有人员缴纳社保虚报瞒报的以及相关资料不真实存在虚假信息的，一经发现，</w:t>
      </w:r>
      <w:r>
        <w:rPr>
          <w:rFonts w:hint="eastAsia" w:ascii="宋体" w:hAnsi="宋体" w:cs="宋体"/>
          <w:color w:val="auto"/>
          <w:highlight w:val="none"/>
          <w:lang w:val="en-US" w:eastAsia="zh-CN"/>
        </w:rPr>
        <w:t>采购人</w:t>
      </w:r>
      <w:r>
        <w:rPr>
          <w:rFonts w:hint="eastAsia" w:ascii="宋体" w:hAnsi="宋体" w:eastAsia="宋体" w:cs="宋体"/>
          <w:color w:val="auto"/>
          <w:highlight w:val="none"/>
        </w:rPr>
        <w:t>责令限期整改，否则</w:t>
      </w:r>
      <w:r>
        <w:rPr>
          <w:rFonts w:hint="eastAsia" w:ascii="宋体" w:hAnsi="宋体" w:cs="宋体"/>
          <w:color w:val="auto"/>
          <w:highlight w:val="none"/>
          <w:lang w:val="en-US" w:eastAsia="zh-CN"/>
        </w:rPr>
        <w:t>采购人</w:t>
      </w:r>
      <w:r>
        <w:rPr>
          <w:rFonts w:hint="eastAsia" w:ascii="宋体" w:hAnsi="宋体" w:eastAsia="宋体" w:cs="宋体"/>
          <w:color w:val="auto"/>
          <w:highlight w:val="none"/>
        </w:rPr>
        <w:t>有权单方面解除合同，对此产生的一切后果由中标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承担。</w:t>
      </w:r>
    </w:p>
    <w:p>
      <w:pPr>
        <w:numPr>
          <w:ilvl w:val="0"/>
          <w:numId w:val="25"/>
        </w:numPr>
        <w:spacing w:line="360" w:lineRule="auto"/>
        <w:ind w:left="0" w:firstLine="420"/>
        <w:rPr>
          <w:rFonts w:hint="eastAsia" w:ascii="宋体" w:hAnsi="宋体" w:eastAsia="宋体" w:cs="宋体"/>
          <w:color w:val="auto"/>
          <w:highlight w:val="none"/>
        </w:rPr>
      </w:pPr>
      <w:r>
        <w:rPr>
          <w:rFonts w:hint="eastAsia" w:ascii="宋体" w:hAnsi="宋体" w:eastAsia="宋体" w:cs="宋体"/>
          <w:color w:val="auto"/>
          <w:highlight w:val="none"/>
        </w:rPr>
        <w:t>采购人有权要求中标人提供授权委托书到社保部门进行社保缴纳信息查询，中标人必须配合采购人提供相应资料来进行查询。</w:t>
      </w:r>
    </w:p>
    <w:p>
      <w:pPr>
        <w:numPr>
          <w:ilvl w:val="0"/>
          <w:numId w:val="25"/>
        </w:numPr>
        <w:spacing w:line="360" w:lineRule="auto"/>
        <w:ind w:left="0"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中标人必须自觉接受、配合采购人有关工作指导及考核检查，并自觉做好县各项大型活动期间的环境保障和其它临时性、突击性工作（费用已包含在投标报价中）。中标人应积极配合采购人及政府相关部门开展防疫工作；中标人应采取有效措施，做好中标人企业员工防疫工作，杜绝疫情发生。采购人就防疫情况有权对中标人防疫工作进行监督，若中标人违反采购人及政府相关部门防疫工作要求的，每发现一次，中标人应按1000元/次向采购人支付违约金，采购人就上述违约金有权在待付款项中优先予以扣除。</w:t>
      </w:r>
    </w:p>
    <w:p>
      <w:pPr>
        <w:numPr>
          <w:ilvl w:val="0"/>
          <w:numId w:val="25"/>
        </w:numPr>
        <w:spacing w:line="360" w:lineRule="auto"/>
        <w:ind w:left="0"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供应商应对</w:t>
      </w:r>
      <w:r>
        <w:rPr>
          <w:rFonts w:hint="eastAsia" w:ascii="宋体" w:hAnsi="宋体" w:cs="宋体"/>
          <w:color w:val="auto"/>
          <w:highlight w:val="none"/>
          <w:lang w:val="en-US" w:eastAsia="zh-CN"/>
        </w:rPr>
        <w:t>本次城乡环卫</w:t>
      </w:r>
      <w:r>
        <w:rPr>
          <w:rFonts w:hint="eastAsia" w:ascii="宋体" w:hAnsi="宋体" w:eastAsia="宋体" w:cs="宋体"/>
          <w:color w:val="auto"/>
          <w:highlight w:val="none"/>
          <w:lang w:val="en-US" w:eastAsia="zh-CN"/>
        </w:rPr>
        <w:t>保洁服务区域内的重点难点情况进行了解并提供相对应的重点难点解决方案。</w:t>
      </w:r>
    </w:p>
    <w:p>
      <w:pPr>
        <w:numPr>
          <w:ilvl w:val="0"/>
          <w:numId w:val="25"/>
        </w:numPr>
        <w:spacing w:line="360" w:lineRule="auto"/>
        <w:ind w:left="0"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供应商应根据道路特点、周边环境特点等具体情况制定完善合理的道路保洁工作方案，配备相应的作业工具，保证城乡环卫道路保洁工作顺利有序开展。</w:t>
      </w:r>
    </w:p>
    <w:p>
      <w:pPr>
        <w:numPr>
          <w:ilvl w:val="0"/>
          <w:numId w:val="25"/>
        </w:numPr>
        <w:spacing w:line="360" w:lineRule="auto"/>
        <w:ind w:left="0" w:firstLine="42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供应商应根据街道生活垃圾上门收运要求，在投标文件中提供针对本次招标范围内实际情况制定的生活垃圾清运方案。</w:t>
      </w:r>
    </w:p>
    <w:p>
      <w:pPr>
        <w:numPr>
          <w:ilvl w:val="0"/>
          <w:numId w:val="25"/>
        </w:numPr>
        <w:spacing w:line="360" w:lineRule="auto"/>
        <w:ind w:left="0" w:firstLine="42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保洁服务是劳动力密集型工作，保洁人员和应急人员是完成本项目的重要组成部分。供应商需在投标文件中提供相对应的人员保障方案和应急人员储备方案。同时供应商应加强对于保洁人员的安全教育，并投入具有主管部门颁发的安全培训合格证书的安全员。</w:t>
      </w:r>
    </w:p>
    <w:p>
      <w:pPr>
        <w:numPr>
          <w:ilvl w:val="0"/>
          <w:numId w:val="25"/>
        </w:numPr>
        <w:spacing w:line="360" w:lineRule="auto"/>
        <w:ind w:left="0"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供应商应提供机械设备及车辆的配置情况，并保证质量合格、满足使用要求。</w:t>
      </w:r>
    </w:p>
    <w:p>
      <w:pPr>
        <w:numPr>
          <w:ilvl w:val="0"/>
          <w:numId w:val="25"/>
        </w:numPr>
        <w:spacing w:line="360" w:lineRule="auto"/>
        <w:ind w:left="0"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供应商应提供保证本次城乡环卫保洁项目顺利进行的质量保障措施、服务响应及承诺。</w:t>
      </w:r>
    </w:p>
    <w:p>
      <w:pPr>
        <w:numPr>
          <w:ilvl w:val="0"/>
          <w:numId w:val="25"/>
        </w:numPr>
        <w:spacing w:line="360" w:lineRule="auto"/>
        <w:ind w:left="0"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供应商需具有良好的企业形象，并努力完善自身质量保证制度，督检制度和企业管理制度，同时建立较为完善的巡回保洁制度、检查监督制度、违规处罚制度，落实好各类人事管理、人员考核、奖惩、日常管理及安全规程等详细制度的制定工作。</w:t>
      </w:r>
    </w:p>
    <w:p>
      <w:pPr>
        <w:numPr>
          <w:ilvl w:val="0"/>
          <w:numId w:val="25"/>
        </w:numPr>
        <w:spacing w:line="360" w:lineRule="auto"/>
        <w:ind w:left="0"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次保洁项目范围广、规模大、人员要求高，因此在项目实施前应充分考虑和协调、组织好项目人员、车辆等要素的交接问题，故供应商应在投标文件中制定相应的交接方案，科学地做好项目实施前的组织工作，避免交接过程中存在的风险。</w:t>
      </w:r>
    </w:p>
    <w:p>
      <w:pPr>
        <w:numPr>
          <w:ilvl w:val="0"/>
          <w:numId w:val="25"/>
        </w:numPr>
        <w:spacing w:line="360" w:lineRule="auto"/>
        <w:ind w:left="0"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供应商应具有科学的疫情防控体系，建设常态化疫情防控体制机制，健全防控工作机制。</w:t>
      </w:r>
    </w:p>
    <w:p>
      <w:pPr>
        <w:numPr>
          <w:ilvl w:val="0"/>
          <w:numId w:val="25"/>
        </w:numPr>
        <w:spacing w:line="360" w:lineRule="auto"/>
        <w:ind w:left="0" w:firstLine="42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供应商需自觉遵守各村社干部的工作监督，正视保洁过程中被发现的问题与不足，凡职责范围内的服务事项，不得以任何理由拖延，应第一时间加以规范处置。供应商在投标文件中需提供工作监督奖励制度用于对村社干部监督工作的嘉奖肯定，共同做好本次环卫保洁服务工作。</w:t>
      </w:r>
    </w:p>
    <w:p>
      <w:pPr>
        <w:numPr>
          <w:ilvl w:val="0"/>
          <w:numId w:val="0"/>
        </w:numPr>
        <w:spacing w:line="360" w:lineRule="auto"/>
        <w:ind w:lef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七、</w:t>
      </w:r>
      <w:r>
        <w:rPr>
          <w:rFonts w:hint="eastAsia" w:ascii="宋体" w:hAnsi="宋体" w:eastAsia="宋体" w:cs="宋体"/>
          <w:b/>
          <w:color w:val="auto"/>
          <w:szCs w:val="21"/>
          <w:highlight w:val="none"/>
        </w:rPr>
        <w:t>考核标准</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为积极贯彻县委、县政府提出的城市精细化管理要求，提升城市环境卫生管理水平，促进全国文明城市创建，健全</w:t>
      </w:r>
      <w:r>
        <w:rPr>
          <w:rFonts w:hint="eastAsia" w:ascii="宋体" w:hAnsi="宋体" w:eastAsia="宋体" w:cs="宋体"/>
          <w:bCs/>
          <w:color w:val="auto"/>
          <w:szCs w:val="21"/>
          <w:highlight w:val="none"/>
          <w:lang w:val="en-US" w:eastAsia="zh-CN"/>
        </w:rPr>
        <w:t>桃源街道城乡环卫</w:t>
      </w:r>
      <w:r>
        <w:rPr>
          <w:rFonts w:hint="eastAsia" w:ascii="宋体" w:hAnsi="宋体" w:eastAsia="宋体" w:cs="宋体"/>
          <w:bCs/>
          <w:color w:val="auto"/>
          <w:szCs w:val="21"/>
          <w:highlight w:val="none"/>
        </w:rPr>
        <w:t>清扫保洁管理的监督考核机制，有效地促进长效管理措施落实，进一步提高</w:t>
      </w:r>
      <w:r>
        <w:rPr>
          <w:rFonts w:hint="eastAsia" w:ascii="宋体" w:hAnsi="宋体" w:eastAsia="宋体" w:cs="宋体"/>
          <w:bCs/>
          <w:color w:val="auto"/>
          <w:szCs w:val="21"/>
          <w:highlight w:val="none"/>
          <w:lang w:val="en-US" w:eastAsia="zh-CN"/>
        </w:rPr>
        <w:t>桃源街道</w:t>
      </w:r>
      <w:r>
        <w:rPr>
          <w:rFonts w:hint="eastAsia" w:ascii="宋体" w:hAnsi="宋体" w:eastAsia="宋体" w:cs="宋体"/>
          <w:bCs/>
          <w:color w:val="auto"/>
          <w:szCs w:val="21"/>
          <w:highlight w:val="none"/>
          <w:lang w:eastAsia="zh-CN"/>
        </w:rPr>
        <w:t>城乡</w:t>
      </w:r>
      <w:r>
        <w:rPr>
          <w:rFonts w:hint="eastAsia" w:ascii="宋体" w:hAnsi="宋体" w:eastAsia="宋体" w:cs="宋体"/>
          <w:bCs/>
          <w:color w:val="auto"/>
          <w:szCs w:val="21"/>
          <w:highlight w:val="none"/>
        </w:rPr>
        <w:t>环卫清扫保洁管理质量，改善</w:t>
      </w:r>
      <w:r>
        <w:rPr>
          <w:rFonts w:hint="eastAsia" w:ascii="宋体" w:hAnsi="宋体" w:cs="宋体"/>
          <w:bCs/>
          <w:color w:val="auto"/>
          <w:szCs w:val="21"/>
          <w:highlight w:val="none"/>
          <w:lang w:val="en-US" w:eastAsia="zh-CN"/>
        </w:rPr>
        <w:t>道路</w:t>
      </w:r>
      <w:r>
        <w:rPr>
          <w:rFonts w:hint="eastAsia" w:ascii="宋体" w:hAnsi="宋体" w:eastAsia="宋体" w:cs="宋体"/>
          <w:bCs/>
          <w:color w:val="auto"/>
          <w:szCs w:val="21"/>
          <w:highlight w:val="none"/>
        </w:rPr>
        <w:t>环境卫生，创造良好的生产、生活和工作环境，特制定本考核办法。</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（一）</w:t>
      </w:r>
      <w:r>
        <w:rPr>
          <w:rFonts w:hint="eastAsia" w:ascii="宋体" w:hAnsi="宋体" w:eastAsia="宋体" w:cs="宋体"/>
          <w:bCs/>
          <w:color w:val="auto"/>
          <w:szCs w:val="21"/>
          <w:highlight w:val="none"/>
        </w:rPr>
        <w:t>考核对象</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本办法针对本轮招标保洁项目中标单位列入考核范围，主要对作业标准、文明规范作业情况进行考核。</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（二）</w:t>
      </w:r>
      <w:r>
        <w:rPr>
          <w:rFonts w:hint="eastAsia" w:ascii="宋体" w:hAnsi="宋体" w:eastAsia="宋体" w:cs="宋体"/>
          <w:bCs/>
          <w:color w:val="auto"/>
          <w:szCs w:val="21"/>
          <w:highlight w:val="none"/>
        </w:rPr>
        <w:t>考核办法</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1</w:t>
      </w:r>
      <w:r>
        <w:rPr>
          <w:rFonts w:hint="eastAsia" w:ascii="宋体" w:hAnsi="宋体" w:eastAsia="宋体" w:cs="宋体"/>
          <w:bCs/>
          <w:color w:val="auto"/>
          <w:szCs w:val="21"/>
          <w:highlight w:val="none"/>
        </w:rPr>
        <w:t>、月评：满分为100分，分值由</w:t>
      </w:r>
      <w:r>
        <w:rPr>
          <w:rFonts w:hint="eastAsia" w:ascii="宋体" w:hAnsi="宋体" w:eastAsia="宋体" w:cs="宋体"/>
          <w:bCs/>
          <w:color w:val="auto"/>
          <w:szCs w:val="21"/>
          <w:highlight w:val="none"/>
          <w:lang w:val="en-US" w:eastAsia="zh-CN"/>
        </w:rPr>
        <w:t>街道</w:t>
      </w:r>
      <w:r>
        <w:rPr>
          <w:rFonts w:hint="eastAsia" w:ascii="宋体" w:hAnsi="宋体" w:eastAsia="宋体" w:cs="宋体"/>
          <w:bCs/>
          <w:color w:val="auto"/>
          <w:szCs w:val="21"/>
          <w:highlight w:val="none"/>
        </w:rPr>
        <w:t>考核结果</w:t>
      </w:r>
      <w:r>
        <w:rPr>
          <w:rFonts w:hint="eastAsia" w:ascii="宋体" w:hAnsi="宋体" w:cs="宋体"/>
          <w:bCs/>
          <w:color w:val="auto"/>
          <w:szCs w:val="21"/>
          <w:highlight w:val="none"/>
          <w:lang w:val="en-US" w:eastAsia="zh-CN"/>
        </w:rPr>
        <w:t>确定</w:t>
      </w:r>
      <w:r>
        <w:rPr>
          <w:rFonts w:hint="eastAsia" w:ascii="宋体" w:hAnsi="宋体" w:eastAsia="宋体" w:cs="宋体"/>
          <w:bCs/>
          <w:color w:val="auto"/>
          <w:szCs w:val="21"/>
          <w:highlight w:val="none"/>
        </w:rPr>
        <w:t>。月评分数和经费拨付相挂钩，具体如下：</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（1）考核分数在100分-95分（含）以上的为合格，全额核拨当月服务经费；</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（2）考核分在95-90分（含）之间，以95分为基准，每下降1分，扣当月经费的1%；不足1分的，采用内插法计算。</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（3）考核分在90分以下的，先扣除当月经费的5%；在此基础上，以90分为基准，每下降1分，扣当月经费的2%；以此类推。不足1分的，采用内插法计算。 </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（4）如连续两个月或年度累计三个月考核分数在90分以下的，</w:t>
      </w:r>
      <w:r>
        <w:rPr>
          <w:rFonts w:hint="eastAsia" w:ascii="宋体" w:hAnsi="宋体" w:eastAsia="宋体" w:cs="宋体"/>
          <w:bCs/>
          <w:color w:val="auto"/>
          <w:szCs w:val="21"/>
          <w:highlight w:val="none"/>
          <w:lang w:eastAsia="zh-CN"/>
        </w:rPr>
        <w:t>采购人</w:t>
      </w:r>
      <w:r>
        <w:rPr>
          <w:rFonts w:hint="eastAsia" w:ascii="宋体" w:hAnsi="宋体" w:eastAsia="宋体" w:cs="宋体"/>
          <w:bCs/>
          <w:color w:val="auto"/>
          <w:szCs w:val="21"/>
          <w:highlight w:val="none"/>
        </w:rPr>
        <w:t>有权单方解除合同。</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rPr>
        <w:t>、明查暗查相结合，根据考核分来核拨当月保洁经费。</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如采购人出具书面整改意见要求进行整改，在出具整改意见后限期内中标人未按规定整改的，采购人有权对其重点考核加倍扣罚。整改内容（未落实合同规定及环卫行业相关文件精神；未及时完成上级下达的工作任务；重大活动保障不力；</w:t>
      </w:r>
      <w:r>
        <w:rPr>
          <w:rFonts w:hint="eastAsia" w:ascii="宋体" w:hAnsi="宋体" w:eastAsia="宋体" w:cs="宋体"/>
          <w:bCs/>
          <w:color w:val="auto"/>
          <w:szCs w:val="21"/>
          <w:highlight w:val="none"/>
          <w:lang w:eastAsia="zh-CN"/>
        </w:rPr>
        <w:t>造成负面影响的；</w:t>
      </w:r>
      <w:r>
        <w:rPr>
          <w:rFonts w:hint="eastAsia" w:ascii="宋体" w:hAnsi="宋体" w:eastAsia="宋体" w:cs="宋体"/>
          <w:bCs/>
          <w:color w:val="auto"/>
          <w:szCs w:val="21"/>
          <w:highlight w:val="none"/>
        </w:rPr>
        <w:t>被上级各类考核通报批评或有关媒体曝光</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有责投诉等</w:t>
      </w:r>
      <w:r>
        <w:rPr>
          <w:rFonts w:hint="eastAsia" w:ascii="宋体" w:hAnsi="宋体" w:eastAsia="宋体" w:cs="宋体"/>
          <w:bCs/>
          <w:color w:val="auto"/>
          <w:szCs w:val="21"/>
          <w:highlight w:val="none"/>
          <w:lang w:eastAsia="zh-CN"/>
        </w:rPr>
        <w:t>。视具体情况</w:t>
      </w:r>
      <w:r>
        <w:rPr>
          <w:rFonts w:hint="eastAsia" w:ascii="宋体" w:hAnsi="宋体" w:eastAsia="宋体" w:cs="宋体"/>
          <w:bCs/>
          <w:color w:val="auto"/>
          <w:szCs w:val="21"/>
          <w:highlight w:val="none"/>
        </w:rPr>
        <w:t>整改扣款</w:t>
      </w:r>
      <w:r>
        <w:rPr>
          <w:rFonts w:hint="eastAsia" w:ascii="宋体" w:hAnsi="宋体" w:eastAsia="宋体" w:cs="宋体"/>
          <w:bCs/>
          <w:color w:val="auto"/>
          <w:szCs w:val="21"/>
          <w:highlight w:val="none"/>
          <w:lang w:val="en-US" w:eastAsia="zh-CN"/>
        </w:rPr>
        <w:t>10</w:t>
      </w:r>
      <w:r>
        <w:rPr>
          <w:rFonts w:hint="eastAsia" w:ascii="宋体" w:hAnsi="宋体" w:eastAsia="宋体" w:cs="宋体"/>
          <w:bCs/>
          <w:color w:val="auto"/>
          <w:szCs w:val="21"/>
          <w:highlight w:val="none"/>
        </w:rPr>
        <w:t>00-500</w:t>
      </w:r>
      <w:r>
        <w:rPr>
          <w:rFonts w:hint="eastAsia" w:ascii="宋体" w:hAnsi="宋体" w:eastAsia="宋体" w:cs="宋体"/>
          <w:bCs/>
          <w:color w:val="auto"/>
          <w:szCs w:val="21"/>
          <w:highlight w:val="none"/>
          <w:lang w:val="en-US" w:eastAsia="zh-CN"/>
        </w:rPr>
        <w:t>00</w:t>
      </w:r>
      <w:r>
        <w:rPr>
          <w:rFonts w:hint="eastAsia" w:ascii="宋体" w:hAnsi="宋体" w:eastAsia="宋体" w:cs="宋体"/>
          <w:bCs/>
          <w:color w:val="auto"/>
          <w:szCs w:val="21"/>
          <w:highlight w:val="none"/>
        </w:rPr>
        <w:t>元）。</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街道</w:t>
      </w:r>
      <w:r>
        <w:rPr>
          <w:rFonts w:hint="eastAsia" w:ascii="宋体" w:hAnsi="宋体" w:eastAsia="宋体" w:cs="宋体"/>
          <w:bCs/>
          <w:color w:val="auto"/>
          <w:szCs w:val="21"/>
          <w:highlight w:val="none"/>
        </w:rPr>
        <w:t>每月不定时组织</w:t>
      </w:r>
      <w:r>
        <w:rPr>
          <w:rFonts w:hint="eastAsia" w:ascii="宋体" w:hAnsi="宋体" w:eastAsia="宋体" w:cs="宋体"/>
          <w:bCs/>
          <w:color w:val="auto"/>
          <w:szCs w:val="21"/>
          <w:highlight w:val="none"/>
          <w:lang w:eastAsia="zh-CN"/>
        </w:rPr>
        <w:t>城乡</w:t>
      </w:r>
      <w:r>
        <w:rPr>
          <w:rFonts w:hint="eastAsia" w:ascii="宋体" w:hAnsi="宋体" w:eastAsia="宋体" w:cs="宋体"/>
          <w:bCs/>
          <w:color w:val="auto"/>
          <w:szCs w:val="21"/>
          <w:highlight w:val="none"/>
        </w:rPr>
        <w:t>环卫保洁考核。对</w:t>
      </w:r>
      <w:r>
        <w:rPr>
          <w:rFonts w:hint="eastAsia" w:ascii="宋体" w:hAnsi="宋体" w:eastAsia="宋体" w:cs="宋体"/>
          <w:bCs/>
          <w:color w:val="auto"/>
          <w:szCs w:val="21"/>
          <w:highlight w:val="none"/>
          <w:lang w:eastAsia="zh-CN"/>
        </w:rPr>
        <w:t>城乡</w:t>
      </w:r>
      <w:r>
        <w:rPr>
          <w:rFonts w:hint="eastAsia" w:ascii="宋体" w:hAnsi="宋体" w:eastAsia="宋体" w:cs="宋体"/>
          <w:bCs/>
          <w:color w:val="auto"/>
          <w:szCs w:val="21"/>
          <w:highlight w:val="none"/>
        </w:rPr>
        <w:t>环卫保洁内容的作业质量进行考核。对发现问题对照《</w:t>
      </w:r>
      <w:r>
        <w:rPr>
          <w:rFonts w:hint="eastAsia" w:ascii="宋体" w:hAnsi="宋体" w:eastAsia="宋体" w:cs="宋体"/>
          <w:bCs/>
          <w:color w:val="auto"/>
          <w:szCs w:val="21"/>
          <w:highlight w:val="none"/>
          <w:lang w:val="en-US" w:eastAsia="zh-CN"/>
        </w:rPr>
        <w:t>桃源街道</w:t>
      </w:r>
      <w:r>
        <w:rPr>
          <w:rFonts w:hint="eastAsia" w:ascii="宋体" w:hAnsi="宋体" w:eastAsia="宋体" w:cs="宋体"/>
          <w:bCs/>
          <w:color w:val="auto"/>
          <w:szCs w:val="21"/>
          <w:highlight w:val="none"/>
          <w:lang w:eastAsia="zh-CN"/>
        </w:rPr>
        <w:t>城乡</w:t>
      </w:r>
      <w:r>
        <w:rPr>
          <w:rFonts w:hint="eastAsia" w:ascii="宋体" w:hAnsi="宋体" w:eastAsia="宋体" w:cs="宋体"/>
          <w:bCs/>
          <w:color w:val="auto"/>
          <w:szCs w:val="21"/>
          <w:highlight w:val="none"/>
        </w:rPr>
        <w:t>环卫保洁考核标准》相应分值，每扣1分按</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000元计取（不足1分的，采用内插法计算），进行直接扣款处理，考核结果分值计入当月考核分数。</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5</w:t>
      </w:r>
      <w:r>
        <w:rPr>
          <w:rFonts w:hint="eastAsia" w:ascii="宋体" w:hAnsi="宋体" w:eastAsia="宋体" w:cs="宋体"/>
          <w:bCs/>
          <w:color w:val="auto"/>
          <w:szCs w:val="21"/>
          <w:highlight w:val="none"/>
        </w:rPr>
        <w:t>、文明城市创建、疫情防控等保洁作业考核标准依据行业标准、上级部门的考核要求提高而提高；另因法律法规更新，考核内容会有所变化，承包单位需无条件服从执行。</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6</w:t>
      </w:r>
      <w:r>
        <w:rPr>
          <w:rFonts w:hint="eastAsia" w:ascii="宋体" w:hAnsi="宋体" w:eastAsia="宋体" w:cs="宋体"/>
          <w:bCs/>
          <w:color w:val="auto"/>
          <w:szCs w:val="21"/>
          <w:highlight w:val="none"/>
        </w:rPr>
        <w:t>、新增道路遵照本考核办法执行。（新增道路以质量考核为准）</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7</w:t>
      </w:r>
      <w:r>
        <w:rPr>
          <w:rFonts w:hint="eastAsia" w:ascii="宋体" w:hAnsi="宋体" w:eastAsia="宋体" w:cs="宋体"/>
          <w:bCs/>
          <w:color w:val="auto"/>
          <w:szCs w:val="21"/>
          <w:highlight w:val="none"/>
        </w:rPr>
        <w:t>、本考核办法最终解释权归</w:t>
      </w:r>
      <w:r>
        <w:rPr>
          <w:rFonts w:hint="eastAsia" w:ascii="宋体" w:hAnsi="宋体" w:eastAsia="宋体" w:cs="宋体"/>
          <w:bCs/>
          <w:color w:val="auto"/>
          <w:szCs w:val="21"/>
          <w:highlight w:val="none"/>
          <w:lang w:eastAsia="zh-CN"/>
        </w:rPr>
        <w:t>宁海县人民政府桃源街道办事处</w:t>
      </w:r>
      <w:r>
        <w:rPr>
          <w:rFonts w:hint="eastAsia" w:ascii="宋体" w:hAnsi="宋体" w:eastAsia="宋体" w:cs="宋体"/>
          <w:bCs/>
          <w:color w:val="auto"/>
          <w:szCs w:val="21"/>
          <w:highlight w:val="none"/>
        </w:rPr>
        <w:t>。</w:t>
      </w:r>
    </w:p>
    <w:p>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w:t>
      </w:r>
      <w:r>
        <w:rPr>
          <w:rFonts w:hint="eastAsia" w:ascii="宋体" w:hAnsi="宋体" w:cs="宋体"/>
          <w:bCs/>
          <w:color w:val="auto"/>
          <w:szCs w:val="21"/>
          <w:highlight w:val="none"/>
          <w:lang w:val="en-US" w:eastAsia="zh-CN"/>
        </w:rPr>
        <w:t>三</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具体考核标准</w:t>
      </w:r>
    </w:p>
    <w:p>
      <w:pPr>
        <w:spacing w:line="360" w:lineRule="auto"/>
        <w:ind w:firstLine="422" w:firstLineChars="200"/>
        <w:jc w:val="center"/>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w:t>
      </w:r>
      <w:r>
        <w:rPr>
          <w:rFonts w:hint="eastAsia" w:ascii="宋体" w:hAnsi="宋体" w:eastAsia="宋体" w:cs="宋体"/>
          <w:b/>
          <w:bCs w:val="0"/>
          <w:color w:val="auto"/>
          <w:szCs w:val="21"/>
          <w:highlight w:val="none"/>
          <w:lang w:val="en-US" w:eastAsia="zh-CN"/>
        </w:rPr>
        <w:t>桃源街道</w:t>
      </w:r>
      <w:r>
        <w:rPr>
          <w:rFonts w:hint="eastAsia" w:ascii="宋体" w:hAnsi="宋体" w:eastAsia="宋体" w:cs="宋体"/>
          <w:b/>
          <w:bCs w:val="0"/>
          <w:color w:val="auto"/>
          <w:szCs w:val="21"/>
          <w:highlight w:val="none"/>
          <w:lang w:eastAsia="zh-CN"/>
        </w:rPr>
        <w:t>城乡</w:t>
      </w:r>
      <w:r>
        <w:rPr>
          <w:rFonts w:hint="eastAsia" w:ascii="宋体" w:hAnsi="宋体" w:eastAsia="宋体" w:cs="宋体"/>
          <w:b/>
          <w:bCs w:val="0"/>
          <w:color w:val="auto"/>
          <w:szCs w:val="21"/>
          <w:highlight w:val="none"/>
        </w:rPr>
        <w:t>环卫保洁考核标准》</w:t>
      </w:r>
    </w:p>
    <w:tbl>
      <w:tblPr>
        <w:tblStyle w:val="46"/>
        <w:tblW w:w="8946" w:type="dxa"/>
        <w:jc w:val="center"/>
        <w:tblLayout w:type="fixed"/>
        <w:tblCellMar>
          <w:top w:w="0" w:type="dxa"/>
          <w:left w:w="0" w:type="dxa"/>
          <w:bottom w:w="0" w:type="dxa"/>
          <w:right w:w="0" w:type="dxa"/>
        </w:tblCellMar>
      </w:tblPr>
      <w:tblGrid>
        <w:gridCol w:w="1421"/>
        <w:gridCol w:w="3328"/>
        <w:gridCol w:w="4197"/>
      </w:tblGrid>
      <w:tr>
        <w:tblPrEx>
          <w:tblCellMar>
            <w:top w:w="0" w:type="dxa"/>
            <w:left w:w="0" w:type="dxa"/>
            <w:bottom w:w="0" w:type="dxa"/>
            <w:right w:w="0" w:type="dxa"/>
          </w:tblCellMar>
        </w:tblPrEx>
        <w:trPr>
          <w:trHeight w:val="376" w:hRule="atLeast"/>
          <w:jc w:val="center"/>
        </w:trPr>
        <w:tc>
          <w:tcPr>
            <w:tcW w:w="142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仿宋_GB2312"/>
                <w:color w:val="auto"/>
                <w:kern w:val="0"/>
                <w:szCs w:val="21"/>
                <w:highlight w:val="none"/>
                <w:lang w:bidi="ar"/>
              </w:rPr>
            </w:pPr>
            <w:r>
              <w:rPr>
                <w:rFonts w:hint="eastAsia" w:ascii="宋体" w:hAnsi="宋体" w:eastAsia="宋体" w:cs="仿宋_GB2312"/>
                <w:color w:val="auto"/>
                <w:kern w:val="0"/>
                <w:szCs w:val="21"/>
                <w:highlight w:val="none"/>
                <w:lang w:bidi="ar"/>
              </w:rPr>
              <w:t>项目名称</w:t>
            </w:r>
          </w:p>
        </w:tc>
        <w:tc>
          <w:tcPr>
            <w:tcW w:w="332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仿宋_GB2312"/>
                <w:color w:val="auto"/>
                <w:szCs w:val="21"/>
                <w:highlight w:val="none"/>
              </w:rPr>
            </w:pPr>
            <w:r>
              <w:rPr>
                <w:rFonts w:hint="eastAsia" w:ascii="宋体" w:hAnsi="宋体" w:eastAsia="宋体" w:cs="仿宋_GB2312"/>
                <w:color w:val="auto"/>
                <w:kern w:val="0"/>
                <w:szCs w:val="21"/>
                <w:highlight w:val="none"/>
                <w:lang w:bidi="ar"/>
              </w:rPr>
              <w:t>标准要求</w:t>
            </w:r>
          </w:p>
        </w:tc>
        <w:tc>
          <w:tcPr>
            <w:tcW w:w="41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评分标准</w:t>
            </w:r>
          </w:p>
        </w:tc>
      </w:tr>
      <w:tr>
        <w:tblPrEx>
          <w:tblCellMar>
            <w:top w:w="0" w:type="dxa"/>
            <w:left w:w="0" w:type="dxa"/>
            <w:bottom w:w="0" w:type="dxa"/>
            <w:right w:w="0" w:type="dxa"/>
          </w:tblCellMar>
        </w:tblPrEx>
        <w:trPr>
          <w:trHeight w:val="453" w:hRule="atLeast"/>
          <w:jc w:val="center"/>
        </w:trPr>
        <w:tc>
          <w:tcPr>
            <w:tcW w:w="142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eastAsia="宋体" w:cs="仿宋_GB2312"/>
                <w:color w:val="auto"/>
                <w:kern w:val="0"/>
                <w:szCs w:val="21"/>
                <w:highlight w:val="none"/>
                <w:lang w:bidi="ar"/>
              </w:rPr>
            </w:pPr>
            <w:r>
              <w:rPr>
                <w:rFonts w:hint="eastAsia" w:ascii="宋体" w:hAnsi="宋体" w:eastAsia="宋体" w:cs="仿宋_GB2312"/>
                <w:color w:val="auto"/>
                <w:kern w:val="0"/>
                <w:szCs w:val="21"/>
                <w:highlight w:val="none"/>
                <w:lang w:bidi="ar"/>
              </w:rPr>
              <w:t>保洁作业标准</w:t>
            </w:r>
          </w:p>
        </w:tc>
        <w:tc>
          <w:tcPr>
            <w:tcW w:w="332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eastAsia="宋体" w:cs="仿宋_GB2312"/>
                <w:color w:val="auto"/>
                <w:szCs w:val="21"/>
                <w:highlight w:val="none"/>
              </w:rPr>
            </w:pPr>
            <w:r>
              <w:rPr>
                <w:rFonts w:hint="eastAsia" w:ascii="宋体" w:hAnsi="宋体" w:eastAsia="宋体" w:cs="仿宋_GB2312"/>
                <w:color w:val="auto"/>
                <w:kern w:val="0"/>
                <w:szCs w:val="21"/>
                <w:highlight w:val="none"/>
                <w:lang w:bidi="ar"/>
              </w:rPr>
              <w:t>普扫结束后做好巡回保洁工作</w:t>
            </w:r>
          </w:p>
        </w:tc>
        <w:tc>
          <w:tcPr>
            <w:tcW w:w="4197"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spacing w:line="360" w:lineRule="auto"/>
              <w:jc w:val="left"/>
              <w:rPr>
                <w:rFonts w:hint="eastAsia" w:ascii="宋体" w:hAnsi="宋体" w:eastAsia="宋体" w:cs="仿宋_GB2312"/>
                <w:color w:val="auto"/>
                <w:szCs w:val="21"/>
                <w:highlight w:val="none"/>
                <w:lang w:eastAsia="zh-CN"/>
              </w:rPr>
            </w:pPr>
            <w:r>
              <w:rPr>
                <w:rFonts w:hint="eastAsia" w:ascii="宋体" w:hAnsi="宋体" w:eastAsia="宋体" w:cs="仿宋_GB2312"/>
                <w:color w:val="auto"/>
                <w:szCs w:val="21"/>
                <w:highlight w:val="none"/>
              </w:rPr>
              <w:t>未在</w:t>
            </w:r>
            <w:r>
              <w:rPr>
                <w:rFonts w:hint="eastAsia" w:ascii="宋体" w:hAnsi="宋体" w:eastAsia="宋体" w:cs="仿宋_GB2312"/>
                <w:color w:val="auto"/>
                <w:szCs w:val="21"/>
                <w:highlight w:val="none"/>
                <w:lang w:eastAsia="zh-CN"/>
              </w:rPr>
              <w:t>早晨</w:t>
            </w:r>
            <w:r>
              <w:rPr>
                <w:rFonts w:hint="eastAsia" w:ascii="宋体" w:hAnsi="宋体" w:eastAsia="宋体" w:cs="仿宋_GB2312"/>
                <w:color w:val="auto"/>
                <w:szCs w:val="21"/>
                <w:highlight w:val="none"/>
                <w:lang w:val="en-US" w:eastAsia="zh-CN"/>
              </w:rPr>
              <w:t>7:00前</w:t>
            </w:r>
            <w:r>
              <w:rPr>
                <w:rFonts w:hint="eastAsia" w:ascii="宋体" w:hAnsi="宋体" w:eastAsia="宋体" w:cs="仿宋_GB2312"/>
                <w:color w:val="auto"/>
                <w:szCs w:val="21"/>
                <w:highlight w:val="none"/>
              </w:rPr>
              <w:t>完成</w:t>
            </w:r>
            <w:r>
              <w:rPr>
                <w:rFonts w:hint="eastAsia" w:ascii="宋体" w:hAnsi="宋体" w:eastAsia="宋体" w:cs="仿宋_GB2312"/>
                <w:color w:val="auto"/>
                <w:szCs w:val="21"/>
                <w:highlight w:val="none"/>
                <w:lang w:eastAsia="zh-CN"/>
              </w:rPr>
              <w:t>全面细</w:t>
            </w:r>
            <w:r>
              <w:rPr>
                <w:rFonts w:hint="eastAsia" w:ascii="宋体" w:hAnsi="宋体" w:eastAsia="宋体" w:cs="仿宋_GB2312"/>
                <w:color w:val="auto"/>
                <w:szCs w:val="21"/>
                <w:highlight w:val="none"/>
              </w:rPr>
              <w:t>扫每次扣0.2分，结束后未做好巡回保洁工作</w:t>
            </w:r>
            <w:r>
              <w:rPr>
                <w:rFonts w:hint="eastAsia" w:ascii="宋体" w:hAnsi="宋体" w:eastAsia="宋体" w:cs="仿宋_GB2312"/>
                <w:color w:val="auto"/>
                <w:szCs w:val="21"/>
                <w:highlight w:val="none"/>
                <w:lang w:eastAsia="zh-CN"/>
              </w:rPr>
              <w:t>，</w:t>
            </w:r>
            <w:r>
              <w:rPr>
                <w:rFonts w:hint="eastAsia" w:ascii="宋体" w:hAnsi="宋体" w:eastAsia="宋体" w:cs="仿宋_GB2312"/>
                <w:color w:val="auto"/>
                <w:szCs w:val="21"/>
                <w:highlight w:val="none"/>
              </w:rPr>
              <w:t>每次扣0.1分</w:t>
            </w:r>
            <w:r>
              <w:rPr>
                <w:rFonts w:hint="eastAsia" w:ascii="宋体" w:hAnsi="宋体" w:eastAsia="宋体" w:cs="仿宋_GB2312"/>
                <w:color w:val="auto"/>
                <w:szCs w:val="21"/>
                <w:highlight w:val="none"/>
                <w:lang w:eastAsia="zh-CN"/>
              </w:rPr>
              <w:t>。</w:t>
            </w:r>
          </w:p>
        </w:tc>
      </w:tr>
      <w:tr>
        <w:tblPrEx>
          <w:tblCellMar>
            <w:top w:w="0" w:type="dxa"/>
            <w:left w:w="0" w:type="dxa"/>
            <w:bottom w:w="0" w:type="dxa"/>
            <w:right w:w="0" w:type="dxa"/>
          </w:tblCellMar>
        </w:tblPrEx>
        <w:trPr>
          <w:trHeight w:val="965" w:hRule="atLeast"/>
          <w:jc w:val="center"/>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仿宋_GB2312"/>
                <w:color w:val="auto"/>
                <w:kern w:val="0"/>
                <w:szCs w:val="21"/>
                <w:highlight w:val="none"/>
                <w:lang w:bidi="ar"/>
              </w:rPr>
            </w:pPr>
          </w:p>
        </w:tc>
        <w:tc>
          <w:tcPr>
            <w:tcW w:w="332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仿宋_GB2312"/>
                <w:color w:val="auto"/>
                <w:kern w:val="0"/>
                <w:szCs w:val="21"/>
                <w:highlight w:val="none"/>
                <w:lang w:bidi="ar"/>
              </w:rPr>
            </w:pPr>
            <w:r>
              <w:rPr>
                <w:rFonts w:hint="eastAsia" w:ascii="宋体" w:hAnsi="宋体" w:eastAsia="宋体" w:cs="仿宋_GB2312"/>
                <w:color w:val="auto"/>
                <w:szCs w:val="21"/>
                <w:highlight w:val="none"/>
              </w:rPr>
              <w:t>按道路保洁总体要求做到“五无五净”，即道路无垃圾、无杂物、无积泥、无积水、无污迹；路面干净，绿地和树池干净，边角侧石干净，雨水井沟畅通干净，环卫设施及绿化隔离</w:t>
            </w:r>
            <w:r>
              <w:rPr>
                <w:rFonts w:hint="eastAsia" w:ascii="宋体" w:hAnsi="宋体" w:eastAsia="宋体" w:cs="仿宋_GB2312"/>
                <w:color w:val="auto"/>
                <w:szCs w:val="21"/>
                <w:highlight w:val="none"/>
                <w:lang w:eastAsia="zh-CN"/>
              </w:rPr>
              <w:t>带</w:t>
            </w:r>
            <w:r>
              <w:rPr>
                <w:rFonts w:hint="eastAsia" w:ascii="宋体" w:hAnsi="宋体" w:eastAsia="宋体" w:cs="仿宋_GB2312"/>
                <w:color w:val="auto"/>
                <w:szCs w:val="21"/>
                <w:highlight w:val="none"/>
              </w:rPr>
              <w:t>干净。（无青苔、杂草；包括道路两侧明沟或水渠、墙夹缝。）</w:t>
            </w:r>
          </w:p>
        </w:tc>
        <w:tc>
          <w:tcPr>
            <w:tcW w:w="4197"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仿宋_GB2312"/>
                <w:color w:val="auto"/>
                <w:szCs w:val="21"/>
                <w:highlight w:val="none"/>
              </w:rPr>
            </w:pPr>
            <w:r>
              <w:rPr>
                <w:rFonts w:hint="eastAsia" w:ascii="宋体" w:hAnsi="宋体" w:eastAsia="宋体" w:cs="仿宋_GB2312"/>
                <w:color w:val="auto"/>
                <w:szCs w:val="21"/>
                <w:highlight w:val="none"/>
                <w:lang w:val="en-US" w:eastAsia="zh-CN"/>
              </w:rPr>
              <w:t>1.</w:t>
            </w:r>
            <w:r>
              <w:rPr>
                <w:rFonts w:hint="eastAsia" w:ascii="宋体" w:hAnsi="宋体" w:eastAsia="宋体" w:cs="仿宋_GB2312"/>
                <w:color w:val="auto"/>
                <w:szCs w:val="21"/>
                <w:highlight w:val="none"/>
              </w:rPr>
              <w:t>未按要求做到“五无五净”；以检查路段为一个考核单位；（自动向外延伸2米）每处扣0.1分</w:t>
            </w:r>
            <w:r>
              <w:rPr>
                <w:rFonts w:hint="eastAsia" w:ascii="宋体" w:hAnsi="宋体" w:eastAsia="宋体" w:cs="仿宋_GB2312"/>
                <w:color w:val="auto"/>
                <w:szCs w:val="21"/>
                <w:highlight w:val="none"/>
                <w:lang w:eastAsia="zh-CN"/>
              </w:rPr>
              <w:t>。</w:t>
            </w:r>
          </w:p>
        </w:tc>
      </w:tr>
      <w:tr>
        <w:tblPrEx>
          <w:tblCellMar>
            <w:top w:w="0" w:type="dxa"/>
            <w:left w:w="0" w:type="dxa"/>
            <w:bottom w:w="0" w:type="dxa"/>
            <w:right w:w="0" w:type="dxa"/>
          </w:tblCellMar>
        </w:tblPrEx>
        <w:trPr>
          <w:trHeight w:val="965" w:hRule="atLeast"/>
          <w:jc w:val="center"/>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pPr>
              <w:jc w:val="left"/>
              <w:rPr>
                <w:highlight w:val="none"/>
              </w:rPr>
            </w:pPr>
          </w:p>
        </w:tc>
        <w:tc>
          <w:tcPr>
            <w:tcW w:w="332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default" w:ascii="宋体" w:hAnsi="宋体" w:eastAsia="宋体" w:cs="仿宋_GB2312"/>
                <w:color w:val="auto"/>
                <w:szCs w:val="21"/>
                <w:highlight w:val="none"/>
                <w:lang w:val="en-US" w:eastAsia="zh-CN"/>
              </w:rPr>
            </w:pPr>
            <w:r>
              <w:rPr>
                <w:rFonts w:hint="eastAsia" w:ascii="宋体" w:hAnsi="宋体" w:cs="仿宋_GB2312"/>
                <w:color w:val="auto"/>
                <w:szCs w:val="21"/>
                <w:highlight w:val="none"/>
                <w:lang w:val="en-US" w:eastAsia="zh-CN"/>
              </w:rPr>
              <w:t>按公厕保洁标准做好公厕保洁工作</w:t>
            </w:r>
          </w:p>
        </w:tc>
        <w:tc>
          <w:tcPr>
            <w:tcW w:w="4197"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left"/>
              <w:rPr>
                <w:rFonts w:hint="default" w:ascii="宋体" w:hAnsi="宋体" w:eastAsia="宋体" w:cs="仿宋_GB2312"/>
                <w:color w:val="auto"/>
                <w:szCs w:val="21"/>
                <w:highlight w:val="none"/>
                <w:lang w:val="en-US" w:eastAsia="zh-CN"/>
              </w:rPr>
            </w:pPr>
            <w:r>
              <w:rPr>
                <w:rFonts w:hint="eastAsia" w:ascii="宋体" w:hAnsi="宋体" w:cs="仿宋_GB2312"/>
                <w:color w:val="auto"/>
                <w:szCs w:val="21"/>
                <w:highlight w:val="none"/>
                <w:lang w:val="en-US" w:eastAsia="zh-CN"/>
              </w:rPr>
              <w:t>每发现一个公厕未清扫完成的（未做到无异味、无蚊蝇、地面洁净、无积水、无烟头、无纸屑、无痰迹和其他杂物）扣1分。</w:t>
            </w:r>
          </w:p>
        </w:tc>
      </w:tr>
      <w:tr>
        <w:tblPrEx>
          <w:tblCellMar>
            <w:top w:w="0" w:type="dxa"/>
            <w:left w:w="0" w:type="dxa"/>
            <w:bottom w:w="0" w:type="dxa"/>
            <w:right w:w="0" w:type="dxa"/>
          </w:tblCellMar>
        </w:tblPrEx>
        <w:trPr>
          <w:trHeight w:val="90" w:hRule="atLeast"/>
          <w:jc w:val="center"/>
        </w:trPr>
        <w:tc>
          <w:tcPr>
            <w:tcW w:w="1421"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eastAsia="宋体" w:cs="仿宋_GB2312"/>
                <w:color w:val="auto"/>
                <w:kern w:val="0"/>
                <w:szCs w:val="21"/>
                <w:highlight w:val="none"/>
                <w:lang w:bidi="ar"/>
              </w:rPr>
            </w:pPr>
            <w:r>
              <w:rPr>
                <w:rFonts w:hint="eastAsia" w:ascii="宋体" w:hAnsi="宋体" w:eastAsia="宋体" w:cs="仿宋_GB2312"/>
                <w:color w:val="auto"/>
                <w:kern w:val="0"/>
                <w:szCs w:val="21"/>
                <w:highlight w:val="none"/>
                <w:lang w:bidi="ar"/>
              </w:rPr>
              <w:t>文明规范作业</w:t>
            </w:r>
          </w:p>
        </w:tc>
        <w:tc>
          <w:tcPr>
            <w:tcW w:w="332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ascii="宋体" w:hAnsi="宋体" w:eastAsia="宋体" w:cs="仿宋_GB2312"/>
                <w:color w:val="auto"/>
                <w:kern w:val="0"/>
                <w:szCs w:val="21"/>
                <w:highlight w:val="none"/>
                <w:lang w:bidi="ar"/>
              </w:rPr>
            </w:pPr>
            <w:r>
              <w:rPr>
                <w:rFonts w:hint="eastAsia" w:ascii="宋体" w:hAnsi="宋体" w:eastAsia="宋体" w:cs="仿宋_GB2312"/>
                <w:color w:val="auto"/>
                <w:szCs w:val="21"/>
                <w:highlight w:val="none"/>
              </w:rPr>
              <w:t>不得无故干扰、阻碍考核人员工作</w:t>
            </w:r>
          </w:p>
        </w:tc>
        <w:tc>
          <w:tcPr>
            <w:tcW w:w="4197"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仿宋_GB2312"/>
                <w:color w:val="auto"/>
                <w:kern w:val="0"/>
                <w:szCs w:val="21"/>
                <w:highlight w:val="none"/>
                <w:lang w:bidi="ar"/>
              </w:rPr>
            </w:pPr>
            <w:r>
              <w:rPr>
                <w:rFonts w:hint="eastAsia" w:ascii="宋体" w:hAnsi="宋体" w:eastAsia="宋体" w:cs="仿宋_GB2312"/>
                <w:color w:val="auto"/>
                <w:szCs w:val="21"/>
                <w:highlight w:val="none"/>
              </w:rPr>
              <w:t>在考核过程中阻扰、谩骂、挑衅、延误、干扰考核人员或上级检查人员正常检查（如妨碍拍照取证等），扣1分，情节严重的扣5分。</w:t>
            </w:r>
          </w:p>
        </w:tc>
      </w:tr>
      <w:tr>
        <w:tblPrEx>
          <w:tblCellMar>
            <w:top w:w="0" w:type="dxa"/>
            <w:left w:w="0" w:type="dxa"/>
            <w:bottom w:w="0" w:type="dxa"/>
            <w:right w:w="0" w:type="dxa"/>
          </w:tblCellMar>
        </w:tblPrEx>
        <w:trPr>
          <w:trHeight w:val="644" w:hRule="atLeast"/>
          <w:jc w:val="center"/>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eastAsia="宋体" w:cs="仿宋_GB2312"/>
                <w:color w:val="auto"/>
                <w:kern w:val="0"/>
                <w:szCs w:val="21"/>
                <w:highlight w:val="none"/>
                <w:lang w:bidi="ar"/>
              </w:rPr>
            </w:pPr>
          </w:p>
        </w:tc>
        <w:tc>
          <w:tcPr>
            <w:tcW w:w="332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eastAsia="宋体" w:cs="仿宋_GB2312"/>
                <w:color w:val="auto"/>
                <w:szCs w:val="21"/>
                <w:highlight w:val="none"/>
              </w:rPr>
            </w:pPr>
            <w:r>
              <w:rPr>
                <w:rFonts w:hint="eastAsia" w:ascii="宋体" w:hAnsi="宋体" w:eastAsia="宋体" w:cs="仿宋_GB2312"/>
                <w:color w:val="auto"/>
                <w:kern w:val="0"/>
                <w:szCs w:val="21"/>
                <w:highlight w:val="none"/>
                <w:lang w:bidi="ar"/>
              </w:rPr>
              <w:t>保洁员着装规范整洁，统一配置作业工具</w:t>
            </w:r>
          </w:p>
        </w:tc>
        <w:tc>
          <w:tcPr>
            <w:tcW w:w="4197"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tabs>
                <w:tab w:val="left" w:pos="827"/>
              </w:tabs>
              <w:jc w:val="left"/>
              <w:rPr>
                <w:rFonts w:ascii="宋体" w:hAnsi="宋体" w:eastAsia="宋体" w:cs="仿宋_GB2312"/>
                <w:color w:val="auto"/>
                <w:szCs w:val="21"/>
                <w:highlight w:val="none"/>
              </w:rPr>
            </w:pPr>
            <w:r>
              <w:rPr>
                <w:rFonts w:hint="eastAsia" w:ascii="宋体" w:hAnsi="宋体" w:eastAsia="宋体" w:cs="仿宋_GB2312"/>
                <w:color w:val="auto"/>
                <w:kern w:val="0"/>
                <w:szCs w:val="21"/>
                <w:highlight w:val="none"/>
                <w:lang w:bidi="ar"/>
              </w:rPr>
              <w:t>未按规定正规穿着工作服，（雨天着工作雨衣）配置作业工具，每人扣0.1分。</w:t>
            </w:r>
          </w:p>
        </w:tc>
      </w:tr>
      <w:tr>
        <w:tblPrEx>
          <w:tblCellMar>
            <w:top w:w="0" w:type="dxa"/>
            <w:left w:w="0" w:type="dxa"/>
            <w:bottom w:w="0" w:type="dxa"/>
            <w:right w:w="0" w:type="dxa"/>
          </w:tblCellMar>
        </w:tblPrEx>
        <w:trPr>
          <w:trHeight w:val="452" w:hRule="atLeast"/>
          <w:jc w:val="center"/>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ascii="宋体" w:hAnsi="宋体" w:eastAsia="宋体" w:cs="仿宋_GB2312"/>
                <w:color w:val="auto"/>
                <w:szCs w:val="21"/>
                <w:highlight w:val="none"/>
              </w:rPr>
            </w:pPr>
          </w:p>
        </w:tc>
        <w:tc>
          <w:tcPr>
            <w:tcW w:w="332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仿宋_GB2312"/>
                <w:color w:val="auto"/>
                <w:szCs w:val="21"/>
                <w:highlight w:val="none"/>
              </w:rPr>
            </w:pPr>
            <w:r>
              <w:rPr>
                <w:rFonts w:hint="eastAsia" w:ascii="宋体" w:hAnsi="宋体" w:eastAsia="宋体" w:cs="仿宋_GB2312"/>
                <w:color w:val="auto"/>
                <w:kern w:val="0"/>
                <w:szCs w:val="21"/>
                <w:highlight w:val="none"/>
                <w:lang w:bidi="ar"/>
              </w:rPr>
              <w:t>工作中无脱岗；消极怠工，</w:t>
            </w:r>
            <w:r>
              <w:rPr>
                <w:rFonts w:hint="eastAsia" w:ascii="宋体" w:hAnsi="宋体" w:eastAsia="宋体" w:cs="仿宋_GB2312"/>
                <w:color w:val="auto"/>
                <w:szCs w:val="21"/>
                <w:highlight w:val="none"/>
              </w:rPr>
              <w:t>影响环卫工人形象</w:t>
            </w:r>
            <w:r>
              <w:rPr>
                <w:rFonts w:hint="eastAsia" w:ascii="宋体" w:hAnsi="宋体" w:eastAsia="宋体" w:cs="仿宋_GB2312"/>
                <w:color w:val="auto"/>
                <w:kern w:val="0"/>
                <w:szCs w:val="21"/>
                <w:highlight w:val="none"/>
                <w:lang w:bidi="ar"/>
              </w:rPr>
              <w:t>等现象</w:t>
            </w:r>
          </w:p>
        </w:tc>
        <w:tc>
          <w:tcPr>
            <w:tcW w:w="41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上班时间脱岗，每人扣0.2分；玩手机、就地睡觉等影响环卫工人形象等情况之一的，</w:t>
            </w:r>
            <w:r>
              <w:rPr>
                <w:rFonts w:hint="eastAsia" w:ascii="宋体" w:hAnsi="宋体" w:eastAsia="宋体" w:cs="仿宋_GB2312"/>
                <w:color w:val="auto"/>
                <w:kern w:val="0"/>
                <w:szCs w:val="21"/>
                <w:highlight w:val="none"/>
                <w:lang w:bidi="ar"/>
              </w:rPr>
              <w:t>道路保洁工作中闲谈、消极怠工等现象，扣0.2分</w:t>
            </w:r>
          </w:p>
        </w:tc>
      </w:tr>
      <w:tr>
        <w:tblPrEx>
          <w:tblCellMar>
            <w:top w:w="0" w:type="dxa"/>
            <w:left w:w="0" w:type="dxa"/>
            <w:bottom w:w="0" w:type="dxa"/>
            <w:right w:w="0" w:type="dxa"/>
          </w:tblCellMar>
        </w:tblPrEx>
        <w:trPr>
          <w:trHeight w:val="329" w:hRule="atLeast"/>
          <w:jc w:val="center"/>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ascii="宋体" w:hAnsi="宋体" w:eastAsia="宋体" w:cs="仿宋_GB2312"/>
                <w:color w:val="auto"/>
                <w:szCs w:val="21"/>
                <w:highlight w:val="none"/>
              </w:rPr>
            </w:pPr>
          </w:p>
        </w:tc>
        <w:tc>
          <w:tcPr>
            <w:tcW w:w="3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仿宋_GB2312"/>
                <w:color w:val="auto"/>
                <w:szCs w:val="21"/>
                <w:highlight w:val="none"/>
              </w:rPr>
            </w:pPr>
            <w:r>
              <w:rPr>
                <w:rFonts w:hint="eastAsia" w:ascii="宋体" w:hAnsi="宋体" w:eastAsia="宋体" w:cs="仿宋_GB2312"/>
                <w:color w:val="auto"/>
                <w:kern w:val="0"/>
                <w:szCs w:val="21"/>
                <w:highlight w:val="none"/>
                <w:lang w:bidi="ar"/>
              </w:rPr>
              <w:t>不得私自焚烧垃圾、树叶，落叶旺季做到及时清扫和转运处理，不得将垃圾扫入排水口（沟槽</w:t>
            </w:r>
            <w:r>
              <w:rPr>
                <w:rFonts w:hint="eastAsia" w:ascii="宋体" w:hAnsi="宋体" w:eastAsia="宋体" w:cs="仿宋_GB2312"/>
                <w:color w:val="auto"/>
                <w:kern w:val="0"/>
                <w:szCs w:val="21"/>
                <w:highlight w:val="none"/>
                <w:lang w:eastAsia="zh-CN" w:bidi="ar"/>
              </w:rPr>
              <w:t>、窨井</w:t>
            </w:r>
            <w:r>
              <w:rPr>
                <w:rFonts w:hint="eastAsia" w:ascii="宋体" w:hAnsi="宋体" w:eastAsia="宋体" w:cs="仿宋_GB2312"/>
                <w:color w:val="auto"/>
                <w:kern w:val="0"/>
                <w:szCs w:val="21"/>
                <w:highlight w:val="none"/>
                <w:lang w:bidi="ar"/>
              </w:rPr>
              <w:t>）、河道</w:t>
            </w:r>
          </w:p>
        </w:tc>
        <w:tc>
          <w:tcPr>
            <w:tcW w:w="41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发现保洁人员私</w:t>
            </w:r>
            <w:r>
              <w:rPr>
                <w:rFonts w:hint="eastAsia" w:ascii="宋体" w:hAnsi="宋体" w:eastAsia="宋体" w:cs="仿宋_GB2312"/>
                <w:color w:val="auto"/>
                <w:kern w:val="0"/>
                <w:szCs w:val="21"/>
                <w:highlight w:val="none"/>
                <w:lang w:bidi="ar"/>
              </w:rPr>
              <w:t>自焚烧垃圾、树叶、落叶，</w:t>
            </w:r>
            <w:r>
              <w:rPr>
                <w:rFonts w:hint="eastAsia" w:ascii="宋体" w:hAnsi="宋体" w:eastAsia="宋体" w:cs="仿宋_GB2312"/>
                <w:color w:val="auto"/>
                <w:szCs w:val="21"/>
                <w:highlight w:val="none"/>
              </w:rPr>
              <w:t>将垃圾乱倾倒现象，扣5分；</w:t>
            </w:r>
            <w:r>
              <w:rPr>
                <w:rFonts w:hint="eastAsia" w:ascii="宋体" w:hAnsi="宋体" w:eastAsia="宋体" w:cs="仿宋_GB2312"/>
                <w:color w:val="auto"/>
                <w:kern w:val="0"/>
                <w:szCs w:val="21"/>
                <w:highlight w:val="none"/>
                <w:lang w:bidi="ar"/>
              </w:rPr>
              <w:t>将垃圾扫入</w:t>
            </w:r>
            <w:r>
              <w:rPr>
                <w:rFonts w:hint="eastAsia" w:ascii="宋体" w:hAnsi="宋体" w:eastAsia="宋体" w:cs="仿宋_GB2312"/>
                <w:color w:val="auto"/>
                <w:kern w:val="0"/>
                <w:szCs w:val="21"/>
                <w:highlight w:val="none"/>
                <w:lang w:eastAsia="zh-CN" w:bidi="ar"/>
              </w:rPr>
              <w:t>、倒入</w:t>
            </w:r>
            <w:r>
              <w:rPr>
                <w:rFonts w:hint="eastAsia" w:ascii="宋体" w:hAnsi="宋体" w:eastAsia="宋体" w:cs="仿宋_GB2312"/>
                <w:color w:val="auto"/>
                <w:kern w:val="0"/>
                <w:szCs w:val="21"/>
                <w:highlight w:val="none"/>
                <w:lang w:bidi="ar"/>
              </w:rPr>
              <w:t>排水口</w:t>
            </w:r>
            <w:r>
              <w:rPr>
                <w:rFonts w:hint="eastAsia" w:ascii="宋体" w:hAnsi="宋体" w:eastAsia="宋体" w:cs="仿宋_GB2312"/>
                <w:color w:val="auto"/>
                <w:kern w:val="0"/>
                <w:szCs w:val="21"/>
                <w:highlight w:val="none"/>
                <w:lang w:eastAsia="zh-CN" w:bidi="ar"/>
              </w:rPr>
              <w:t>、</w:t>
            </w:r>
            <w:r>
              <w:rPr>
                <w:rFonts w:hint="eastAsia" w:ascii="宋体" w:hAnsi="宋体" w:eastAsia="宋体" w:cs="仿宋_GB2312"/>
                <w:color w:val="auto"/>
                <w:kern w:val="0"/>
                <w:szCs w:val="21"/>
                <w:highlight w:val="none"/>
                <w:lang w:bidi="ar"/>
              </w:rPr>
              <w:t>绿化带、河道，每次扣2分</w:t>
            </w:r>
          </w:p>
        </w:tc>
      </w:tr>
      <w:tr>
        <w:tblPrEx>
          <w:tblCellMar>
            <w:top w:w="0" w:type="dxa"/>
            <w:left w:w="0" w:type="dxa"/>
            <w:bottom w:w="0" w:type="dxa"/>
            <w:right w:w="0" w:type="dxa"/>
          </w:tblCellMar>
        </w:tblPrEx>
        <w:trPr>
          <w:trHeight w:val="800" w:hRule="atLeast"/>
          <w:jc w:val="center"/>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ascii="宋体" w:hAnsi="宋体" w:eastAsia="宋体" w:cs="仿宋_GB2312"/>
                <w:color w:val="auto"/>
                <w:szCs w:val="21"/>
                <w:highlight w:val="none"/>
              </w:rPr>
            </w:pPr>
          </w:p>
        </w:tc>
        <w:tc>
          <w:tcPr>
            <w:tcW w:w="3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仿宋_GB2312"/>
                <w:color w:val="auto"/>
                <w:szCs w:val="21"/>
                <w:highlight w:val="none"/>
              </w:rPr>
            </w:pPr>
            <w:r>
              <w:rPr>
                <w:rFonts w:hint="eastAsia" w:ascii="宋体" w:hAnsi="宋体" w:eastAsia="宋体" w:cs="仿宋_GB2312"/>
                <w:color w:val="auto"/>
                <w:kern w:val="0"/>
                <w:szCs w:val="21"/>
                <w:highlight w:val="none"/>
                <w:lang w:bidi="ar"/>
              </w:rPr>
              <w:t>保洁车车容整洁、标识清晰</w:t>
            </w:r>
          </w:p>
        </w:tc>
        <w:tc>
          <w:tcPr>
            <w:tcW w:w="41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仿宋_GB2312"/>
                <w:color w:val="auto"/>
                <w:kern w:val="0"/>
                <w:szCs w:val="21"/>
                <w:highlight w:val="none"/>
                <w:lang w:bidi="ar"/>
              </w:rPr>
            </w:pPr>
            <w:r>
              <w:rPr>
                <w:rFonts w:hint="eastAsia" w:ascii="宋体" w:hAnsi="宋体" w:eastAsia="宋体" w:cs="仿宋_GB2312"/>
                <w:color w:val="auto"/>
                <w:kern w:val="0"/>
                <w:szCs w:val="21"/>
                <w:highlight w:val="none"/>
                <w:lang w:bidi="ar"/>
              </w:rPr>
              <w:t>保洁车车容不整洁、标识不清晰，有污渍等，每辆扣0.1分</w:t>
            </w:r>
          </w:p>
        </w:tc>
      </w:tr>
      <w:tr>
        <w:tblPrEx>
          <w:tblCellMar>
            <w:top w:w="0" w:type="dxa"/>
            <w:left w:w="0" w:type="dxa"/>
            <w:bottom w:w="0" w:type="dxa"/>
            <w:right w:w="0" w:type="dxa"/>
          </w:tblCellMar>
        </w:tblPrEx>
        <w:trPr>
          <w:trHeight w:val="454" w:hRule="atLeast"/>
          <w:jc w:val="center"/>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ascii="宋体" w:hAnsi="宋体" w:eastAsia="宋体" w:cs="仿宋_GB2312"/>
                <w:color w:val="auto"/>
                <w:szCs w:val="21"/>
                <w:highlight w:val="none"/>
              </w:rPr>
            </w:pPr>
          </w:p>
        </w:tc>
        <w:tc>
          <w:tcPr>
            <w:tcW w:w="3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仿宋_GB2312"/>
                <w:color w:val="auto"/>
                <w:szCs w:val="21"/>
                <w:highlight w:val="none"/>
              </w:rPr>
            </w:pPr>
            <w:r>
              <w:rPr>
                <w:rFonts w:hint="eastAsia" w:ascii="宋体" w:hAnsi="宋体" w:eastAsia="宋体" w:cs="仿宋_GB2312"/>
                <w:color w:val="auto"/>
                <w:kern w:val="0"/>
                <w:szCs w:val="21"/>
                <w:highlight w:val="none"/>
                <w:lang w:bidi="ar"/>
              </w:rPr>
              <w:t>保洁车停放不影响行人、车辆通行</w:t>
            </w:r>
          </w:p>
        </w:tc>
        <w:tc>
          <w:tcPr>
            <w:tcW w:w="41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仿宋_GB2312"/>
                <w:color w:val="auto"/>
                <w:szCs w:val="21"/>
                <w:highlight w:val="none"/>
              </w:rPr>
            </w:pPr>
            <w:r>
              <w:rPr>
                <w:rFonts w:hint="eastAsia" w:ascii="宋体" w:hAnsi="宋体" w:eastAsia="宋体" w:cs="仿宋_GB2312"/>
                <w:color w:val="auto"/>
                <w:kern w:val="0"/>
                <w:szCs w:val="21"/>
                <w:highlight w:val="none"/>
                <w:lang w:bidi="ar"/>
              </w:rPr>
              <w:t>保洁车停放在人行道、路口、公交站台，逆向停放、影响行人和车辆通行，扣0.1分</w:t>
            </w:r>
          </w:p>
        </w:tc>
      </w:tr>
      <w:tr>
        <w:tblPrEx>
          <w:tblCellMar>
            <w:top w:w="0" w:type="dxa"/>
            <w:left w:w="0" w:type="dxa"/>
            <w:bottom w:w="0" w:type="dxa"/>
            <w:right w:w="0" w:type="dxa"/>
          </w:tblCellMar>
        </w:tblPrEx>
        <w:trPr>
          <w:trHeight w:val="845" w:hRule="atLeast"/>
          <w:jc w:val="center"/>
        </w:trPr>
        <w:tc>
          <w:tcPr>
            <w:tcW w:w="1421"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eastAsia="宋体" w:cs="仿宋_GB2312"/>
                <w:color w:val="auto"/>
                <w:kern w:val="0"/>
                <w:szCs w:val="21"/>
                <w:highlight w:val="none"/>
                <w:lang w:bidi="ar"/>
              </w:rPr>
            </w:pPr>
          </w:p>
        </w:tc>
        <w:tc>
          <w:tcPr>
            <w:tcW w:w="332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仿宋_GB2312"/>
                <w:color w:val="auto"/>
                <w:szCs w:val="21"/>
                <w:highlight w:val="none"/>
              </w:rPr>
            </w:pPr>
            <w:r>
              <w:rPr>
                <w:rFonts w:hint="eastAsia" w:ascii="宋体" w:hAnsi="宋体" w:eastAsia="宋体" w:cs="仿宋_GB2312"/>
                <w:color w:val="auto"/>
                <w:kern w:val="0"/>
                <w:szCs w:val="21"/>
                <w:highlight w:val="none"/>
                <w:lang w:bidi="ar"/>
              </w:rPr>
              <w:t>保洁员文明规范作业</w:t>
            </w:r>
          </w:p>
        </w:tc>
        <w:tc>
          <w:tcPr>
            <w:tcW w:w="4197"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numPr>
                <w:ilvl w:val="0"/>
                <w:numId w:val="28"/>
              </w:numPr>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保洁员逆向行驶、闯红灯、横穿马路，每人扣0.5分</w:t>
            </w:r>
          </w:p>
          <w:p>
            <w:pPr>
              <w:numPr>
                <w:ilvl w:val="0"/>
                <w:numId w:val="28"/>
              </w:numPr>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保洁员穿拖鞋、赤膊、随地大小便等不文明行为的，每次扣0.5分</w:t>
            </w:r>
          </w:p>
        </w:tc>
      </w:tr>
      <w:tr>
        <w:tblPrEx>
          <w:tblCellMar>
            <w:top w:w="0" w:type="dxa"/>
            <w:left w:w="0" w:type="dxa"/>
            <w:bottom w:w="0" w:type="dxa"/>
            <w:right w:w="0" w:type="dxa"/>
          </w:tblCellMar>
        </w:tblPrEx>
        <w:trPr>
          <w:trHeight w:val="798" w:hRule="atLeast"/>
          <w:jc w:val="center"/>
        </w:trPr>
        <w:tc>
          <w:tcPr>
            <w:tcW w:w="1421" w:type="dxa"/>
            <w:tcBorders>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ascii="宋体" w:hAnsi="宋体" w:eastAsia="宋体" w:cs="仿宋_GB2312"/>
                <w:color w:val="auto"/>
                <w:szCs w:val="21"/>
                <w:highlight w:val="none"/>
              </w:rPr>
            </w:pPr>
            <w:r>
              <w:rPr>
                <w:rFonts w:hint="eastAsia" w:ascii="宋体" w:hAnsi="宋体" w:cs="仿宋_GB2312"/>
                <w:color w:val="auto"/>
                <w:szCs w:val="21"/>
                <w:highlight w:val="none"/>
                <w:lang w:val="en-US" w:eastAsia="zh-CN"/>
              </w:rPr>
              <w:t>垃圾废弃物清理</w:t>
            </w:r>
            <w:r>
              <w:rPr>
                <w:rFonts w:hint="eastAsia" w:ascii="宋体" w:hAnsi="宋体" w:eastAsia="宋体" w:cs="仿宋_GB2312"/>
                <w:color w:val="auto"/>
                <w:szCs w:val="21"/>
                <w:highlight w:val="none"/>
              </w:rPr>
              <w:t>收运</w:t>
            </w:r>
          </w:p>
        </w:tc>
        <w:tc>
          <w:tcPr>
            <w:tcW w:w="332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
              <w:rPr>
                <w:rFonts w:hint="eastAsia"/>
                <w:highlight w:val="none"/>
                <w:lang w:eastAsia="zh-CN"/>
              </w:rPr>
            </w:pPr>
            <w:r>
              <w:rPr>
                <w:rFonts w:hint="eastAsia"/>
                <w:highlight w:val="none"/>
                <w:lang w:val="en-US" w:eastAsia="zh-CN"/>
              </w:rPr>
              <w:t>1、</w:t>
            </w:r>
            <w:r>
              <w:rPr>
                <w:rFonts w:hint="eastAsia"/>
                <w:highlight w:val="none"/>
              </w:rPr>
              <w:t>按要求完成垃圾</w:t>
            </w:r>
            <w:r>
              <w:rPr>
                <w:rFonts w:hint="eastAsia"/>
                <w:highlight w:val="none"/>
                <w:lang w:val="en-US" w:eastAsia="zh-CN"/>
              </w:rPr>
              <w:t>和废弃物清理</w:t>
            </w:r>
            <w:r>
              <w:rPr>
                <w:rFonts w:hint="eastAsia"/>
                <w:highlight w:val="none"/>
              </w:rPr>
              <w:t>收运</w:t>
            </w:r>
            <w:r>
              <w:rPr>
                <w:rFonts w:hint="eastAsia"/>
                <w:highlight w:val="none"/>
                <w:lang w:eastAsia="zh-CN"/>
              </w:rPr>
              <w:t>；</w:t>
            </w:r>
          </w:p>
          <w:p>
            <w:pPr>
              <w:pStyle w:val="2"/>
              <w:rPr>
                <w:rFonts w:hint="eastAsia"/>
                <w:highlight w:val="none"/>
                <w:lang w:eastAsia="zh-CN"/>
              </w:rPr>
            </w:pPr>
            <w:r>
              <w:rPr>
                <w:rFonts w:hint="eastAsia"/>
                <w:highlight w:val="none"/>
                <w:lang w:val="en-US" w:eastAsia="zh-CN"/>
              </w:rPr>
              <w:t>2、</w:t>
            </w:r>
            <w:r>
              <w:rPr>
                <w:rFonts w:hint="eastAsia"/>
                <w:highlight w:val="none"/>
              </w:rPr>
              <w:t>垃圾清运车司机必须持证上岗，不允许搞其他营运活动</w:t>
            </w:r>
            <w:r>
              <w:rPr>
                <w:rFonts w:hint="eastAsia"/>
                <w:highlight w:val="none"/>
                <w:lang w:eastAsia="zh-CN"/>
              </w:rPr>
              <w:t>。</w:t>
            </w:r>
          </w:p>
          <w:p>
            <w:pPr>
              <w:pStyle w:val="2"/>
              <w:rPr>
                <w:rFonts w:hint="default"/>
                <w:highlight w:val="none"/>
                <w:lang w:val="en-US" w:eastAsia="zh-CN"/>
              </w:rPr>
            </w:pPr>
            <w:r>
              <w:rPr>
                <w:rFonts w:hint="eastAsia"/>
                <w:highlight w:val="none"/>
                <w:lang w:val="en-US" w:eastAsia="zh-CN"/>
              </w:rPr>
              <w:t>3、</w:t>
            </w:r>
            <w:r>
              <w:rPr>
                <w:rFonts w:hint="eastAsia"/>
                <w:highlight w:val="none"/>
              </w:rPr>
              <w:t>垃圾清运司机必须严格遵守安全管理规定，自觉遵守交通法规，做到不酒后驾车、疲劳驾车、带病驾车，确保安全。</w:t>
            </w:r>
          </w:p>
        </w:tc>
        <w:tc>
          <w:tcPr>
            <w:tcW w:w="419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pStyle w:val="2"/>
              <w:rPr>
                <w:rFonts w:hint="eastAsia"/>
                <w:highlight w:val="none"/>
              </w:rPr>
            </w:pPr>
            <w:r>
              <w:rPr>
                <w:rFonts w:hint="eastAsia"/>
                <w:highlight w:val="none"/>
              </w:rPr>
              <w:t>1、未按规定时间完成</w:t>
            </w:r>
            <w:r>
              <w:rPr>
                <w:rFonts w:hint="eastAsia"/>
                <w:highlight w:val="none"/>
                <w:lang w:val="en-US" w:eastAsia="zh-CN"/>
              </w:rPr>
              <w:t>清理</w:t>
            </w:r>
            <w:r>
              <w:rPr>
                <w:rFonts w:hint="eastAsia"/>
                <w:highlight w:val="none"/>
              </w:rPr>
              <w:t>收运每次扣0.2分</w:t>
            </w:r>
          </w:p>
          <w:p>
            <w:pPr>
              <w:pStyle w:val="2"/>
              <w:rPr>
                <w:rFonts w:hint="eastAsia"/>
                <w:highlight w:val="none"/>
                <w:lang w:eastAsia="zh-CN"/>
              </w:rPr>
            </w:pPr>
            <w:r>
              <w:rPr>
                <w:rFonts w:hint="eastAsia"/>
                <w:highlight w:val="none"/>
              </w:rPr>
              <w:t>2</w:t>
            </w:r>
            <w:r>
              <w:rPr>
                <w:rFonts w:hint="eastAsia"/>
                <w:highlight w:val="none"/>
                <w:lang w:eastAsia="zh-CN"/>
              </w:rPr>
              <w:t>、垃圾清运车外观不洁、积尘、破损，实行密闭运输发生抛洒滴漏污染路面、车厢外有吊挂垃圾等问题</w:t>
            </w:r>
            <w:r>
              <w:rPr>
                <w:rFonts w:hint="eastAsia"/>
                <w:highlight w:val="none"/>
              </w:rPr>
              <w:t>每次扣0.2分</w:t>
            </w:r>
            <w:r>
              <w:rPr>
                <w:rFonts w:hint="eastAsia"/>
                <w:highlight w:val="none"/>
                <w:lang w:eastAsia="zh-CN"/>
              </w:rPr>
              <w:t>；</w:t>
            </w:r>
          </w:p>
          <w:p>
            <w:pPr>
              <w:pStyle w:val="2"/>
              <w:rPr>
                <w:rFonts w:hint="eastAsia"/>
                <w:highlight w:val="none"/>
                <w:lang w:val="en-US" w:eastAsia="zh-CN"/>
              </w:rPr>
            </w:pPr>
            <w:r>
              <w:rPr>
                <w:rFonts w:hint="eastAsia"/>
                <w:highlight w:val="none"/>
                <w:lang w:val="en-US" w:eastAsia="zh-CN"/>
              </w:rPr>
              <w:t>3、</w:t>
            </w:r>
            <w:r>
              <w:rPr>
                <w:rFonts w:hint="eastAsia"/>
                <w:highlight w:val="none"/>
              </w:rPr>
              <w:t>垃圾清运车司机</w:t>
            </w:r>
            <w:r>
              <w:rPr>
                <w:rFonts w:hint="eastAsia"/>
                <w:highlight w:val="none"/>
                <w:lang w:val="en-US" w:eastAsia="zh-CN"/>
              </w:rPr>
              <w:t>未</w:t>
            </w:r>
            <w:r>
              <w:rPr>
                <w:rFonts w:hint="eastAsia"/>
                <w:highlight w:val="none"/>
              </w:rPr>
              <w:t>持证上岗，</w:t>
            </w:r>
            <w:r>
              <w:rPr>
                <w:rFonts w:hint="eastAsia"/>
                <w:highlight w:val="none"/>
                <w:lang w:val="en-US" w:eastAsia="zh-CN"/>
              </w:rPr>
              <w:t>或</w:t>
            </w:r>
            <w:r>
              <w:rPr>
                <w:rFonts w:hint="eastAsia"/>
                <w:highlight w:val="none"/>
              </w:rPr>
              <w:t>搞其他营运活动</w:t>
            </w:r>
            <w:r>
              <w:rPr>
                <w:rFonts w:hint="eastAsia"/>
                <w:highlight w:val="none"/>
                <w:lang w:val="en-US" w:eastAsia="zh-CN"/>
              </w:rPr>
              <w:t>的每次扣0.5分；</w:t>
            </w:r>
          </w:p>
          <w:p>
            <w:pPr>
              <w:pStyle w:val="2"/>
              <w:rPr>
                <w:rFonts w:hint="default"/>
                <w:highlight w:val="none"/>
                <w:lang w:val="en-US" w:eastAsia="zh-CN"/>
              </w:rPr>
            </w:pPr>
            <w:r>
              <w:rPr>
                <w:rFonts w:hint="eastAsia"/>
                <w:highlight w:val="none"/>
                <w:lang w:val="en-US" w:eastAsia="zh-CN"/>
              </w:rPr>
              <w:t>4、</w:t>
            </w:r>
            <w:r>
              <w:rPr>
                <w:rFonts w:hint="eastAsia"/>
                <w:highlight w:val="none"/>
              </w:rPr>
              <w:t>垃圾清运司机</w:t>
            </w:r>
            <w:r>
              <w:rPr>
                <w:rFonts w:hint="eastAsia"/>
                <w:highlight w:val="none"/>
                <w:lang w:val="en-US" w:eastAsia="zh-CN"/>
              </w:rPr>
              <w:t>未</w:t>
            </w:r>
            <w:r>
              <w:rPr>
                <w:rFonts w:hint="eastAsia"/>
                <w:highlight w:val="none"/>
              </w:rPr>
              <w:t>遵守安全管理规定，</w:t>
            </w:r>
            <w:r>
              <w:rPr>
                <w:rFonts w:hint="eastAsia"/>
                <w:highlight w:val="none"/>
                <w:lang w:val="en-US" w:eastAsia="zh-CN"/>
              </w:rPr>
              <w:t>或未</w:t>
            </w:r>
            <w:r>
              <w:rPr>
                <w:rFonts w:hint="eastAsia"/>
                <w:highlight w:val="none"/>
              </w:rPr>
              <w:t>自觉遵守交通法规</w:t>
            </w:r>
            <w:r>
              <w:rPr>
                <w:rFonts w:hint="eastAsia"/>
                <w:highlight w:val="none"/>
                <w:lang w:val="en-US" w:eastAsia="zh-CN"/>
              </w:rPr>
              <w:t>的每次扣1分；</w:t>
            </w:r>
          </w:p>
        </w:tc>
      </w:tr>
      <w:tr>
        <w:tblPrEx>
          <w:tblCellMar>
            <w:top w:w="0" w:type="dxa"/>
            <w:left w:w="0" w:type="dxa"/>
            <w:bottom w:w="0" w:type="dxa"/>
            <w:right w:w="0" w:type="dxa"/>
          </w:tblCellMar>
        </w:tblPrEx>
        <w:trPr>
          <w:trHeight w:val="798" w:hRule="atLeast"/>
          <w:jc w:val="center"/>
        </w:trPr>
        <w:tc>
          <w:tcPr>
            <w:tcW w:w="1421" w:type="dxa"/>
            <w:tcBorders>
              <w:left w:val="single" w:color="auto" w:sz="4" w:space="0"/>
              <w:right w:val="single" w:color="000000" w:sz="4" w:space="0"/>
            </w:tcBorders>
            <w:noWrap w:val="0"/>
            <w:tcMar>
              <w:top w:w="15" w:type="dxa"/>
              <w:left w:w="15" w:type="dxa"/>
              <w:right w:w="15" w:type="dxa"/>
            </w:tcMar>
            <w:vAlign w:val="center"/>
          </w:tcPr>
          <w:p>
            <w:pPr>
              <w:jc w:val="center"/>
              <w:rPr>
                <w:rFonts w:hint="default" w:ascii="宋体" w:hAnsi="宋体" w:cs="仿宋_GB2312"/>
                <w:color w:val="auto"/>
                <w:szCs w:val="21"/>
                <w:highlight w:val="none"/>
                <w:lang w:val="en-US" w:eastAsia="zh-CN"/>
              </w:rPr>
            </w:pPr>
            <w:r>
              <w:rPr>
                <w:rFonts w:hint="eastAsia" w:ascii="宋体" w:hAnsi="宋体" w:cs="仿宋_GB2312"/>
                <w:color w:val="auto"/>
                <w:szCs w:val="21"/>
                <w:highlight w:val="none"/>
                <w:lang w:val="en-US" w:eastAsia="zh-CN"/>
              </w:rPr>
              <w:t>生活垃圾分类</w:t>
            </w:r>
          </w:p>
        </w:tc>
        <w:tc>
          <w:tcPr>
            <w:tcW w:w="332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
              <w:rPr>
                <w:rFonts w:hint="eastAsia"/>
                <w:highlight w:val="none"/>
                <w:lang w:eastAsia="zh-CN"/>
              </w:rPr>
            </w:pPr>
            <w:r>
              <w:rPr>
                <w:rFonts w:hint="eastAsia"/>
                <w:highlight w:val="none"/>
                <w:lang w:val="en-US" w:eastAsia="zh-CN"/>
              </w:rPr>
              <w:t>1、</w:t>
            </w:r>
            <w:r>
              <w:rPr>
                <w:rFonts w:hint="eastAsia"/>
                <w:highlight w:val="none"/>
              </w:rPr>
              <w:t>建立生活垃圾分类工作协调机制，明确工作分工，完善队伍建设，建立责任清单</w:t>
            </w:r>
            <w:r>
              <w:rPr>
                <w:rFonts w:hint="eastAsia"/>
                <w:highlight w:val="none"/>
                <w:lang w:eastAsia="zh-CN"/>
              </w:rPr>
              <w:t>。</w:t>
            </w:r>
          </w:p>
          <w:p>
            <w:pPr>
              <w:pStyle w:val="2"/>
              <w:rPr>
                <w:rFonts w:hint="eastAsia"/>
                <w:highlight w:val="none"/>
                <w:lang w:eastAsia="zh-CN"/>
              </w:rPr>
            </w:pPr>
            <w:r>
              <w:rPr>
                <w:rFonts w:hint="eastAsia"/>
                <w:highlight w:val="none"/>
                <w:lang w:val="en-US" w:eastAsia="zh-CN"/>
              </w:rPr>
              <w:t>2、</w:t>
            </w:r>
            <w:r>
              <w:rPr>
                <w:rFonts w:hint="eastAsia"/>
                <w:highlight w:val="none"/>
              </w:rPr>
              <w:t>建立年度考核制度并有效执行</w:t>
            </w:r>
            <w:r>
              <w:rPr>
                <w:rFonts w:hint="eastAsia"/>
                <w:highlight w:val="none"/>
                <w:lang w:eastAsia="zh-CN"/>
              </w:rPr>
              <w:t>。</w:t>
            </w:r>
          </w:p>
          <w:p>
            <w:pPr>
              <w:pStyle w:val="2"/>
              <w:rPr>
                <w:rFonts w:hint="eastAsia"/>
                <w:highlight w:val="none"/>
                <w:lang w:eastAsia="zh-CN"/>
              </w:rPr>
            </w:pPr>
            <w:r>
              <w:rPr>
                <w:rFonts w:hint="eastAsia"/>
                <w:highlight w:val="none"/>
                <w:lang w:val="en-US" w:eastAsia="zh-CN"/>
              </w:rPr>
              <w:t>3、制定</w:t>
            </w:r>
            <w:r>
              <w:rPr>
                <w:rFonts w:hint="eastAsia"/>
                <w:highlight w:val="none"/>
              </w:rPr>
              <w:t>生活垃圾分类年度工作方案</w:t>
            </w:r>
            <w:r>
              <w:rPr>
                <w:rFonts w:hint="eastAsia"/>
                <w:highlight w:val="none"/>
                <w:lang w:eastAsia="zh-CN"/>
              </w:rPr>
              <w:t>。</w:t>
            </w:r>
          </w:p>
          <w:p>
            <w:pPr>
              <w:pStyle w:val="2"/>
              <w:rPr>
                <w:rFonts w:hint="eastAsia"/>
                <w:highlight w:val="none"/>
              </w:rPr>
            </w:pPr>
            <w:r>
              <w:rPr>
                <w:rFonts w:hint="eastAsia"/>
                <w:highlight w:val="none"/>
                <w:lang w:val="en-US" w:eastAsia="zh-CN"/>
              </w:rPr>
              <w:t>4、</w:t>
            </w:r>
            <w:r>
              <w:rPr>
                <w:rFonts w:hint="eastAsia"/>
                <w:highlight w:val="none"/>
              </w:rPr>
              <w:t>收集容器颜色、垃圾种类、标志标识符合标准，收集容器无破损、脏污、冒溢问题，颜色与标志标识对应，标志标识完整正确；无垃圾随意堆积；无混合倒桶及出桶混合摆放。</w:t>
            </w:r>
          </w:p>
          <w:p>
            <w:pPr>
              <w:pStyle w:val="2"/>
              <w:rPr>
                <w:rFonts w:hint="eastAsia"/>
                <w:highlight w:val="none"/>
              </w:rPr>
            </w:pPr>
            <w:r>
              <w:rPr>
                <w:rFonts w:hint="eastAsia"/>
                <w:highlight w:val="none"/>
                <w:lang w:val="en-US" w:eastAsia="zh-CN"/>
              </w:rPr>
              <w:t>5</w:t>
            </w:r>
            <w:r>
              <w:rPr>
                <w:rFonts w:hint="eastAsia"/>
                <w:highlight w:val="none"/>
                <w:lang w:eastAsia="zh-CN"/>
              </w:rPr>
              <w:t>、</w:t>
            </w:r>
            <w:r>
              <w:rPr>
                <w:rFonts w:hint="eastAsia"/>
                <w:highlight w:val="none"/>
              </w:rPr>
              <w:t>可回收物、其他垃圾、有害垃圾收集容器分类准确。</w:t>
            </w:r>
          </w:p>
          <w:p>
            <w:pPr>
              <w:pStyle w:val="2"/>
              <w:rPr>
                <w:rFonts w:hint="default"/>
                <w:highlight w:val="none"/>
                <w:lang w:val="en-US" w:eastAsia="zh-CN"/>
              </w:rPr>
            </w:pPr>
            <w:r>
              <w:rPr>
                <w:rFonts w:hint="eastAsia"/>
                <w:highlight w:val="none"/>
                <w:lang w:val="en-US" w:eastAsia="zh-CN"/>
              </w:rPr>
              <w:t>6、</w:t>
            </w:r>
            <w:r>
              <w:rPr>
                <w:rFonts w:hint="eastAsia"/>
                <w:highlight w:val="none"/>
              </w:rPr>
              <w:t>分类指导员上岗指导。</w:t>
            </w:r>
          </w:p>
        </w:tc>
        <w:tc>
          <w:tcPr>
            <w:tcW w:w="419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pStyle w:val="2"/>
              <w:rPr>
                <w:rFonts w:hint="eastAsia"/>
                <w:highlight w:val="none"/>
              </w:rPr>
            </w:pPr>
            <w:r>
              <w:rPr>
                <w:rFonts w:hint="eastAsia"/>
                <w:highlight w:val="none"/>
                <w:lang w:val="en-US" w:eastAsia="zh-CN"/>
              </w:rPr>
              <w:t>1、</w:t>
            </w:r>
            <w:r>
              <w:rPr>
                <w:rFonts w:hint="eastAsia"/>
                <w:highlight w:val="none"/>
              </w:rPr>
              <w:t>未建立领导小组，小组成员职责不清、分工不明的，</w:t>
            </w:r>
            <w:r>
              <w:rPr>
                <w:rFonts w:hint="eastAsia"/>
                <w:highlight w:val="none"/>
                <w:lang w:val="en-US" w:eastAsia="zh-CN"/>
              </w:rPr>
              <w:t>扣2分</w:t>
            </w:r>
            <w:r>
              <w:rPr>
                <w:rFonts w:hint="eastAsia"/>
                <w:highlight w:val="none"/>
              </w:rPr>
              <w:t>。</w:t>
            </w:r>
          </w:p>
          <w:p>
            <w:pPr>
              <w:pStyle w:val="2"/>
              <w:rPr>
                <w:rFonts w:hint="eastAsia"/>
                <w:highlight w:val="none"/>
              </w:rPr>
            </w:pPr>
            <w:r>
              <w:rPr>
                <w:rFonts w:hint="eastAsia"/>
                <w:highlight w:val="none"/>
                <w:lang w:val="en-US" w:eastAsia="zh-CN"/>
              </w:rPr>
              <w:t>2、</w:t>
            </w:r>
            <w:r>
              <w:rPr>
                <w:rFonts w:hint="eastAsia"/>
                <w:highlight w:val="none"/>
              </w:rPr>
              <w:t>未建立生活垃圾分类分级考核制度，</w:t>
            </w:r>
            <w:r>
              <w:rPr>
                <w:rFonts w:hint="eastAsia"/>
                <w:highlight w:val="none"/>
                <w:lang w:val="en-US" w:eastAsia="zh-CN"/>
              </w:rPr>
              <w:t>扣2分</w:t>
            </w:r>
            <w:r>
              <w:rPr>
                <w:rFonts w:hint="eastAsia"/>
                <w:highlight w:val="none"/>
              </w:rPr>
              <w:t>。每月未对各村分类情况考核通报，通报不全的扣</w:t>
            </w:r>
            <w:r>
              <w:rPr>
                <w:rFonts w:hint="eastAsia"/>
                <w:highlight w:val="none"/>
                <w:lang w:val="en-US" w:eastAsia="zh-CN"/>
              </w:rPr>
              <w:t>1</w:t>
            </w:r>
            <w:r>
              <w:rPr>
                <w:rFonts w:hint="eastAsia"/>
                <w:highlight w:val="none"/>
              </w:rPr>
              <w:t>分。</w:t>
            </w:r>
          </w:p>
          <w:p>
            <w:pPr>
              <w:pStyle w:val="2"/>
              <w:rPr>
                <w:rFonts w:hint="eastAsia"/>
                <w:highlight w:val="none"/>
              </w:rPr>
            </w:pPr>
            <w:r>
              <w:rPr>
                <w:rFonts w:hint="eastAsia"/>
                <w:highlight w:val="none"/>
                <w:lang w:val="en-US" w:eastAsia="zh-CN"/>
              </w:rPr>
              <w:t>3、</w:t>
            </w:r>
            <w:r>
              <w:rPr>
                <w:rFonts w:hint="eastAsia"/>
                <w:highlight w:val="none"/>
              </w:rPr>
              <w:t>未制定年度工作方案的，</w:t>
            </w:r>
            <w:r>
              <w:rPr>
                <w:rFonts w:hint="eastAsia"/>
                <w:highlight w:val="none"/>
                <w:lang w:val="en-US" w:eastAsia="zh-CN"/>
              </w:rPr>
              <w:t>扣2分</w:t>
            </w:r>
            <w:r>
              <w:rPr>
                <w:rFonts w:hint="eastAsia"/>
                <w:highlight w:val="none"/>
              </w:rPr>
              <w:t>。</w:t>
            </w:r>
          </w:p>
          <w:p>
            <w:pPr>
              <w:pStyle w:val="2"/>
              <w:rPr>
                <w:rFonts w:hint="eastAsia"/>
                <w:highlight w:val="none"/>
                <w:lang w:val="en-US" w:eastAsia="zh-CN"/>
              </w:rPr>
            </w:pPr>
            <w:r>
              <w:rPr>
                <w:rFonts w:hint="eastAsia"/>
                <w:highlight w:val="none"/>
                <w:lang w:val="en-US" w:eastAsia="zh-CN"/>
              </w:rPr>
              <w:t>4、</w:t>
            </w:r>
            <w:r>
              <w:rPr>
                <w:rFonts w:hint="eastAsia"/>
                <w:highlight w:val="none"/>
              </w:rPr>
              <w:t>收集容器颜色、垃圾种类、标志标识</w:t>
            </w:r>
            <w:r>
              <w:rPr>
                <w:rFonts w:hint="eastAsia"/>
                <w:highlight w:val="none"/>
                <w:lang w:val="en-US" w:eastAsia="zh-CN"/>
              </w:rPr>
              <w:t>不</w:t>
            </w:r>
            <w:r>
              <w:rPr>
                <w:rFonts w:hint="eastAsia"/>
                <w:highlight w:val="none"/>
              </w:rPr>
              <w:t>符合标准</w:t>
            </w:r>
            <w:r>
              <w:rPr>
                <w:rFonts w:hint="eastAsia"/>
                <w:highlight w:val="none"/>
                <w:lang w:eastAsia="zh-CN"/>
              </w:rPr>
              <w:t>的</w:t>
            </w:r>
            <w:r>
              <w:rPr>
                <w:rFonts w:hint="eastAsia"/>
                <w:highlight w:val="none"/>
              </w:rPr>
              <w:t>，</w:t>
            </w:r>
            <w:r>
              <w:rPr>
                <w:rFonts w:hint="eastAsia"/>
                <w:highlight w:val="none"/>
                <w:lang w:val="en-US" w:eastAsia="zh-CN"/>
              </w:rPr>
              <w:t>每次扣1分；</w:t>
            </w:r>
            <w:r>
              <w:rPr>
                <w:rFonts w:hint="eastAsia"/>
                <w:highlight w:val="none"/>
              </w:rPr>
              <w:t>收集容器</w:t>
            </w:r>
            <w:r>
              <w:rPr>
                <w:rFonts w:hint="eastAsia"/>
                <w:highlight w:val="none"/>
                <w:lang w:val="en-US" w:eastAsia="zh-CN"/>
              </w:rPr>
              <w:t>有</w:t>
            </w:r>
            <w:r>
              <w:rPr>
                <w:rFonts w:hint="eastAsia"/>
                <w:highlight w:val="none"/>
              </w:rPr>
              <w:t>破损、脏污、冒溢问题</w:t>
            </w:r>
            <w:r>
              <w:rPr>
                <w:rFonts w:hint="eastAsia"/>
                <w:highlight w:val="none"/>
                <w:lang w:eastAsia="zh-CN"/>
              </w:rPr>
              <w:t>的</w:t>
            </w:r>
            <w:r>
              <w:rPr>
                <w:rFonts w:hint="eastAsia"/>
                <w:highlight w:val="none"/>
              </w:rPr>
              <w:t>，</w:t>
            </w:r>
            <w:r>
              <w:rPr>
                <w:rFonts w:hint="eastAsia"/>
                <w:highlight w:val="none"/>
                <w:lang w:val="en-US" w:eastAsia="zh-CN"/>
              </w:rPr>
              <w:t>每次扣0.5分；</w:t>
            </w:r>
            <w:r>
              <w:rPr>
                <w:rFonts w:hint="eastAsia"/>
                <w:highlight w:val="none"/>
              </w:rPr>
              <w:t>颜色与标志标识</w:t>
            </w:r>
            <w:r>
              <w:rPr>
                <w:rFonts w:hint="eastAsia"/>
                <w:highlight w:val="none"/>
                <w:lang w:val="en-US" w:eastAsia="zh-CN"/>
              </w:rPr>
              <w:t>未</w:t>
            </w:r>
            <w:r>
              <w:rPr>
                <w:rFonts w:hint="eastAsia"/>
                <w:highlight w:val="none"/>
              </w:rPr>
              <w:t>对应，标志标识</w:t>
            </w:r>
            <w:r>
              <w:rPr>
                <w:rFonts w:hint="eastAsia"/>
                <w:highlight w:val="none"/>
                <w:lang w:val="en-US" w:eastAsia="zh-CN"/>
              </w:rPr>
              <w:t>存在错误的，每次扣0.5分</w:t>
            </w:r>
            <w:r>
              <w:rPr>
                <w:rFonts w:hint="eastAsia"/>
                <w:highlight w:val="none"/>
              </w:rPr>
              <w:t>；垃圾随意堆积</w:t>
            </w:r>
            <w:r>
              <w:rPr>
                <w:rFonts w:hint="eastAsia"/>
                <w:highlight w:val="none"/>
                <w:lang w:val="en-US" w:eastAsia="zh-CN"/>
              </w:rPr>
              <w:t>的，每次扣2分；混合倒桶或出桶混合摆放的，每次扣2分。</w:t>
            </w:r>
          </w:p>
          <w:p>
            <w:pPr>
              <w:pStyle w:val="2"/>
              <w:rPr>
                <w:rFonts w:hint="eastAsia"/>
                <w:highlight w:val="none"/>
                <w:lang w:val="en-US" w:eastAsia="zh-CN"/>
              </w:rPr>
            </w:pPr>
            <w:r>
              <w:rPr>
                <w:rFonts w:hint="eastAsia"/>
                <w:highlight w:val="none"/>
                <w:lang w:val="en-US" w:eastAsia="zh-CN"/>
              </w:rPr>
              <w:t>5、可回收物、其他垃圾、有害垃圾收集容器未分类准确的，每次扣1分。</w:t>
            </w:r>
          </w:p>
          <w:p>
            <w:pPr>
              <w:pStyle w:val="2"/>
              <w:rPr>
                <w:rFonts w:hint="eastAsia"/>
                <w:highlight w:val="none"/>
                <w:lang w:val="en-US" w:eastAsia="zh-CN"/>
              </w:rPr>
            </w:pPr>
            <w:r>
              <w:rPr>
                <w:rFonts w:hint="eastAsia"/>
                <w:highlight w:val="none"/>
                <w:lang w:val="en-US" w:eastAsia="zh-CN"/>
              </w:rPr>
              <w:t>6、早晚投放高峰期（各2个小时）内，未发现指导员上岗的，每发现一个村未上岗的扣2分。实现电动车上门收集的视为指导员上岗。</w:t>
            </w:r>
          </w:p>
        </w:tc>
      </w:tr>
      <w:tr>
        <w:tblPrEx>
          <w:tblCellMar>
            <w:top w:w="0" w:type="dxa"/>
            <w:left w:w="0" w:type="dxa"/>
            <w:bottom w:w="0" w:type="dxa"/>
            <w:right w:w="0" w:type="dxa"/>
          </w:tblCellMar>
        </w:tblPrEx>
        <w:trPr>
          <w:trHeight w:val="416" w:hRule="atLeast"/>
          <w:jc w:val="center"/>
        </w:trPr>
        <w:tc>
          <w:tcPr>
            <w:tcW w:w="1421" w:type="dxa"/>
            <w:tcBorders>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default" w:ascii="宋体" w:hAnsi="宋体" w:cs="仿宋_GB2312"/>
                <w:color w:val="auto"/>
                <w:szCs w:val="21"/>
                <w:highlight w:val="none"/>
                <w:lang w:val="en-US" w:eastAsia="zh-CN"/>
              </w:rPr>
            </w:pPr>
            <w:r>
              <w:rPr>
                <w:rFonts w:hint="eastAsia" w:ascii="宋体" w:hAnsi="宋体" w:cs="仿宋_GB2312"/>
                <w:color w:val="auto"/>
                <w:szCs w:val="21"/>
                <w:highlight w:val="none"/>
                <w:lang w:val="en-US" w:eastAsia="zh-CN"/>
              </w:rPr>
              <w:t>三乱清除</w:t>
            </w:r>
          </w:p>
        </w:tc>
        <w:tc>
          <w:tcPr>
            <w:tcW w:w="332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left"/>
              <w:rPr>
                <w:rFonts w:hint="eastAsia" w:ascii="宋体" w:hAnsi="宋体" w:cs="仿宋_GB2312"/>
                <w:color w:val="auto"/>
                <w:szCs w:val="21"/>
                <w:highlight w:val="none"/>
                <w:lang w:val="en-US" w:eastAsia="zh-CN"/>
              </w:rPr>
            </w:pPr>
            <w:r>
              <w:rPr>
                <w:rFonts w:hint="eastAsia" w:ascii="宋体" w:hAnsi="宋体" w:cs="仿宋_GB2312"/>
                <w:color w:val="auto"/>
                <w:szCs w:val="21"/>
                <w:highlight w:val="none"/>
                <w:lang w:val="en-US" w:eastAsia="zh-CN"/>
              </w:rPr>
              <w:t>1、全面清除规定范围内的所有三乱（乱张贴、乱涂写、乱刻画），并做好日常的清洁维护工作。清除区域范围包括路段及区域视线所及范围内的建（构）筑物、路面、各类设施与杆件等所有非流动物体的平面、立面。</w:t>
            </w:r>
          </w:p>
          <w:p>
            <w:pPr>
              <w:jc w:val="left"/>
              <w:rPr>
                <w:rFonts w:hint="eastAsia" w:ascii="宋体" w:hAnsi="宋体" w:cs="仿宋_GB2312"/>
                <w:color w:val="auto"/>
                <w:szCs w:val="21"/>
                <w:highlight w:val="none"/>
                <w:lang w:val="en-US" w:eastAsia="zh-CN"/>
              </w:rPr>
            </w:pPr>
            <w:r>
              <w:rPr>
                <w:rFonts w:hint="eastAsia" w:ascii="宋体" w:hAnsi="宋体" w:cs="仿宋_GB2312"/>
                <w:color w:val="auto"/>
                <w:szCs w:val="21"/>
                <w:highlight w:val="none"/>
                <w:lang w:val="en-US" w:eastAsia="zh-CN"/>
              </w:rPr>
              <w:t>2、清除作业应在不破坏材质原貌的基础上予以彻底清除，不留痕迹。</w:t>
            </w:r>
          </w:p>
          <w:p>
            <w:pPr>
              <w:jc w:val="left"/>
              <w:rPr>
                <w:rFonts w:hint="default" w:ascii="宋体" w:hAnsi="宋体" w:cs="仿宋_GB2312"/>
                <w:color w:val="auto"/>
                <w:szCs w:val="21"/>
                <w:highlight w:val="none"/>
                <w:lang w:val="en-US" w:eastAsia="zh-CN"/>
              </w:rPr>
            </w:pPr>
            <w:r>
              <w:rPr>
                <w:rFonts w:hint="eastAsia" w:ascii="宋体" w:hAnsi="宋体" w:cs="仿宋_GB2312"/>
                <w:color w:val="auto"/>
                <w:szCs w:val="21"/>
                <w:highlight w:val="none"/>
                <w:lang w:val="en-US" w:eastAsia="zh-CN"/>
              </w:rPr>
              <w:t>3、清除过程中应保持周边环境整洁，清除物不得遗留在地面。</w:t>
            </w:r>
          </w:p>
        </w:tc>
        <w:tc>
          <w:tcPr>
            <w:tcW w:w="419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left"/>
              <w:rPr>
                <w:rFonts w:hint="eastAsia" w:ascii="宋体" w:hAnsi="宋体" w:cs="仿宋_GB2312"/>
                <w:color w:val="auto"/>
                <w:szCs w:val="21"/>
                <w:highlight w:val="none"/>
                <w:lang w:val="en-US" w:eastAsia="zh-CN"/>
              </w:rPr>
            </w:pPr>
            <w:r>
              <w:rPr>
                <w:rFonts w:hint="eastAsia" w:ascii="宋体" w:hAnsi="宋体" w:cs="仿宋_GB2312"/>
                <w:color w:val="auto"/>
                <w:szCs w:val="21"/>
                <w:highlight w:val="none"/>
                <w:lang w:val="en-US" w:eastAsia="zh-CN"/>
              </w:rPr>
              <w:t>1、乱涂写、乱张贴、乱刻画每发现一个扣0.1分。</w:t>
            </w:r>
          </w:p>
          <w:p>
            <w:pPr>
              <w:jc w:val="left"/>
              <w:rPr>
                <w:rFonts w:hint="eastAsia" w:ascii="宋体" w:hAnsi="宋体" w:cs="仿宋_GB2312"/>
                <w:color w:val="auto"/>
                <w:szCs w:val="21"/>
                <w:highlight w:val="none"/>
                <w:lang w:val="en-US" w:eastAsia="zh-CN"/>
              </w:rPr>
            </w:pPr>
            <w:r>
              <w:rPr>
                <w:rFonts w:hint="eastAsia" w:ascii="宋体" w:hAnsi="宋体" w:cs="仿宋_GB2312"/>
                <w:color w:val="auto"/>
                <w:szCs w:val="21"/>
                <w:highlight w:val="none"/>
                <w:lang w:val="en-US" w:eastAsia="zh-CN"/>
              </w:rPr>
              <w:t>2、清除不到位或清除不完全的，每处扣0.1分。</w:t>
            </w:r>
          </w:p>
          <w:p>
            <w:pPr>
              <w:jc w:val="left"/>
              <w:rPr>
                <w:rFonts w:hint="default" w:ascii="宋体" w:hAnsi="宋体" w:cs="仿宋_GB2312"/>
                <w:color w:val="auto"/>
                <w:szCs w:val="21"/>
                <w:highlight w:val="none"/>
                <w:lang w:val="en-US" w:eastAsia="zh-CN"/>
              </w:rPr>
            </w:pPr>
            <w:r>
              <w:rPr>
                <w:rFonts w:hint="eastAsia" w:ascii="宋体" w:hAnsi="宋体" w:cs="仿宋_GB2312"/>
                <w:color w:val="auto"/>
                <w:szCs w:val="21"/>
                <w:highlight w:val="none"/>
                <w:lang w:val="en-US" w:eastAsia="zh-CN"/>
              </w:rPr>
              <w:t>3、清除物遗留地面的每处扣0.1分。</w:t>
            </w:r>
          </w:p>
        </w:tc>
      </w:tr>
      <w:tr>
        <w:tblPrEx>
          <w:tblCellMar>
            <w:top w:w="0" w:type="dxa"/>
            <w:left w:w="0" w:type="dxa"/>
            <w:bottom w:w="0" w:type="dxa"/>
            <w:right w:w="0" w:type="dxa"/>
          </w:tblCellMar>
        </w:tblPrEx>
        <w:trPr>
          <w:trHeight w:val="90" w:hRule="atLeast"/>
          <w:jc w:val="center"/>
        </w:trPr>
        <w:tc>
          <w:tcPr>
            <w:tcW w:w="1421"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仿宋_GB2312"/>
                <w:color w:val="auto"/>
                <w:szCs w:val="21"/>
                <w:highlight w:val="none"/>
              </w:rPr>
            </w:pPr>
            <w:r>
              <w:rPr>
                <w:rFonts w:hint="eastAsia" w:ascii="宋体" w:hAnsi="宋体" w:eastAsia="宋体" w:cs="仿宋_GB2312"/>
                <w:color w:val="auto"/>
                <w:szCs w:val="21"/>
                <w:highlight w:val="none"/>
              </w:rPr>
              <w:t>安全管理</w:t>
            </w:r>
          </w:p>
        </w:tc>
        <w:tc>
          <w:tcPr>
            <w:tcW w:w="3328"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eastAsia="宋体" w:cs="仿宋_GB2312"/>
                <w:color w:val="auto"/>
                <w:kern w:val="0"/>
                <w:szCs w:val="21"/>
                <w:highlight w:val="none"/>
                <w:lang w:bidi="ar"/>
              </w:rPr>
            </w:pPr>
            <w:r>
              <w:rPr>
                <w:rFonts w:hint="eastAsia" w:ascii="宋体" w:hAnsi="宋体" w:eastAsia="宋体" w:cs="仿宋_GB2312"/>
                <w:color w:val="auto"/>
                <w:kern w:val="0"/>
                <w:szCs w:val="21"/>
                <w:highlight w:val="none"/>
                <w:lang w:bidi="ar"/>
              </w:rPr>
              <w:t>无安全责任事故</w:t>
            </w:r>
          </w:p>
        </w:tc>
        <w:tc>
          <w:tcPr>
            <w:tcW w:w="4197"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jc w:val="left"/>
              <w:rPr>
                <w:rFonts w:ascii="宋体" w:hAnsi="宋体" w:eastAsia="宋体" w:cs="仿宋_GB2312"/>
                <w:color w:val="auto"/>
                <w:szCs w:val="21"/>
                <w:highlight w:val="none"/>
              </w:rPr>
            </w:pPr>
            <w:r>
              <w:rPr>
                <w:rFonts w:hint="eastAsia" w:ascii="宋体" w:hAnsi="宋体" w:eastAsia="宋体" w:cs="仿宋_GB2312"/>
                <w:color w:val="auto"/>
                <w:kern w:val="0"/>
                <w:szCs w:val="21"/>
                <w:highlight w:val="none"/>
              </w:rPr>
              <w:t>若</w:t>
            </w:r>
            <w:r>
              <w:rPr>
                <w:rFonts w:hint="eastAsia" w:ascii="宋体" w:hAnsi="宋体" w:eastAsia="宋体" w:cs="仿宋_GB2312"/>
                <w:color w:val="auto"/>
                <w:szCs w:val="21"/>
                <w:highlight w:val="none"/>
              </w:rPr>
              <w:t>发生安全事故，处理不当的扣款10000-</w:t>
            </w:r>
            <w:r>
              <w:rPr>
                <w:rFonts w:hint="eastAsia" w:ascii="宋体" w:hAnsi="宋体" w:cs="仿宋_GB2312"/>
                <w:color w:val="auto"/>
                <w:szCs w:val="21"/>
                <w:highlight w:val="none"/>
                <w:lang w:val="en-US" w:eastAsia="zh-CN"/>
              </w:rPr>
              <w:t>10</w:t>
            </w:r>
            <w:r>
              <w:rPr>
                <w:rFonts w:hint="eastAsia" w:ascii="宋体" w:hAnsi="宋体" w:eastAsia="宋体" w:cs="仿宋_GB2312"/>
                <w:color w:val="auto"/>
                <w:szCs w:val="21"/>
                <w:highlight w:val="none"/>
              </w:rPr>
              <w:t>0000元。</w:t>
            </w:r>
          </w:p>
        </w:tc>
      </w:tr>
      <w:tr>
        <w:tblPrEx>
          <w:tblCellMar>
            <w:top w:w="0" w:type="dxa"/>
            <w:left w:w="0" w:type="dxa"/>
            <w:bottom w:w="0" w:type="dxa"/>
            <w:right w:w="0" w:type="dxa"/>
          </w:tblCellMar>
        </w:tblPrEx>
        <w:trPr>
          <w:trHeight w:val="367" w:hRule="atLeast"/>
          <w:jc w:val="center"/>
        </w:trPr>
        <w:tc>
          <w:tcPr>
            <w:tcW w:w="1421" w:type="dxa"/>
            <w:tcBorders>
              <w:top w:val="single" w:color="auto" w:sz="4" w:space="0"/>
              <w:left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仿宋_GB2312"/>
                <w:color w:val="auto"/>
                <w:szCs w:val="21"/>
                <w:highlight w:val="none"/>
              </w:rPr>
            </w:pPr>
            <w:r>
              <w:rPr>
                <w:rFonts w:hint="eastAsia" w:ascii="宋体" w:hAnsi="宋体" w:cs="仿宋_GB2312"/>
                <w:color w:val="auto"/>
                <w:szCs w:val="21"/>
                <w:highlight w:val="none"/>
                <w:lang w:val="en-US" w:eastAsia="zh-CN"/>
              </w:rPr>
              <w:t>垃圾分类</w:t>
            </w:r>
            <w:r>
              <w:rPr>
                <w:rFonts w:hint="eastAsia" w:ascii="宋体" w:hAnsi="宋体" w:eastAsia="宋体" w:cs="仿宋_GB2312"/>
                <w:color w:val="auto"/>
                <w:szCs w:val="21"/>
                <w:highlight w:val="none"/>
              </w:rPr>
              <w:t>宣传引导</w:t>
            </w:r>
          </w:p>
        </w:tc>
        <w:tc>
          <w:tcPr>
            <w:tcW w:w="3328"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numPr>
                <w:ilvl w:val="0"/>
                <w:numId w:val="0"/>
              </w:numPr>
              <w:jc w:val="left"/>
              <w:rPr>
                <w:rFonts w:hint="eastAsia" w:ascii="宋体" w:hAnsi="宋体" w:cs="仿宋_GB2312"/>
                <w:color w:val="auto"/>
                <w:szCs w:val="21"/>
                <w:highlight w:val="none"/>
                <w:lang w:val="en-US" w:eastAsia="zh-CN"/>
              </w:rPr>
            </w:pPr>
            <w:r>
              <w:rPr>
                <w:rFonts w:hint="eastAsia" w:ascii="宋体" w:hAnsi="宋体" w:cs="仿宋_GB2312"/>
                <w:color w:val="auto"/>
                <w:szCs w:val="21"/>
                <w:highlight w:val="none"/>
                <w:lang w:val="en-US" w:eastAsia="zh-CN"/>
              </w:rPr>
              <w:t>1、每月至少对分类指导员、上门收集员开展五次垃圾分类培训。</w:t>
            </w:r>
          </w:p>
          <w:p>
            <w:pPr>
              <w:numPr>
                <w:ilvl w:val="0"/>
                <w:numId w:val="0"/>
              </w:numPr>
              <w:jc w:val="left"/>
              <w:rPr>
                <w:rFonts w:hint="eastAsia" w:ascii="宋体" w:hAnsi="宋体" w:cs="仿宋_GB2312"/>
                <w:color w:val="auto"/>
                <w:szCs w:val="21"/>
                <w:highlight w:val="none"/>
                <w:lang w:val="en-US" w:eastAsia="zh-CN"/>
              </w:rPr>
            </w:pPr>
            <w:r>
              <w:rPr>
                <w:rFonts w:hint="eastAsia" w:ascii="宋体" w:hAnsi="宋体" w:cs="仿宋_GB2312"/>
                <w:color w:val="auto"/>
                <w:szCs w:val="21"/>
                <w:highlight w:val="none"/>
                <w:lang w:val="en-US" w:eastAsia="zh-CN"/>
              </w:rPr>
              <w:t>2、对村庄住户入户宣传垃圾分类，宣传户数不少于入住户数的90%，</w:t>
            </w:r>
            <w:r>
              <w:rPr>
                <w:rFonts w:hint="eastAsia"/>
                <w:highlight w:val="none"/>
                <w:lang w:val="en-US" w:eastAsia="zh-CN"/>
              </w:rPr>
              <w:t>引导村民完成垃圾分类</w:t>
            </w:r>
            <w:r>
              <w:rPr>
                <w:rFonts w:hint="eastAsia" w:ascii="宋体" w:hAnsi="宋体" w:cs="仿宋_GB2312"/>
                <w:color w:val="auto"/>
                <w:szCs w:val="21"/>
                <w:highlight w:val="none"/>
                <w:lang w:val="en-US" w:eastAsia="zh-CN"/>
              </w:rPr>
              <w:t>。</w:t>
            </w:r>
          </w:p>
        </w:tc>
        <w:tc>
          <w:tcPr>
            <w:tcW w:w="4197"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jc w:val="left"/>
              <w:rPr>
                <w:rFonts w:hint="eastAsia" w:ascii="宋体" w:hAnsi="宋体" w:cs="仿宋_GB2312"/>
                <w:color w:val="auto"/>
                <w:szCs w:val="21"/>
                <w:highlight w:val="none"/>
                <w:lang w:val="en-US" w:eastAsia="zh-CN"/>
              </w:rPr>
            </w:pPr>
            <w:r>
              <w:rPr>
                <w:rFonts w:hint="eastAsia" w:ascii="宋体" w:hAnsi="宋体" w:cs="仿宋_GB2312"/>
                <w:color w:val="auto"/>
                <w:szCs w:val="21"/>
                <w:highlight w:val="none"/>
                <w:lang w:val="en-US" w:eastAsia="zh-CN"/>
              </w:rPr>
              <w:t>1、开展四次的扣0.5分，三次的扣1分，二次的扣1.5分，开展一次及以下的，扣3分。</w:t>
            </w:r>
          </w:p>
          <w:p>
            <w:pPr>
              <w:jc w:val="left"/>
              <w:rPr>
                <w:rFonts w:hint="eastAsia" w:ascii="宋体" w:hAnsi="宋体" w:cs="仿宋_GB2312"/>
                <w:color w:val="auto"/>
                <w:szCs w:val="21"/>
                <w:highlight w:val="none"/>
                <w:lang w:val="en-US" w:eastAsia="zh-CN"/>
              </w:rPr>
            </w:pPr>
            <w:r>
              <w:rPr>
                <w:rFonts w:hint="eastAsia" w:ascii="宋体" w:hAnsi="宋体" w:cs="仿宋_GB2312"/>
                <w:color w:val="auto"/>
                <w:szCs w:val="21"/>
                <w:highlight w:val="none"/>
                <w:lang w:val="en-US" w:eastAsia="zh-CN"/>
              </w:rPr>
              <w:t>2、开展入户宣传数量达到入住户数90%的不扣分；达到入住户数85%的，扣1分；低于入住户数85%的，扣3分。</w:t>
            </w:r>
          </w:p>
        </w:tc>
      </w:tr>
      <w:tr>
        <w:tblPrEx>
          <w:tblCellMar>
            <w:top w:w="0" w:type="dxa"/>
            <w:left w:w="0" w:type="dxa"/>
            <w:bottom w:w="0" w:type="dxa"/>
            <w:right w:w="0" w:type="dxa"/>
          </w:tblCellMar>
        </w:tblPrEx>
        <w:trPr>
          <w:trHeight w:val="244" w:hRule="atLeast"/>
          <w:jc w:val="center"/>
        </w:trPr>
        <w:tc>
          <w:tcPr>
            <w:tcW w:w="1421"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仿宋_GB2312"/>
                <w:color w:val="auto"/>
                <w:szCs w:val="21"/>
                <w:highlight w:val="none"/>
              </w:rPr>
            </w:pPr>
            <w:r>
              <w:rPr>
                <w:rFonts w:hint="eastAsia" w:ascii="宋体" w:hAnsi="宋体" w:eastAsia="宋体" w:cs="仿宋_GB2312"/>
                <w:color w:val="auto"/>
                <w:szCs w:val="21"/>
                <w:highlight w:val="none"/>
              </w:rPr>
              <w:t>台账信息</w:t>
            </w:r>
          </w:p>
        </w:tc>
        <w:tc>
          <w:tcPr>
            <w:tcW w:w="3328"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jc w:val="left"/>
              <w:rPr>
                <w:rFonts w:hint="eastAsia"/>
                <w:highlight w:val="none"/>
                <w:lang w:val="en-US" w:eastAsia="zh-CN"/>
              </w:rPr>
            </w:pPr>
            <w:r>
              <w:rPr>
                <w:rFonts w:hint="eastAsia"/>
                <w:highlight w:val="none"/>
                <w:lang w:val="en-US" w:eastAsia="zh-CN"/>
              </w:rPr>
              <w:t>1、及时报送台账。</w:t>
            </w:r>
          </w:p>
          <w:p>
            <w:pPr>
              <w:pStyle w:val="2"/>
              <w:rPr>
                <w:rFonts w:hint="default"/>
                <w:highlight w:val="none"/>
                <w:lang w:val="en-US" w:eastAsia="zh-CN"/>
              </w:rPr>
            </w:pPr>
            <w:r>
              <w:rPr>
                <w:rFonts w:hint="eastAsia"/>
                <w:highlight w:val="none"/>
                <w:lang w:val="en-US" w:eastAsia="zh-CN"/>
              </w:rPr>
              <w:t>2、</w:t>
            </w:r>
            <w:r>
              <w:rPr>
                <w:rFonts w:hint="eastAsia" w:ascii="宋体" w:hAnsi="宋体" w:cs="仿宋_GB2312"/>
                <w:color w:val="auto"/>
                <w:szCs w:val="21"/>
                <w:highlight w:val="none"/>
                <w:lang w:val="en-US" w:eastAsia="zh-CN"/>
              </w:rPr>
              <w:t>按要求设置台账。</w:t>
            </w:r>
          </w:p>
        </w:tc>
        <w:tc>
          <w:tcPr>
            <w:tcW w:w="4197"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jc w:val="left"/>
              <w:rPr>
                <w:rFonts w:hint="eastAsia"/>
                <w:highlight w:val="none"/>
                <w:lang w:val="en-US" w:eastAsia="zh-CN"/>
              </w:rPr>
            </w:pPr>
            <w:r>
              <w:rPr>
                <w:rFonts w:hint="eastAsia"/>
                <w:highlight w:val="none"/>
                <w:lang w:val="en-US" w:eastAsia="zh-CN"/>
              </w:rPr>
              <w:t>1、未按要求报送台账表格，扣2分；报送不及时的每次扣0.2分；报送不合格两次以上的，扣2分。</w:t>
            </w:r>
          </w:p>
          <w:p>
            <w:pPr>
              <w:pStyle w:val="2"/>
              <w:rPr>
                <w:rFonts w:hint="eastAsia"/>
                <w:highlight w:val="none"/>
                <w:lang w:val="en-US" w:eastAsia="zh-CN"/>
              </w:rPr>
            </w:pPr>
            <w:r>
              <w:rPr>
                <w:rFonts w:hint="eastAsia" w:ascii="宋体" w:hAnsi="宋体" w:cs="仿宋_GB2312"/>
                <w:color w:val="auto"/>
                <w:szCs w:val="21"/>
                <w:highlight w:val="none"/>
                <w:lang w:val="en-US" w:eastAsia="zh-CN"/>
              </w:rPr>
              <w:t>2、单独建立垃圾分类工作台账。未单独建立垃圾分类台账的</w:t>
            </w:r>
            <w:r>
              <w:rPr>
                <w:rFonts w:hint="eastAsia"/>
                <w:highlight w:val="none"/>
                <w:lang w:val="en-US" w:eastAsia="zh-CN"/>
              </w:rPr>
              <w:t>，扣2分</w:t>
            </w:r>
            <w:r>
              <w:rPr>
                <w:rFonts w:hint="eastAsia" w:ascii="宋体" w:hAnsi="宋体" w:cs="仿宋_GB2312"/>
                <w:color w:val="auto"/>
                <w:szCs w:val="21"/>
                <w:highlight w:val="none"/>
                <w:lang w:val="en-US" w:eastAsia="zh-CN"/>
              </w:rPr>
              <w:t>；信息不规范的，每处扣0.2分。</w:t>
            </w:r>
          </w:p>
        </w:tc>
      </w:tr>
    </w:tbl>
    <w:p>
      <w:pPr>
        <w:pStyle w:val="198"/>
        <w:adjustRightInd/>
        <w:spacing w:line="360" w:lineRule="auto"/>
        <w:ind w:left="0" w:firstLine="420" w:firstLineChars="200"/>
        <w:rPr>
          <w:rFonts w:hAnsi="宋体" w:cs="宋体"/>
          <w:szCs w:val="21"/>
          <w:highlight w:val="none"/>
        </w:rPr>
      </w:pPr>
      <w:r>
        <w:rPr>
          <w:rFonts w:hint="eastAsia" w:ascii="宋体" w:hAnsi="宋体" w:eastAsia="宋体" w:cs="Times New Roman"/>
          <w:b w:val="0"/>
          <w:bCs/>
          <w:color w:val="auto"/>
          <w:sz w:val="21"/>
          <w:szCs w:val="21"/>
          <w:highlight w:val="none"/>
        </w:rPr>
        <w:t>备注：本考核办法为暂行规定，若合同履行过程中，考核办法有调整的，以</w:t>
      </w:r>
      <w:r>
        <w:rPr>
          <w:rFonts w:hint="eastAsia" w:ascii="宋体" w:hAnsi="宋体" w:eastAsia="宋体" w:cs="Times New Roman"/>
          <w:b w:val="0"/>
          <w:bCs/>
          <w:color w:val="auto"/>
          <w:sz w:val="21"/>
          <w:szCs w:val="21"/>
          <w:highlight w:val="none"/>
          <w:lang w:eastAsia="zh-CN"/>
        </w:rPr>
        <w:t>采购人</w:t>
      </w:r>
      <w:r>
        <w:rPr>
          <w:rFonts w:hint="eastAsia" w:ascii="宋体" w:hAnsi="宋体" w:eastAsia="宋体" w:cs="Times New Roman"/>
          <w:b w:val="0"/>
          <w:bCs/>
          <w:color w:val="auto"/>
          <w:sz w:val="21"/>
          <w:szCs w:val="21"/>
          <w:highlight w:val="none"/>
        </w:rPr>
        <w:t>正式发文后的考核办法执行。</w:t>
      </w:r>
    </w:p>
    <w:p>
      <w:pPr>
        <w:spacing w:line="360" w:lineRule="auto"/>
        <w:ind w:firstLine="593" w:firstLineChars="197"/>
        <w:jc w:val="center"/>
        <w:outlineLvl w:val="0"/>
        <w:rPr>
          <w:rFonts w:ascii="宋体" w:hAnsi="宋体" w:cs="宋体"/>
          <w:b/>
          <w:bCs/>
          <w:sz w:val="32"/>
          <w:szCs w:val="32"/>
          <w:highlight w:val="none"/>
        </w:rPr>
      </w:pPr>
      <w:r>
        <w:rPr>
          <w:rFonts w:hint="eastAsia"/>
          <w:b/>
          <w:bCs/>
          <w:sz w:val="30"/>
          <w:szCs w:val="30"/>
          <w:highlight w:val="none"/>
        </w:rPr>
        <w:br w:type="page"/>
      </w:r>
      <w:bookmarkStart w:id="31" w:name="_Toc4265"/>
      <w:r>
        <w:rPr>
          <w:rFonts w:hint="eastAsia" w:ascii="宋体" w:hAnsi="宋体" w:cs="宋体"/>
          <w:b/>
          <w:sz w:val="32"/>
          <w:szCs w:val="32"/>
          <w:highlight w:val="none"/>
        </w:rPr>
        <w:t>第三章  供应商须知</w:t>
      </w:r>
      <w:bookmarkEnd w:id="31"/>
    </w:p>
    <w:p>
      <w:pPr>
        <w:spacing w:line="360" w:lineRule="auto"/>
        <w:jc w:val="center"/>
        <w:rPr>
          <w:rFonts w:ascii="宋体" w:hAnsi="宋体" w:cs="宋体"/>
          <w:b/>
          <w:bCs/>
          <w:sz w:val="44"/>
          <w:szCs w:val="32"/>
          <w:highlight w:val="none"/>
        </w:rPr>
      </w:pPr>
      <w:bookmarkStart w:id="32" w:name="_Toc1665"/>
      <w:r>
        <w:rPr>
          <w:rFonts w:hint="eastAsia" w:ascii="宋体" w:hAnsi="宋体" w:cs="宋体"/>
          <w:b/>
          <w:sz w:val="28"/>
          <w:szCs w:val="28"/>
          <w:highlight w:val="none"/>
        </w:rPr>
        <w:t>前 附 表</w:t>
      </w:r>
      <w:bookmarkEnd w:id="32"/>
    </w:p>
    <w:tbl>
      <w:tblPr>
        <w:tblStyle w:val="46"/>
        <w:tblW w:w="86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5"/>
        <w:gridCol w:w="78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25" w:type="dxa"/>
            <w:tcBorders>
              <w:top w:val="single" w:color="auto" w:sz="4" w:space="0"/>
              <w:left w:val="single" w:color="auto" w:sz="4" w:space="0"/>
              <w:bottom w:val="single" w:color="auto" w:sz="4" w:space="0"/>
              <w:right w:val="single" w:color="auto" w:sz="4" w:space="0"/>
            </w:tcBorders>
            <w:vAlign w:val="center"/>
          </w:tcPr>
          <w:p>
            <w:pPr>
              <w:spacing w:line="264" w:lineRule="auto"/>
              <w:jc w:val="center"/>
              <w:rPr>
                <w:rFonts w:ascii="宋体" w:hAnsi="宋体" w:cs="宋体"/>
                <w:b/>
                <w:szCs w:val="21"/>
                <w:highlight w:val="none"/>
              </w:rPr>
            </w:pPr>
            <w:r>
              <w:rPr>
                <w:rFonts w:hint="eastAsia" w:ascii="宋体" w:hAnsi="宋体" w:cs="宋体"/>
                <w:b/>
                <w:szCs w:val="21"/>
                <w:highlight w:val="none"/>
              </w:rPr>
              <w:t>序号</w:t>
            </w:r>
          </w:p>
        </w:tc>
        <w:tc>
          <w:tcPr>
            <w:tcW w:w="7883" w:type="dxa"/>
            <w:tcBorders>
              <w:top w:val="single" w:color="auto" w:sz="4" w:space="0"/>
              <w:left w:val="single" w:color="auto" w:sz="4" w:space="0"/>
              <w:bottom w:val="single" w:color="auto" w:sz="4" w:space="0"/>
              <w:right w:val="single" w:color="auto" w:sz="4" w:space="0"/>
            </w:tcBorders>
            <w:vAlign w:val="center"/>
          </w:tcPr>
          <w:p>
            <w:pPr>
              <w:spacing w:line="264" w:lineRule="auto"/>
              <w:jc w:val="center"/>
              <w:rPr>
                <w:rFonts w:ascii="宋体" w:hAnsi="宋体" w:cs="宋体"/>
                <w:b/>
                <w:szCs w:val="21"/>
                <w:highlight w:val="none"/>
              </w:rPr>
            </w:pPr>
            <w:r>
              <w:rPr>
                <w:rFonts w:hint="eastAsia" w:ascii="宋体" w:hAnsi="宋体" w:cs="宋体"/>
                <w:b/>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25" w:type="dxa"/>
            <w:tcBorders>
              <w:top w:val="single" w:color="auto" w:sz="4" w:space="0"/>
              <w:left w:val="single" w:color="auto" w:sz="4" w:space="0"/>
              <w:bottom w:val="single" w:color="auto" w:sz="4" w:space="0"/>
              <w:right w:val="single" w:color="auto" w:sz="4" w:space="0"/>
            </w:tcBorders>
            <w:vAlign w:val="center"/>
          </w:tcPr>
          <w:p>
            <w:pPr>
              <w:spacing w:line="264" w:lineRule="auto"/>
              <w:jc w:val="center"/>
              <w:rPr>
                <w:rFonts w:ascii="宋体" w:hAnsi="宋体" w:cs="宋体"/>
                <w:szCs w:val="21"/>
                <w:highlight w:val="none"/>
              </w:rPr>
            </w:pPr>
            <w:r>
              <w:rPr>
                <w:rFonts w:hint="eastAsia" w:ascii="宋体" w:hAnsi="宋体" w:cs="宋体"/>
                <w:szCs w:val="21"/>
                <w:highlight w:val="none"/>
              </w:rPr>
              <w:t>★1</w:t>
            </w:r>
          </w:p>
        </w:tc>
        <w:tc>
          <w:tcPr>
            <w:tcW w:w="7883" w:type="dxa"/>
            <w:tcBorders>
              <w:top w:val="single" w:color="auto" w:sz="4" w:space="0"/>
              <w:left w:val="single" w:color="auto" w:sz="4" w:space="0"/>
              <w:bottom w:val="single" w:color="auto" w:sz="4" w:space="0"/>
              <w:right w:val="single" w:color="auto" w:sz="4" w:space="0"/>
            </w:tcBorders>
            <w:vAlign w:val="center"/>
          </w:tcPr>
          <w:p>
            <w:pPr>
              <w:spacing w:line="264" w:lineRule="auto"/>
              <w:rPr>
                <w:rFonts w:ascii="宋体" w:hAnsi="宋体" w:cs="宋体"/>
                <w:b/>
                <w:bCs/>
                <w:szCs w:val="21"/>
                <w:highlight w:val="none"/>
              </w:rPr>
            </w:pPr>
            <w:r>
              <w:rPr>
                <w:rFonts w:hint="eastAsia" w:ascii="宋体" w:hAnsi="宋体" w:cs="宋体"/>
                <w:b/>
                <w:bCs/>
                <w:szCs w:val="21"/>
                <w:highlight w:val="none"/>
              </w:rPr>
              <w:t>投标报价及费用：</w:t>
            </w:r>
          </w:p>
          <w:p>
            <w:pPr>
              <w:spacing w:line="264" w:lineRule="auto"/>
              <w:rPr>
                <w:rFonts w:ascii="宋体" w:hAnsi="宋体" w:cs="宋体"/>
                <w:szCs w:val="21"/>
                <w:highlight w:val="none"/>
              </w:rPr>
            </w:pPr>
            <w:r>
              <w:rPr>
                <w:rFonts w:hint="eastAsia" w:ascii="宋体" w:hAnsi="宋体" w:cs="宋体"/>
                <w:szCs w:val="21"/>
                <w:highlight w:val="none"/>
              </w:rPr>
              <w:t>1）本项目投标应以人民币报价；</w:t>
            </w:r>
          </w:p>
          <w:p>
            <w:pPr>
              <w:spacing w:line="264" w:lineRule="auto"/>
              <w:rPr>
                <w:rFonts w:ascii="宋体" w:hAnsi="宋体" w:cs="宋体"/>
                <w:szCs w:val="21"/>
                <w:highlight w:val="none"/>
              </w:rPr>
            </w:pPr>
            <w:r>
              <w:rPr>
                <w:rFonts w:hint="eastAsia" w:ascii="宋体" w:hAnsi="宋体" w:cs="宋体"/>
                <w:szCs w:val="21"/>
                <w:highlight w:val="none"/>
              </w:rPr>
              <w:t>2）本项目采购预算（最高限价）：详见《第一章  公开招标公告》；投标总价超过预算金额（最高限价）的，作无效标处理。</w:t>
            </w:r>
          </w:p>
          <w:p>
            <w:pPr>
              <w:pStyle w:val="18"/>
              <w:spacing w:line="264" w:lineRule="auto"/>
              <w:rPr>
                <w:rFonts w:ascii="宋体" w:hAnsi="宋体" w:cs="宋体"/>
                <w:szCs w:val="21"/>
                <w:highlight w:val="none"/>
              </w:rPr>
            </w:pPr>
            <w:r>
              <w:rPr>
                <w:rFonts w:hint="eastAsia" w:ascii="宋体" w:hAnsi="宋体" w:cs="宋体"/>
                <w:szCs w:val="21"/>
                <w:highlight w:val="none"/>
              </w:rPr>
              <w:t>3）供应商须报出一年</w:t>
            </w:r>
            <w:r>
              <w:rPr>
                <w:rFonts w:hint="eastAsia" w:ascii="宋体" w:hAnsi="宋体" w:cs="宋体"/>
                <w:szCs w:val="21"/>
                <w:highlight w:val="none"/>
                <w:lang w:val="en-US" w:eastAsia="zh-CN"/>
              </w:rPr>
              <w:t>报价</w:t>
            </w:r>
            <w:r>
              <w:rPr>
                <w:rFonts w:hint="eastAsia" w:ascii="宋体" w:hAnsi="宋体" w:cs="宋体"/>
                <w:szCs w:val="21"/>
                <w:highlight w:val="none"/>
              </w:rPr>
              <w:t>及</w:t>
            </w:r>
            <w:r>
              <w:rPr>
                <w:rFonts w:hint="eastAsia" w:ascii="宋体" w:hAnsi="宋体" w:cs="宋体"/>
                <w:szCs w:val="21"/>
                <w:highlight w:val="none"/>
                <w:lang w:val="en-US" w:eastAsia="zh-CN"/>
              </w:rPr>
              <w:t>三年</w:t>
            </w:r>
            <w:r>
              <w:rPr>
                <w:rFonts w:hint="eastAsia" w:ascii="宋体" w:hAnsi="宋体" w:cs="宋体"/>
                <w:szCs w:val="21"/>
                <w:highlight w:val="none"/>
              </w:rPr>
              <w:t>的投标总价，包含但不限于完成本项目服务内容可能发生的各项费用，应包含人工费用【包含人员基本工资、各类福利和补贴（如高温补贴、加班补贴等）、社保（五金）、各种保险】、安全文明生产装备费（环卫工人冬、夏工作服、雨衣、手套、口罩等劳保品）、人员所用作业工具等各类耗材费、车辆运行费用（含车辆租赁或购置费、水电费、维修及配件更换等费用）、管理费（包括管理人员工资、人员培训费、安全生产专项管理经费、其他管理费）、突击检查等特殊时期的应急保障费用等保洁服务范围内的所有费用。</w:t>
            </w:r>
          </w:p>
          <w:p>
            <w:pPr>
              <w:pStyle w:val="18"/>
              <w:spacing w:line="264" w:lineRule="auto"/>
              <w:rPr>
                <w:rFonts w:ascii="宋体" w:hAnsi="宋体" w:cs="宋体"/>
                <w:szCs w:val="21"/>
                <w:highlight w:val="none"/>
              </w:rPr>
            </w:pPr>
            <w:r>
              <w:rPr>
                <w:rFonts w:hint="eastAsia" w:ascii="宋体" w:hAnsi="宋体" w:cs="宋体"/>
                <w:szCs w:val="21"/>
                <w:highlight w:val="none"/>
              </w:rPr>
              <w:t>4）不论投标结果如何，供应商均应自行承担所有与投标有关的全部费用。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25" w:type="dxa"/>
            <w:tcBorders>
              <w:top w:val="single" w:color="auto" w:sz="4" w:space="0"/>
              <w:left w:val="single" w:color="auto" w:sz="4" w:space="0"/>
              <w:bottom w:val="single" w:color="auto" w:sz="4" w:space="0"/>
              <w:right w:val="single" w:color="auto" w:sz="4" w:space="0"/>
            </w:tcBorders>
            <w:vAlign w:val="center"/>
          </w:tcPr>
          <w:p>
            <w:pPr>
              <w:spacing w:line="264" w:lineRule="auto"/>
              <w:jc w:val="center"/>
              <w:rPr>
                <w:rFonts w:ascii="宋体" w:hAnsi="宋体" w:cs="宋体"/>
                <w:szCs w:val="21"/>
                <w:highlight w:val="none"/>
              </w:rPr>
            </w:pPr>
            <w:r>
              <w:rPr>
                <w:rFonts w:hint="eastAsia" w:ascii="宋体" w:hAnsi="宋体" w:cs="宋体"/>
                <w:szCs w:val="21"/>
                <w:highlight w:val="none"/>
              </w:rPr>
              <w:t>2</w:t>
            </w:r>
          </w:p>
        </w:tc>
        <w:tc>
          <w:tcPr>
            <w:tcW w:w="788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4" w:lineRule="auto"/>
              <w:textAlignment w:val="bottom"/>
              <w:rPr>
                <w:rFonts w:ascii="宋体" w:hAnsi="宋体" w:cs="宋体"/>
                <w:szCs w:val="21"/>
                <w:highlight w:val="none"/>
              </w:rPr>
            </w:pPr>
            <w:r>
              <w:rPr>
                <w:rFonts w:hint="eastAsia" w:ascii="宋体" w:hAnsi="宋体" w:cs="宋体"/>
                <w:szCs w:val="21"/>
                <w:highlight w:val="none"/>
              </w:rPr>
              <w:t>投标文件组成与份数：</w:t>
            </w:r>
          </w:p>
          <w:p>
            <w:pPr>
              <w:numPr>
                <w:ilvl w:val="0"/>
                <w:numId w:val="29"/>
              </w:numPr>
              <w:autoSpaceDE w:val="0"/>
              <w:autoSpaceDN w:val="0"/>
              <w:spacing w:line="264" w:lineRule="auto"/>
              <w:textAlignment w:val="bottom"/>
              <w:rPr>
                <w:rFonts w:ascii="宋体" w:hAnsi="宋体" w:cs="宋体"/>
                <w:szCs w:val="21"/>
                <w:highlight w:val="none"/>
              </w:rPr>
            </w:pPr>
            <w:r>
              <w:rPr>
                <w:rFonts w:hint="eastAsia" w:ascii="宋体" w:hAnsi="宋体" w:cs="宋体"/>
                <w:szCs w:val="21"/>
                <w:highlight w:val="none"/>
              </w:rPr>
              <w:t>上传到政府采购云平台的电子投标文件（含资格文件、商务技术文件、报价文件）1份。</w:t>
            </w:r>
          </w:p>
          <w:p>
            <w:pPr>
              <w:numPr>
                <w:ilvl w:val="0"/>
                <w:numId w:val="29"/>
              </w:numPr>
              <w:autoSpaceDE w:val="0"/>
              <w:autoSpaceDN w:val="0"/>
              <w:spacing w:line="264" w:lineRule="auto"/>
              <w:textAlignment w:val="bottom"/>
              <w:rPr>
                <w:rFonts w:ascii="宋体" w:hAnsi="宋体" w:cs="宋体"/>
                <w:szCs w:val="21"/>
                <w:highlight w:val="none"/>
              </w:rPr>
            </w:pPr>
            <w:r>
              <w:rPr>
                <w:rFonts w:hint="eastAsia" w:ascii="宋体" w:hAnsi="宋体" w:cs="宋体"/>
                <w:szCs w:val="21"/>
                <w:highlight w:val="none"/>
              </w:rPr>
              <w:t>以U盘存储的电子备份投标文件（含资格文件、商务技术文件、报价文件）1份。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25" w:type="dxa"/>
            <w:tcBorders>
              <w:top w:val="single" w:color="auto" w:sz="4" w:space="0"/>
              <w:left w:val="single" w:color="auto" w:sz="4" w:space="0"/>
              <w:bottom w:val="single" w:color="auto" w:sz="4" w:space="0"/>
              <w:right w:val="single" w:color="auto" w:sz="4" w:space="0"/>
            </w:tcBorders>
            <w:vAlign w:val="center"/>
          </w:tcPr>
          <w:p>
            <w:pPr>
              <w:spacing w:line="264" w:lineRule="auto"/>
              <w:jc w:val="center"/>
              <w:rPr>
                <w:rFonts w:ascii="宋体" w:hAnsi="宋体" w:cs="宋体"/>
                <w:szCs w:val="21"/>
                <w:highlight w:val="none"/>
              </w:rPr>
            </w:pPr>
            <w:r>
              <w:rPr>
                <w:rFonts w:hint="eastAsia" w:ascii="宋体" w:hAnsi="宋体" w:cs="宋体"/>
                <w:szCs w:val="21"/>
                <w:highlight w:val="none"/>
              </w:rPr>
              <w:t>3</w:t>
            </w:r>
          </w:p>
        </w:tc>
        <w:tc>
          <w:tcPr>
            <w:tcW w:w="788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4" w:lineRule="auto"/>
              <w:textAlignment w:val="bottom"/>
              <w:rPr>
                <w:rFonts w:ascii="宋体" w:hAnsi="宋体" w:cs="宋体"/>
                <w:szCs w:val="21"/>
                <w:highlight w:val="none"/>
              </w:rPr>
            </w:pPr>
            <w:r>
              <w:rPr>
                <w:rFonts w:hint="eastAsia" w:ascii="宋体" w:hAnsi="宋体" w:cs="宋体"/>
                <w:szCs w:val="21"/>
                <w:highlight w:val="none"/>
              </w:rPr>
              <w:t>评标结果公示：评标结束后，评标结果公示于浙江政府采购网、宁波市政府采购网、宁波市公共资源交易网宁海县分网、浙江中基正采管理咨询有限公司网（http://www.cbbidding.com/）等网站。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25" w:type="dxa"/>
            <w:tcBorders>
              <w:top w:val="single" w:color="auto" w:sz="4" w:space="0"/>
              <w:left w:val="single" w:color="auto" w:sz="4" w:space="0"/>
              <w:bottom w:val="single" w:color="auto" w:sz="4" w:space="0"/>
              <w:right w:val="single" w:color="auto" w:sz="4" w:space="0"/>
            </w:tcBorders>
            <w:vAlign w:val="center"/>
          </w:tcPr>
          <w:p>
            <w:pPr>
              <w:spacing w:line="264" w:lineRule="auto"/>
              <w:jc w:val="center"/>
              <w:rPr>
                <w:rFonts w:ascii="宋体" w:hAnsi="宋体" w:cs="宋体"/>
                <w:szCs w:val="21"/>
                <w:highlight w:val="none"/>
              </w:rPr>
            </w:pPr>
            <w:r>
              <w:rPr>
                <w:rFonts w:hint="eastAsia" w:ascii="宋体" w:hAnsi="宋体" w:cs="宋体"/>
                <w:szCs w:val="21"/>
                <w:highlight w:val="none"/>
              </w:rPr>
              <w:t>4</w:t>
            </w:r>
          </w:p>
        </w:tc>
        <w:tc>
          <w:tcPr>
            <w:tcW w:w="788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4" w:lineRule="auto"/>
              <w:textAlignment w:val="bottom"/>
              <w:rPr>
                <w:rFonts w:ascii="宋体" w:hAnsi="宋体" w:cs="宋体"/>
                <w:szCs w:val="21"/>
                <w:highlight w:val="none"/>
              </w:rPr>
            </w:pPr>
            <w:r>
              <w:rPr>
                <w:rFonts w:hint="eastAsia" w:ascii="宋体" w:hAnsi="宋体" w:cs="宋体"/>
                <w:szCs w:val="21"/>
                <w:highlight w:val="none"/>
              </w:rPr>
              <w:t>签订合同时间：中标通知书发出后</w:t>
            </w:r>
            <w:r>
              <w:rPr>
                <w:rFonts w:hint="eastAsia" w:ascii="宋体" w:hAnsi="宋体" w:cs="宋体"/>
                <w:szCs w:val="21"/>
                <w:highlight w:val="none"/>
                <w:u w:val="single"/>
              </w:rPr>
              <w:t>30</w:t>
            </w:r>
            <w:r>
              <w:rPr>
                <w:rFonts w:hint="eastAsia" w:ascii="宋体" w:hAnsi="宋体" w:cs="宋体"/>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25" w:type="dxa"/>
            <w:tcBorders>
              <w:top w:val="single" w:color="auto" w:sz="4" w:space="0"/>
              <w:left w:val="single" w:color="auto" w:sz="4" w:space="0"/>
              <w:bottom w:val="single" w:color="auto" w:sz="4" w:space="0"/>
              <w:right w:val="single" w:color="auto" w:sz="4" w:space="0"/>
            </w:tcBorders>
            <w:vAlign w:val="center"/>
          </w:tcPr>
          <w:p>
            <w:pPr>
              <w:spacing w:line="264" w:lineRule="auto"/>
              <w:jc w:val="center"/>
              <w:rPr>
                <w:rFonts w:ascii="宋体" w:hAnsi="宋体" w:cs="宋体"/>
                <w:szCs w:val="21"/>
                <w:highlight w:val="none"/>
              </w:rPr>
            </w:pPr>
            <w:r>
              <w:rPr>
                <w:rFonts w:hint="eastAsia" w:ascii="宋体" w:hAnsi="宋体" w:cs="宋体"/>
                <w:szCs w:val="21"/>
                <w:highlight w:val="none"/>
              </w:rPr>
              <w:t>5</w:t>
            </w:r>
          </w:p>
        </w:tc>
        <w:tc>
          <w:tcPr>
            <w:tcW w:w="788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4" w:lineRule="auto"/>
              <w:textAlignment w:val="bottom"/>
              <w:rPr>
                <w:rFonts w:ascii="宋体" w:hAnsi="宋体" w:cs="宋体"/>
                <w:szCs w:val="21"/>
                <w:highlight w:val="none"/>
              </w:rPr>
            </w:pPr>
            <w:r>
              <w:rPr>
                <w:rFonts w:hint="eastAsia" w:ascii="宋体" w:hAnsi="宋体" w:cs="宋体"/>
                <w:szCs w:val="21"/>
                <w:highlight w:val="none"/>
              </w:rPr>
              <w:t>采购资金来源：财政资金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25" w:type="dxa"/>
            <w:tcBorders>
              <w:top w:val="single" w:color="auto" w:sz="4" w:space="0"/>
              <w:left w:val="single" w:color="auto" w:sz="4" w:space="0"/>
              <w:bottom w:val="single" w:color="auto" w:sz="4" w:space="0"/>
              <w:right w:val="single" w:color="auto" w:sz="4" w:space="0"/>
            </w:tcBorders>
            <w:vAlign w:val="center"/>
          </w:tcPr>
          <w:p>
            <w:pPr>
              <w:spacing w:line="264" w:lineRule="auto"/>
              <w:jc w:val="center"/>
              <w:rPr>
                <w:rFonts w:ascii="宋体" w:hAnsi="宋体" w:cs="宋体"/>
                <w:szCs w:val="21"/>
                <w:highlight w:val="none"/>
              </w:rPr>
            </w:pPr>
            <w:r>
              <w:rPr>
                <w:rFonts w:hint="eastAsia" w:ascii="宋体" w:hAnsi="宋体" w:cs="宋体"/>
                <w:szCs w:val="21"/>
                <w:highlight w:val="none"/>
              </w:rPr>
              <w:t>★6</w:t>
            </w:r>
          </w:p>
        </w:tc>
        <w:tc>
          <w:tcPr>
            <w:tcW w:w="7883" w:type="dxa"/>
            <w:tcBorders>
              <w:top w:val="single" w:color="auto" w:sz="4" w:space="0"/>
              <w:left w:val="single" w:color="auto" w:sz="4" w:space="0"/>
              <w:bottom w:val="single" w:color="auto" w:sz="4" w:space="0"/>
              <w:right w:val="single" w:color="auto" w:sz="4" w:space="0"/>
            </w:tcBorders>
            <w:vAlign w:val="center"/>
          </w:tcPr>
          <w:p>
            <w:pPr>
              <w:spacing w:line="264" w:lineRule="auto"/>
              <w:rPr>
                <w:rFonts w:ascii="宋体" w:hAnsi="宋体" w:cs="宋体"/>
                <w:szCs w:val="21"/>
                <w:highlight w:val="none"/>
              </w:rPr>
            </w:pPr>
            <w:r>
              <w:rPr>
                <w:rFonts w:hint="eastAsia" w:ascii="宋体" w:hAnsi="宋体" w:cs="宋体"/>
                <w:szCs w:val="21"/>
                <w:highlight w:val="none"/>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0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64" w:lineRule="auto"/>
              <w:jc w:val="left"/>
              <w:textAlignment w:val="bottom"/>
              <w:rPr>
                <w:rFonts w:ascii="宋体" w:hAnsi="宋体" w:cs="宋体"/>
                <w:b/>
                <w:bCs/>
                <w:szCs w:val="21"/>
                <w:highlight w:val="none"/>
              </w:rPr>
            </w:pPr>
            <w:r>
              <w:rPr>
                <w:rFonts w:hint="eastAsia" w:ascii="宋体" w:hAnsi="宋体" w:cs="宋体"/>
                <w:b/>
                <w:bCs/>
                <w:szCs w:val="21"/>
                <w:highlight w:val="none"/>
              </w:rPr>
              <w:t>解释：本采购文件的解释权属于招标采购单位。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08"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ascii="宋体" w:hAnsi="宋体" w:cs="宋体"/>
                <w:szCs w:val="21"/>
                <w:highlight w:val="none"/>
                <w:lang w:val="en-US" w:eastAsia="zh-CN"/>
              </w:rPr>
            </w:pPr>
            <w:r>
              <w:rPr>
                <w:rFonts w:hint="eastAsia" w:ascii="宋体" w:hAnsi="宋体" w:cs="宋体"/>
                <w:szCs w:val="21"/>
                <w:highlight w:val="none"/>
                <w:lang w:val="en-US" w:eastAsia="zh-CN"/>
              </w:rPr>
              <w:t>中标服务费</w:t>
            </w:r>
            <w:r>
              <w:rPr>
                <w:rFonts w:hint="eastAsia" w:ascii="宋体" w:hAnsi="宋体" w:cs="宋体"/>
                <w:szCs w:val="21"/>
                <w:highlight w:val="none"/>
              </w:rPr>
              <w:t>的收取标准：</w:t>
            </w:r>
            <w:r>
              <w:rPr>
                <w:rFonts w:hint="eastAsia" w:ascii="宋体" w:hAnsi="宋体" w:cs="宋体"/>
                <w:szCs w:val="21"/>
                <w:highlight w:val="none"/>
                <w:lang w:val="en-US" w:eastAsia="zh-CN"/>
              </w:rPr>
              <w:t>招标公司按下表中服务招标标准，根据预算金额（按差额定率累进法计算），向中标人收取中标服务费。</w:t>
            </w:r>
          </w:p>
          <w:tbl>
            <w:tblPr>
              <w:tblStyle w:val="46"/>
              <w:tblW w:w="7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229"/>
              <w:gridCol w:w="1614"/>
              <w:gridCol w:w="1446"/>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4" w:hRule="atLeast"/>
                <w:jc w:val="center"/>
              </w:trPr>
              <w:tc>
                <w:tcPr>
                  <w:tcW w:w="3229" w:type="dxa"/>
                  <w:tcBorders>
                    <w:tl2br w:val="single" w:color="auto" w:sz="4" w:space="0"/>
                  </w:tcBorders>
                  <w:noWrap w:val="0"/>
                  <w:tcMar>
                    <w:top w:w="30" w:type="dxa"/>
                    <w:left w:w="150" w:type="dxa"/>
                    <w:bottom w:w="30" w:type="dxa"/>
                    <w:right w:w="150" w:type="dxa"/>
                  </w:tcMar>
                  <w:vAlign w:val="center"/>
                  <mc:AlternateContent>
                    <mc:Choice Requires="wpsCustomData">
                      <wpsCustomData:diagonals>
                        <wpsCustomData:diagonal from="14800" to="30000">
                          <wpsCustomData:border w:val="single" w:color="auto" w:sz="4" w:space="0"/>
                        </wpsCustomData:diagonal>
                        <wpsCustomData:diagonal from="30000" to="10000">
                          <wpsCustomData:border w:val="single" w:color="auto" w:sz="4" w:space="0"/>
                        </wpsCustomData:diagonal>
                      </wpsCustomData:diagonals>
                    </mc:Choice>
                  </mc:AlternateContent>
                </w:tcPr>
                <w:p>
                  <w:pPr>
                    <w:spacing w:line="264" w:lineRule="auto"/>
                    <w:rPr>
                      <w:rFonts w:hint="eastAsia" w:ascii="宋体" w:hAnsi="宋体" w:cs="宋体"/>
                      <w:szCs w:val="21"/>
                      <w:highlight w:val="none"/>
                    </w:rPr>
                  </w:pPr>
                  <w:r>
                    <w:rPr>
                      <w:rFonts w:hint="eastAsia" w:ascii="宋体" w:hAnsi="宋体" w:cs="宋体"/>
                      <w:szCs w:val="21"/>
                      <w:highlight w:val="none"/>
                    </w:rPr>
                    <w:t>金额（万元）</w:t>
                  </w:r>
                </w:p>
                <w:p>
                  <w:pPr>
                    <w:spacing w:line="264" w:lineRule="auto"/>
                    <mc:AlternateContent>
                      <mc:Choice Requires="wpsCustomData">
                        <wpsCustomData:diagonalParaType/>
                      </mc:Choice>
                    </mc:AlternateContent>
                    <w:rPr>
                      <w:rFonts w:hint="eastAsia" w:ascii="宋体" w:hAnsi="宋体" w:cs="宋体"/>
                      <w:szCs w:val="21"/>
                      <w:highlight w:val="none"/>
                    </w:rPr>
                  </w:pPr>
                </w:p>
                <w:p>
                  <w:pPr>
                    <w:spacing w:line="264" w:lineRule="auto"/>
                    <mc:AlternateContent>
                      <mc:Choice Requires="wpsCustomData">
                        <wpsCustomData:diagonalParaType/>
                      </mc:Choice>
                    </mc:AlternateContent>
                    <w:rPr>
                      <w:rFonts w:hint="eastAsia" w:ascii="宋体" w:hAnsi="宋体" w:cs="宋体"/>
                      <w:szCs w:val="21"/>
                      <w:highlight w:val="none"/>
                    </w:rPr>
                  </w:pPr>
                  <w:r>
                    <w:rPr>
                      <w:rFonts w:hint="eastAsia" w:ascii="宋体" w:hAnsi="宋体" w:cs="宋体"/>
                      <w:szCs w:val="21"/>
                      <w:highlight w:val="none"/>
                    </w:rPr>
                    <w:t>费率</w:t>
                  </w:r>
                </w:p>
                <w:p>
                  <w:pPr>
                    <w:spacing w:line="264" w:lineRule="auto"/>
                    <w:rPr>
                      <w:rFonts w:hint="eastAsia" w:ascii="宋体" w:hAnsi="宋体" w:cs="宋体"/>
                      <w:szCs w:val="21"/>
                      <w:highlight w:val="none"/>
                    </w:rPr>
                  </w:pPr>
                  <w:r>
                    <w:rPr>
                      <w:rFonts w:hint="eastAsia" w:ascii="宋体" w:hAnsi="宋体" w:cs="宋体"/>
                      <w:szCs w:val="21"/>
                      <w:highlight w:val="none"/>
                    </w:rPr>
                    <w:t>服务类型</w:t>
                  </w:r>
                </w:p>
              </w:tc>
              <w:tc>
                <w:tcPr>
                  <w:tcW w:w="1614" w:type="dxa"/>
                  <w:noWrap w:val="0"/>
                  <w:tcMar>
                    <w:top w:w="30" w:type="dxa"/>
                    <w:left w:w="150" w:type="dxa"/>
                    <w:bottom w:w="30" w:type="dxa"/>
                    <w:right w:w="150" w:type="dxa"/>
                  </w:tcMar>
                  <w:vAlign w:val="center"/>
                </w:tcPr>
                <w:p>
                  <w:pPr>
                    <w:spacing w:line="264" w:lineRule="auto"/>
                    <w:rPr>
                      <w:rFonts w:hint="eastAsia" w:ascii="宋体" w:hAnsi="宋体" w:cs="宋体"/>
                      <w:szCs w:val="21"/>
                      <w:highlight w:val="none"/>
                    </w:rPr>
                  </w:pPr>
                  <w:r>
                    <w:rPr>
                      <w:rFonts w:hint="eastAsia" w:ascii="宋体" w:hAnsi="宋体" w:cs="宋体"/>
                      <w:szCs w:val="21"/>
                      <w:highlight w:val="none"/>
                    </w:rPr>
                    <w:t>货物招标</w:t>
                  </w:r>
                </w:p>
              </w:tc>
              <w:tc>
                <w:tcPr>
                  <w:tcW w:w="1446" w:type="dxa"/>
                  <w:noWrap w:val="0"/>
                  <w:tcMar>
                    <w:top w:w="30" w:type="dxa"/>
                    <w:left w:w="150" w:type="dxa"/>
                    <w:bottom w:w="30" w:type="dxa"/>
                    <w:right w:w="150" w:type="dxa"/>
                  </w:tcMar>
                  <w:vAlign w:val="center"/>
                </w:tcPr>
                <w:p>
                  <w:pPr>
                    <w:spacing w:line="264" w:lineRule="auto"/>
                    <w:rPr>
                      <w:rFonts w:hint="eastAsia" w:ascii="宋体" w:hAnsi="宋体" w:cs="宋体"/>
                      <w:szCs w:val="21"/>
                      <w:highlight w:val="none"/>
                    </w:rPr>
                  </w:pPr>
                  <w:r>
                    <w:rPr>
                      <w:rFonts w:hint="eastAsia" w:ascii="宋体" w:hAnsi="宋体" w:cs="宋体"/>
                      <w:szCs w:val="21"/>
                      <w:highlight w:val="none"/>
                    </w:rPr>
                    <w:t>服务招标</w:t>
                  </w:r>
                </w:p>
              </w:tc>
              <w:tc>
                <w:tcPr>
                  <w:tcW w:w="1488" w:type="dxa"/>
                  <w:noWrap w:val="0"/>
                  <w:tcMar>
                    <w:top w:w="30" w:type="dxa"/>
                    <w:left w:w="150" w:type="dxa"/>
                    <w:bottom w:w="30" w:type="dxa"/>
                    <w:right w:w="150" w:type="dxa"/>
                  </w:tcMar>
                  <w:vAlign w:val="center"/>
                </w:tcPr>
                <w:p>
                  <w:pPr>
                    <w:spacing w:line="264" w:lineRule="auto"/>
                    <w:rPr>
                      <w:rFonts w:hint="eastAsia" w:ascii="宋体" w:hAnsi="宋体" w:cs="宋体"/>
                      <w:szCs w:val="21"/>
                      <w:highlight w:val="none"/>
                    </w:rPr>
                  </w:pPr>
                  <w:r>
                    <w:rPr>
                      <w:rFonts w:hint="eastAsia" w:ascii="宋体" w:hAnsi="宋体" w:cs="宋体"/>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1" w:hRule="atLeast"/>
                <w:jc w:val="center"/>
              </w:trPr>
              <w:tc>
                <w:tcPr>
                  <w:tcW w:w="3229" w:type="dxa"/>
                  <w:noWrap w:val="0"/>
                  <w:tcMar>
                    <w:top w:w="30" w:type="dxa"/>
                    <w:left w:w="150" w:type="dxa"/>
                    <w:bottom w:w="30" w:type="dxa"/>
                    <w:right w:w="150" w:type="dxa"/>
                  </w:tcMar>
                  <w:vAlign w:val="center"/>
                </w:tcPr>
                <w:p>
                  <w:pPr>
                    <w:spacing w:line="264" w:lineRule="auto"/>
                    <w:rPr>
                      <w:rFonts w:hint="eastAsia" w:ascii="宋体" w:hAnsi="宋体" w:cs="宋体"/>
                      <w:szCs w:val="21"/>
                      <w:highlight w:val="none"/>
                    </w:rPr>
                  </w:pPr>
                  <w:r>
                    <w:rPr>
                      <w:rFonts w:hint="eastAsia" w:ascii="宋体" w:hAnsi="宋体" w:cs="宋体"/>
                      <w:szCs w:val="21"/>
                      <w:highlight w:val="none"/>
                    </w:rPr>
                    <w:t>100以下</w:t>
                  </w:r>
                </w:p>
              </w:tc>
              <w:tc>
                <w:tcPr>
                  <w:tcW w:w="1614" w:type="dxa"/>
                  <w:noWrap w:val="0"/>
                  <w:tcMar>
                    <w:top w:w="30" w:type="dxa"/>
                    <w:left w:w="150" w:type="dxa"/>
                    <w:bottom w:w="30" w:type="dxa"/>
                    <w:right w:w="150" w:type="dxa"/>
                  </w:tcMar>
                  <w:vAlign w:val="center"/>
                </w:tcPr>
                <w:p>
                  <w:pPr>
                    <w:spacing w:line="264" w:lineRule="auto"/>
                    <w:rPr>
                      <w:rFonts w:hint="eastAsia" w:ascii="宋体" w:hAnsi="宋体" w:cs="宋体"/>
                      <w:szCs w:val="21"/>
                      <w:highlight w:val="none"/>
                    </w:rPr>
                  </w:pPr>
                  <w:r>
                    <w:rPr>
                      <w:rFonts w:hint="eastAsia" w:ascii="宋体" w:hAnsi="宋体" w:cs="宋体"/>
                      <w:szCs w:val="21"/>
                      <w:highlight w:val="none"/>
                    </w:rPr>
                    <w:t>1.5%</w:t>
                  </w:r>
                </w:p>
              </w:tc>
              <w:tc>
                <w:tcPr>
                  <w:tcW w:w="1446" w:type="dxa"/>
                  <w:noWrap w:val="0"/>
                  <w:tcMar>
                    <w:top w:w="30" w:type="dxa"/>
                    <w:left w:w="150" w:type="dxa"/>
                    <w:bottom w:w="30" w:type="dxa"/>
                    <w:right w:w="150" w:type="dxa"/>
                  </w:tcMar>
                  <w:vAlign w:val="center"/>
                </w:tcPr>
                <w:p>
                  <w:pPr>
                    <w:spacing w:line="264" w:lineRule="auto"/>
                    <w:rPr>
                      <w:rFonts w:hint="eastAsia" w:ascii="宋体" w:hAnsi="宋体" w:cs="宋体"/>
                      <w:szCs w:val="21"/>
                      <w:highlight w:val="none"/>
                    </w:rPr>
                  </w:pPr>
                  <w:r>
                    <w:rPr>
                      <w:rFonts w:hint="eastAsia" w:ascii="宋体" w:hAnsi="宋体" w:cs="宋体"/>
                      <w:szCs w:val="21"/>
                      <w:highlight w:val="none"/>
                    </w:rPr>
                    <w:t>1.5%</w:t>
                  </w:r>
                </w:p>
              </w:tc>
              <w:tc>
                <w:tcPr>
                  <w:tcW w:w="1488" w:type="dxa"/>
                  <w:noWrap w:val="0"/>
                  <w:tcMar>
                    <w:top w:w="30" w:type="dxa"/>
                    <w:left w:w="150" w:type="dxa"/>
                    <w:bottom w:w="30" w:type="dxa"/>
                    <w:right w:w="150" w:type="dxa"/>
                  </w:tcMar>
                  <w:vAlign w:val="center"/>
                </w:tcPr>
                <w:p>
                  <w:pPr>
                    <w:spacing w:line="264" w:lineRule="auto"/>
                    <w:rPr>
                      <w:rFonts w:hint="eastAsia" w:ascii="宋体" w:hAnsi="宋体" w:cs="宋体"/>
                      <w:szCs w:val="21"/>
                      <w:highlight w:val="none"/>
                    </w:rPr>
                  </w:pPr>
                  <w:r>
                    <w:rPr>
                      <w:rFonts w:hint="eastAsia" w:ascii="宋体" w:hAnsi="宋体" w:cs="宋体"/>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1" w:hRule="atLeast"/>
                <w:jc w:val="center"/>
              </w:trPr>
              <w:tc>
                <w:tcPr>
                  <w:tcW w:w="3229" w:type="dxa"/>
                  <w:noWrap w:val="0"/>
                  <w:tcMar>
                    <w:top w:w="30" w:type="dxa"/>
                    <w:left w:w="150" w:type="dxa"/>
                    <w:bottom w:w="30" w:type="dxa"/>
                    <w:right w:w="150" w:type="dxa"/>
                  </w:tcMar>
                  <w:vAlign w:val="center"/>
                </w:tcPr>
                <w:p>
                  <w:pPr>
                    <w:spacing w:line="264" w:lineRule="auto"/>
                    <w:rPr>
                      <w:rFonts w:hint="eastAsia" w:ascii="宋体" w:hAnsi="宋体" w:cs="宋体"/>
                      <w:szCs w:val="21"/>
                      <w:highlight w:val="none"/>
                    </w:rPr>
                  </w:pPr>
                  <w:r>
                    <w:rPr>
                      <w:rFonts w:hint="eastAsia" w:ascii="宋体" w:hAnsi="宋体" w:cs="宋体"/>
                      <w:szCs w:val="21"/>
                      <w:highlight w:val="none"/>
                    </w:rPr>
                    <w:t>100-500</w:t>
                  </w:r>
                </w:p>
              </w:tc>
              <w:tc>
                <w:tcPr>
                  <w:tcW w:w="1614" w:type="dxa"/>
                  <w:noWrap w:val="0"/>
                  <w:tcMar>
                    <w:top w:w="30" w:type="dxa"/>
                    <w:left w:w="150" w:type="dxa"/>
                    <w:bottom w:w="30" w:type="dxa"/>
                    <w:right w:w="150" w:type="dxa"/>
                  </w:tcMar>
                  <w:vAlign w:val="center"/>
                </w:tcPr>
                <w:p>
                  <w:pPr>
                    <w:spacing w:line="264" w:lineRule="auto"/>
                    <w:rPr>
                      <w:rFonts w:hint="eastAsia" w:ascii="宋体" w:hAnsi="宋体" w:cs="宋体"/>
                      <w:szCs w:val="21"/>
                      <w:highlight w:val="none"/>
                    </w:rPr>
                  </w:pPr>
                  <w:r>
                    <w:rPr>
                      <w:rFonts w:hint="eastAsia" w:ascii="宋体" w:hAnsi="宋体" w:cs="宋体"/>
                      <w:szCs w:val="21"/>
                      <w:highlight w:val="none"/>
                    </w:rPr>
                    <w:t>1.1%</w:t>
                  </w:r>
                </w:p>
              </w:tc>
              <w:tc>
                <w:tcPr>
                  <w:tcW w:w="1446" w:type="dxa"/>
                  <w:noWrap w:val="0"/>
                  <w:tcMar>
                    <w:top w:w="30" w:type="dxa"/>
                    <w:left w:w="150" w:type="dxa"/>
                    <w:bottom w:w="30" w:type="dxa"/>
                    <w:right w:w="150" w:type="dxa"/>
                  </w:tcMar>
                  <w:vAlign w:val="center"/>
                </w:tcPr>
                <w:p>
                  <w:pPr>
                    <w:spacing w:line="264" w:lineRule="auto"/>
                    <w:rPr>
                      <w:rFonts w:hint="eastAsia" w:ascii="宋体" w:hAnsi="宋体" w:cs="宋体"/>
                      <w:szCs w:val="21"/>
                      <w:highlight w:val="none"/>
                    </w:rPr>
                  </w:pPr>
                  <w:r>
                    <w:rPr>
                      <w:rFonts w:hint="eastAsia" w:ascii="宋体" w:hAnsi="宋体" w:cs="宋体"/>
                      <w:szCs w:val="21"/>
                      <w:highlight w:val="none"/>
                    </w:rPr>
                    <w:t>0.8%</w:t>
                  </w:r>
                </w:p>
              </w:tc>
              <w:tc>
                <w:tcPr>
                  <w:tcW w:w="1488" w:type="dxa"/>
                  <w:noWrap w:val="0"/>
                  <w:tcMar>
                    <w:top w:w="30" w:type="dxa"/>
                    <w:left w:w="150" w:type="dxa"/>
                    <w:bottom w:w="30" w:type="dxa"/>
                    <w:right w:w="150" w:type="dxa"/>
                  </w:tcMar>
                  <w:vAlign w:val="center"/>
                </w:tcPr>
                <w:p>
                  <w:pPr>
                    <w:spacing w:line="264" w:lineRule="auto"/>
                    <w:rPr>
                      <w:rFonts w:hint="eastAsia" w:ascii="宋体" w:hAnsi="宋体" w:cs="宋体"/>
                      <w:szCs w:val="21"/>
                      <w:highlight w:val="none"/>
                    </w:rPr>
                  </w:pPr>
                  <w:r>
                    <w:rPr>
                      <w:rFonts w:hint="eastAsia" w:ascii="宋体" w:hAnsi="宋体" w:cs="宋体"/>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1" w:hRule="atLeast"/>
                <w:jc w:val="center"/>
              </w:trPr>
              <w:tc>
                <w:tcPr>
                  <w:tcW w:w="3229" w:type="dxa"/>
                  <w:noWrap w:val="0"/>
                  <w:tcMar>
                    <w:top w:w="30" w:type="dxa"/>
                    <w:left w:w="150" w:type="dxa"/>
                    <w:bottom w:w="30" w:type="dxa"/>
                    <w:right w:w="150" w:type="dxa"/>
                  </w:tcMar>
                  <w:vAlign w:val="center"/>
                </w:tcPr>
                <w:p>
                  <w:pPr>
                    <w:spacing w:line="264" w:lineRule="auto"/>
                    <w:rPr>
                      <w:rFonts w:hint="eastAsia" w:ascii="宋体" w:hAnsi="宋体" w:cs="宋体"/>
                      <w:szCs w:val="21"/>
                      <w:highlight w:val="none"/>
                    </w:rPr>
                  </w:pPr>
                  <w:r>
                    <w:rPr>
                      <w:rFonts w:hint="eastAsia" w:ascii="宋体" w:hAnsi="宋体" w:cs="宋体"/>
                      <w:szCs w:val="21"/>
                      <w:highlight w:val="none"/>
                    </w:rPr>
                    <w:t>500-1000</w:t>
                  </w:r>
                </w:p>
              </w:tc>
              <w:tc>
                <w:tcPr>
                  <w:tcW w:w="1614" w:type="dxa"/>
                  <w:noWrap w:val="0"/>
                  <w:tcMar>
                    <w:top w:w="30" w:type="dxa"/>
                    <w:left w:w="150" w:type="dxa"/>
                    <w:bottom w:w="30" w:type="dxa"/>
                    <w:right w:w="150" w:type="dxa"/>
                  </w:tcMar>
                  <w:vAlign w:val="center"/>
                </w:tcPr>
                <w:p>
                  <w:pPr>
                    <w:spacing w:line="264" w:lineRule="auto"/>
                    <w:rPr>
                      <w:rFonts w:hint="eastAsia" w:ascii="宋体" w:hAnsi="宋体" w:cs="宋体"/>
                      <w:szCs w:val="21"/>
                      <w:highlight w:val="none"/>
                    </w:rPr>
                  </w:pPr>
                  <w:r>
                    <w:rPr>
                      <w:rFonts w:hint="eastAsia" w:ascii="宋体" w:hAnsi="宋体" w:cs="宋体"/>
                      <w:szCs w:val="21"/>
                      <w:highlight w:val="none"/>
                    </w:rPr>
                    <w:t>0.8%</w:t>
                  </w:r>
                </w:p>
              </w:tc>
              <w:tc>
                <w:tcPr>
                  <w:tcW w:w="1446" w:type="dxa"/>
                  <w:noWrap w:val="0"/>
                  <w:tcMar>
                    <w:top w:w="30" w:type="dxa"/>
                    <w:left w:w="150" w:type="dxa"/>
                    <w:bottom w:w="30" w:type="dxa"/>
                    <w:right w:w="150" w:type="dxa"/>
                  </w:tcMar>
                  <w:vAlign w:val="center"/>
                </w:tcPr>
                <w:p>
                  <w:pPr>
                    <w:spacing w:line="264" w:lineRule="auto"/>
                    <w:rPr>
                      <w:rFonts w:hint="eastAsia" w:ascii="宋体" w:hAnsi="宋体" w:cs="宋体"/>
                      <w:szCs w:val="21"/>
                      <w:highlight w:val="none"/>
                    </w:rPr>
                  </w:pPr>
                  <w:r>
                    <w:rPr>
                      <w:rFonts w:hint="eastAsia" w:ascii="宋体" w:hAnsi="宋体" w:cs="宋体"/>
                      <w:szCs w:val="21"/>
                      <w:highlight w:val="none"/>
                    </w:rPr>
                    <w:t>0.45%</w:t>
                  </w:r>
                </w:p>
              </w:tc>
              <w:tc>
                <w:tcPr>
                  <w:tcW w:w="1488" w:type="dxa"/>
                  <w:noWrap w:val="0"/>
                  <w:tcMar>
                    <w:top w:w="30" w:type="dxa"/>
                    <w:left w:w="150" w:type="dxa"/>
                    <w:bottom w:w="30" w:type="dxa"/>
                    <w:right w:w="150" w:type="dxa"/>
                  </w:tcMar>
                  <w:vAlign w:val="center"/>
                </w:tcPr>
                <w:p>
                  <w:pPr>
                    <w:spacing w:line="264" w:lineRule="auto"/>
                    <w:rPr>
                      <w:rFonts w:hint="eastAsia" w:ascii="宋体" w:hAnsi="宋体" w:cs="宋体"/>
                      <w:szCs w:val="21"/>
                      <w:highlight w:val="none"/>
                    </w:rPr>
                  </w:pPr>
                  <w:r>
                    <w:rPr>
                      <w:rFonts w:hint="eastAsia" w:ascii="宋体" w:hAnsi="宋体" w:cs="宋体"/>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1" w:hRule="atLeast"/>
                <w:jc w:val="center"/>
              </w:trPr>
              <w:tc>
                <w:tcPr>
                  <w:tcW w:w="3229" w:type="dxa"/>
                  <w:noWrap w:val="0"/>
                  <w:tcMar>
                    <w:top w:w="30" w:type="dxa"/>
                    <w:left w:w="150" w:type="dxa"/>
                    <w:bottom w:w="30" w:type="dxa"/>
                    <w:right w:w="150" w:type="dxa"/>
                  </w:tcMar>
                  <w:vAlign w:val="center"/>
                </w:tcPr>
                <w:p>
                  <w:pPr>
                    <w:spacing w:line="264" w:lineRule="auto"/>
                    <w:rPr>
                      <w:rFonts w:hint="eastAsia" w:ascii="宋体" w:hAnsi="宋体" w:cs="宋体"/>
                      <w:szCs w:val="21"/>
                      <w:highlight w:val="none"/>
                    </w:rPr>
                  </w:pPr>
                  <w:r>
                    <w:rPr>
                      <w:rFonts w:hint="eastAsia" w:ascii="宋体" w:hAnsi="宋体" w:cs="宋体"/>
                      <w:szCs w:val="21"/>
                      <w:highlight w:val="none"/>
                    </w:rPr>
                    <w:t>1000-5000</w:t>
                  </w:r>
                </w:p>
              </w:tc>
              <w:tc>
                <w:tcPr>
                  <w:tcW w:w="1614" w:type="dxa"/>
                  <w:noWrap w:val="0"/>
                  <w:tcMar>
                    <w:top w:w="30" w:type="dxa"/>
                    <w:left w:w="150" w:type="dxa"/>
                    <w:bottom w:w="30" w:type="dxa"/>
                    <w:right w:w="150" w:type="dxa"/>
                  </w:tcMar>
                  <w:vAlign w:val="center"/>
                </w:tcPr>
                <w:p>
                  <w:pPr>
                    <w:spacing w:line="264" w:lineRule="auto"/>
                    <w:rPr>
                      <w:rFonts w:hint="eastAsia" w:ascii="宋体" w:hAnsi="宋体" w:cs="宋体"/>
                      <w:szCs w:val="21"/>
                      <w:highlight w:val="none"/>
                    </w:rPr>
                  </w:pPr>
                  <w:r>
                    <w:rPr>
                      <w:rFonts w:hint="eastAsia" w:ascii="宋体" w:hAnsi="宋体" w:cs="宋体"/>
                      <w:szCs w:val="21"/>
                      <w:highlight w:val="none"/>
                    </w:rPr>
                    <w:t>0.5%</w:t>
                  </w:r>
                </w:p>
              </w:tc>
              <w:tc>
                <w:tcPr>
                  <w:tcW w:w="1446" w:type="dxa"/>
                  <w:noWrap w:val="0"/>
                  <w:tcMar>
                    <w:top w:w="30" w:type="dxa"/>
                    <w:left w:w="150" w:type="dxa"/>
                    <w:bottom w:w="30" w:type="dxa"/>
                    <w:right w:w="150" w:type="dxa"/>
                  </w:tcMar>
                  <w:vAlign w:val="center"/>
                </w:tcPr>
                <w:p>
                  <w:pPr>
                    <w:spacing w:line="264" w:lineRule="auto"/>
                    <w:rPr>
                      <w:rFonts w:hint="eastAsia" w:ascii="宋体" w:hAnsi="宋体" w:cs="宋体"/>
                      <w:szCs w:val="21"/>
                      <w:highlight w:val="none"/>
                    </w:rPr>
                  </w:pPr>
                  <w:r>
                    <w:rPr>
                      <w:rFonts w:hint="eastAsia" w:ascii="宋体" w:hAnsi="宋体" w:cs="宋体"/>
                      <w:szCs w:val="21"/>
                      <w:highlight w:val="none"/>
                    </w:rPr>
                    <w:t>0.25%</w:t>
                  </w:r>
                </w:p>
              </w:tc>
              <w:tc>
                <w:tcPr>
                  <w:tcW w:w="1488" w:type="dxa"/>
                  <w:noWrap w:val="0"/>
                  <w:tcMar>
                    <w:top w:w="30" w:type="dxa"/>
                    <w:left w:w="150" w:type="dxa"/>
                    <w:bottom w:w="30" w:type="dxa"/>
                    <w:right w:w="150" w:type="dxa"/>
                  </w:tcMar>
                  <w:vAlign w:val="center"/>
                </w:tcPr>
                <w:p>
                  <w:pPr>
                    <w:spacing w:line="264" w:lineRule="auto"/>
                    <w:rPr>
                      <w:rFonts w:hint="eastAsia" w:ascii="宋体" w:hAnsi="宋体" w:cs="宋体"/>
                      <w:szCs w:val="21"/>
                      <w:highlight w:val="none"/>
                    </w:rPr>
                  </w:pPr>
                  <w:r>
                    <w:rPr>
                      <w:rFonts w:hint="eastAsia" w:ascii="宋体" w:hAnsi="宋体" w:cs="宋体"/>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1" w:hRule="atLeast"/>
                <w:jc w:val="center"/>
              </w:trPr>
              <w:tc>
                <w:tcPr>
                  <w:tcW w:w="3229" w:type="dxa"/>
                  <w:noWrap w:val="0"/>
                  <w:tcMar>
                    <w:top w:w="30" w:type="dxa"/>
                    <w:left w:w="150" w:type="dxa"/>
                    <w:bottom w:w="30" w:type="dxa"/>
                    <w:right w:w="150" w:type="dxa"/>
                  </w:tcMar>
                  <w:vAlign w:val="center"/>
                </w:tcPr>
                <w:p>
                  <w:pPr>
                    <w:spacing w:line="264" w:lineRule="auto"/>
                    <w:rPr>
                      <w:rFonts w:hint="eastAsia" w:ascii="宋体" w:hAnsi="宋体" w:cs="宋体"/>
                      <w:szCs w:val="21"/>
                      <w:highlight w:val="none"/>
                    </w:rPr>
                  </w:pPr>
                  <w:r>
                    <w:rPr>
                      <w:rFonts w:hint="eastAsia" w:ascii="宋体" w:hAnsi="宋体" w:cs="宋体"/>
                      <w:szCs w:val="21"/>
                      <w:highlight w:val="none"/>
                    </w:rPr>
                    <w:t>5000-10000</w:t>
                  </w:r>
                </w:p>
              </w:tc>
              <w:tc>
                <w:tcPr>
                  <w:tcW w:w="1614" w:type="dxa"/>
                  <w:noWrap w:val="0"/>
                  <w:tcMar>
                    <w:top w:w="30" w:type="dxa"/>
                    <w:left w:w="150" w:type="dxa"/>
                    <w:bottom w:w="30" w:type="dxa"/>
                    <w:right w:w="150" w:type="dxa"/>
                  </w:tcMar>
                  <w:vAlign w:val="center"/>
                </w:tcPr>
                <w:p>
                  <w:pPr>
                    <w:spacing w:line="264" w:lineRule="auto"/>
                    <w:rPr>
                      <w:rFonts w:hint="eastAsia" w:ascii="宋体" w:hAnsi="宋体" w:cs="宋体"/>
                      <w:szCs w:val="21"/>
                      <w:highlight w:val="none"/>
                    </w:rPr>
                  </w:pPr>
                  <w:r>
                    <w:rPr>
                      <w:rFonts w:hint="eastAsia" w:ascii="宋体" w:hAnsi="宋体" w:cs="宋体"/>
                      <w:szCs w:val="21"/>
                      <w:highlight w:val="none"/>
                    </w:rPr>
                    <w:t>0.25%</w:t>
                  </w:r>
                </w:p>
              </w:tc>
              <w:tc>
                <w:tcPr>
                  <w:tcW w:w="1446" w:type="dxa"/>
                  <w:noWrap w:val="0"/>
                  <w:tcMar>
                    <w:top w:w="30" w:type="dxa"/>
                    <w:left w:w="150" w:type="dxa"/>
                    <w:bottom w:w="30" w:type="dxa"/>
                    <w:right w:w="150" w:type="dxa"/>
                  </w:tcMar>
                  <w:vAlign w:val="center"/>
                </w:tcPr>
                <w:p>
                  <w:pPr>
                    <w:spacing w:line="264" w:lineRule="auto"/>
                    <w:rPr>
                      <w:rFonts w:hint="eastAsia" w:ascii="宋体" w:hAnsi="宋体" w:cs="宋体"/>
                      <w:szCs w:val="21"/>
                      <w:highlight w:val="none"/>
                    </w:rPr>
                  </w:pPr>
                  <w:r>
                    <w:rPr>
                      <w:rFonts w:hint="eastAsia" w:ascii="宋体" w:hAnsi="宋体" w:cs="宋体"/>
                      <w:szCs w:val="21"/>
                      <w:highlight w:val="none"/>
                    </w:rPr>
                    <w:t>0.1%</w:t>
                  </w:r>
                </w:p>
              </w:tc>
              <w:tc>
                <w:tcPr>
                  <w:tcW w:w="1488" w:type="dxa"/>
                  <w:noWrap w:val="0"/>
                  <w:tcMar>
                    <w:top w:w="30" w:type="dxa"/>
                    <w:left w:w="150" w:type="dxa"/>
                    <w:bottom w:w="30" w:type="dxa"/>
                    <w:right w:w="150" w:type="dxa"/>
                  </w:tcMar>
                  <w:vAlign w:val="center"/>
                </w:tcPr>
                <w:p>
                  <w:pPr>
                    <w:spacing w:line="264" w:lineRule="auto"/>
                    <w:rPr>
                      <w:rFonts w:hint="eastAsia" w:ascii="宋体" w:hAnsi="宋体" w:cs="宋体"/>
                      <w:szCs w:val="21"/>
                      <w:highlight w:val="none"/>
                    </w:rPr>
                  </w:pPr>
                  <w:r>
                    <w:rPr>
                      <w:rFonts w:hint="eastAsia" w:ascii="宋体" w:hAnsi="宋体" w:cs="宋体"/>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6" w:hRule="atLeast"/>
                <w:jc w:val="center"/>
              </w:trPr>
              <w:tc>
                <w:tcPr>
                  <w:tcW w:w="3229" w:type="dxa"/>
                  <w:noWrap w:val="0"/>
                  <w:tcMar>
                    <w:top w:w="30" w:type="dxa"/>
                    <w:left w:w="150" w:type="dxa"/>
                    <w:bottom w:w="30" w:type="dxa"/>
                    <w:right w:w="150" w:type="dxa"/>
                  </w:tcMar>
                  <w:vAlign w:val="center"/>
                </w:tcPr>
                <w:p>
                  <w:pPr>
                    <w:spacing w:line="264" w:lineRule="auto"/>
                    <w:rPr>
                      <w:rFonts w:hint="eastAsia" w:ascii="宋体" w:hAnsi="宋体" w:cs="宋体"/>
                      <w:szCs w:val="21"/>
                      <w:highlight w:val="none"/>
                    </w:rPr>
                  </w:pPr>
                  <w:r>
                    <w:rPr>
                      <w:rFonts w:hint="eastAsia" w:ascii="宋体" w:hAnsi="宋体" w:cs="宋体"/>
                      <w:szCs w:val="21"/>
                      <w:highlight w:val="none"/>
                    </w:rPr>
                    <w:t>1亿～5亿</w:t>
                  </w:r>
                </w:p>
              </w:tc>
              <w:tc>
                <w:tcPr>
                  <w:tcW w:w="1614" w:type="dxa"/>
                  <w:noWrap w:val="0"/>
                  <w:tcMar>
                    <w:top w:w="30" w:type="dxa"/>
                    <w:left w:w="150" w:type="dxa"/>
                    <w:bottom w:w="30" w:type="dxa"/>
                    <w:right w:w="150" w:type="dxa"/>
                  </w:tcMar>
                  <w:vAlign w:val="center"/>
                </w:tcPr>
                <w:p>
                  <w:pPr>
                    <w:spacing w:line="264" w:lineRule="auto"/>
                    <w:rPr>
                      <w:rFonts w:hint="eastAsia" w:ascii="宋体" w:hAnsi="宋体" w:cs="宋体"/>
                      <w:szCs w:val="21"/>
                      <w:highlight w:val="none"/>
                    </w:rPr>
                  </w:pPr>
                  <w:r>
                    <w:rPr>
                      <w:rFonts w:hint="eastAsia" w:ascii="宋体" w:hAnsi="宋体" w:cs="宋体"/>
                      <w:szCs w:val="21"/>
                      <w:highlight w:val="none"/>
                    </w:rPr>
                    <w:t>0.05%</w:t>
                  </w:r>
                </w:p>
              </w:tc>
              <w:tc>
                <w:tcPr>
                  <w:tcW w:w="1446" w:type="dxa"/>
                  <w:noWrap w:val="0"/>
                  <w:tcMar>
                    <w:top w:w="30" w:type="dxa"/>
                    <w:left w:w="150" w:type="dxa"/>
                    <w:bottom w:w="30" w:type="dxa"/>
                    <w:right w:w="150" w:type="dxa"/>
                  </w:tcMar>
                  <w:vAlign w:val="center"/>
                </w:tcPr>
                <w:p>
                  <w:pPr>
                    <w:spacing w:line="264" w:lineRule="auto"/>
                    <w:rPr>
                      <w:rFonts w:hint="eastAsia" w:ascii="宋体" w:hAnsi="宋体" w:cs="宋体"/>
                      <w:szCs w:val="21"/>
                      <w:highlight w:val="none"/>
                    </w:rPr>
                  </w:pPr>
                  <w:r>
                    <w:rPr>
                      <w:rFonts w:hint="eastAsia" w:ascii="宋体" w:hAnsi="宋体" w:cs="宋体"/>
                      <w:szCs w:val="21"/>
                      <w:highlight w:val="none"/>
                    </w:rPr>
                    <w:t>0.05%</w:t>
                  </w:r>
                </w:p>
              </w:tc>
              <w:tc>
                <w:tcPr>
                  <w:tcW w:w="1488" w:type="dxa"/>
                  <w:noWrap w:val="0"/>
                  <w:tcMar>
                    <w:top w:w="30" w:type="dxa"/>
                    <w:left w:w="150" w:type="dxa"/>
                    <w:bottom w:w="30" w:type="dxa"/>
                    <w:right w:w="150" w:type="dxa"/>
                  </w:tcMar>
                  <w:vAlign w:val="center"/>
                </w:tcPr>
                <w:p>
                  <w:pPr>
                    <w:spacing w:line="264" w:lineRule="auto"/>
                    <w:rPr>
                      <w:rFonts w:hint="eastAsia" w:ascii="宋体" w:hAnsi="宋体" w:cs="宋体"/>
                      <w:szCs w:val="21"/>
                      <w:highlight w:val="none"/>
                    </w:rPr>
                  </w:pPr>
                  <w:r>
                    <w:rPr>
                      <w:rFonts w:hint="eastAsia" w:ascii="宋体" w:hAnsi="宋体" w:cs="宋体"/>
                      <w:szCs w:val="21"/>
                      <w:highlight w:val="none"/>
                    </w:rPr>
                    <w:t>0.05%</w:t>
                  </w:r>
                </w:p>
              </w:tc>
            </w:tr>
          </w:tbl>
          <w:p>
            <w:pPr>
              <w:spacing w:line="264" w:lineRule="auto"/>
              <w:rPr>
                <w:rFonts w:ascii="宋体" w:hAnsi="宋体" w:cs="宋体"/>
                <w:szCs w:val="21"/>
                <w:highlight w:val="none"/>
              </w:rPr>
            </w:pPr>
            <w:r>
              <w:rPr>
                <w:rFonts w:hint="eastAsia" w:ascii="宋体" w:hAnsi="宋体" w:cs="宋体"/>
                <w:szCs w:val="21"/>
                <w:highlight w:val="none"/>
              </w:rPr>
              <w:t>。</w:t>
            </w:r>
            <w:r>
              <w:rPr>
                <w:rFonts w:hint="eastAsia" w:ascii="宋体" w:hAnsi="宋体" w:cs="宋体"/>
                <w:snapToGrid w:val="0"/>
                <w:szCs w:val="21"/>
                <w:highlight w:val="none"/>
              </w:rPr>
              <w:t>备注：（1）</w:t>
            </w:r>
            <w:r>
              <w:rPr>
                <w:rFonts w:hint="eastAsia" w:ascii="宋体" w:hAnsi="宋体" w:cs="宋体"/>
                <w:szCs w:val="21"/>
                <w:highlight w:val="none"/>
                <w:lang w:val="en-US" w:eastAsia="zh-CN"/>
              </w:rPr>
              <w:t>中标服务费</w:t>
            </w:r>
            <w:r>
              <w:rPr>
                <w:rFonts w:hint="eastAsia" w:ascii="宋体" w:hAnsi="宋体" w:cs="宋体"/>
                <w:snapToGrid w:val="0"/>
                <w:szCs w:val="21"/>
                <w:highlight w:val="none"/>
              </w:rPr>
              <w:t>只收现金、银行票汇款、电汇款。（2）中标人接到本公司通知后5个工作日内向本采购代理机构支付</w:t>
            </w:r>
            <w:r>
              <w:rPr>
                <w:rFonts w:hint="eastAsia" w:ascii="宋体" w:hAnsi="宋体" w:cs="宋体"/>
                <w:szCs w:val="21"/>
                <w:highlight w:val="none"/>
                <w:lang w:val="en-US" w:eastAsia="zh-CN"/>
              </w:rPr>
              <w:t>中标服务费</w:t>
            </w:r>
            <w:r>
              <w:rPr>
                <w:rFonts w:hint="eastAsia" w:ascii="宋体" w:hAnsi="宋体" w:cs="宋体"/>
                <w:snapToGrid w:val="0"/>
                <w:szCs w:val="21"/>
                <w:highlight w:val="none"/>
              </w:rPr>
              <w:t>并领取中标通知书（根据中标人需求可采用邮寄或到采购代理机构现场领取）。（3）</w:t>
            </w:r>
            <w:r>
              <w:rPr>
                <w:rFonts w:hint="eastAsia" w:ascii="宋体" w:hAnsi="宋体" w:cs="宋体"/>
                <w:szCs w:val="21"/>
                <w:highlight w:val="none"/>
              </w:rPr>
              <w:t>采购代理机构财务信息：</w:t>
            </w:r>
          </w:p>
          <w:p>
            <w:pPr>
              <w:spacing w:line="264" w:lineRule="auto"/>
              <w:ind w:firstLine="420" w:firstLineChars="200"/>
              <w:rPr>
                <w:rFonts w:ascii="宋体" w:hAnsi="宋体" w:cs="宋体"/>
                <w:szCs w:val="21"/>
                <w:highlight w:val="none"/>
              </w:rPr>
            </w:pPr>
            <w:r>
              <w:rPr>
                <w:rFonts w:hint="eastAsia" w:ascii="宋体" w:hAnsi="宋体" w:cs="宋体"/>
                <w:szCs w:val="21"/>
                <w:highlight w:val="none"/>
              </w:rPr>
              <w:t>开户银行：宁波银行股份有限公司鄞州中心区支行</w:t>
            </w:r>
          </w:p>
          <w:p>
            <w:pPr>
              <w:spacing w:line="264" w:lineRule="auto"/>
              <w:ind w:firstLine="420" w:firstLineChars="200"/>
              <w:rPr>
                <w:rFonts w:ascii="宋体" w:hAnsi="宋体" w:cs="宋体"/>
                <w:szCs w:val="21"/>
                <w:highlight w:val="none"/>
              </w:rPr>
            </w:pPr>
            <w:r>
              <w:rPr>
                <w:rFonts w:hint="eastAsia" w:ascii="宋体" w:hAnsi="宋体" w:cs="宋体"/>
                <w:szCs w:val="21"/>
                <w:highlight w:val="none"/>
              </w:rPr>
              <w:t>账    号：30010122001229488</w:t>
            </w:r>
          </w:p>
          <w:p>
            <w:pPr>
              <w:spacing w:line="264" w:lineRule="auto"/>
              <w:ind w:firstLine="420" w:firstLineChars="200"/>
              <w:rPr>
                <w:rFonts w:ascii="宋体" w:hAnsi="宋体" w:cs="宋体"/>
                <w:b/>
                <w:bCs/>
                <w:szCs w:val="21"/>
                <w:highlight w:val="none"/>
              </w:rPr>
            </w:pPr>
            <w:r>
              <w:rPr>
                <w:rFonts w:hint="eastAsia" w:ascii="宋体" w:hAnsi="宋体" w:cs="宋体"/>
                <w:szCs w:val="21"/>
                <w:highlight w:val="none"/>
              </w:rPr>
              <w:t>户    名：浙江中基正采管理咨询有限公司</w:t>
            </w:r>
          </w:p>
        </w:tc>
      </w:tr>
    </w:tbl>
    <w:p>
      <w:pPr>
        <w:pStyle w:val="27"/>
        <w:snapToGrid w:val="0"/>
        <w:spacing w:beforeLines="0" w:afterLines="0" w:line="360" w:lineRule="auto"/>
        <w:rPr>
          <w:rFonts w:hint="default" w:hAnsi="宋体" w:cs="宋体"/>
          <w:b/>
          <w:highlight w:val="none"/>
        </w:rPr>
      </w:pPr>
      <w:r>
        <w:rPr>
          <w:rFonts w:hAnsi="宋体" w:cs="宋体"/>
          <w:b/>
          <w:highlight w:val="none"/>
        </w:rPr>
        <w:br w:type="page"/>
      </w:r>
      <w:r>
        <w:rPr>
          <w:rFonts w:hAnsi="宋体" w:cs="宋体"/>
          <w:b/>
          <w:highlight w:val="none"/>
        </w:rPr>
        <w:t>一   总  则</w:t>
      </w:r>
    </w:p>
    <w:p>
      <w:pPr>
        <w:snapToGrid w:val="0"/>
        <w:spacing w:line="360" w:lineRule="auto"/>
        <w:ind w:firstLine="413" w:firstLineChars="196"/>
        <w:jc w:val="left"/>
        <w:rPr>
          <w:rFonts w:ascii="宋体" w:hAnsi="宋体" w:cs="宋体"/>
          <w:b/>
          <w:szCs w:val="21"/>
          <w:highlight w:val="none"/>
        </w:rPr>
      </w:pPr>
      <w:bookmarkStart w:id="33" w:name="_Toc1476"/>
      <w:r>
        <w:rPr>
          <w:rFonts w:hint="eastAsia" w:ascii="宋体" w:hAnsi="宋体" w:cs="宋体"/>
          <w:b/>
          <w:szCs w:val="21"/>
          <w:highlight w:val="none"/>
        </w:rPr>
        <w:t>（一） 适用范围</w:t>
      </w:r>
      <w:bookmarkEnd w:id="33"/>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本招标文件适用于本项目的招标、投标、评标、定标、验收、合同履约、付款等行为（法律、法规另有规定的，从其规定）。除非另有规定和说明，本须知中的“供应商”一词亦指联合体各方。</w:t>
      </w:r>
    </w:p>
    <w:p>
      <w:pPr>
        <w:snapToGrid w:val="0"/>
        <w:spacing w:line="360" w:lineRule="auto"/>
        <w:ind w:firstLine="310" w:firstLineChars="147"/>
        <w:jc w:val="left"/>
        <w:rPr>
          <w:rFonts w:ascii="宋体" w:hAnsi="宋体" w:cs="宋体"/>
          <w:b/>
          <w:szCs w:val="21"/>
          <w:highlight w:val="none"/>
        </w:rPr>
      </w:pPr>
      <w:bookmarkStart w:id="34" w:name="_Toc7571"/>
      <w:r>
        <w:rPr>
          <w:rFonts w:hint="eastAsia" w:ascii="宋体" w:hAnsi="宋体" w:cs="宋体"/>
          <w:b/>
          <w:szCs w:val="21"/>
          <w:highlight w:val="none"/>
        </w:rPr>
        <w:t>（二）定义</w:t>
      </w:r>
      <w:bookmarkEnd w:id="34"/>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1、“招标采购单位”系指组织本次招标的采购代理机构和采购人。</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2、“供应商”系指向采购人提交投标文件的单位或个人。</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3、“产品”系指供应商按招标文件规定，须向采购人提供的一切设备、保险、税金、备品备件、工具、手册及其它有关技术资料和材料。</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4、“服务”系指招标文件规定供应商须承担的安装、调试、技术协助、校准、培训、技术指导以及其他类似的义务。</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5、“项目”系指供应商按招标文件规定向采购人提供的产品和服务。</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6、“书面形式”包括信函、传真、电函等。</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7、“★”系指实质性要求条款，供应商的投标对任何带“★”号的重要商务和技术条款的偏离和未作实质性响应都将直接导致投标无效。</w:t>
      </w:r>
    </w:p>
    <w:p>
      <w:pPr>
        <w:snapToGrid w:val="0"/>
        <w:spacing w:line="360" w:lineRule="auto"/>
        <w:ind w:firstLine="413" w:firstLineChars="196"/>
        <w:jc w:val="left"/>
        <w:rPr>
          <w:rFonts w:ascii="宋体" w:hAnsi="宋体" w:cs="宋体"/>
          <w:b/>
          <w:szCs w:val="21"/>
          <w:highlight w:val="none"/>
        </w:rPr>
      </w:pPr>
      <w:bookmarkStart w:id="35" w:name="_Toc20685"/>
      <w:r>
        <w:rPr>
          <w:rFonts w:hint="eastAsia" w:ascii="宋体" w:hAnsi="宋体" w:cs="宋体"/>
          <w:b/>
          <w:szCs w:val="21"/>
          <w:highlight w:val="none"/>
        </w:rPr>
        <w:t>（三）招标方式</w:t>
      </w:r>
      <w:bookmarkEnd w:id="35"/>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本次招标采用公开招标方式进行。</w:t>
      </w:r>
    </w:p>
    <w:p>
      <w:pPr>
        <w:snapToGrid w:val="0"/>
        <w:spacing w:line="360" w:lineRule="auto"/>
        <w:ind w:firstLine="413" w:firstLineChars="196"/>
        <w:jc w:val="left"/>
        <w:rPr>
          <w:rFonts w:ascii="宋体" w:hAnsi="宋体" w:cs="宋体"/>
          <w:b/>
          <w:szCs w:val="21"/>
          <w:highlight w:val="none"/>
        </w:rPr>
      </w:pPr>
      <w:bookmarkStart w:id="36" w:name="_Toc21721"/>
      <w:r>
        <w:rPr>
          <w:rFonts w:hint="eastAsia" w:ascii="宋体" w:hAnsi="宋体" w:cs="宋体"/>
          <w:b/>
          <w:szCs w:val="21"/>
          <w:highlight w:val="none"/>
        </w:rPr>
        <w:t>（四）投标委托</w:t>
      </w:r>
      <w:bookmarkEnd w:id="36"/>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如供应商派授权代表出席开标会议，授权代表须携带有效身份证件。如供应商代表不是法定代表人，须有法定代表人出具的授权委托书（正本用原件，副本用复印件，格式见第六章）。</w:t>
      </w:r>
    </w:p>
    <w:p>
      <w:pPr>
        <w:snapToGrid w:val="0"/>
        <w:spacing w:line="360" w:lineRule="auto"/>
        <w:ind w:firstLine="413" w:firstLineChars="196"/>
        <w:jc w:val="left"/>
        <w:rPr>
          <w:rFonts w:ascii="宋体" w:hAnsi="宋体" w:cs="宋体"/>
          <w:b/>
          <w:szCs w:val="21"/>
          <w:highlight w:val="none"/>
        </w:rPr>
      </w:pPr>
      <w:bookmarkStart w:id="37" w:name="_Toc1659"/>
      <w:r>
        <w:rPr>
          <w:rFonts w:hint="eastAsia" w:ascii="宋体" w:hAnsi="宋体" w:cs="宋体"/>
          <w:b/>
          <w:szCs w:val="21"/>
          <w:highlight w:val="none"/>
        </w:rPr>
        <w:t>（五）投标费用</w:t>
      </w:r>
      <w:bookmarkEnd w:id="37"/>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不论投标结果如何，供应商均应自行承担所有与投标有关的全部费用（招标文件有其他规定除外）。</w:t>
      </w:r>
    </w:p>
    <w:p>
      <w:pPr>
        <w:snapToGrid w:val="0"/>
        <w:spacing w:line="360" w:lineRule="auto"/>
        <w:ind w:firstLine="413" w:firstLineChars="196"/>
        <w:jc w:val="left"/>
        <w:rPr>
          <w:rFonts w:ascii="宋体" w:hAnsi="宋体" w:cs="宋体"/>
          <w:b/>
          <w:szCs w:val="21"/>
          <w:highlight w:val="none"/>
        </w:rPr>
      </w:pPr>
      <w:r>
        <w:rPr>
          <w:rFonts w:hint="eastAsia" w:ascii="宋体" w:hAnsi="宋体" w:cs="宋体"/>
          <w:b/>
          <w:szCs w:val="21"/>
          <w:highlight w:val="none"/>
        </w:rPr>
        <w:t>（六）联合体投标</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本项目允许联合体投标。</w:t>
      </w:r>
    </w:p>
    <w:p>
      <w:pPr>
        <w:snapToGrid w:val="0"/>
        <w:spacing w:line="360" w:lineRule="auto"/>
        <w:ind w:firstLine="413" w:firstLineChars="196"/>
        <w:rPr>
          <w:rFonts w:ascii="宋体" w:hAnsi="宋体" w:cs="宋体"/>
          <w:b/>
          <w:kern w:val="0"/>
          <w:szCs w:val="21"/>
          <w:highlight w:val="none"/>
        </w:rPr>
      </w:pPr>
      <w:r>
        <w:rPr>
          <w:rFonts w:hint="eastAsia" w:ascii="宋体" w:hAnsi="宋体" w:cs="宋体"/>
          <w:b/>
          <w:szCs w:val="21"/>
          <w:highlight w:val="none"/>
        </w:rPr>
        <w:t>（七）</w:t>
      </w:r>
      <w:r>
        <w:rPr>
          <w:rFonts w:hint="eastAsia" w:ascii="宋体" w:hAnsi="宋体" w:cs="宋体"/>
          <w:b/>
          <w:kern w:val="0"/>
          <w:szCs w:val="21"/>
          <w:highlight w:val="none"/>
        </w:rPr>
        <w:t>转包与分包</w:t>
      </w:r>
    </w:p>
    <w:p>
      <w:pPr>
        <w:snapToGrid w:val="0"/>
        <w:spacing w:line="360" w:lineRule="auto"/>
        <w:ind w:firstLine="411" w:firstLineChars="196"/>
        <w:rPr>
          <w:rFonts w:ascii="宋体" w:hAnsi="宋体" w:cs="宋体"/>
          <w:b/>
          <w:kern w:val="0"/>
          <w:szCs w:val="21"/>
          <w:highlight w:val="none"/>
        </w:rPr>
      </w:pPr>
      <w:r>
        <w:rPr>
          <w:rFonts w:hint="eastAsia" w:ascii="宋体" w:hAnsi="宋体" w:cs="宋体"/>
          <w:kern w:val="0"/>
          <w:szCs w:val="21"/>
          <w:highlight w:val="none"/>
        </w:rPr>
        <w:t>本项目不允许转包；未经采购人同意不得分包。</w:t>
      </w:r>
    </w:p>
    <w:p>
      <w:pPr>
        <w:snapToGrid w:val="0"/>
        <w:spacing w:line="360" w:lineRule="auto"/>
        <w:ind w:firstLine="413" w:firstLineChars="196"/>
        <w:jc w:val="left"/>
        <w:rPr>
          <w:rFonts w:ascii="宋体" w:hAnsi="宋体" w:cs="宋体"/>
          <w:b/>
          <w:szCs w:val="21"/>
          <w:highlight w:val="none"/>
        </w:rPr>
      </w:pPr>
      <w:bookmarkStart w:id="38" w:name="_Toc13174"/>
      <w:r>
        <w:rPr>
          <w:rFonts w:hint="eastAsia" w:ascii="宋体" w:hAnsi="宋体" w:cs="宋体"/>
          <w:b/>
          <w:szCs w:val="21"/>
          <w:highlight w:val="none"/>
        </w:rPr>
        <w:t>（八）特别说明：</w:t>
      </w:r>
      <w:bookmarkEnd w:id="38"/>
    </w:p>
    <w:p>
      <w:pPr>
        <w:pStyle w:val="27"/>
        <w:snapToGrid w:val="0"/>
        <w:spacing w:beforeLines="0" w:afterLines="0" w:line="360" w:lineRule="auto"/>
        <w:ind w:left="2" w:leftChars="1" w:firstLine="420" w:firstLineChars="200"/>
        <w:rPr>
          <w:rFonts w:hint="default" w:hAnsi="宋体" w:cs="宋体"/>
          <w:bCs/>
          <w:highlight w:val="none"/>
        </w:rPr>
      </w:pPr>
      <w:r>
        <w:rPr>
          <w:rFonts w:hAnsi="宋体" w:cs="宋体"/>
          <w:bCs/>
          <w:highlight w:val="none"/>
        </w:rPr>
        <w:t>1、提供相同品牌产品且通过资格审查、符合性审查的不同供应商参加同一合同项下投标的，按一家供应商计算。(如适用)</w:t>
      </w:r>
    </w:p>
    <w:p>
      <w:pPr>
        <w:pStyle w:val="27"/>
        <w:snapToGrid w:val="0"/>
        <w:spacing w:beforeLines="0" w:afterLines="0" w:line="360" w:lineRule="auto"/>
        <w:ind w:left="2" w:leftChars="1" w:firstLine="420" w:firstLineChars="200"/>
        <w:rPr>
          <w:rFonts w:hint="default" w:hAnsi="宋体" w:cs="宋体"/>
          <w:bCs/>
          <w:highlight w:val="none"/>
        </w:rPr>
      </w:pPr>
      <w:r>
        <w:rPr>
          <w:rFonts w:hAnsi="宋体" w:cs="宋体"/>
          <w:bCs/>
          <w:highlight w:val="none"/>
        </w:rPr>
        <w:t>若采用综合评分法进行评审的，评审后得分最高的同品牌供应商获得中标人推荐资格；评审得分相同的，由评标委员会按照招标文件规定的方式确定一个供应商获得中标人的推荐资格，招标文件未规定的采取随机抽取的方式确定，其他同品牌供应商不作为中标候选人。</w:t>
      </w:r>
    </w:p>
    <w:p>
      <w:pPr>
        <w:pStyle w:val="27"/>
        <w:snapToGrid w:val="0"/>
        <w:spacing w:beforeLines="0" w:afterLines="0" w:line="360" w:lineRule="auto"/>
        <w:ind w:left="2" w:leftChars="1" w:firstLine="420" w:firstLineChars="200"/>
        <w:rPr>
          <w:rFonts w:hint="default" w:hAnsi="宋体" w:cs="宋体"/>
          <w:bCs/>
          <w:highlight w:val="none"/>
        </w:rPr>
      </w:pPr>
      <w:r>
        <w:rPr>
          <w:rFonts w:hAnsi="宋体" w:cs="宋体"/>
          <w:bCs/>
          <w:highlight w:val="none"/>
        </w:rPr>
        <w:t>非单一产品采购项目，供应商使用相同制造产品（相同制造产品是指招标文件中指定的“核心产品”）作为其项目的一部分，按一家供应商认定。</w:t>
      </w:r>
    </w:p>
    <w:p>
      <w:pPr>
        <w:pStyle w:val="27"/>
        <w:snapToGrid w:val="0"/>
        <w:spacing w:beforeLines="0" w:afterLines="0" w:line="360" w:lineRule="auto"/>
        <w:ind w:left="2" w:leftChars="1" w:firstLine="420" w:firstLineChars="200"/>
        <w:rPr>
          <w:rFonts w:hint="default" w:hAnsi="宋体" w:cs="宋体"/>
          <w:bCs/>
          <w:highlight w:val="none"/>
        </w:rPr>
      </w:pPr>
      <w:r>
        <w:rPr>
          <w:rFonts w:hAnsi="宋体" w:cs="宋体"/>
          <w:bCs/>
          <w:highlight w:val="none"/>
        </w:rPr>
        <w:t>2、供应商在投标活动中提供任何虚假材料,其投标无效，并报监管部门查处；中标后发现的,中标人须依照相关规定赔偿采购人，且民事赔偿并不免除违法供应商的行政与刑事责任。</w:t>
      </w:r>
    </w:p>
    <w:p>
      <w:pPr>
        <w:pStyle w:val="27"/>
        <w:snapToGrid w:val="0"/>
        <w:spacing w:beforeLines="0" w:afterLines="0" w:line="360" w:lineRule="auto"/>
        <w:ind w:left="2" w:leftChars="1" w:firstLine="420" w:firstLineChars="200"/>
        <w:rPr>
          <w:rFonts w:hint="default" w:hAnsi="宋体" w:cs="宋体"/>
          <w:bCs/>
          <w:highlight w:val="none"/>
        </w:rPr>
      </w:pPr>
      <w:r>
        <w:rPr>
          <w:rFonts w:hAnsi="宋体" w:cs="宋体"/>
          <w:bCs/>
          <w:highlight w:val="none"/>
        </w:rPr>
        <w:t xml:space="preserve">3、招标文件的澄清与修改 </w:t>
      </w:r>
    </w:p>
    <w:p>
      <w:pPr>
        <w:pStyle w:val="27"/>
        <w:snapToGrid w:val="0"/>
        <w:spacing w:beforeLines="0" w:afterLines="0" w:line="360" w:lineRule="auto"/>
        <w:ind w:left="2" w:leftChars="1" w:firstLine="420" w:firstLineChars="200"/>
        <w:rPr>
          <w:rFonts w:hint="default" w:hAnsi="宋体" w:cs="宋体"/>
          <w:bCs/>
          <w:highlight w:val="none"/>
        </w:rPr>
      </w:pPr>
      <w:r>
        <w:rPr>
          <w:rFonts w:hAnsi="宋体" w:cs="宋体"/>
          <w:bCs/>
          <w:highlight w:val="none"/>
        </w:rPr>
        <w:t>（1）采购人或者采购代理机构对招标文件进行必要的澄清或者修改的，澄清或者修改在原公告发布媒体上发布澄清公告。澄清或者修改的内容可能影响投标文件编制的，澄清公告</w:t>
      </w:r>
      <w:r>
        <w:rPr>
          <w:rFonts w:hAnsi="宋体" w:cs="宋体"/>
          <w:kern w:val="1"/>
          <w:highlight w:val="none"/>
        </w:rPr>
        <w:t>在投标截止时间至少15日前发出；</w:t>
      </w:r>
      <w:r>
        <w:rPr>
          <w:rFonts w:hAnsi="宋体" w:cs="宋体"/>
          <w:bCs/>
          <w:highlight w:val="none"/>
        </w:rPr>
        <w:t>不足15日的，顺延提交投标文件的截止时间。</w:t>
      </w:r>
    </w:p>
    <w:p>
      <w:pPr>
        <w:pStyle w:val="27"/>
        <w:snapToGrid w:val="0"/>
        <w:spacing w:beforeLines="0" w:afterLines="0" w:line="360" w:lineRule="auto"/>
        <w:ind w:left="2" w:leftChars="1" w:firstLine="420" w:firstLineChars="200"/>
        <w:rPr>
          <w:rFonts w:hint="default" w:hAnsi="宋体" w:cs="宋体"/>
          <w:bCs/>
          <w:highlight w:val="none"/>
        </w:rPr>
      </w:pPr>
      <w:r>
        <w:rPr>
          <w:rFonts w:hAnsi="宋体" w:cs="宋体"/>
          <w:bCs/>
          <w:highlight w:val="none"/>
        </w:rPr>
        <w:t>（2）澄清公告为招标文件的组成部分，一经在网站发布，视同已通知所有招标文件的收受人，不再采用其它方式传达相关信息, 若因未能及时了解到上述网站上发布的相关信息而导致的一切后果自行承担。</w:t>
      </w:r>
    </w:p>
    <w:p>
      <w:pPr>
        <w:pStyle w:val="27"/>
        <w:snapToGrid w:val="0"/>
        <w:spacing w:beforeLines="0" w:afterLines="0" w:line="360" w:lineRule="auto"/>
        <w:ind w:left="2" w:leftChars="1" w:firstLine="420" w:firstLineChars="200"/>
        <w:rPr>
          <w:rFonts w:hint="default" w:hAnsi="宋体" w:cs="宋体"/>
          <w:bCs/>
          <w:highlight w:val="none"/>
        </w:rPr>
      </w:pPr>
      <w:r>
        <w:rPr>
          <w:rFonts w:hAnsi="宋体" w:cs="宋体"/>
          <w:bCs/>
          <w:highlight w:val="none"/>
        </w:rPr>
        <w:t>（3）招标文件澄清、答复、修改、补充的内容为招标文件的组成部分。当招标文件与招标文件的答复、澄清、修改、补充通知就同一内容的表述不一致时，以最后发出的澄清公告为准。</w:t>
      </w:r>
    </w:p>
    <w:p>
      <w:pPr>
        <w:pStyle w:val="27"/>
        <w:snapToGrid w:val="0"/>
        <w:spacing w:beforeLines="0" w:afterLines="0" w:line="360" w:lineRule="auto"/>
        <w:ind w:left="2" w:leftChars="1" w:firstLine="420" w:firstLineChars="200"/>
        <w:rPr>
          <w:rFonts w:hint="default" w:hAnsi="宋体" w:cs="宋体"/>
          <w:bCs/>
          <w:highlight w:val="none"/>
        </w:rPr>
      </w:pPr>
      <w:r>
        <w:rPr>
          <w:rFonts w:hAnsi="宋体" w:cs="宋体"/>
          <w:bCs/>
          <w:highlight w:val="none"/>
        </w:rPr>
        <w:t>（4）招标文件的澄清、答复、修改或补充都应该通过本代理机构以法定形式发布，采购人非通过本机构，不得擅自澄清、答复、修改或补充招标文件。</w:t>
      </w:r>
    </w:p>
    <w:p>
      <w:pPr>
        <w:pStyle w:val="27"/>
        <w:snapToGrid w:val="0"/>
        <w:spacing w:beforeLines="0" w:afterLines="0" w:line="360" w:lineRule="auto"/>
        <w:ind w:left="2" w:leftChars="1" w:firstLine="420" w:firstLineChars="200"/>
        <w:rPr>
          <w:rFonts w:hint="default" w:hAnsi="宋体" w:cs="宋体"/>
          <w:bCs/>
          <w:highlight w:val="none"/>
        </w:rPr>
      </w:pPr>
      <w:r>
        <w:rPr>
          <w:rFonts w:hAnsi="宋体" w:cs="宋体"/>
          <w:bCs/>
          <w:highlight w:val="none"/>
        </w:rPr>
        <w:t>4、关于分公司投标</w:t>
      </w:r>
    </w:p>
    <w:p>
      <w:pPr>
        <w:pStyle w:val="27"/>
        <w:snapToGrid w:val="0"/>
        <w:spacing w:beforeLines="0" w:afterLines="0" w:line="360" w:lineRule="auto"/>
        <w:ind w:left="2" w:leftChars="1" w:firstLine="420" w:firstLineChars="200"/>
        <w:rPr>
          <w:rFonts w:hint="default" w:hAnsi="宋体" w:cs="宋体"/>
          <w:bCs/>
          <w:highlight w:val="none"/>
        </w:rPr>
      </w:pPr>
      <w:r>
        <w:rPr>
          <w:rFonts w:hAnsi="宋体" w:cs="宋体"/>
          <w:bCs/>
          <w:highlight w:val="none"/>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p>
      <w:pPr>
        <w:pStyle w:val="27"/>
        <w:snapToGrid w:val="0"/>
        <w:spacing w:beforeLines="0" w:afterLines="0" w:line="360" w:lineRule="auto"/>
        <w:ind w:left="2" w:leftChars="1" w:firstLine="420" w:firstLineChars="200"/>
        <w:rPr>
          <w:rFonts w:hint="default" w:hAnsi="宋体" w:cs="宋体"/>
          <w:bCs/>
          <w:highlight w:val="none"/>
        </w:rPr>
      </w:pPr>
      <w:r>
        <w:rPr>
          <w:rFonts w:hAnsi="宋体" w:cs="宋体"/>
          <w:bCs/>
          <w:highlight w:val="none"/>
        </w:rPr>
        <w:t>5、关于知识产权</w:t>
      </w:r>
    </w:p>
    <w:p>
      <w:pPr>
        <w:pStyle w:val="27"/>
        <w:snapToGrid w:val="0"/>
        <w:spacing w:beforeLines="0" w:afterLines="0" w:line="360" w:lineRule="auto"/>
        <w:ind w:left="2" w:leftChars="1" w:firstLine="420" w:firstLineChars="200"/>
        <w:rPr>
          <w:rFonts w:hint="default" w:hAnsi="宋体" w:cs="宋体"/>
          <w:bCs/>
          <w:highlight w:val="none"/>
        </w:rPr>
      </w:pPr>
      <w:r>
        <w:rPr>
          <w:rFonts w:hAnsi="宋体" w:cs="宋体"/>
          <w:bCs/>
          <w:highlight w:val="none"/>
        </w:rPr>
        <w:t>（1）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pPr>
        <w:pStyle w:val="27"/>
        <w:snapToGrid w:val="0"/>
        <w:spacing w:beforeLines="0" w:afterLines="0" w:line="360" w:lineRule="auto"/>
        <w:ind w:left="2" w:leftChars="1" w:firstLine="420" w:firstLineChars="200"/>
        <w:rPr>
          <w:rFonts w:hint="default" w:hAnsi="宋体" w:cs="宋体"/>
          <w:bCs/>
          <w:highlight w:val="none"/>
        </w:rPr>
      </w:pPr>
      <w:r>
        <w:rPr>
          <w:rFonts w:hAnsi="宋体" w:cs="宋体"/>
          <w:bCs/>
          <w:highlight w:val="none"/>
        </w:rPr>
        <w:t>（2）投标报价应包含所有应向所有权人支付的专利权、商标权或其它知识产权的一切相关费用。</w:t>
      </w:r>
    </w:p>
    <w:p>
      <w:pPr>
        <w:pStyle w:val="27"/>
        <w:snapToGrid w:val="0"/>
        <w:spacing w:beforeLines="0" w:afterLines="0" w:line="360" w:lineRule="auto"/>
        <w:ind w:left="2" w:leftChars="1" w:firstLine="420" w:firstLineChars="200"/>
        <w:rPr>
          <w:rFonts w:hint="default" w:hAnsi="宋体" w:cs="宋体"/>
          <w:bCs/>
          <w:highlight w:val="none"/>
        </w:rPr>
      </w:pPr>
      <w:r>
        <w:rPr>
          <w:rFonts w:hAnsi="宋体" w:cs="宋体"/>
          <w:bCs/>
          <w:highlight w:val="none"/>
        </w:rPr>
        <w:t>（3）系统软件、通用软件必须是具有在中国境内的合法使用权或版权的正版软件，涉及到第三方提出侵权或知识产权的起诉及支付版税等费用由供应商承担所有责任及费用。</w:t>
      </w:r>
    </w:p>
    <w:p>
      <w:pPr>
        <w:pStyle w:val="27"/>
        <w:snapToGrid w:val="0"/>
        <w:spacing w:beforeLines="0" w:afterLines="0" w:line="360" w:lineRule="auto"/>
        <w:ind w:left="2" w:leftChars="1" w:firstLine="420" w:firstLineChars="200"/>
        <w:rPr>
          <w:rFonts w:hint="default" w:hAnsi="宋体" w:cs="宋体"/>
          <w:bCs/>
          <w:highlight w:val="none"/>
        </w:rPr>
      </w:pPr>
      <w:r>
        <w:rPr>
          <w:rFonts w:hAnsi="宋体" w:cs="宋体"/>
          <w:bCs/>
          <w:highlight w:val="none"/>
        </w:rPr>
        <w:t>6、供应商的风险</w:t>
      </w:r>
    </w:p>
    <w:p>
      <w:pPr>
        <w:pStyle w:val="27"/>
        <w:snapToGrid w:val="0"/>
        <w:spacing w:beforeLines="0" w:afterLines="0" w:line="360" w:lineRule="auto"/>
        <w:ind w:left="2" w:leftChars="1" w:firstLine="420" w:firstLineChars="200"/>
        <w:rPr>
          <w:rFonts w:hint="default" w:hAnsi="宋体" w:cs="宋体"/>
          <w:bCs/>
          <w:highlight w:val="none"/>
        </w:rPr>
      </w:pPr>
      <w:r>
        <w:rPr>
          <w:rFonts w:hAnsi="宋体" w:cs="宋体"/>
          <w:bCs/>
          <w:highlight w:val="none"/>
        </w:rPr>
        <w:t>（1）供应商应详细阅读招标文件中的全部内容和要求，按照招标文件的要求提交投标文件，没有按照招标文件要求提供投标文件和资料导致的风险由供应商承担,并对所提供的全部资料的真实性承担法律责任。</w:t>
      </w:r>
    </w:p>
    <w:p>
      <w:pPr>
        <w:pStyle w:val="27"/>
        <w:snapToGrid w:val="0"/>
        <w:spacing w:beforeLines="0" w:afterLines="0" w:line="360" w:lineRule="auto"/>
        <w:ind w:left="2" w:leftChars="1" w:firstLine="420" w:firstLineChars="200"/>
        <w:rPr>
          <w:rFonts w:hint="default" w:hAnsi="宋体" w:cs="宋体"/>
          <w:bCs/>
          <w:highlight w:val="none"/>
        </w:rPr>
      </w:pPr>
      <w:r>
        <w:rPr>
          <w:rFonts w:hAnsi="宋体" w:cs="宋体"/>
          <w:bCs/>
          <w:highlight w:val="none"/>
        </w:rPr>
        <w:t>（2）无论因何种原因导致本次采购活动终止致供应商损失的，相关责任人均不承担任何责任。</w:t>
      </w:r>
    </w:p>
    <w:p>
      <w:pPr>
        <w:pStyle w:val="27"/>
        <w:snapToGrid w:val="0"/>
        <w:spacing w:beforeLines="0" w:afterLines="0" w:line="360" w:lineRule="auto"/>
        <w:ind w:left="2" w:leftChars="1" w:firstLine="420" w:firstLineChars="200"/>
        <w:rPr>
          <w:rFonts w:hint="default" w:hAnsi="宋体" w:cs="宋体"/>
          <w:b/>
          <w:highlight w:val="none"/>
        </w:rPr>
      </w:pPr>
      <w:r>
        <w:rPr>
          <w:rFonts w:hAnsi="宋体" w:cs="宋体"/>
          <w:bCs/>
          <w:highlight w:val="none"/>
        </w:rPr>
        <w:t>7、解释：本招标文件的解释权属于采购人。</w:t>
      </w:r>
    </w:p>
    <w:p>
      <w:pPr>
        <w:pStyle w:val="27"/>
        <w:snapToGrid w:val="0"/>
        <w:spacing w:beforeLines="0" w:afterLines="0" w:line="360" w:lineRule="auto"/>
        <w:ind w:firstLine="413" w:firstLineChars="196"/>
        <w:rPr>
          <w:rFonts w:hint="default" w:hAnsi="宋体" w:cs="宋体"/>
          <w:b/>
          <w:bCs/>
          <w:highlight w:val="none"/>
        </w:rPr>
      </w:pPr>
      <w:bookmarkStart w:id="39" w:name="_Toc13650"/>
      <w:r>
        <w:rPr>
          <w:rFonts w:hAnsi="宋体" w:cs="宋体"/>
          <w:b/>
          <w:bCs/>
          <w:highlight w:val="none"/>
        </w:rPr>
        <w:t>（九）质疑和投诉</w:t>
      </w:r>
      <w:bookmarkEnd w:id="39"/>
    </w:p>
    <w:p>
      <w:pPr>
        <w:spacing w:line="360" w:lineRule="auto"/>
        <w:ind w:firstLine="420" w:firstLineChars="200"/>
        <w:rPr>
          <w:rFonts w:ascii="宋体" w:hAnsi="宋体" w:cs="宋体"/>
          <w:highlight w:val="none"/>
        </w:rPr>
      </w:pPr>
      <w:bookmarkStart w:id="40" w:name="_Toc27142"/>
      <w:r>
        <w:rPr>
          <w:rFonts w:hint="eastAsia" w:ascii="宋体" w:hAnsi="宋体" w:cs="宋体"/>
          <w:highlight w:val="none"/>
        </w:rPr>
        <w:t>1、供应商认为招标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pPr>
        <w:spacing w:line="360" w:lineRule="auto"/>
        <w:ind w:firstLine="420" w:firstLineChars="200"/>
        <w:rPr>
          <w:rFonts w:ascii="宋体" w:hAnsi="宋体" w:cs="宋体"/>
          <w:highlight w:val="none"/>
        </w:rPr>
      </w:pPr>
      <w:r>
        <w:rPr>
          <w:rFonts w:hint="eastAsia" w:ascii="宋体" w:hAnsi="宋体" w:cs="宋体"/>
          <w:highlight w:val="none"/>
        </w:rPr>
        <w:t>2、提出质疑的供应商应当是参与所质疑项目采购活动的供应商。未依法获取招标文件的，不得就招标文件提出质疑；未提交投标文件的供应商，视为与采购结果没有利害关系，不得就采购响应截止时间后的采购过程、采购结果提出质疑。</w:t>
      </w:r>
    </w:p>
    <w:p>
      <w:pPr>
        <w:widowControl/>
        <w:spacing w:line="360" w:lineRule="auto"/>
        <w:ind w:firstLine="420" w:firstLineChars="200"/>
        <w:jc w:val="left"/>
        <w:rPr>
          <w:rFonts w:ascii="宋体" w:hAnsi="宋体" w:cs="宋体"/>
          <w:highlight w:val="none"/>
        </w:rPr>
      </w:pPr>
      <w:r>
        <w:rPr>
          <w:rFonts w:hint="eastAsia" w:ascii="宋体" w:hAnsi="宋体" w:cs="宋体"/>
          <w:highlight w:val="none"/>
        </w:rPr>
        <w:t>3、供应商提出质疑应当提交质疑函和必要的证明材料，质疑函应当面以书面形式提出，质疑函格式和内容须符合财政部《质疑函范本》要求，供应商可到</w:t>
      </w:r>
      <w:r>
        <w:rPr>
          <w:rFonts w:hint="eastAsia" w:ascii="宋体" w:hAnsi="宋体"/>
          <w:kern w:val="0"/>
          <w:highlight w:val="none"/>
        </w:rPr>
        <w:t>浙江政府采购网下载专区下载。</w:t>
      </w:r>
    </w:p>
    <w:p>
      <w:pPr>
        <w:spacing w:line="360" w:lineRule="auto"/>
        <w:ind w:firstLine="420" w:firstLineChars="200"/>
        <w:rPr>
          <w:rFonts w:ascii="宋体" w:hAnsi="宋体" w:cs="宋体"/>
          <w:highlight w:val="none"/>
        </w:rPr>
      </w:pPr>
      <w:r>
        <w:rPr>
          <w:rFonts w:hint="eastAsia" w:ascii="宋体" w:hAnsi="宋体" w:cs="宋体"/>
          <w:highlight w:val="none"/>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招标文件第一章有关联系方式。</w:t>
      </w:r>
    </w:p>
    <w:p>
      <w:pPr>
        <w:widowControl/>
        <w:spacing w:line="360" w:lineRule="auto"/>
        <w:ind w:firstLine="420" w:firstLineChars="200"/>
        <w:jc w:val="left"/>
        <w:rPr>
          <w:rFonts w:ascii="宋体" w:hAnsi="宋体" w:cs="宋体"/>
          <w:highlight w:val="none"/>
        </w:rPr>
      </w:pPr>
      <w:r>
        <w:rPr>
          <w:rFonts w:hint="eastAsia" w:ascii="宋体" w:hAnsi="宋体" w:cs="宋体"/>
          <w:highlight w:val="none"/>
        </w:rPr>
        <w:t>5、供应商对采购人或采购代理机构的质疑答复不满意或者采购人或采购代理机构未在规定时间内作出答复的，可以在答复期满后十五个工作日内向同级采购监管部门投诉。</w:t>
      </w:r>
      <w:r>
        <w:rPr>
          <w:rFonts w:hint="eastAsia" w:ascii="宋体" w:hAnsi="宋体"/>
          <w:kern w:val="0"/>
          <w:highlight w:val="none"/>
        </w:rPr>
        <w:t>投诉书范本请到浙江政府采购网下载专区下载。</w:t>
      </w:r>
    </w:p>
    <w:p>
      <w:pPr>
        <w:pStyle w:val="27"/>
        <w:snapToGrid w:val="0"/>
        <w:spacing w:beforeLines="0" w:afterLines="0" w:line="360" w:lineRule="auto"/>
        <w:ind w:firstLine="413" w:firstLineChars="196"/>
        <w:rPr>
          <w:rFonts w:hint="default" w:hAnsi="宋体" w:cs="宋体"/>
          <w:b/>
          <w:highlight w:val="none"/>
        </w:rPr>
      </w:pPr>
      <w:r>
        <w:rPr>
          <w:rFonts w:hAnsi="宋体" w:cs="宋体"/>
          <w:b/>
          <w:highlight w:val="none"/>
        </w:rPr>
        <w:t xml:space="preserve">二  </w:t>
      </w:r>
      <w:bookmarkEnd w:id="40"/>
      <w:r>
        <w:rPr>
          <w:rFonts w:hAnsi="宋体" w:cs="宋体"/>
          <w:b/>
          <w:highlight w:val="none"/>
        </w:rPr>
        <w:t>招标文件</w:t>
      </w:r>
    </w:p>
    <w:p>
      <w:pPr>
        <w:snapToGrid w:val="0"/>
        <w:spacing w:line="360" w:lineRule="auto"/>
        <w:ind w:firstLine="413" w:firstLineChars="196"/>
        <w:jc w:val="left"/>
        <w:rPr>
          <w:rFonts w:ascii="宋体" w:hAnsi="宋体" w:cs="宋体"/>
          <w:b/>
          <w:szCs w:val="21"/>
          <w:highlight w:val="none"/>
        </w:rPr>
      </w:pPr>
      <w:r>
        <w:rPr>
          <w:rFonts w:hint="eastAsia" w:ascii="宋体" w:hAnsi="宋体" w:cs="宋体"/>
          <w:b/>
          <w:szCs w:val="21"/>
          <w:highlight w:val="none"/>
        </w:rPr>
        <w:t>（一）招标文件的构成。本招标文件由以下部分组成：</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1、公开招标公告</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2、采购需求</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3、供应商须知</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4、评标办法及评分标准</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5、政府采购合同主要条款</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6、投标文件格式</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7、本项目招标文件的澄清、答复、修改、补充的内容</w:t>
      </w:r>
    </w:p>
    <w:p>
      <w:pPr>
        <w:snapToGrid w:val="0"/>
        <w:spacing w:line="360" w:lineRule="auto"/>
        <w:ind w:firstLine="413" w:firstLineChars="196"/>
        <w:jc w:val="left"/>
        <w:rPr>
          <w:rFonts w:ascii="宋体" w:hAnsi="宋体" w:cs="宋体"/>
          <w:b/>
          <w:szCs w:val="21"/>
          <w:highlight w:val="none"/>
        </w:rPr>
      </w:pPr>
      <w:r>
        <w:rPr>
          <w:rFonts w:hint="eastAsia" w:ascii="宋体" w:hAnsi="宋体" w:cs="宋体"/>
          <w:b/>
          <w:szCs w:val="21"/>
          <w:highlight w:val="none"/>
        </w:rPr>
        <w:t>（二）供应商的风险</w:t>
      </w:r>
    </w:p>
    <w:p>
      <w:pPr>
        <w:pStyle w:val="38"/>
        <w:spacing w:line="360" w:lineRule="auto"/>
        <w:ind w:firstLine="420"/>
        <w:rPr>
          <w:rFonts w:ascii="宋体" w:hAnsi="宋体" w:cs="宋体"/>
          <w:sz w:val="21"/>
          <w:szCs w:val="21"/>
          <w:highlight w:val="none"/>
        </w:rPr>
      </w:pPr>
      <w:r>
        <w:rPr>
          <w:rFonts w:hint="eastAsia" w:ascii="宋体" w:hAnsi="宋体" w:cs="宋体"/>
          <w:sz w:val="21"/>
          <w:szCs w:val="21"/>
          <w:highlight w:val="none"/>
        </w:rPr>
        <w:t>供应商没有按照招标文件要求提供全部资料，或者供应商没有对招标文件在各方面作出实质性响应是供应商的风险，并可能导致其投标被拒绝。</w:t>
      </w:r>
    </w:p>
    <w:p>
      <w:pPr>
        <w:pStyle w:val="27"/>
        <w:snapToGrid w:val="0"/>
        <w:spacing w:beforeLines="0" w:afterLines="0" w:line="360" w:lineRule="auto"/>
        <w:ind w:firstLine="413" w:firstLineChars="196"/>
        <w:rPr>
          <w:rFonts w:hint="default" w:hAnsi="宋体" w:cs="宋体"/>
          <w:b/>
          <w:highlight w:val="none"/>
        </w:rPr>
      </w:pPr>
      <w:bookmarkStart w:id="41" w:name="_Toc24324"/>
      <w:r>
        <w:rPr>
          <w:rFonts w:hAnsi="宋体" w:cs="宋体"/>
          <w:b/>
          <w:highlight w:val="none"/>
        </w:rPr>
        <w:t>三、投标文件的编制</w:t>
      </w:r>
      <w:bookmarkEnd w:id="41"/>
    </w:p>
    <w:p>
      <w:pPr>
        <w:snapToGrid w:val="0"/>
        <w:spacing w:line="360" w:lineRule="auto"/>
        <w:ind w:firstLine="413" w:firstLineChars="196"/>
        <w:jc w:val="left"/>
        <w:rPr>
          <w:rFonts w:ascii="宋体" w:hAnsi="宋体" w:cs="宋体"/>
          <w:b/>
          <w:szCs w:val="21"/>
          <w:highlight w:val="none"/>
        </w:rPr>
      </w:pPr>
      <w:bookmarkStart w:id="42" w:name="_Toc16622"/>
      <w:r>
        <w:rPr>
          <w:rFonts w:hint="eastAsia" w:ascii="宋体" w:hAnsi="宋体" w:cs="宋体"/>
          <w:b/>
          <w:szCs w:val="21"/>
          <w:highlight w:val="none"/>
        </w:rPr>
        <w:t>（一）投标文件的组成</w:t>
      </w:r>
      <w:bookmarkEnd w:id="42"/>
    </w:p>
    <w:p>
      <w:pPr>
        <w:spacing w:line="360" w:lineRule="auto"/>
        <w:ind w:firstLine="420" w:firstLineChars="200"/>
        <w:jc w:val="left"/>
        <w:rPr>
          <w:rFonts w:ascii="宋体" w:hAnsi="宋体" w:cs="宋体"/>
          <w:highlight w:val="none"/>
        </w:rPr>
      </w:pPr>
      <w:r>
        <w:rPr>
          <w:rFonts w:hint="eastAsia" w:ascii="宋体" w:hAnsi="宋体" w:cs="宋体"/>
          <w:highlight w:val="none"/>
        </w:rPr>
        <w:t>投标文件由资格文件、商务技术文件和报价文件三部分组成。</w:t>
      </w:r>
    </w:p>
    <w:p>
      <w:pPr>
        <w:numPr>
          <w:ilvl w:val="0"/>
          <w:numId w:val="30"/>
        </w:numPr>
        <w:snapToGrid w:val="0"/>
        <w:spacing w:line="360" w:lineRule="auto"/>
        <w:ind w:firstLine="422" w:firstLineChars="200"/>
        <w:jc w:val="left"/>
        <w:rPr>
          <w:rFonts w:ascii="宋体" w:hAnsi="宋体" w:cs="宋体"/>
          <w:b/>
          <w:bCs/>
          <w:highlight w:val="none"/>
        </w:rPr>
      </w:pPr>
      <w:r>
        <w:rPr>
          <w:rFonts w:hint="eastAsia" w:ascii="宋体" w:hAnsi="宋体" w:cs="宋体"/>
          <w:b/>
          <w:bCs/>
          <w:highlight w:val="none"/>
        </w:rPr>
        <w:t>资格文件：</w:t>
      </w:r>
    </w:p>
    <w:p>
      <w:pPr>
        <w:numPr>
          <w:ilvl w:val="0"/>
          <w:numId w:val="31"/>
        </w:numPr>
        <w:snapToGrid w:val="0"/>
        <w:spacing w:line="360" w:lineRule="auto"/>
        <w:ind w:left="210" w:leftChars="100"/>
        <w:jc w:val="left"/>
        <w:rPr>
          <w:rFonts w:ascii="宋体" w:hAnsi="宋体" w:cs="宋体"/>
          <w:highlight w:val="none"/>
        </w:rPr>
      </w:pPr>
      <w:r>
        <w:rPr>
          <w:rFonts w:hint="eastAsia" w:ascii="宋体" w:hAnsi="宋体" w:cs="宋体"/>
          <w:highlight w:val="none"/>
        </w:rPr>
        <w:t>供应商资格声明函（格式见附件）；</w:t>
      </w:r>
    </w:p>
    <w:p>
      <w:pPr>
        <w:numPr>
          <w:ilvl w:val="0"/>
          <w:numId w:val="31"/>
        </w:numPr>
        <w:snapToGrid w:val="0"/>
        <w:spacing w:line="360" w:lineRule="auto"/>
        <w:ind w:left="210" w:leftChars="100"/>
        <w:jc w:val="left"/>
        <w:rPr>
          <w:rFonts w:ascii="宋体" w:hAnsi="宋体" w:cs="宋体"/>
          <w:highlight w:val="none"/>
        </w:rPr>
      </w:pPr>
      <w:r>
        <w:rPr>
          <w:rFonts w:hint="eastAsia" w:ascii="宋体" w:hAnsi="宋体" w:cs="宋体"/>
          <w:highlight w:val="none"/>
        </w:rPr>
        <w:t>有效的企业法人营业执照（或事业法人登记证）、其他组织（个体工商户）的营业执照或者民办非企业单位登记证书复印件；</w:t>
      </w:r>
      <w:r>
        <w:rPr>
          <w:rFonts w:hint="eastAsia" w:ascii="宋体" w:hAnsi="宋体" w:cs="宋体"/>
          <w:szCs w:val="21"/>
          <w:highlight w:val="none"/>
        </w:rPr>
        <w:t>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cs="宋体"/>
          <w:highlight w:val="none"/>
        </w:rPr>
        <w:t>；</w:t>
      </w:r>
    </w:p>
    <w:p>
      <w:pPr>
        <w:numPr>
          <w:ilvl w:val="0"/>
          <w:numId w:val="31"/>
        </w:numPr>
        <w:snapToGrid w:val="0"/>
        <w:spacing w:line="360" w:lineRule="auto"/>
        <w:ind w:left="210" w:leftChars="100"/>
        <w:jc w:val="left"/>
        <w:rPr>
          <w:rFonts w:ascii="宋体" w:hAnsi="宋体" w:cs="宋体"/>
          <w:highlight w:val="none"/>
        </w:rPr>
      </w:pPr>
      <w:r>
        <w:rPr>
          <w:rFonts w:hint="eastAsia" w:ascii="宋体" w:hAnsi="宋体" w:cs="宋体"/>
          <w:highlight w:val="none"/>
        </w:rPr>
        <w:t>供应商特定资格条件的证明文件：详见“第一章  公开招标公告  二、申请人的资格要求3.本项目的特定资格要求”；</w:t>
      </w:r>
    </w:p>
    <w:p>
      <w:pPr>
        <w:numPr>
          <w:ilvl w:val="0"/>
          <w:numId w:val="31"/>
        </w:numPr>
        <w:snapToGrid w:val="0"/>
        <w:spacing w:line="360" w:lineRule="auto"/>
        <w:ind w:left="210" w:leftChars="100"/>
        <w:jc w:val="left"/>
        <w:rPr>
          <w:rFonts w:ascii="宋体" w:hAnsi="宋体" w:cs="宋体"/>
          <w:highlight w:val="none"/>
        </w:rPr>
      </w:pPr>
      <w:r>
        <w:rPr>
          <w:rFonts w:hint="eastAsia" w:ascii="宋体" w:hAnsi="宋体" w:cs="宋体"/>
          <w:highlight w:val="none"/>
        </w:rPr>
        <w:t>联合体协议（如有，格式见附件）；</w:t>
      </w:r>
    </w:p>
    <w:p>
      <w:pPr>
        <w:numPr>
          <w:ilvl w:val="0"/>
          <w:numId w:val="31"/>
        </w:numPr>
        <w:snapToGrid w:val="0"/>
        <w:spacing w:line="360" w:lineRule="auto"/>
        <w:ind w:left="210" w:leftChars="100"/>
        <w:jc w:val="left"/>
        <w:rPr>
          <w:rFonts w:ascii="宋体" w:hAnsi="宋体" w:cs="宋体"/>
          <w:highlight w:val="none"/>
        </w:rPr>
      </w:pPr>
      <w:r>
        <w:rPr>
          <w:rFonts w:hint="eastAsia" w:ascii="宋体" w:hAnsi="宋体" w:cs="宋体"/>
          <w:szCs w:val="21"/>
          <w:highlight w:val="none"/>
        </w:rPr>
        <w:t>招标文件要求的其他资格条件证明材料（如有）；</w:t>
      </w:r>
    </w:p>
    <w:p>
      <w:pPr>
        <w:numPr>
          <w:ilvl w:val="0"/>
          <w:numId w:val="30"/>
        </w:numPr>
        <w:snapToGrid w:val="0"/>
        <w:spacing w:line="360" w:lineRule="auto"/>
        <w:ind w:firstLine="422" w:firstLineChars="200"/>
        <w:jc w:val="left"/>
        <w:rPr>
          <w:rFonts w:ascii="宋体" w:hAnsi="宋体" w:cs="宋体"/>
          <w:b/>
          <w:bCs/>
          <w:highlight w:val="none"/>
        </w:rPr>
      </w:pPr>
      <w:r>
        <w:rPr>
          <w:rFonts w:hint="eastAsia" w:ascii="宋体" w:hAnsi="宋体" w:cs="宋体"/>
          <w:b/>
          <w:bCs/>
          <w:highlight w:val="none"/>
        </w:rPr>
        <w:t>商务技术文件内容包括：</w:t>
      </w:r>
    </w:p>
    <w:p>
      <w:pPr>
        <w:numPr>
          <w:ilvl w:val="0"/>
          <w:numId w:val="32"/>
        </w:numPr>
        <w:snapToGrid w:val="0"/>
        <w:spacing w:line="360" w:lineRule="auto"/>
        <w:ind w:left="210" w:leftChars="100"/>
        <w:jc w:val="left"/>
        <w:rPr>
          <w:rFonts w:ascii="宋体" w:hAnsi="宋体" w:cs="宋体"/>
          <w:szCs w:val="21"/>
          <w:highlight w:val="none"/>
        </w:rPr>
      </w:pPr>
      <w:r>
        <w:rPr>
          <w:rFonts w:hint="eastAsia" w:ascii="宋体" w:hAnsi="宋体" w:cs="宋体"/>
          <w:szCs w:val="21"/>
          <w:highlight w:val="none"/>
        </w:rPr>
        <w:t>符合性自查表（格式见附件）；</w:t>
      </w:r>
    </w:p>
    <w:p>
      <w:pPr>
        <w:numPr>
          <w:ilvl w:val="0"/>
          <w:numId w:val="32"/>
        </w:numPr>
        <w:snapToGrid w:val="0"/>
        <w:spacing w:line="360" w:lineRule="auto"/>
        <w:ind w:left="210" w:leftChars="100"/>
        <w:jc w:val="left"/>
        <w:rPr>
          <w:rFonts w:ascii="宋体" w:hAnsi="宋体" w:cs="宋体"/>
          <w:szCs w:val="21"/>
          <w:highlight w:val="none"/>
        </w:rPr>
      </w:pPr>
      <w:r>
        <w:rPr>
          <w:rFonts w:hint="eastAsia" w:ascii="宋体" w:hAnsi="宋体" w:cs="宋体"/>
          <w:szCs w:val="21"/>
          <w:highlight w:val="none"/>
        </w:rPr>
        <w:t>供应商响应表（格式见附件）；</w:t>
      </w:r>
    </w:p>
    <w:p>
      <w:pPr>
        <w:numPr>
          <w:ilvl w:val="0"/>
          <w:numId w:val="32"/>
        </w:numPr>
        <w:snapToGrid w:val="0"/>
        <w:spacing w:line="360" w:lineRule="auto"/>
        <w:ind w:left="210" w:leftChars="100"/>
        <w:jc w:val="left"/>
        <w:rPr>
          <w:rFonts w:ascii="宋体" w:hAnsi="宋体" w:cs="宋体"/>
          <w:szCs w:val="21"/>
          <w:highlight w:val="none"/>
        </w:rPr>
      </w:pPr>
      <w:r>
        <w:rPr>
          <w:rFonts w:hint="eastAsia" w:ascii="宋体" w:hAnsi="宋体" w:cs="宋体"/>
          <w:szCs w:val="21"/>
          <w:highlight w:val="none"/>
        </w:rPr>
        <w:t>商务条款偏离表（格式见附件）；</w:t>
      </w:r>
    </w:p>
    <w:p>
      <w:pPr>
        <w:numPr>
          <w:ilvl w:val="0"/>
          <w:numId w:val="32"/>
        </w:numPr>
        <w:snapToGrid w:val="0"/>
        <w:spacing w:line="360" w:lineRule="auto"/>
        <w:ind w:left="210" w:leftChars="100"/>
        <w:jc w:val="left"/>
        <w:rPr>
          <w:rFonts w:ascii="宋体" w:hAnsi="宋体" w:cs="宋体"/>
          <w:szCs w:val="21"/>
          <w:highlight w:val="none"/>
        </w:rPr>
      </w:pPr>
      <w:r>
        <w:rPr>
          <w:rFonts w:hint="eastAsia" w:ascii="宋体" w:hAnsi="宋体" w:cs="宋体"/>
          <w:szCs w:val="21"/>
          <w:highlight w:val="none"/>
        </w:rPr>
        <w:t>投标函（格式见附件）；</w:t>
      </w:r>
    </w:p>
    <w:p>
      <w:pPr>
        <w:numPr>
          <w:ilvl w:val="0"/>
          <w:numId w:val="32"/>
        </w:numPr>
        <w:snapToGrid w:val="0"/>
        <w:spacing w:line="360" w:lineRule="auto"/>
        <w:ind w:left="210" w:leftChars="100"/>
        <w:jc w:val="left"/>
        <w:rPr>
          <w:rFonts w:ascii="宋体" w:hAnsi="宋体" w:cs="宋体"/>
          <w:szCs w:val="21"/>
          <w:highlight w:val="none"/>
        </w:rPr>
      </w:pPr>
      <w:r>
        <w:rPr>
          <w:rFonts w:hint="eastAsia" w:ascii="宋体" w:hAnsi="宋体" w:cs="宋体"/>
          <w:szCs w:val="21"/>
          <w:highlight w:val="none"/>
        </w:rPr>
        <w:t>法定代表人身份证明或法定代表人授权委托书（格式见附件）；</w:t>
      </w:r>
    </w:p>
    <w:p>
      <w:pPr>
        <w:numPr>
          <w:ilvl w:val="0"/>
          <w:numId w:val="32"/>
        </w:numPr>
        <w:snapToGrid w:val="0"/>
        <w:spacing w:line="360" w:lineRule="auto"/>
        <w:ind w:left="210" w:leftChars="100"/>
        <w:jc w:val="left"/>
        <w:rPr>
          <w:rFonts w:ascii="宋体" w:hAnsi="宋体" w:cs="宋体"/>
          <w:szCs w:val="21"/>
          <w:highlight w:val="none"/>
        </w:rPr>
      </w:pPr>
      <w:r>
        <w:rPr>
          <w:rFonts w:hint="eastAsia" w:ascii="宋体" w:hAnsi="宋体" w:cs="宋体"/>
          <w:szCs w:val="21"/>
          <w:highlight w:val="none"/>
        </w:rPr>
        <w:t>技术（服务）条款偏离表（格式见附件）；</w:t>
      </w:r>
    </w:p>
    <w:p>
      <w:pPr>
        <w:numPr>
          <w:ilvl w:val="0"/>
          <w:numId w:val="32"/>
        </w:numPr>
        <w:snapToGrid w:val="0"/>
        <w:spacing w:line="360" w:lineRule="auto"/>
        <w:ind w:left="210" w:leftChars="100"/>
        <w:jc w:val="left"/>
        <w:rPr>
          <w:rFonts w:ascii="宋体" w:hAnsi="宋体" w:cs="宋体"/>
          <w:szCs w:val="21"/>
          <w:highlight w:val="none"/>
        </w:rPr>
      </w:pPr>
      <w:r>
        <w:rPr>
          <w:rFonts w:hint="eastAsia" w:ascii="宋体" w:hAnsi="宋体" w:cs="宋体"/>
          <w:szCs w:val="21"/>
          <w:highlight w:val="none"/>
        </w:rPr>
        <w:t>供应商基本情况表（格式见附件）；</w:t>
      </w:r>
    </w:p>
    <w:p>
      <w:pPr>
        <w:numPr>
          <w:ilvl w:val="0"/>
          <w:numId w:val="32"/>
        </w:numPr>
        <w:snapToGrid w:val="0"/>
        <w:spacing w:line="360" w:lineRule="auto"/>
        <w:ind w:left="210" w:leftChars="100"/>
        <w:jc w:val="left"/>
        <w:rPr>
          <w:rFonts w:ascii="宋体" w:hAnsi="宋体" w:cs="宋体"/>
          <w:szCs w:val="21"/>
          <w:highlight w:val="none"/>
        </w:rPr>
      </w:pPr>
      <w:r>
        <w:rPr>
          <w:rFonts w:hint="eastAsia" w:ascii="宋体" w:hAnsi="宋体" w:cs="宋体"/>
          <w:szCs w:val="21"/>
          <w:highlight w:val="none"/>
        </w:rPr>
        <w:t>本项目负责人简历表（格式见附件）</w:t>
      </w:r>
    </w:p>
    <w:p>
      <w:pPr>
        <w:numPr>
          <w:ilvl w:val="0"/>
          <w:numId w:val="32"/>
        </w:numPr>
        <w:snapToGrid w:val="0"/>
        <w:spacing w:line="360" w:lineRule="auto"/>
        <w:ind w:left="210" w:leftChars="100"/>
        <w:jc w:val="left"/>
        <w:rPr>
          <w:rFonts w:ascii="宋体" w:hAnsi="宋体" w:cs="宋体"/>
          <w:szCs w:val="21"/>
          <w:highlight w:val="none"/>
        </w:rPr>
      </w:pPr>
      <w:r>
        <w:rPr>
          <w:rFonts w:hint="eastAsia" w:ascii="宋体" w:hAnsi="宋体" w:cs="宋体"/>
          <w:szCs w:val="21"/>
          <w:highlight w:val="none"/>
        </w:rPr>
        <w:t>本项目组人员配备情况表（格式见附件）</w:t>
      </w:r>
    </w:p>
    <w:p>
      <w:pPr>
        <w:numPr>
          <w:ilvl w:val="0"/>
          <w:numId w:val="32"/>
        </w:numPr>
        <w:snapToGrid w:val="0"/>
        <w:spacing w:line="360" w:lineRule="auto"/>
        <w:ind w:left="210" w:leftChars="100"/>
        <w:jc w:val="left"/>
        <w:rPr>
          <w:rFonts w:ascii="宋体" w:hAnsi="宋体" w:cs="宋体"/>
          <w:szCs w:val="21"/>
          <w:highlight w:val="none"/>
        </w:rPr>
      </w:pPr>
      <w:r>
        <w:rPr>
          <w:rFonts w:hint="eastAsia" w:ascii="宋体" w:hAnsi="宋体" w:cs="宋体"/>
          <w:szCs w:val="21"/>
          <w:highlight w:val="none"/>
        </w:rPr>
        <w:t>同类业绩情况一览表（格式见附件）</w:t>
      </w:r>
      <w:r>
        <w:rPr>
          <w:rFonts w:hint="eastAsia" w:ascii="宋体" w:hAnsi="宋体" w:cs="宋体"/>
          <w:szCs w:val="21"/>
          <w:highlight w:val="none"/>
          <w:lang w:eastAsia="zh-CN"/>
        </w:rPr>
        <w:t>；</w:t>
      </w:r>
    </w:p>
    <w:p>
      <w:pPr>
        <w:numPr>
          <w:ilvl w:val="0"/>
          <w:numId w:val="32"/>
        </w:numPr>
        <w:snapToGrid w:val="0"/>
        <w:spacing w:line="360" w:lineRule="auto"/>
        <w:ind w:left="210" w:leftChars="100"/>
        <w:jc w:val="left"/>
        <w:rPr>
          <w:rFonts w:ascii="宋体" w:hAnsi="宋体" w:cs="宋体"/>
          <w:szCs w:val="21"/>
          <w:highlight w:val="none"/>
        </w:rPr>
      </w:pPr>
      <w:r>
        <w:rPr>
          <w:rFonts w:hint="eastAsia" w:ascii="宋体" w:hAnsi="宋体" w:cs="宋体"/>
          <w:szCs w:val="21"/>
          <w:highlight w:val="none"/>
          <w:lang w:val="en-US" w:eastAsia="zh-CN"/>
        </w:rPr>
        <w:t>承诺书（格式见附件）</w:t>
      </w:r>
      <w:r>
        <w:rPr>
          <w:rFonts w:hint="eastAsia" w:ascii="宋体" w:hAnsi="宋体" w:cs="宋体"/>
          <w:szCs w:val="21"/>
          <w:highlight w:val="none"/>
        </w:rPr>
        <w:t>；</w:t>
      </w:r>
    </w:p>
    <w:p>
      <w:pPr>
        <w:numPr>
          <w:ilvl w:val="0"/>
          <w:numId w:val="32"/>
        </w:numPr>
        <w:snapToGrid w:val="0"/>
        <w:spacing w:line="360" w:lineRule="auto"/>
        <w:ind w:left="210" w:leftChars="100"/>
        <w:jc w:val="left"/>
        <w:rPr>
          <w:rFonts w:ascii="宋体" w:hAnsi="宋体" w:cs="宋体"/>
          <w:szCs w:val="21"/>
          <w:highlight w:val="none"/>
        </w:rPr>
      </w:pPr>
      <w:r>
        <w:rPr>
          <w:rFonts w:hint="eastAsia" w:ascii="宋体" w:hAnsi="宋体" w:cs="宋体"/>
          <w:szCs w:val="21"/>
          <w:highlight w:val="none"/>
        </w:rPr>
        <w:t>技术部分：针对本项目第二章采购需求和第四章评分标准中的条款拟定完整方案，格式自拟；</w:t>
      </w:r>
    </w:p>
    <w:p>
      <w:pPr>
        <w:numPr>
          <w:ilvl w:val="0"/>
          <w:numId w:val="32"/>
        </w:numPr>
        <w:snapToGrid w:val="0"/>
        <w:spacing w:line="360" w:lineRule="auto"/>
        <w:ind w:left="210" w:leftChars="100"/>
        <w:jc w:val="left"/>
        <w:rPr>
          <w:rFonts w:ascii="宋体" w:hAnsi="宋体" w:cs="宋体"/>
          <w:szCs w:val="21"/>
          <w:highlight w:val="none"/>
        </w:rPr>
      </w:pPr>
      <w:r>
        <w:rPr>
          <w:rFonts w:hint="eastAsia" w:ascii="宋体" w:hAnsi="宋体" w:cs="宋体"/>
          <w:szCs w:val="21"/>
          <w:highlight w:val="none"/>
        </w:rPr>
        <w:t>第四章评标办法及评分标准中需提供的其他相关证书及合同复印件等并加盖公章；</w:t>
      </w:r>
    </w:p>
    <w:p>
      <w:pPr>
        <w:numPr>
          <w:ilvl w:val="0"/>
          <w:numId w:val="32"/>
        </w:numPr>
        <w:snapToGrid w:val="0"/>
        <w:spacing w:line="360" w:lineRule="auto"/>
        <w:ind w:left="210" w:leftChars="100"/>
        <w:jc w:val="left"/>
        <w:rPr>
          <w:rFonts w:ascii="宋体" w:hAnsi="宋体" w:cs="宋体"/>
          <w:szCs w:val="21"/>
          <w:highlight w:val="none"/>
        </w:rPr>
      </w:pPr>
      <w:r>
        <w:rPr>
          <w:rFonts w:hint="eastAsia" w:ascii="宋体" w:hAnsi="宋体" w:cs="宋体"/>
          <w:szCs w:val="21"/>
          <w:highlight w:val="none"/>
        </w:rPr>
        <w:t>供应商认为有需要提供的其它有关证明资料。</w:t>
      </w:r>
    </w:p>
    <w:p>
      <w:pPr>
        <w:numPr>
          <w:ilvl w:val="0"/>
          <w:numId w:val="30"/>
        </w:numPr>
        <w:snapToGrid w:val="0"/>
        <w:spacing w:line="360" w:lineRule="auto"/>
        <w:ind w:firstLine="422" w:firstLineChars="200"/>
        <w:jc w:val="left"/>
        <w:rPr>
          <w:rFonts w:ascii="宋体" w:hAnsi="宋体" w:cs="宋体"/>
          <w:b/>
          <w:bCs/>
          <w:highlight w:val="none"/>
        </w:rPr>
      </w:pPr>
      <w:r>
        <w:rPr>
          <w:rFonts w:hint="eastAsia" w:ascii="宋体" w:hAnsi="宋体" w:cs="宋体"/>
          <w:b/>
          <w:bCs/>
          <w:highlight w:val="none"/>
        </w:rPr>
        <w:t>报价文件内容包括：</w:t>
      </w:r>
    </w:p>
    <w:p>
      <w:pPr>
        <w:numPr>
          <w:ilvl w:val="0"/>
          <w:numId w:val="33"/>
        </w:numPr>
        <w:snapToGrid w:val="0"/>
        <w:spacing w:line="360" w:lineRule="auto"/>
        <w:ind w:left="210" w:leftChars="100"/>
        <w:jc w:val="left"/>
        <w:rPr>
          <w:rFonts w:ascii="宋体" w:hAnsi="宋体" w:cs="宋体"/>
          <w:highlight w:val="none"/>
        </w:rPr>
      </w:pPr>
      <w:r>
        <w:rPr>
          <w:rFonts w:hint="eastAsia" w:ascii="宋体" w:hAnsi="宋体" w:cs="宋体"/>
          <w:highlight w:val="none"/>
        </w:rPr>
        <w:t>开标一览表（格式见附件）；</w:t>
      </w:r>
    </w:p>
    <w:p>
      <w:pPr>
        <w:numPr>
          <w:ilvl w:val="0"/>
          <w:numId w:val="33"/>
        </w:numPr>
        <w:snapToGrid w:val="0"/>
        <w:spacing w:line="360" w:lineRule="auto"/>
        <w:ind w:left="210" w:leftChars="100"/>
        <w:jc w:val="left"/>
        <w:rPr>
          <w:rFonts w:hint="eastAsia" w:ascii="宋体" w:hAnsi="宋体" w:cs="宋体"/>
          <w:highlight w:val="none"/>
        </w:rPr>
      </w:pPr>
      <w:r>
        <w:rPr>
          <w:rFonts w:hint="eastAsia" w:ascii="宋体" w:hAnsi="宋体" w:cs="宋体"/>
          <w:highlight w:val="none"/>
        </w:rPr>
        <w:t>投标报价明细表（格式见附件）；</w:t>
      </w:r>
    </w:p>
    <w:p>
      <w:pPr>
        <w:numPr>
          <w:ilvl w:val="0"/>
          <w:numId w:val="33"/>
        </w:numPr>
        <w:snapToGrid w:val="0"/>
        <w:spacing w:line="360" w:lineRule="auto"/>
        <w:ind w:left="210" w:leftChars="100"/>
        <w:jc w:val="left"/>
        <w:rPr>
          <w:rFonts w:hint="eastAsia" w:ascii="宋体" w:hAnsi="宋体" w:cs="宋体"/>
          <w:highlight w:val="none"/>
        </w:rPr>
      </w:pPr>
      <w:r>
        <w:rPr>
          <w:rFonts w:hint="eastAsia" w:ascii="宋体" w:hAnsi="宋体" w:cs="宋体"/>
          <w:highlight w:val="none"/>
        </w:rPr>
        <w:t>中小企业声明函[提供中小企业声明函或残疾人福利性单位声明函（非残疾人福利性单位无需提供本函)，格式见附件或提供由省级以上监狱管理局、戒毒管理局（含新疆生产建设兵团）出具的属于监狱企业的证明文件]；</w:t>
      </w:r>
    </w:p>
    <w:p>
      <w:pPr>
        <w:numPr>
          <w:ilvl w:val="0"/>
          <w:numId w:val="33"/>
        </w:numPr>
        <w:snapToGrid w:val="0"/>
        <w:spacing w:line="360" w:lineRule="auto"/>
        <w:ind w:left="210" w:leftChars="100"/>
        <w:jc w:val="left"/>
        <w:rPr>
          <w:rFonts w:ascii="宋体" w:hAnsi="宋体" w:cs="宋体"/>
          <w:highlight w:val="none"/>
        </w:rPr>
      </w:pPr>
      <w:r>
        <w:rPr>
          <w:rFonts w:hint="eastAsia" w:ascii="宋体" w:hAnsi="宋体" w:cs="宋体"/>
          <w:highlight w:val="none"/>
        </w:rPr>
        <w:t>供应商针对报价需要说明的其他文件和说明（格式自拟）；</w:t>
      </w:r>
    </w:p>
    <w:p>
      <w:pPr>
        <w:snapToGrid w:val="0"/>
        <w:spacing w:line="360" w:lineRule="auto"/>
        <w:ind w:firstLine="422" w:firstLineChars="200"/>
        <w:jc w:val="left"/>
        <w:rPr>
          <w:rFonts w:ascii="宋体" w:hAnsi="宋体" w:cs="宋体"/>
          <w:b/>
          <w:szCs w:val="21"/>
          <w:highlight w:val="none"/>
        </w:rPr>
      </w:pPr>
      <w:r>
        <w:rPr>
          <w:rFonts w:hint="eastAsia" w:ascii="宋体" w:hAnsi="宋体" w:cs="宋体"/>
          <w:b/>
          <w:szCs w:val="21"/>
          <w:highlight w:val="none"/>
        </w:rPr>
        <w:t>★ 注：1、法定代表人授权委托书必须由法定代表人签署（签名或印章）并加盖单位公章；供应商资格声明函、投标函、开标一览表必须由法定代表人或授权代表签署（签名或印章）并加盖单位公章。</w:t>
      </w:r>
    </w:p>
    <w:p>
      <w:pPr>
        <w:snapToGrid w:val="0"/>
        <w:spacing w:line="360" w:lineRule="auto"/>
        <w:ind w:firstLine="422" w:firstLineChars="200"/>
        <w:jc w:val="left"/>
        <w:rPr>
          <w:rFonts w:hint="eastAsia" w:ascii="宋体" w:hAnsi="宋体" w:eastAsia="宋体" w:cs="宋体"/>
          <w:b/>
          <w:szCs w:val="21"/>
          <w:highlight w:val="none"/>
          <w:lang w:eastAsia="zh-CN"/>
        </w:rPr>
      </w:pPr>
      <w:r>
        <w:rPr>
          <w:rFonts w:hint="eastAsia" w:ascii="宋体" w:hAnsi="宋体" w:cs="宋体"/>
          <w:b/>
          <w:szCs w:val="21"/>
          <w:highlight w:val="none"/>
        </w:rPr>
        <w:t>2、联合体投标的，除</w:t>
      </w:r>
      <w:r>
        <w:rPr>
          <w:rFonts w:hint="eastAsia" w:ascii="宋体" w:hAnsi="宋体" w:cs="宋体"/>
          <w:b/>
          <w:szCs w:val="21"/>
          <w:highlight w:val="none"/>
          <w:lang w:val="en-US" w:eastAsia="zh-CN"/>
        </w:rPr>
        <w:t>招标</w:t>
      </w:r>
      <w:r>
        <w:rPr>
          <w:rFonts w:hint="eastAsia" w:ascii="宋体" w:hAnsi="宋体" w:cs="宋体"/>
          <w:b/>
          <w:szCs w:val="21"/>
          <w:highlight w:val="none"/>
        </w:rPr>
        <w:t>文件要求双方均需提供并签字（签章）盖章的，由联合体牵头人提供并签字（签章）盖章即可</w:t>
      </w:r>
      <w:r>
        <w:rPr>
          <w:rFonts w:hint="eastAsia" w:ascii="宋体" w:hAnsi="宋体" w:cs="宋体"/>
          <w:b/>
          <w:szCs w:val="21"/>
          <w:highlight w:val="none"/>
          <w:lang w:eastAsia="zh-CN"/>
        </w:rPr>
        <w:t>。</w:t>
      </w:r>
    </w:p>
    <w:p>
      <w:pPr>
        <w:snapToGrid w:val="0"/>
        <w:spacing w:line="360" w:lineRule="auto"/>
        <w:ind w:firstLine="413" w:firstLineChars="196"/>
        <w:jc w:val="left"/>
        <w:rPr>
          <w:rFonts w:ascii="宋体" w:hAnsi="宋体" w:cs="宋体"/>
          <w:b/>
          <w:szCs w:val="21"/>
          <w:highlight w:val="none"/>
        </w:rPr>
      </w:pPr>
      <w:bookmarkStart w:id="43" w:name="_Toc10734"/>
      <w:r>
        <w:rPr>
          <w:rFonts w:hint="eastAsia" w:ascii="宋体" w:hAnsi="宋体" w:cs="宋体"/>
          <w:b/>
          <w:szCs w:val="21"/>
          <w:highlight w:val="none"/>
        </w:rPr>
        <w:t>★（二）投标文件的语言及计量</w:t>
      </w:r>
      <w:bookmarkEnd w:id="43"/>
    </w:p>
    <w:p>
      <w:pPr>
        <w:snapToGrid w:val="0"/>
        <w:spacing w:line="360" w:lineRule="auto"/>
        <w:ind w:firstLine="422" w:firstLineChars="200"/>
        <w:jc w:val="left"/>
        <w:rPr>
          <w:rFonts w:ascii="宋体" w:hAnsi="宋体" w:cs="宋体"/>
          <w:b/>
          <w:szCs w:val="21"/>
          <w:highlight w:val="none"/>
        </w:rPr>
      </w:pPr>
      <w:r>
        <w:rPr>
          <w:rFonts w:hint="eastAsia" w:ascii="宋体" w:hAnsi="宋体" w:cs="宋体"/>
          <w:b/>
          <w:szCs w:val="21"/>
          <w:highlight w:val="none"/>
        </w:rPr>
        <w:t>（1）投标文件以及供应商与采购人就有关投标事宜的所有来往函电，均应以中文汉语书写。除签名、盖章、专用名称等特殊情形外，以中文汉语以外的文字表述的投标文件视同未提供。</w:t>
      </w:r>
    </w:p>
    <w:p>
      <w:pPr>
        <w:snapToGrid w:val="0"/>
        <w:spacing w:line="360" w:lineRule="auto"/>
        <w:ind w:firstLine="422" w:firstLineChars="200"/>
        <w:jc w:val="left"/>
        <w:rPr>
          <w:rFonts w:ascii="宋体" w:hAnsi="宋体" w:cs="宋体"/>
          <w:b/>
          <w:szCs w:val="21"/>
          <w:highlight w:val="none"/>
        </w:rPr>
      </w:pPr>
      <w:r>
        <w:rPr>
          <w:rFonts w:hint="eastAsia" w:ascii="宋体" w:hAnsi="宋体" w:cs="宋体"/>
          <w:b/>
          <w:szCs w:val="21"/>
          <w:highlight w:val="none"/>
        </w:rPr>
        <w:t>（2）投标计量单位，招标文件已有明确规定的，使用招标文件规定的计量单位；招标文件没有规定的，应采用中华人民共和国法定计量单位（货币单位：人民币元），否则视同未响应。</w:t>
      </w:r>
    </w:p>
    <w:p>
      <w:pPr>
        <w:snapToGrid w:val="0"/>
        <w:spacing w:line="360" w:lineRule="auto"/>
        <w:ind w:firstLine="413" w:firstLineChars="196"/>
        <w:jc w:val="left"/>
        <w:rPr>
          <w:rFonts w:ascii="宋体" w:hAnsi="宋体" w:cs="宋体"/>
          <w:b/>
          <w:szCs w:val="21"/>
          <w:highlight w:val="none"/>
        </w:rPr>
      </w:pPr>
      <w:bookmarkStart w:id="44" w:name="_Toc3681"/>
      <w:r>
        <w:rPr>
          <w:rFonts w:hint="eastAsia" w:ascii="宋体" w:hAnsi="宋体" w:cs="宋体"/>
          <w:b/>
          <w:szCs w:val="21"/>
          <w:highlight w:val="none"/>
        </w:rPr>
        <w:t>（三）投标报价</w:t>
      </w:r>
      <w:bookmarkEnd w:id="44"/>
    </w:p>
    <w:p>
      <w:pPr>
        <w:pStyle w:val="27"/>
        <w:snapToGrid w:val="0"/>
        <w:spacing w:beforeLines="0" w:afterLines="0" w:line="360" w:lineRule="auto"/>
        <w:ind w:firstLine="420" w:firstLineChars="200"/>
        <w:jc w:val="left"/>
        <w:rPr>
          <w:rFonts w:hint="default" w:hAnsi="宋体" w:cs="宋体"/>
          <w:highlight w:val="none"/>
        </w:rPr>
      </w:pPr>
      <w:r>
        <w:rPr>
          <w:rFonts w:hAnsi="宋体" w:cs="宋体"/>
          <w:highlight w:val="none"/>
        </w:rPr>
        <w:t>1、投标报价应按招标文件中相关附表格式填写。</w:t>
      </w:r>
    </w:p>
    <w:p>
      <w:pPr>
        <w:pStyle w:val="27"/>
        <w:snapToGrid w:val="0"/>
        <w:spacing w:beforeLines="0" w:afterLines="0" w:line="360" w:lineRule="auto"/>
        <w:ind w:firstLine="420" w:firstLineChars="200"/>
        <w:jc w:val="left"/>
        <w:rPr>
          <w:rFonts w:hint="default" w:hAnsi="宋体" w:cs="宋体"/>
          <w:bCs/>
          <w:highlight w:val="none"/>
        </w:rPr>
      </w:pPr>
      <w:r>
        <w:rPr>
          <w:rFonts w:hAnsi="宋体" w:cs="宋体"/>
          <w:bCs/>
          <w:highlight w:val="none"/>
        </w:rPr>
        <w:t xml:space="preserve">★2、投标报价是履行合同的最终价格，具体详见第三章《供应商须知》。 </w:t>
      </w:r>
    </w:p>
    <w:p>
      <w:pPr>
        <w:pStyle w:val="27"/>
        <w:snapToGrid w:val="0"/>
        <w:spacing w:beforeLines="0" w:afterLines="0" w:line="360" w:lineRule="auto"/>
        <w:ind w:firstLine="420" w:firstLineChars="200"/>
        <w:jc w:val="left"/>
        <w:rPr>
          <w:rFonts w:hint="default" w:hAnsi="宋体" w:cs="宋体"/>
          <w:highlight w:val="none"/>
        </w:rPr>
      </w:pPr>
      <w:r>
        <w:rPr>
          <w:rFonts w:hAnsi="宋体" w:cs="宋体"/>
          <w:highlight w:val="none"/>
        </w:rPr>
        <w:t>★3、投标文件只允许有一个报价，有选择的或有条件的报价将不予接受。</w:t>
      </w:r>
    </w:p>
    <w:p>
      <w:pPr>
        <w:pStyle w:val="15"/>
        <w:widowControl w:val="0"/>
        <w:tabs>
          <w:tab w:val="clear" w:pos="454"/>
        </w:tabs>
        <w:snapToGrid w:val="0"/>
        <w:spacing w:afterLines="0" w:line="360" w:lineRule="auto"/>
        <w:ind w:left="0" w:firstLine="413" w:firstLineChars="196"/>
        <w:rPr>
          <w:rFonts w:ascii="宋体" w:hAnsi="宋体" w:cs="宋体"/>
          <w:b/>
          <w:sz w:val="21"/>
          <w:szCs w:val="21"/>
          <w:highlight w:val="none"/>
        </w:rPr>
      </w:pPr>
      <w:r>
        <w:rPr>
          <w:rFonts w:hint="eastAsia" w:ascii="宋体" w:hAnsi="宋体" w:cs="宋体"/>
          <w:b/>
          <w:sz w:val="21"/>
          <w:szCs w:val="21"/>
          <w:highlight w:val="none"/>
        </w:rPr>
        <w:t>（四）投标文件的有效期</w:t>
      </w:r>
    </w:p>
    <w:p>
      <w:pPr>
        <w:pStyle w:val="15"/>
        <w:widowControl w:val="0"/>
        <w:tabs>
          <w:tab w:val="clear" w:pos="454"/>
        </w:tabs>
        <w:snapToGrid w:val="0"/>
        <w:spacing w:afterLines="0" w:line="360" w:lineRule="auto"/>
        <w:ind w:left="0" w:firstLine="422" w:firstLineChars="200"/>
        <w:rPr>
          <w:rFonts w:ascii="宋体" w:hAnsi="宋体" w:cs="宋体"/>
          <w:b/>
          <w:sz w:val="21"/>
          <w:szCs w:val="21"/>
          <w:highlight w:val="none"/>
        </w:rPr>
      </w:pPr>
      <w:r>
        <w:rPr>
          <w:rFonts w:hint="eastAsia" w:ascii="宋体" w:hAnsi="宋体" w:cs="宋体"/>
          <w:b/>
          <w:sz w:val="21"/>
          <w:szCs w:val="21"/>
          <w:highlight w:val="none"/>
        </w:rPr>
        <w:t>★1、自投标截止日起</w:t>
      </w:r>
      <w:r>
        <w:rPr>
          <w:rFonts w:hint="eastAsia" w:ascii="宋体" w:hAnsi="宋体" w:cs="宋体"/>
          <w:b/>
          <w:sz w:val="21"/>
          <w:szCs w:val="21"/>
          <w:highlight w:val="none"/>
          <w:u w:val="single"/>
        </w:rPr>
        <w:t>90</w:t>
      </w:r>
      <w:r>
        <w:rPr>
          <w:rFonts w:hint="eastAsia" w:ascii="宋体" w:hAnsi="宋体" w:cs="宋体"/>
          <w:b/>
          <w:sz w:val="21"/>
          <w:szCs w:val="21"/>
          <w:highlight w:val="none"/>
        </w:rPr>
        <w:t>天投标文件应保持有效。</w:t>
      </w:r>
    </w:p>
    <w:p>
      <w:pPr>
        <w:pStyle w:val="15"/>
        <w:widowControl w:val="0"/>
        <w:tabs>
          <w:tab w:val="clear" w:pos="454"/>
        </w:tabs>
        <w:snapToGrid w:val="0"/>
        <w:spacing w:afterLines="0" w:line="360" w:lineRule="auto"/>
        <w:ind w:left="0" w:firstLine="420" w:firstLineChars="200"/>
        <w:rPr>
          <w:rFonts w:ascii="宋体" w:hAnsi="宋体" w:cs="宋体"/>
          <w:sz w:val="21"/>
          <w:szCs w:val="21"/>
          <w:highlight w:val="none"/>
        </w:rPr>
      </w:pPr>
      <w:r>
        <w:rPr>
          <w:rFonts w:hint="eastAsia" w:ascii="宋体" w:hAnsi="宋体" w:cs="宋体"/>
          <w:sz w:val="21"/>
          <w:szCs w:val="21"/>
          <w:highlight w:val="none"/>
        </w:rPr>
        <w:t>2、在特殊情况下，采购人可与供应商协商延长投标书的有效期，这种要求和答复均以书面形式进行。</w:t>
      </w:r>
    </w:p>
    <w:p>
      <w:pPr>
        <w:snapToGrid w:val="0"/>
        <w:spacing w:line="360" w:lineRule="auto"/>
        <w:ind w:firstLine="420" w:firstLineChars="200"/>
        <w:jc w:val="left"/>
        <w:rPr>
          <w:rFonts w:ascii="宋体" w:hAnsi="宋体" w:cs="宋体"/>
          <w:b/>
          <w:szCs w:val="21"/>
          <w:highlight w:val="none"/>
        </w:rPr>
      </w:pPr>
      <w:bookmarkStart w:id="45" w:name="_Toc24481"/>
      <w:r>
        <w:rPr>
          <w:rFonts w:hint="eastAsia" w:ascii="宋体" w:hAnsi="宋体" w:cs="宋体"/>
          <w:szCs w:val="21"/>
          <w:highlight w:val="none"/>
        </w:rPr>
        <w:t>3、同意延长有效期的供应商不能修改投标文件。</w:t>
      </w:r>
      <w:bookmarkEnd w:id="45"/>
    </w:p>
    <w:p>
      <w:pPr>
        <w:snapToGrid w:val="0"/>
        <w:spacing w:line="360" w:lineRule="auto"/>
        <w:ind w:firstLine="420" w:firstLineChars="200"/>
        <w:jc w:val="left"/>
        <w:rPr>
          <w:rFonts w:ascii="宋体" w:hAnsi="宋体" w:cs="宋体"/>
          <w:b/>
          <w:szCs w:val="21"/>
          <w:highlight w:val="none"/>
        </w:rPr>
      </w:pPr>
      <w:bookmarkStart w:id="46" w:name="_Toc6471"/>
      <w:r>
        <w:rPr>
          <w:rFonts w:hint="eastAsia" w:ascii="宋体" w:hAnsi="宋体" w:cs="宋体"/>
          <w:szCs w:val="21"/>
          <w:highlight w:val="none"/>
        </w:rPr>
        <w:t>4、中标人的投标文件自开标之日起至合同履行完毕止均应保持有效。</w:t>
      </w:r>
      <w:bookmarkEnd w:id="46"/>
    </w:p>
    <w:p>
      <w:pPr>
        <w:snapToGrid w:val="0"/>
        <w:spacing w:line="360" w:lineRule="auto"/>
        <w:ind w:firstLine="413" w:firstLineChars="196"/>
        <w:jc w:val="left"/>
        <w:rPr>
          <w:rFonts w:ascii="宋体" w:hAnsi="宋体" w:cs="宋体"/>
          <w:b/>
          <w:szCs w:val="21"/>
          <w:highlight w:val="none"/>
        </w:rPr>
      </w:pPr>
      <w:bookmarkStart w:id="47" w:name="_Toc14508"/>
      <w:r>
        <w:rPr>
          <w:rFonts w:hint="eastAsia" w:ascii="宋体" w:hAnsi="宋体" w:cs="宋体"/>
          <w:b/>
          <w:szCs w:val="21"/>
          <w:highlight w:val="none"/>
        </w:rPr>
        <w:t>（五）投标文件的签署和份数</w:t>
      </w:r>
      <w:bookmarkEnd w:id="47"/>
    </w:p>
    <w:p>
      <w:pPr>
        <w:spacing w:line="360" w:lineRule="auto"/>
        <w:ind w:firstLine="525" w:firstLineChars="250"/>
        <w:rPr>
          <w:rFonts w:ascii="宋体" w:hAnsi="宋体" w:cs="宋体"/>
          <w:highlight w:val="none"/>
        </w:rPr>
      </w:pPr>
      <w:r>
        <w:rPr>
          <w:rFonts w:hint="eastAsia" w:ascii="宋体" w:hAnsi="宋体" w:cs="宋体"/>
          <w:highlight w:val="none"/>
        </w:rPr>
        <w:t>1</w:t>
      </w:r>
      <w:r>
        <w:rPr>
          <w:rFonts w:hint="eastAsia" w:ascii="宋体" w:hAnsi="宋体" w:cs="宋体"/>
          <w:szCs w:val="21"/>
          <w:highlight w:val="none"/>
        </w:rPr>
        <w:t>、</w:t>
      </w:r>
      <w:r>
        <w:rPr>
          <w:rFonts w:hint="eastAsia" w:ascii="宋体" w:hAnsi="宋体" w:cs="宋体"/>
          <w:highlight w:val="none"/>
        </w:rPr>
        <w:t>供应商应按本招标文件规定的格式和顺序编制投标文件</w:t>
      </w:r>
      <w:r>
        <w:rPr>
          <w:rFonts w:hint="eastAsia" w:ascii="宋体" w:hAnsi="宋体" w:cs="宋体"/>
          <w:szCs w:val="21"/>
          <w:highlight w:val="none"/>
        </w:rPr>
        <w:t>，投标文件要求有目录并标注页码</w:t>
      </w:r>
      <w:r>
        <w:rPr>
          <w:rFonts w:hint="eastAsia" w:ascii="宋体" w:hAnsi="宋体" w:cs="宋体"/>
          <w:highlight w:val="none"/>
        </w:rPr>
        <w:t>，投标文件内容不完整、编排混乱导致投标文件被误读、漏读或者查找不到相关内容的，是供应商的责任。</w:t>
      </w:r>
    </w:p>
    <w:p>
      <w:pPr>
        <w:spacing w:line="360" w:lineRule="auto"/>
        <w:ind w:firstLine="525" w:firstLineChars="250"/>
        <w:rPr>
          <w:rFonts w:ascii="宋体" w:hAnsi="宋体" w:cs="宋体"/>
          <w:highlight w:val="none"/>
        </w:rPr>
      </w:pPr>
      <w:r>
        <w:rPr>
          <w:rFonts w:hint="eastAsia" w:ascii="宋体" w:hAnsi="宋体" w:cs="宋体"/>
          <w:highlight w:val="none"/>
        </w:rPr>
        <w:t>2、投标文件的份数：</w:t>
      </w:r>
    </w:p>
    <w:p>
      <w:pPr>
        <w:spacing w:line="360" w:lineRule="auto"/>
        <w:ind w:firstLine="525" w:firstLineChars="250"/>
        <w:rPr>
          <w:rFonts w:ascii="宋体" w:hAnsi="宋体" w:cs="宋体"/>
          <w:highlight w:val="none"/>
        </w:rPr>
      </w:pPr>
      <w:r>
        <w:rPr>
          <w:rFonts w:hint="eastAsia" w:ascii="宋体" w:hAnsi="宋体" w:cs="宋体"/>
          <w:highlight w:val="none"/>
        </w:rPr>
        <w:t>本项目实行网上投标，供应商应准备以下投标文件：</w:t>
      </w:r>
    </w:p>
    <w:p>
      <w:pPr>
        <w:spacing w:line="360" w:lineRule="auto"/>
        <w:ind w:firstLine="525" w:firstLineChars="250"/>
        <w:rPr>
          <w:rFonts w:ascii="宋体" w:hAnsi="宋体" w:cs="宋体"/>
          <w:highlight w:val="none"/>
        </w:rPr>
      </w:pPr>
      <w:r>
        <w:rPr>
          <w:rFonts w:hint="eastAsia" w:ascii="宋体" w:hAnsi="宋体" w:cs="宋体"/>
          <w:highlight w:val="none"/>
        </w:rPr>
        <w:t>（1）上传到政府采购云平台的电子投标文件（含资格文件、商务技术文件、报价文件）1份。</w:t>
      </w:r>
    </w:p>
    <w:p>
      <w:pPr>
        <w:spacing w:line="360" w:lineRule="auto"/>
        <w:ind w:firstLine="525" w:firstLineChars="250"/>
        <w:rPr>
          <w:rFonts w:ascii="宋体" w:hAnsi="宋体" w:cs="宋体"/>
          <w:highlight w:val="none"/>
        </w:rPr>
      </w:pPr>
      <w:r>
        <w:rPr>
          <w:rFonts w:hint="eastAsia" w:ascii="宋体" w:hAnsi="宋体" w:cs="宋体"/>
          <w:highlight w:val="none"/>
        </w:rPr>
        <w:t>（2）以U盘存储的电子备份投标文件（含资格文件、商务技术文件、报价文件）1份。</w:t>
      </w:r>
    </w:p>
    <w:p>
      <w:pPr>
        <w:spacing w:line="360" w:lineRule="auto"/>
        <w:ind w:firstLine="525" w:firstLineChars="250"/>
        <w:rPr>
          <w:rFonts w:ascii="宋体" w:hAnsi="宋体" w:cs="宋体"/>
          <w:highlight w:val="none"/>
        </w:rPr>
      </w:pPr>
      <w:r>
        <w:rPr>
          <w:rFonts w:hint="eastAsia" w:ascii="宋体" w:hAnsi="宋体" w:cs="宋体"/>
          <w:highlight w:val="none"/>
        </w:rPr>
        <w:t>3、电子投标文件：</w:t>
      </w:r>
    </w:p>
    <w:p>
      <w:pPr>
        <w:spacing w:line="360" w:lineRule="auto"/>
        <w:ind w:firstLine="525" w:firstLineChars="250"/>
        <w:rPr>
          <w:rFonts w:ascii="宋体" w:hAnsi="宋体" w:cs="宋体"/>
          <w:highlight w:val="none"/>
        </w:rPr>
      </w:pPr>
      <w:r>
        <w:rPr>
          <w:rFonts w:hint="eastAsia" w:ascii="宋体" w:hAnsi="宋体" w:cs="宋体"/>
          <w:highlight w:val="none"/>
        </w:rPr>
        <w:t>3.1供应商应根据</w:t>
      </w:r>
      <w:r>
        <w:rPr>
          <w:rFonts w:hint="eastAsia" w:ascii="宋体" w:hAnsi="宋体" w:cs="宋体"/>
          <w:kern w:val="0"/>
          <w:szCs w:val="21"/>
          <w:highlight w:val="none"/>
        </w:rPr>
        <w:t>政府采购云平台的要求</w:t>
      </w:r>
      <w:r>
        <w:rPr>
          <w:rFonts w:hint="eastAsia" w:ascii="宋体" w:hAnsi="宋体" w:cs="宋体"/>
          <w:highlight w:val="none"/>
        </w:rPr>
        <w:t>及本招标文件规定的格式和顺序编制电子投标文件并进行关联定位。</w:t>
      </w:r>
    </w:p>
    <w:p>
      <w:pPr>
        <w:spacing w:line="360" w:lineRule="auto"/>
        <w:ind w:firstLine="525" w:firstLineChars="250"/>
        <w:rPr>
          <w:rFonts w:ascii="宋体" w:hAnsi="宋体" w:cs="宋体"/>
          <w:highlight w:val="none"/>
        </w:rPr>
      </w:pPr>
      <w:r>
        <w:rPr>
          <w:rFonts w:hint="eastAsia" w:ascii="宋体" w:hAnsi="宋体" w:cs="宋体"/>
          <w:highlight w:val="none"/>
        </w:rPr>
        <w:t>4、投标文件不得涂改，若有修改错漏处，须加盖单位公章或者法定代表人或授权委托人签名或盖章。投标文件因字迹潦草或表达不清所引起的后果由供应商负责。</w:t>
      </w:r>
    </w:p>
    <w:p>
      <w:pPr>
        <w:spacing w:line="360" w:lineRule="auto"/>
        <w:ind w:firstLine="525" w:firstLineChars="250"/>
        <w:rPr>
          <w:rFonts w:ascii="宋体" w:hAnsi="宋体" w:cs="宋体"/>
          <w:highlight w:val="none"/>
        </w:rPr>
      </w:pPr>
      <w:r>
        <w:rPr>
          <w:rFonts w:hint="eastAsia" w:ascii="宋体" w:hAnsi="宋体" w:cs="宋体"/>
          <w:highlight w:val="none"/>
        </w:rPr>
        <w:t>5、投标文件须由供应商在规定位置盖章并由法定代表人或法定代表人的授权委托人签署（签名或盖章），供应商应写全称。</w:t>
      </w:r>
      <w:r>
        <w:rPr>
          <w:rFonts w:hint="eastAsia" w:ascii="宋体" w:hAnsi="宋体" w:cs="宋体"/>
          <w:kern w:val="2"/>
          <w:szCs w:val="24"/>
          <w:highlight w:val="none"/>
        </w:rPr>
        <w:t>如为联合体投标，除本招标文件有说明外，仅需加盖联合体牵头人的法人章并经其法定代表人（或其委托代理人）签字或盖章。</w:t>
      </w:r>
    </w:p>
    <w:p>
      <w:pPr>
        <w:snapToGrid w:val="0"/>
        <w:spacing w:line="360" w:lineRule="auto"/>
        <w:ind w:firstLine="310" w:firstLineChars="147"/>
        <w:jc w:val="left"/>
        <w:rPr>
          <w:rFonts w:ascii="宋体" w:hAnsi="宋体" w:cs="宋体"/>
          <w:b/>
          <w:szCs w:val="21"/>
          <w:highlight w:val="none"/>
        </w:rPr>
      </w:pPr>
      <w:r>
        <w:rPr>
          <w:rFonts w:hint="eastAsia" w:ascii="宋体" w:hAnsi="宋体" w:cs="宋体"/>
          <w:b/>
          <w:szCs w:val="21"/>
          <w:highlight w:val="none"/>
        </w:rPr>
        <w:t>（六）投标文件的包装、递交、修改和撤回</w:t>
      </w:r>
    </w:p>
    <w:p>
      <w:pPr>
        <w:snapToGrid w:val="0"/>
        <w:spacing w:line="360" w:lineRule="auto"/>
        <w:ind w:firstLine="420"/>
        <w:jc w:val="left"/>
        <w:rPr>
          <w:rFonts w:ascii="宋体" w:hAnsi="宋体" w:cs="宋体"/>
          <w:szCs w:val="21"/>
          <w:highlight w:val="none"/>
        </w:rPr>
      </w:pPr>
      <w:r>
        <w:rPr>
          <w:rFonts w:hint="eastAsia" w:ascii="宋体" w:hAnsi="宋体" w:cs="宋体"/>
          <w:szCs w:val="21"/>
          <w:highlight w:val="none"/>
        </w:rPr>
        <w:t>1、</w:t>
      </w:r>
      <w:r>
        <w:rPr>
          <w:rFonts w:hint="eastAsia" w:ascii="宋体" w:hAnsi="宋体" w:cs="宋体"/>
          <w:kern w:val="0"/>
          <w:szCs w:val="21"/>
          <w:highlight w:val="none"/>
        </w:rPr>
        <w:t>以U盘存储的电子备份投标文件</w:t>
      </w:r>
      <w:r>
        <w:rPr>
          <w:rFonts w:hint="eastAsia" w:ascii="宋体" w:hAnsi="宋体" w:cs="宋体"/>
          <w:szCs w:val="21"/>
          <w:highlight w:val="none"/>
        </w:rPr>
        <w:t>用封袋密封后递交。</w:t>
      </w:r>
    </w:p>
    <w:p>
      <w:pPr>
        <w:snapToGrid w:val="0"/>
        <w:spacing w:line="360" w:lineRule="auto"/>
        <w:ind w:firstLine="420"/>
        <w:jc w:val="left"/>
        <w:rPr>
          <w:rFonts w:ascii="宋体" w:hAnsi="宋体" w:cs="宋体"/>
          <w:szCs w:val="21"/>
          <w:highlight w:val="none"/>
        </w:rPr>
      </w:pPr>
      <w:r>
        <w:rPr>
          <w:rFonts w:hint="eastAsia" w:ascii="宋体" w:hAnsi="宋体" w:cs="宋体"/>
          <w:szCs w:val="21"/>
          <w:highlight w:val="none"/>
        </w:rPr>
        <w:t>2、</w:t>
      </w:r>
      <w:r>
        <w:rPr>
          <w:rFonts w:hint="eastAsia" w:ascii="宋体" w:hAnsi="宋体" w:cs="宋体"/>
          <w:kern w:val="0"/>
          <w:szCs w:val="21"/>
          <w:highlight w:val="none"/>
        </w:rPr>
        <w:t>电子备份投标文件</w:t>
      </w:r>
      <w:r>
        <w:rPr>
          <w:rFonts w:hint="eastAsia" w:ascii="宋体" w:hAnsi="宋体" w:cs="宋体"/>
          <w:szCs w:val="21"/>
          <w:highlight w:val="none"/>
        </w:rPr>
        <w:t>的包装封面上应注明供应商名称、供应商地址、投标文件名称(电子备份投标文件)、投标项目名称、项目编号、标项号，并加盖供应商公章。</w:t>
      </w:r>
    </w:p>
    <w:p>
      <w:pPr>
        <w:snapToGrid w:val="0"/>
        <w:spacing w:line="360" w:lineRule="auto"/>
        <w:ind w:firstLine="420"/>
        <w:jc w:val="left"/>
        <w:rPr>
          <w:rFonts w:ascii="宋体" w:hAnsi="宋体" w:cs="宋体"/>
          <w:szCs w:val="21"/>
          <w:highlight w:val="none"/>
        </w:rPr>
      </w:pPr>
      <w:r>
        <w:rPr>
          <w:rFonts w:hint="eastAsia" w:ascii="宋体" w:hAnsi="宋体" w:cs="宋体"/>
          <w:szCs w:val="21"/>
          <w:highlight w:val="none"/>
        </w:rPr>
        <w:t>3、未按规定密封或标记的</w:t>
      </w:r>
      <w:r>
        <w:rPr>
          <w:rFonts w:hint="eastAsia" w:ascii="宋体" w:hAnsi="宋体" w:cs="宋体"/>
          <w:kern w:val="0"/>
          <w:szCs w:val="21"/>
          <w:highlight w:val="none"/>
        </w:rPr>
        <w:t>电子备份投标文件</w:t>
      </w:r>
      <w:r>
        <w:rPr>
          <w:rFonts w:hint="eastAsia" w:ascii="宋体" w:hAnsi="宋体" w:cs="宋体"/>
          <w:szCs w:val="21"/>
          <w:highlight w:val="none"/>
        </w:rPr>
        <w:t>将被拒绝，由此造成</w:t>
      </w:r>
      <w:r>
        <w:rPr>
          <w:rFonts w:hint="eastAsia" w:ascii="宋体" w:hAnsi="宋体" w:cs="宋体"/>
          <w:kern w:val="0"/>
          <w:szCs w:val="21"/>
          <w:highlight w:val="none"/>
        </w:rPr>
        <w:t>电子备份投标文件</w:t>
      </w:r>
      <w:r>
        <w:rPr>
          <w:rFonts w:hint="eastAsia" w:ascii="宋体" w:hAnsi="宋体" w:cs="宋体"/>
          <w:szCs w:val="21"/>
          <w:highlight w:val="none"/>
        </w:rPr>
        <w:t>被提前拆封的风险由供应商承担。</w:t>
      </w:r>
    </w:p>
    <w:p>
      <w:pPr>
        <w:snapToGrid w:val="0"/>
        <w:spacing w:line="360" w:lineRule="auto"/>
        <w:ind w:firstLine="420"/>
        <w:jc w:val="left"/>
        <w:rPr>
          <w:rFonts w:ascii="宋体" w:hAnsi="宋体" w:cs="宋体"/>
          <w:szCs w:val="21"/>
          <w:highlight w:val="none"/>
        </w:rPr>
      </w:pPr>
      <w:r>
        <w:rPr>
          <w:rFonts w:hint="eastAsia" w:ascii="宋体" w:hAnsi="宋体" w:cs="宋体"/>
          <w:szCs w:val="21"/>
          <w:highlight w:val="none"/>
        </w:rPr>
        <w:t>4、供应商在投标截止时间之前，可以对已提交的</w:t>
      </w:r>
      <w:r>
        <w:rPr>
          <w:rFonts w:hint="eastAsia" w:ascii="宋体" w:hAnsi="宋体" w:cs="宋体"/>
          <w:kern w:val="0"/>
          <w:szCs w:val="21"/>
          <w:highlight w:val="none"/>
        </w:rPr>
        <w:t>电子备份投标文件</w:t>
      </w:r>
      <w:r>
        <w:rPr>
          <w:rFonts w:hint="eastAsia" w:ascii="宋体" w:hAnsi="宋体" w:cs="宋体"/>
          <w:szCs w:val="21"/>
          <w:highlight w:val="none"/>
        </w:rPr>
        <w:t>进行修改或撤回，并书面通知招标采购单位；投标截止时间后，供应商不得撤回、修改</w:t>
      </w:r>
      <w:r>
        <w:rPr>
          <w:rFonts w:hint="eastAsia" w:ascii="宋体" w:hAnsi="宋体" w:cs="宋体"/>
          <w:kern w:val="0"/>
          <w:szCs w:val="21"/>
          <w:highlight w:val="none"/>
        </w:rPr>
        <w:t>电子备份投标文件</w:t>
      </w:r>
      <w:r>
        <w:rPr>
          <w:rFonts w:hint="eastAsia" w:ascii="宋体" w:hAnsi="宋体" w:cs="宋体"/>
          <w:szCs w:val="21"/>
          <w:highlight w:val="none"/>
        </w:rPr>
        <w:t>。修改后重新递交的</w:t>
      </w:r>
      <w:r>
        <w:rPr>
          <w:rFonts w:hint="eastAsia" w:ascii="宋体" w:hAnsi="宋体" w:cs="宋体"/>
          <w:kern w:val="0"/>
          <w:szCs w:val="21"/>
          <w:highlight w:val="none"/>
        </w:rPr>
        <w:t>电子备份投标文件</w:t>
      </w:r>
      <w:r>
        <w:rPr>
          <w:rFonts w:hint="eastAsia" w:ascii="宋体" w:hAnsi="宋体" w:cs="宋体"/>
          <w:szCs w:val="21"/>
          <w:highlight w:val="none"/>
        </w:rPr>
        <w:t>应当按本招标文件的要求签署、盖章和密封。</w:t>
      </w:r>
    </w:p>
    <w:p>
      <w:pPr>
        <w:snapToGrid w:val="0"/>
        <w:spacing w:line="360" w:lineRule="auto"/>
        <w:ind w:firstLine="420"/>
        <w:jc w:val="left"/>
        <w:rPr>
          <w:rFonts w:ascii="宋体" w:hAnsi="宋体" w:cs="宋体"/>
          <w:szCs w:val="21"/>
          <w:highlight w:val="none"/>
        </w:rPr>
      </w:pPr>
      <w:r>
        <w:rPr>
          <w:rFonts w:hint="eastAsia" w:ascii="宋体" w:hAnsi="宋体" w:cs="宋体"/>
          <w:szCs w:val="21"/>
          <w:highlight w:val="none"/>
        </w:rPr>
        <w:t>5、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pStyle w:val="27"/>
        <w:snapToGrid w:val="0"/>
        <w:spacing w:beforeLines="0" w:afterLines="0" w:line="360" w:lineRule="auto"/>
        <w:ind w:left="772" w:leftChars="267" w:hanging="211" w:hangingChars="100"/>
        <w:rPr>
          <w:rFonts w:hint="default" w:hAnsi="宋体" w:cs="宋体"/>
          <w:b/>
          <w:highlight w:val="none"/>
        </w:rPr>
      </w:pPr>
      <w:bookmarkStart w:id="48" w:name="_Toc2054"/>
      <w:r>
        <w:rPr>
          <w:rFonts w:hAnsi="宋体" w:cs="宋体"/>
          <w:b/>
          <w:highlight w:val="none"/>
        </w:rPr>
        <w:t>（七）投标文件的形式和效力</w:t>
      </w:r>
    </w:p>
    <w:p>
      <w:pPr>
        <w:snapToGrid w:val="0"/>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1、投标文件分为：“电子投标文件”和“电子备份投标文件”。</w:t>
      </w:r>
    </w:p>
    <w:p>
      <w:pPr>
        <w:snapToGrid w:val="0"/>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2、“电子投标文件”是指通过“政采云电子交易客户端”完成投标文件编制后生成并加密的数据电文形式的投标文件（文件后缀为：jmbs）。</w:t>
      </w:r>
    </w:p>
    <w:p>
      <w:pPr>
        <w:snapToGrid w:val="0"/>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3、“电子备份投标文件”是指与“电子投标文件”同时生成的数据电文形式的电子文件文件后缀为：bfbs（备份标书），其他方式编制的备份投标文件视为无效备份投标文件。</w:t>
      </w:r>
    </w:p>
    <w:p>
      <w:pPr>
        <w:snapToGrid w:val="0"/>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4、投标文件的效力：投标文件的启用，按先后顺位分别为“电子投标文件”、“电子备份投标文件”。在“电子备份投标文件”启用时，“电子投标文件”自动失效。“电子投标文件”在规定解密时间内无法解密时，供应商若在投标截止时间之前递交了“电子备份投标文件”的，由采购代理机构上传“电子备份投标文件”进行异常处理，并对“电子备份投标文件”进行解密，未在投标截止时间之前递交“电子备份投标文件”的视为放弃投标。其余供应商通过“政府采购云平台”上传递交的已按时解密的“电子投标文件”继续有效，其“电子备份投标文件”自动失效。</w:t>
      </w:r>
    </w:p>
    <w:p>
      <w:pPr>
        <w:pStyle w:val="27"/>
        <w:snapToGrid w:val="0"/>
        <w:spacing w:beforeLines="0" w:afterLines="0" w:line="360" w:lineRule="auto"/>
        <w:ind w:left="772" w:leftChars="267" w:hanging="211" w:hangingChars="100"/>
        <w:rPr>
          <w:rFonts w:hint="default" w:hAnsi="宋体" w:cs="宋体"/>
          <w:b/>
          <w:highlight w:val="none"/>
        </w:rPr>
      </w:pPr>
      <w:r>
        <w:rPr>
          <w:rFonts w:hAnsi="宋体" w:cs="宋体"/>
          <w:b/>
          <w:highlight w:val="none"/>
        </w:rPr>
        <w:t>四、特别说明</w:t>
      </w:r>
      <w:bookmarkEnd w:id="48"/>
    </w:p>
    <w:p>
      <w:pPr>
        <w:snapToGrid w:val="0"/>
        <w:spacing w:line="360" w:lineRule="auto"/>
        <w:ind w:firstLine="420"/>
        <w:jc w:val="left"/>
        <w:rPr>
          <w:rFonts w:ascii="宋体" w:hAnsi="宋体" w:cs="宋体"/>
          <w:szCs w:val="21"/>
          <w:highlight w:val="none"/>
          <w:lang w:val="zh-CN"/>
        </w:rPr>
      </w:pPr>
      <w:r>
        <w:rPr>
          <w:rFonts w:hint="eastAsia" w:ascii="宋体" w:hAnsi="宋体" w:cs="宋体"/>
          <w:szCs w:val="21"/>
          <w:highlight w:val="none"/>
          <w:lang w:val="zh-CN"/>
        </w:rPr>
        <w:t>1、本项目</w:t>
      </w:r>
      <w:r>
        <w:rPr>
          <w:rFonts w:hint="eastAsia" w:ascii="宋体" w:hAnsi="宋体" w:cs="宋体"/>
          <w:szCs w:val="21"/>
          <w:highlight w:val="none"/>
          <w:u w:val="single"/>
          <w:lang w:val="en-US" w:eastAsia="zh-CN"/>
        </w:rPr>
        <w:t>非</w:t>
      </w:r>
      <w:r>
        <w:rPr>
          <w:rFonts w:hint="eastAsia" w:ascii="宋体" w:hAnsi="宋体" w:cs="宋体"/>
          <w:szCs w:val="21"/>
          <w:highlight w:val="none"/>
          <w:lang w:val="zh-CN"/>
        </w:rPr>
        <w:t>专门面向中小企业采购。</w:t>
      </w:r>
    </w:p>
    <w:p>
      <w:pPr>
        <w:snapToGrid w:val="0"/>
        <w:spacing w:line="360" w:lineRule="auto"/>
        <w:ind w:firstLine="420"/>
        <w:jc w:val="left"/>
        <w:rPr>
          <w:rFonts w:ascii="宋体" w:hAnsi="宋体" w:cs="宋体"/>
          <w:szCs w:val="21"/>
          <w:highlight w:val="none"/>
          <w:lang w:val="zh-CN"/>
        </w:rPr>
      </w:pPr>
      <w:r>
        <w:rPr>
          <w:rFonts w:hint="eastAsia" w:ascii="宋体" w:hAnsi="宋体" w:cs="宋体"/>
          <w:szCs w:val="21"/>
          <w:highlight w:val="none"/>
          <w:lang w:val="zh-CN"/>
        </w:rPr>
        <w:t>2、本项目对应的中小企业划分标准所属行业：</w:t>
      </w:r>
      <w:r>
        <w:rPr>
          <w:rFonts w:hint="eastAsia" w:hAnsi="宋体" w:cs="宋体"/>
          <w:szCs w:val="21"/>
          <w:highlight w:val="none"/>
          <w:u w:val="single"/>
        </w:rPr>
        <w:t xml:space="preserve"> 其他未列明行业 </w:t>
      </w:r>
      <w:r>
        <w:rPr>
          <w:rFonts w:hint="eastAsia" w:ascii="宋体" w:hAnsi="宋体" w:cs="宋体"/>
          <w:szCs w:val="21"/>
          <w:highlight w:val="none"/>
          <w:lang w:val="zh-CN"/>
        </w:rPr>
        <w:t xml:space="preserve">。 </w:t>
      </w:r>
    </w:p>
    <w:p>
      <w:pPr>
        <w:snapToGrid w:val="0"/>
        <w:spacing w:line="360" w:lineRule="auto"/>
        <w:ind w:firstLine="420"/>
        <w:jc w:val="left"/>
        <w:rPr>
          <w:rFonts w:ascii="宋体" w:hAnsi="宋体" w:cs="宋体"/>
          <w:szCs w:val="21"/>
          <w:highlight w:val="none"/>
          <w:lang w:val="zh-CN"/>
        </w:rPr>
      </w:pPr>
      <w:r>
        <w:rPr>
          <w:rFonts w:hint="eastAsia" w:ascii="宋体" w:hAnsi="宋体" w:cs="宋体"/>
          <w:szCs w:val="21"/>
          <w:highlight w:val="none"/>
          <w:lang w:val="zh-CN"/>
        </w:rPr>
        <w:t>3、小微企业是指中华人民共和国境内依法设立，依据国务院批准的中小企业划分标准确定的小型企业和微型企业，但与大企业的负责人为同一人，或者与大企业存在直接控股、管理关系的除外。</w:t>
      </w:r>
    </w:p>
    <w:p>
      <w:pPr>
        <w:snapToGrid w:val="0"/>
        <w:spacing w:line="360" w:lineRule="auto"/>
        <w:ind w:firstLine="420"/>
        <w:jc w:val="left"/>
        <w:rPr>
          <w:rFonts w:ascii="宋体" w:hAnsi="宋体" w:cs="宋体"/>
          <w:szCs w:val="21"/>
          <w:highlight w:val="none"/>
          <w:lang w:val="zh-CN"/>
        </w:rPr>
      </w:pPr>
      <w:r>
        <w:rPr>
          <w:rFonts w:hint="eastAsia" w:ascii="宋体" w:hAnsi="宋体" w:cs="宋体"/>
          <w:szCs w:val="21"/>
          <w:highlight w:val="none"/>
          <w:lang w:val="zh-CN"/>
        </w:rPr>
        <w:t>符合中小企业划分标准的个体工商户，在政府采购活动中视同中小企业。</w:t>
      </w:r>
    </w:p>
    <w:p>
      <w:pPr>
        <w:snapToGrid w:val="0"/>
        <w:spacing w:line="360" w:lineRule="auto"/>
        <w:ind w:firstLine="420"/>
        <w:jc w:val="left"/>
        <w:rPr>
          <w:rFonts w:ascii="宋体" w:hAnsi="宋体" w:cs="宋体"/>
          <w:szCs w:val="21"/>
          <w:highlight w:val="none"/>
          <w:lang w:val="zh-CN"/>
        </w:rPr>
      </w:pPr>
      <w:r>
        <w:rPr>
          <w:rFonts w:hint="eastAsia" w:ascii="宋体" w:hAnsi="宋体" w:cs="宋体"/>
          <w:szCs w:val="21"/>
          <w:highlight w:val="none"/>
          <w:lang w:val="zh-CN"/>
        </w:rPr>
        <w:t>国务院批准的中小企业划分标准：具体见工信部联企业[2011]300号。</w:t>
      </w:r>
    </w:p>
    <w:p>
      <w:pPr>
        <w:snapToGrid w:val="0"/>
        <w:spacing w:line="360" w:lineRule="auto"/>
        <w:ind w:firstLine="420"/>
        <w:jc w:val="left"/>
        <w:rPr>
          <w:rFonts w:ascii="宋体" w:hAnsi="宋体" w:cs="宋体"/>
          <w:szCs w:val="21"/>
          <w:highlight w:val="none"/>
          <w:lang w:val="zh-CN"/>
        </w:rPr>
      </w:pPr>
      <w:r>
        <w:rPr>
          <w:rFonts w:hint="eastAsia" w:ascii="宋体" w:hAnsi="宋体" w:cs="宋体"/>
          <w:szCs w:val="21"/>
          <w:highlight w:val="none"/>
          <w:lang w:val="zh-CN"/>
        </w:rPr>
        <w:t>4、在政府采购活动中，供应商提供的货物、工程或者服务符合下列情形的，可享受小型、微型企业（以下简称小微企业）的价格扣除：</w:t>
      </w:r>
    </w:p>
    <w:p>
      <w:pPr>
        <w:snapToGrid w:val="0"/>
        <w:spacing w:line="360" w:lineRule="auto"/>
        <w:ind w:firstLine="420"/>
        <w:jc w:val="left"/>
        <w:rPr>
          <w:rFonts w:ascii="宋体" w:hAnsi="宋体" w:cs="宋体"/>
          <w:szCs w:val="21"/>
          <w:highlight w:val="none"/>
          <w:lang w:val="zh-CN"/>
        </w:rPr>
      </w:pPr>
      <w:r>
        <w:rPr>
          <w:rFonts w:hint="eastAsia" w:ascii="宋体" w:hAnsi="宋体" w:cs="宋体"/>
          <w:szCs w:val="21"/>
          <w:highlight w:val="none"/>
          <w:lang w:val="zh-CN"/>
        </w:rPr>
        <w:t>（1）在货物采购项目中，货物由小微企业制造，即货物由小微企业生产且使用该小微企业商号或者注册商标；</w:t>
      </w:r>
    </w:p>
    <w:p>
      <w:pPr>
        <w:snapToGrid w:val="0"/>
        <w:spacing w:line="360" w:lineRule="auto"/>
        <w:ind w:firstLine="420"/>
        <w:jc w:val="left"/>
        <w:rPr>
          <w:rFonts w:ascii="宋体" w:hAnsi="宋体" w:cs="宋体"/>
          <w:szCs w:val="21"/>
          <w:highlight w:val="none"/>
          <w:lang w:val="zh-CN"/>
        </w:rPr>
      </w:pPr>
      <w:r>
        <w:rPr>
          <w:rFonts w:hint="eastAsia" w:ascii="宋体" w:hAnsi="宋体" w:cs="宋体"/>
          <w:szCs w:val="21"/>
          <w:highlight w:val="none"/>
          <w:lang w:val="zh-CN"/>
        </w:rPr>
        <w:t>（2）在工程采购项目中，工程由小微企业承建，即工程施工单位为小微企业；</w:t>
      </w:r>
    </w:p>
    <w:p>
      <w:pPr>
        <w:snapToGrid w:val="0"/>
        <w:spacing w:line="360" w:lineRule="auto"/>
        <w:ind w:firstLine="420"/>
        <w:jc w:val="left"/>
        <w:rPr>
          <w:rFonts w:ascii="宋体" w:hAnsi="宋体" w:cs="宋体"/>
          <w:szCs w:val="21"/>
          <w:highlight w:val="none"/>
          <w:lang w:val="zh-CN"/>
        </w:rPr>
      </w:pPr>
      <w:r>
        <w:rPr>
          <w:rFonts w:hint="eastAsia" w:ascii="宋体" w:hAnsi="宋体" w:cs="宋体"/>
          <w:szCs w:val="21"/>
          <w:highlight w:val="none"/>
          <w:lang w:val="zh-CN"/>
        </w:rPr>
        <w:t>（3）在服务采购项目中，服务由小微企业承接，即提供服务的人员为小微企业依照《中华人民共和国劳动合同法》订立劳动合同的从业人员。</w:t>
      </w:r>
    </w:p>
    <w:p>
      <w:pPr>
        <w:snapToGrid w:val="0"/>
        <w:spacing w:line="360" w:lineRule="auto"/>
        <w:ind w:firstLine="420"/>
        <w:jc w:val="left"/>
        <w:rPr>
          <w:rFonts w:ascii="宋体" w:hAnsi="宋体" w:cs="宋体"/>
          <w:szCs w:val="21"/>
          <w:highlight w:val="none"/>
          <w:lang w:val="zh-CN"/>
        </w:rPr>
      </w:pPr>
      <w:r>
        <w:rPr>
          <w:rFonts w:hint="eastAsia" w:ascii="宋体" w:hAnsi="宋体" w:cs="宋体"/>
          <w:szCs w:val="21"/>
          <w:highlight w:val="none"/>
          <w:lang w:val="zh-CN"/>
        </w:rPr>
        <w:t>以联合体形式参加政府采购活动，联合体各方均为小微企业的，联合体视同小微企业。</w:t>
      </w:r>
    </w:p>
    <w:p>
      <w:pPr>
        <w:snapToGrid w:val="0"/>
        <w:spacing w:line="360" w:lineRule="auto"/>
        <w:ind w:firstLine="420"/>
        <w:jc w:val="left"/>
        <w:rPr>
          <w:rFonts w:ascii="宋体" w:hAnsi="宋体" w:cs="宋体"/>
          <w:szCs w:val="21"/>
          <w:highlight w:val="none"/>
          <w:lang w:val="zh-CN"/>
        </w:rPr>
      </w:pPr>
      <w:r>
        <w:rPr>
          <w:rFonts w:hint="eastAsia" w:ascii="宋体" w:hAnsi="宋体" w:cs="宋体"/>
          <w:szCs w:val="21"/>
          <w:highlight w:val="none"/>
          <w:lang w:val="zh-CN"/>
        </w:rPr>
        <w:t>5、在货物采购项目中，供应商提供的货物既有中小企业制造货物，也有大型企业制造货物的，不享受的小微企业价格扣除。</w:t>
      </w:r>
    </w:p>
    <w:p>
      <w:pPr>
        <w:snapToGrid w:val="0"/>
        <w:spacing w:line="360" w:lineRule="auto"/>
        <w:ind w:firstLine="420"/>
        <w:jc w:val="left"/>
        <w:rPr>
          <w:rFonts w:ascii="宋体" w:hAnsi="宋体" w:cs="宋体"/>
          <w:szCs w:val="21"/>
          <w:highlight w:val="none"/>
          <w:lang w:val="zh-CN"/>
        </w:rPr>
      </w:pPr>
      <w:r>
        <w:rPr>
          <w:rFonts w:hint="eastAsia" w:ascii="宋体" w:hAnsi="宋体" w:cs="宋体"/>
          <w:szCs w:val="21"/>
          <w:highlight w:val="none"/>
          <w:lang w:val="zh-CN"/>
        </w:rPr>
        <w:t>6、本项目对符合《政府采购促进中小企业发展管理办法》（财库﹝2020﹞46号）规定的小微企业报价给予</w:t>
      </w:r>
      <w:r>
        <w:rPr>
          <w:rFonts w:hint="eastAsia" w:ascii="宋体" w:hAnsi="宋体" w:cs="宋体"/>
          <w:szCs w:val="21"/>
          <w:highlight w:val="none"/>
        </w:rPr>
        <w:t>20</w:t>
      </w:r>
      <w:r>
        <w:rPr>
          <w:rFonts w:hint="eastAsia" w:ascii="宋体" w:hAnsi="宋体" w:cs="宋体"/>
          <w:szCs w:val="21"/>
          <w:highlight w:val="none"/>
          <w:lang w:val="zh-CN"/>
        </w:rPr>
        <w:t>%（工程项目为</w:t>
      </w:r>
      <w:r>
        <w:rPr>
          <w:rFonts w:hint="eastAsia" w:ascii="宋体" w:hAnsi="宋体" w:cs="宋体"/>
          <w:szCs w:val="21"/>
          <w:highlight w:val="none"/>
        </w:rPr>
        <w:t>5</w:t>
      </w:r>
      <w:r>
        <w:rPr>
          <w:rFonts w:hint="eastAsia" w:ascii="宋体" w:hAnsi="宋体" w:cs="宋体"/>
          <w:szCs w:val="21"/>
          <w:highlight w:val="none"/>
          <w:lang w:val="zh-CN"/>
        </w:rPr>
        <w:t>%）的扣除，用扣除后的价格参加评审。</w:t>
      </w:r>
    </w:p>
    <w:p>
      <w:pPr>
        <w:snapToGrid w:val="0"/>
        <w:spacing w:line="360" w:lineRule="auto"/>
        <w:ind w:firstLine="420"/>
        <w:jc w:val="left"/>
        <w:rPr>
          <w:rFonts w:ascii="宋体" w:hAnsi="宋体" w:cs="宋体"/>
          <w:szCs w:val="21"/>
          <w:highlight w:val="none"/>
          <w:lang w:val="zh-CN"/>
        </w:rPr>
      </w:pPr>
      <w:r>
        <w:rPr>
          <w:rFonts w:hint="eastAsia" w:ascii="宋体" w:hAnsi="宋体" w:cs="宋体"/>
          <w:szCs w:val="21"/>
          <w:highlight w:val="none"/>
          <w:lang w:val="zh-CN"/>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szCs w:val="21"/>
          <w:highlight w:val="none"/>
        </w:rPr>
        <w:t>6</w:t>
      </w:r>
      <w:r>
        <w:rPr>
          <w:rFonts w:hint="eastAsia" w:ascii="宋体" w:hAnsi="宋体" w:cs="宋体"/>
          <w:szCs w:val="21"/>
          <w:highlight w:val="none"/>
          <w:lang w:val="zh-CN"/>
        </w:rPr>
        <w:t xml:space="preserve">%（工程项目为 </w:t>
      </w:r>
      <w:r>
        <w:rPr>
          <w:rFonts w:hint="eastAsia" w:ascii="宋体" w:hAnsi="宋体" w:cs="宋体"/>
          <w:szCs w:val="21"/>
          <w:highlight w:val="none"/>
        </w:rPr>
        <w:t>2</w:t>
      </w:r>
      <w:r>
        <w:rPr>
          <w:rFonts w:hint="eastAsia" w:ascii="宋体" w:hAnsi="宋体" w:cs="宋体"/>
          <w:szCs w:val="21"/>
          <w:highlight w:val="none"/>
          <w:lang w:val="zh-CN"/>
        </w:rPr>
        <w:t>%）的扣除，用扣除后的价格参加评审。组成联合体或者接受分包的小微企业与联合体内其他企业、分包企业之间存在直接控股、管理关系的，不享受价格扣除优惠政策。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20"/>
        <w:jc w:val="left"/>
        <w:rPr>
          <w:rFonts w:ascii="宋体" w:hAnsi="宋体" w:cs="宋体"/>
          <w:szCs w:val="21"/>
          <w:highlight w:val="none"/>
          <w:lang w:val="zh-CN"/>
        </w:rPr>
      </w:pPr>
      <w:r>
        <w:rPr>
          <w:rFonts w:hint="eastAsia" w:ascii="宋体" w:hAnsi="宋体" w:cs="宋体"/>
          <w:szCs w:val="21"/>
          <w:highlight w:val="none"/>
          <w:lang w:val="zh-CN"/>
        </w:rPr>
        <w:t>7、小微企业应按照招标文件格式要求提供《中小企业声明函》。</w:t>
      </w:r>
    </w:p>
    <w:p>
      <w:pPr>
        <w:snapToGrid w:val="0"/>
        <w:spacing w:line="360" w:lineRule="auto"/>
        <w:ind w:firstLine="420"/>
        <w:jc w:val="left"/>
        <w:rPr>
          <w:rFonts w:ascii="宋体" w:hAnsi="宋体" w:cs="宋体"/>
          <w:szCs w:val="21"/>
          <w:highlight w:val="none"/>
          <w:lang w:val="zh-CN"/>
        </w:rPr>
      </w:pPr>
      <w:r>
        <w:rPr>
          <w:rFonts w:hint="eastAsia" w:ascii="宋体" w:hAnsi="宋体" w:cs="宋体"/>
          <w:szCs w:val="21"/>
          <w:highlight w:val="none"/>
          <w:lang w:val="zh-CN"/>
        </w:rPr>
        <w:t>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napToGrid w:val="0"/>
        <w:spacing w:line="360" w:lineRule="auto"/>
        <w:ind w:firstLine="420"/>
        <w:jc w:val="left"/>
        <w:rPr>
          <w:rFonts w:ascii="宋体" w:hAnsi="宋体" w:cs="宋体"/>
          <w:szCs w:val="21"/>
          <w:highlight w:val="none"/>
          <w:lang w:val="zh-CN"/>
        </w:rPr>
      </w:pPr>
      <w:r>
        <w:rPr>
          <w:rFonts w:hint="eastAsia" w:ascii="宋体" w:hAnsi="宋体" w:cs="宋体"/>
          <w:szCs w:val="21"/>
          <w:highlight w:val="none"/>
          <w:lang w:val="zh-CN"/>
        </w:rPr>
        <w:t>9、根据《关于促进残疾人就业政府采购政策的通知》（财库[2017]141号）规定，在政府采购活动中，残疾人福利性单位视同小型、微型企业。残疾人福利性单位参加政府采购活动时，提供《残疾人福利性单位声明函》。</w:t>
      </w:r>
    </w:p>
    <w:p>
      <w:pPr>
        <w:snapToGrid w:val="0"/>
        <w:spacing w:line="360" w:lineRule="auto"/>
        <w:ind w:firstLine="420"/>
        <w:jc w:val="left"/>
        <w:rPr>
          <w:rFonts w:ascii="宋体" w:hAnsi="宋体" w:cs="宋体"/>
          <w:szCs w:val="21"/>
          <w:highlight w:val="none"/>
          <w:lang w:val="zh-CN"/>
        </w:rPr>
      </w:pPr>
      <w:r>
        <w:rPr>
          <w:rFonts w:hint="eastAsia" w:ascii="宋体" w:hAnsi="宋体" w:cs="宋体"/>
          <w:szCs w:val="21"/>
          <w:highlight w:val="none"/>
          <w:lang w:val="zh-CN"/>
        </w:rPr>
        <w:t>10、按规定享受扶持政策获得政府采购合同的，小微企业不得将合同分包给大中型企业，中型企业不得将合同分包给大型企业。</w:t>
      </w:r>
    </w:p>
    <w:p>
      <w:pPr>
        <w:snapToGrid w:val="0"/>
        <w:spacing w:line="360" w:lineRule="auto"/>
        <w:ind w:firstLine="420"/>
        <w:jc w:val="left"/>
        <w:rPr>
          <w:highlight w:val="none"/>
        </w:rPr>
      </w:pPr>
      <w:r>
        <w:rPr>
          <w:rFonts w:hint="eastAsia" w:ascii="宋体" w:hAnsi="宋体" w:cs="宋体"/>
          <w:szCs w:val="21"/>
          <w:highlight w:val="none"/>
          <w:lang w:val="zh-CN"/>
        </w:rPr>
        <w:t>11、供应商按照《政府采购促进中小企业发展管理办法》（财库﹝2020﹞46号）规定提供声明函内容不实的，属于提供虚假材料谋取中标、成交，依照《中华人民共和国政府采购法》等国家有关规定追究相应责任。</w:t>
      </w:r>
    </w:p>
    <w:p>
      <w:pPr>
        <w:pStyle w:val="20"/>
        <w:rPr>
          <w:highlight w:val="none"/>
        </w:rPr>
        <w:sectPr>
          <w:headerReference r:id="rId4" w:type="default"/>
          <w:footerReference r:id="rId5" w:type="default"/>
          <w:pgSz w:w="11906" w:h="16838"/>
          <w:pgMar w:top="1474" w:right="1797" w:bottom="1247" w:left="1797" w:header="851" w:footer="851" w:gutter="0"/>
          <w:pgNumType w:start="1"/>
          <w:cols w:space="720" w:num="1"/>
          <w:docGrid w:linePitch="312" w:charSpace="0"/>
        </w:sectPr>
      </w:pPr>
    </w:p>
    <w:p>
      <w:pPr>
        <w:snapToGrid w:val="0"/>
        <w:spacing w:line="360" w:lineRule="auto"/>
        <w:jc w:val="center"/>
        <w:outlineLvl w:val="0"/>
        <w:rPr>
          <w:rFonts w:ascii="宋体" w:hAnsi="宋体" w:cs="宋体"/>
          <w:highlight w:val="none"/>
        </w:rPr>
      </w:pPr>
      <w:bookmarkStart w:id="49" w:name="_Toc8968"/>
      <w:r>
        <w:rPr>
          <w:rFonts w:hint="eastAsia" w:ascii="宋体" w:hAnsi="宋体" w:cs="宋体"/>
          <w:b/>
          <w:bCs/>
          <w:sz w:val="32"/>
          <w:szCs w:val="32"/>
          <w:highlight w:val="none"/>
        </w:rPr>
        <w:t>第四章  评标办法及评分标准</w:t>
      </w:r>
      <w:bookmarkEnd w:id="49"/>
    </w:p>
    <w:p>
      <w:pPr>
        <w:pStyle w:val="30"/>
        <w:snapToGrid/>
        <w:spacing w:line="360" w:lineRule="auto"/>
        <w:ind w:firstLine="417" w:firstLineChars="199"/>
        <w:rPr>
          <w:rFonts w:ascii="宋体" w:hAnsi="宋体" w:cs="宋体"/>
          <w:szCs w:val="21"/>
          <w:highlight w:val="none"/>
        </w:rPr>
      </w:pPr>
      <w:r>
        <w:rPr>
          <w:rFonts w:hint="eastAsia" w:ascii="宋体" w:hAnsi="宋体" w:cs="宋体"/>
          <w:szCs w:val="21"/>
          <w:highlight w:val="none"/>
        </w:rPr>
        <w:t xml:space="preserve">本办法严格遵照《中华人民共和国政府采购法》、《政府采购货物和服务招标投标管理办法》，结合项目所在地政府有关政府采购规定和项目的实际情况制定。 </w:t>
      </w:r>
    </w:p>
    <w:p>
      <w:pPr>
        <w:spacing w:line="360" w:lineRule="auto"/>
        <w:rPr>
          <w:rFonts w:ascii="宋体" w:hAnsi="宋体" w:cs="宋体"/>
          <w:b/>
          <w:bCs/>
          <w:szCs w:val="21"/>
          <w:highlight w:val="none"/>
        </w:rPr>
      </w:pPr>
      <w:r>
        <w:rPr>
          <w:rFonts w:hint="eastAsia" w:ascii="宋体" w:hAnsi="宋体" w:cs="宋体"/>
          <w:b/>
          <w:bCs/>
          <w:szCs w:val="21"/>
          <w:highlight w:val="none"/>
        </w:rPr>
        <w:t>一、开标准备</w:t>
      </w:r>
    </w:p>
    <w:p>
      <w:pPr>
        <w:pStyle w:val="30"/>
        <w:snapToGrid/>
        <w:spacing w:line="360" w:lineRule="auto"/>
        <w:ind w:firstLine="417" w:firstLineChars="199"/>
        <w:rPr>
          <w:rFonts w:ascii="宋体" w:hAnsi="宋体" w:cs="宋体"/>
          <w:szCs w:val="21"/>
          <w:highlight w:val="none"/>
        </w:rPr>
      </w:pPr>
      <w:r>
        <w:rPr>
          <w:rFonts w:hint="eastAsia" w:ascii="宋体" w:hAnsi="宋体" w:cs="宋体"/>
          <w:szCs w:val="21"/>
          <w:highlight w:val="none"/>
        </w:rPr>
        <w:t>采购代理机构将在政府采购云平台进行开标，供应商的法定代表人或其授权代表可在线参加开标会。供应商的法定代表人或其授权代表未参加开标会的，视同放弃开标监督权利、认可开标结果。</w:t>
      </w:r>
    </w:p>
    <w:p>
      <w:pPr>
        <w:spacing w:line="360" w:lineRule="auto"/>
        <w:rPr>
          <w:rFonts w:ascii="宋体" w:hAnsi="宋体" w:cs="宋体"/>
          <w:szCs w:val="21"/>
          <w:highlight w:val="none"/>
        </w:rPr>
      </w:pPr>
      <w:r>
        <w:rPr>
          <w:rFonts w:hint="eastAsia" w:ascii="宋体" w:hAnsi="宋体" w:cs="宋体"/>
          <w:b/>
          <w:bCs/>
          <w:szCs w:val="21"/>
          <w:highlight w:val="none"/>
        </w:rPr>
        <w:t>二、开标程序：</w:t>
      </w:r>
    </w:p>
    <w:p>
      <w:pPr>
        <w:spacing w:line="360" w:lineRule="auto"/>
        <w:ind w:firstLine="420" w:firstLineChars="200"/>
        <w:jc w:val="left"/>
        <w:rPr>
          <w:rFonts w:ascii="宋体" w:hAnsi="宋体" w:cs="宋体"/>
          <w:bCs/>
          <w:szCs w:val="21"/>
          <w:highlight w:val="none"/>
        </w:rPr>
      </w:pPr>
      <w:r>
        <w:rPr>
          <w:rFonts w:hint="eastAsia" w:ascii="宋体" w:hAnsi="宋体" w:cs="宋体"/>
          <w:bCs/>
          <w:szCs w:val="21"/>
          <w:highlight w:val="none"/>
        </w:rPr>
        <w:t>1、电子招投标开标程序：</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第一阶段：</w:t>
      </w:r>
    </w:p>
    <w:p>
      <w:pPr>
        <w:numPr>
          <w:ilvl w:val="0"/>
          <w:numId w:val="34"/>
        </w:num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投标截止时间后，供应商登录政府采购云平台，用“项目采购-开标评标”功能对电子投标文件进行在线解密，在线解密电子投标文件时间为开标时间后30分钟内。</w:t>
      </w:r>
    </w:p>
    <w:p>
      <w:pPr>
        <w:numPr>
          <w:ilvl w:val="0"/>
          <w:numId w:val="34"/>
        </w:num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在政府采购云平台开启已解密供应商的“资格文件、商务技术文件”，并做开标记录；</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第二阶段：</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（1）在</w:t>
      </w:r>
      <w:r>
        <w:rPr>
          <w:rFonts w:hint="eastAsia" w:ascii="宋体" w:hAnsi="宋体" w:cs="宋体"/>
          <w:kern w:val="0"/>
          <w:szCs w:val="21"/>
          <w:highlight w:val="none"/>
        </w:rPr>
        <w:t>政府采购云平台</w:t>
      </w:r>
      <w:r>
        <w:rPr>
          <w:rFonts w:hint="eastAsia" w:ascii="宋体" w:hAnsi="宋体" w:cs="宋体"/>
          <w:szCs w:val="21"/>
          <w:highlight w:val="none"/>
        </w:rPr>
        <w:t>宣告第一阶段评审无效供应商名单及理由；</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（2）公布经第一阶段评审符合招标文件要求的供应商的商务技术得分情况；</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（3）在</w:t>
      </w:r>
      <w:r>
        <w:rPr>
          <w:rFonts w:hint="eastAsia" w:ascii="宋体" w:hAnsi="宋体" w:cs="宋体"/>
          <w:kern w:val="0"/>
          <w:szCs w:val="21"/>
          <w:highlight w:val="none"/>
        </w:rPr>
        <w:t>政府采购云平台</w:t>
      </w:r>
      <w:r>
        <w:rPr>
          <w:rFonts w:hint="eastAsia" w:ascii="宋体" w:hAnsi="宋体" w:cs="宋体"/>
          <w:szCs w:val="21"/>
          <w:highlight w:val="none"/>
        </w:rPr>
        <w:t>开启除第一阶段无效标外的供应商的“报价文件”，并做开标记录；</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（4）在</w:t>
      </w:r>
      <w:r>
        <w:rPr>
          <w:rFonts w:hint="eastAsia" w:ascii="宋体" w:hAnsi="宋体" w:cs="宋体"/>
          <w:kern w:val="0"/>
          <w:szCs w:val="21"/>
          <w:highlight w:val="none"/>
        </w:rPr>
        <w:t>政府采购云平台</w:t>
      </w:r>
      <w:r>
        <w:rPr>
          <w:rFonts w:hint="eastAsia" w:ascii="宋体" w:hAnsi="宋体" w:cs="宋体"/>
          <w:szCs w:val="21"/>
          <w:highlight w:val="none"/>
        </w:rPr>
        <w:t>公布评审结果。</w:t>
      </w:r>
    </w:p>
    <w:p>
      <w:pPr>
        <w:spacing w:line="360" w:lineRule="auto"/>
        <w:ind w:firstLine="420" w:firstLineChars="200"/>
        <w:jc w:val="left"/>
        <w:rPr>
          <w:rFonts w:ascii="宋体" w:hAnsi="宋体" w:cs="宋体"/>
          <w:highlight w:val="none"/>
        </w:rPr>
      </w:pPr>
      <w:r>
        <w:rPr>
          <w:rFonts w:hint="eastAsia" w:ascii="宋体" w:hAnsi="宋体" w:cs="宋体"/>
          <w:szCs w:val="21"/>
          <w:highlight w:val="none"/>
        </w:rPr>
        <w:t>（5）开标会议结束。</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2、特别说明：</w:t>
      </w:r>
      <w:r>
        <w:rPr>
          <w:rFonts w:hint="eastAsia" w:ascii="宋体" w:hAnsi="宋体" w:cs="宋体"/>
          <w:kern w:val="0"/>
          <w:szCs w:val="21"/>
          <w:highlight w:val="none"/>
        </w:rPr>
        <w:t>政府采购云平台</w:t>
      </w:r>
      <w:r>
        <w:rPr>
          <w:rFonts w:hint="eastAsia" w:ascii="宋体" w:hAnsi="宋体" w:cs="宋体"/>
          <w:szCs w:val="21"/>
          <w:highlight w:val="none"/>
        </w:rPr>
        <w:t>如对电子化开标及评审程序有调整的，按调整后的程序操作。</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本项目原则上采用政采云</w:t>
      </w:r>
      <w:r>
        <w:rPr>
          <w:rFonts w:hint="eastAsia" w:ascii="宋体" w:hAnsi="宋体" w:cs="宋体"/>
          <w:bCs/>
          <w:szCs w:val="21"/>
          <w:highlight w:val="none"/>
        </w:rPr>
        <w:t>电子招投标开标程序</w:t>
      </w:r>
      <w:r>
        <w:rPr>
          <w:rFonts w:hint="eastAsia" w:ascii="宋体" w:hAnsi="宋体" w:cs="宋体"/>
          <w:szCs w:val="21"/>
          <w:highlight w:val="none"/>
        </w:rPr>
        <w:t>，但有以下情形之一的，按以下情况处理：</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（1）若有供应商在规定时间内无法解密或解密失败，代理机构将开启该供应商递交的</w:t>
      </w:r>
      <w:r>
        <w:rPr>
          <w:rFonts w:hint="eastAsia" w:ascii="宋体" w:hAnsi="宋体" w:cs="宋体"/>
          <w:kern w:val="0"/>
          <w:szCs w:val="21"/>
          <w:highlight w:val="none"/>
        </w:rPr>
        <w:t>以U盘存储的电子备份投标文件</w:t>
      </w:r>
      <w:r>
        <w:rPr>
          <w:rFonts w:hint="eastAsia" w:ascii="宋体" w:hAnsi="宋体" w:cs="宋体"/>
          <w:szCs w:val="21"/>
          <w:highlight w:val="none"/>
        </w:rPr>
        <w:t>，上传至政采云平台项目采购模块，以完成开标，电子投标文件自动失效。</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（2）采购过程中出现以下情形，导致电子交易平台无法正常运行，或者无法保证电子交易的公平、公正和安全时，采购人（或代理机构）可中止电子交易活动：</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 xml:space="preserve">2.1电子交易平台发生故障而无法登录访问的； </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2.2电子交易平台应用或数据库出现错误，不能进行正常操作的；</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2.3电子交易平台发现严重安全漏洞，有潜在泄密危险的；</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 xml:space="preserve">2.4病毒发作导致不能进行正常操作的； </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2.5其他无法保证电子交易的公平、公正和安全的情况。</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出现前款规定情形，不影响采购公平、公正性的，采购人（或代理机构）可以待上述情形消除后继续组织电子交易活动。</w:t>
      </w:r>
    </w:p>
    <w:p>
      <w:pPr>
        <w:spacing w:line="360" w:lineRule="auto"/>
        <w:rPr>
          <w:rFonts w:ascii="宋体" w:hAnsi="宋体" w:cs="宋体"/>
          <w:b/>
          <w:bCs/>
          <w:szCs w:val="21"/>
          <w:highlight w:val="none"/>
        </w:rPr>
      </w:pPr>
      <w:r>
        <w:rPr>
          <w:rFonts w:hint="eastAsia" w:ascii="宋体" w:hAnsi="宋体" w:cs="宋体"/>
          <w:b/>
          <w:bCs/>
          <w:szCs w:val="21"/>
          <w:highlight w:val="none"/>
        </w:rPr>
        <w:t>三、评标委员会</w:t>
      </w:r>
    </w:p>
    <w:p>
      <w:pPr>
        <w:pStyle w:val="30"/>
        <w:snapToGrid/>
        <w:spacing w:line="360" w:lineRule="auto"/>
        <w:ind w:firstLine="417" w:firstLineChars="199"/>
        <w:rPr>
          <w:rFonts w:ascii="宋体" w:hAnsi="宋体" w:cs="宋体"/>
          <w:szCs w:val="21"/>
          <w:highlight w:val="none"/>
        </w:rPr>
      </w:pPr>
      <w:r>
        <w:rPr>
          <w:rFonts w:hint="eastAsia" w:ascii="宋体" w:hAnsi="宋体" w:cs="宋体"/>
          <w:szCs w:val="21"/>
          <w:highlight w:val="none"/>
        </w:rPr>
        <w:t>（一）本次招标依法组建评标委员会。</w:t>
      </w:r>
    </w:p>
    <w:p>
      <w:pPr>
        <w:pStyle w:val="30"/>
        <w:snapToGrid/>
        <w:spacing w:line="360" w:lineRule="auto"/>
        <w:ind w:firstLine="417" w:firstLineChars="199"/>
        <w:rPr>
          <w:rFonts w:ascii="宋体" w:hAnsi="宋体" w:cs="宋体"/>
          <w:szCs w:val="21"/>
          <w:highlight w:val="none"/>
        </w:rPr>
      </w:pPr>
      <w:r>
        <w:rPr>
          <w:rFonts w:hint="eastAsia" w:ascii="宋体" w:hAnsi="宋体" w:cs="宋体"/>
          <w:szCs w:val="21"/>
          <w:highlight w:val="none"/>
        </w:rPr>
        <w:t>（二）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供应商接触，不得向外界透露任何与评标有关的内容。</w:t>
      </w:r>
    </w:p>
    <w:p>
      <w:pPr>
        <w:pStyle w:val="30"/>
        <w:snapToGrid/>
        <w:spacing w:line="360" w:lineRule="auto"/>
        <w:ind w:firstLine="417" w:firstLineChars="199"/>
        <w:rPr>
          <w:rFonts w:ascii="宋体" w:hAnsi="宋体" w:cs="宋体"/>
          <w:szCs w:val="21"/>
          <w:highlight w:val="none"/>
        </w:rPr>
      </w:pPr>
      <w:r>
        <w:rPr>
          <w:rFonts w:hint="eastAsia" w:ascii="宋体" w:hAnsi="宋体" w:cs="宋体"/>
          <w:szCs w:val="21"/>
          <w:highlight w:val="none"/>
        </w:rPr>
        <w:t>（三）评审专家有下列情形之一的，受到邀请应主动提出回避，采购当事人也可以要求该评审专家回避：</w:t>
      </w:r>
    </w:p>
    <w:p>
      <w:pPr>
        <w:pStyle w:val="30"/>
        <w:snapToGrid/>
        <w:spacing w:line="360" w:lineRule="auto"/>
        <w:ind w:firstLine="417" w:firstLineChars="199"/>
        <w:rPr>
          <w:rFonts w:ascii="宋体" w:hAnsi="宋体" w:cs="宋体"/>
          <w:szCs w:val="21"/>
          <w:highlight w:val="none"/>
        </w:rPr>
      </w:pPr>
      <w:r>
        <w:rPr>
          <w:rFonts w:hint="eastAsia" w:ascii="宋体" w:hAnsi="宋体" w:cs="宋体"/>
          <w:szCs w:val="21"/>
          <w:highlight w:val="none"/>
        </w:rPr>
        <w:t>1、参加采购活动前三年内，与供应商存在劳动关系，或者担任过供应商的董事、监事，或者是供应商的控股股东或实际控制人；</w:t>
      </w:r>
    </w:p>
    <w:p>
      <w:pPr>
        <w:pStyle w:val="30"/>
        <w:snapToGrid/>
        <w:spacing w:line="360" w:lineRule="auto"/>
        <w:ind w:firstLine="417" w:firstLineChars="199"/>
        <w:rPr>
          <w:rFonts w:ascii="宋体" w:hAnsi="宋体" w:cs="宋体"/>
          <w:szCs w:val="21"/>
          <w:highlight w:val="none"/>
        </w:rPr>
      </w:pPr>
      <w:r>
        <w:rPr>
          <w:rFonts w:hint="eastAsia" w:ascii="宋体" w:hAnsi="宋体" w:cs="宋体"/>
          <w:szCs w:val="21"/>
          <w:highlight w:val="none"/>
        </w:rPr>
        <w:t>2、与供应商的法定代表人或者负责人有夫妻、直系血亲、三代以内旁系血亲或者近姻亲关系；</w:t>
      </w:r>
    </w:p>
    <w:p>
      <w:pPr>
        <w:pStyle w:val="30"/>
        <w:snapToGrid/>
        <w:spacing w:line="360" w:lineRule="auto"/>
        <w:ind w:firstLine="417" w:firstLineChars="199"/>
        <w:rPr>
          <w:rFonts w:ascii="宋体" w:hAnsi="宋体" w:cs="宋体"/>
          <w:szCs w:val="21"/>
          <w:highlight w:val="none"/>
        </w:rPr>
      </w:pPr>
      <w:r>
        <w:rPr>
          <w:rFonts w:hint="eastAsia" w:ascii="宋体" w:hAnsi="宋体" w:cs="宋体"/>
          <w:szCs w:val="21"/>
          <w:highlight w:val="none"/>
        </w:rPr>
        <w:t>3、与供应商有其他可能影响政府采购活动公平、公正进行的关系；</w:t>
      </w:r>
    </w:p>
    <w:p>
      <w:pPr>
        <w:pStyle w:val="30"/>
        <w:snapToGrid/>
        <w:spacing w:line="360" w:lineRule="auto"/>
        <w:ind w:firstLine="417" w:firstLineChars="199"/>
        <w:rPr>
          <w:rFonts w:ascii="宋体" w:hAnsi="宋体" w:cs="宋体"/>
          <w:szCs w:val="21"/>
          <w:highlight w:val="none"/>
        </w:rPr>
      </w:pPr>
      <w:r>
        <w:rPr>
          <w:rFonts w:hint="eastAsia" w:ascii="宋体" w:hAnsi="宋体" w:cs="宋体"/>
          <w:szCs w:val="21"/>
          <w:highlight w:val="none"/>
        </w:rPr>
        <w:t>4、参与过采购项目进口产品论证的专家应当回避；</w:t>
      </w:r>
    </w:p>
    <w:p>
      <w:pPr>
        <w:pStyle w:val="30"/>
        <w:snapToGrid/>
        <w:spacing w:line="360" w:lineRule="auto"/>
        <w:ind w:firstLine="417" w:firstLineChars="199"/>
        <w:rPr>
          <w:rFonts w:ascii="宋体" w:hAnsi="宋体" w:cs="宋体"/>
          <w:szCs w:val="21"/>
          <w:highlight w:val="none"/>
        </w:rPr>
      </w:pPr>
      <w:r>
        <w:rPr>
          <w:rFonts w:hint="eastAsia" w:ascii="宋体" w:hAnsi="宋体" w:cs="宋体"/>
          <w:szCs w:val="21"/>
          <w:highlight w:val="none"/>
        </w:rPr>
        <w:t>5、通过随机抽到本单位的评审专家，采购人已经指定了采购人代表，该评审专家应当回避，采购人自行选定相应专业领域评审专家情形除外；</w:t>
      </w:r>
    </w:p>
    <w:p>
      <w:pPr>
        <w:pStyle w:val="30"/>
        <w:snapToGrid/>
        <w:spacing w:line="360" w:lineRule="auto"/>
        <w:ind w:firstLine="417" w:firstLineChars="199"/>
        <w:rPr>
          <w:rFonts w:ascii="宋体" w:hAnsi="宋体" w:cs="宋体"/>
          <w:szCs w:val="21"/>
          <w:highlight w:val="none"/>
        </w:rPr>
      </w:pPr>
      <w:r>
        <w:rPr>
          <w:rFonts w:hint="eastAsia" w:ascii="宋体" w:hAnsi="宋体" w:cs="宋体"/>
          <w:szCs w:val="21"/>
          <w:highlight w:val="none"/>
        </w:rPr>
        <w:t>6、法律、法规、规章规定应当回避以及其他可能影响公正评审的。</w:t>
      </w:r>
    </w:p>
    <w:p>
      <w:pPr>
        <w:pStyle w:val="30"/>
        <w:snapToGrid/>
        <w:spacing w:line="360" w:lineRule="auto"/>
        <w:ind w:firstLine="417" w:firstLineChars="199"/>
        <w:rPr>
          <w:rFonts w:ascii="宋体" w:hAnsi="宋体" w:cs="宋体"/>
          <w:szCs w:val="21"/>
          <w:highlight w:val="none"/>
        </w:rPr>
      </w:pPr>
      <w:r>
        <w:rPr>
          <w:rFonts w:hint="eastAsia" w:ascii="宋体" w:hAnsi="宋体" w:cs="宋体"/>
          <w:szCs w:val="21"/>
          <w:highlight w:val="none"/>
        </w:rPr>
        <w:t>（四）评标委员会判断投标文件的有效性、合格性和响应情况，仅依据供应商所递交一切文件的真实表述，不受与本项目无直接关联的外部信息、传言而影响自身的专业判断。</w:t>
      </w:r>
    </w:p>
    <w:p>
      <w:pPr>
        <w:pStyle w:val="30"/>
        <w:snapToGrid/>
        <w:spacing w:line="360" w:lineRule="auto"/>
        <w:ind w:firstLine="417" w:firstLineChars="199"/>
        <w:rPr>
          <w:rFonts w:ascii="宋体" w:hAnsi="宋体" w:cs="宋体"/>
          <w:szCs w:val="21"/>
          <w:highlight w:val="none"/>
        </w:rPr>
      </w:pPr>
      <w:r>
        <w:rPr>
          <w:rFonts w:hint="eastAsia" w:ascii="宋体" w:hAnsi="宋体" w:cs="宋体"/>
          <w:szCs w:val="21"/>
          <w:highlight w:val="none"/>
        </w:rPr>
        <w:t>（五）评委依法独立评审，并对评审意见承担个人责任。对明显畸高、畸低的评分（评审小组成员个人主观总评分偏离所有评审小组成员主观总评分平均值30%以上），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pPr>
        <w:spacing w:line="360" w:lineRule="auto"/>
        <w:rPr>
          <w:rFonts w:ascii="宋体" w:hAnsi="宋体" w:cs="宋体"/>
          <w:b/>
          <w:bCs/>
          <w:szCs w:val="21"/>
          <w:highlight w:val="none"/>
        </w:rPr>
      </w:pPr>
      <w:r>
        <w:rPr>
          <w:rFonts w:hint="eastAsia" w:ascii="宋体" w:hAnsi="宋体" w:cs="宋体"/>
          <w:b/>
          <w:bCs/>
          <w:szCs w:val="21"/>
          <w:highlight w:val="none"/>
        </w:rPr>
        <w:t>四、评标方法</w:t>
      </w:r>
    </w:p>
    <w:p>
      <w:pPr>
        <w:spacing w:line="360" w:lineRule="auto"/>
        <w:rPr>
          <w:rFonts w:ascii="宋体" w:hAnsi="宋体" w:cs="宋体"/>
          <w:szCs w:val="21"/>
          <w:highlight w:val="none"/>
        </w:rPr>
      </w:pPr>
      <w:r>
        <w:rPr>
          <w:rFonts w:hint="eastAsia" w:ascii="宋体" w:hAnsi="宋体" w:cs="宋体"/>
          <w:szCs w:val="21"/>
          <w:highlight w:val="none"/>
        </w:rPr>
        <w:t>（一）本次采购项目的评标方法为：综合评分法。</w:t>
      </w:r>
    </w:p>
    <w:p>
      <w:pPr>
        <w:pStyle w:val="30"/>
        <w:snapToGrid/>
        <w:spacing w:line="360" w:lineRule="auto"/>
        <w:ind w:firstLine="417" w:firstLineChars="199"/>
        <w:rPr>
          <w:rFonts w:ascii="宋体" w:hAnsi="宋体" w:cs="宋体"/>
          <w:szCs w:val="21"/>
          <w:highlight w:val="none"/>
        </w:rPr>
      </w:pPr>
      <w:r>
        <w:rPr>
          <w:rFonts w:hint="eastAsia" w:ascii="宋体" w:hAnsi="宋体" w:cs="宋体"/>
          <w:szCs w:val="21"/>
          <w:highlight w:val="none"/>
        </w:rPr>
        <w:t>采用综合评分法的，评标结果按评审后得分由高到低顺序</w:t>
      </w:r>
      <w:r>
        <w:rPr>
          <w:rFonts w:hint="eastAsia" w:ascii="宋体" w:hAnsi="宋体" w:cs="宋体"/>
          <w:bCs/>
          <w:highlight w:val="none"/>
        </w:rPr>
        <w:t>推荐3名及以上</w:t>
      </w:r>
      <w:r>
        <w:rPr>
          <w:rFonts w:hint="eastAsia" w:ascii="宋体" w:hAnsi="宋体" w:cs="宋体"/>
          <w:szCs w:val="21"/>
          <w:highlight w:val="none"/>
        </w:rPr>
        <w:t>中标</w:t>
      </w:r>
      <w:r>
        <w:rPr>
          <w:rFonts w:hint="eastAsia" w:ascii="宋体" w:hAnsi="宋体" w:cs="宋体"/>
          <w:bCs/>
          <w:highlight w:val="none"/>
        </w:rPr>
        <w:t>候选人</w:t>
      </w:r>
      <w:r>
        <w:rPr>
          <w:rFonts w:hint="eastAsia" w:ascii="宋体" w:hAnsi="宋体" w:cs="宋体"/>
          <w:szCs w:val="21"/>
          <w:highlight w:val="none"/>
        </w:rPr>
        <w:t>。得分相同的，按投标报价由低到高顺序排列。得分且投标报价相同的并列。</w:t>
      </w:r>
    </w:p>
    <w:p>
      <w:pPr>
        <w:pStyle w:val="30"/>
        <w:snapToGrid/>
        <w:spacing w:line="360" w:lineRule="auto"/>
        <w:ind w:firstLine="417" w:firstLineChars="199"/>
        <w:rPr>
          <w:rFonts w:ascii="宋体" w:hAnsi="宋体" w:cs="宋体"/>
          <w:szCs w:val="21"/>
          <w:highlight w:val="none"/>
        </w:rPr>
      </w:pPr>
      <w:r>
        <w:rPr>
          <w:rFonts w:hint="eastAsia" w:ascii="宋体" w:hAnsi="宋体" w:cs="宋体"/>
          <w:szCs w:val="21"/>
          <w:highlight w:val="none"/>
        </w:rPr>
        <w:t>若出现参与的供应商或者对招标文件作出实质性响应的供应商不足3家的情况，本项目作废标处理。</w:t>
      </w:r>
    </w:p>
    <w:p>
      <w:pPr>
        <w:spacing w:line="360" w:lineRule="auto"/>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二</w:t>
      </w:r>
      <w:r>
        <w:rPr>
          <w:rFonts w:hint="eastAsia" w:ascii="宋体" w:hAnsi="宋体" w:cs="宋体"/>
          <w:szCs w:val="21"/>
          <w:highlight w:val="none"/>
        </w:rPr>
        <w:t>）投标文件的澄清</w:t>
      </w:r>
    </w:p>
    <w:p>
      <w:pPr>
        <w:pStyle w:val="30"/>
        <w:snapToGrid/>
        <w:spacing w:line="360" w:lineRule="auto"/>
        <w:ind w:firstLine="417" w:firstLineChars="199"/>
        <w:rPr>
          <w:rFonts w:ascii="宋体" w:hAnsi="宋体" w:cs="宋体"/>
          <w:szCs w:val="21"/>
          <w:highlight w:val="none"/>
        </w:rPr>
      </w:pPr>
      <w:r>
        <w:rPr>
          <w:rFonts w:hint="eastAsia" w:ascii="宋体" w:hAnsi="宋体" w:cs="宋体"/>
          <w:szCs w:val="21"/>
          <w:highlight w:val="none"/>
        </w:rPr>
        <w:t>1、对于投标文件中含义不明确、同类问题表述不一致或者有明显文字和计算错误的内容，评标委员会应当以书面形式要求供应商作出必要的澄清、说明或者补正。</w:t>
      </w:r>
    </w:p>
    <w:p>
      <w:pPr>
        <w:pStyle w:val="30"/>
        <w:snapToGrid/>
        <w:spacing w:line="360" w:lineRule="auto"/>
        <w:ind w:firstLine="417" w:firstLineChars="199"/>
        <w:rPr>
          <w:rFonts w:ascii="宋体" w:hAnsi="宋体" w:cs="宋体"/>
          <w:szCs w:val="21"/>
          <w:highlight w:val="none"/>
        </w:rPr>
      </w:pPr>
      <w:r>
        <w:rPr>
          <w:rFonts w:hint="eastAsia" w:ascii="宋体" w:hAnsi="宋体" w:cs="宋体"/>
          <w:szCs w:val="21"/>
          <w:highlight w:val="none"/>
        </w:rPr>
        <w:t>2、供应商的澄清、说明或者补正应当采用书面形式（或扫描件上传政采云平台），并加盖公章，或者由法定代表人或其授权的代表签名或盖章。供应商的澄清、说明或者补正不得超出投标文件的范围或者改变投标文件的实质性内容。</w:t>
      </w:r>
    </w:p>
    <w:p>
      <w:pPr>
        <w:spacing w:line="360" w:lineRule="auto"/>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三</w:t>
      </w:r>
      <w:r>
        <w:rPr>
          <w:rFonts w:hint="eastAsia" w:ascii="宋体" w:hAnsi="宋体" w:cs="宋体"/>
          <w:szCs w:val="21"/>
          <w:highlight w:val="none"/>
        </w:rPr>
        <w:t>）投标文件错误修正原则</w:t>
      </w:r>
    </w:p>
    <w:p>
      <w:pPr>
        <w:spacing w:line="360" w:lineRule="auto"/>
        <w:rPr>
          <w:rFonts w:ascii="宋体" w:hAnsi="宋体" w:cs="宋体"/>
          <w:szCs w:val="21"/>
          <w:highlight w:val="none"/>
        </w:rPr>
      </w:pPr>
      <w:r>
        <w:rPr>
          <w:rFonts w:hint="eastAsia" w:ascii="宋体" w:hAnsi="宋体" w:cs="宋体"/>
          <w:szCs w:val="21"/>
          <w:highlight w:val="none"/>
        </w:rPr>
        <w:t>投标文件如果出现计算或表达上的错误，修正错误的原则如下：</w:t>
      </w:r>
    </w:p>
    <w:p>
      <w:pPr>
        <w:pStyle w:val="30"/>
        <w:snapToGrid/>
        <w:spacing w:line="360" w:lineRule="auto"/>
        <w:ind w:firstLine="417" w:firstLineChars="199"/>
        <w:rPr>
          <w:rFonts w:ascii="宋体" w:hAnsi="宋体" w:cs="宋体"/>
          <w:szCs w:val="21"/>
          <w:highlight w:val="none"/>
        </w:rPr>
      </w:pPr>
      <w:r>
        <w:rPr>
          <w:rFonts w:hint="eastAsia" w:ascii="宋体" w:hAnsi="宋体" w:cs="宋体"/>
          <w:szCs w:val="21"/>
          <w:highlight w:val="none"/>
        </w:rPr>
        <w:t>1、投标文件中开标一览表（报价表）内容与投标文件中相应内容不一致的，以开标一览表（报价表）为准；</w:t>
      </w:r>
    </w:p>
    <w:p>
      <w:pPr>
        <w:pStyle w:val="30"/>
        <w:snapToGrid/>
        <w:spacing w:line="360" w:lineRule="auto"/>
        <w:ind w:firstLine="417" w:firstLineChars="199"/>
        <w:rPr>
          <w:rFonts w:ascii="宋体" w:hAnsi="宋体" w:cs="宋体"/>
          <w:szCs w:val="21"/>
          <w:highlight w:val="none"/>
        </w:rPr>
      </w:pPr>
      <w:r>
        <w:rPr>
          <w:rFonts w:hint="eastAsia" w:ascii="宋体" w:hAnsi="宋体" w:cs="宋体"/>
          <w:szCs w:val="21"/>
          <w:highlight w:val="none"/>
        </w:rPr>
        <w:t>2、大写金额和小写金额不一致的，以大写金额为准；</w:t>
      </w:r>
    </w:p>
    <w:p>
      <w:pPr>
        <w:pStyle w:val="30"/>
        <w:snapToGrid/>
        <w:spacing w:line="360" w:lineRule="auto"/>
        <w:ind w:firstLine="417" w:firstLineChars="199"/>
        <w:rPr>
          <w:rFonts w:ascii="宋体" w:hAnsi="宋体" w:cs="宋体"/>
          <w:szCs w:val="21"/>
          <w:highlight w:val="none"/>
        </w:rPr>
      </w:pPr>
      <w:r>
        <w:rPr>
          <w:rFonts w:hint="eastAsia" w:ascii="宋体" w:hAnsi="宋体" w:cs="宋体"/>
          <w:szCs w:val="21"/>
          <w:highlight w:val="none"/>
        </w:rPr>
        <w:t>3、单价金额小数点或者百分比有明显错位的，以开标一览表的总价为准，并修改单价；</w:t>
      </w:r>
    </w:p>
    <w:p>
      <w:pPr>
        <w:pStyle w:val="30"/>
        <w:snapToGrid/>
        <w:spacing w:line="360" w:lineRule="auto"/>
        <w:ind w:firstLine="417" w:firstLineChars="199"/>
        <w:rPr>
          <w:rFonts w:ascii="宋体" w:hAnsi="宋体" w:cs="宋体"/>
          <w:szCs w:val="21"/>
          <w:highlight w:val="none"/>
        </w:rPr>
      </w:pPr>
      <w:r>
        <w:rPr>
          <w:rFonts w:hint="eastAsia" w:ascii="宋体" w:hAnsi="宋体" w:cs="宋体"/>
          <w:szCs w:val="21"/>
          <w:highlight w:val="none"/>
        </w:rPr>
        <w:t>4、总价金额与按单价汇总金额不一致的，以单价金额计算结果为准。</w:t>
      </w:r>
    </w:p>
    <w:p>
      <w:pPr>
        <w:widowControl/>
        <w:numPr>
          <w:ilvl w:val="0"/>
          <w:numId w:val="35"/>
        </w:numPr>
        <w:autoSpaceDE w:val="0"/>
        <w:spacing w:line="360" w:lineRule="auto"/>
        <w:ind w:firstLine="415" w:firstLineChars="198"/>
        <w:rPr>
          <w:rFonts w:ascii="宋体" w:hAnsi="宋体" w:cs="宋体"/>
          <w:szCs w:val="21"/>
          <w:highlight w:val="none"/>
        </w:rPr>
      </w:pPr>
      <w:r>
        <w:rPr>
          <w:rFonts w:hint="eastAsia" w:ascii="宋体" w:hAnsi="宋体" w:cs="宋体"/>
          <w:szCs w:val="21"/>
          <w:highlight w:val="none"/>
        </w:rPr>
        <w:t>政采云平台填报的开标一览表中的价格与上传的报价文件中开标一览表的报价不一致的，以上传的报价文件为准。</w:t>
      </w:r>
    </w:p>
    <w:p>
      <w:pPr>
        <w:pStyle w:val="30"/>
        <w:snapToGrid/>
        <w:spacing w:line="360" w:lineRule="auto"/>
        <w:ind w:firstLine="417" w:firstLineChars="199"/>
        <w:rPr>
          <w:rFonts w:ascii="宋体" w:hAnsi="宋体" w:cs="宋体"/>
          <w:szCs w:val="21"/>
          <w:highlight w:val="none"/>
        </w:rPr>
      </w:pPr>
      <w:r>
        <w:rPr>
          <w:rFonts w:hint="eastAsia" w:ascii="宋体" w:hAnsi="宋体" w:cs="宋体"/>
          <w:szCs w:val="21"/>
          <w:highlight w:val="none"/>
        </w:rPr>
        <w:t>同时出现两种以上不一致的，按照前款规定的顺序修正。修正后的报价按照投标文件澄清第二款的规定经供应商确认后产生约束力，供应商不确认的，其投标无效。</w:t>
      </w:r>
    </w:p>
    <w:p>
      <w:pPr>
        <w:pStyle w:val="30"/>
        <w:snapToGrid/>
        <w:spacing w:line="360" w:lineRule="auto"/>
        <w:ind w:firstLine="0" w:firstLineChars="0"/>
        <w:rPr>
          <w:rFonts w:ascii="宋体" w:hAnsi="宋体" w:cs="宋体"/>
          <w:szCs w:val="21"/>
          <w:highlight w:val="none"/>
        </w:rPr>
      </w:pPr>
    </w:p>
    <w:p>
      <w:pPr>
        <w:numPr>
          <w:ilvl w:val="0"/>
          <w:numId w:val="36"/>
        </w:numPr>
        <w:spacing w:line="360" w:lineRule="auto"/>
        <w:rPr>
          <w:rFonts w:ascii="宋体" w:hAnsi="宋体" w:cs="宋体"/>
          <w:b/>
          <w:bCs/>
          <w:szCs w:val="21"/>
          <w:highlight w:val="none"/>
        </w:rPr>
      </w:pPr>
      <w:bookmarkStart w:id="50" w:name="_Toc481567077"/>
      <w:bookmarkStart w:id="51" w:name="_Toc493058318"/>
      <w:r>
        <w:rPr>
          <w:rFonts w:hint="eastAsia" w:ascii="宋体" w:hAnsi="宋体" w:cs="宋体"/>
          <w:b/>
          <w:bCs/>
          <w:szCs w:val="21"/>
          <w:highlight w:val="none"/>
        </w:rPr>
        <w:t>评标</w:t>
      </w:r>
      <w:bookmarkEnd w:id="50"/>
      <w:r>
        <w:rPr>
          <w:rFonts w:hint="eastAsia" w:ascii="宋体" w:hAnsi="宋体" w:cs="宋体"/>
          <w:b/>
          <w:bCs/>
          <w:szCs w:val="21"/>
          <w:highlight w:val="none"/>
        </w:rPr>
        <w:t>程序</w:t>
      </w:r>
      <w:bookmarkEnd w:id="51"/>
    </w:p>
    <w:p>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（一）资格条件审查</w:t>
      </w:r>
    </w:p>
    <w:p>
      <w:pPr>
        <w:spacing w:line="360" w:lineRule="auto"/>
        <w:ind w:firstLine="522" w:firstLineChars="249"/>
        <w:rPr>
          <w:rFonts w:ascii="宋体" w:hAnsi="宋体" w:cs="宋体"/>
          <w:szCs w:val="21"/>
          <w:highlight w:val="none"/>
        </w:rPr>
      </w:pPr>
      <w:r>
        <w:rPr>
          <w:rFonts w:hint="eastAsia" w:ascii="宋体" w:hAnsi="宋体" w:cs="宋体"/>
          <w:szCs w:val="21"/>
          <w:highlight w:val="none"/>
        </w:rPr>
        <w:t>由采购人或采购代理机构对供应商的资格进行审查。</w:t>
      </w:r>
    </w:p>
    <w:tbl>
      <w:tblPr>
        <w:tblStyle w:val="46"/>
        <w:tblW w:w="8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6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tcPr>
          <w:p>
            <w:pPr>
              <w:spacing w:line="336" w:lineRule="auto"/>
              <w:jc w:val="center"/>
              <w:rPr>
                <w:rFonts w:ascii="宋体" w:hAnsi="宋体" w:cs="宋体"/>
                <w:b/>
                <w:szCs w:val="21"/>
                <w:highlight w:val="none"/>
              </w:rPr>
            </w:pPr>
            <w:r>
              <w:rPr>
                <w:rFonts w:hint="eastAsia" w:ascii="宋体" w:hAnsi="宋体" w:cs="宋体"/>
                <w:b/>
                <w:szCs w:val="21"/>
                <w:highlight w:val="none"/>
              </w:rPr>
              <w:t>审查类别</w:t>
            </w:r>
          </w:p>
        </w:tc>
        <w:tc>
          <w:tcPr>
            <w:tcW w:w="6794" w:type="dxa"/>
          </w:tcPr>
          <w:p>
            <w:pPr>
              <w:spacing w:line="336" w:lineRule="auto"/>
              <w:jc w:val="center"/>
              <w:rPr>
                <w:rFonts w:ascii="宋体" w:hAnsi="宋体" w:cs="宋体"/>
                <w:b/>
                <w:szCs w:val="21"/>
                <w:highlight w:val="none"/>
              </w:rPr>
            </w:pPr>
            <w:r>
              <w:rPr>
                <w:rFonts w:hint="eastAsia" w:ascii="宋体" w:hAnsi="宋体" w:cs="宋体"/>
                <w:b/>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restart"/>
            <w:vAlign w:val="center"/>
          </w:tcPr>
          <w:p>
            <w:pPr>
              <w:spacing w:line="336" w:lineRule="auto"/>
              <w:jc w:val="center"/>
              <w:rPr>
                <w:rFonts w:ascii="宋体" w:hAnsi="宋体" w:cs="宋体"/>
                <w:szCs w:val="21"/>
                <w:highlight w:val="none"/>
              </w:rPr>
            </w:pPr>
            <w:r>
              <w:rPr>
                <w:rFonts w:hint="eastAsia" w:ascii="宋体" w:hAnsi="宋体" w:cs="宋体"/>
                <w:szCs w:val="21"/>
                <w:highlight w:val="none"/>
              </w:rPr>
              <w:t>资格条件审查</w:t>
            </w:r>
          </w:p>
        </w:tc>
        <w:tc>
          <w:tcPr>
            <w:tcW w:w="6794" w:type="dxa"/>
          </w:tcPr>
          <w:p>
            <w:pPr>
              <w:numPr>
                <w:ilvl w:val="0"/>
                <w:numId w:val="37"/>
              </w:numPr>
              <w:spacing w:line="336" w:lineRule="auto"/>
              <w:rPr>
                <w:rFonts w:ascii="宋体" w:hAnsi="宋体" w:cs="宋体"/>
                <w:highlight w:val="none"/>
              </w:rPr>
            </w:pPr>
            <w:r>
              <w:rPr>
                <w:rFonts w:hint="eastAsia" w:ascii="宋体" w:hAnsi="宋体" w:cs="宋体"/>
                <w:szCs w:val="21"/>
                <w:highlight w:val="none"/>
              </w:rPr>
              <w:t>满足《中华人民共和国政府采购法》第二十二条规定；未被“信用中国”（www.creditchina.gov.cn)、中国政府采购网（www.ccgp.gov.cn）列入失信被执行人、重大税收违法案件当事人名单（</w:t>
            </w:r>
            <w:r>
              <w:rPr>
                <w:rFonts w:hint="eastAsia" w:ascii="宋体" w:hAnsi="宋体" w:cs="宋体"/>
                <w:bCs/>
                <w:szCs w:val="21"/>
                <w:highlight w:val="none"/>
              </w:rPr>
              <w:t>重大税收违法失信主体</w:t>
            </w:r>
            <w:r>
              <w:rPr>
                <w:rFonts w:hint="eastAsia" w:ascii="宋体" w:hAnsi="宋体" w:cs="宋体"/>
                <w:szCs w:val="21"/>
                <w:highlight w:val="none"/>
              </w:rPr>
              <w:t>）、政府采购严重违法失信行为记录名单。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vAlign w:val="center"/>
          </w:tcPr>
          <w:p>
            <w:pPr>
              <w:spacing w:line="336" w:lineRule="auto"/>
              <w:jc w:val="center"/>
              <w:rPr>
                <w:rFonts w:ascii="宋体" w:hAnsi="宋体" w:cs="宋体"/>
                <w:szCs w:val="21"/>
                <w:highlight w:val="none"/>
              </w:rPr>
            </w:pPr>
          </w:p>
        </w:tc>
        <w:tc>
          <w:tcPr>
            <w:tcW w:w="6794" w:type="dxa"/>
          </w:tcPr>
          <w:p>
            <w:pPr>
              <w:numPr>
                <w:ilvl w:val="0"/>
                <w:numId w:val="37"/>
              </w:numPr>
              <w:spacing w:line="336" w:lineRule="auto"/>
              <w:rPr>
                <w:rFonts w:ascii="宋体" w:hAnsi="宋体" w:cs="宋体"/>
                <w:szCs w:val="21"/>
                <w:highlight w:val="none"/>
              </w:rPr>
            </w:pPr>
            <w:r>
              <w:rPr>
                <w:rFonts w:hint="eastAsia" w:ascii="宋体" w:hAnsi="宋体" w:cs="宋体"/>
                <w:szCs w:val="21"/>
                <w:highlight w:val="none"/>
              </w:rPr>
              <w:t>落实政府采购政策需满足的资格要求：</w:t>
            </w:r>
            <w:r>
              <w:rPr>
                <w:rFonts w:hint="eastAsia" w:ascii="宋体" w:hAnsi="宋体" w:cs="宋体"/>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Pr>
          <w:p>
            <w:pPr>
              <w:spacing w:line="336" w:lineRule="auto"/>
              <w:rPr>
                <w:rFonts w:ascii="宋体" w:hAnsi="宋体" w:cs="宋体"/>
                <w:szCs w:val="21"/>
                <w:highlight w:val="none"/>
              </w:rPr>
            </w:pPr>
          </w:p>
        </w:tc>
        <w:tc>
          <w:tcPr>
            <w:tcW w:w="6794" w:type="dxa"/>
          </w:tcPr>
          <w:p>
            <w:pPr>
              <w:spacing w:line="336" w:lineRule="auto"/>
              <w:rPr>
                <w:rFonts w:ascii="宋体" w:hAnsi="宋体" w:cs="宋体"/>
                <w:highlight w:val="none"/>
              </w:rPr>
            </w:pPr>
            <w:r>
              <w:rPr>
                <w:rFonts w:hint="eastAsia" w:ascii="宋体" w:hAnsi="宋体" w:cs="宋体"/>
                <w:highlight w:val="none"/>
              </w:rPr>
              <w:t>（三）特定资格条件：详见“第一章  公开招标公告 二、申请人的资格要求：3.本项目的特定资格要求”；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Pr>
          <w:p>
            <w:pPr>
              <w:spacing w:line="336" w:lineRule="auto"/>
              <w:rPr>
                <w:rFonts w:ascii="宋体" w:hAnsi="宋体" w:cs="宋体"/>
                <w:szCs w:val="21"/>
                <w:highlight w:val="none"/>
              </w:rPr>
            </w:pPr>
          </w:p>
        </w:tc>
        <w:tc>
          <w:tcPr>
            <w:tcW w:w="6794" w:type="dxa"/>
          </w:tcPr>
          <w:p>
            <w:pPr>
              <w:spacing w:line="336" w:lineRule="auto"/>
              <w:rPr>
                <w:rFonts w:ascii="宋体" w:hAnsi="宋体" w:cs="宋体"/>
                <w:highlight w:val="none"/>
              </w:rPr>
            </w:pPr>
            <w:r>
              <w:rPr>
                <w:rFonts w:hint="eastAsia" w:ascii="宋体" w:hAnsi="宋体" w:cs="宋体"/>
                <w:szCs w:val="21"/>
                <w:highlight w:val="none"/>
              </w:rPr>
              <w:t>（四）</w:t>
            </w:r>
            <w:r>
              <w:rPr>
                <w:rFonts w:hint="eastAsia" w:ascii="宋体" w:hAnsi="宋体" w:cs="宋体"/>
                <w:highlight w:val="none"/>
              </w:rPr>
              <w:t>本项目接受联合体投标；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Pr>
          <w:p>
            <w:pPr>
              <w:spacing w:line="336" w:lineRule="auto"/>
              <w:rPr>
                <w:rFonts w:ascii="宋体" w:hAnsi="宋体" w:cs="宋体"/>
                <w:szCs w:val="21"/>
                <w:highlight w:val="none"/>
              </w:rPr>
            </w:pPr>
          </w:p>
        </w:tc>
        <w:tc>
          <w:tcPr>
            <w:tcW w:w="6794" w:type="dxa"/>
          </w:tcPr>
          <w:p>
            <w:pPr>
              <w:spacing w:line="336" w:lineRule="auto"/>
              <w:rPr>
                <w:rFonts w:ascii="宋体" w:hAnsi="宋体" w:cs="宋体"/>
                <w:highlight w:val="none"/>
              </w:rPr>
            </w:pPr>
            <w:r>
              <w:rPr>
                <w:rFonts w:hint="eastAsia" w:ascii="宋体" w:hAnsi="宋体" w:cs="宋体"/>
                <w:szCs w:val="21"/>
                <w:highlight w:val="none"/>
              </w:rPr>
              <w:t>（五）招标文件要求的其他资格条件（如有）。</w:t>
            </w:r>
          </w:p>
        </w:tc>
      </w:tr>
    </w:tbl>
    <w:p>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（二）符合性审查</w:t>
      </w:r>
    </w:p>
    <w:p>
      <w:pPr>
        <w:spacing w:line="360" w:lineRule="auto"/>
        <w:ind w:firstLine="420" w:firstLineChars="200"/>
        <w:rPr>
          <w:rFonts w:ascii="宋体" w:hAnsi="宋体" w:cs="宋体"/>
          <w:szCs w:val="21"/>
          <w:highlight w:val="none"/>
        </w:rPr>
      </w:pPr>
      <w:r>
        <w:rPr>
          <w:rFonts w:hint="eastAsia" w:ascii="宋体" w:hAnsi="宋体" w:cs="宋体"/>
          <w:kern w:val="0"/>
          <w:szCs w:val="21"/>
          <w:highlight w:val="none"/>
        </w:rPr>
        <w:t>评标委员会应当对符合资格的供应商的投标文件进行符合性审查，以确定其是否满足招标文件的实质性要求。</w:t>
      </w:r>
    </w:p>
    <w:tbl>
      <w:tblPr>
        <w:tblStyle w:val="46"/>
        <w:tblW w:w="8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tcPr>
          <w:p>
            <w:pPr>
              <w:spacing w:line="336" w:lineRule="auto"/>
              <w:jc w:val="center"/>
              <w:rPr>
                <w:rFonts w:ascii="宋体" w:hAnsi="宋体" w:cs="宋体"/>
                <w:b/>
                <w:szCs w:val="21"/>
                <w:highlight w:val="none"/>
              </w:rPr>
            </w:pPr>
            <w:r>
              <w:rPr>
                <w:rFonts w:hint="eastAsia" w:ascii="宋体" w:hAnsi="宋体" w:cs="宋体"/>
                <w:b/>
                <w:szCs w:val="21"/>
                <w:highlight w:val="none"/>
              </w:rPr>
              <w:t>审查类别</w:t>
            </w:r>
          </w:p>
        </w:tc>
        <w:tc>
          <w:tcPr>
            <w:tcW w:w="6525" w:type="dxa"/>
          </w:tcPr>
          <w:p>
            <w:pPr>
              <w:spacing w:line="336" w:lineRule="auto"/>
              <w:jc w:val="center"/>
              <w:rPr>
                <w:rFonts w:ascii="宋体" w:hAnsi="宋体" w:cs="宋体"/>
                <w:b/>
                <w:szCs w:val="21"/>
                <w:highlight w:val="none"/>
              </w:rPr>
            </w:pPr>
            <w:r>
              <w:rPr>
                <w:rFonts w:hint="eastAsia" w:ascii="宋体" w:hAnsi="宋体" w:cs="宋体"/>
                <w:b/>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1790" w:type="dxa"/>
            <w:vMerge w:val="restart"/>
            <w:vAlign w:val="center"/>
          </w:tcPr>
          <w:p>
            <w:pPr>
              <w:spacing w:line="336" w:lineRule="auto"/>
              <w:jc w:val="center"/>
              <w:rPr>
                <w:rFonts w:ascii="宋体" w:hAnsi="宋体" w:cs="宋体"/>
                <w:szCs w:val="21"/>
                <w:highlight w:val="none"/>
              </w:rPr>
            </w:pPr>
            <w:r>
              <w:rPr>
                <w:rFonts w:hint="eastAsia" w:ascii="宋体" w:hAnsi="宋体" w:cs="宋体"/>
                <w:szCs w:val="21"/>
                <w:highlight w:val="none"/>
              </w:rPr>
              <w:t>符合性审查</w:t>
            </w:r>
          </w:p>
          <w:p>
            <w:pPr>
              <w:spacing w:line="336" w:lineRule="auto"/>
              <w:jc w:val="center"/>
              <w:rPr>
                <w:rFonts w:ascii="宋体" w:hAnsi="宋体" w:cs="宋体"/>
                <w:szCs w:val="21"/>
                <w:highlight w:val="none"/>
              </w:rPr>
            </w:pPr>
            <w:r>
              <w:rPr>
                <w:rFonts w:hint="eastAsia" w:ascii="宋体" w:hAnsi="宋体" w:cs="宋体"/>
                <w:szCs w:val="21"/>
                <w:highlight w:val="none"/>
              </w:rPr>
              <w:t>（商务技术文件）</w:t>
            </w:r>
          </w:p>
        </w:tc>
        <w:tc>
          <w:tcPr>
            <w:tcW w:w="6525" w:type="dxa"/>
            <w:vAlign w:val="center"/>
          </w:tcPr>
          <w:p>
            <w:pPr>
              <w:tabs>
                <w:tab w:val="left" w:pos="612"/>
              </w:tabs>
              <w:spacing w:line="336" w:lineRule="auto"/>
              <w:rPr>
                <w:rFonts w:ascii="宋体" w:hAnsi="宋体" w:cs="宋体"/>
                <w:szCs w:val="21"/>
                <w:highlight w:val="none"/>
              </w:rPr>
            </w:pPr>
            <w:r>
              <w:rPr>
                <w:rFonts w:hint="eastAsia" w:ascii="宋体" w:hAnsi="宋体" w:cs="宋体"/>
                <w:szCs w:val="21"/>
                <w:highlight w:val="none"/>
              </w:rPr>
              <w:t>（一）投标函已提交并符合招标文件要求；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vAlign w:val="center"/>
          </w:tcPr>
          <w:p>
            <w:pPr>
              <w:spacing w:line="336" w:lineRule="auto"/>
              <w:jc w:val="center"/>
              <w:rPr>
                <w:rFonts w:ascii="宋体" w:hAnsi="宋体" w:cs="宋体"/>
                <w:szCs w:val="21"/>
                <w:highlight w:val="none"/>
              </w:rPr>
            </w:pPr>
          </w:p>
        </w:tc>
        <w:tc>
          <w:tcPr>
            <w:tcW w:w="6525" w:type="dxa"/>
            <w:vAlign w:val="center"/>
          </w:tcPr>
          <w:p>
            <w:pPr>
              <w:tabs>
                <w:tab w:val="left" w:pos="612"/>
              </w:tabs>
              <w:spacing w:line="336" w:lineRule="auto"/>
              <w:rPr>
                <w:rFonts w:ascii="宋体" w:hAnsi="宋体" w:cs="宋体"/>
                <w:szCs w:val="21"/>
                <w:highlight w:val="none"/>
              </w:rPr>
            </w:pPr>
            <w:r>
              <w:rPr>
                <w:rFonts w:hint="eastAsia" w:ascii="宋体" w:hAnsi="宋体" w:cs="宋体"/>
                <w:szCs w:val="21"/>
                <w:highlight w:val="none"/>
              </w:rPr>
              <w:t>（二）按照招标文件规定要求签署或盖章；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vAlign w:val="center"/>
          </w:tcPr>
          <w:p>
            <w:pPr>
              <w:spacing w:line="336" w:lineRule="auto"/>
              <w:jc w:val="center"/>
              <w:rPr>
                <w:rFonts w:ascii="宋体" w:hAnsi="宋体" w:cs="宋体"/>
                <w:szCs w:val="21"/>
                <w:highlight w:val="none"/>
              </w:rPr>
            </w:pPr>
          </w:p>
        </w:tc>
        <w:tc>
          <w:tcPr>
            <w:tcW w:w="6525" w:type="dxa"/>
            <w:vAlign w:val="center"/>
          </w:tcPr>
          <w:p>
            <w:pPr>
              <w:tabs>
                <w:tab w:val="left" w:pos="612"/>
              </w:tabs>
              <w:spacing w:line="336" w:lineRule="auto"/>
              <w:rPr>
                <w:rFonts w:ascii="宋体" w:hAnsi="宋体" w:cs="宋体"/>
                <w:szCs w:val="21"/>
                <w:highlight w:val="none"/>
              </w:rPr>
            </w:pPr>
            <w:r>
              <w:rPr>
                <w:rFonts w:hint="eastAsia" w:ascii="宋体" w:hAnsi="宋体" w:cs="宋体"/>
                <w:szCs w:val="21"/>
                <w:highlight w:val="none"/>
              </w:rPr>
              <w:t>（三）投标文件有法定代表人签署本人姓名（或印盖本人姓名章），或签署人提供有效的法定代表人授权委托书且授权委托书填写项目齐全的；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vAlign w:val="center"/>
          </w:tcPr>
          <w:p>
            <w:pPr>
              <w:spacing w:line="336" w:lineRule="auto"/>
              <w:jc w:val="center"/>
              <w:rPr>
                <w:rFonts w:ascii="宋体" w:hAnsi="宋体" w:cs="宋体"/>
                <w:szCs w:val="21"/>
                <w:highlight w:val="none"/>
              </w:rPr>
            </w:pPr>
          </w:p>
        </w:tc>
        <w:tc>
          <w:tcPr>
            <w:tcW w:w="6525" w:type="dxa"/>
            <w:vAlign w:val="center"/>
          </w:tcPr>
          <w:p>
            <w:pPr>
              <w:tabs>
                <w:tab w:val="left" w:pos="612"/>
              </w:tabs>
              <w:spacing w:line="336" w:lineRule="auto"/>
              <w:rPr>
                <w:rFonts w:ascii="宋体" w:hAnsi="宋体" w:cs="宋体"/>
                <w:kern w:val="0"/>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四</w:t>
            </w:r>
            <w:r>
              <w:rPr>
                <w:rFonts w:hint="eastAsia" w:ascii="宋体" w:hAnsi="宋体" w:cs="宋体"/>
                <w:szCs w:val="21"/>
                <w:highlight w:val="none"/>
              </w:rPr>
              <w:t>）投标文件标明的响应或偏离与事实相符且无虚假投标的；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vAlign w:val="center"/>
          </w:tcPr>
          <w:p>
            <w:pPr>
              <w:spacing w:line="336" w:lineRule="auto"/>
              <w:jc w:val="center"/>
              <w:rPr>
                <w:rFonts w:ascii="宋体" w:hAnsi="宋体" w:cs="宋体"/>
                <w:szCs w:val="21"/>
                <w:highlight w:val="none"/>
              </w:rPr>
            </w:pPr>
          </w:p>
        </w:tc>
        <w:tc>
          <w:tcPr>
            <w:tcW w:w="6525" w:type="dxa"/>
            <w:vAlign w:val="center"/>
          </w:tcPr>
          <w:p>
            <w:pPr>
              <w:tabs>
                <w:tab w:val="left" w:pos="612"/>
              </w:tabs>
              <w:spacing w:line="336" w:lineRule="auto"/>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五</w:t>
            </w:r>
            <w:r>
              <w:rPr>
                <w:rFonts w:hint="eastAsia" w:ascii="宋体" w:hAnsi="宋体" w:cs="宋体"/>
                <w:szCs w:val="21"/>
                <w:highlight w:val="none"/>
              </w:rPr>
              <w:t>）投标文件的实质性内容使用中文表述且意思表述明确，前后无矛盾且使用计量单位符合招标文件要求的；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vAlign w:val="center"/>
          </w:tcPr>
          <w:p>
            <w:pPr>
              <w:spacing w:line="336" w:lineRule="auto"/>
              <w:jc w:val="center"/>
              <w:rPr>
                <w:rFonts w:ascii="宋体" w:hAnsi="宋体" w:cs="宋体"/>
                <w:szCs w:val="21"/>
                <w:highlight w:val="none"/>
              </w:rPr>
            </w:pPr>
          </w:p>
        </w:tc>
        <w:tc>
          <w:tcPr>
            <w:tcW w:w="6525" w:type="dxa"/>
            <w:vAlign w:val="center"/>
          </w:tcPr>
          <w:p>
            <w:pPr>
              <w:tabs>
                <w:tab w:val="left" w:pos="612"/>
              </w:tabs>
              <w:spacing w:line="336" w:lineRule="auto"/>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六</w:t>
            </w:r>
            <w:r>
              <w:rPr>
                <w:rFonts w:hint="eastAsia" w:ascii="宋体" w:hAnsi="宋体" w:cs="宋体"/>
                <w:szCs w:val="21"/>
                <w:highlight w:val="none"/>
              </w:rPr>
              <w:t>）带“★”的条款满足招标文件要求、已实质性响应招标文件要求且投标文件无采购人不能接受的附加条件的；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vAlign w:val="center"/>
          </w:tcPr>
          <w:p>
            <w:pPr>
              <w:spacing w:line="336" w:lineRule="auto"/>
              <w:jc w:val="center"/>
              <w:rPr>
                <w:rFonts w:ascii="宋体" w:hAnsi="宋体" w:cs="宋体"/>
                <w:szCs w:val="21"/>
                <w:highlight w:val="none"/>
              </w:rPr>
            </w:pPr>
          </w:p>
        </w:tc>
        <w:tc>
          <w:tcPr>
            <w:tcW w:w="6525" w:type="dxa"/>
            <w:vAlign w:val="center"/>
          </w:tcPr>
          <w:p>
            <w:pPr>
              <w:tabs>
                <w:tab w:val="left" w:pos="612"/>
              </w:tabs>
              <w:spacing w:line="336" w:lineRule="auto"/>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七</w:t>
            </w:r>
            <w:r>
              <w:rPr>
                <w:rFonts w:hint="eastAsia" w:ascii="宋体" w:hAnsi="宋体" w:cs="宋体"/>
                <w:szCs w:val="21"/>
                <w:highlight w:val="none"/>
              </w:rPr>
              <w:t>）投标技术方案明确，不存在一个或一个以上备选（替代）投标方案的；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vAlign w:val="center"/>
          </w:tcPr>
          <w:p>
            <w:pPr>
              <w:spacing w:line="336" w:lineRule="auto"/>
              <w:jc w:val="center"/>
              <w:rPr>
                <w:rFonts w:ascii="宋体" w:hAnsi="宋体" w:cs="宋体"/>
                <w:szCs w:val="21"/>
                <w:highlight w:val="none"/>
              </w:rPr>
            </w:pPr>
          </w:p>
        </w:tc>
        <w:tc>
          <w:tcPr>
            <w:tcW w:w="6525" w:type="dxa"/>
            <w:vAlign w:val="center"/>
          </w:tcPr>
          <w:p>
            <w:pPr>
              <w:tabs>
                <w:tab w:val="left" w:pos="612"/>
              </w:tabs>
              <w:spacing w:line="336" w:lineRule="auto"/>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八</w:t>
            </w:r>
            <w:r>
              <w:rPr>
                <w:rFonts w:hint="eastAsia" w:ascii="宋体" w:hAnsi="宋体" w:cs="宋体"/>
                <w:szCs w:val="21"/>
                <w:highlight w:val="none"/>
              </w:rPr>
              <w:t>）商务技术文件中未出现报价或单价的；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1790" w:type="dxa"/>
            <w:vMerge w:val="continue"/>
            <w:vAlign w:val="center"/>
          </w:tcPr>
          <w:p>
            <w:pPr>
              <w:spacing w:line="336" w:lineRule="auto"/>
              <w:jc w:val="center"/>
              <w:rPr>
                <w:rFonts w:ascii="宋体" w:hAnsi="宋体" w:cs="宋体"/>
                <w:szCs w:val="21"/>
                <w:highlight w:val="none"/>
              </w:rPr>
            </w:pPr>
          </w:p>
        </w:tc>
        <w:tc>
          <w:tcPr>
            <w:tcW w:w="6525" w:type="dxa"/>
            <w:vAlign w:val="center"/>
          </w:tcPr>
          <w:p>
            <w:pPr>
              <w:tabs>
                <w:tab w:val="left" w:pos="612"/>
              </w:tabs>
              <w:spacing w:line="336" w:lineRule="auto"/>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九</w:t>
            </w:r>
            <w:r>
              <w:rPr>
                <w:rFonts w:hint="eastAsia" w:ascii="宋体" w:hAnsi="宋体" w:cs="宋体"/>
                <w:szCs w:val="21"/>
                <w:highlight w:val="none"/>
              </w:rPr>
              <w:t>）不存在法律、法规和招标文件规定的其他无效情形；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vAlign w:val="center"/>
          </w:tcPr>
          <w:p>
            <w:pPr>
              <w:spacing w:line="336" w:lineRule="auto"/>
              <w:jc w:val="center"/>
              <w:rPr>
                <w:rFonts w:ascii="宋体" w:hAnsi="宋体" w:cs="宋体"/>
                <w:szCs w:val="21"/>
                <w:highlight w:val="none"/>
              </w:rPr>
            </w:pPr>
          </w:p>
        </w:tc>
        <w:tc>
          <w:tcPr>
            <w:tcW w:w="6525" w:type="dxa"/>
            <w:vAlign w:val="center"/>
          </w:tcPr>
          <w:p>
            <w:pPr>
              <w:tabs>
                <w:tab w:val="left" w:pos="612"/>
              </w:tabs>
              <w:spacing w:line="336" w:lineRule="auto"/>
              <w:rPr>
                <w:rFonts w:ascii="宋体" w:hAnsi="宋体" w:cs="宋体"/>
                <w:szCs w:val="21"/>
                <w:highlight w:val="none"/>
              </w:rPr>
            </w:pPr>
            <w:r>
              <w:rPr>
                <w:rFonts w:hint="eastAsia" w:ascii="宋体" w:hAnsi="宋体" w:cs="宋体"/>
                <w:szCs w:val="21"/>
                <w:highlight w:val="none"/>
              </w:rPr>
              <w:t>（十）不存在投标文件的有效期不满足招标文件要求情形；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restart"/>
            <w:vAlign w:val="center"/>
          </w:tcPr>
          <w:p>
            <w:pPr>
              <w:spacing w:line="336" w:lineRule="auto"/>
              <w:jc w:val="center"/>
              <w:rPr>
                <w:rFonts w:ascii="宋体" w:hAnsi="宋体" w:cs="宋体"/>
                <w:szCs w:val="21"/>
                <w:highlight w:val="none"/>
              </w:rPr>
            </w:pPr>
            <w:r>
              <w:rPr>
                <w:rFonts w:hint="eastAsia" w:ascii="宋体" w:hAnsi="宋体" w:cs="宋体"/>
                <w:szCs w:val="21"/>
                <w:highlight w:val="none"/>
              </w:rPr>
              <w:t>符合性审查</w:t>
            </w:r>
          </w:p>
          <w:p>
            <w:pPr>
              <w:spacing w:line="336" w:lineRule="auto"/>
              <w:ind w:firstLine="210" w:firstLineChars="100"/>
              <w:jc w:val="center"/>
              <w:rPr>
                <w:rFonts w:ascii="宋体" w:hAnsi="宋体" w:cs="宋体"/>
                <w:szCs w:val="21"/>
                <w:highlight w:val="none"/>
              </w:rPr>
            </w:pPr>
            <w:r>
              <w:rPr>
                <w:rFonts w:hint="eastAsia" w:ascii="宋体" w:hAnsi="宋体" w:cs="宋体"/>
                <w:szCs w:val="21"/>
                <w:highlight w:val="none"/>
              </w:rPr>
              <w:t>（报价文件）</w:t>
            </w:r>
          </w:p>
        </w:tc>
        <w:tc>
          <w:tcPr>
            <w:tcW w:w="6525" w:type="dxa"/>
            <w:vAlign w:val="center"/>
          </w:tcPr>
          <w:p>
            <w:pPr>
              <w:spacing w:line="336" w:lineRule="auto"/>
              <w:rPr>
                <w:rFonts w:ascii="宋体" w:hAnsi="宋体" w:cs="宋体"/>
                <w:szCs w:val="21"/>
                <w:highlight w:val="none"/>
              </w:rPr>
            </w:pPr>
            <w:r>
              <w:rPr>
                <w:rFonts w:hint="eastAsia" w:ascii="宋体" w:hAnsi="宋体" w:cs="宋体"/>
                <w:szCs w:val="21"/>
                <w:highlight w:val="none"/>
              </w:rPr>
              <w:t>（一）按照招标文件规定要求签署或盖章；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tcPr>
          <w:p>
            <w:pPr>
              <w:spacing w:line="336" w:lineRule="auto"/>
              <w:ind w:firstLine="210" w:firstLineChars="100"/>
              <w:rPr>
                <w:rFonts w:ascii="宋体" w:hAnsi="宋体" w:cs="宋体"/>
                <w:szCs w:val="21"/>
                <w:highlight w:val="none"/>
              </w:rPr>
            </w:pPr>
          </w:p>
        </w:tc>
        <w:tc>
          <w:tcPr>
            <w:tcW w:w="6525" w:type="dxa"/>
            <w:vAlign w:val="center"/>
          </w:tcPr>
          <w:p>
            <w:pPr>
              <w:spacing w:line="336" w:lineRule="auto"/>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二</w:t>
            </w:r>
            <w:r>
              <w:rPr>
                <w:rFonts w:hint="eastAsia" w:ascii="宋体" w:hAnsi="宋体" w:cs="宋体"/>
                <w:szCs w:val="21"/>
                <w:highlight w:val="none"/>
              </w:rPr>
              <w:t>）采用人民币报价或者按照招标文件标明的币种报价的；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tcPr>
          <w:p>
            <w:pPr>
              <w:spacing w:line="336" w:lineRule="auto"/>
              <w:ind w:firstLine="210" w:firstLineChars="100"/>
              <w:rPr>
                <w:rFonts w:ascii="宋体" w:hAnsi="宋体" w:cs="宋体"/>
                <w:szCs w:val="21"/>
                <w:highlight w:val="none"/>
              </w:rPr>
            </w:pPr>
          </w:p>
        </w:tc>
        <w:tc>
          <w:tcPr>
            <w:tcW w:w="6525" w:type="dxa"/>
            <w:vAlign w:val="center"/>
          </w:tcPr>
          <w:p>
            <w:pPr>
              <w:spacing w:line="336" w:lineRule="auto"/>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三</w:t>
            </w:r>
            <w:r>
              <w:rPr>
                <w:rFonts w:hint="eastAsia" w:ascii="宋体" w:hAnsi="宋体" w:cs="宋体"/>
                <w:szCs w:val="21"/>
                <w:highlight w:val="none"/>
              </w:rPr>
              <w:t>）不存在报价超出最高限价，或者超出采购预算金额，采购人不能支付的情形。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tcPr>
          <w:p>
            <w:pPr>
              <w:spacing w:line="336" w:lineRule="auto"/>
              <w:ind w:firstLine="210" w:firstLineChars="100"/>
              <w:rPr>
                <w:rFonts w:ascii="宋体" w:hAnsi="宋体" w:cs="宋体"/>
                <w:szCs w:val="21"/>
                <w:highlight w:val="none"/>
              </w:rPr>
            </w:pPr>
          </w:p>
        </w:tc>
        <w:tc>
          <w:tcPr>
            <w:tcW w:w="6525" w:type="dxa"/>
            <w:vAlign w:val="center"/>
          </w:tcPr>
          <w:p>
            <w:pPr>
              <w:spacing w:line="336" w:lineRule="auto"/>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四</w:t>
            </w:r>
            <w:r>
              <w:rPr>
                <w:rFonts w:hint="eastAsia" w:ascii="宋体" w:hAnsi="宋体" w:cs="宋体"/>
                <w:szCs w:val="21"/>
                <w:highlight w:val="none"/>
              </w:rPr>
              <w:t>）不存在投标报价具有选择性的情形；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tcPr>
          <w:p>
            <w:pPr>
              <w:spacing w:line="336" w:lineRule="auto"/>
              <w:ind w:firstLine="210" w:firstLineChars="100"/>
              <w:rPr>
                <w:rFonts w:ascii="宋体" w:hAnsi="宋体" w:cs="宋体"/>
                <w:szCs w:val="21"/>
                <w:highlight w:val="none"/>
              </w:rPr>
            </w:pPr>
          </w:p>
        </w:tc>
        <w:tc>
          <w:tcPr>
            <w:tcW w:w="6525" w:type="dxa"/>
            <w:vAlign w:val="center"/>
          </w:tcPr>
          <w:p>
            <w:pPr>
              <w:spacing w:line="336" w:lineRule="auto"/>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五</w:t>
            </w:r>
            <w:r>
              <w:rPr>
                <w:rFonts w:hint="eastAsia" w:ascii="宋体" w:hAnsi="宋体" w:cs="宋体"/>
                <w:szCs w:val="21"/>
                <w:highlight w:val="none"/>
              </w:rPr>
              <w:t>）投标报价中未出现重大缺项、漏项；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tcPr>
          <w:p>
            <w:pPr>
              <w:spacing w:line="336" w:lineRule="auto"/>
              <w:ind w:firstLine="210" w:firstLineChars="100"/>
              <w:rPr>
                <w:rFonts w:ascii="宋体" w:hAnsi="宋体" w:cs="宋体"/>
                <w:szCs w:val="21"/>
                <w:highlight w:val="none"/>
              </w:rPr>
            </w:pPr>
          </w:p>
        </w:tc>
        <w:tc>
          <w:tcPr>
            <w:tcW w:w="6525" w:type="dxa"/>
            <w:vAlign w:val="center"/>
          </w:tcPr>
          <w:p>
            <w:pPr>
              <w:spacing w:line="336" w:lineRule="auto"/>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六</w:t>
            </w:r>
            <w:r>
              <w:rPr>
                <w:rFonts w:hint="eastAsia" w:ascii="宋体" w:hAnsi="宋体" w:cs="宋体"/>
                <w:szCs w:val="21"/>
                <w:highlight w:val="none"/>
              </w:rPr>
              <w:t>）不存在评标委员会认为供应商的报价明显低于其他通过符合性审查供应商的报价，有可能影响产品质量或者不能诚信履约的且不能在评标现场合理时间内提供相关证明材料说明其报价的合理性的情形；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tcPr>
          <w:p>
            <w:pPr>
              <w:spacing w:line="336" w:lineRule="auto"/>
              <w:ind w:firstLine="210" w:firstLineChars="100"/>
              <w:rPr>
                <w:rFonts w:ascii="宋体" w:hAnsi="宋体" w:cs="宋体"/>
                <w:szCs w:val="21"/>
                <w:highlight w:val="none"/>
              </w:rPr>
            </w:pPr>
          </w:p>
        </w:tc>
        <w:tc>
          <w:tcPr>
            <w:tcW w:w="6525" w:type="dxa"/>
            <w:vAlign w:val="center"/>
          </w:tcPr>
          <w:p>
            <w:pPr>
              <w:spacing w:line="336" w:lineRule="auto"/>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七</w:t>
            </w:r>
            <w:r>
              <w:rPr>
                <w:rFonts w:hint="eastAsia" w:ascii="宋体" w:hAnsi="宋体" w:cs="宋体"/>
                <w:szCs w:val="21"/>
                <w:highlight w:val="none"/>
              </w:rPr>
              <w:t>）投标文件（报价文件）内容与投标文件（商务技术文件）内容不存在重大差异的；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tcPr>
          <w:p>
            <w:pPr>
              <w:spacing w:line="336" w:lineRule="auto"/>
              <w:ind w:firstLine="210" w:firstLineChars="100"/>
              <w:rPr>
                <w:rFonts w:ascii="宋体" w:hAnsi="宋体" w:cs="宋体"/>
                <w:szCs w:val="21"/>
                <w:highlight w:val="none"/>
              </w:rPr>
            </w:pPr>
          </w:p>
        </w:tc>
        <w:tc>
          <w:tcPr>
            <w:tcW w:w="6525" w:type="dxa"/>
            <w:vAlign w:val="center"/>
          </w:tcPr>
          <w:p>
            <w:pPr>
              <w:spacing w:line="336" w:lineRule="auto"/>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八</w:t>
            </w:r>
            <w:r>
              <w:rPr>
                <w:rFonts w:hint="eastAsia" w:ascii="宋体" w:hAnsi="宋体" w:cs="宋体"/>
                <w:szCs w:val="21"/>
                <w:highlight w:val="none"/>
              </w:rPr>
              <w:t>）不存在法律、法规和招标文件规定的其他无效情形；</w:t>
            </w:r>
          </w:p>
        </w:tc>
      </w:tr>
    </w:tbl>
    <w:p>
      <w:pPr>
        <w:spacing w:line="360" w:lineRule="auto"/>
        <w:ind w:firstLine="422" w:firstLineChars="200"/>
        <w:rPr>
          <w:rFonts w:ascii="宋体" w:hAnsi="宋体" w:cs="宋体"/>
          <w:b/>
          <w:highlight w:val="none"/>
        </w:rPr>
      </w:pPr>
      <w:bookmarkStart w:id="52" w:name="_Toc259108323"/>
      <w:bookmarkStart w:id="53" w:name="_Toc249866767"/>
      <w:r>
        <w:rPr>
          <w:rFonts w:hint="eastAsia" w:ascii="宋体" w:hAnsi="宋体" w:cs="宋体"/>
          <w:b/>
          <w:highlight w:val="none"/>
        </w:rPr>
        <w:t>（三）投标无效的情形</w:t>
      </w:r>
      <w:bookmarkEnd w:id="52"/>
      <w:bookmarkEnd w:id="53"/>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没有响应招标文件实质性要求的投标将被视为无效投标。供应商不得通过修正或撤消不合要求的偏离或保留从而使其投标成为实质上响应的投标，但经评标委员会认定属于供应商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供应商修改、补正投标文件后，不影响评标委员会对其投标文件所作的评价和评分结果。</w:t>
      </w:r>
    </w:p>
    <w:p>
      <w:pPr>
        <w:widowControl/>
        <w:spacing w:line="360" w:lineRule="auto"/>
        <w:ind w:firstLine="422" w:firstLineChars="200"/>
        <w:rPr>
          <w:highlight w:val="none"/>
        </w:rPr>
      </w:pPr>
      <w:r>
        <w:rPr>
          <w:rFonts w:hint="eastAsia" w:ascii="宋体" w:hAnsi="宋体" w:cs="宋体"/>
          <w:b/>
          <w:bCs/>
          <w:szCs w:val="21"/>
          <w:highlight w:val="none"/>
        </w:rPr>
        <w:t>★上传投标文件同一网卡地址、同一IP地址的为无效标。</w:t>
      </w:r>
    </w:p>
    <w:p>
      <w:pPr>
        <w:spacing w:line="360" w:lineRule="auto"/>
        <w:rPr>
          <w:rFonts w:ascii="宋体" w:hAnsi="宋体" w:cs="宋体"/>
          <w:b/>
          <w:bCs/>
          <w:szCs w:val="21"/>
          <w:highlight w:val="none"/>
        </w:rPr>
      </w:pPr>
      <w:r>
        <w:rPr>
          <w:rFonts w:hint="eastAsia" w:ascii="宋体" w:hAnsi="宋体" w:cs="宋体"/>
          <w:b/>
          <w:bCs/>
          <w:szCs w:val="21"/>
          <w:highlight w:val="none"/>
        </w:rPr>
        <w:t>A、在资格审查时，如发现下列情形之一的，将被视为无效投标文件：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1、资格证明文件不全的或者不符合招标文件标明的资格要求的；</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2、供应商资格声明函无法定代表人或授权代表签名或盖章；</w:t>
      </w:r>
    </w:p>
    <w:p>
      <w:pPr>
        <w:spacing w:line="360" w:lineRule="auto"/>
        <w:rPr>
          <w:rFonts w:ascii="宋体" w:hAnsi="宋体" w:cs="宋体"/>
          <w:b/>
          <w:bCs/>
          <w:szCs w:val="21"/>
          <w:highlight w:val="none"/>
        </w:rPr>
      </w:pPr>
      <w:r>
        <w:rPr>
          <w:rFonts w:hint="eastAsia" w:ascii="宋体" w:hAnsi="宋体" w:cs="宋体"/>
          <w:b/>
          <w:bCs/>
          <w:szCs w:val="21"/>
          <w:highlight w:val="none"/>
        </w:rPr>
        <w:t>B、在符合性审查（商务技术文件）时，如发现下列情形之一的，将被视为无效投标文件：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1、未</w:t>
      </w:r>
      <w:r>
        <w:rPr>
          <w:rFonts w:hint="eastAsia" w:ascii="宋体" w:hAnsi="宋体" w:cs="宋体"/>
          <w:highlight w:val="none"/>
        </w:rPr>
        <w:t>提交投标函或投标函内容不符合招标文件要求；</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2、未按照招标文件规定要求签署或盖章；</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3、投标文件无法定代表人签署本人姓名（或印盖本人姓名章），或签署人未提供有效的法定代表人授权委托书或授权委托书填写项目不齐全的；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、投标文件标明的响应或偏离与事实不符或虚假投标的；</w:t>
      </w:r>
    </w:p>
    <w:p>
      <w:pPr>
        <w:spacing w:line="36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rPr>
        <w:t>、投标文件的实质性内容未使用中文表述、意思表述不明确、前后矛盾或者使用计量单位不符合招标文件要求的（经评标委员会认定并允许其当场更正的笔误除外）；</w:t>
      </w:r>
    </w:p>
    <w:p>
      <w:pPr>
        <w:spacing w:line="36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6</w:t>
      </w:r>
      <w:r>
        <w:rPr>
          <w:rFonts w:hint="eastAsia" w:ascii="宋体" w:hAnsi="宋体" w:cs="宋体"/>
          <w:szCs w:val="21"/>
          <w:highlight w:val="none"/>
        </w:rPr>
        <w:t>、带“★”的条款不能满足招标文件要求、未实质性响应招标文件要求或者投标文件有采购人不能接受的附加条件的；</w:t>
      </w:r>
    </w:p>
    <w:p>
      <w:pPr>
        <w:spacing w:line="36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7</w:t>
      </w:r>
      <w:r>
        <w:rPr>
          <w:rFonts w:hint="eastAsia" w:ascii="宋体" w:hAnsi="宋体" w:cs="宋体"/>
          <w:szCs w:val="21"/>
          <w:highlight w:val="none"/>
        </w:rPr>
        <w:t>、投标技术方案不明确，存在一个或一个以上备选（替代）投标方案的；</w:t>
      </w:r>
    </w:p>
    <w:p>
      <w:pPr>
        <w:spacing w:line="360" w:lineRule="auto"/>
        <w:ind w:firstLine="420"/>
        <w:rPr>
          <w:rFonts w:ascii="宋体" w:hAnsi="宋体" w:cs="宋体"/>
          <w:kern w:val="1"/>
          <w:szCs w:val="21"/>
          <w:highlight w:val="none"/>
        </w:rPr>
      </w:pPr>
      <w:r>
        <w:rPr>
          <w:rFonts w:hint="eastAsia" w:ascii="宋体" w:hAnsi="宋体" w:cs="宋体"/>
          <w:kern w:val="1"/>
          <w:szCs w:val="21"/>
          <w:highlight w:val="none"/>
          <w:lang w:val="en-US" w:eastAsia="zh-CN"/>
        </w:rPr>
        <w:t>8</w:t>
      </w:r>
      <w:r>
        <w:rPr>
          <w:rFonts w:hint="eastAsia" w:ascii="宋体" w:hAnsi="宋体" w:cs="宋体"/>
          <w:kern w:val="1"/>
          <w:szCs w:val="21"/>
          <w:highlight w:val="none"/>
        </w:rPr>
        <w:t>、商务技术文件中出现报价或单价的；</w:t>
      </w:r>
    </w:p>
    <w:p>
      <w:pPr>
        <w:spacing w:line="360" w:lineRule="auto"/>
        <w:ind w:firstLine="420"/>
        <w:rPr>
          <w:rFonts w:ascii="宋体" w:hAnsi="宋体" w:cs="宋体"/>
          <w:kern w:val="1"/>
          <w:szCs w:val="21"/>
          <w:highlight w:val="none"/>
        </w:rPr>
      </w:pPr>
      <w:r>
        <w:rPr>
          <w:rFonts w:hint="eastAsia" w:ascii="宋体" w:hAnsi="宋体" w:cs="宋体"/>
          <w:kern w:val="1"/>
          <w:szCs w:val="21"/>
          <w:highlight w:val="none"/>
          <w:lang w:val="en-US" w:eastAsia="zh-CN"/>
        </w:rPr>
        <w:t>9</w:t>
      </w:r>
      <w:r>
        <w:rPr>
          <w:rFonts w:hint="eastAsia" w:ascii="宋体" w:hAnsi="宋体" w:cs="宋体"/>
          <w:kern w:val="1"/>
          <w:szCs w:val="21"/>
          <w:highlight w:val="none"/>
        </w:rPr>
        <w:t>、法律、法规和招标文件规定的其他无效情形；</w:t>
      </w:r>
    </w:p>
    <w:p>
      <w:pPr>
        <w:spacing w:line="360" w:lineRule="auto"/>
        <w:ind w:firstLine="420"/>
        <w:rPr>
          <w:rFonts w:ascii="宋体" w:hAnsi="宋体" w:cs="宋体"/>
          <w:kern w:val="1"/>
          <w:szCs w:val="21"/>
          <w:highlight w:val="none"/>
        </w:rPr>
      </w:pPr>
      <w:r>
        <w:rPr>
          <w:rFonts w:hint="eastAsia" w:ascii="宋体" w:hAnsi="宋体" w:cs="宋体"/>
          <w:kern w:val="1"/>
          <w:szCs w:val="21"/>
          <w:highlight w:val="none"/>
        </w:rPr>
        <w:t>1</w:t>
      </w:r>
      <w:r>
        <w:rPr>
          <w:rFonts w:hint="eastAsia" w:ascii="宋体" w:hAnsi="宋体" w:cs="宋体"/>
          <w:kern w:val="1"/>
          <w:szCs w:val="21"/>
          <w:highlight w:val="none"/>
          <w:lang w:val="en-US" w:eastAsia="zh-CN"/>
        </w:rPr>
        <w:t>0</w:t>
      </w:r>
      <w:r>
        <w:rPr>
          <w:rFonts w:hint="eastAsia" w:ascii="宋体" w:hAnsi="宋体" w:cs="宋体"/>
          <w:kern w:val="1"/>
          <w:szCs w:val="21"/>
          <w:highlight w:val="none"/>
        </w:rPr>
        <w:t>、投标文件的有效期不满足招标文件要求；</w:t>
      </w:r>
    </w:p>
    <w:p>
      <w:pPr>
        <w:spacing w:line="360" w:lineRule="auto"/>
        <w:rPr>
          <w:rFonts w:ascii="宋体" w:hAnsi="宋体" w:cs="宋体"/>
          <w:b/>
          <w:bCs/>
          <w:szCs w:val="21"/>
          <w:highlight w:val="none"/>
        </w:rPr>
      </w:pPr>
      <w:r>
        <w:rPr>
          <w:rFonts w:hint="eastAsia" w:ascii="宋体" w:hAnsi="宋体" w:cs="宋体"/>
          <w:b/>
          <w:bCs/>
          <w:szCs w:val="21"/>
          <w:highlight w:val="none"/>
        </w:rPr>
        <w:t>C、在符合性审查（报价文件）时，如发现下列情形之一的，将被视为无效投标文件：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1、未按照招标文件规定要求签署或盖章；</w:t>
      </w:r>
    </w:p>
    <w:p>
      <w:pPr>
        <w:spacing w:line="36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、未采用人民币报价或者未按照招标文件标明的币种报价的；</w:t>
      </w:r>
    </w:p>
    <w:p>
      <w:pPr>
        <w:spacing w:line="36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、报价超出最高限价，或者超出采购预算金额，采购人不能支付的；</w:t>
      </w:r>
    </w:p>
    <w:p>
      <w:pPr>
        <w:spacing w:line="36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、投标报价具有选择性的；</w:t>
      </w:r>
    </w:p>
    <w:p>
      <w:pPr>
        <w:spacing w:line="36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rPr>
        <w:t>、投标报价中出现重大缺项、漏项；</w:t>
      </w:r>
    </w:p>
    <w:p>
      <w:pPr>
        <w:spacing w:line="36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6</w:t>
      </w:r>
      <w:r>
        <w:rPr>
          <w:rFonts w:hint="eastAsia" w:ascii="宋体" w:hAnsi="宋体" w:cs="宋体"/>
          <w:szCs w:val="21"/>
          <w:highlight w:val="none"/>
        </w:rPr>
        <w:t>、评标委员会认为供应商的报价明显低于其他通过符合性审查供应商的报价，有可能影响产品质量或者不能诚信履约的，且不能在评标现场合理时间内提供相关证明材料说明其报价的合理性的；</w:t>
      </w:r>
    </w:p>
    <w:p>
      <w:pPr>
        <w:spacing w:line="36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7</w:t>
      </w:r>
      <w:r>
        <w:rPr>
          <w:rFonts w:hint="eastAsia" w:ascii="宋体" w:hAnsi="宋体" w:cs="宋体"/>
          <w:szCs w:val="21"/>
          <w:highlight w:val="none"/>
        </w:rPr>
        <w:t>、投标文件（报价文件）内容与投标文件（商务技术文件）内容有重大差异的；</w:t>
      </w:r>
    </w:p>
    <w:p>
      <w:pPr>
        <w:spacing w:line="36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8</w:t>
      </w:r>
      <w:r>
        <w:rPr>
          <w:rFonts w:hint="eastAsia" w:ascii="宋体" w:hAnsi="宋体" w:cs="宋体"/>
          <w:szCs w:val="21"/>
          <w:highlight w:val="none"/>
        </w:rPr>
        <w:t>、法律、法规和招标文件规定的其他无效情形；</w:t>
      </w:r>
    </w:p>
    <w:p>
      <w:pPr>
        <w:numPr>
          <w:ilvl w:val="0"/>
          <w:numId w:val="38"/>
        </w:numPr>
        <w:spacing w:line="360" w:lineRule="exact"/>
        <w:rPr>
          <w:rFonts w:ascii="宋体" w:hAnsi="宋体" w:cs="宋体"/>
          <w:b/>
          <w:szCs w:val="21"/>
          <w:highlight w:val="none"/>
        </w:rPr>
      </w:pPr>
      <w:r>
        <w:rPr>
          <w:rFonts w:hint="eastAsia" w:ascii="宋体" w:hAnsi="宋体" w:cs="宋体"/>
          <w:b/>
          <w:szCs w:val="21"/>
          <w:highlight w:val="none"/>
        </w:rPr>
        <w:br w:type="page"/>
      </w:r>
      <w:r>
        <w:rPr>
          <w:rFonts w:hint="eastAsia" w:ascii="宋体" w:hAnsi="宋体" w:cs="宋体"/>
          <w:b/>
          <w:szCs w:val="21"/>
          <w:highlight w:val="none"/>
        </w:rPr>
        <w:t>评分标准（兼评委打分表）</w:t>
      </w:r>
    </w:p>
    <w:tbl>
      <w:tblPr>
        <w:tblStyle w:val="46"/>
        <w:tblW w:w="966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065"/>
        <w:gridCol w:w="1365"/>
        <w:gridCol w:w="4980"/>
        <w:gridCol w:w="660"/>
        <w:gridCol w:w="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385" w:type="dxa"/>
            <w:gridSpan w:val="4"/>
            <w:tcBorders>
              <w:tl2br w:val="single" w:color="auto" w:sz="4" w:space="0"/>
            </w:tcBorders>
            <w:noWrap w:val="0"/>
            <w:vAlign w:val="center"/>
          </w:tcPr>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评分标准及分值                                                      供应商</w:t>
            </w:r>
          </w:p>
        </w:tc>
        <w:tc>
          <w:tcPr>
            <w:tcW w:w="660" w:type="dxa"/>
            <w:noWrap w:val="0"/>
            <w:vAlign w:val="center"/>
          </w:tcPr>
          <w:p>
            <w:pPr>
              <w:adjustRightInd/>
              <w:spacing w:before="120" w:beforeLines="50"/>
              <w:jc w:val="center"/>
              <w:textAlignment w:val="auto"/>
              <w:rPr>
                <w:rFonts w:hint="eastAsia" w:ascii="宋体" w:hAnsi="宋体" w:eastAsia="宋体" w:cs="宋体"/>
                <w:b/>
                <w:color w:val="auto"/>
                <w:szCs w:val="21"/>
                <w:highlight w:val="none"/>
              </w:rPr>
            </w:pPr>
            <w:r>
              <w:rPr>
                <w:rFonts w:hint="eastAsia" w:ascii="宋体" w:hAnsi="宋体" w:eastAsia="宋体" w:cs="宋体"/>
                <w:snapToGrid w:val="0"/>
                <w:spacing w:val="-4"/>
                <w:kern w:val="2"/>
                <w:sz w:val="21"/>
                <w:highlight w:val="none"/>
              </w:rPr>
              <w:t>分值</w:t>
            </w:r>
          </w:p>
        </w:tc>
        <w:tc>
          <w:tcPr>
            <w:tcW w:w="620" w:type="dxa"/>
            <w:noWrap w:val="0"/>
            <w:vAlign w:val="center"/>
          </w:tcPr>
          <w:p>
            <w:pPr>
              <w:adjustRightInd/>
              <w:spacing w:line="240" w:lineRule="auto"/>
              <w:jc w:val="center"/>
              <w:textAlignment w:val="auto"/>
              <w:rPr>
                <w:rFonts w:hint="eastAsia" w:ascii="宋体" w:hAnsi="宋体" w:eastAsia="宋体" w:cs="宋体"/>
                <w:b/>
                <w:color w:val="auto"/>
                <w:szCs w:val="21"/>
                <w:highlight w:val="none"/>
              </w:rPr>
            </w:pPr>
            <w:r>
              <w:rPr>
                <w:rFonts w:hint="eastAsia" w:ascii="宋体" w:hAnsi="宋体" w:eastAsia="宋体" w:cs="宋体"/>
                <w:snapToGrid w:val="0"/>
                <w:spacing w:val="-4"/>
                <w:kern w:val="2"/>
                <w:sz w:val="21"/>
                <w:highlight w:val="none"/>
              </w:rPr>
              <w:t>分值类型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75" w:type="dxa"/>
            <w:vMerge w:val="restart"/>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商务技术分</w:t>
            </w:r>
          </w:p>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80分</w:t>
            </w:r>
          </w:p>
        </w:tc>
        <w:tc>
          <w:tcPr>
            <w:tcW w:w="1065" w:type="dxa"/>
            <w:vMerge w:val="restart"/>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1、保洁服务方案</w:t>
            </w:r>
          </w:p>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59</w:t>
            </w:r>
            <w:r>
              <w:rPr>
                <w:rFonts w:hint="eastAsia" w:ascii="宋体" w:hAnsi="宋体" w:eastAsia="宋体" w:cs="宋体"/>
                <w:color w:val="auto"/>
                <w:szCs w:val="21"/>
                <w:highlight w:val="none"/>
              </w:rPr>
              <w:t>分）</w:t>
            </w:r>
          </w:p>
        </w:tc>
        <w:tc>
          <w:tcPr>
            <w:tcW w:w="1365" w:type="dxa"/>
            <w:vMerge w:val="restart"/>
            <w:noWrap w:val="0"/>
            <w:vAlign w:val="center"/>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1.1对本项目的了解情况及重点、难点分析</w:t>
            </w:r>
            <w:r>
              <w:rPr>
                <w:rFonts w:hint="eastAsia" w:ascii="宋体" w:hAnsi="宋体" w:cs="宋体"/>
                <w:color w:val="auto"/>
                <w:szCs w:val="21"/>
                <w:highlight w:val="none"/>
                <w:lang w:val="en-US" w:eastAsia="zh-CN"/>
              </w:rPr>
              <w:t>和解决方案</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p>
        </w:tc>
        <w:tc>
          <w:tcPr>
            <w:tcW w:w="4980" w:type="dxa"/>
            <w:noWrap w:val="0"/>
            <w:vAlign w:val="center"/>
          </w:tcPr>
          <w:p>
            <w:pPr>
              <w:spacing w:line="34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1.1.1</w:t>
            </w:r>
            <w:r>
              <w:rPr>
                <w:rFonts w:hint="eastAsia" w:ascii="宋体" w:hAnsi="宋体" w:eastAsia="宋体" w:cs="宋体"/>
                <w:color w:val="auto"/>
                <w:szCs w:val="21"/>
                <w:highlight w:val="none"/>
              </w:rPr>
              <w:t>根据供应商提供的针对</w:t>
            </w:r>
            <w:r>
              <w:rPr>
                <w:rFonts w:hint="eastAsia" w:ascii="宋体" w:hAnsi="宋体" w:cs="宋体"/>
                <w:color w:val="auto"/>
                <w:szCs w:val="21"/>
                <w:highlight w:val="none"/>
                <w:lang w:val="en-US" w:eastAsia="zh-CN"/>
              </w:rPr>
              <w:t>本次</w:t>
            </w:r>
            <w:r>
              <w:rPr>
                <w:rFonts w:hint="eastAsia" w:ascii="宋体" w:hAnsi="宋体" w:eastAsia="宋体" w:cs="宋体"/>
                <w:color w:val="auto"/>
                <w:szCs w:val="21"/>
                <w:highlight w:val="none"/>
              </w:rPr>
              <w:t>的</w:t>
            </w:r>
            <w:r>
              <w:rPr>
                <w:rFonts w:hint="eastAsia" w:ascii="宋体" w:hAnsi="宋体" w:cs="宋体"/>
                <w:color w:val="auto"/>
                <w:szCs w:val="21"/>
                <w:highlight w:val="none"/>
                <w:lang w:val="en-US" w:eastAsia="zh-CN"/>
              </w:rPr>
              <w:t>道路保洁</w:t>
            </w:r>
            <w:r>
              <w:rPr>
                <w:rFonts w:hint="eastAsia" w:ascii="宋体" w:hAnsi="宋体" w:eastAsia="宋体" w:cs="宋体"/>
                <w:color w:val="auto"/>
                <w:szCs w:val="21"/>
                <w:highlight w:val="none"/>
              </w:rPr>
              <w:t>重点及难点分析</w:t>
            </w:r>
            <w:r>
              <w:rPr>
                <w:rFonts w:hint="eastAsia" w:ascii="宋体" w:hAnsi="宋体" w:cs="宋体"/>
                <w:color w:val="auto"/>
                <w:szCs w:val="21"/>
                <w:highlight w:val="none"/>
                <w:lang w:val="en-US" w:eastAsia="zh-CN"/>
              </w:rPr>
              <w:t>和解决方案</w:t>
            </w:r>
            <w:r>
              <w:rPr>
                <w:rFonts w:hint="eastAsia" w:ascii="宋体" w:hAnsi="宋体" w:eastAsia="宋体" w:cs="宋体"/>
                <w:color w:val="auto"/>
                <w:szCs w:val="21"/>
                <w:highlight w:val="none"/>
                <w:lang w:val="en-US" w:eastAsia="zh-CN"/>
              </w:rPr>
              <w:t>是否全面</w:t>
            </w:r>
            <w:r>
              <w:rPr>
                <w:rFonts w:hint="eastAsia" w:ascii="宋体" w:hAnsi="宋体" w:eastAsia="宋体" w:cs="宋体"/>
                <w:color w:val="auto"/>
                <w:szCs w:val="21"/>
                <w:highlight w:val="none"/>
              </w:rPr>
              <w:t>进行评议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欠全面的扣</w:t>
            </w:r>
            <w:r>
              <w:rPr>
                <w:rFonts w:hint="eastAsia" w:ascii="宋体" w:hAnsi="宋体" w:cs="宋体"/>
                <w:color w:val="auto"/>
                <w:szCs w:val="21"/>
                <w:highlight w:val="none"/>
                <w:lang w:val="en-US" w:eastAsia="zh-CN"/>
              </w:rPr>
              <w:t>每一项扣0.5</w:t>
            </w:r>
            <w:r>
              <w:rPr>
                <w:rFonts w:hint="eastAsia" w:ascii="宋体" w:hAnsi="宋体" w:eastAsia="宋体" w:cs="宋体"/>
                <w:color w:val="auto"/>
                <w:szCs w:val="21"/>
                <w:highlight w:val="none"/>
              </w:rPr>
              <w:t>分；</w:t>
            </w:r>
            <w:r>
              <w:rPr>
                <w:rFonts w:hint="eastAsia" w:ascii="宋体" w:hAnsi="宋体" w:cs="宋体"/>
                <w:color w:val="auto"/>
                <w:szCs w:val="21"/>
                <w:highlight w:val="none"/>
                <w:lang w:val="en-US" w:eastAsia="zh-CN"/>
              </w:rPr>
              <w:t>分析</w:t>
            </w:r>
            <w:r>
              <w:rPr>
                <w:rFonts w:hint="eastAsia" w:ascii="宋体" w:hAnsi="宋体" w:eastAsia="宋体" w:cs="宋体"/>
                <w:color w:val="auto"/>
                <w:szCs w:val="21"/>
                <w:highlight w:val="none"/>
              </w:rPr>
              <w:t>不全面的</w:t>
            </w:r>
            <w:r>
              <w:rPr>
                <w:rFonts w:hint="eastAsia" w:ascii="宋体" w:hAnsi="宋体" w:cs="宋体"/>
                <w:color w:val="auto"/>
                <w:szCs w:val="21"/>
                <w:highlight w:val="none"/>
                <w:lang w:val="en-US" w:eastAsia="zh-CN"/>
              </w:rPr>
              <w:t>每一项</w:t>
            </w:r>
            <w:r>
              <w:rPr>
                <w:rFonts w:hint="eastAsia" w:ascii="宋体" w:hAnsi="宋体" w:eastAsia="宋体" w:cs="宋体"/>
                <w:color w:val="auto"/>
                <w:szCs w:val="21"/>
                <w:highlight w:val="none"/>
              </w:rPr>
              <w:t>扣</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w:t>
            </w:r>
          </w:p>
        </w:tc>
        <w:tc>
          <w:tcPr>
            <w:tcW w:w="660" w:type="dxa"/>
            <w:noWrap w:val="0"/>
            <w:vAlign w:val="center"/>
          </w:tcPr>
          <w:p>
            <w:pPr>
              <w:adjustRightInd/>
              <w:spacing w:line="240" w:lineRule="auto"/>
              <w:jc w:val="center"/>
              <w:textAlignment w:val="auto"/>
              <w:rPr>
                <w:rFonts w:hint="eastAsia" w:ascii="宋体" w:hAnsi="宋体" w:eastAsia="宋体" w:cs="宋体"/>
                <w:color w:val="auto"/>
                <w:szCs w:val="21"/>
                <w:highlight w:val="none"/>
              </w:rPr>
            </w:pPr>
            <w:r>
              <w:rPr>
                <w:rFonts w:hint="eastAsia" w:ascii="宋体" w:hAnsi="宋体" w:cs="宋体"/>
                <w:kern w:val="2"/>
                <w:sz w:val="21"/>
                <w:highlight w:val="none"/>
                <w:lang w:val="en-US" w:eastAsia="zh-CN"/>
              </w:rPr>
              <w:t>2</w:t>
            </w:r>
          </w:p>
        </w:tc>
        <w:tc>
          <w:tcPr>
            <w:tcW w:w="620" w:type="dxa"/>
            <w:noWrap w:val="0"/>
            <w:vAlign w:val="center"/>
          </w:tcPr>
          <w:p>
            <w:pPr>
              <w:adjustRightIn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snapToGrid w:val="0"/>
                <w:spacing w:val="-4"/>
                <w:kern w:val="2"/>
                <w:sz w:val="21"/>
                <w:highlight w:val="none"/>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975"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065"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365" w:type="dxa"/>
            <w:vMerge w:val="continue"/>
            <w:noWrap w:val="0"/>
            <w:vAlign w:val="center"/>
          </w:tcPr>
          <w:p>
            <w:pPr>
              <w:spacing w:line="340" w:lineRule="exact"/>
              <w:rPr>
                <w:rFonts w:hint="eastAsia" w:ascii="宋体" w:hAnsi="宋体" w:eastAsia="宋体" w:cs="宋体"/>
                <w:color w:val="auto"/>
                <w:szCs w:val="21"/>
                <w:highlight w:val="none"/>
              </w:rPr>
            </w:pPr>
          </w:p>
        </w:tc>
        <w:tc>
          <w:tcPr>
            <w:tcW w:w="4980" w:type="dxa"/>
            <w:noWrap w:val="0"/>
            <w:vAlign w:val="center"/>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1.1.2</w:t>
            </w:r>
            <w:r>
              <w:rPr>
                <w:rFonts w:hint="eastAsia" w:ascii="宋体" w:hAnsi="宋体" w:eastAsia="宋体" w:cs="宋体"/>
                <w:color w:val="auto"/>
                <w:szCs w:val="21"/>
                <w:highlight w:val="none"/>
              </w:rPr>
              <w:t>根据供应商提供的针对保洁服务区域的</w:t>
            </w:r>
            <w:r>
              <w:rPr>
                <w:rFonts w:hint="eastAsia" w:ascii="宋体" w:hAnsi="宋体" w:cs="宋体"/>
                <w:color w:val="auto"/>
                <w:szCs w:val="21"/>
                <w:highlight w:val="none"/>
                <w:lang w:val="en-US" w:eastAsia="zh-CN"/>
              </w:rPr>
              <w:t>生活垃圾上门收运</w:t>
            </w:r>
            <w:r>
              <w:rPr>
                <w:rFonts w:hint="eastAsia" w:ascii="宋体" w:hAnsi="宋体" w:eastAsia="宋体" w:cs="宋体"/>
                <w:color w:val="auto"/>
                <w:szCs w:val="21"/>
                <w:highlight w:val="none"/>
              </w:rPr>
              <w:t>重点及难点分析</w:t>
            </w:r>
            <w:r>
              <w:rPr>
                <w:rFonts w:hint="eastAsia" w:ascii="宋体" w:hAnsi="宋体" w:eastAsia="宋体" w:cs="宋体"/>
                <w:color w:val="auto"/>
                <w:szCs w:val="21"/>
                <w:highlight w:val="none"/>
                <w:lang w:val="en-US" w:eastAsia="zh-CN"/>
              </w:rPr>
              <w:t>和解决方案是否全面</w:t>
            </w:r>
            <w:r>
              <w:rPr>
                <w:rFonts w:hint="eastAsia" w:ascii="宋体" w:hAnsi="宋体" w:eastAsia="宋体" w:cs="宋体"/>
                <w:color w:val="auto"/>
                <w:szCs w:val="21"/>
                <w:highlight w:val="none"/>
              </w:rPr>
              <w:t>进行评议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欠全面的扣</w:t>
            </w:r>
            <w:r>
              <w:rPr>
                <w:rFonts w:hint="eastAsia" w:ascii="宋体" w:hAnsi="宋体" w:eastAsia="宋体" w:cs="宋体"/>
                <w:color w:val="auto"/>
                <w:szCs w:val="21"/>
                <w:highlight w:val="none"/>
                <w:lang w:val="en-US" w:eastAsia="zh-CN"/>
              </w:rPr>
              <w:t>每一项扣0.5</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分析</w:t>
            </w:r>
            <w:r>
              <w:rPr>
                <w:rFonts w:hint="eastAsia" w:ascii="宋体" w:hAnsi="宋体" w:eastAsia="宋体" w:cs="宋体"/>
                <w:color w:val="auto"/>
                <w:szCs w:val="21"/>
                <w:highlight w:val="none"/>
              </w:rPr>
              <w:t>不全面的</w:t>
            </w:r>
            <w:r>
              <w:rPr>
                <w:rFonts w:hint="eastAsia" w:ascii="宋体" w:hAnsi="宋体" w:eastAsia="宋体" w:cs="宋体"/>
                <w:color w:val="auto"/>
                <w:szCs w:val="21"/>
                <w:highlight w:val="none"/>
                <w:lang w:val="en-US" w:eastAsia="zh-CN"/>
              </w:rPr>
              <w:t>每一项</w:t>
            </w:r>
            <w:r>
              <w:rPr>
                <w:rFonts w:hint="eastAsia" w:ascii="宋体" w:hAnsi="宋体" w:eastAsia="宋体" w:cs="宋体"/>
                <w:color w:val="auto"/>
                <w:szCs w:val="21"/>
                <w:highlight w:val="none"/>
              </w:rPr>
              <w:t>扣</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p>
        </w:tc>
        <w:tc>
          <w:tcPr>
            <w:tcW w:w="660" w:type="dxa"/>
            <w:noWrap w:val="0"/>
            <w:vAlign w:val="center"/>
          </w:tcPr>
          <w:p>
            <w:pPr>
              <w:adjustRightInd/>
              <w:spacing w:line="240" w:lineRule="auto"/>
              <w:jc w:val="center"/>
              <w:textAlignment w:val="auto"/>
              <w:rPr>
                <w:rFonts w:hint="eastAsia" w:ascii="宋体" w:hAnsi="宋体" w:eastAsia="宋体" w:cs="宋体"/>
                <w:color w:val="auto"/>
                <w:szCs w:val="21"/>
                <w:highlight w:val="none"/>
                <w:lang w:val="en-US" w:eastAsia="zh-CN"/>
              </w:rPr>
            </w:pPr>
            <w:r>
              <w:rPr>
                <w:rFonts w:hint="eastAsia" w:ascii="宋体" w:hAnsi="宋体" w:cs="宋体"/>
                <w:kern w:val="2"/>
                <w:sz w:val="21"/>
                <w:highlight w:val="none"/>
                <w:lang w:val="en-US" w:eastAsia="zh-CN"/>
              </w:rPr>
              <w:t>2</w:t>
            </w:r>
          </w:p>
        </w:tc>
        <w:tc>
          <w:tcPr>
            <w:tcW w:w="620" w:type="dxa"/>
            <w:noWrap w:val="0"/>
            <w:vAlign w:val="center"/>
          </w:tcPr>
          <w:p>
            <w:pPr>
              <w:adjustRightIn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snapToGrid w:val="0"/>
                <w:spacing w:val="-4"/>
                <w:kern w:val="2"/>
                <w:sz w:val="21"/>
                <w:highlight w:val="none"/>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75" w:type="dxa"/>
            <w:vMerge w:val="continue"/>
            <w:noWrap w:val="0"/>
            <w:vAlign w:val="center"/>
          </w:tcPr>
          <w:p>
            <w:pPr>
              <w:widowControl w:val="0"/>
              <w:spacing w:after="120" w:afterLines="0"/>
              <w:jc w:val="both"/>
              <w:rPr>
                <w:rFonts w:hint="eastAsia" w:ascii="Tahoma" w:hAnsi="Tahoma" w:eastAsia="宋体" w:cs="Times New Roman"/>
                <w:kern w:val="2"/>
                <w:sz w:val="28"/>
                <w:szCs w:val="24"/>
                <w:highlight w:val="none"/>
                <w:lang w:val="en-US" w:eastAsia="zh-CN" w:bidi="ar-SA"/>
              </w:rPr>
            </w:pPr>
          </w:p>
        </w:tc>
        <w:tc>
          <w:tcPr>
            <w:tcW w:w="1065"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365" w:type="dxa"/>
            <w:vMerge w:val="restart"/>
            <w:noWrap w:val="0"/>
            <w:vAlign w:val="center"/>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道路保洁方案（</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分）</w:t>
            </w:r>
          </w:p>
        </w:tc>
        <w:tc>
          <w:tcPr>
            <w:tcW w:w="4980" w:type="dxa"/>
            <w:noWrap w:val="0"/>
            <w:vAlign w:val="center"/>
          </w:tcPr>
          <w:p>
            <w:pPr>
              <w:spacing w:line="34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.1评委根据供应商提供的针对本次招标范围内实际情况制定的道路人工保洁方案是否科学进行评议：方案欠科学的扣1分；方案不科学的扣2分。</w:t>
            </w:r>
          </w:p>
        </w:tc>
        <w:tc>
          <w:tcPr>
            <w:tcW w:w="660" w:type="dxa"/>
            <w:noWrap w:val="0"/>
            <w:vAlign w:val="center"/>
          </w:tcPr>
          <w:p>
            <w:pPr>
              <w:spacing w:line="231"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620" w:type="dxa"/>
            <w:noWrap w:val="0"/>
            <w:vAlign w:val="center"/>
          </w:tcPr>
          <w:p>
            <w:pPr>
              <w:adjustRightIn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snapToGrid w:val="0"/>
                <w:spacing w:val="-4"/>
                <w:kern w:val="2"/>
                <w:sz w:val="21"/>
                <w:highlight w:val="none"/>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75" w:type="dxa"/>
            <w:vMerge w:val="continue"/>
            <w:noWrap w:val="0"/>
            <w:vAlign w:val="center"/>
          </w:tcPr>
          <w:p>
            <w:pPr>
              <w:widowControl w:val="0"/>
              <w:spacing w:after="120" w:afterLines="0"/>
              <w:jc w:val="both"/>
              <w:rPr>
                <w:rFonts w:hint="eastAsia" w:ascii="Tahoma" w:hAnsi="Tahoma" w:eastAsia="宋体" w:cs="Times New Roman"/>
                <w:kern w:val="2"/>
                <w:sz w:val="28"/>
                <w:szCs w:val="24"/>
                <w:highlight w:val="none"/>
                <w:lang w:val="en-US" w:eastAsia="zh-CN" w:bidi="ar-SA"/>
              </w:rPr>
            </w:pPr>
          </w:p>
        </w:tc>
        <w:tc>
          <w:tcPr>
            <w:tcW w:w="1065"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365" w:type="dxa"/>
            <w:vMerge w:val="continue"/>
            <w:noWrap w:val="0"/>
            <w:vAlign w:val="center"/>
          </w:tcPr>
          <w:p>
            <w:pPr>
              <w:spacing w:line="340" w:lineRule="exact"/>
              <w:rPr>
                <w:rFonts w:hint="eastAsia" w:ascii="宋体" w:hAnsi="宋体" w:eastAsia="宋体" w:cs="宋体"/>
                <w:color w:val="auto"/>
                <w:szCs w:val="21"/>
                <w:highlight w:val="none"/>
              </w:rPr>
            </w:pPr>
          </w:p>
        </w:tc>
        <w:tc>
          <w:tcPr>
            <w:tcW w:w="4980" w:type="dxa"/>
            <w:noWrap w:val="0"/>
            <w:vAlign w:val="center"/>
          </w:tcPr>
          <w:p>
            <w:pPr>
              <w:spacing w:line="3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.2评委根据供应商提供的针对本次招标范围内实际情况制定的绿化带保洁方案是否可行进行评议：方案欠可行的扣1分；方案不可行的扣2分。</w:t>
            </w:r>
          </w:p>
        </w:tc>
        <w:tc>
          <w:tcPr>
            <w:tcW w:w="660" w:type="dxa"/>
            <w:noWrap w:val="0"/>
            <w:vAlign w:val="center"/>
          </w:tcPr>
          <w:p>
            <w:pPr>
              <w:spacing w:line="231"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620" w:type="dxa"/>
            <w:noWrap w:val="0"/>
            <w:vAlign w:val="center"/>
          </w:tcPr>
          <w:p>
            <w:pPr>
              <w:adjustRightIn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snapToGrid w:val="0"/>
                <w:spacing w:val="-4"/>
                <w:kern w:val="2"/>
                <w:sz w:val="21"/>
                <w:highlight w:val="none"/>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75" w:type="dxa"/>
            <w:vMerge w:val="continue"/>
            <w:noWrap w:val="0"/>
            <w:vAlign w:val="center"/>
          </w:tcPr>
          <w:p>
            <w:pPr>
              <w:widowControl w:val="0"/>
              <w:spacing w:after="120" w:afterLines="0"/>
              <w:jc w:val="both"/>
              <w:rPr>
                <w:rFonts w:hint="eastAsia" w:ascii="Tahoma" w:hAnsi="Tahoma" w:eastAsia="宋体" w:cs="Times New Roman"/>
                <w:kern w:val="2"/>
                <w:sz w:val="28"/>
                <w:szCs w:val="24"/>
                <w:highlight w:val="none"/>
                <w:lang w:val="en-US" w:eastAsia="zh-CN" w:bidi="ar-SA"/>
              </w:rPr>
            </w:pPr>
          </w:p>
        </w:tc>
        <w:tc>
          <w:tcPr>
            <w:tcW w:w="1065"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365" w:type="dxa"/>
            <w:vMerge w:val="continue"/>
            <w:noWrap w:val="0"/>
            <w:vAlign w:val="center"/>
          </w:tcPr>
          <w:p>
            <w:pPr>
              <w:spacing w:line="340" w:lineRule="exact"/>
              <w:rPr>
                <w:rFonts w:hint="eastAsia" w:ascii="宋体" w:hAnsi="宋体" w:eastAsia="宋体" w:cs="宋体"/>
                <w:color w:val="auto"/>
                <w:szCs w:val="21"/>
                <w:highlight w:val="none"/>
              </w:rPr>
            </w:pPr>
          </w:p>
        </w:tc>
        <w:tc>
          <w:tcPr>
            <w:tcW w:w="4980" w:type="dxa"/>
            <w:noWrap w:val="0"/>
            <w:vAlign w:val="center"/>
          </w:tcPr>
          <w:p>
            <w:pPr>
              <w:spacing w:line="3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.3评委根据供应商提供的针对本次招标范围内实际情况制定的公厕保洁方案是否全面进行评议：方案欠全面的扣1分；方案不全面的扣2分。</w:t>
            </w:r>
          </w:p>
        </w:tc>
        <w:tc>
          <w:tcPr>
            <w:tcW w:w="660" w:type="dxa"/>
            <w:noWrap w:val="0"/>
            <w:vAlign w:val="center"/>
          </w:tcPr>
          <w:p>
            <w:pPr>
              <w:spacing w:line="231"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2</w:t>
            </w:r>
          </w:p>
        </w:tc>
        <w:tc>
          <w:tcPr>
            <w:tcW w:w="620" w:type="dxa"/>
            <w:noWrap w:val="0"/>
            <w:vAlign w:val="center"/>
          </w:tcPr>
          <w:p>
            <w:pPr>
              <w:adjustRightIn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napToGrid w:val="0"/>
                <w:spacing w:val="-4"/>
                <w:kern w:val="2"/>
                <w:sz w:val="21"/>
                <w:highlight w:val="none"/>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75" w:type="dxa"/>
            <w:vMerge w:val="continue"/>
            <w:noWrap w:val="0"/>
            <w:vAlign w:val="center"/>
          </w:tcPr>
          <w:p>
            <w:pPr>
              <w:widowControl w:val="0"/>
              <w:spacing w:after="120" w:afterLines="0"/>
              <w:jc w:val="both"/>
              <w:rPr>
                <w:rFonts w:hint="eastAsia" w:ascii="Tahoma" w:hAnsi="Tahoma" w:eastAsia="宋体" w:cs="Times New Roman"/>
                <w:kern w:val="2"/>
                <w:sz w:val="28"/>
                <w:szCs w:val="24"/>
                <w:highlight w:val="none"/>
                <w:lang w:val="en-US" w:eastAsia="zh-CN" w:bidi="ar-SA"/>
              </w:rPr>
            </w:pPr>
          </w:p>
        </w:tc>
        <w:tc>
          <w:tcPr>
            <w:tcW w:w="1065"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365" w:type="dxa"/>
            <w:vMerge w:val="continue"/>
            <w:noWrap w:val="0"/>
            <w:vAlign w:val="center"/>
          </w:tcPr>
          <w:p>
            <w:pPr>
              <w:spacing w:line="340" w:lineRule="exact"/>
              <w:rPr>
                <w:rFonts w:hint="eastAsia" w:ascii="宋体" w:hAnsi="宋体" w:eastAsia="宋体" w:cs="宋体"/>
                <w:color w:val="auto"/>
                <w:szCs w:val="21"/>
                <w:highlight w:val="none"/>
              </w:rPr>
            </w:pPr>
          </w:p>
        </w:tc>
        <w:tc>
          <w:tcPr>
            <w:tcW w:w="4980" w:type="dxa"/>
            <w:noWrap w:val="0"/>
            <w:vAlign w:val="center"/>
          </w:tcPr>
          <w:p>
            <w:pPr>
              <w:spacing w:line="3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.4评委根据供应商提供的针对本次招标范围内实际情况制定的废弃物清理方案是否完善进行评议：方案欠完善的扣1分；方案不完善的扣2分。</w:t>
            </w:r>
          </w:p>
        </w:tc>
        <w:tc>
          <w:tcPr>
            <w:tcW w:w="660" w:type="dxa"/>
            <w:noWrap w:val="0"/>
            <w:vAlign w:val="center"/>
          </w:tcPr>
          <w:p>
            <w:pPr>
              <w:spacing w:line="231"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2</w:t>
            </w:r>
          </w:p>
        </w:tc>
        <w:tc>
          <w:tcPr>
            <w:tcW w:w="620" w:type="dxa"/>
            <w:noWrap w:val="0"/>
            <w:vAlign w:val="center"/>
          </w:tcPr>
          <w:p>
            <w:pPr>
              <w:adjustRightIn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napToGrid w:val="0"/>
                <w:spacing w:val="-4"/>
                <w:kern w:val="2"/>
                <w:sz w:val="21"/>
                <w:highlight w:val="none"/>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75" w:type="dxa"/>
            <w:vMerge w:val="continue"/>
            <w:noWrap w:val="0"/>
            <w:vAlign w:val="center"/>
          </w:tcPr>
          <w:p>
            <w:pPr>
              <w:widowControl w:val="0"/>
              <w:spacing w:after="120" w:afterLines="0"/>
              <w:jc w:val="both"/>
              <w:rPr>
                <w:rFonts w:hint="eastAsia" w:ascii="Tahoma" w:hAnsi="Tahoma" w:eastAsia="宋体" w:cs="Times New Roman"/>
                <w:kern w:val="2"/>
                <w:sz w:val="28"/>
                <w:szCs w:val="24"/>
                <w:highlight w:val="none"/>
                <w:lang w:val="en-US" w:eastAsia="zh-CN" w:bidi="ar-SA"/>
              </w:rPr>
            </w:pPr>
          </w:p>
        </w:tc>
        <w:tc>
          <w:tcPr>
            <w:tcW w:w="1065"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365" w:type="dxa"/>
            <w:vMerge w:val="continue"/>
            <w:noWrap w:val="0"/>
            <w:vAlign w:val="center"/>
          </w:tcPr>
          <w:p>
            <w:pPr>
              <w:spacing w:line="340" w:lineRule="exact"/>
              <w:rPr>
                <w:rFonts w:hint="eastAsia" w:ascii="宋体" w:hAnsi="宋体" w:eastAsia="宋体" w:cs="宋体"/>
                <w:color w:val="auto"/>
                <w:szCs w:val="21"/>
                <w:highlight w:val="none"/>
              </w:rPr>
            </w:pPr>
          </w:p>
        </w:tc>
        <w:tc>
          <w:tcPr>
            <w:tcW w:w="4980" w:type="dxa"/>
            <w:noWrap w:val="0"/>
            <w:vAlign w:val="center"/>
          </w:tcPr>
          <w:p>
            <w:pPr>
              <w:spacing w:line="3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.5评委根据供应商提供的针对本次招标范围内实际情况制定的三乱清理方案是否详细进行评议：方案欠详细的扣1分；方案不详细的扣2分。</w:t>
            </w:r>
          </w:p>
        </w:tc>
        <w:tc>
          <w:tcPr>
            <w:tcW w:w="660" w:type="dxa"/>
            <w:noWrap w:val="0"/>
            <w:vAlign w:val="center"/>
          </w:tcPr>
          <w:p>
            <w:pPr>
              <w:spacing w:line="231"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2</w:t>
            </w:r>
          </w:p>
        </w:tc>
        <w:tc>
          <w:tcPr>
            <w:tcW w:w="620" w:type="dxa"/>
            <w:noWrap w:val="0"/>
            <w:vAlign w:val="center"/>
          </w:tcPr>
          <w:p>
            <w:pPr>
              <w:adjustRightIn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napToGrid w:val="0"/>
                <w:spacing w:val="-4"/>
                <w:kern w:val="2"/>
                <w:sz w:val="21"/>
                <w:highlight w:val="none"/>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5" w:type="dxa"/>
            <w:vMerge w:val="continue"/>
            <w:noWrap w:val="0"/>
            <w:vAlign w:val="center"/>
          </w:tcPr>
          <w:p>
            <w:pPr>
              <w:widowControl w:val="0"/>
              <w:spacing w:after="120" w:afterLines="0"/>
              <w:ind w:firstLine="280" w:firstLineChars="100"/>
              <w:jc w:val="both"/>
              <w:rPr>
                <w:rFonts w:hint="eastAsia" w:ascii="Tahoma" w:hAnsi="Tahoma" w:eastAsia="宋体" w:cs="Times New Roman"/>
                <w:kern w:val="2"/>
                <w:sz w:val="28"/>
                <w:szCs w:val="24"/>
                <w:highlight w:val="none"/>
                <w:lang w:val="en-US" w:eastAsia="zh-CN" w:bidi="ar-SA"/>
              </w:rPr>
            </w:pPr>
          </w:p>
        </w:tc>
        <w:tc>
          <w:tcPr>
            <w:tcW w:w="1065"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365" w:type="dxa"/>
            <w:noWrap w:val="0"/>
            <w:vAlign w:val="center"/>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垃圾</w:t>
            </w:r>
            <w:r>
              <w:rPr>
                <w:rFonts w:hint="eastAsia" w:ascii="宋体" w:hAnsi="宋体" w:cs="宋体"/>
                <w:color w:val="auto"/>
                <w:szCs w:val="21"/>
                <w:highlight w:val="none"/>
                <w:lang w:val="en-US" w:eastAsia="zh-CN"/>
              </w:rPr>
              <w:t>分类、收集、</w:t>
            </w:r>
            <w:r>
              <w:rPr>
                <w:rFonts w:hint="eastAsia" w:ascii="宋体" w:hAnsi="宋体" w:eastAsia="宋体" w:cs="宋体"/>
                <w:color w:val="auto"/>
                <w:szCs w:val="21"/>
                <w:highlight w:val="none"/>
              </w:rPr>
              <w:t>清运方案（</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w:t>
            </w:r>
          </w:p>
        </w:tc>
        <w:tc>
          <w:tcPr>
            <w:tcW w:w="4980" w:type="dxa"/>
            <w:noWrap w:val="0"/>
            <w:vAlign w:val="center"/>
          </w:tcPr>
          <w:p>
            <w:pPr>
              <w:spacing w:line="3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.1评委根据供应商提供的针对本次招标范围内实际情况制定的生活垃圾分类</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收集</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清运方案是否全面进行评议：方案欠全面的扣1分；方案不全面的扣2分。</w:t>
            </w:r>
          </w:p>
        </w:tc>
        <w:tc>
          <w:tcPr>
            <w:tcW w:w="660" w:type="dxa"/>
            <w:noWrap w:val="0"/>
            <w:vAlign w:val="center"/>
          </w:tcPr>
          <w:p>
            <w:pPr>
              <w:spacing w:line="231"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620" w:type="dxa"/>
            <w:noWrap w:val="0"/>
            <w:vAlign w:val="center"/>
          </w:tcPr>
          <w:p>
            <w:pPr>
              <w:adjustRightIn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snapToGrid w:val="0"/>
                <w:spacing w:val="-4"/>
                <w:kern w:val="2"/>
                <w:sz w:val="21"/>
                <w:highlight w:val="none"/>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975" w:type="dxa"/>
            <w:vMerge w:val="continue"/>
            <w:noWrap w:val="0"/>
            <w:vAlign w:val="center"/>
          </w:tcPr>
          <w:p>
            <w:pPr>
              <w:widowControl w:val="0"/>
              <w:spacing w:after="120" w:afterLines="0"/>
              <w:ind w:firstLine="280" w:firstLineChars="100"/>
              <w:jc w:val="both"/>
              <w:rPr>
                <w:rFonts w:hint="eastAsia" w:ascii="Tahoma" w:hAnsi="Tahoma" w:eastAsia="宋体" w:cs="Times New Roman"/>
                <w:kern w:val="2"/>
                <w:sz w:val="28"/>
                <w:szCs w:val="24"/>
                <w:highlight w:val="none"/>
                <w:lang w:val="en-US" w:eastAsia="zh-CN" w:bidi="ar-SA"/>
              </w:rPr>
            </w:pPr>
          </w:p>
        </w:tc>
        <w:tc>
          <w:tcPr>
            <w:tcW w:w="1065"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365" w:type="dxa"/>
            <w:vMerge w:val="restart"/>
            <w:noWrap w:val="0"/>
            <w:vAlign w:val="center"/>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人员</w:t>
            </w:r>
            <w:r>
              <w:rPr>
                <w:rFonts w:hint="eastAsia" w:ascii="宋体" w:hAnsi="宋体" w:cs="宋体"/>
                <w:color w:val="auto"/>
                <w:szCs w:val="21"/>
                <w:highlight w:val="none"/>
                <w:lang w:val="en-US" w:eastAsia="zh-CN"/>
              </w:rPr>
              <w:t>投入、人员</w:t>
            </w:r>
            <w:r>
              <w:rPr>
                <w:rFonts w:hint="eastAsia" w:ascii="宋体" w:hAnsi="宋体" w:eastAsia="宋体" w:cs="宋体"/>
                <w:color w:val="auto"/>
                <w:szCs w:val="21"/>
                <w:highlight w:val="none"/>
              </w:rPr>
              <w:t>保障方案</w:t>
            </w:r>
            <w:r>
              <w:rPr>
                <w:rFonts w:hint="eastAsia" w:ascii="宋体" w:hAnsi="宋体" w:cs="宋体"/>
                <w:color w:val="auto"/>
                <w:szCs w:val="21"/>
                <w:highlight w:val="none"/>
                <w:lang w:val="en-US" w:eastAsia="zh-CN"/>
              </w:rPr>
              <w:t>及应急人员储备</w:t>
            </w:r>
            <w:r>
              <w:rPr>
                <w:rFonts w:hint="eastAsia" w:ascii="宋体" w:hAnsi="宋体" w:eastAsia="宋体" w:cs="宋体"/>
                <w:color w:val="auto"/>
                <w:szCs w:val="21"/>
                <w:highlight w:val="none"/>
                <w:lang w:val="en-US" w:eastAsia="zh-CN"/>
              </w:rPr>
              <w:t>方案</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分）</w:t>
            </w:r>
          </w:p>
        </w:tc>
        <w:tc>
          <w:tcPr>
            <w:tcW w:w="4980" w:type="dxa"/>
            <w:noWrap w:val="0"/>
            <w:vAlign w:val="center"/>
          </w:tcPr>
          <w:p>
            <w:pPr>
              <w:spacing w:line="34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1.4.1供应商针对本项目拟投入的人员具有主管部门颁发的安全培训合格证书的，每具有1个得1分。（注:供应商需提供人员清单及近开标日3个月内任意1月的社保证明并加盖公章）</w:t>
            </w:r>
          </w:p>
        </w:tc>
        <w:tc>
          <w:tcPr>
            <w:tcW w:w="660" w:type="dxa"/>
            <w:noWrap w:val="0"/>
            <w:vAlign w:val="center"/>
          </w:tcPr>
          <w:p>
            <w:pPr>
              <w:spacing w:line="231"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620" w:type="dxa"/>
            <w:noWrap w:val="0"/>
            <w:vAlign w:val="center"/>
          </w:tcPr>
          <w:p>
            <w:pPr>
              <w:adjustRightInd/>
              <w:spacing w:line="240" w:lineRule="auto"/>
              <w:jc w:val="center"/>
              <w:textAlignment w:val="auto"/>
              <w:rPr>
                <w:rFonts w:hint="default" w:ascii="宋体" w:hAnsi="宋体" w:eastAsia="宋体" w:cs="宋体"/>
                <w:color w:val="auto"/>
                <w:szCs w:val="21"/>
                <w:highlight w:val="none"/>
                <w:lang w:val="en-US" w:eastAsia="zh-CN"/>
              </w:rPr>
            </w:pPr>
            <w:r>
              <w:rPr>
                <w:rFonts w:hint="eastAsia" w:ascii="宋体" w:hAnsi="宋体" w:cs="宋体"/>
                <w:snapToGrid w:val="0"/>
                <w:spacing w:val="-4"/>
                <w:kern w:val="2"/>
                <w:sz w:val="21"/>
                <w:highlight w:val="none"/>
                <w:lang w:val="en-US" w:eastAsia="zh-CN"/>
              </w:rPr>
              <w:t>客</w:t>
            </w:r>
            <w:r>
              <w:rPr>
                <w:rFonts w:hint="eastAsia" w:ascii="宋体" w:hAnsi="宋体" w:eastAsia="宋体" w:cs="宋体"/>
                <w:snapToGrid w:val="0"/>
                <w:spacing w:val="-4"/>
                <w:kern w:val="2"/>
                <w:sz w:val="21"/>
                <w:highlight w:val="none"/>
              </w:rPr>
              <w:t>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975" w:type="dxa"/>
            <w:vMerge w:val="continue"/>
            <w:noWrap w:val="0"/>
            <w:vAlign w:val="center"/>
          </w:tcPr>
          <w:p>
            <w:pPr>
              <w:adjustRightInd/>
              <w:spacing w:line="240" w:lineRule="auto"/>
              <w:jc w:val="center"/>
              <w:textAlignment w:val="auto"/>
              <w:rPr>
                <w:highlight w:val="none"/>
              </w:rPr>
            </w:pPr>
          </w:p>
        </w:tc>
        <w:tc>
          <w:tcPr>
            <w:tcW w:w="1065" w:type="dxa"/>
            <w:vMerge w:val="continue"/>
            <w:noWrap w:val="0"/>
            <w:vAlign w:val="center"/>
          </w:tcPr>
          <w:p>
            <w:pPr>
              <w:adjustRightInd/>
              <w:spacing w:line="240" w:lineRule="auto"/>
              <w:jc w:val="center"/>
              <w:textAlignment w:val="auto"/>
              <w:rPr>
                <w:highlight w:val="none"/>
              </w:rPr>
            </w:pPr>
          </w:p>
        </w:tc>
        <w:tc>
          <w:tcPr>
            <w:tcW w:w="1365" w:type="dxa"/>
            <w:vMerge w:val="continue"/>
            <w:noWrap w:val="0"/>
            <w:vAlign w:val="center"/>
          </w:tcPr>
          <w:p>
            <w:pPr>
              <w:adjustRightInd/>
              <w:spacing w:line="240" w:lineRule="auto"/>
              <w:jc w:val="center"/>
              <w:textAlignment w:val="auto"/>
              <w:rPr>
                <w:highlight w:val="none"/>
              </w:rPr>
            </w:pPr>
          </w:p>
        </w:tc>
        <w:tc>
          <w:tcPr>
            <w:tcW w:w="4980" w:type="dxa"/>
            <w:noWrap w:val="0"/>
            <w:vAlign w:val="center"/>
          </w:tcPr>
          <w:p>
            <w:pPr>
              <w:spacing w:line="34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评委根据供应商提供的合同执行期间的人员保障方案和</w:t>
            </w:r>
            <w:r>
              <w:rPr>
                <w:rFonts w:hint="eastAsia" w:ascii="宋体" w:hAnsi="宋体" w:cs="宋体"/>
                <w:color w:val="auto"/>
                <w:szCs w:val="21"/>
                <w:highlight w:val="none"/>
                <w:lang w:val="en-US" w:eastAsia="zh-CN"/>
              </w:rPr>
              <w:t>应急人员储备</w:t>
            </w:r>
            <w:r>
              <w:rPr>
                <w:rFonts w:hint="eastAsia" w:ascii="宋体" w:hAnsi="宋体" w:eastAsia="宋体" w:cs="宋体"/>
                <w:color w:val="auto"/>
                <w:szCs w:val="21"/>
                <w:highlight w:val="none"/>
                <w:lang w:val="en-US" w:eastAsia="zh-CN"/>
              </w:rPr>
              <w:t>方案是否</w:t>
            </w:r>
            <w:r>
              <w:rPr>
                <w:rFonts w:hint="eastAsia" w:ascii="宋体" w:hAnsi="宋体" w:cs="宋体"/>
                <w:color w:val="auto"/>
                <w:szCs w:val="21"/>
                <w:highlight w:val="none"/>
                <w:lang w:val="en-US" w:eastAsia="zh-CN"/>
              </w:rPr>
              <w:t>可行</w:t>
            </w:r>
            <w:r>
              <w:rPr>
                <w:rFonts w:hint="eastAsia" w:ascii="宋体" w:hAnsi="宋体" w:eastAsia="宋体" w:cs="宋体"/>
                <w:color w:val="auto"/>
                <w:szCs w:val="21"/>
                <w:highlight w:val="none"/>
                <w:lang w:val="en-US" w:eastAsia="zh-CN"/>
              </w:rPr>
              <w:t>进行评议：方案欠</w:t>
            </w:r>
            <w:r>
              <w:rPr>
                <w:rFonts w:hint="eastAsia" w:ascii="宋体" w:hAnsi="宋体" w:cs="宋体"/>
                <w:color w:val="auto"/>
                <w:szCs w:val="21"/>
                <w:highlight w:val="none"/>
                <w:lang w:val="en-US" w:eastAsia="zh-CN"/>
              </w:rPr>
              <w:t>可行</w:t>
            </w:r>
            <w:r>
              <w:rPr>
                <w:rFonts w:hint="eastAsia" w:ascii="宋体" w:hAnsi="宋体" w:eastAsia="宋体" w:cs="宋体"/>
                <w:color w:val="auto"/>
                <w:szCs w:val="21"/>
                <w:highlight w:val="none"/>
                <w:lang w:val="en-US" w:eastAsia="zh-CN"/>
              </w:rPr>
              <w:t>的每一项扣1分；方案不</w:t>
            </w:r>
            <w:r>
              <w:rPr>
                <w:rFonts w:hint="eastAsia" w:ascii="宋体" w:hAnsi="宋体" w:cs="宋体"/>
                <w:color w:val="auto"/>
                <w:szCs w:val="21"/>
                <w:highlight w:val="none"/>
                <w:lang w:val="en-US" w:eastAsia="zh-CN"/>
              </w:rPr>
              <w:t>可行</w:t>
            </w:r>
            <w:r>
              <w:rPr>
                <w:rFonts w:hint="eastAsia" w:ascii="宋体" w:hAnsi="宋体" w:eastAsia="宋体" w:cs="宋体"/>
                <w:color w:val="auto"/>
                <w:szCs w:val="21"/>
                <w:highlight w:val="none"/>
                <w:lang w:val="en-US" w:eastAsia="zh-CN"/>
              </w:rPr>
              <w:t>的每一项扣2分。</w:t>
            </w:r>
          </w:p>
        </w:tc>
        <w:tc>
          <w:tcPr>
            <w:tcW w:w="660" w:type="dxa"/>
            <w:noWrap w:val="0"/>
            <w:vAlign w:val="center"/>
          </w:tcPr>
          <w:p>
            <w:pPr>
              <w:spacing w:line="231"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620" w:type="dxa"/>
            <w:noWrap w:val="0"/>
            <w:vAlign w:val="center"/>
          </w:tcPr>
          <w:p>
            <w:pPr>
              <w:adjustRightInd/>
              <w:spacing w:line="24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snapToGrid w:val="0"/>
                <w:spacing w:val="-4"/>
                <w:kern w:val="2"/>
                <w:sz w:val="21"/>
                <w:highlight w:val="none"/>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975"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065"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365" w:type="dxa"/>
            <w:vMerge w:val="restart"/>
            <w:noWrap w:val="0"/>
            <w:vAlign w:val="center"/>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机械</w:t>
            </w:r>
            <w:r>
              <w:rPr>
                <w:rFonts w:hint="eastAsia" w:ascii="宋体" w:hAnsi="宋体" w:cs="宋体"/>
                <w:color w:val="auto"/>
                <w:szCs w:val="21"/>
                <w:highlight w:val="none"/>
                <w:lang w:val="en-US" w:eastAsia="zh-CN"/>
              </w:rPr>
              <w:t>设备及车辆</w:t>
            </w:r>
            <w:r>
              <w:rPr>
                <w:rFonts w:hint="eastAsia" w:ascii="宋体" w:hAnsi="宋体" w:eastAsia="宋体" w:cs="宋体"/>
                <w:color w:val="auto"/>
                <w:szCs w:val="21"/>
                <w:highlight w:val="none"/>
              </w:rPr>
              <w:t>的配置情况（</w:t>
            </w: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rPr>
              <w:t>分）</w:t>
            </w:r>
          </w:p>
        </w:tc>
        <w:tc>
          <w:tcPr>
            <w:tcW w:w="4980" w:type="dxa"/>
            <w:noWrap w:val="0"/>
            <w:vAlign w:val="center"/>
          </w:tcPr>
          <w:p>
            <w:pPr>
              <w:snapToGrid w:val="0"/>
              <w:spacing w:line="34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.1评委根据供应商拟投入本项目的机械设备种类是否齐全、性能是否良好进行评议：种类欠齐全、性能一般的每一项扣1分；种类不齐全、性能差的每一项扣2分。</w:t>
            </w:r>
          </w:p>
          <w:p>
            <w:pPr>
              <w:snapToGrid w:val="0"/>
              <w:spacing w:line="340" w:lineRule="exact"/>
              <w:rPr>
                <w:rFonts w:hint="eastAsia" w:ascii="Times New Roman" w:hAnsi="Times New Roman" w:eastAsia="宋体" w:cs="Times New Roman"/>
                <w:color w:val="auto"/>
                <w:highlight w:val="none"/>
                <w:lang w:val="en-US" w:eastAsia="zh-CN"/>
              </w:rPr>
            </w:pPr>
            <w:r>
              <w:rPr>
                <w:rFonts w:hint="eastAsia" w:ascii="宋体" w:hAnsi="宋体" w:eastAsia="宋体" w:cs="宋体"/>
                <w:color w:val="auto"/>
                <w:szCs w:val="21"/>
                <w:highlight w:val="none"/>
                <w:lang w:val="en-US" w:eastAsia="zh-CN"/>
              </w:rPr>
              <w:t>（注:投标文件中须提供</w:t>
            </w:r>
            <w:r>
              <w:rPr>
                <w:rFonts w:hint="eastAsia" w:ascii="宋体" w:hAnsi="宋体" w:cs="宋体"/>
                <w:color w:val="auto"/>
                <w:szCs w:val="21"/>
                <w:highlight w:val="none"/>
                <w:lang w:val="en-US" w:eastAsia="zh-CN"/>
              </w:rPr>
              <w:t>发票、照片等相关证明材料</w:t>
            </w:r>
            <w:r>
              <w:rPr>
                <w:rFonts w:hint="eastAsia" w:ascii="Times New Roman" w:hAnsi="Times New Roman" w:eastAsia="宋体" w:cs="Times New Roman"/>
                <w:color w:val="auto"/>
                <w:highlight w:val="none"/>
              </w:rPr>
              <w:t>）</w:t>
            </w:r>
          </w:p>
        </w:tc>
        <w:tc>
          <w:tcPr>
            <w:tcW w:w="660" w:type="dxa"/>
            <w:noWrap w:val="0"/>
            <w:vAlign w:val="center"/>
          </w:tcPr>
          <w:p>
            <w:pPr>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620" w:type="dxa"/>
            <w:noWrap w:val="0"/>
            <w:vAlign w:val="center"/>
          </w:tcPr>
          <w:p>
            <w:pPr>
              <w:adjustRightIn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snapToGrid w:val="0"/>
                <w:spacing w:val="-4"/>
                <w:kern w:val="2"/>
                <w:sz w:val="21"/>
                <w:highlight w:val="none"/>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975" w:type="dxa"/>
            <w:vMerge w:val="continue"/>
            <w:noWrap w:val="0"/>
            <w:vAlign w:val="center"/>
          </w:tcPr>
          <w:p>
            <w:pPr>
              <w:adjustRightInd/>
              <w:spacing w:line="240" w:lineRule="auto"/>
              <w:jc w:val="center"/>
              <w:textAlignment w:val="auto"/>
              <w:rPr>
                <w:highlight w:val="none"/>
              </w:rPr>
            </w:pPr>
          </w:p>
        </w:tc>
        <w:tc>
          <w:tcPr>
            <w:tcW w:w="1065" w:type="dxa"/>
            <w:vMerge w:val="continue"/>
            <w:noWrap w:val="0"/>
            <w:vAlign w:val="center"/>
          </w:tcPr>
          <w:p>
            <w:pPr>
              <w:adjustRightInd/>
              <w:spacing w:line="240" w:lineRule="auto"/>
              <w:jc w:val="center"/>
              <w:textAlignment w:val="auto"/>
              <w:rPr>
                <w:highlight w:val="none"/>
              </w:rPr>
            </w:pPr>
          </w:p>
        </w:tc>
        <w:tc>
          <w:tcPr>
            <w:tcW w:w="1365" w:type="dxa"/>
            <w:vMerge w:val="continue"/>
            <w:noWrap w:val="0"/>
            <w:vAlign w:val="center"/>
          </w:tcPr>
          <w:p>
            <w:pPr>
              <w:adjustRightInd/>
              <w:spacing w:line="240" w:lineRule="auto"/>
              <w:jc w:val="center"/>
              <w:textAlignment w:val="auto"/>
              <w:rPr>
                <w:highlight w:val="none"/>
              </w:rPr>
            </w:pPr>
          </w:p>
        </w:tc>
        <w:tc>
          <w:tcPr>
            <w:tcW w:w="4980" w:type="dxa"/>
            <w:noWrap w:val="0"/>
            <w:vAlign w:val="center"/>
          </w:tcPr>
          <w:p>
            <w:pPr>
              <w:snapToGrid w:val="0"/>
              <w:spacing w:line="34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评委根据供应商拟投入本项目的</w:t>
            </w:r>
            <w:r>
              <w:rPr>
                <w:rFonts w:hint="eastAsia" w:ascii="宋体" w:hAnsi="宋体" w:cs="宋体"/>
                <w:color w:val="auto"/>
                <w:szCs w:val="21"/>
                <w:highlight w:val="none"/>
                <w:lang w:val="en-US" w:eastAsia="zh-CN"/>
              </w:rPr>
              <w:t>车辆</w:t>
            </w:r>
            <w:r>
              <w:rPr>
                <w:rFonts w:hint="eastAsia" w:ascii="宋体" w:hAnsi="宋体" w:eastAsia="宋体" w:cs="宋体"/>
                <w:color w:val="auto"/>
                <w:szCs w:val="21"/>
                <w:highlight w:val="none"/>
                <w:lang w:val="en-US" w:eastAsia="zh-CN"/>
              </w:rPr>
              <w:t>种类是否齐全、性能是否良好进行评议：种类欠齐全、性能一般的每一项扣1分；种类不齐全、性能差的每一项扣2分。</w:t>
            </w:r>
          </w:p>
          <w:p>
            <w:pPr>
              <w:snapToGrid w:val="0"/>
              <w:spacing w:line="3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（注:投标文件中须提供</w:t>
            </w:r>
            <w:r>
              <w:rPr>
                <w:rFonts w:hint="eastAsia" w:ascii="宋体" w:hAnsi="宋体" w:cs="宋体"/>
                <w:color w:val="auto"/>
                <w:szCs w:val="21"/>
                <w:highlight w:val="none"/>
                <w:lang w:val="en-US" w:eastAsia="zh-CN"/>
              </w:rPr>
              <w:t>发票、照片等相关证明材料</w:t>
            </w:r>
            <w:r>
              <w:rPr>
                <w:rFonts w:hint="eastAsia" w:ascii="Times New Roman" w:hAnsi="Times New Roman" w:eastAsia="宋体" w:cs="Times New Roman"/>
                <w:color w:val="auto"/>
                <w:highlight w:val="none"/>
              </w:rPr>
              <w:t>）</w:t>
            </w:r>
          </w:p>
        </w:tc>
        <w:tc>
          <w:tcPr>
            <w:tcW w:w="660" w:type="dxa"/>
            <w:noWrap w:val="0"/>
            <w:vAlign w:val="center"/>
          </w:tcPr>
          <w:p>
            <w:pPr>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620" w:type="dxa"/>
            <w:noWrap w:val="0"/>
            <w:vAlign w:val="center"/>
          </w:tcPr>
          <w:p>
            <w:pPr>
              <w:adjustRightInd/>
              <w:spacing w:line="24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snapToGrid w:val="0"/>
                <w:spacing w:val="-4"/>
                <w:kern w:val="2"/>
                <w:sz w:val="21"/>
                <w:highlight w:val="none"/>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975" w:type="dxa"/>
            <w:vMerge w:val="continue"/>
            <w:noWrap w:val="0"/>
            <w:vAlign w:val="center"/>
          </w:tcPr>
          <w:p>
            <w:pPr>
              <w:adjustRightInd/>
              <w:spacing w:line="240" w:lineRule="auto"/>
              <w:jc w:val="center"/>
              <w:textAlignment w:val="auto"/>
              <w:rPr>
                <w:highlight w:val="none"/>
              </w:rPr>
            </w:pPr>
          </w:p>
        </w:tc>
        <w:tc>
          <w:tcPr>
            <w:tcW w:w="1065" w:type="dxa"/>
            <w:vMerge w:val="continue"/>
            <w:noWrap w:val="0"/>
            <w:vAlign w:val="center"/>
          </w:tcPr>
          <w:p>
            <w:pPr>
              <w:adjustRightInd/>
              <w:spacing w:line="240" w:lineRule="auto"/>
              <w:jc w:val="center"/>
              <w:textAlignment w:val="auto"/>
              <w:rPr>
                <w:highlight w:val="none"/>
              </w:rPr>
            </w:pPr>
          </w:p>
        </w:tc>
        <w:tc>
          <w:tcPr>
            <w:tcW w:w="1365" w:type="dxa"/>
            <w:vMerge w:val="continue"/>
            <w:noWrap w:val="0"/>
            <w:vAlign w:val="center"/>
          </w:tcPr>
          <w:p>
            <w:pPr>
              <w:adjustRightInd/>
              <w:spacing w:line="240" w:lineRule="auto"/>
              <w:jc w:val="center"/>
              <w:textAlignment w:val="auto"/>
              <w:rPr>
                <w:highlight w:val="none"/>
              </w:rPr>
            </w:pPr>
          </w:p>
        </w:tc>
        <w:tc>
          <w:tcPr>
            <w:tcW w:w="4980" w:type="dxa"/>
            <w:noWrap w:val="0"/>
            <w:vAlign w:val="center"/>
          </w:tcPr>
          <w:p>
            <w:pPr>
              <w:snapToGrid w:val="0"/>
              <w:spacing w:line="34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评委根据供应商拟投入本项目的</w:t>
            </w:r>
            <w:r>
              <w:rPr>
                <w:rFonts w:hint="eastAsia" w:ascii="宋体" w:hAnsi="宋体" w:cs="宋体"/>
                <w:color w:val="auto"/>
                <w:szCs w:val="21"/>
                <w:highlight w:val="none"/>
                <w:lang w:val="en-US" w:eastAsia="zh-CN"/>
              </w:rPr>
              <w:t>新型先进车辆和机械设备（如洗桶机、雾炮车等）</w:t>
            </w:r>
            <w:r>
              <w:rPr>
                <w:rFonts w:hint="eastAsia" w:ascii="宋体" w:hAnsi="宋体" w:eastAsia="宋体" w:cs="宋体"/>
                <w:color w:val="auto"/>
                <w:szCs w:val="21"/>
                <w:highlight w:val="none"/>
                <w:lang w:val="en-US" w:eastAsia="zh-CN"/>
              </w:rPr>
              <w:t>是否良好进行评议：性能一般的每一项扣1分；性能差的每一项扣2分。</w:t>
            </w:r>
          </w:p>
          <w:p>
            <w:pPr>
              <w:snapToGrid w:val="0"/>
              <w:spacing w:line="3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（注:投标文件中须提供</w:t>
            </w:r>
            <w:r>
              <w:rPr>
                <w:rFonts w:hint="eastAsia" w:ascii="宋体" w:hAnsi="宋体" w:cs="宋体"/>
                <w:color w:val="auto"/>
                <w:szCs w:val="21"/>
                <w:highlight w:val="none"/>
                <w:lang w:val="en-US" w:eastAsia="zh-CN"/>
              </w:rPr>
              <w:t>发票、照片等相关证明材料</w:t>
            </w:r>
            <w:r>
              <w:rPr>
                <w:rFonts w:hint="eastAsia" w:ascii="Times New Roman" w:hAnsi="Times New Roman" w:eastAsia="宋体" w:cs="Times New Roman"/>
                <w:color w:val="auto"/>
                <w:highlight w:val="none"/>
              </w:rPr>
              <w:t>）</w:t>
            </w:r>
          </w:p>
        </w:tc>
        <w:tc>
          <w:tcPr>
            <w:tcW w:w="660" w:type="dxa"/>
            <w:noWrap w:val="0"/>
            <w:vAlign w:val="center"/>
          </w:tcPr>
          <w:p>
            <w:pPr>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620" w:type="dxa"/>
            <w:noWrap w:val="0"/>
            <w:vAlign w:val="center"/>
          </w:tcPr>
          <w:p>
            <w:pPr>
              <w:adjustRightInd/>
              <w:spacing w:line="24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snapToGrid w:val="0"/>
                <w:spacing w:val="-4"/>
                <w:kern w:val="2"/>
                <w:sz w:val="21"/>
                <w:highlight w:val="none"/>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5"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065"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365" w:type="dxa"/>
            <w:vMerge w:val="restart"/>
            <w:noWrap w:val="0"/>
            <w:vAlign w:val="center"/>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质量保障措施、服务响应及承诺（</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分）</w:t>
            </w:r>
          </w:p>
        </w:tc>
        <w:tc>
          <w:tcPr>
            <w:tcW w:w="4980" w:type="dxa"/>
            <w:noWrap w:val="0"/>
            <w:vAlign w:val="center"/>
          </w:tcPr>
          <w:p>
            <w:pPr>
              <w:snapToGrid w:val="0"/>
              <w:spacing w:line="3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.1评委根据供应商提供的质量保障措施是否全面进行评议：措施欠全面的扣1分；措施不全面的扣2分。</w:t>
            </w:r>
          </w:p>
        </w:tc>
        <w:tc>
          <w:tcPr>
            <w:tcW w:w="660" w:type="dxa"/>
            <w:noWrap w:val="0"/>
            <w:vAlign w:val="center"/>
          </w:tcPr>
          <w:p>
            <w:pPr>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620" w:type="dxa"/>
            <w:noWrap w:val="0"/>
            <w:vAlign w:val="center"/>
          </w:tcPr>
          <w:p>
            <w:pPr>
              <w:adjustRightIn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snapToGrid w:val="0"/>
                <w:spacing w:val="-4"/>
                <w:kern w:val="2"/>
                <w:sz w:val="21"/>
                <w:highlight w:val="none"/>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75"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065"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365" w:type="dxa"/>
            <w:vMerge w:val="continue"/>
            <w:noWrap w:val="0"/>
            <w:vAlign w:val="center"/>
          </w:tcPr>
          <w:p>
            <w:pPr>
              <w:spacing w:line="340" w:lineRule="exact"/>
              <w:rPr>
                <w:rFonts w:hint="eastAsia" w:ascii="宋体" w:hAnsi="宋体" w:eastAsia="宋体" w:cs="宋体"/>
                <w:color w:val="auto"/>
                <w:szCs w:val="21"/>
                <w:highlight w:val="none"/>
              </w:rPr>
            </w:pPr>
          </w:p>
        </w:tc>
        <w:tc>
          <w:tcPr>
            <w:tcW w:w="4980" w:type="dxa"/>
            <w:noWrap w:val="0"/>
            <w:vAlign w:val="center"/>
          </w:tcPr>
          <w:p>
            <w:pPr>
              <w:snapToGrid w:val="0"/>
              <w:spacing w:line="3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.2评委根据供应商提供的服务响应情况和响应承诺是否合理可行进行评议:欠合理可行的扣1分；方案不合理可行的扣2分。</w:t>
            </w:r>
          </w:p>
        </w:tc>
        <w:tc>
          <w:tcPr>
            <w:tcW w:w="660" w:type="dxa"/>
            <w:noWrap w:val="0"/>
            <w:vAlign w:val="center"/>
          </w:tcPr>
          <w:p>
            <w:pPr>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620" w:type="dxa"/>
            <w:noWrap w:val="0"/>
            <w:vAlign w:val="center"/>
          </w:tcPr>
          <w:p>
            <w:pPr>
              <w:adjustRightIn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snapToGrid w:val="0"/>
                <w:spacing w:val="-4"/>
                <w:kern w:val="2"/>
                <w:sz w:val="21"/>
                <w:highlight w:val="none"/>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5"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065"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365" w:type="dxa"/>
            <w:vMerge w:val="restart"/>
            <w:noWrap w:val="0"/>
            <w:vAlign w:val="center"/>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安全教育及安全经营方案（</w:t>
            </w: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rPr>
              <w:t>分）</w:t>
            </w:r>
          </w:p>
        </w:tc>
        <w:tc>
          <w:tcPr>
            <w:tcW w:w="4980" w:type="dxa"/>
            <w:noWrap w:val="0"/>
            <w:vAlign w:val="center"/>
          </w:tcPr>
          <w:p>
            <w:pPr>
              <w:snapToGrid w:val="0"/>
              <w:spacing w:line="3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.1评委根据各供应商提供的安全教育方案和培训方案是否全面进行评议：方案欠全面的每一项扣1分；方案不全面的每一项扣2分。</w:t>
            </w:r>
          </w:p>
        </w:tc>
        <w:tc>
          <w:tcPr>
            <w:tcW w:w="660" w:type="dxa"/>
            <w:noWrap w:val="0"/>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p>
        </w:tc>
        <w:tc>
          <w:tcPr>
            <w:tcW w:w="620" w:type="dxa"/>
            <w:noWrap w:val="0"/>
            <w:vAlign w:val="center"/>
          </w:tcPr>
          <w:p>
            <w:pPr>
              <w:adjustRightIn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snapToGrid w:val="0"/>
                <w:spacing w:val="-4"/>
                <w:kern w:val="2"/>
                <w:sz w:val="21"/>
                <w:highlight w:val="none"/>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75"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065"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365" w:type="dxa"/>
            <w:vMerge w:val="continue"/>
            <w:noWrap w:val="0"/>
            <w:vAlign w:val="center"/>
          </w:tcPr>
          <w:p>
            <w:pPr>
              <w:spacing w:line="340" w:lineRule="exact"/>
              <w:rPr>
                <w:rFonts w:hint="eastAsia" w:ascii="宋体" w:hAnsi="宋体" w:eastAsia="宋体" w:cs="宋体"/>
                <w:color w:val="auto"/>
                <w:szCs w:val="21"/>
                <w:highlight w:val="none"/>
              </w:rPr>
            </w:pPr>
          </w:p>
        </w:tc>
        <w:tc>
          <w:tcPr>
            <w:tcW w:w="4980" w:type="dxa"/>
            <w:noWrap w:val="0"/>
            <w:vAlign w:val="center"/>
          </w:tcPr>
          <w:p>
            <w:pPr>
              <w:snapToGrid w:val="0"/>
              <w:spacing w:line="34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.2评委根据各供应商提供的安全保障措施和安全生产责任分配是否可行进行评议：内容欠可行的每一项扣</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分；内容不可行的每一项扣</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分。</w:t>
            </w:r>
          </w:p>
        </w:tc>
        <w:tc>
          <w:tcPr>
            <w:tcW w:w="660" w:type="dxa"/>
            <w:noWrap w:val="0"/>
            <w:vAlign w:val="center"/>
          </w:tcPr>
          <w:p>
            <w:pPr>
              <w:spacing w:line="36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p>
        </w:tc>
        <w:tc>
          <w:tcPr>
            <w:tcW w:w="620" w:type="dxa"/>
            <w:noWrap w:val="0"/>
            <w:vAlign w:val="center"/>
          </w:tcPr>
          <w:p>
            <w:pPr>
              <w:adjustRightIn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snapToGrid w:val="0"/>
                <w:spacing w:val="-4"/>
                <w:kern w:val="2"/>
                <w:sz w:val="21"/>
                <w:highlight w:val="none"/>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75" w:type="dxa"/>
            <w:vMerge w:val="continue"/>
            <w:noWrap w:val="0"/>
            <w:vAlign w:val="center"/>
          </w:tcPr>
          <w:p>
            <w:pPr>
              <w:adjustRightInd/>
              <w:spacing w:line="240" w:lineRule="auto"/>
              <w:jc w:val="center"/>
              <w:textAlignment w:val="auto"/>
              <w:rPr>
                <w:highlight w:val="none"/>
              </w:rPr>
            </w:pPr>
          </w:p>
        </w:tc>
        <w:tc>
          <w:tcPr>
            <w:tcW w:w="1065" w:type="dxa"/>
            <w:vMerge w:val="continue"/>
            <w:noWrap w:val="0"/>
            <w:vAlign w:val="center"/>
          </w:tcPr>
          <w:p>
            <w:pPr>
              <w:adjustRightInd/>
              <w:spacing w:line="240" w:lineRule="auto"/>
              <w:jc w:val="center"/>
              <w:textAlignment w:val="auto"/>
              <w:rPr>
                <w:highlight w:val="none"/>
              </w:rPr>
            </w:pPr>
          </w:p>
        </w:tc>
        <w:tc>
          <w:tcPr>
            <w:tcW w:w="1365" w:type="dxa"/>
            <w:vMerge w:val="continue"/>
            <w:noWrap w:val="0"/>
            <w:vAlign w:val="center"/>
          </w:tcPr>
          <w:p>
            <w:pPr>
              <w:adjustRightInd/>
              <w:spacing w:line="240" w:lineRule="auto"/>
              <w:jc w:val="center"/>
              <w:textAlignment w:val="auto"/>
              <w:rPr>
                <w:highlight w:val="none"/>
              </w:rPr>
            </w:pPr>
          </w:p>
        </w:tc>
        <w:tc>
          <w:tcPr>
            <w:tcW w:w="4980" w:type="dxa"/>
            <w:noWrap w:val="0"/>
            <w:vAlign w:val="center"/>
          </w:tcPr>
          <w:p>
            <w:pPr>
              <w:snapToGrid w:val="0"/>
              <w:spacing w:line="3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评委根据各供应商提供的安全事故善后措施和赔偿方案是否可行进行评议：内容欠可行的每一项扣</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分；内容不可行的每一项扣</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分。</w:t>
            </w:r>
          </w:p>
        </w:tc>
        <w:tc>
          <w:tcPr>
            <w:tcW w:w="660" w:type="dxa"/>
            <w:noWrap w:val="0"/>
            <w:vAlign w:val="center"/>
          </w:tcPr>
          <w:p>
            <w:pPr>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620" w:type="dxa"/>
            <w:noWrap w:val="0"/>
            <w:vAlign w:val="center"/>
          </w:tcPr>
          <w:p>
            <w:pPr>
              <w:adjustRightInd/>
              <w:spacing w:line="24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snapToGrid w:val="0"/>
                <w:spacing w:val="-4"/>
                <w:kern w:val="2"/>
                <w:sz w:val="21"/>
                <w:highlight w:val="none"/>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5"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065"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365" w:type="dxa"/>
            <w:vMerge w:val="restart"/>
            <w:noWrap w:val="0"/>
            <w:vAlign w:val="center"/>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交接方案（</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p>
        </w:tc>
        <w:tc>
          <w:tcPr>
            <w:tcW w:w="4980" w:type="dxa"/>
            <w:noWrap w:val="0"/>
            <w:vAlign w:val="center"/>
          </w:tcPr>
          <w:p>
            <w:pPr>
              <w:spacing w:line="340" w:lineRule="exact"/>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.1供应商提供的交接过程中存在的风险</w:t>
            </w:r>
            <w:r>
              <w:rPr>
                <w:rFonts w:hint="eastAsia" w:ascii="宋体" w:hAnsi="宋体" w:eastAsia="宋体" w:cs="宋体"/>
                <w:color w:val="auto"/>
                <w:szCs w:val="21"/>
                <w:highlight w:val="none"/>
                <w:lang w:val="en-US" w:eastAsia="zh-CN"/>
              </w:rPr>
              <w:t>分析</w:t>
            </w:r>
            <w:r>
              <w:rPr>
                <w:rFonts w:hint="eastAsia" w:ascii="宋体" w:hAnsi="宋体" w:eastAsia="宋体" w:cs="宋体"/>
                <w:color w:val="auto"/>
                <w:szCs w:val="21"/>
                <w:highlight w:val="none"/>
              </w:rPr>
              <w:t>是否合理进行评议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分析欠合理的扣1分；分析不合理的扣2分。</w:t>
            </w:r>
          </w:p>
        </w:tc>
        <w:tc>
          <w:tcPr>
            <w:tcW w:w="660" w:type="dxa"/>
            <w:noWrap w:val="0"/>
            <w:vAlign w:val="center"/>
          </w:tcPr>
          <w:p>
            <w:pPr>
              <w:spacing w:line="4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620" w:type="dxa"/>
            <w:noWrap w:val="0"/>
            <w:vAlign w:val="center"/>
          </w:tcPr>
          <w:p>
            <w:pPr>
              <w:adjustRightIn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snapToGrid w:val="0"/>
                <w:spacing w:val="-4"/>
                <w:kern w:val="2"/>
                <w:sz w:val="21"/>
                <w:highlight w:val="none"/>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5"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065"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365" w:type="dxa"/>
            <w:vMerge w:val="continue"/>
            <w:noWrap w:val="0"/>
            <w:vAlign w:val="center"/>
          </w:tcPr>
          <w:p>
            <w:pPr>
              <w:spacing w:line="340" w:lineRule="exact"/>
              <w:rPr>
                <w:rFonts w:hint="eastAsia" w:ascii="宋体" w:hAnsi="宋体" w:eastAsia="宋体" w:cs="宋体"/>
                <w:color w:val="auto"/>
                <w:szCs w:val="21"/>
                <w:highlight w:val="none"/>
              </w:rPr>
            </w:pPr>
          </w:p>
        </w:tc>
        <w:tc>
          <w:tcPr>
            <w:tcW w:w="4980" w:type="dxa"/>
            <w:noWrap w:val="0"/>
            <w:vAlign w:val="center"/>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供应商提供的交接过</w:t>
            </w:r>
            <w:r>
              <w:rPr>
                <w:rFonts w:hint="eastAsia" w:ascii="宋体" w:hAnsi="宋体" w:eastAsia="宋体" w:cs="宋体"/>
                <w:color w:val="auto"/>
                <w:szCs w:val="21"/>
                <w:highlight w:val="none"/>
                <w:lang w:val="en-US" w:eastAsia="zh-CN"/>
              </w:rPr>
              <w:t>程中</w:t>
            </w:r>
            <w:r>
              <w:rPr>
                <w:rFonts w:hint="eastAsia" w:ascii="宋体" w:hAnsi="宋体" w:eastAsia="宋体" w:cs="宋体"/>
                <w:color w:val="auto"/>
                <w:szCs w:val="21"/>
                <w:highlight w:val="none"/>
              </w:rPr>
              <w:t>的风险控制措施是否</w:t>
            </w:r>
            <w:r>
              <w:rPr>
                <w:rFonts w:hint="eastAsia" w:ascii="宋体" w:hAnsi="宋体" w:eastAsia="宋体" w:cs="宋体"/>
                <w:color w:val="auto"/>
                <w:szCs w:val="21"/>
                <w:highlight w:val="none"/>
                <w:lang w:val="en-US" w:eastAsia="zh-CN"/>
              </w:rPr>
              <w:t>可行</w:t>
            </w:r>
            <w:r>
              <w:rPr>
                <w:rFonts w:hint="eastAsia" w:ascii="宋体" w:hAnsi="宋体" w:eastAsia="宋体" w:cs="宋体"/>
                <w:color w:val="auto"/>
                <w:szCs w:val="21"/>
                <w:highlight w:val="none"/>
              </w:rPr>
              <w:t>进行评议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措施欠可行的扣1分；措施不可行的扣2分。</w:t>
            </w:r>
          </w:p>
        </w:tc>
        <w:tc>
          <w:tcPr>
            <w:tcW w:w="660" w:type="dxa"/>
            <w:noWrap w:val="0"/>
            <w:vAlign w:val="center"/>
          </w:tcPr>
          <w:p>
            <w:pPr>
              <w:spacing w:line="4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620" w:type="dxa"/>
            <w:noWrap w:val="0"/>
            <w:vAlign w:val="center"/>
          </w:tcPr>
          <w:p>
            <w:pPr>
              <w:adjustRightIn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snapToGrid w:val="0"/>
                <w:spacing w:val="-4"/>
                <w:kern w:val="2"/>
                <w:sz w:val="21"/>
                <w:highlight w:val="none"/>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5"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065"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365" w:type="dxa"/>
            <w:vMerge w:val="continue"/>
            <w:noWrap w:val="0"/>
            <w:vAlign w:val="center"/>
          </w:tcPr>
          <w:p>
            <w:pPr>
              <w:spacing w:line="340" w:lineRule="exact"/>
              <w:rPr>
                <w:rFonts w:hint="eastAsia" w:ascii="宋体" w:hAnsi="宋体" w:eastAsia="宋体" w:cs="宋体"/>
                <w:color w:val="auto"/>
                <w:szCs w:val="21"/>
                <w:highlight w:val="none"/>
              </w:rPr>
            </w:pPr>
          </w:p>
        </w:tc>
        <w:tc>
          <w:tcPr>
            <w:tcW w:w="4980" w:type="dxa"/>
            <w:noWrap w:val="0"/>
            <w:vAlign w:val="center"/>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供应商提供的保洁人员人事交接方案是否合理进行评议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措施欠</w:t>
            </w:r>
            <w:r>
              <w:rPr>
                <w:rFonts w:hint="eastAsia" w:ascii="宋体" w:hAnsi="宋体" w:cs="宋体"/>
                <w:color w:val="auto"/>
                <w:szCs w:val="21"/>
                <w:highlight w:val="none"/>
                <w:lang w:val="en-US" w:eastAsia="zh-CN"/>
              </w:rPr>
              <w:t>合理</w:t>
            </w:r>
            <w:r>
              <w:rPr>
                <w:rFonts w:hint="eastAsia" w:ascii="宋体" w:hAnsi="宋体" w:eastAsia="宋体" w:cs="宋体"/>
                <w:color w:val="auto"/>
                <w:szCs w:val="21"/>
                <w:highlight w:val="none"/>
                <w:lang w:val="en-US" w:eastAsia="zh-CN"/>
              </w:rPr>
              <w:t>的扣1分；措施不</w:t>
            </w:r>
            <w:r>
              <w:rPr>
                <w:rFonts w:hint="eastAsia" w:ascii="宋体" w:hAnsi="宋体" w:cs="宋体"/>
                <w:color w:val="auto"/>
                <w:szCs w:val="21"/>
                <w:highlight w:val="none"/>
                <w:lang w:val="en-US" w:eastAsia="zh-CN"/>
              </w:rPr>
              <w:t>合理</w:t>
            </w:r>
            <w:r>
              <w:rPr>
                <w:rFonts w:hint="eastAsia" w:ascii="宋体" w:hAnsi="宋体" w:eastAsia="宋体" w:cs="宋体"/>
                <w:color w:val="auto"/>
                <w:szCs w:val="21"/>
                <w:highlight w:val="none"/>
                <w:lang w:val="en-US" w:eastAsia="zh-CN"/>
              </w:rPr>
              <w:t>的扣2分。</w:t>
            </w:r>
          </w:p>
        </w:tc>
        <w:tc>
          <w:tcPr>
            <w:tcW w:w="660" w:type="dxa"/>
            <w:noWrap w:val="0"/>
            <w:vAlign w:val="center"/>
          </w:tcPr>
          <w:p>
            <w:pPr>
              <w:spacing w:line="4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620" w:type="dxa"/>
            <w:noWrap w:val="0"/>
            <w:vAlign w:val="center"/>
          </w:tcPr>
          <w:p>
            <w:pPr>
              <w:adjustRightIn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snapToGrid w:val="0"/>
                <w:spacing w:val="-4"/>
                <w:kern w:val="2"/>
                <w:sz w:val="21"/>
                <w:highlight w:val="none"/>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5"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065"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365" w:type="dxa"/>
            <w:noWrap w:val="0"/>
            <w:vAlign w:val="center"/>
          </w:tcPr>
          <w:p>
            <w:pPr>
              <w:spacing w:line="3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9</w:t>
            </w:r>
            <w:r>
              <w:rPr>
                <w:rFonts w:hint="eastAsia" w:ascii="宋体" w:hAnsi="宋体" w:eastAsia="宋体" w:cs="宋体"/>
                <w:color w:val="auto"/>
                <w:kern w:val="2"/>
                <w:sz w:val="21"/>
                <w:szCs w:val="21"/>
                <w:highlight w:val="none"/>
                <w:lang w:val="en-US" w:eastAsia="zh-CN"/>
              </w:rPr>
              <w:t>疫情防控</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tc>
        <w:tc>
          <w:tcPr>
            <w:tcW w:w="4980" w:type="dxa"/>
            <w:noWrap w:val="0"/>
            <w:vAlign w:val="center"/>
          </w:tcPr>
          <w:p>
            <w:pPr>
              <w:spacing w:line="340" w:lineRule="exact"/>
              <w:rPr>
                <w:rFonts w:hint="default" w:ascii="宋体" w:hAnsi="宋体" w:eastAsia="宋体" w:cs="宋体"/>
                <w:color w:val="auto"/>
                <w:szCs w:val="21"/>
                <w:highlight w:val="none"/>
                <w:lang w:val="en-US"/>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.1对保洁项目日常作业过程中如何有效实行疫情防控工作，根据制定的方案是否合理可行进行评议：方案欠合理的扣1分；方案不合理的扣2分。</w:t>
            </w:r>
          </w:p>
        </w:tc>
        <w:tc>
          <w:tcPr>
            <w:tcW w:w="660" w:type="dxa"/>
            <w:noWrap w:val="0"/>
            <w:vAlign w:val="center"/>
          </w:tcPr>
          <w:p>
            <w:pPr>
              <w:spacing w:line="4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620" w:type="dxa"/>
            <w:noWrap w:val="0"/>
            <w:vAlign w:val="center"/>
          </w:tcPr>
          <w:p>
            <w:pPr>
              <w:adjustRightIn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snapToGrid w:val="0"/>
                <w:spacing w:val="-4"/>
                <w:kern w:val="2"/>
                <w:sz w:val="21"/>
                <w:highlight w:val="none"/>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5"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065" w:type="dxa"/>
            <w:vMerge w:val="restart"/>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2、特殊情况的应急保障措施（</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分）</w:t>
            </w:r>
          </w:p>
        </w:tc>
        <w:tc>
          <w:tcPr>
            <w:tcW w:w="6345" w:type="dxa"/>
            <w:gridSpan w:val="2"/>
            <w:noWrap w:val="0"/>
            <w:vAlign w:val="center"/>
          </w:tcPr>
          <w:p>
            <w:pPr>
              <w:spacing w:line="3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2.1评委根据各供应商提供的针对大型活动、节庆假日、创优评优和突击检查等特殊时期的应急保障措施是否全面进行评议：措施欠全面的每一项扣0.5分；措施不全面的每一项扣1分。</w:t>
            </w:r>
          </w:p>
        </w:tc>
        <w:tc>
          <w:tcPr>
            <w:tcW w:w="660" w:type="dxa"/>
            <w:noWrap w:val="0"/>
            <w:vAlign w:val="center"/>
          </w:tcPr>
          <w:p>
            <w:pPr>
              <w:spacing w:line="4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620" w:type="dxa"/>
            <w:noWrap w:val="0"/>
            <w:vAlign w:val="center"/>
          </w:tcPr>
          <w:p>
            <w:pPr>
              <w:adjustRightIn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snapToGrid w:val="0"/>
                <w:spacing w:val="-4"/>
                <w:kern w:val="2"/>
                <w:sz w:val="21"/>
                <w:highlight w:val="none"/>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5"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065"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6345" w:type="dxa"/>
            <w:gridSpan w:val="2"/>
            <w:noWrap w:val="0"/>
            <w:vAlign w:val="center"/>
          </w:tcPr>
          <w:p>
            <w:pPr>
              <w:spacing w:line="34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2.2评委根据各供应商提供的针对防台防汛期间、雨雪冰冻极端天气的应急保障措施是否</w:t>
            </w:r>
            <w:r>
              <w:rPr>
                <w:rFonts w:hint="eastAsia" w:ascii="宋体" w:hAnsi="宋体" w:cs="宋体"/>
                <w:color w:val="auto"/>
                <w:sz w:val="21"/>
                <w:szCs w:val="21"/>
                <w:highlight w:val="none"/>
                <w:lang w:val="en-US" w:eastAsia="zh-CN"/>
              </w:rPr>
              <w:t>完善</w:t>
            </w:r>
            <w:r>
              <w:rPr>
                <w:rFonts w:hint="eastAsia" w:ascii="宋体" w:hAnsi="宋体" w:eastAsia="宋体" w:cs="宋体"/>
                <w:color w:val="auto"/>
                <w:sz w:val="21"/>
                <w:szCs w:val="21"/>
                <w:highlight w:val="none"/>
                <w:lang w:val="en-US" w:eastAsia="zh-CN"/>
              </w:rPr>
              <w:t>进行评议：措施欠</w:t>
            </w:r>
            <w:r>
              <w:rPr>
                <w:rFonts w:hint="eastAsia" w:ascii="宋体" w:hAnsi="宋体" w:cs="宋体"/>
                <w:color w:val="auto"/>
                <w:sz w:val="21"/>
                <w:szCs w:val="21"/>
                <w:highlight w:val="none"/>
                <w:lang w:val="en-US" w:eastAsia="zh-CN"/>
              </w:rPr>
              <w:t>完善</w:t>
            </w:r>
            <w:r>
              <w:rPr>
                <w:rFonts w:hint="eastAsia" w:ascii="宋体" w:hAnsi="宋体" w:eastAsia="宋体" w:cs="宋体"/>
                <w:color w:val="auto"/>
                <w:sz w:val="21"/>
                <w:szCs w:val="21"/>
                <w:highlight w:val="none"/>
                <w:lang w:val="en-US" w:eastAsia="zh-CN"/>
              </w:rPr>
              <w:t>的每一项扣</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val="en-US" w:eastAsia="zh-CN"/>
              </w:rPr>
              <w:t>分；措施不</w:t>
            </w:r>
            <w:r>
              <w:rPr>
                <w:rFonts w:hint="eastAsia" w:ascii="宋体" w:hAnsi="宋体" w:cs="宋体"/>
                <w:color w:val="auto"/>
                <w:sz w:val="21"/>
                <w:szCs w:val="21"/>
                <w:highlight w:val="none"/>
                <w:lang w:val="en-US" w:eastAsia="zh-CN"/>
              </w:rPr>
              <w:t>完善</w:t>
            </w:r>
            <w:r>
              <w:rPr>
                <w:rFonts w:hint="eastAsia" w:ascii="宋体" w:hAnsi="宋体" w:eastAsia="宋体" w:cs="宋体"/>
                <w:color w:val="auto"/>
                <w:sz w:val="21"/>
                <w:szCs w:val="21"/>
                <w:highlight w:val="none"/>
                <w:lang w:val="en-US" w:eastAsia="zh-CN"/>
              </w:rPr>
              <w:t>的每一项扣</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tc>
        <w:tc>
          <w:tcPr>
            <w:tcW w:w="660" w:type="dxa"/>
            <w:noWrap w:val="0"/>
            <w:vAlign w:val="center"/>
          </w:tcPr>
          <w:p>
            <w:pPr>
              <w:spacing w:line="40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620" w:type="dxa"/>
            <w:noWrap w:val="0"/>
            <w:vAlign w:val="center"/>
          </w:tcPr>
          <w:p>
            <w:pPr>
              <w:adjustRightIn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snapToGrid w:val="0"/>
                <w:spacing w:val="-4"/>
                <w:kern w:val="2"/>
                <w:sz w:val="21"/>
                <w:highlight w:val="none"/>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5"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065" w:type="dxa"/>
            <w:vMerge w:val="restart"/>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3、针对本项目的督检制度（</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分）</w:t>
            </w:r>
          </w:p>
        </w:tc>
        <w:tc>
          <w:tcPr>
            <w:tcW w:w="6345" w:type="dxa"/>
            <w:gridSpan w:val="2"/>
            <w:noWrap w:val="0"/>
            <w:vAlign w:val="center"/>
          </w:tcPr>
          <w:p>
            <w:pPr>
              <w:spacing w:line="3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3.1评委根据供应商提供的针对本项目的巡回保洁制度是否科学进行评议：制度欠科学的扣1分；制度不科学的扣2分。</w:t>
            </w:r>
          </w:p>
        </w:tc>
        <w:tc>
          <w:tcPr>
            <w:tcW w:w="660" w:type="dxa"/>
            <w:noWrap w:val="0"/>
            <w:vAlign w:val="center"/>
          </w:tcPr>
          <w:p>
            <w:pPr>
              <w:spacing w:line="4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620" w:type="dxa"/>
            <w:noWrap w:val="0"/>
            <w:vAlign w:val="center"/>
          </w:tcPr>
          <w:p>
            <w:pPr>
              <w:adjustRightIn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snapToGrid w:val="0"/>
                <w:spacing w:val="-4"/>
                <w:kern w:val="2"/>
                <w:sz w:val="21"/>
                <w:highlight w:val="none"/>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5"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065"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6345" w:type="dxa"/>
            <w:gridSpan w:val="2"/>
            <w:noWrap w:val="0"/>
            <w:vAlign w:val="center"/>
          </w:tcPr>
          <w:p>
            <w:pPr>
              <w:spacing w:line="3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3.2评委根据供应商提供的针对本项目的检查监督制度和违规处罚制度是否科学进行评议：制度欠科学的每一项扣1分；制度不科学的每一项扣2分。</w:t>
            </w:r>
          </w:p>
        </w:tc>
        <w:tc>
          <w:tcPr>
            <w:tcW w:w="660" w:type="dxa"/>
            <w:noWrap w:val="0"/>
            <w:vAlign w:val="center"/>
          </w:tcPr>
          <w:p>
            <w:pPr>
              <w:spacing w:line="4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620" w:type="dxa"/>
            <w:noWrap w:val="0"/>
            <w:vAlign w:val="center"/>
          </w:tcPr>
          <w:p>
            <w:pPr>
              <w:adjustRightIn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snapToGrid w:val="0"/>
                <w:spacing w:val="-4"/>
                <w:kern w:val="2"/>
                <w:sz w:val="21"/>
                <w:highlight w:val="none"/>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5"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065"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6345" w:type="dxa"/>
            <w:gridSpan w:val="2"/>
            <w:noWrap w:val="0"/>
            <w:vAlign w:val="center"/>
          </w:tcPr>
          <w:p>
            <w:pPr>
              <w:spacing w:line="3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评委根据供应商提供的针对本项目的</w:t>
            </w:r>
            <w:r>
              <w:rPr>
                <w:rFonts w:hint="eastAsia" w:ascii="宋体" w:hAnsi="宋体" w:eastAsia="宋体" w:cs="宋体"/>
                <w:color w:val="auto"/>
                <w:highlight w:val="none"/>
                <w:lang w:val="en-US" w:eastAsia="zh-CN"/>
              </w:rPr>
              <w:t>村社干部监督工作奖励制度</w:t>
            </w:r>
            <w:r>
              <w:rPr>
                <w:rFonts w:hint="eastAsia" w:ascii="宋体" w:hAnsi="宋体" w:eastAsia="宋体" w:cs="宋体"/>
                <w:color w:val="auto"/>
                <w:sz w:val="21"/>
                <w:szCs w:val="21"/>
                <w:highlight w:val="none"/>
                <w:lang w:val="en-US" w:eastAsia="zh-CN"/>
              </w:rPr>
              <w:t>是否</w:t>
            </w:r>
            <w:r>
              <w:rPr>
                <w:rFonts w:hint="eastAsia" w:ascii="宋体" w:hAnsi="宋体" w:cs="宋体"/>
                <w:color w:val="auto"/>
                <w:sz w:val="21"/>
                <w:szCs w:val="21"/>
                <w:highlight w:val="none"/>
                <w:lang w:val="en-US" w:eastAsia="zh-CN"/>
              </w:rPr>
              <w:t>合理</w:t>
            </w:r>
            <w:r>
              <w:rPr>
                <w:rFonts w:hint="eastAsia" w:ascii="宋体" w:hAnsi="宋体" w:eastAsia="宋体" w:cs="宋体"/>
                <w:color w:val="auto"/>
                <w:sz w:val="21"/>
                <w:szCs w:val="21"/>
                <w:highlight w:val="none"/>
                <w:lang w:val="en-US" w:eastAsia="zh-CN"/>
              </w:rPr>
              <w:t>进行评议：制度欠</w:t>
            </w:r>
            <w:r>
              <w:rPr>
                <w:rFonts w:hint="eastAsia" w:ascii="宋体" w:hAnsi="宋体" w:cs="宋体"/>
                <w:color w:val="auto"/>
                <w:sz w:val="21"/>
                <w:szCs w:val="21"/>
                <w:highlight w:val="none"/>
                <w:lang w:val="en-US" w:eastAsia="zh-CN"/>
              </w:rPr>
              <w:t>合理</w:t>
            </w:r>
            <w:r>
              <w:rPr>
                <w:rFonts w:hint="eastAsia" w:ascii="宋体" w:hAnsi="宋体" w:eastAsia="宋体" w:cs="宋体"/>
                <w:color w:val="auto"/>
                <w:sz w:val="21"/>
                <w:szCs w:val="21"/>
                <w:highlight w:val="none"/>
                <w:lang w:val="en-US" w:eastAsia="zh-CN"/>
              </w:rPr>
              <w:t>的扣1分；制度不</w:t>
            </w:r>
            <w:bookmarkStart w:id="67" w:name="_GoBack"/>
            <w:bookmarkEnd w:id="67"/>
            <w:r>
              <w:rPr>
                <w:rFonts w:hint="eastAsia" w:ascii="宋体" w:hAnsi="宋体" w:cs="宋体"/>
                <w:color w:val="auto"/>
                <w:sz w:val="21"/>
                <w:szCs w:val="21"/>
                <w:highlight w:val="none"/>
                <w:lang w:val="en-US" w:eastAsia="zh-CN"/>
              </w:rPr>
              <w:t>合理</w:t>
            </w:r>
            <w:r>
              <w:rPr>
                <w:rFonts w:hint="eastAsia" w:ascii="宋体" w:hAnsi="宋体" w:eastAsia="宋体" w:cs="宋体"/>
                <w:color w:val="auto"/>
                <w:sz w:val="21"/>
                <w:szCs w:val="21"/>
                <w:highlight w:val="none"/>
                <w:lang w:val="en-US" w:eastAsia="zh-CN"/>
              </w:rPr>
              <w:t>的扣2分。</w:t>
            </w:r>
          </w:p>
        </w:tc>
        <w:tc>
          <w:tcPr>
            <w:tcW w:w="660" w:type="dxa"/>
            <w:noWrap w:val="0"/>
            <w:vAlign w:val="center"/>
          </w:tcPr>
          <w:p>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p>
        </w:tc>
        <w:tc>
          <w:tcPr>
            <w:tcW w:w="620" w:type="dxa"/>
            <w:noWrap w:val="0"/>
            <w:vAlign w:val="center"/>
          </w:tcPr>
          <w:p>
            <w:pPr>
              <w:adjustRightIn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napToGrid w:val="0"/>
                <w:spacing w:val="-4"/>
                <w:kern w:val="2"/>
                <w:sz w:val="21"/>
                <w:highlight w:val="none"/>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5"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065" w:type="dxa"/>
            <w:vMerge w:val="restart"/>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4、企业管理制度（</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w:t>
            </w:r>
          </w:p>
        </w:tc>
        <w:tc>
          <w:tcPr>
            <w:tcW w:w="6345" w:type="dxa"/>
            <w:gridSpan w:val="2"/>
            <w:noWrap w:val="0"/>
            <w:vAlign w:val="center"/>
          </w:tcPr>
          <w:p>
            <w:pPr>
              <w:spacing w:line="34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4.1评委根据各供应商提供的人事管理制度是否合理进行评议：制度欠合理的扣</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分；制度不合理的扣</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tc>
        <w:tc>
          <w:tcPr>
            <w:tcW w:w="660" w:type="dxa"/>
            <w:noWrap w:val="0"/>
            <w:vAlign w:val="center"/>
          </w:tcPr>
          <w:p>
            <w:pPr>
              <w:spacing w:line="40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620" w:type="dxa"/>
            <w:noWrap w:val="0"/>
            <w:vAlign w:val="center"/>
          </w:tcPr>
          <w:p>
            <w:pPr>
              <w:adjustRightIn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snapToGrid w:val="0"/>
                <w:spacing w:val="-4"/>
                <w:kern w:val="2"/>
                <w:sz w:val="21"/>
                <w:highlight w:val="none"/>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75"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065"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6345" w:type="dxa"/>
            <w:gridSpan w:val="2"/>
            <w:noWrap w:val="0"/>
            <w:vAlign w:val="center"/>
          </w:tcPr>
          <w:p>
            <w:pPr>
              <w:spacing w:line="3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4.2评委根据各供应商提供的奖惩</w:t>
            </w:r>
            <w:r>
              <w:rPr>
                <w:rFonts w:hint="eastAsia" w:ascii="宋体" w:hAnsi="宋体" w:cs="宋体"/>
                <w:color w:val="auto"/>
                <w:sz w:val="21"/>
                <w:szCs w:val="21"/>
                <w:highlight w:val="none"/>
                <w:lang w:val="en-US" w:eastAsia="zh-CN"/>
              </w:rPr>
              <w:t>考核</w:t>
            </w:r>
            <w:r>
              <w:rPr>
                <w:rFonts w:hint="eastAsia" w:ascii="宋体" w:hAnsi="宋体" w:eastAsia="宋体" w:cs="宋体"/>
                <w:color w:val="auto"/>
                <w:sz w:val="21"/>
                <w:szCs w:val="21"/>
                <w:highlight w:val="none"/>
                <w:lang w:val="en-US" w:eastAsia="zh-CN"/>
              </w:rPr>
              <w:t>制度是否</w:t>
            </w:r>
            <w:r>
              <w:rPr>
                <w:rFonts w:hint="eastAsia" w:ascii="宋体" w:hAnsi="宋体" w:cs="宋体"/>
                <w:color w:val="auto"/>
                <w:sz w:val="21"/>
                <w:szCs w:val="21"/>
                <w:highlight w:val="none"/>
                <w:lang w:val="en-US" w:eastAsia="zh-CN"/>
              </w:rPr>
              <w:t>科学</w:t>
            </w:r>
            <w:r>
              <w:rPr>
                <w:rFonts w:hint="eastAsia" w:ascii="宋体" w:hAnsi="宋体" w:eastAsia="宋体" w:cs="宋体"/>
                <w:color w:val="auto"/>
                <w:sz w:val="21"/>
                <w:szCs w:val="21"/>
                <w:highlight w:val="none"/>
                <w:lang w:val="en-US" w:eastAsia="zh-CN"/>
              </w:rPr>
              <w:t>进行评议：制度欠</w:t>
            </w:r>
            <w:r>
              <w:rPr>
                <w:rFonts w:hint="eastAsia" w:ascii="宋体" w:hAnsi="宋体" w:cs="宋体"/>
                <w:color w:val="auto"/>
                <w:sz w:val="21"/>
                <w:szCs w:val="21"/>
                <w:highlight w:val="none"/>
                <w:lang w:val="en-US" w:eastAsia="zh-CN"/>
              </w:rPr>
              <w:t>科学</w:t>
            </w:r>
            <w:r>
              <w:rPr>
                <w:rFonts w:hint="eastAsia" w:ascii="宋体" w:hAnsi="宋体" w:eastAsia="宋体" w:cs="宋体"/>
                <w:color w:val="auto"/>
                <w:sz w:val="21"/>
                <w:szCs w:val="21"/>
                <w:highlight w:val="none"/>
                <w:lang w:val="en-US" w:eastAsia="zh-CN"/>
              </w:rPr>
              <w:t>的扣</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val="en-US" w:eastAsia="zh-CN"/>
              </w:rPr>
              <w:t>分；制度不</w:t>
            </w:r>
            <w:r>
              <w:rPr>
                <w:rFonts w:hint="eastAsia" w:ascii="宋体" w:hAnsi="宋体" w:cs="宋体"/>
                <w:color w:val="auto"/>
                <w:sz w:val="21"/>
                <w:szCs w:val="21"/>
                <w:highlight w:val="none"/>
                <w:lang w:val="en-US" w:eastAsia="zh-CN"/>
              </w:rPr>
              <w:t>科学</w:t>
            </w:r>
            <w:r>
              <w:rPr>
                <w:rFonts w:hint="eastAsia" w:ascii="宋体" w:hAnsi="宋体" w:eastAsia="宋体" w:cs="宋体"/>
                <w:color w:val="auto"/>
                <w:sz w:val="21"/>
                <w:szCs w:val="21"/>
                <w:highlight w:val="none"/>
                <w:lang w:val="en-US" w:eastAsia="zh-CN"/>
              </w:rPr>
              <w:t>的扣</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tc>
        <w:tc>
          <w:tcPr>
            <w:tcW w:w="660" w:type="dxa"/>
            <w:noWrap w:val="0"/>
            <w:vAlign w:val="center"/>
          </w:tcPr>
          <w:p>
            <w:pPr>
              <w:spacing w:line="40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620" w:type="dxa"/>
            <w:noWrap w:val="0"/>
            <w:vAlign w:val="center"/>
          </w:tcPr>
          <w:p>
            <w:pPr>
              <w:adjustRightIn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snapToGrid w:val="0"/>
                <w:spacing w:val="-4"/>
                <w:kern w:val="2"/>
                <w:sz w:val="21"/>
                <w:highlight w:val="none"/>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5"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065" w:type="dxa"/>
            <w:noWrap w:val="0"/>
            <w:vAlign w:val="center"/>
          </w:tcPr>
          <w:p>
            <w:pPr>
              <w:spacing w:line="3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5、服务能力及便捷性（2分）</w:t>
            </w:r>
          </w:p>
        </w:tc>
        <w:tc>
          <w:tcPr>
            <w:tcW w:w="6345" w:type="dxa"/>
            <w:gridSpan w:val="2"/>
            <w:noWrap w:val="0"/>
            <w:vAlign w:val="center"/>
          </w:tcPr>
          <w:p>
            <w:pPr>
              <w:spacing w:line="3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5.1评委根据各供应商的服务便捷性方案是否可行进行评议：方案欠可行的扣1分；方案不可行的扣2分。（投标文件中须提供相关证明材料。）</w:t>
            </w:r>
          </w:p>
        </w:tc>
        <w:tc>
          <w:tcPr>
            <w:tcW w:w="660" w:type="dxa"/>
            <w:noWrap w:val="0"/>
            <w:vAlign w:val="center"/>
          </w:tcPr>
          <w:p>
            <w:pPr>
              <w:spacing w:line="40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620" w:type="dxa"/>
            <w:noWrap w:val="0"/>
            <w:vAlign w:val="center"/>
          </w:tcPr>
          <w:p>
            <w:pPr>
              <w:adjustRightIn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snapToGrid w:val="0"/>
                <w:spacing w:val="-4"/>
                <w:kern w:val="2"/>
                <w:sz w:val="21"/>
                <w:highlight w:val="none"/>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75" w:type="dxa"/>
            <w:vMerge w:val="continue"/>
            <w:noWrap w:val="0"/>
            <w:vAlign w:val="top"/>
          </w:tcPr>
          <w:p>
            <w:pPr>
              <w:spacing w:line="400" w:lineRule="exact"/>
              <w:rPr>
                <w:rFonts w:hint="eastAsia" w:ascii="宋体" w:hAnsi="宋体" w:eastAsia="宋体" w:cs="宋体"/>
                <w:color w:val="auto"/>
                <w:szCs w:val="21"/>
                <w:highlight w:val="none"/>
              </w:rPr>
            </w:pPr>
          </w:p>
        </w:tc>
        <w:tc>
          <w:tcPr>
            <w:tcW w:w="1065" w:type="dxa"/>
            <w:noWrap w:val="0"/>
            <w:vAlign w:val="center"/>
          </w:tcPr>
          <w:p>
            <w:pPr>
              <w:spacing w:line="340" w:lineRule="exac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6、业绩（</w:t>
            </w:r>
            <w:r>
              <w:rPr>
                <w:rFonts w:hint="eastAsia" w:ascii="宋体" w:hAnsi="宋体" w:eastAsia="宋体" w:cs="宋体"/>
                <w:b w:val="0"/>
                <w:bCs w:val="0"/>
                <w:color w:val="auto"/>
                <w:szCs w:val="21"/>
                <w:highlight w:val="none"/>
                <w:lang w:val="en-US" w:eastAsia="zh-CN"/>
              </w:rPr>
              <w:t>2</w:t>
            </w:r>
            <w:r>
              <w:rPr>
                <w:rFonts w:hint="eastAsia" w:ascii="宋体" w:hAnsi="宋体" w:eastAsia="宋体" w:cs="宋体"/>
                <w:b w:val="0"/>
                <w:bCs w:val="0"/>
                <w:color w:val="auto"/>
                <w:szCs w:val="21"/>
                <w:highlight w:val="none"/>
              </w:rPr>
              <w:t>分）</w:t>
            </w:r>
          </w:p>
        </w:tc>
        <w:tc>
          <w:tcPr>
            <w:tcW w:w="6345" w:type="dxa"/>
            <w:gridSpan w:val="2"/>
            <w:noWrap w:val="0"/>
            <w:vAlign w:val="center"/>
          </w:tcPr>
          <w:p>
            <w:pPr>
              <w:snapToGrid w:val="0"/>
              <w:spacing w:line="340" w:lineRule="exac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6.1</w:t>
            </w:r>
            <w:r>
              <w:rPr>
                <w:rFonts w:hint="eastAsia" w:ascii="宋体" w:hAnsi="宋体" w:eastAsia="宋体" w:cs="宋体"/>
                <w:b w:val="0"/>
                <w:bCs w:val="0"/>
                <w:color w:val="auto"/>
                <w:szCs w:val="21"/>
                <w:highlight w:val="none"/>
              </w:rPr>
              <w:t>自201</w:t>
            </w:r>
            <w:r>
              <w:rPr>
                <w:rFonts w:hint="eastAsia" w:ascii="宋体" w:hAnsi="宋体" w:eastAsia="宋体" w:cs="宋体"/>
                <w:b w:val="0"/>
                <w:bCs w:val="0"/>
                <w:color w:val="auto"/>
                <w:szCs w:val="21"/>
                <w:highlight w:val="none"/>
                <w:lang w:val="en-US" w:eastAsia="zh-CN"/>
              </w:rPr>
              <w:t>9</w:t>
            </w:r>
            <w:r>
              <w:rPr>
                <w:rFonts w:hint="eastAsia" w:ascii="宋体" w:hAnsi="宋体" w:eastAsia="宋体" w:cs="宋体"/>
                <w:b w:val="0"/>
                <w:bCs w:val="0"/>
                <w:color w:val="auto"/>
                <w:szCs w:val="21"/>
                <w:highlight w:val="none"/>
              </w:rPr>
              <w:t>年1月1日（以合同签订日期为准）以来，供应商承担过道路保洁项目的</w:t>
            </w:r>
            <w:r>
              <w:rPr>
                <w:rFonts w:hint="eastAsia" w:ascii="宋体" w:hAnsi="宋体" w:eastAsia="宋体" w:cs="宋体"/>
                <w:b w:val="0"/>
                <w:bCs w:val="0"/>
                <w:color w:val="auto"/>
                <w:szCs w:val="21"/>
                <w:highlight w:val="none"/>
                <w:lang w:val="en-US" w:eastAsia="zh-CN"/>
              </w:rPr>
              <w:t>每提供一个</w:t>
            </w:r>
            <w:r>
              <w:rPr>
                <w:rFonts w:hint="eastAsia" w:ascii="宋体" w:hAnsi="宋体" w:eastAsia="宋体" w:cs="宋体"/>
                <w:b w:val="0"/>
                <w:bCs w:val="0"/>
                <w:color w:val="auto"/>
                <w:szCs w:val="21"/>
                <w:highlight w:val="none"/>
              </w:rPr>
              <w:t>得</w:t>
            </w:r>
            <w:r>
              <w:rPr>
                <w:rFonts w:hint="eastAsia" w:ascii="宋体" w:hAnsi="宋体" w:eastAsia="宋体" w:cs="宋体"/>
                <w:b w:val="0"/>
                <w:bCs w:val="0"/>
                <w:color w:val="auto"/>
                <w:szCs w:val="21"/>
                <w:highlight w:val="none"/>
                <w:lang w:val="en-US" w:eastAsia="zh-CN"/>
              </w:rPr>
              <w:t>0.5</w:t>
            </w:r>
            <w:r>
              <w:rPr>
                <w:rFonts w:hint="eastAsia" w:ascii="宋体" w:hAnsi="宋体" w:eastAsia="宋体" w:cs="宋体"/>
                <w:b w:val="0"/>
                <w:bCs w:val="0"/>
                <w:color w:val="auto"/>
                <w:szCs w:val="21"/>
                <w:highlight w:val="none"/>
              </w:rPr>
              <w:t>分，</w:t>
            </w:r>
            <w:r>
              <w:rPr>
                <w:rFonts w:hint="eastAsia" w:ascii="宋体" w:hAnsi="宋体" w:eastAsia="宋体" w:cs="宋体"/>
                <w:b w:val="0"/>
                <w:bCs w:val="0"/>
                <w:color w:val="auto"/>
                <w:szCs w:val="21"/>
                <w:highlight w:val="none"/>
                <w:lang w:val="en-US" w:eastAsia="zh-CN"/>
              </w:rPr>
              <w:t>满分2分</w:t>
            </w:r>
            <w:r>
              <w:rPr>
                <w:rFonts w:hint="eastAsia" w:ascii="宋体" w:hAnsi="宋体" w:eastAsia="宋体" w:cs="宋体"/>
                <w:b w:val="0"/>
                <w:bCs w:val="0"/>
                <w:color w:val="auto"/>
                <w:szCs w:val="21"/>
                <w:highlight w:val="none"/>
              </w:rPr>
              <w:t>。（注：投标文件中须提供中标（成交）通知书、合同复印件加盖公章</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须提供不同的道路保洁项目，续签合同不予计算</w:t>
            </w:r>
            <w:r>
              <w:rPr>
                <w:rFonts w:hint="eastAsia" w:ascii="宋体" w:hAnsi="宋体" w:eastAsia="宋体" w:cs="宋体"/>
                <w:b w:val="0"/>
                <w:bCs w:val="0"/>
                <w:color w:val="auto"/>
                <w:szCs w:val="21"/>
                <w:highlight w:val="none"/>
              </w:rPr>
              <w:t>）</w:t>
            </w:r>
          </w:p>
        </w:tc>
        <w:tc>
          <w:tcPr>
            <w:tcW w:w="660" w:type="dxa"/>
            <w:noWrap w:val="0"/>
            <w:vAlign w:val="center"/>
          </w:tcPr>
          <w:p>
            <w:pPr>
              <w:snapToGrid w:val="0"/>
              <w:spacing w:line="3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620" w:type="dxa"/>
            <w:noWrap w:val="0"/>
            <w:vAlign w:val="center"/>
          </w:tcPr>
          <w:p>
            <w:pPr>
              <w:adjustRightIn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napToGrid w:val="0"/>
                <w:spacing w:val="-4"/>
                <w:kern w:val="2"/>
                <w:sz w:val="21"/>
                <w:highlight w:val="none"/>
                <w:lang w:val="en-US" w:eastAsia="zh-CN"/>
              </w:rPr>
              <w:t>客</w:t>
            </w:r>
            <w:r>
              <w:rPr>
                <w:rFonts w:hint="eastAsia" w:ascii="宋体" w:hAnsi="宋体" w:eastAsia="宋体" w:cs="宋体"/>
                <w:snapToGrid w:val="0"/>
                <w:spacing w:val="-4"/>
                <w:kern w:val="2"/>
                <w:sz w:val="21"/>
                <w:highlight w:val="none"/>
              </w:rPr>
              <w:t>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75" w:type="dxa"/>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w:t>
            </w:r>
          </w:p>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20分</w:t>
            </w:r>
          </w:p>
        </w:tc>
        <w:tc>
          <w:tcPr>
            <w:tcW w:w="8690" w:type="dxa"/>
            <w:gridSpan w:val="5"/>
            <w:noWrap w:val="0"/>
            <w:vAlign w:val="center"/>
          </w:tcPr>
          <w:p>
            <w:pPr>
              <w:spacing w:line="36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参与评审的价格=</w:t>
            </w:r>
            <w:r>
              <w:rPr>
                <w:rFonts w:hint="eastAsia" w:ascii="宋体" w:hAnsi="宋体" w:eastAsia="宋体" w:cs="宋体"/>
                <w:color w:val="auto"/>
                <w:szCs w:val="21"/>
                <w:highlight w:val="none"/>
                <w:lang w:bidi="ar"/>
              </w:rPr>
              <w:t>投标报价-小微企业优惠（如有）</w:t>
            </w:r>
            <w:r>
              <w:rPr>
                <w:rFonts w:hint="eastAsia" w:ascii="宋体" w:hAnsi="宋体" w:eastAsia="宋体" w:cs="宋体"/>
                <w:color w:val="auto"/>
                <w:szCs w:val="21"/>
                <w:highlight w:val="none"/>
                <w:lang w:val="en-US" w:eastAsia="zh-CN" w:bidi="ar"/>
              </w:rPr>
              <w:t>20%</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满足采购要求的有效投标且参与评审的价格最低的参与评审的价格为评标基准价，得20分。</w:t>
            </w:r>
          </w:p>
          <w:p>
            <w:pPr>
              <w:spacing w:line="360" w:lineRule="exac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其他投标报价得分计算公式如下：投标报价得分=（评标基准价/参与评审的价格）×20%×100。</w:t>
            </w:r>
          </w:p>
        </w:tc>
      </w:tr>
    </w:tbl>
    <w:p>
      <w:pPr>
        <w:spacing w:line="360" w:lineRule="auto"/>
        <w:ind w:firstLine="420" w:firstLineChars="200"/>
        <w:rPr>
          <w:rFonts w:ascii="宋体" w:hAnsi="宋体" w:cs="宋体"/>
          <w:b/>
          <w:bCs/>
          <w:szCs w:val="21"/>
          <w:highlight w:val="none"/>
        </w:rPr>
      </w:pPr>
      <w:r>
        <w:rPr>
          <w:rFonts w:hint="eastAsia" w:ascii="宋体" w:hAnsi="宋体" w:cs="宋体"/>
          <w:szCs w:val="21"/>
          <w:highlight w:val="none"/>
        </w:rPr>
        <w:t>注：1、小数点后保留一位数。2、各评标委员会成员自行按以上参考分值评分。3、重大事件由评标委员会集体讨论，应当按照少数服从多数的原则作出结论。</w:t>
      </w:r>
      <w:r>
        <w:rPr>
          <w:rFonts w:hint="eastAsia" w:ascii="宋体" w:hAnsi="宋体" w:cs="宋体"/>
          <w:b/>
          <w:bCs/>
          <w:szCs w:val="21"/>
          <w:highlight w:val="none"/>
        </w:rPr>
        <w:t>4、联合体中任意一方具有上述证明材料的均予以认可。</w:t>
      </w:r>
    </w:p>
    <w:p>
      <w:pPr>
        <w:pStyle w:val="27"/>
        <w:spacing w:beforeLines="0" w:afterLines="0" w:line="360" w:lineRule="auto"/>
        <w:rPr>
          <w:rFonts w:hint="default" w:hAnsi="宋体" w:cs="宋体"/>
          <w:b/>
          <w:highlight w:val="none"/>
        </w:rPr>
      </w:pPr>
      <w:bookmarkStart w:id="54" w:name="_Toc9029"/>
      <w:bookmarkStart w:id="55" w:name="_Toc14242"/>
      <w:r>
        <w:rPr>
          <w:rFonts w:hAnsi="宋体" w:cs="宋体"/>
          <w:b/>
          <w:highlight w:val="none"/>
        </w:rPr>
        <w:t>六、定标</w:t>
      </w:r>
      <w:bookmarkEnd w:id="54"/>
    </w:p>
    <w:p>
      <w:pPr>
        <w:pStyle w:val="27"/>
        <w:spacing w:beforeLines="0" w:afterLines="0" w:line="360" w:lineRule="auto"/>
        <w:ind w:firstLine="413" w:firstLineChars="196"/>
        <w:rPr>
          <w:rFonts w:hint="default" w:hAnsi="宋体" w:cs="宋体"/>
          <w:b/>
          <w:bCs/>
          <w:highlight w:val="none"/>
        </w:rPr>
      </w:pPr>
      <w:r>
        <w:rPr>
          <w:rFonts w:hAnsi="宋体" w:cs="宋体"/>
          <w:b/>
          <w:bCs/>
          <w:highlight w:val="none"/>
        </w:rPr>
        <w:t>（一）确定中标人。本项目由采购人（或采购人事先授权评标委员会）确定中标人。</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1.采购代理机构在评标结束后将评标报告交采购人确认。</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2.供应商对评标结果无异议的，采购人应在收到评标报告后5个工作日内对评标结果进行确认（确定排名第一的中标候选人为中标人）。如有供应商对评标结果提出质疑的，采购人可在质疑处理完毕后确定</w:t>
      </w:r>
      <w:r>
        <w:rPr>
          <w:rFonts w:hint="eastAsia" w:ascii="宋体" w:hAnsi="宋体" w:cs="宋体"/>
          <w:szCs w:val="21"/>
          <w:highlight w:val="none"/>
          <w:lang w:eastAsia="zh-CN"/>
        </w:rPr>
        <w:t>中标人</w:t>
      </w:r>
      <w:r>
        <w:rPr>
          <w:rFonts w:hint="eastAsia" w:ascii="宋体" w:hAnsi="宋体" w:cs="宋体"/>
          <w:szCs w:val="21"/>
          <w:highlight w:val="none"/>
        </w:rPr>
        <w:t>。</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3.采购人依法确定</w:t>
      </w:r>
      <w:r>
        <w:rPr>
          <w:rFonts w:hint="eastAsia" w:ascii="宋体" w:hAnsi="宋体" w:cs="宋体"/>
          <w:szCs w:val="21"/>
          <w:highlight w:val="none"/>
          <w:lang w:eastAsia="zh-CN"/>
        </w:rPr>
        <w:t>中标人</w:t>
      </w:r>
      <w:r>
        <w:rPr>
          <w:rFonts w:hint="eastAsia" w:ascii="宋体" w:hAnsi="宋体" w:cs="宋体"/>
          <w:szCs w:val="21"/>
          <w:highlight w:val="none"/>
        </w:rPr>
        <w:t>后2个工作日内，采购代理机构以书面形式发出《中标通知书》,并同时在相关网站上发布中标公告。</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4.若</w:t>
      </w:r>
      <w:r>
        <w:rPr>
          <w:rFonts w:hint="eastAsia" w:ascii="宋体" w:hAnsi="宋体" w:cs="宋体"/>
          <w:szCs w:val="21"/>
          <w:highlight w:val="none"/>
          <w:lang w:eastAsia="zh-CN"/>
        </w:rPr>
        <w:t>中标人</w:t>
      </w:r>
      <w:r>
        <w:rPr>
          <w:rFonts w:hint="eastAsia" w:ascii="宋体" w:hAnsi="宋体" w:cs="宋体"/>
          <w:szCs w:val="21"/>
          <w:highlight w:val="none"/>
        </w:rPr>
        <w:t>放弃中标，或因不可抗力提出不能履行合同，或不按</w:t>
      </w:r>
      <w:r>
        <w:rPr>
          <w:rFonts w:hint="eastAsia" w:ascii="宋体" w:hAnsi="宋体" w:cs="宋体"/>
          <w:szCs w:val="21"/>
          <w:highlight w:val="none"/>
          <w:lang w:val="en-US" w:eastAsia="zh-CN"/>
        </w:rPr>
        <w:t>招标</w:t>
      </w:r>
      <w:r>
        <w:rPr>
          <w:rFonts w:hint="eastAsia" w:ascii="宋体" w:hAnsi="宋体" w:cs="宋体"/>
          <w:szCs w:val="21"/>
          <w:highlight w:val="none"/>
        </w:rPr>
        <w:t>文件规定提交履约担保，或其它原因被依法撤销中标资格，则采购人可确定排名第二的中标候选人为中标人或重新组织招标。</w:t>
      </w:r>
    </w:p>
    <w:p>
      <w:pPr>
        <w:pStyle w:val="27"/>
        <w:spacing w:beforeLines="0" w:afterLines="0" w:line="360" w:lineRule="auto"/>
        <w:rPr>
          <w:rFonts w:hint="default" w:hAnsi="宋体" w:cs="宋体"/>
          <w:b/>
          <w:bCs/>
          <w:highlight w:val="none"/>
        </w:rPr>
      </w:pPr>
      <w:r>
        <w:rPr>
          <w:rFonts w:hAnsi="宋体" w:cs="宋体"/>
          <w:b/>
          <w:bCs/>
          <w:highlight w:val="none"/>
        </w:rPr>
        <w:t>七、评标过程的监控与保密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1、本项目评标过程实行全程录音、录像监控，供应商在评标过程中所进行的试图影响评标结果的不公正活动，可能导致其投标被拒绝。</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2、开标后到中标通知书发出之前，所有涉及评标委员会名单以及对投标文件的澄清、评价、比较等情况，评标委员会成员、采购人和采购代理机构的有关人员均不得向供应商或其他无关人员透露。</w:t>
      </w:r>
    </w:p>
    <w:p>
      <w:pPr>
        <w:pStyle w:val="27"/>
        <w:spacing w:beforeLines="0" w:afterLines="0" w:line="360" w:lineRule="auto"/>
        <w:rPr>
          <w:rFonts w:hint="default" w:hAnsi="宋体" w:cs="宋体"/>
          <w:b/>
          <w:bCs/>
          <w:highlight w:val="none"/>
        </w:rPr>
      </w:pPr>
      <w:bookmarkStart w:id="56" w:name="_Toc17747"/>
      <w:r>
        <w:rPr>
          <w:rFonts w:hAnsi="宋体" w:cs="宋体"/>
          <w:b/>
          <w:highlight w:val="none"/>
        </w:rPr>
        <w:t>八、</w:t>
      </w:r>
      <w:r>
        <w:rPr>
          <w:rFonts w:hAnsi="宋体" w:cs="宋体"/>
          <w:b/>
          <w:bCs/>
          <w:highlight w:val="none"/>
        </w:rPr>
        <w:t>合同</w:t>
      </w:r>
      <w:r>
        <w:rPr>
          <w:rFonts w:hAnsi="宋体" w:cs="宋体"/>
          <w:b/>
          <w:highlight w:val="none"/>
        </w:rPr>
        <w:t>授予</w:t>
      </w:r>
      <w:bookmarkEnd w:id="56"/>
      <w:r>
        <w:rPr>
          <w:rFonts w:hAnsi="宋体" w:cs="宋体"/>
          <w:b/>
          <w:highlight w:val="none"/>
        </w:rPr>
        <w:t>：</w:t>
      </w:r>
      <w:r>
        <w:rPr>
          <w:rFonts w:hAnsi="宋体" w:cs="宋体"/>
          <w:b/>
          <w:bCs/>
          <w:highlight w:val="none"/>
        </w:rPr>
        <w:t>签订合同</w:t>
      </w:r>
    </w:p>
    <w:p>
      <w:pPr>
        <w:spacing w:line="360" w:lineRule="auto"/>
        <w:ind w:firstLine="420" w:firstLineChars="200"/>
        <w:rPr>
          <w:rFonts w:ascii="宋体" w:hAnsi="宋体" w:cs="宋体"/>
          <w:kern w:val="0"/>
          <w:szCs w:val="21"/>
          <w:highlight w:val="none"/>
        </w:rPr>
      </w:pPr>
      <w:r>
        <w:rPr>
          <w:rFonts w:hint="eastAsia" w:ascii="宋体" w:hAnsi="宋体" w:cs="宋体"/>
          <w:szCs w:val="21"/>
          <w:highlight w:val="none"/>
        </w:rPr>
        <w:t>1.</w:t>
      </w:r>
      <w:r>
        <w:rPr>
          <w:rFonts w:hint="eastAsia" w:ascii="宋体" w:hAnsi="宋体" w:cs="宋体"/>
          <w:kern w:val="0"/>
          <w:szCs w:val="21"/>
          <w:highlight w:val="none"/>
        </w:rPr>
        <w:t>采购人应当自中标通知书发出之日起30日内，按照招标文件和中标人投标文件的规定，与中标人签订书面合同。所签订的合同不得对招标文件确定的事项和中标人投标文件作实质性修改。</w:t>
      </w:r>
    </w:p>
    <w:p>
      <w:pPr>
        <w:spacing w:line="360" w:lineRule="auto"/>
        <w:ind w:firstLine="420" w:firstLineChars="200"/>
        <w:rPr>
          <w:rFonts w:ascii="宋体" w:hAnsi="宋体" w:cs="宋体"/>
          <w:szCs w:val="21"/>
          <w:highlight w:val="none"/>
        </w:rPr>
      </w:pPr>
      <w:r>
        <w:rPr>
          <w:rFonts w:hint="eastAsia" w:ascii="宋体" w:hAnsi="宋体" w:cs="宋体"/>
          <w:kern w:val="0"/>
          <w:szCs w:val="21"/>
          <w:highlight w:val="none"/>
        </w:rPr>
        <w:t>采购人不得向中标人提出任何不合理的要求作为签订合同的条件。</w:t>
      </w:r>
    </w:p>
    <w:p>
      <w:pPr>
        <w:pStyle w:val="27"/>
        <w:spacing w:beforeLines="0" w:afterLines="0" w:line="360" w:lineRule="auto"/>
        <w:ind w:firstLine="411" w:firstLineChars="196"/>
        <w:rPr>
          <w:rFonts w:hint="default" w:hAnsi="宋体" w:cs="宋体"/>
          <w:bCs/>
          <w:highlight w:val="none"/>
        </w:rPr>
      </w:pPr>
      <w:r>
        <w:rPr>
          <w:rFonts w:hAnsi="宋体" w:cs="宋体"/>
          <w:bCs/>
          <w:highlight w:val="none"/>
        </w:rPr>
        <w:t>2</w:t>
      </w:r>
      <w:r>
        <w:rPr>
          <w:rFonts w:hAnsi="宋体" w:cs="宋体"/>
          <w:highlight w:val="none"/>
        </w:rPr>
        <w:t>.</w:t>
      </w:r>
      <w:r>
        <w:rPr>
          <w:rFonts w:hAnsi="宋体" w:cs="宋体"/>
          <w:bCs/>
          <w:highlight w:val="none"/>
        </w:rPr>
        <w:t>采购人在签订合同时，在合同金额变更范围内，如需审批的办理相关审批手续。有权变更采购项目的数量和服务内容，但不能对单价或其他条款和条件作任何改变。</w:t>
      </w:r>
    </w:p>
    <w:p>
      <w:pPr>
        <w:pStyle w:val="27"/>
        <w:spacing w:beforeLines="0" w:afterLines="0" w:line="360" w:lineRule="auto"/>
        <w:ind w:firstLine="411" w:firstLineChars="196"/>
        <w:rPr>
          <w:rFonts w:hint="default" w:hAnsi="宋体" w:cs="宋体"/>
          <w:bCs/>
          <w:highlight w:val="none"/>
        </w:rPr>
      </w:pPr>
      <w:r>
        <w:rPr>
          <w:rFonts w:hAnsi="宋体" w:cs="宋体"/>
          <w:bCs/>
          <w:highlight w:val="none"/>
        </w:rPr>
        <w:t>3</w:t>
      </w:r>
      <w:r>
        <w:rPr>
          <w:rFonts w:hAnsi="宋体" w:cs="宋体"/>
          <w:highlight w:val="none"/>
        </w:rPr>
        <w:t>.</w:t>
      </w:r>
      <w:r>
        <w:rPr>
          <w:rFonts w:hAnsi="宋体" w:cs="宋体"/>
          <w:bCs/>
          <w:highlight w:val="none"/>
        </w:rPr>
        <w:t>招标文件、</w:t>
      </w:r>
      <w:r>
        <w:rPr>
          <w:rFonts w:hAnsi="宋体" w:cs="宋体"/>
          <w:highlight w:val="none"/>
        </w:rPr>
        <w:t>中标人</w:t>
      </w:r>
      <w:r>
        <w:rPr>
          <w:rFonts w:hAnsi="宋体" w:cs="宋体"/>
          <w:bCs/>
          <w:highlight w:val="none"/>
        </w:rPr>
        <w:t>的投标文件及评标过程中有关的澄清文件均应作为合同签订的附件。</w:t>
      </w:r>
    </w:p>
    <w:p>
      <w:pPr>
        <w:pStyle w:val="27"/>
        <w:spacing w:beforeLines="0" w:afterLines="0" w:line="360" w:lineRule="auto"/>
        <w:ind w:firstLine="411" w:firstLineChars="196"/>
        <w:rPr>
          <w:rFonts w:hint="default" w:hAnsi="宋体" w:cs="宋体"/>
          <w:bCs/>
          <w:highlight w:val="none"/>
        </w:rPr>
      </w:pPr>
      <w:r>
        <w:rPr>
          <w:rFonts w:hAnsi="宋体" w:cs="宋体"/>
          <w:bCs/>
          <w:highlight w:val="none"/>
        </w:rPr>
        <w:t>4.中标或者成交供应商拒绝与采购人签订合同的，采购人应重新招标。</w:t>
      </w:r>
    </w:p>
    <w:p>
      <w:pPr>
        <w:pStyle w:val="27"/>
        <w:spacing w:beforeLines="0" w:afterLines="0" w:line="360" w:lineRule="auto"/>
        <w:ind w:firstLine="411" w:firstLineChars="196"/>
        <w:rPr>
          <w:rFonts w:hint="default" w:hAnsi="宋体" w:cs="宋体"/>
          <w:bCs/>
          <w:highlight w:val="none"/>
        </w:rPr>
      </w:pPr>
      <w:r>
        <w:rPr>
          <w:rFonts w:hAnsi="宋体" w:cs="宋体"/>
          <w:bCs/>
          <w:highlight w:val="none"/>
        </w:rPr>
        <w:t>5.中标人如不遵守招标文件或投标文件各项条款的邀约与要约，或在接到中标通知书后借故拖延，拒签合同的，采购人将按《浙江省政府采购供应商注册及诚信管理暂行办法》的规定上报诚信状况。给采购人造成的损失的还应当予以赔偿。</w:t>
      </w:r>
    </w:p>
    <w:p>
      <w:pPr>
        <w:pStyle w:val="27"/>
        <w:spacing w:beforeLines="0" w:afterLines="0" w:line="360" w:lineRule="auto"/>
        <w:rPr>
          <w:rFonts w:hint="default" w:hAnsi="宋体" w:cs="宋体"/>
          <w:b/>
          <w:highlight w:val="none"/>
        </w:rPr>
      </w:pPr>
      <w:r>
        <w:rPr>
          <w:rFonts w:hAnsi="宋体" w:cs="宋体"/>
          <w:b/>
          <w:highlight w:val="none"/>
        </w:rPr>
        <w:t>九、</w:t>
      </w:r>
      <w:r>
        <w:rPr>
          <w:rFonts w:hAnsi="宋体" w:cs="宋体"/>
          <w:b/>
          <w:bCs/>
          <w:highlight w:val="none"/>
        </w:rPr>
        <w:t>履约</w:t>
      </w:r>
      <w:r>
        <w:rPr>
          <w:rFonts w:hAnsi="宋体" w:cs="宋体"/>
          <w:b/>
          <w:highlight w:val="none"/>
        </w:rPr>
        <w:t>验收：</w:t>
      </w:r>
    </w:p>
    <w:p>
      <w:pPr>
        <w:spacing w:line="360" w:lineRule="auto"/>
        <w:ind w:firstLine="411" w:firstLineChars="196"/>
        <w:rPr>
          <w:rFonts w:ascii="宋体" w:hAnsi="宋体" w:cs="宋体"/>
          <w:bCs/>
          <w:szCs w:val="21"/>
          <w:highlight w:val="none"/>
        </w:rPr>
      </w:pPr>
      <w:r>
        <w:rPr>
          <w:rFonts w:hint="eastAsia" w:ascii="宋体" w:hAnsi="宋体" w:cs="宋体"/>
          <w:bCs/>
          <w:szCs w:val="21"/>
          <w:highlight w:val="none"/>
        </w:rPr>
        <w:t>采购人负责对</w:t>
      </w:r>
      <w:r>
        <w:rPr>
          <w:rFonts w:hint="eastAsia" w:ascii="宋体" w:hAnsi="宋体" w:cs="宋体"/>
          <w:bCs/>
          <w:szCs w:val="21"/>
          <w:highlight w:val="none"/>
          <w:lang w:eastAsia="zh-CN"/>
        </w:rPr>
        <w:t>中标人</w:t>
      </w:r>
      <w:r>
        <w:rPr>
          <w:rFonts w:hint="eastAsia" w:ascii="宋体" w:hAnsi="宋体" w:cs="宋体"/>
          <w:bCs/>
          <w:szCs w:val="21"/>
          <w:highlight w:val="none"/>
        </w:rPr>
        <w:t>的履约行为进行验收。政府向社会公众提供的公共服务项目，验收时应当邀请服务对象参与并出具意见，验收结果应当向社会公告。</w:t>
      </w:r>
    </w:p>
    <w:p>
      <w:pPr>
        <w:pStyle w:val="153"/>
        <w:spacing w:line="700" w:lineRule="exact"/>
        <w:ind w:firstLine="0" w:firstLineChars="0"/>
        <w:jc w:val="center"/>
        <w:outlineLvl w:val="0"/>
        <w:rPr>
          <w:rFonts w:ascii="宋体" w:hAnsi="宋体" w:cs="宋体"/>
          <w:b/>
          <w:bCs/>
          <w:sz w:val="32"/>
          <w:szCs w:val="32"/>
          <w:highlight w:val="none"/>
        </w:rPr>
      </w:pPr>
      <w:r>
        <w:rPr>
          <w:rFonts w:hint="eastAsia" w:ascii="宋体" w:hAnsi="宋体" w:cs="宋体"/>
          <w:bCs/>
          <w:highlight w:val="none"/>
        </w:rPr>
        <w:br w:type="page"/>
      </w:r>
      <w:bookmarkStart w:id="57" w:name="_Toc9993"/>
      <w:r>
        <w:rPr>
          <w:rFonts w:hint="eastAsia" w:ascii="宋体" w:hAnsi="宋体" w:cs="宋体"/>
          <w:b/>
          <w:sz w:val="32"/>
          <w:szCs w:val="32"/>
          <w:highlight w:val="none"/>
        </w:rPr>
        <w:t>第五章  政府采购合同主要条款</w:t>
      </w:r>
      <w:bookmarkEnd w:id="55"/>
      <w:bookmarkEnd w:id="57"/>
    </w:p>
    <w:p>
      <w:pPr>
        <w:spacing w:line="360" w:lineRule="auto"/>
        <w:rPr>
          <w:rFonts w:ascii="宋体" w:hAnsi="宋体" w:cs="宋体"/>
          <w:szCs w:val="21"/>
          <w:highlight w:val="none"/>
        </w:rPr>
      </w:pPr>
    </w:p>
    <w:p>
      <w:pPr>
        <w:spacing w:line="360" w:lineRule="auto"/>
        <w:rPr>
          <w:rFonts w:ascii="宋体" w:hAnsi="宋体" w:cs="宋体"/>
          <w:szCs w:val="21"/>
          <w:highlight w:val="none"/>
        </w:rPr>
      </w:pPr>
      <w:r>
        <w:rPr>
          <w:rFonts w:hint="eastAsia" w:ascii="宋体" w:hAnsi="宋体" w:cs="宋体"/>
          <w:szCs w:val="21"/>
          <w:highlight w:val="none"/>
        </w:rPr>
        <w:t>项目名称：</w:t>
      </w:r>
      <w:r>
        <w:rPr>
          <w:rFonts w:hint="eastAsia" w:ascii="宋体" w:hAnsi="宋体" w:cs="宋体"/>
          <w:szCs w:val="21"/>
          <w:highlight w:val="none"/>
          <w:lang w:eastAsia="zh-CN"/>
        </w:rPr>
        <w:t>宁海县桃源街道城乡环卫保洁服务项目</w:t>
      </w:r>
      <w:r>
        <w:rPr>
          <w:rFonts w:hint="eastAsia" w:ascii="宋体" w:hAnsi="宋体" w:cs="宋体"/>
          <w:szCs w:val="21"/>
          <w:highlight w:val="none"/>
        </w:rPr>
        <w:t xml:space="preserve">   项目编号：</w:t>
      </w:r>
      <w:r>
        <w:rPr>
          <w:rFonts w:hint="eastAsia" w:ascii="宋体" w:hAnsi="宋体" w:cs="宋体"/>
          <w:szCs w:val="21"/>
          <w:highlight w:val="none"/>
          <w:lang w:eastAsia="zh-CN"/>
        </w:rPr>
        <w:t>CBZJ-20226175G</w:t>
      </w:r>
    </w:p>
    <w:p>
      <w:pPr>
        <w:spacing w:line="360" w:lineRule="auto"/>
        <w:rPr>
          <w:rFonts w:ascii="宋体" w:hAnsi="宋体" w:cs="宋体"/>
          <w:szCs w:val="21"/>
          <w:highlight w:val="none"/>
        </w:rPr>
      </w:pPr>
      <w:r>
        <w:rPr>
          <w:rFonts w:hint="eastAsia" w:ascii="宋体" w:hAnsi="宋体" w:cs="宋体"/>
          <w:szCs w:val="21"/>
          <w:highlight w:val="none"/>
        </w:rPr>
        <w:t>甲方：</w:t>
      </w:r>
      <w:r>
        <w:rPr>
          <w:rFonts w:hint="eastAsia" w:ascii="宋体" w:hAnsi="宋体" w:cs="宋体"/>
          <w:szCs w:val="21"/>
          <w:highlight w:val="none"/>
          <w:lang w:eastAsia="zh-CN"/>
        </w:rPr>
        <w:t>宁海县人民政府桃源街道办事处</w:t>
      </w:r>
      <w:r>
        <w:rPr>
          <w:rFonts w:hint="eastAsia" w:ascii="宋体" w:hAnsi="宋体" w:cs="宋体"/>
          <w:szCs w:val="21"/>
          <w:highlight w:val="none"/>
        </w:rPr>
        <w:t>（以下简称甲方）</w:t>
      </w:r>
    </w:p>
    <w:p>
      <w:pPr>
        <w:spacing w:line="360" w:lineRule="auto"/>
        <w:rPr>
          <w:rFonts w:ascii="宋体" w:hAnsi="宋体" w:cs="宋体"/>
          <w:szCs w:val="21"/>
          <w:highlight w:val="none"/>
        </w:rPr>
      </w:pPr>
      <w:r>
        <w:rPr>
          <w:rFonts w:hint="eastAsia" w:ascii="宋体" w:hAnsi="宋体" w:cs="宋体"/>
          <w:szCs w:val="21"/>
          <w:highlight w:val="none"/>
        </w:rPr>
        <w:t>乙方：（以下简称乙方）</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根据《中华人民共和国政府采购法》、《中华人民共和国政府采购法实施条例》、《政府采购货物和服务招标投标管理办法》等法律法规，</w:t>
      </w:r>
      <w:r>
        <w:rPr>
          <w:rFonts w:hint="eastAsia" w:ascii="宋体" w:hAnsi="宋体" w:cs="宋体"/>
          <w:szCs w:val="21"/>
          <w:highlight w:val="none"/>
          <w:u w:val="single"/>
          <w:lang w:eastAsia="zh-CN"/>
        </w:rPr>
        <w:t>宁海县桃源街道城乡环卫保洁服务项目</w:t>
      </w:r>
      <w:r>
        <w:rPr>
          <w:rFonts w:hint="eastAsia" w:ascii="宋体" w:hAnsi="宋体" w:cs="宋体"/>
          <w:szCs w:val="21"/>
          <w:highlight w:val="none"/>
          <w:u w:val="single"/>
        </w:rPr>
        <w:t>（项目编号：</w:t>
      </w:r>
      <w:r>
        <w:rPr>
          <w:rFonts w:hint="eastAsia" w:ascii="宋体" w:hAnsi="宋体" w:cs="宋体"/>
          <w:szCs w:val="21"/>
          <w:highlight w:val="none"/>
          <w:u w:val="single"/>
          <w:lang w:eastAsia="zh-CN"/>
        </w:rPr>
        <w:t>CBZJ-20226175G</w:t>
      </w:r>
      <w:r>
        <w:rPr>
          <w:rFonts w:hint="eastAsia" w:ascii="宋体" w:hAnsi="宋体" w:cs="宋体"/>
          <w:szCs w:val="21"/>
          <w:highlight w:val="none"/>
          <w:u w:val="single"/>
        </w:rPr>
        <w:t>）</w:t>
      </w:r>
      <w:r>
        <w:rPr>
          <w:rFonts w:hint="eastAsia" w:ascii="宋体" w:hAnsi="宋体" w:cs="宋体"/>
          <w:szCs w:val="21"/>
          <w:highlight w:val="none"/>
        </w:rPr>
        <w:t>于年月日，在宁波市宁海县公共资源交易中心进行公开招标，经结果公告确定由乙方中标。按照《中华人民共和国民法典》的有关规定，在自愿、平等、公平、诚信的基础上，经双方协商一致，签订本合同。</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下述文件作为附件，是合同的一部分，并与本合同一起阅读和解释：</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a.</w:t>
      </w:r>
      <w:r>
        <w:rPr>
          <w:rFonts w:hint="eastAsia" w:ascii="宋体" w:hAnsi="宋体" w:cs="宋体"/>
          <w:szCs w:val="21"/>
          <w:highlight w:val="none"/>
          <w:lang w:val="en-US" w:eastAsia="zh-CN"/>
        </w:rPr>
        <w:t>招标</w:t>
      </w:r>
      <w:r>
        <w:rPr>
          <w:rFonts w:hint="eastAsia" w:ascii="宋体" w:hAnsi="宋体" w:cs="宋体"/>
          <w:szCs w:val="21"/>
          <w:highlight w:val="none"/>
        </w:rPr>
        <w:t>文件；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b.投标文件及澄清文件；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c.中标通知书；</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上述文件与合同若有不一致之处，优先次序第一应为合同、第二应为附件(附件的优先次序为 c,b,a)。</w:t>
      </w:r>
    </w:p>
    <w:p>
      <w:pPr>
        <w:spacing w:line="360" w:lineRule="auto"/>
        <w:rPr>
          <w:rFonts w:ascii="宋体" w:hAnsi="宋体" w:cs="宋体"/>
          <w:b/>
          <w:szCs w:val="21"/>
          <w:highlight w:val="none"/>
        </w:rPr>
      </w:pPr>
      <w:r>
        <w:rPr>
          <w:rFonts w:hint="eastAsia" w:ascii="宋体" w:hAnsi="宋体" w:cs="宋体"/>
          <w:b/>
          <w:szCs w:val="21"/>
          <w:highlight w:val="none"/>
        </w:rPr>
        <w:t>一、项目名称、服务期限、服务内容</w:t>
      </w:r>
    </w:p>
    <w:p>
      <w:pPr>
        <w:spacing w:line="360" w:lineRule="auto"/>
        <w:rPr>
          <w:rFonts w:ascii="宋体" w:hAnsi="宋体" w:cs="宋体"/>
          <w:bCs/>
          <w:szCs w:val="21"/>
          <w:highlight w:val="none"/>
        </w:rPr>
      </w:pPr>
      <w:r>
        <w:rPr>
          <w:rFonts w:hint="eastAsia" w:ascii="宋体" w:hAnsi="宋体" w:cs="宋体"/>
          <w:bCs/>
          <w:szCs w:val="21"/>
          <w:highlight w:val="none"/>
        </w:rPr>
        <w:t>1.1项目名称：</w:t>
      </w:r>
      <w:r>
        <w:rPr>
          <w:rFonts w:hint="eastAsia" w:ascii="宋体" w:hAnsi="宋体" w:cs="宋体"/>
          <w:bCs/>
          <w:szCs w:val="21"/>
          <w:highlight w:val="none"/>
          <w:lang w:eastAsia="zh-CN"/>
        </w:rPr>
        <w:t>宁海县桃源街道城乡环卫保洁服务项目</w:t>
      </w:r>
    </w:p>
    <w:p>
      <w:pPr>
        <w:spacing w:line="360" w:lineRule="auto"/>
        <w:rPr>
          <w:rFonts w:ascii="Times New Roman" w:hAnsi="宋体" w:eastAsia="宋体" w:cs="宋体"/>
          <w:bCs/>
          <w:color w:val="auto"/>
          <w:sz w:val="21"/>
          <w:szCs w:val="21"/>
          <w:highlight w:val="none"/>
        </w:rPr>
      </w:pPr>
      <w:r>
        <w:rPr>
          <w:rFonts w:hint="eastAsia" w:ascii="宋体" w:hAnsi="宋体" w:cs="宋体"/>
          <w:bCs/>
          <w:szCs w:val="21"/>
          <w:highlight w:val="none"/>
        </w:rPr>
        <w:t>1.2服务期限：</w:t>
      </w:r>
      <w:r>
        <w:rPr>
          <w:rFonts w:hint="eastAsia" w:ascii="Times New Roman" w:hAnsi="宋体" w:eastAsia="宋体" w:cs="宋体"/>
          <w:bCs/>
          <w:color w:val="auto"/>
          <w:sz w:val="21"/>
          <w:szCs w:val="21"/>
          <w:highlight w:val="none"/>
        </w:rPr>
        <w:t>2022年</w:t>
      </w:r>
      <w:r>
        <w:rPr>
          <w:rFonts w:hint="eastAsia" w:ascii="Times New Roman" w:hAnsi="宋体" w:eastAsia="宋体" w:cs="宋体"/>
          <w:bCs/>
          <w:color w:val="auto"/>
          <w:sz w:val="21"/>
          <w:szCs w:val="21"/>
          <w:highlight w:val="none"/>
          <w:u w:val="single"/>
        </w:rPr>
        <w:t xml:space="preserve"> </w:t>
      </w:r>
      <w:r>
        <w:rPr>
          <w:rFonts w:hint="eastAsia" w:ascii="Times New Roman" w:hAnsi="宋体" w:eastAsia="宋体" w:cs="宋体"/>
          <w:bCs/>
          <w:color w:val="auto"/>
          <w:sz w:val="21"/>
          <w:szCs w:val="21"/>
          <w:highlight w:val="none"/>
          <w:u w:val="single"/>
          <w:lang w:val="en-US" w:eastAsia="zh-CN"/>
        </w:rPr>
        <w:t xml:space="preserve">  </w:t>
      </w:r>
      <w:r>
        <w:rPr>
          <w:rFonts w:hint="eastAsia" w:ascii="Times New Roman" w:hAnsi="宋体" w:eastAsia="宋体" w:cs="宋体"/>
          <w:bCs/>
          <w:color w:val="auto"/>
          <w:sz w:val="21"/>
          <w:szCs w:val="21"/>
          <w:highlight w:val="none"/>
        </w:rPr>
        <w:t>月</w:t>
      </w:r>
      <w:r>
        <w:rPr>
          <w:rFonts w:hint="eastAsia" w:ascii="Times New Roman" w:hAnsi="宋体" w:eastAsia="宋体" w:cs="宋体"/>
          <w:bCs/>
          <w:color w:val="auto"/>
          <w:sz w:val="21"/>
          <w:szCs w:val="21"/>
          <w:highlight w:val="none"/>
          <w:u w:val="single"/>
        </w:rPr>
        <w:t xml:space="preserve"> </w:t>
      </w:r>
      <w:r>
        <w:rPr>
          <w:rFonts w:hint="eastAsia" w:ascii="Times New Roman" w:hAnsi="宋体" w:eastAsia="宋体" w:cs="宋体"/>
          <w:bCs/>
          <w:color w:val="auto"/>
          <w:sz w:val="21"/>
          <w:szCs w:val="21"/>
          <w:highlight w:val="none"/>
          <w:u w:val="single"/>
          <w:lang w:val="en-US" w:eastAsia="zh-CN"/>
        </w:rPr>
        <w:t xml:space="preserve"> </w:t>
      </w:r>
      <w:r>
        <w:rPr>
          <w:rFonts w:hint="eastAsia" w:ascii="Times New Roman" w:hAnsi="宋体" w:eastAsia="宋体" w:cs="宋体"/>
          <w:bCs/>
          <w:color w:val="auto"/>
          <w:sz w:val="21"/>
          <w:szCs w:val="21"/>
          <w:highlight w:val="none"/>
          <w:u w:val="single"/>
        </w:rPr>
        <w:t xml:space="preserve"> </w:t>
      </w:r>
      <w:r>
        <w:rPr>
          <w:rFonts w:hint="eastAsia" w:ascii="Times New Roman" w:hAnsi="宋体" w:eastAsia="宋体" w:cs="宋体"/>
          <w:bCs/>
          <w:color w:val="auto"/>
          <w:sz w:val="21"/>
          <w:szCs w:val="21"/>
          <w:highlight w:val="none"/>
        </w:rPr>
        <w:t>日起至2025年</w:t>
      </w:r>
      <w:r>
        <w:rPr>
          <w:rFonts w:hint="eastAsia" w:ascii="Times New Roman" w:hAnsi="宋体" w:eastAsia="宋体" w:cs="宋体"/>
          <w:bCs/>
          <w:color w:val="auto"/>
          <w:sz w:val="21"/>
          <w:szCs w:val="21"/>
          <w:highlight w:val="none"/>
          <w:u w:val="single"/>
        </w:rPr>
        <w:t xml:space="preserve"> </w:t>
      </w:r>
      <w:r>
        <w:rPr>
          <w:rFonts w:hint="eastAsia" w:ascii="Times New Roman" w:hAnsi="宋体" w:eastAsia="宋体" w:cs="宋体"/>
          <w:bCs/>
          <w:color w:val="auto"/>
          <w:sz w:val="21"/>
          <w:szCs w:val="21"/>
          <w:highlight w:val="none"/>
          <w:u w:val="single"/>
          <w:lang w:val="en-US" w:eastAsia="zh-CN"/>
        </w:rPr>
        <w:t xml:space="preserve"> </w:t>
      </w:r>
      <w:r>
        <w:rPr>
          <w:rFonts w:hint="eastAsia" w:ascii="Times New Roman" w:hAnsi="宋体" w:eastAsia="宋体" w:cs="宋体"/>
          <w:bCs/>
          <w:color w:val="auto"/>
          <w:sz w:val="21"/>
          <w:szCs w:val="21"/>
          <w:highlight w:val="none"/>
          <w:u w:val="single"/>
        </w:rPr>
        <w:t xml:space="preserve"> </w:t>
      </w:r>
      <w:r>
        <w:rPr>
          <w:rFonts w:hint="eastAsia" w:ascii="Times New Roman" w:hAnsi="宋体" w:eastAsia="宋体" w:cs="宋体"/>
          <w:bCs/>
          <w:color w:val="auto"/>
          <w:sz w:val="21"/>
          <w:szCs w:val="21"/>
          <w:highlight w:val="none"/>
        </w:rPr>
        <w:t>月</w:t>
      </w:r>
      <w:r>
        <w:rPr>
          <w:rFonts w:hint="eastAsia" w:ascii="Times New Roman" w:hAnsi="宋体" w:eastAsia="宋体" w:cs="宋体"/>
          <w:bCs/>
          <w:color w:val="auto"/>
          <w:sz w:val="21"/>
          <w:szCs w:val="21"/>
          <w:highlight w:val="none"/>
          <w:u w:val="single"/>
        </w:rPr>
        <w:t xml:space="preserve"> </w:t>
      </w:r>
      <w:r>
        <w:rPr>
          <w:rFonts w:hint="eastAsia" w:ascii="Times New Roman" w:hAnsi="宋体" w:eastAsia="宋体" w:cs="宋体"/>
          <w:bCs/>
          <w:color w:val="auto"/>
          <w:sz w:val="21"/>
          <w:szCs w:val="21"/>
          <w:highlight w:val="none"/>
          <w:u w:val="single"/>
          <w:lang w:val="en-US" w:eastAsia="zh-CN"/>
        </w:rPr>
        <w:t xml:space="preserve"> </w:t>
      </w:r>
      <w:r>
        <w:rPr>
          <w:rFonts w:hint="eastAsia" w:ascii="Times New Roman" w:hAnsi="宋体" w:eastAsia="宋体" w:cs="宋体"/>
          <w:bCs/>
          <w:color w:val="auto"/>
          <w:sz w:val="21"/>
          <w:szCs w:val="21"/>
          <w:highlight w:val="none"/>
          <w:u w:val="single"/>
        </w:rPr>
        <w:t xml:space="preserve"> </w:t>
      </w:r>
      <w:r>
        <w:rPr>
          <w:rFonts w:hint="eastAsia" w:ascii="Times New Roman" w:hAnsi="宋体" w:eastAsia="宋体" w:cs="宋体"/>
          <w:bCs/>
          <w:color w:val="auto"/>
          <w:sz w:val="21"/>
          <w:szCs w:val="21"/>
          <w:highlight w:val="none"/>
        </w:rPr>
        <w:t>日止，合同一年一签</w:t>
      </w:r>
      <w:r>
        <w:rPr>
          <w:rFonts w:ascii="Times New Roman" w:hAnsi="宋体" w:eastAsia="宋体" w:cs="宋体"/>
          <w:color w:val="auto"/>
          <w:sz w:val="21"/>
          <w:szCs w:val="21"/>
          <w:highlight w:val="none"/>
        </w:rPr>
        <w:t>。合同应符合政府采购预算安排要求，经批准，并经甲方考核验收，双方同意后，方可续签订下一年度的合同。合同续签后，应经原政府采购代理机构见证及备案，并报宁海县政府采购管理办公室。</w:t>
      </w:r>
    </w:p>
    <w:p>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第一年服务期限：2022年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日至 2023 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日止；</w:t>
      </w:r>
    </w:p>
    <w:p>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第二年服务期限合同根据第一阶段合同履约情况另行签订；</w:t>
      </w:r>
    </w:p>
    <w:p>
      <w:pPr>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第三年服务期限合同根据第二阶段合同履约情况另行签订。</w:t>
      </w:r>
    </w:p>
    <w:p>
      <w:pPr>
        <w:spacing w:line="360" w:lineRule="auto"/>
        <w:rPr>
          <w:rFonts w:hint="eastAsia" w:ascii="宋体" w:hAnsi="宋体" w:cs="宋体"/>
          <w:b w:val="0"/>
          <w:bCs w:val="0"/>
          <w:szCs w:val="21"/>
          <w:highlight w:val="none"/>
        </w:rPr>
      </w:pPr>
      <w:r>
        <w:rPr>
          <w:rFonts w:hint="eastAsia" w:ascii="宋体" w:hAnsi="宋体" w:cs="宋体"/>
          <w:b w:val="0"/>
          <w:bCs w:val="0"/>
          <w:szCs w:val="21"/>
          <w:highlight w:val="none"/>
        </w:rPr>
        <w:t>1.3服务范围：</w:t>
      </w:r>
    </w:p>
    <w:p>
      <w:pPr>
        <w:spacing w:line="360" w:lineRule="auto"/>
        <w:ind w:firstLine="42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本项目的道路保洁及垃圾上门清运具体实施范围为桃源街道辖区内的 31 个行政村和股份经济合作社，具体为大金村、前黄村、竹口储村、王社村、钱岙村、新西岙村、民主村、后丁村、胜利村、翻身村、建设村、上洋村、后徐村、尤家村、上山尤村、花山村、南岙村、茶堂村、西洋村、大房村、堂墙村、下洋葛村、后畈王村、横金村、下洋顾村、应家山村、塘溪村、瓦窑头村、杏蒋村、石家岙村、溪旁徐村。经统计，需要保洁的村社道路面积约为 81.24 万平方米。具体详见附表1：《宁海县桃源街道城乡道路保洁面积明细表》。</w:t>
      </w:r>
    </w:p>
    <w:p>
      <w:pPr>
        <w:widowControl w:val="0"/>
        <w:spacing w:after="120"/>
        <w:jc w:val="center"/>
        <w:rPr>
          <w:rFonts w:hint="default"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附表1：《宁海县桃源街道城乡道路保洁面积明细表》。</w:t>
      </w:r>
    </w:p>
    <w:tbl>
      <w:tblPr>
        <w:tblStyle w:val="204"/>
        <w:tblW w:w="8277"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0"/>
        <w:gridCol w:w="1099"/>
        <w:gridCol w:w="2142"/>
        <w:gridCol w:w="884"/>
        <w:gridCol w:w="1534"/>
        <w:gridCol w:w="18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0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村社</w:t>
            </w:r>
          </w:p>
        </w:tc>
        <w:tc>
          <w:tcPr>
            <w:tcW w:w="21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保洁面积 (m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 xml:space="preserve"> )</w:t>
            </w:r>
          </w:p>
        </w:tc>
        <w:tc>
          <w:tcPr>
            <w:tcW w:w="8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村社</w:t>
            </w:r>
          </w:p>
        </w:tc>
        <w:tc>
          <w:tcPr>
            <w:tcW w:w="1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保洁面积 (m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新西岙</w:t>
            </w:r>
          </w:p>
        </w:tc>
        <w:tc>
          <w:tcPr>
            <w:tcW w:w="21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32830</w:t>
            </w:r>
          </w:p>
        </w:tc>
        <w:tc>
          <w:tcPr>
            <w:tcW w:w="8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5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南岙</w:t>
            </w:r>
          </w:p>
        </w:tc>
        <w:tc>
          <w:tcPr>
            <w:tcW w:w="1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钱岙</w:t>
            </w:r>
          </w:p>
        </w:tc>
        <w:tc>
          <w:tcPr>
            <w:tcW w:w="21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33000</w:t>
            </w:r>
          </w:p>
        </w:tc>
        <w:tc>
          <w:tcPr>
            <w:tcW w:w="8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5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茶堂</w:t>
            </w:r>
          </w:p>
        </w:tc>
        <w:tc>
          <w:tcPr>
            <w:tcW w:w="1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0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民主</w:t>
            </w:r>
          </w:p>
        </w:tc>
        <w:tc>
          <w:tcPr>
            <w:tcW w:w="21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39000</w:t>
            </w:r>
          </w:p>
        </w:tc>
        <w:tc>
          <w:tcPr>
            <w:tcW w:w="8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5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竹口储</w:t>
            </w:r>
          </w:p>
        </w:tc>
        <w:tc>
          <w:tcPr>
            <w:tcW w:w="1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0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后丁</w:t>
            </w:r>
          </w:p>
        </w:tc>
        <w:tc>
          <w:tcPr>
            <w:tcW w:w="21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6000</w:t>
            </w:r>
          </w:p>
        </w:tc>
        <w:tc>
          <w:tcPr>
            <w:tcW w:w="8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5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王社</w:t>
            </w:r>
          </w:p>
        </w:tc>
        <w:tc>
          <w:tcPr>
            <w:tcW w:w="1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0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w:t>
            </w:r>
          </w:p>
        </w:tc>
        <w:tc>
          <w:tcPr>
            <w:tcW w:w="21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23000</w:t>
            </w:r>
          </w:p>
        </w:tc>
        <w:tc>
          <w:tcPr>
            <w:tcW w:w="8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5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瓦窑头</w:t>
            </w:r>
          </w:p>
        </w:tc>
        <w:tc>
          <w:tcPr>
            <w:tcW w:w="1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0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翻身</w:t>
            </w:r>
          </w:p>
        </w:tc>
        <w:tc>
          <w:tcPr>
            <w:tcW w:w="21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32000</w:t>
            </w:r>
          </w:p>
        </w:tc>
        <w:tc>
          <w:tcPr>
            <w:tcW w:w="8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5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堂墙</w:t>
            </w:r>
          </w:p>
        </w:tc>
        <w:tc>
          <w:tcPr>
            <w:tcW w:w="1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0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上洋</w:t>
            </w:r>
          </w:p>
        </w:tc>
        <w:tc>
          <w:tcPr>
            <w:tcW w:w="21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17000</w:t>
            </w:r>
          </w:p>
        </w:tc>
        <w:tc>
          <w:tcPr>
            <w:tcW w:w="8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5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西洋</w:t>
            </w:r>
          </w:p>
        </w:tc>
        <w:tc>
          <w:tcPr>
            <w:tcW w:w="1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0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胜利</w:t>
            </w:r>
          </w:p>
        </w:tc>
        <w:tc>
          <w:tcPr>
            <w:tcW w:w="21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25000</w:t>
            </w:r>
          </w:p>
        </w:tc>
        <w:tc>
          <w:tcPr>
            <w:tcW w:w="8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5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大房</w:t>
            </w:r>
          </w:p>
        </w:tc>
        <w:tc>
          <w:tcPr>
            <w:tcW w:w="1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0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后徐</w:t>
            </w:r>
          </w:p>
        </w:tc>
        <w:tc>
          <w:tcPr>
            <w:tcW w:w="21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15000</w:t>
            </w:r>
          </w:p>
        </w:tc>
        <w:tc>
          <w:tcPr>
            <w:tcW w:w="8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5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应家山</w:t>
            </w:r>
          </w:p>
        </w:tc>
        <w:tc>
          <w:tcPr>
            <w:tcW w:w="1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0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大金</w:t>
            </w:r>
          </w:p>
        </w:tc>
        <w:tc>
          <w:tcPr>
            <w:tcW w:w="21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25000</w:t>
            </w:r>
          </w:p>
        </w:tc>
        <w:tc>
          <w:tcPr>
            <w:tcW w:w="8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5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后畈王</w:t>
            </w:r>
          </w:p>
        </w:tc>
        <w:tc>
          <w:tcPr>
            <w:tcW w:w="1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33440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0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前黄</w:t>
            </w:r>
          </w:p>
        </w:tc>
        <w:tc>
          <w:tcPr>
            <w:tcW w:w="21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15000</w:t>
            </w:r>
          </w:p>
        </w:tc>
        <w:tc>
          <w:tcPr>
            <w:tcW w:w="8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5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下洋葛</w:t>
            </w:r>
          </w:p>
        </w:tc>
        <w:tc>
          <w:tcPr>
            <w:tcW w:w="1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0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上山尤</w:t>
            </w:r>
          </w:p>
        </w:tc>
        <w:tc>
          <w:tcPr>
            <w:tcW w:w="21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8500</w:t>
            </w:r>
          </w:p>
        </w:tc>
        <w:tc>
          <w:tcPr>
            <w:tcW w:w="8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5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石家岙</w:t>
            </w:r>
          </w:p>
        </w:tc>
        <w:tc>
          <w:tcPr>
            <w:tcW w:w="1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0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尤家</w:t>
            </w:r>
          </w:p>
        </w:tc>
        <w:tc>
          <w:tcPr>
            <w:tcW w:w="21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18000</w:t>
            </w:r>
          </w:p>
        </w:tc>
        <w:tc>
          <w:tcPr>
            <w:tcW w:w="8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5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杏蒋</w:t>
            </w:r>
          </w:p>
        </w:tc>
        <w:tc>
          <w:tcPr>
            <w:tcW w:w="1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0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下洋顾</w:t>
            </w:r>
          </w:p>
        </w:tc>
        <w:tc>
          <w:tcPr>
            <w:tcW w:w="21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34600</w:t>
            </w:r>
          </w:p>
        </w:tc>
        <w:tc>
          <w:tcPr>
            <w:tcW w:w="8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5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溪旁徐</w:t>
            </w:r>
          </w:p>
        </w:tc>
        <w:tc>
          <w:tcPr>
            <w:tcW w:w="1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0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花山</w:t>
            </w:r>
          </w:p>
        </w:tc>
        <w:tc>
          <w:tcPr>
            <w:tcW w:w="21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30000</w:t>
            </w:r>
          </w:p>
        </w:tc>
        <w:tc>
          <w:tcPr>
            <w:tcW w:w="8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5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横金</w:t>
            </w:r>
          </w:p>
        </w:tc>
        <w:tc>
          <w:tcPr>
            <w:tcW w:w="1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0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塘溪</w:t>
            </w:r>
          </w:p>
        </w:tc>
        <w:tc>
          <w:tcPr>
            <w:tcW w:w="21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48000</w:t>
            </w:r>
          </w:p>
        </w:tc>
        <w:tc>
          <w:tcPr>
            <w:tcW w:w="8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5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 w:hRule="atLeast"/>
        </w:trPr>
        <w:tc>
          <w:tcPr>
            <w:tcW w:w="6449"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1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812370</w:t>
            </w:r>
          </w:p>
        </w:tc>
      </w:tr>
    </w:tbl>
    <w:p>
      <w:pPr>
        <w:spacing w:line="360" w:lineRule="auto"/>
        <w:ind w:firstLine="42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此外，各村存在开放区域（含入本次保洁范围，占比约为村社道路面积的20%，费用不另计，含入本次保洁费用内），乙方需要进行垃圾捡拾。甲方有权根据实际需要对保洁面积及服务等级进行调整（调整范围不超过±10%）。</w:t>
      </w:r>
    </w:p>
    <w:p>
      <w:pPr>
        <w:spacing w:line="360" w:lineRule="auto"/>
        <w:rPr>
          <w:rFonts w:hint="eastAsia" w:ascii="宋体" w:hAnsi="宋体" w:cs="宋体"/>
          <w:b/>
          <w:bCs/>
          <w:szCs w:val="21"/>
          <w:highlight w:val="none"/>
          <w:lang w:val="en-US" w:eastAsia="zh-CN"/>
        </w:rPr>
      </w:pPr>
      <w:r>
        <w:rPr>
          <w:rFonts w:hint="eastAsia" w:ascii="宋体" w:hAnsi="宋体" w:cs="宋体"/>
          <w:b/>
          <w:bCs/>
          <w:szCs w:val="21"/>
          <w:highlight w:val="none"/>
          <w:lang w:val="en-US" w:eastAsia="zh-CN"/>
        </w:rPr>
        <w:t>1.4服务基本内容：</w:t>
      </w:r>
    </w:p>
    <w:p>
      <w:pPr>
        <w:spacing w:line="360" w:lineRule="auto"/>
        <w:ind w:firstLine="420" w:firstLineChars="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1、村内环卫保洁</w:t>
      </w:r>
    </w:p>
    <w:p>
      <w:pPr>
        <w:spacing w:line="360" w:lineRule="auto"/>
        <w:ind w:firstLine="42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要包括对辖区行政村和股份经济合作社范围内的道路、绿化带进行清扫，对拆迁地块、边沟、池塘等其他开放区域内的垃圾进行捡拾，确保视线可见范围内无明显垃圾痕迹；对各行政村的公厕进行保洁，对三乱进行清理，对建筑垃圾进行清运等。</w:t>
      </w:r>
    </w:p>
    <w:p>
      <w:pPr>
        <w:widowControl w:val="0"/>
        <w:adjustRightInd/>
        <w:spacing w:line="360" w:lineRule="auto"/>
        <w:ind w:left="0" w:firstLine="420" w:firstLineChars="200"/>
        <w:jc w:val="both"/>
        <w:textAlignment w:val="baseline"/>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2、生活垃圾清运</w:t>
      </w:r>
    </w:p>
    <w:p>
      <w:pPr>
        <w:widowControl w:val="0"/>
        <w:adjustRightInd/>
        <w:spacing w:line="360" w:lineRule="auto"/>
        <w:ind w:left="0" w:firstLine="420" w:firstLineChars="200"/>
        <w:jc w:val="both"/>
        <w:textAlignment w:val="baseline"/>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szCs w:val="21"/>
          <w:highlight w:val="none"/>
          <w:lang w:val="en-US" w:eastAsia="zh-CN"/>
        </w:rPr>
        <w:t>以上门收集的方式对各村</w:t>
      </w:r>
      <w:r>
        <w:rPr>
          <w:rFonts w:hint="eastAsia" w:hAnsi="宋体" w:cs="宋体"/>
          <w:szCs w:val="21"/>
          <w:highlight w:val="none"/>
          <w:lang w:val="en-US" w:eastAsia="zh-CN"/>
        </w:rPr>
        <w:t>每日</w:t>
      </w:r>
      <w:r>
        <w:rPr>
          <w:rFonts w:hint="eastAsia" w:ascii="宋体" w:hAnsi="宋体" w:eastAsia="宋体" w:cs="宋体"/>
          <w:szCs w:val="21"/>
          <w:highlight w:val="none"/>
          <w:lang w:val="en-US" w:eastAsia="zh-CN"/>
        </w:rPr>
        <w:t>产生的生活垃圾</w:t>
      </w:r>
      <w:r>
        <w:rPr>
          <w:rFonts w:hint="eastAsia" w:hAnsi="宋体" w:cs="宋体"/>
          <w:szCs w:val="21"/>
          <w:highlight w:val="none"/>
          <w:lang w:val="en-US" w:eastAsia="zh-CN"/>
        </w:rPr>
        <w:t>（含厨余垃圾及其他垃圾，</w:t>
      </w:r>
      <w:r>
        <w:rPr>
          <w:rFonts w:hint="eastAsia" w:ascii="宋体" w:hAnsi="宋体" w:eastAsia="宋体" w:cs="宋体"/>
          <w:color w:val="auto"/>
          <w:sz w:val="21"/>
          <w:szCs w:val="21"/>
          <w:highlight w:val="none"/>
        </w:rPr>
        <w:t>清运必须符合垃圾分类相关要求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如政策变化，</w:t>
      </w:r>
      <w:r>
        <w:rPr>
          <w:rFonts w:hint="eastAsia" w:hAnsi="宋体" w:cs="宋体"/>
          <w:color w:val="auto"/>
          <w:sz w:val="21"/>
          <w:szCs w:val="21"/>
          <w:highlight w:val="none"/>
          <w:lang w:val="en-US" w:eastAsia="zh-CN"/>
        </w:rPr>
        <w:t>乙方</w:t>
      </w:r>
      <w:r>
        <w:rPr>
          <w:rFonts w:hint="eastAsia" w:ascii="宋体" w:hAnsi="宋体" w:eastAsia="宋体" w:cs="宋体"/>
          <w:color w:val="auto"/>
          <w:sz w:val="21"/>
          <w:szCs w:val="21"/>
          <w:highlight w:val="none"/>
          <w:lang w:val="en-US" w:eastAsia="zh-CN"/>
        </w:rPr>
        <w:t>须按照新政策要求执行</w:t>
      </w:r>
      <w:r>
        <w:rPr>
          <w:rFonts w:hint="eastAsia" w:hAnsi="宋体" w:cs="宋体"/>
          <w:szCs w:val="21"/>
          <w:highlight w:val="none"/>
          <w:lang w:val="en-US" w:eastAsia="zh-CN"/>
        </w:rPr>
        <w:t>）及时</w:t>
      </w:r>
      <w:r>
        <w:rPr>
          <w:rFonts w:hint="eastAsia" w:ascii="宋体" w:hAnsi="宋体" w:eastAsia="宋体" w:cs="宋体"/>
          <w:szCs w:val="21"/>
          <w:highlight w:val="none"/>
          <w:lang w:val="en-US" w:eastAsia="zh-CN"/>
        </w:rPr>
        <w:t>进行清运</w:t>
      </w:r>
      <w:r>
        <w:rPr>
          <w:rFonts w:hint="eastAsia" w:hAnsi="宋体" w:cs="宋体"/>
          <w:szCs w:val="21"/>
          <w:highlight w:val="none"/>
          <w:lang w:val="en-US" w:eastAsia="zh-CN"/>
        </w:rPr>
        <w:t>处理，</w:t>
      </w:r>
      <w:r>
        <w:rPr>
          <w:rFonts w:hint="eastAsia" w:ascii="宋体" w:hAnsi="宋体" w:eastAsia="宋体" w:cs="宋体"/>
          <w:color w:val="auto"/>
          <w:kern w:val="2"/>
          <w:sz w:val="21"/>
          <w:szCs w:val="21"/>
          <w:highlight w:val="none"/>
          <w:lang w:val="en-US" w:eastAsia="zh-CN" w:bidi="ar-SA"/>
        </w:rPr>
        <w:t>每天上门收运</w:t>
      </w:r>
      <w:r>
        <w:rPr>
          <w:rFonts w:hint="eastAsia" w:ascii="宋体" w:hAnsi="宋体" w:eastAsia="宋体" w:cs="宋体"/>
          <w:color w:val="auto"/>
          <w:szCs w:val="21"/>
          <w:highlight w:val="none"/>
          <w:lang w:val="en-US" w:eastAsia="zh-CN"/>
        </w:rPr>
        <w:t>不少于</w:t>
      </w:r>
      <w:r>
        <w:rPr>
          <w:rFonts w:hint="eastAsia"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次。</w:t>
      </w:r>
    </w:p>
    <w:p>
      <w:pPr>
        <w:widowControl w:val="0"/>
        <w:adjustRightInd/>
        <w:spacing w:line="360" w:lineRule="auto"/>
        <w:ind w:left="0" w:firstLine="420" w:firstLineChars="200"/>
        <w:jc w:val="both"/>
        <w:textAlignment w:val="baseline"/>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3、应急保障工作</w:t>
      </w:r>
    </w:p>
    <w:p>
      <w:pPr>
        <w:widowControl w:val="0"/>
        <w:adjustRightInd/>
        <w:spacing w:line="360" w:lineRule="auto"/>
        <w:ind w:left="0" w:firstLine="420" w:firstLineChars="200"/>
        <w:jc w:val="both"/>
        <w:textAlignment w:val="baseline"/>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因防台防汛、雨雪冰冻极端天气等自然灾害期间、疫情防控期间、全国文明城市创建期间工作需要，道路（公厕）保洁需增加人员投入，提供应急保障工作。</w:t>
      </w:r>
    </w:p>
    <w:p>
      <w:pPr>
        <w:spacing w:line="360" w:lineRule="auto"/>
        <w:rPr>
          <w:rFonts w:ascii="宋体" w:hAnsi="宋体" w:cs="宋体"/>
          <w:b/>
          <w:szCs w:val="21"/>
          <w:highlight w:val="none"/>
        </w:rPr>
      </w:pPr>
      <w:r>
        <w:rPr>
          <w:rFonts w:hint="eastAsia" w:ascii="宋体" w:hAnsi="宋体" w:cs="宋体"/>
          <w:b/>
          <w:szCs w:val="21"/>
          <w:highlight w:val="none"/>
        </w:rPr>
        <w:t>二、合同金额</w:t>
      </w:r>
    </w:p>
    <w:p>
      <w:pPr>
        <w:spacing w:line="360" w:lineRule="auto"/>
        <w:ind w:left="359" w:hanging="359" w:hangingChars="171"/>
        <w:rPr>
          <w:rFonts w:hint="eastAsia" w:ascii="宋体" w:hAnsi="宋体" w:cs="宋体"/>
          <w:szCs w:val="21"/>
          <w:highlight w:val="none"/>
        </w:rPr>
      </w:pPr>
      <w:r>
        <w:rPr>
          <w:rFonts w:hint="eastAsia" w:ascii="宋体" w:hAnsi="宋体" w:cs="宋体"/>
          <w:szCs w:val="21"/>
          <w:highlight w:val="none"/>
        </w:rPr>
        <w:t>2.1本合同年度总金额为（大写）：_</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元）人民币。</w:t>
      </w:r>
    </w:p>
    <w:p>
      <w:pPr>
        <w:spacing w:line="360" w:lineRule="auto"/>
        <w:ind w:left="359" w:hanging="359" w:hangingChars="171"/>
        <w:rPr>
          <w:rFonts w:ascii="宋体" w:hAnsi="宋体" w:cs="宋体"/>
          <w:szCs w:val="21"/>
          <w:highlight w:val="none"/>
        </w:rPr>
      </w:pPr>
      <w:r>
        <w:rPr>
          <w:rFonts w:hint="eastAsia" w:ascii="宋体" w:hAnsi="宋体" w:cs="宋体"/>
          <w:szCs w:val="21"/>
          <w:highlight w:val="none"/>
        </w:rPr>
        <w:t>2.2月度保洁经费暂定为（大写）：</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_元）人民币。</w:t>
      </w:r>
    </w:p>
    <w:p>
      <w:pPr>
        <w:spacing w:line="360" w:lineRule="auto"/>
        <w:ind w:left="358" w:hanging="358" w:hangingChars="170"/>
        <w:rPr>
          <w:rFonts w:ascii="宋体" w:hAnsi="宋体" w:cs="宋体"/>
          <w:b/>
          <w:szCs w:val="21"/>
          <w:highlight w:val="none"/>
        </w:rPr>
      </w:pPr>
      <w:r>
        <w:rPr>
          <w:rFonts w:hint="eastAsia" w:ascii="宋体" w:hAnsi="宋体" w:cs="宋体"/>
          <w:b/>
          <w:szCs w:val="21"/>
          <w:highlight w:val="none"/>
        </w:rPr>
        <w:t>三、履约保证金</w:t>
      </w:r>
    </w:p>
    <w:p>
      <w:pPr>
        <w:spacing w:line="360" w:lineRule="auto"/>
        <w:rPr>
          <w:rFonts w:hint="eastAsia" w:ascii="宋体" w:hAnsi="宋体" w:cs="宋体"/>
          <w:highlight w:val="none"/>
        </w:rPr>
      </w:pPr>
      <w:r>
        <w:rPr>
          <w:rFonts w:hint="eastAsia" w:ascii="宋体" w:hAnsi="宋体" w:cs="宋体"/>
          <w:highlight w:val="none"/>
        </w:rPr>
        <w:t xml:space="preserve">3.1乙方缴纳人民币 </w:t>
      </w:r>
      <w:r>
        <w:rPr>
          <w:rFonts w:hint="eastAsia" w:ascii="宋体" w:hAnsi="宋体" w:cs="宋体"/>
          <w:highlight w:val="none"/>
          <w:lang w:val="en-US" w:eastAsia="zh-CN"/>
        </w:rPr>
        <w:t xml:space="preserve">       </w:t>
      </w:r>
      <w:r>
        <w:rPr>
          <w:rFonts w:hint="eastAsia" w:ascii="宋体" w:hAnsi="宋体" w:cs="宋体"/>
          <w:highlight w:val="none"/>
        </w:rPr>
        <w:t>元作为本合同的履约保证金。</w:t>
      </w:r>
    </w:p>
    <w:p>
      <w:pPr>
        <w:spacing w:line="360" w:lineRule="auto"/>
        <w:rPr>
          <w:rFonts w:ascii="宋体" w:hAnsi="宋体" w:cs="宋体"/>
          <w:highlight w:val="none"/>
        </w:rPr>
      </w:pPr>
      <w:r>
        <w:rPr>
          <w:rFonts w:hint="eastAsia" w:ascii="宋体" w:hAnsi="宋体" w:cs="宋体"/>
          <w:highlight w:val="none"/>
        </w:rPr>
        <w:t>3.2履约保证金形式：以银行汇票、转账、电汇、保函等形式缴纳至专用账户。履约保证金在保洁服务合同完成后无息退还。如乙方未能履行合同规定的任何义务，甲方有权从履约保证金中优先受偿。</w:t>
      </w:r>
    </w:p>
    <w:p>
      <w:pPr>
        <w:spacing w:line="360" w:lineRule="auto"/>
        <w:rPr>
          <w:rFonts w:ascii="宋体" w:hAnsi="宋体" w:cs="宋体"/>
          <w:b/>
          <w:szCs w:val="21"/>
          <w:highlight w:val="none"/>
        </w:rPr>
      </w:pPr>
      <w:r>
        <w:rPr>
          <w:rFonts w:hint="eastAsia" w:ascii="宋体" w:hAnsi="宋体" w:cs="宋体"/>
          <w:b/>
          <w:szCs w:val="21"/>
          <w:highlight w:val="none"/>
        </w:rPr>
        <w:t>四、转包或分包</w:t>
      </w:r>
    </w:p>
    <w:p>
      <w:pPr>
        <w:spacing w:line="360" w:lineRule="auto"/>
        <w:rPr>
          <w:rFonts w:ascii="宋体" w:hAnsi="宋体" w:cs="宋体"/>
          <w:szCs w:val="21"/>
          <w:highlight w:val="none"/>
        </w:rPr>
      </w:pPr>
      <w:r>
        <w:rPr>
          <w:rFonts w:hint="eastAsia" w:ascii="宋体" w:hAnsi="宋体" w:cs="宋体"/>
          <w:szCs w:val="21"/>
          <w:highlight w:val="none"/>
        </w:rPr>
        <w:t>4.1本合同范围的服务，应由乙方直接提供，不得转让他人；</w:t>
      </w:r>
    </w:p>
    <w:p>
      <w:pPr>
        <w:spacing w:line="360" w:lineRule="auto"/>
        <w:rPr>
          <w:rFonts w:ascii="宋体" w:hAnsi="宋体" w:cs="宋体"/>
          <w:szCs w:val="21"/>
          <w:highlight w:val="none"/>
        </w:rPr>
      </w:pPr>
      <w:r>
        <w:rPr>
          <w:rFonts w:hint="eastAsia" w:ascii="宋体" w:hAnsi="宋体" w:cs="宋体"/>
          <w:szCs w:val="21"/>
          <w:highlight w:val="none"/>
        </w:rPr>
        <w:t>4.2 除非得到甲方的书面同意，乙方不得部分分包给他人。甲方有绝对权力阻止分包。</w:t>
      </w:r>
    </w:p>
    <w:p>
      <w:pPr>
        <w:spacing w:line="360" w:lineRule="auto"/>
        <w:rPr>
          <w:rFonts w:ascii="宋体" w:hAnsi="宋体" w:cs="宋体"/>
          <w:szCs w:val="21"/>
          <w:highlight w:val="none"/>
        </w:rPr>
      </w:pPr>
      <w:r>
        <w:rPr>
          <w:rFonts w:hint="eastAsia" w:ascii="宋体" w:hAnsi="宋体" w:cs="宋体"/>
          <w:szCs w:val="21"/>
          <w:highlight w:val="none"/>
        </w:rPr>
        <w:t>4.3如有转让和未经甲方同意的分包行为，甲方有权给予终止合同。</w:t>
      </w:r>
    </w:p>
    <w:p>
      <w:pPr>
        <w:spacing w:line="360" w:lineRule="auto"/>
        <w:rPr>
          <w:rFonts w:ascii="宋体" w:hAnsi="宋体" w:cs="宋体"/>
          <w:b/>
          <w:szCs w:val="21"/>
          <w:highlight w:val="none"/>
        </w:rPr>
      </w:pPr>
      <w:r>
        <w:rPr>
          <w:rFonts w:hint="eastAsia" w:ascii="宋体" w:hAnsi="宋体" w:cs="宋体"/>
          <w:b/>
          <w:szCs w:val="21"/>
          <w:highlight w:val="none"/>
        </w:rPr>
        <w:t>五、合同付款方法</w:t>
      </w:r>
    </w:p>
    <w:p>
      <w:pPr>
        <w:spacing w:line="360" w:lineRule="auto"/>
        <w:rPr>
          <w:rFonts w:hint="eastAsia" w:ascii="宋体" w:hAnsi="宋体" w:cs="宋体"/>
          <w:bCs/>
          <w:szCs w:val="21"/>
          <w:highlight w:val="none"/>
          <w:lang w:val="en-US" w:eastAsia="zh-CN"/>
        </w:rPr>
      </w:pPr>
      <w:r>
        <w:rPr>
          <w:rFonts w:hint="eastAsia" w:ascii="宋体" w:hAnsi="宋体" w:cs="宋体"/>
          <w:bCs/>
          <w:szCs w:val="21"/>
          <w:highlight w:val="none"/>
        </w:rPr>
        <w:t>5.1</w:t>
      </w:r>
      <w:r>
        <w:rPr>
          <w:rFonts w:hint="eastAsia" w:ascii="宋体" w:hAnsi="宋体" w:cs="宋体"/>
          <w:bCs/>
          <w:szCs w:val="21"/>
          <w:highlight w:val="none"/>
          <w:lang w:val="en-US" w:eastAsia="zh-CN"/>
        </w:rPr>
        <w:t>合同签订后，在确认完成当月工作并通过考核后，按月支付给乙方。以上付款方式结合每月考核结果（具体考核办法详见本章七、考核标准）予以支付（月服务经费=1年合同总价/12）。</w:t>
      </w:r>
    </w:p>
    <w:p>
      <w:pPr>
        <w:spacing w:line="360" w:lineRule="auto"/>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5.2如甲方出具书面整改意见要求进行整改，在出具整改意见后七天内乙方未按规定整改的，将延迟拨付月服务经费的30%。</w:t>
      </w:r>
    </w:p>
    <w:p>
      <w:pPr>
        <w:numPr>
          <w:ilvl w:val="0"/>
          <w:numId w:val="39"/>
        </w:numPr>
        <w:spacing w:line="360" w:lineRule="auto"/>
        <w:rPr>
          <w:rFonts w:hint="eastAsia"/>
          <w:b/>
          <w:bCs/>
          <w:highlight w:val="none"/>
        </w:rPr>
      </w:pPr>
      <w:r>
        <w:rPr>
          <w:rFonts w:hint="eastAsia"/>
          <w:b/>
          <w:bCs/>
          <w:highlight w:val="none"/>
        </w:rPr>
        <w:t>考核标准</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为积极贯彻县委、县政府提出的城市精细化管理要求，提升城市环境卫生管理水平，促进全国文明城市创建，健全</w:t>
      </w:r>
      <w:r>
        <w:rPr>
          <w:rFonts w:hint="eastAsia" w:ascii="宋体" w:hAnsi="宋体" w:eastAsia="宋体" w:cs="宋体"/>
          <w:bCs/>
          <w:color w:val="auto"/>
          <w:szCs w:val="21"/>
          <w:highlight w:val="none"/>
          <w:lang w:val="en-US" w:eastAsia="zh-CN"/>
        </w:rPr>
        <w:t>桃源街道城乡环卫</w:t>
      </w:r>
      <w:r>
        <w:rPr>
          <w:rFonts w:hint="eastAsia" w:ascii="宋体" w:hAnsi="宋体" w:eastAsia="宋体" w:cs="宋体"/>
          <w:bCs/>
          <w:color w:val="auto"/>
          <w:szCs w:val="21"/>
          <w:highlight w:val="none"/>
        </w:rPr>
        <w:t>清扫保洁管理的监督考核机制，有效地促进长效管理措施落实，进一步提高</w:t>
      </w:r>
      <w:r>
        <w:rPr>
          <w:rFonts w:hint="eastAsia" w:ascii="宋体" w:hAnsi="宋体" w:eastAsia="宋体" w:cs="宋体"/>
          <w:bCs/>
          <w:color w:val="auto"/>
          <w:szCs w:val="21"/>
          <w:highlight w:val="none"/>
          <w:lang w:val="en-US" w:eastAsia="zh-CN"/>
        </w:rPr>
        <w:t>桃源街道</w:t>
      </w:r>
      <w:r>
        <w:rPr>
          <w:rFonts w:hint="eastAsia" w:ascii="宋体" w:hAnsi="宋体" w:eastAsia="宋体" w:cs="宋体"/>
          <w:bCs/>
          <w:color w:val="auto"/>
          <w:szCs w:val="21"/>
          <w:highlight w:val="none"/>
          <w:lang w:eastAsia="zh-CN"/>
        </w:rPr>
        <w:t>城乡</w:t>
      </w:r>
      <w:r>
        <w:rPr>
          <w:rFonts w:hint="eastAsia" w:ascii="宋体" w:hAnsi="宋体" w:eastAsia="宋体" w:cs="宋体"/>
          <w:bCs/>
          <w:color w:val="auto"/>
          <w:szCs w:val="21"/>
          <w:highlight w:val="none"/>
        </w:rPr>
        <w:t>环卫清扫保洁管理质量，改善</w:t>
      </w:r>
      <w:r>
        <w:rPr>
          <w:rFonts w:hint="eastAsia" w:ascii="宋体" w:hAnsi="宋体" w:cs="宋体"/>
          <w:bCs/>
          <w:color w:val="auto"/>
          <w:szCs w:val="21"/>
          <w:highlight w:val="none"/>
          <w:lang w:val="en-US" w:eastAsia="zh-CN"/>
        </w:rPr>
        <w:t>道路</w:t>
      </w:r>
      <w:r>
        <w:rPr>
          <w:rFonts w:hint="eastAsia" w:ascii="宋体" w:hAnsi="宋体" w:eastAsia="宋体" w:cs="宋体"/>
          <w:bCs/>
          <w:color w:val="auto"/>
          <w:szCs w:val="21"/>
          <w:highlight w:val="none"/>
        </w:rPr>
        <w:t>环境卫生，创造良好的生产、生活和工作环境，特制定本考核办法。</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6.1</w:t>
      </w:r>
      <w:r>
        <w:rPr>
          <w:rFonts w:hint="eastAsia" w:ascii="宋体" w:hAnsi="宋体" w:eastAsia="宋体" w:cs="宋体"/>
          <w:bCs/>
          <w:color w:val="auto"/>
          <w:szCs w:val="21"/>
          <w:highlight w:val="none"/>
        </w:rPr>
        <w:t>考核对象</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本办法针对本轮招标保洁项目中标单位列入考核范围，主要对作业标准、文明规范作业情况进行考核。</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6.</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rPr>
        <w:t>考核办法</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6.2.</w:t>
      </w:r>
      <w:r>
        <w:rPr>
          <w:rFonts w:hint="eastAsia" w:ascii="宋体" w:hAnsi="宋体" w:eastAsia="宋体" w:cs="宋体"/>
          <w:bCs/>
          <w:color w:val="auto"/>
          <w:szCs w:val="21"/>
          <w:highlight w:val="none"/>
        </w:rPr>
        <w:t>1月评：满分为100分，分值由</w:t>
      </w:r>
      <w:r>
        <w:rPr>
          <w:rFonts w:hint="eastAsia" w:ascii="宋体" w:hAnsi="宋体" w:eastAsia="宋体" w:cs="宋体"/>
          <w:bCs/>
          <w:color w:val="auto"/>
          <w:szCs w:val="21"/>
          <w:highlight w:val="none"/>
          <w:lang w:val="en-US" w:eastAsia="zh-CN"/>
        </w:rPr>
        <w:t>街道</w:t>
      </w:r>
      <w:r>
        <w:rPr>
          <w:rFonts w:hint="eastAsia" w:ascii="宋体" w:hAnsi="宋体" w:eastAsia="宋体" w:cs="宋体"/>
          <w:bCs/>
          <w:color w:val="auto"/>
          <w:szCs w:val="21"/>
          <w:highlight w:val="none"/>
        </w:rPr>
        <w:t>考核结果</w:t>
      </w:r>
      <w:r>
        <w:rPr>
          <w:rFonts w:hint="eastAsia" w:ascii="宋体" w:hAnsi="宋体" w:cs="宋体"/>
          <w:bCs/>
          <w:color w:val="auto"/>
          <w:szCs w:val="21"/>
          <w:highlight w:val="none"/>
          <w:lang w:val="en-US" w:eastAsia="zh-CN"/>
        </w:rPr>
        <w:t>确定</w:t>
      </w:r>
      <w:r>
        <w:rPr>
          <w:rFonts w:hint="eastAsia" w:ascii="宋体" w:hAnsi="宋体" w:eastAsia="宋体" w:cs="宋体"/>
          <w:bCs/>
          <w:color w:val="auto"/>
          <w:szCs w:val="21"/>
          <w:highlight w:val="none"/>
        </w:rPr>
        <w:t>。月评分数和经费拨付相挂钩，具体如下：</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（1）考核分数在100分-95分（含）以上的为合格，全额核拨当月服务经费；</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（2）考核分在95-90分（含）之间，以95分为基准，每下降1分，扣当月经费的1%；不足1分的，采用内插法计算。</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（3）考核分在90分以下的，先扣除当月经费的5%；在此基础上，以90分为基准，每下降1分，扣当月经费的2%；以此类推。不足1分的，采用内插法计算。 </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（4）如连续两个月或年度累计三个月考核分数在90分以下的，</w:t>
      </w:r>
      <w:r>
        <w:rPr>
          <w:rFonts w:hint="eastAsia" w:ascii="宋体" w:hAnsi="宋体" w:cs="宋体"/>
          <w:bCs/>
          <w:color w:val="auto"/>
          <w:szCs w:val="21"/>
          <w:highlight w:val="none"/>
          <w:lang w:val="en-US" w:eastAsia="zh-CN"/>
        </w:rPr>
        <w:t>甲方</w:t>
      </w:r>
      <w:r>
        <w:rPr>
          <w:rFonts w:hint="eastAsia" w:ascii="宋体" w:hAnsi="宋体" w:eastAsia="宋体" w:cs="宋体"/>
          <w:bCs/>
          <w:color w:val="auto"/>
          <w:szCs w:val="21"/>
          <w:highlight w:val="none"/>
        </w:rPr>
        <w:t>有权单方解除合同。</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6.2.</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rPr>
        <w:t>明查暗查相结合，根据考核分来核拨当月保洁经费。</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6.2.</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如</w:t>
      </w:r>
      <w:r>
        <w:rPr>
          <w:rFonts w:hint="eastAsia" w:ascii="宋体" w:hAnsi="宋体" w:cs="宋体"/>
          <w:bCs/>
          <w:color w:val="auto"/>
          <w:szCs w:val="21"/>
          <w:highlight w:val="none"/>
          <w:lang w:val="en-US" w:eastAsia="zh-CN"/>
        </w:rPr>
        <w:t>甲方</w:t>
      </w:r>
      <w:r>
        <w:rPr>
          <w:rFonts w:hint="eastAsia" w:ascii="宋体" w:hAnsi="宋体" w:eastAsia="宋体" w:cs="宋体"/>
          <w:bCs/>
          <w:color w:val="auto"/>
          <w:szCs w:val="21"/>
          <w:highlight w:val="none"/>
        </w:rPr>
        <w:t>出具书面整改意见要求进行整改，在出具整改意见后限期内</w:t>
      </w:r>
      <w:r>
        <w:rPr>
          <w:rFonts w:hint="eastAsia" w:ascii="宋体" w:hAnsi="宋体" w:cs="宋体"/>
          <w:bCs/>
          <w:color w:val="auto"/>
          <w:szCs w:val="21"/>
          <w:highlight w:val="none"/>
          <w:lang w:val="en-US" w:eastAsia="zh-CN"/>
        </w:rPr>
        <w:t>乙方</w:t>
      </w:r>
      <w:r>
        <w:rPr>
          <w:rFonts w:hint="eastAsia" w:ascii="宋体" w:hAnsi="宋体" w:eastAsia="宋体" w:cs="宋体"/>
          <w:bCs/>
          <w:color w:val="auto"/>
          <w:szCs w:val="21"/>
          <w:highlight w:val="none"/>
        </w:rPr>
        <w:t>未按规定整改的，</w:t>
      </w:r>
      <w:r>
        <w:rPr>
          <w:rFonts w:hint="eastAsia" w:ascii="宋体" w:hAnsi="宋体" w:cs="宋体"/>
          <w:bCs/>
          <w:color w:val="auto"/>
          <w:szCs w:val="21"/>
          <w:highlight w:val="none"/>
          <w:lang w:val="en-US" w:eastAsia="zh-CN"/>
        </w:rPr>
        <w:t>甲方</w:t>
      </w:r>
      <w:r>
        <w:rPr>
          <w:rFonts w:hint="eastAsia" w:ascii="宋体" w:hAnsi="宋体" w:eastAsia="宋体" w:cs="宋体"/>
          <w:bCs/>
          <w:color w:val="auto"/>
          <w:szCs w:val="21"/>
          <w:highlight w:val="none"/>
        </w:rPr>
        <w:t>有权对其重点考核加倍扣罚。整改内容（未落实合同规定及环卫行业相关文件精神；未及时完成上级下达的工作任务；重大活动保障不力；</w:t>
      </w:r>
      <w:r>
        <w:rPr>
          <w:rFonts w:hint="eastAsia" w:ascii="宋体" w:hAnsi="宋体" w:eastAsia="宋体" w:cs="宋体"/>
          <w:bCs/>
          <w:color w:val="auto"/>
          <w:szCs w:val="21"/>
          <w:highlight w:val="none"/>
          <w:lang w:eastAsia="zh-CN"/>
        </w:rPr>
        <w:t>造成负面影响的；</w:t>
      </w:r>
      <w:r>
        <w:rPr>
          <w:rFonts w:hint="eastAsia" w:ascii="宋体" w:hAnsi="宋体" w:eastAsia="宋体" w:cs="宋体"/>
          <w:bCs/>
          <w:color w:val="auto"/>
          <w:szCs w:val="21"/>
          <w:highlight w:val="none"/>
        </w:rPr>
        <w:t>被上级各类考核通报批评或有关媒体曝光</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有责投诉等</w:t>
      </w:r>
      <w:r>
        <w:rPr>
          <w:rFonts w:hint="eastAsia" w:ascii="宋体" w:hAnsi="宋体" w:eastAsia="宋体" w:cs="宋体"/>
          <w:bCs/>
          <w:color w:val="auto"/>
          <w:szCs w:val="21"/>
          <w:highlight w:val="none"/>
          <w:lang w:eastAsia="zh-CN"/>
        </w:rPr>
        <w:t>。视具体情况</w:t>
      </w:r>
      <w:r>
        <w:rPr>
          <w:rFonts w:hint="eastAsia" w:ascii="宋体" w:hAnsi="宋体" w:eastAsia="宋体" w:cs="宋体"/>
          <w:bCs/>
          <w:color w:val="auto"/>
          <w:szCs w:val="21"/>
          <w:highlight w:val="none"/>
        </w:rPr>
        <w:t>整改扣款</w:t>
      </w:r>
      <w:r>
        <w:rPr>
          <w:rFonts w:hint="eastAsia" w:ascii="宋体" w:hAnsi="宋体" w:eastAsia="宋体" w:cs="宋体"/>
          <w:bCs/>
          <w:color w:val="auto"/>
          <w:szCs w:val="21"/>
          <w:highlight w:val="none"/>
          <w:lang w:val="en-US" w:eastAsia="zh-CN"/>
        </w:rPr>
        <w:t>10</w:t>
      </w:r>
      <w:r>
        <w:rPr>
          <w:rFonts w:hint="eastAsia" w:ascii="宋体" w:hAnsi="宋体" w:eastAsia="宋体" w:cs="宋体"/>
          <w:bCs/>
          <w:color w:val="auto"/>
          <w:szCs w:val="21"/>
          <w:highlight w:val="none"/>
        </w:rPr>
        <w:t>00-500</w:t>
      </w:r>
      <w:r>
        <w:rPr>
          <w:rFonts w:hint="eastAsia" w:ascii="宋体" w:hAnsi="宋体" w:eastAsia="宋体" w:cs="宋体"/>
          <w:bCs/>
          <w:color w:val="auto"/>
          <w:szCs w:val="21"/>
          <w:highlight w:val="none"/>
          <w:lang w:val="en-US" w:eastAsia="zh-CN"/>
        </w:rPr>
        <w:t>00</w:t>
      </w:r>
      <w:r>
        <w:rPr>
          <w:rFonts w:hint="eastAsia" w:ascii="宋体" w:hAnsi="宋体" w:eastAsia="宋体" w:cs="宋体"/>
          <w:bCs/>
          <w:color w:val="auto"/>
          <w:szCs w:val="21"/>
          <w:highlight w:val="none"/>
        </w:rPr>
        <w:t>元）。</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6.2.</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lang w:val="en-US" w:eastAsia="zh-CN"/>
        </w:rPr>
        <w:t>街道</w:t>
      </w:r>
      <w:r>
        <w:rPr>
          <w:rFonts w:hint="eastAsia" w:ascii="宋体" w:hAnsi="宋体" w:eastAsia="宋体" w:cs="宋体"/>
          <w:bCs/>
          <w:color w:val="auto"/>
          <w:szCs w:val="21"/>
          <w:highlight w:val="none"/>
        </w:rPr>
        <w:t>每月不定时组织</w:t>
      </w:r>
      <w:r>
        <w:rPr>
          <w:rFonts w:hint="eastAsia" w:ascii="宋体" w:hAnsi="宋体" w:eastAsia="宋体" w:cs="宋体"/>
          <w:bCs/>
          <w:color w:val="auto"/>
          <w:szCs w:val="21"/>
          <w:highlight w:val="none"/>
          <w:lang w:eastAsia="zh-CN"/>
        </w:rPr>
        <w:t>城乡</w:t>
      </w:r>
      <w:r>
        <w:rPr>
          <w:rFonts w:hint="eastAsia" w:ascii="宋体" w:hAnsi="宋体" w:eastAsia="宋体" w:cs="宋体"/>
          <w:bCs/>
          <w:color w:val="auto"/>
          <w:szCs w:val="21"/>
          <w:highlight w:val="none"/>
        </w:rPr>
        <w:t>环卫保洁考核。对</w:t>
      </w:r>
      <w:r>
        <w:rPr>
          <w:rFonts w:hint="eastAsia" w:ascii="宋体" w:hAnsi="宋体" w:eastAsia="宋体" w:cs="宋体"/>
          <w:bCs/>
          <w:color w:val="auto"/>
          <w:szCs w:val="21"/>
          <w:highlight w:val="none"/>
          <w:lang w:eastAsia="zh-CN"/>
        </w:rPr>
        <w:t>城乡</w:t>
      </w:r>
      <w:r>
        <w:rPr>
          <w:rFonts w:hint="eastAsia" w:ascii="宋体" w:hAnsi="宋体" w:eastAsia="宋体" w:cs="宋体"/>
          <w:bCs/>
          <w:color w:val="auto"/>
          <w:szCs w:val="21"/>
          <w:highlight w:val="none"/>
        </w:rPr>
        <w:t>环卫保洁内容的作业质量进行考核。对发现问题对照《</w:t>
      </w:r>
      <w:r>
        <w:rPr>
          <w:rFonts w:hint="eastAsia" w:ascii="宋体" w:hAnsi="宋体" w:eastAsia="宋体" w:cs="宋体"/>
          <w:bCs/>
          <w:color w:val="auto"/>
          <w:szCs w:val="21"/>
          <w:highlight w:val="none"/>
          <w:lang w:val="en-US" w:eastAsia="zh-CN"/>
        </w:rPr>
        <w:t>桃源街道</w:t>
      </w:r>
      <w:r>
        <w:rPr>
          <w:rFonts w:hint="eastAsia" w:ascii="宋体" w:hAnsi="宋体" w:eastAsia="宋体" w:cs="宋体"/>
          <w:bCs/>
          <w:color w:val="auto"/>
          <w:szCs w:val="21"/>
          <w:highlight w:val="none"/>
          <w:lang w:eastAsia="zh-CN"/>
        </w:rPr>
        <w:t>城乡</w:t>
      </w:r>
      <w:r>
        <w:rPr>
          <w:rFonts w:hint="eastAsia" w:ascii="宋体" w:hAnsi="宋体" w:eastAsia="宋体" w:cs="宋体"/>
          <w:bCs/>
          <w:color w:val="auto"/>
          <w:szCs w:val="21"/>
          <w:highlight w:val="none"/>
        </w:rPr>
        <w:t>环卫保洁考核标准》相应分值，每扣1分按</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000元计取（不足1分的，采用内插法计算），进行直接扣款处理，考核结果分值计入当月考核分数。</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6.2.</w:t>
      </w:r>
      <w:r>
        <w:rPr>
          <w:rFonts w:hint="eastAsia" w:ascii="宋体" w:hAnsi="宋体" w:cs="宋体"/>
          <w:bCs/>
          <w:color w:val="auto"/>
          <w:szCs w:val="21"/>
          <w:highlight w:val="none"/>
          <w:lang w:val="en-US" w:eastAsia="zh-CN"/>
        </w:rPr>
        <w:t>5</w:t>
      </w:r>
      <w:r>
        <w:rPr>
          <w:rFonts w:hint="eastAsia" w:ascii="宋体" w:hAnsi="宋体" w:eastAsia="宋体" w:cs="宋体"/>
          <w:bCs/>
          <w:color w:val="auto"/>
          <w:szCs w:val="21"/>
          <w:highlight w:val="none"/>
        </w:rPr>
        <w:t>文明城市创建、疫情防控等保洁作业考核标准依据行业标准、上级部门的考核要求提高而提高；另因法律法规更新，考核内容会有所变化，承包单位需无条件服从执行。</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6.2.</w:t>
      </w:r>
      <w:r>
        <w:rPr>
          <w:rFonts w:hint="eastAsia" w:ascii="宋体" w:hAnsi="宋体" w:cs="宋体"/>
          <w:bCs/>
          <w:color w:val="auto"/>
          <w:szCs w:val="21"/>
          <w:highlight w:val="none"/>
          <w:lang w:val="en-US" w:eastAsia="zh-CN"/>
        </w:rPr>
        <w:t>6</w:t>
      </w:r>
      <w:r>
        <w:rPr>
          <w:rFonts w:hint="eastAsia" w:ascii="宋体" w:hAnsi="宋体" w:eastAsia="宋体" w:cs="宋体"/>
          <w:bCs/>
          <w:color w:val="auto"/>
          <w:szCs w:val="21"/>
          <w:highlight w:val="none"/>
        </w:rPr>
        <w:t>新增道路遵照本考核办法执行。（新增道路以质量考核为准）</w:t>
      </w:r>
    </w:p>
    <w:p>
      <w:pPr>
        <w:widowControl w:val="0"/>
        <w:numPr>
          <w:ilvl w:val="0"/>
          <w:numId w:val="0"/>
        </w:numPr>
        <w:ind w:firstLine="420" w:firstLineChars="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6.2.7本考核办法最终解释权归宁海县人民政府桃源街道办事处。</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6.3</w:t>
      </w:r>
      <w:r>
        <w:rPr>
          <w:rFonts w:hint="eastAsia" w:ascii="宋体" w:hAnsi="宋体" w:eastAsia="宋体" w:cs="宋体"/>
          <w:bCs/>
          <w:color w:val="auto"/>
          <w:szCs w:val="21"/>
          <w:highlight w:val="none"/>
        </w:rPr>
        <w:t>具体考核标准</w:t>
      </w:r>
    </w:p>
    <w:p>
      <w:pPr>
        <w:spacing w:line="360" w:lineRule="auto"/>
        <w:ind w:firstLine="422" w:firstLineChars="200"/>
        <w:jc w:val="center"/>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w:t>
      </w:r>
      <w:r>
        <w:rPr>
          <w:rFonts w:hint="eastAsia" w:ascii="宋体" w:hAnsi="宋体" w:eastAsia="宋体" w:cs="宋体"/>
          <w:b/>
          <w:bCs w:val="0"/>
          <w:color w:val="auto"/>
          <w:szCs w:val="21"/>
          <w:highlight w:val="none"/>
          <w:lang w:val="en-US" w:eastAsia="zh-CN"/>
        </w:rPr>
        <w:t>桃源街道</w:t>
      </w:r>
      <w:r>
        <w:rPr>
          <w:rFonts w:hint="eastAsia" w:ascii="宋体" w:hAnsi="宋体" w:eastAsia="宋体" w:cs="宋体"/>
          <w:b/>
          <w:bCs w:val="0"/>
          <w:color w:val="auto"/>
          <w:szCs w:val="21"/>
          <w:highlight w:val="none"/>
          <w:lang w:eastAsia="zh-CN"/>
        </w:rPr>
        <w:t>城乡</w:t>
      </w:r>
      <w:r>
        <w:rPr>
          <w:rFonts w:hint="eastAsia" w:ascii="宋体" w:hAnsi="宋体" w:eastAsia="宋体" w:cs="宋体"/>
          <w:b/>
          <w:bCs w:val="0"/>
          <w:color w:val="auto"/>
          <w:szCs w:val="21"/>
          <w:highlight w:val="none"/>
        </w:rPr>
        <w:t>环卫保洁考核标准》</w:t>
      </w:r>
    </w:p>
    <w:tbl>
      <w:tblPr>
        <w:tblStyle w:val="46"/>
        <w:tblW w:w="8946" w:type="dxa"/>
        <w:jc w:val="center"/>
        <w:tblLayout w:type="fixed"/>
        <w:tblCellMar>
          <w:top w:w="0" w:type="dxa"/>
          <w:left w:w="0" w:type="dxa"/>
          <w:bottom w:w="0" w:type="dxa"/>
          <w:right w:w="0" w:type="dxa"/>
        </w:tblCellMar>
      </w:tblPr>
      <w:tblGrid>
        <w:gridCol w:w="1421"/>
        <w:gridCol w:w="3328"/>
        <w:gridCol w:w="4197"/>
      </w:tblGrid>
      <w:tr>
        <w:tblPrEx>
          <w:tblCellMar>
            <w:top w:w="0" w:type="dxa"/>
            <w:left w:w="0" w:type="dxa"/>
            <w:bottom w:w="0" w:type="dxa"/>
            <w:right w:w="0" w:type="dxa"/>
          </w:tblCellMar>
        </w:tblPrEx>
        <w:trPr>
          <w:trHeight w:val="376" w:hRule="atLeast"/>
          <w:jc w:val="center"/>
        </w:trPr>
        <w:tc>
          <w:tcPr>
            <w:tcW w:w="142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仿宋_GB2312"/>
                <w:color w:val="auto"/>
                <w:kern w:val="0"/>
                <w:szCs w:val="21"/>
                <w:highlight w:val="none"/>
                <w:lang w:bidi="ar"/>
              </w:rPr>
            </w:pPr>
            <w:r>
              <w:rPr>
                <w:rFonts w:hint="eastAsia" w:ascii="宋体" w:hAnsi="宋体" w:eastAsia="宋体" w:cs="仿宋_GB2312"/>
                <w:color w:val="auto"/>
                <w:kern w:val="0"/>
                <w:szCs w:val="21"/>
                <w:highlight w:val="none"/>
                <w:lang w:bidi="ar"/>
              </w:rPr>
              <w:t>项目名称</w:t>
            </w:r>
          </w:p>
        </w:tc>
        <w:tc>
          <w:tcPr>
            <w:tcW w:w="332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仿宋_GB2312"/>
                <w:color w:val="auto"/>
                <w:szCs w:val="21"/>
                <w:highlight w:val="none"/>
              </w:rPr>
            </w:pPr>
            <w:r>
              <w:rPr>
                <w:rFonts w:hint="eastAsia" w:ascii="宋体" w:hAnsi="宋体" w:eastAsia="宋体" w:cs="仿宋_GB2312"/>
                <w:color w:val="auto"/>
                <w:kern w:val="0"/>
                <w:szCs w:val="21"/>
                <w:highlight w:val="none"/>
                <w:lang w:bidi="ar"/>
              </w:rPr>
              <w:t>标准要求</w:t>
            </w:r>
          </w:p>
        </w:tc>
        <w:tc>
          <w:tcPr>
            <w:tcW w:w="41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评分标准</w:t>
            </w:r>
          </w:p>
        </w:tc>
      </w:tr>
      <w:tr>
        <w:tblPrEx>
          <w:tblCellMar>
            <w:top w:w="0" w:type="dxa"/>
            <w:left w:w="0" w:type="dxa"/>
            <w:bottom w:w="0" w:type="dxa"/>
            <w:right w:w="0" w:type="dxa"/>
          </w:tblCellMar>
        </w:tblPrEx>
        <w:trPr>
          <w:trHeight w:val="453" w:hRule="atLeast"/>
          <w:jc w:val="center"/>
        </w:trPr>
        <w:tc>
          <w:tcPr>
            <w:tcW w:w="142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eastAsia="宋体" w:cs="仿宋_GB2312"/>
                <w:color w:val="auto"/>
                <w:kern w:val="0"/>
                <w:szCs w:val="21"/>
                <w:highlight w:val="none"/>
                <w:lang w:bidi="ar"/>
              </w:rPr>
            </w:pPr>
            <w:r>
              <w:rPr>
                <w:rFonts w:hint="eastAsia" w:ascii="宋体" w:hAnsi="宋体" w:eastAsia="宋体" w:cs="仿宋_GB2312"/>
                <w:color w:val="auto"/>
                <w:kern w:val="0"/>
                <w:szCs w:val="21"/>
                <w:highlight w:val="none"/>
                <w:lang w:bidi="ar"/>
              </w:rPr>
              <w:t>保洁作业标准</w:t>
            </w:r>
          </w:p>
        </w:tc>
        <w:tc>
          <w:tcPr>
            <w:tcW w:w="332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eastAsia="宋体" w:cs="仿宋_GB2312"/>
                <w:color w:val="auto"/>
                <w:szCs w:val="21"/>
                <w:highlight w:val="none"/>
              </w:rPr>
            </w:pPr>
            <w:r>
              <w:rPr>
                <w:rFonts w:hint="eastAsia" w:ascii="宋体" w:hAnsi="宋体" w:eastAsia="宋体" w:cs="仿宋_GB2312"/>
                <w:color w:val="auto"/>
                <w:kern w:val="0"/>
                <w:szCs w:val="21"/>
                <w:highlight w:val="none"/>
                <w:lang w:bidi="ar"/>
              </w:rPr>
              <w:t>普扫结束后做好巡回保洁工作</w:t>
            </w:r>
          </w:p>
        </w:tc>
        <w:tc>
          <w:tcPr>
            <w:tcW w:w="4197"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spacing w:line="360" w:lineRule="auto"/>
              <w:jc w:val="left"/>
              <w:rPr>
                <w:rFonts w:hint="eastAsia" w:ascii="宋体" w:hAnsi="宋体" w:eastAsia="宋体" w:cs="仿宋_GB2312"/>
                <w:color w:val="auto"/>
                <w:szCs w:val="21"/>
                <w:highlight w:val="none"/>
                <w:lang w:eastAsia="zh-CN"/>
              </w:rPr>
            </w:pPr>
            <w:r>
              <w:rPr>
                <w:rFonts w:hint="eastAsia" w:ascii="宋体" w:hAnsi="宋体" w:eastAsia="宋体" w:cs="仿宋_GB2312"/>
                <w:color w:val="auto"/>
                <w:szCs w:val="21"/>
                <w:highlight w:val="none"/>
              </w:rPr>
              <w:t>未在</w:t>
            </w:r>
            <w:r>
              <w:rPr>
                <w:rFonts w:hint="eastAsia" w:ascii="宋体" w:hAnsi="宋体" w:eastAsia="宋体" w:cs="仿宋_GB2312"/>
                <w:color w:val="auto"/>
                <w:szCs w:val="21"/>
                <w:highlight w:val="none"/>
                <w:lang w:eastAsia="zh-CN"/>
              </w:rPr>
              <w:t>早晨</w:t>
            </w:r>
            <w:r>
              <w:rPr>
                <w:rFonts w:hint="eastAsia" w:ascii="宋体" w:hAnsi="宋体" w:eastAsia="宋体" w:cs="仿宋_GB2312"/>
                <w:color w:val="auto"/>
                <w:szCs w:val="21"/>
                <w:highlight w:val="none"/>
                <w:lang w:val="en-US" w:eastAsia="zh-CN"/>
              </w:rPr>
              <w:t>7:00前</w:t>
            </w:r>
            <w:r>
              <w:rPr>
                <w:rFonts w:hint="eastAsia" w:ascii="宋体" w:hAnsi="宋体" w:eastAsia="宋体" w:cs="仿宋_GB2312"/>
                <w:color w:val="auto"/>
                <w:szCs w:val="21"/>
                <w:highlight w:val="none"/>
              </w:rPr>
              <w:t>完成</w:t>
            </w:r>
            <w:r>
              <w:rPr>
                <w:rFonts w:hint="eastAsia" w:ascii="宋体" w:hAnsi="宋体" w:eastAsia="宋体" w:cs="仿宋_GB2312"/>
                <w:color w:val="auto"/>
                <w:szCs w:val="21"/>
                <w:highlight w:val="none"/>
                <w:lang w:eastAsia="zh-CN"/>
              </w:rPr>
              <w:t>全面细</w:t>
            </w:r>
            <w:r>
              <w:rPr>
                <w:rFonts w:hint="eastAsia" w:ascii="宋体" w:hAnsi="宋体" w:eastAsia="宋体" w:cs="仿宋_GB2312"/>
                <w:color w:val="auto"/>
                <w:szCs w:val="21"/>
                <w:highlight w:val="none"/>
              </w:rPr>
              <w:t>扫每次扣0.2分，结束后未做好巡回保洁工作</w:t>
            </w:r>
            <w:r>
              <w:rPr>
                <w:rFonts w:hint="eastAsia" w:ascii="宋体" w:hAnsi="宋体" w:eastAsia="宋体" w:cs="仿宋_GB2312"/>
                <w:color w:val="auto"/>
                <w:szCs w:val="21"/>
                <w:highlight w:val="none"/>
                <w:lang w:eastAsia="zh-CN"/>
              </w:rPr>
              <w:t>，</w:t>
            </w:r>
            <w:r>
              <w:rPr>
                <w:rFonts w:hint="eastAsia" w:ascii="宋体" w:hAnsi="宋体" w:eastAsia="宋体" w:cs="仿宋_GB2312"/>
                <w:color w:val="auto"/>
                <w:szCs w:val="21"/>
                <w:highlight w:val="none"/>
              </w:rPr>
              <w:t>每次扣0.1分</w:t>
            </w:r>
            <w:r>
              <w:rPr>
                <w:rFonts w:hint="eastAsia" w:ascii="宋体" w:hAnsi="宋体" w:eastAsia="宋体" w:cs="仿宋_GB2312"/>
                <w:color w:val="auto"/>
                <w:szCs w:val="21"/>
                <w:highlight w:val="none"/>
                <w:lang w:eastAsia="zh-CN"/>
              </w:rPr>
              <w:t>。</w:t>
            </w:r>
          </w:p>
        </w:tc>
      </w:tr>
      <w:tr>
        <w:tblPrEx>
          <w:tblCellMar>
            <w:top w:w="0" w:type="dxa"/>
            <w:left w:w="0" w:type="dxa"/>
            <w:bottom w:w="0" w:type="dxa"/>
            <w:right w:w="0" w:type="dxa"/>
          </w:tblCellMar>
        </w:tblPrEx>
        <w:trPr>
          <w:trHeight w:val="965" w:hRule="atLeast"/>
          <w:jc w:val="center"/>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仿宋_GB2312"/>
                <w:color w:val="auto"/>
                <w:kern w:val="0"/>
                <w:szCs w:val="21"/>
                <w:highlight w:val="none"/>
                <w:lang w:bidi="ar"/>
              </w:rPr>
            </w:pPr>
          </w:p>
        </w:tc>
        <w:tc>
          <w:tcPr>
            <w:tcW w:w="332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仿宋_GB2312"/>
                <w:color w:val="auto"/>
                <w:kern w:val="0"/>
                <w:szCs w:val="21"/>
                <w:highlight w:val="none"/>
                <w:lang w:bidi="ar"/>
              </w:rPr>
            </w:pPr>
            <w:r>
              <w:rPr>
                <w:rFonts w:hint="eastAsia" w:ascii="宋体" w:hAnsi="宋体" w:eastAsia="宋体" w:cs="仿宋_GB2312"/>
                <w:color w:val="auto"/>
                <w:szCs w:val="21"/>
                <w:highlight w:val="none"/>
              </w:rPr>
              <w:t>按道路保洁总体要求做到“五无五净”，即道路无垃圾、无杂物、无积泥、无积水、无污迹；路面干净，绿地和树池干净，边角侧石干净，雨水井沟畅通干净，环卫设施及绿化隔离</w:t>
            </w:r>
            <w:r>
              <w:rPr>
                <w:rFonts w:hint="eastAsia" w:ascii="宋体" w:hAnsi="宋体" w:eastAsia="宋体" w:cs="仿宋_GB2312"/>
                <w:color w:val="auto"/>
                <w:szCs w:val="21"/>
                <w:highlight w:val="none"/>
                <w:lang w:eastAsia="zh-CN"/>
              </w:rPr>
              <w:t>带</w:t>
            </w:r>
            <w:r>
              <w:rPr>
                <w:rFonts w:hint="eastAsia" w:ascii="宋体" w:hAnsi="宋体" w:eastAsia="宋体" w:cs="仿宋_GB2312"/>
                <w:color w:val="auto"/>
                <w:szCs w:val="21"/>
                <w:highlight w:val="none"/>
              </w:rPr>
              <w:t>干净。（无青苔、杂草；包括道路两侧明沟或水渠、墙夹缝。）</w:t>
            </w:r>
          </w:p>
        </w:tc>
        <w:tc>
          <w:tcPr>
            <w:tcW w:w="4197"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仿宋_GB2312"/>
                <w:color w:val="auto"/>
                <w:szCs w:val="21"/>
                <w:highlight w:val="none"/>
              </w:rPr>
            </w:pPr>
            <w:r>
              <w:rPr>
                <w:rFonts w:hint="eastAsia" w:ascii="宋体" w:hAnsi="宋体" w:eastAsia="宋体" w:cs="仿宋_GB2312"/>
                <w:color w:val="auto"/>
                <w:szCs w:val="21"/>
                <w:highlight w:val="none"/>
                <w:lang w:val="en-US" w:eastAsia="zh-CN"/>
              </w:rPr>
              <w:t>1.</w:t>
            </w:r>
            <w:r>
              <w:rPr>
                <w:rFonts w:hint="eastAsia" w:ascii="宋体" w:hAnsi="宋体" w:eastAsia="宋体" w:cs="仿宋_GB2312"/>
                <w:color w:val="auto"/>
                <w:szCs w:val="21"/>
                <w:highlight w:val="none"/>
              </w:rPr>
              <w:t>未按要求做到“五无五净”；以检查路段为一个考核单位；（自动向外延伸2米）每处扣0.1分</w:t>
            </w:r>
            <w:r>
              <w:rPr>
                <w:rFonts w:hint="eastAsia" w:ascii="宋体" w:hAnsi="宋体" w:eastAsia="宋体" w:cs="仿宋_GB2312"/>
                <w:color w:val="auto"/>
                <w:szCs w:val="21"/>
                <w:highlight w:val="none"/>
                <w:lang w:eastAsia="zh-CN"/>
              </w:rPr>
              <w:t>。</w:t>
            </w:r>
          </w:p>
        </w:tc>
      </w:tr>
      <w:tr>
        <w:tblPrEx>
          <w:tblCellMar>
            <w:top w:w="0" w:type="dxa"/>
            <w:left w:w="0" w:type="dxa"/>
            <w:bottom w:w="0" w:type="dxa"/>
            <w:right w:w="0" w:type="dxa"/>
          </w:tblCellMar>
        </w:tblPrEx>
        <w:trPr>
          <w:trHeight w:val="965" w:hRule="atLeast"/>
          <w:jc w:val="center"/>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pPr>
              <w:jc w:val="left"/>
              <w:rPr>
                <w:highlight w:val="none"/>
              </w:rPr>
            </w:pPr>
          </w:p>
        </w:tc>
        <w:tc>
          <w:tcPr>
            <w:tcW w:w="332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default" w:ascii="宋体" w:hAnsi="宋体" w:eastAsia="宋体" w:cs="仿宋_GB2312"/>
                <w:color w:val="auto"/>
                <w:szCs w:val="21"/>
                <w:highlight w:val="none"/>
                <w:lang w:val="en-US" w:eastAsia="zh-CN"/>
              </w:rPr>
            </w:pPr>
            <w:r>
              <w:rPr>
                <w:rFonts w:hint="eastAsia" w:ascii="宋体" w:hAnsi="宋体" w:cs="仿宋_GB2312"/>
                <w:color w:val="auto"/>
                <w:szCs w:val="21"/>
                <w:highlight w:val="none"/>
                <w:lang w:val="en-US" w:eastAsia="zh-CN"/>
              </w:rPr>
              <w:t>按公厕保洁标准做好公厕保洁工作</w:t>
            </w:r>
          </w:p>
        </w:tc>
        <w:tc>
          <w:tcPr>
            <w:tcW w:w="4197"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left"/>
              <w:rPr>
                <w:rFonts w:hint="default" w:ascii="宋体" w:hAnsi="宋体" w:eastAsia="宋体" w:cs="仿宋_GB2312"/>
                <w:color w:val="auto"/>
                <w:szCs w:val="21"/>
                <w:highlight w:val="none"/>
                <w:lang w:val="en-US" w:eastAsia="zh-CN"/>
              </w:rPr>
            </w:pPr>
            <w:r>
              <w:rPr>
                <w:rFonts w:hint="eastAsia" w:ascii="宋体" w:hAnsi="宋体" w:cs="仿宋_GB2312"/>
                <w:color w:val="auto"/>
                <w:szCs w:val="21"/>
                <w:highlight w:val="none"/>
                <w:lang w:val="en-US" w:eastAsia="zh-CN"/>
              </w:rPr>
              <w:t>每发现一个公厕未清扫完成的（未做到无异味、无蚊蝇、地面洁净、无积水、无烟头、无纸屑、无痰迹和其他杂物）扣1分。</w:t>
            </w:r>
          </w:p>
        </w:tc>
      </w:tr>
      <w:tr>
        <w:tblPrEx>
          <w:tblCellMar>
            <w:top w:w="0" w:type="dxa"/>
            <w:left w:w="0" w:type="dxa"/>
            <w:bottom w:w="0" w:type="dxa"/>
            <w:right w:w="0" w:type="dxa"/>
          </w:tblCellMar>
        </w:tblPrEx>
        <w:trPr>
          <w:trHeight w:val="90" w:hRule="atLeast"/>
          <w:jc w:val="center"/>
        </w:trPr>
        <w:tc>
          <w:tcPr>
            <w:tcW w:w="1421"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eastAsia="宋体" w:cs="仿宋_GB2312"/>
                <w:color w:val="auto"/>
                <w:kern w:val="0"/>
                <w:szCs w:val="21"/>
                <w:highlight w:val="none"/>
                <w:lang w:bidi="ar"/>
              </w:rPr>
            </w:pPr>
            <w:r>
              <w:rPr>
                <w:rFonts w:hint="eastAsia" w:ascii="宋体" w:hAnsi="宋体" w:eastAsia="宋体" w:cs="仿宋_GB2312"/>
                <w:color w:val="auto"/>
                <w:kern w:val="0"/>
                <w:szCs w:val="21"/>
                <w:highlight w:val="none"/>
                <w:lang w:bidi="ar"/>
              </w:rPr>
              <w:t>文明规范作业</w:t>
            </w:r>
          </w:p>
        </w:tc>
        <w:tc>
          <w:tcPr>
            <w:tcW w:w="332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ascii="宋体" w:hAnsi="宋体" w:eastAsia="宋体" w:cs="仿宋_GB2312"/>
                <w:color w:val="auto"/>
                <w:kern w:val="0"/>
                <w:szCs w:val="21"/>
                <w:highlight w:val="none"/>
                <w:lang w:bidi="ar"/>
              </w:rPr>
            </w:pPr>
            <w:r>
              <w:rPr>
                <w:rFonts w:hint="eastAsia" w:ascii="宋体" w:hAnsi="宋体" w:eastAsia="宋体" w:cs="仿宋_GB2312"/>
                <w:color w:val="auto"/>
                <w:szCs w:val="21"/>
                <w:highlight w:val="none"/>
              </w:rPr>
              <w:t>不得无故干扰、阻碍考核人员工作</w:t>
            </w:r>
          </w:p>
        </w:tc>
        <w:tc>
          <w:tcPr>
            <w:tcW w:w="4197"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仿宋_GB2312"/>
                <w:color w:val="auto"/>
                <w:kern w:val="0"/>
                <w:szCs w:val="21"/>
                <w:highlight w:val="none"/>
                <w:lang w:bidi="ar"/>
              </w:rPr>
            </w:pPr>
            <w:r>
              <w:rPr>
                <w:rFonts w:hint="eastAsia" w:ascii="宋体" w:hAnsi="宋体" w:eastAsia="宋体" w:cs="仿宋_GB2312"/>
                <w:color w:val="auto"/>
                <w:szCs w:val="21"/>
                <w:highlight w:val="none"/>
              </w:rPr>
              <w:t>在考核过程中阻扰、谩骂、挑衅、延误、干扰考核人员或上级检查人员正常检查（如妨碍拍照取证等），扣1分，情节严重的扣5分。</w:t>
            </w:r>
          </w:p>
        </w:tc>
      </w:tr>
      <w:tr>
        <w:tblPrEx>
          <w:tblCellMar>
            <w:top w:w="0" w:type="dxa"/>
            <w:left w:w="0" w:type="dxa"/>
            <w:bottom w:w="0" w:type="dxa"/>
            <w:right w:w="0" w:type="dxa"/>
          </w:tblCellMar>
        </w:tblPrEx>
        <w:trPr>
          <w:trHeight w:val="644" w:hRule="atLeast"/>
          <w:jc w:val="center"/>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eastAsia="宋体" w:cs="仿宋_GB2312"/>
                <w:color w:val="auto"/>
                <w:kern w:val="0"/>
                <w:szCs w:val="21"/>
                <w:highlight w:val="none"/>
                <w:lang w:bidi="ar"/>
              </w:rPr>
            </w:pPr>
          </w:p>
        </w:tc>
        <w:tc>
          <w:tcPr>
            <w:tcW w:w="332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eastAsia="宋体" w:cs="仿宋_GB2312"/>
                <w:color w:val="auto"/>
                <w:szCs w:val="21"/>
                <w:highlight w:val="none"/>
              </w:rPr>
            </w:pPr>
            <w:r>
              <w:rPr>
                <w:rFonts w:hint="eastAsia" w:ascii="宋体" w:hAnsi="宋体" w:eastAsia="宋体" w:cs="仿宋_GB2312"/>
                <w:color w:val="auto"/>
                <w:kern w:val="0"/>
                <w:szCs w:val="21"/>
                <w:highlight w:val="none"/>
                <w:lang w:bidi="ar"/>
              </w:rPr>
              <w:t>保洁员着装规范整洁，统一配置作业工具</w:t>
            </w:r>
          </w:p>
        </w:tc>
        <w:tc>
          <w:tcPr>
            <w:tcW w:w="4197"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tabs>
                <w:tab w:val="left" w:pos="827"/>
              </w:tabs>
              <w:jc w:val="left"/>
              <w:rPr>
                <w:rFonts w:ascii="宋体" w:hAnsi="宋体" w:eastAsia="宋体" w:cs="仿宋_GB2312"/>
                <w:color w:val="auto"/>
                <w:szCs w:val="21"/>
                <w:highlight w:val="none"/>
              </w:rPr>
            </w:pPr>
            <w:r>
              <w:rPr>
                <w:rFonts w:hint="eastAsia" w:ascii="宋体" w:hAnsi="宋体" w:eastAsia="宋体" w:cs="仿宋_GB2312"/>
                <w:color w:val="auto"/>
                <w:kern w:val="0"/>
                <w:szCs w:val="21"/>
                <w:highlight w:val="none"/>
                <w:lang w:bidi="ar"/>
              </w:rPr>
              <w:t>未按规定正规穿着工作服，（雨天着工作雨衣）配置作业工具，每人扣0.1分。</w:t>
            </w:r>
          </w:p>
        </w:tc>
      </w:tr>
      <w:tr>
        <w:tblPrEx>
          <w:tblCellMar>
            <w:top w:w="0" w:type="dxa"/>
            <w:left w:w="0" w:type="dxa"/>
            <w:bottom w:w="0" w:type="dxa"/>
            <w:right w:w="0" w:type="dxa"/>
          </w:tblCellMar>
        </w:tblPrEx>
        <w:trPr>
          <w:trHeight w:val="452" w:hRule="atLeast"/>
          <w:jc w:val="center"/>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ascii="宋体" w:hAnsi="宋体" w:eastAsia="宋体" w:cs="仿宋_GB2312"/>
                <w:color w:val="auto"/>
                <w:szCs w:val="21"/>
                <w:highlight w:val="none"/>
              </w:rPr>
            </w:pPr>
          </w:p>
        </w:tc>
        <w:tc>
          <w:tcPr>
            <w:tcW w:w="332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仿宋_GB2312"/>
                <w:color w:val="auto"/>
                <w:szCs w:val="21"/>
                <w:highlight w:val="none"/>
              </w:rPr>
            </w:pPr>
            <w:r>
              <w:rPr>
                <w:rFonts w:hint="eastAsia" w:ascii="宋体" w:hAnsi="宋体" w:eastAsia="宋体" w:cs="仿宋_GB2312"/>
                <w:color w:val="auto"/>
                <w:kern w:val="0"/>
                <w:szCs w:val="21"/>
                <w:highlight w:val="none"/>
                <w:lang w:bidi="ar"/>
              </w:rPr>
              <w:t>工作中无脱岗；消极怠工，</w:t>
            </w:r>
            <w:r>
              <w:rPr>
                <w:rFonts w:hint="eastAsia" w:ascii="宋体" w:hAnsi="宋体" w:eastAsia="宋体" w:cs="仿宋_GB2312"/>
                <w:color w:val="auto"/>
                <w:szCs w:val="21"/>
                <w:highlight w:val="none"/>
              </w:rPr>
              <w:t>影响环卫工人形象</w:t>
            </w:r>
            <w:r>
              <w:rPr>
                <w:rFonts w:hint="eastAsia" w:ascii="宋体" w:hAnsi="宋体" w:eastAsia="宋体" w:cs="仿宋_GB2312"/>
                <w:color w:val="auto"/>
                <w:kern w:val="0"/>
                <w:szCs w:val="21"/>
                <w:highlight w:val="none"/>
                <w:lang w:bidi="ar"/>
              </w:rPr>
              <w:t>等现象</w:t>
            </w:r>
          </w:p>
        </w:tc>
        <w:tc>
          <w:tcPr>
            <w:tcW w:w="41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上班时间脱岗，每人扣0.2分；玩手机、就地睡觉等影响环卫工人形象等情况之一的，</w:t>
            </w:r>
            <w:r>
              <w:rPr>
                <w:rFonts w:hint="eastAsia" w:ascii="宋体" w:hAnsi="宋体" w:eastAsia="宋体" w:cs="仿宋_GB2312"/>
                <w:color w:val="auto"/>
                <w:kern w:val="0"/>
                <w:szCs w:val="21"/>
                <w:highlight w:val="none"/>
                <w:lang w:bidi="ar"/>
              </w:rPr>
              <w:t>道路保洁工作中闲谈、消极怠工等现象，扣0.2分</w:t>
            </w:r>
          </w:p>
        </w:tc>
      </w:tr>
      <w:tr>
        <w:tblPrEx>
          <w:tblCellMar>
            <w:top w:w="0" w:type="dxa"/>
            <w:left w:w="0" w:type="dxa"/>
            <w:bottom w:w="0" w:type="dxa"/>
            <w:right w:w="0" w:type="dxa"/>
          </w:tblCellMar>
        </w:tblPrEx>
        <w:trPr>
          <w:trHeight w:val="329" w:hRule="atLeast"/>
          <w:jc w:val="center"/>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ascii="宋体" w:hAnsi="宋体" w:eastAsia="宋体" w:cs="仿宋_GB2312"/>
                <w:color w:val="auto"/>
                <w:szCs w:val="21"/>
                <w:highlight w:val="none"/>
              </w:rPr>
            </w:pPr>
          </w:p>
        </w:tc>
        <w:tc>
          <w:tcPr>
            <w:tcW w:w="3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仿宋_GB2312"/>
                <w:color w:val="auto"/>
                <w:szCs w:val="21"/>
                <w:highlight w:val="none"/>
              </w:rPr>
            </w:pPr>
            <w:r>
              <w:rPr>
                <w:rFonts w:hint="eastAsia" w:ascii="宋体" w:hAnsi="宋体" w:eastAsia="宋体" w:cs="仿宋_GB2312"/>
                <w:color w:val="auto"/>
                <w:kern w:val="0"/>
                <w:szCs w:val="21"/>
                <w:highlight w:val="none"/>
                <w:lang w:bidi="ar"/>
              </w:rPr>
              <w:t>不得私自焚烧垃圾、树叶，落叶旺季做到及时清扫和转运处理，不得将垃圾扫入排水口（沟槽</w:t>
            </w:r>
            <w:r>
              <w:rPr>
                <w:rFonts w:hint="eastAsia" w:ascii="宋体" w:hAnsi="宋体" w:eastAsia="宋体" w:cs="仿宋_GB2312"/>
                <w:color w:val="auto"/>
                <w:kern w:val="0"/>
                <w:szCs w:val="21"/>
                <w:highlight w:val="none"/>
                <w:lang w:eastAsia="zh-CN" w:bidi="ar"/>
              </w:rPr>
              <w:t>、窨井</w:t>
            </w:r>
            <w:r>
              <w:rPr>
                <w:rFonts w:hint="eastAsia" w:ascii="宋体" w:hAnsi="宋体" w:eastAsia="宋体" w:cs="仿宋_GB2312"/>
                <w:color w:val="auto"/>
                <w:kern w:val="0"/>
                <w:szCs w:val="21"/>
                <w:highlight w:val="none"/>
                <w:lang w:bidi="ar"/>
              </w:rPr>
              <w:t>）、河道</w:t>
            </w:r>
          </w:p>
        </w:tc>
        <w:tc>
          <w:tcPr>
            <w:tcW w:w="41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发现保洁人员私</w:t>
            </w:r>
            <w:r>
              <w:rPr>
                <w:rFonts w:hint="eastAsia" w:ascii="宋体" w:hAnsi="宋体" w:eastAsia="宋体" w:cs="仿宋_GB2312"/>
                <w:color w:val="auto"/>
                <w:kern w:val="0"/>
                <w:szCs w:val="21"/>
                <w:highlight w:val="none"/>
                <w:lang w:bidi="ar"/>
              </w:rPr>
              <w:t>自焚烧垃圾、树叶、落叶，</w:t>
            </w:r>
            <w:r>
              <w:rPr>
                <w:rFonts w:hint="eastAsia" w:ascii="宋体" w:hAnsi="宋体" w:eastAsia="宋体" w:cs="仿宋_GB2312"/>
                <w:color w:val="auto"/>
                <w:szCs w:val="21"/>
                <w:highlight w:val="none"/>
              </w:rPr>
              <w:t>将垃圾乱倾倒现象，扣5分；</w:t>
            </w:r>
            <w:r>
              <w:rPr>
                <w:rFonts w:hint="eastAsia" w:ascii="宋体" w:hAnsi="宋体" w:eastAsia="宋体" w:cs="仿宋_GB2312"/>
                <w:color w:val="auto"/>
                <w:kern w:val="0"/>
                <w:szCs w:val="21"/>
                <w:highlight w:val="none"/>
                <w:lang w:bidi="ar"/>
              </w:rPr>
              <w:t>将垃圾扫入</w:t>
            </w:r>
            <w:r>
              <w:rPr>
                <w:rFonts w:hint="eastAsia" w:ascii="宋体" w:hAnsi="宋体" w:eastAsia="宋体" w:cs="仿宋_GB2312"/>
                <w:color w:val="auto"/>
                <w:kern w:val="0"/>
                <w:szCs w:val="21"/>
                <w:highlight w:val="none"/>
                <w:lang w:eastAsia="zh-CN" w:bidi="ar"/>
              </w:rPr>
              <w:t>、倒入</w:t>
            </w:r>
            <w:r>
              <w:rPr>
                <w:rFonts w:hint="eastAsia" w:ascii="宋体" w:hAnsi="宋体" w:eastAsia="宋体" w:cs="仿宋_GB2312"/>
                <w:color w:val="auto"/>
                <w:kern w:val="0"/>
                <w:szCs w:val="21"/>
                <w:highlight w:val="none"/>
                <w:lang w:bidi="ar"/>
              </w:rPr>
              <w:t>排水口</w:t>
            </w:r>
            <w:r>
              <w:rPr>
                <w:rFonts w:hint="eastAsia" w:ascii="宋体" w:hAnsi="宋体" w:eastAsia="宋体" w:cs="仿宋_GB2312"/>
                <w:color w:val="auto"/>
                <w:kern w:val="0"/>
                <w:szCs w:val="21"/>
                <w:highlight w:val="none"/>
                <w:lang w:eastAsia="zh-CN" w:bidi="ar"/>
              </w:rPr>
              <w:t>、</w:t>
            </w:r>
            <w:r>
              <w:rPr>
                <w:rFonts w:hint="eastAsia" w:ascii="宋体" w:hAnsi="宋体" w:eastAsia="宋体" w:cs="仿宋_GB2312"/>
                <w:color w:val="auto"/>
                <w:kern w:val="0"/>
                <w:szCs w:val="21"/>
                <w:highlight w:val="none"/>
                <w:lang w:bidi="ar"/>
              </w:rPr>
              <w:t>绿化带、河道，每次扣2分</w:t>
            </w:r>
          </w:p>
        </w:tc>
      </w:tr>
      <w:tr>
        <w:tblPrEx>
          <w:tblCellMar>
            <w:top w:w="0" w:type="dxa"/>
            <w:left w:w="0" w:type="dxa"/>
            <w:bottom w:w="0" w:type="dxa"/>
            <w:right w:w="0" w:type="dxa"/>
          </w:tblCellMar>
        </w:tblPrEx>
        <w:trPr>
          <w:trHeight w:val="800" w:hRule="atLeast"/>
          <w:jc w:val="center"/>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ascii="宋体" w:hAnsi="宋体" w:eastAsia="宋体" w:cs="仿宋_GB2312"/>
                <w:color w:val="auto"/>
                <w:szCs w:val="21"/>
                <w:highlight w:val="none"/>
              </w:rPr>
            </w:pPr>
          </w:p>
        </w:tc>
        <w:tc>
          <w:tcPr>
            <w:tcW w:w="3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仿宋_GB2312"/>
                <w:color w:val="auto"/>
                <w:szCs w:val="21"/>
                <w:highlight w:val="none"/>
              </w:rPr>
            </w:pPr>
            <w:r>
              <w:rPr>
                <w:rFonts w:hint="eastAsia" w:ascii="宋体" w:hAnsi="宋体" w:eastAsia="宋体" w:cs="仿宋_GB2312"/>
                <w:color w:val="auto"/>
                <w:kern w:val="0"/>
                <w:szCs w:val="21"/>
                <w:highlight w:val="none"/>
                <w:lang w:bidi="ar"/>
              </w:rPr>
              <w:t>保洁车车容整洁、标识清晰</w:t>
            </w:r>
          </w:p>
        </w:tc>
        <w:tc>
          <w:tcPr>
            <w:tcW w:w="41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仿宋_GB2312"/>
                <w:color w:val="auto"/>
                <w:kern w:val="0"/>
                <w:szCs w:val="21"/>
                <w:highlight w:val="none"/>
                <w:lang w:bidi="ar"/>
              </w:rPr>
            </w:pPr>
            <w:r>
              <w:rPr>
                <w:rFonts w:hint="eastAsia" w:ascii="宋体" w:hAnsi="宋体" w:eastAsia="宋体" w:cs="仿宋_GB2312"/>
                <w:color w:val="auto"/>
                <w:kern w:val="0"/>
                <w:szCs w:val="21"/>
                <w:highlight w:val="none"/>
                <w:lang w:bidi="ar"/>
              </w:rPr>
              <w:t>保洁车车容不整洁、标识不清晰，有污渍等，每辆扣0.1分</w:t>
            </w:r>
          </w:p>
        </w:tc>
      </w:tr>
      <w:tr>
        <w:tblPrEx>
          <w:tblCellMar>
            <w:top w:w="0" w:type="dxa"/>
            <w:left w:w="0" w:type="dxa"/>
            <w:bottom w:w="0" w:type="dxa"/>
            <w:right w:w="0" w:type="dxa"/>
          </w:tblCellMar>
        </w:tblPrEx>
        <w:trPr>
          <w:trHeight w:val="454" w:hRule="atLeast"/>
          <w:jc w:val="center"/>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ascii="宋体" w:hAnsi="宋体" w:eastAsia="宋体" w:cs="仿宋_GB2312"/>
                <w:color w:val="auto"/>
                <w:szCs w:val="21"/>
                <w:highlight w:val="none"/>
              </w:rPr>
            </w:pPr>
          </w:p>
        </w:tc>
        <w:tc>
          <w:tcPr>
            <w:tcW w:w="3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仿宋_GB2312"/>
                <w:color w:val="auto"/>
                <w:szCs w:val="21"/>
                <w:highlight w:val="none"/>
              </w:rPr>
            </w:pPr>
            <w:r>
              <w:rPr>
                <w:rFonts w:hint="eastAsia" w:ascii="宋体" w:hAnsi="宋体" w:eastAsia="宋体" w:cs="仿宋_GB2312"/>
                <w:color w:val="auto"/>
                <w:kern w:val="0"/>
                <w:szCs w:val="21"/>
                <w:highlight w:val="none"/>
                <w:lang w:bidi="ar"/>
              </w:rPr>
              <w:t>保洁车停放不影响行人、车辆通行</w:t>
            </w:r>
          </w:p>
        </w:tc>
        <w:tc>
          <w:tcPr>
            <w:tcW w:w="41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仿宋_GB2312"/>
                <w:color w:val="auto"/>
                <w:szCs w:val="21"/>
                <w:highlight w:val="none"/>
              </w:rPr>
            </w:pPr>
            <w:r>
              <w:rPr>
                <w:rFonts w:hint="eastAsia" w:ascii="宋体" w:hAnsi="宋体" w:eastAsia="宋体" w:cs="仿宋_GB2312"/>
                <w:color w:val="auto"/>
                <w:kern w:val="0"/>
                <w:szCs w:val="21"/>
                <w:highlight w:val="none"/>
                <w:lang w:bidi="ar"/>
              </w:rPr>
              <w:t>保洁车停放在人行道、路口、公交站台，逆向停放、影响行人和车辆通行，扣0.1分</w:t>
            </w:r>
          </w:p>
        </w:tc>
      </w:tr>
      <w:tr>
        <w:tblPrEx>
          <w:tblCellMar>
            <w:top w:w="0" w:type="dxa"/>
            <w:left w:w="0" w:type="dxa"/>
            <w:bottom w:w="0" w:type="dxa"/>
            <w:right w:w="0" w:type="dxa"/>
          </w:tblCellMar>
        </w:tblPrEx>
        <w:trPr>
          <w:trHeight w:val="845" w:hRule="atLeast"/>
          <w:jc w:val="center"/>
        </w:trPr>
        <w:tc>
          <w:tcPr>
            <w:tcW w:w="1421"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eastAsia="宋体" w:cs="仿宋_GB2312"/>
                <w:color w:val="auto"/>
                <w:kern w:val="0"/>
                <w:szCs w:val="21"/>
                <w:highlight w:val="none"/>
                <w:lang w:bidi="ar"/>
              </w:rPr>
            </w:pPr>
          </w:p>
        </w:tc>
        <w:tc>
          <w:tcPr>
            <w:tcW w:w="332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仿宋_GB2312"/>
                <w:color w:val="auto"/>
                <w:szCs w:val="21"/>
                <w:highlight w:val="none"/>
              </w:rPr>
            </w:pPr>
            <w:r>
              <w:rPr>
                <w:rFonts w:hint="eastAsia" w:ascii="宋体" w:hAnsi="宋体" w:eastAsia="宋体" w:cs="仿宋_GB2312"/>
                <w:color w:val="auto"/>
                <w:kern w:val="0"/>
                <w:szCs w:val="21"/>
                <w:highlight w:val="none"/>
                <w:lang w:bidi="ar"/>
              </w:rPr>
              <w:t>保洁员文明规范作业</w:t>
            </w:r>
          </w:p>
        </w:tc>
        <w:tc>
          <w:tcPr>
            <w:tcW w:w="4197"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numPr>
                <w:ilvl w:val="0"/>
                <w:numId w:val="28"/>
              </w:numPr>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保洁员逆向行驶、闯红灯、横穿马路，每人扣0.5分</w:t>
            </w:r>
          </w:p>
          <w:p>
            <w:pPr>
              <w:numPr>
                <w:ilvl w:val="0"/>
                <w:numId w:val="28"/>
              </w:numPr>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保洁员穿拖鞋、赤膊、随地大小便等不文明行为的，每次扣0.5分</w:t>
            </w:r>
          </w:p>
        </w:tc>
      </w:tr>
      <w:tr>
        <w:tblPrEx>
          <w:tblCellMar>
            <w:top w:w="0" w:type="dxa"/>
            <w:left w:w="0" w:type="dxa"/>
            <w:bottom w:w="0" w:type="dxa"/>
            <w:right w:w="0" w:type="dxa"/>
          </w:tblCellMar>
        </w:tblPrEx>
        <w:trPr>
          <w:trHeight w:val="798" w:hRule="atLeast"/>
          <w:jc w:val="center"/>
        </w:trPr>
        <w:tc>
          <w:tcPr>
            <w:tcW w:w="1421" w:type="dxa"/>
            <w:tcBorders>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ascii="宋体" w:hAnsi="宋体" w:eastAsia="宋体" w:cs="仿宋_GB2312"/>
                <w:color w:val="auto"/>
                <w:szCs w:val="21"/>
                <w:highlight w:val="none"/>
              </w:rPr>
            </w:pPr>
            <w:r>
              <w:rPr>
                <w:rFonts w:hint="eastAsia" w:ascii="宋体" w:hAnsi="宋体" w:cs="仿宋_GB2312"/>
                <w:color w:val="auto"/>
                <w:szCs w:val="21"/>
                <w:highlight w:val="none"/>
                <w:lang w:val="en-US" w:eastAsia="zh-CN"/>
              </w:rPr>
              <w:t>垃圾废弃物清理</w:t>
            </w:r>
            <w:r>
              <w:rPr>
                <w:rFonts w:hint="eastAsia" w:ascii="宋体" w:hAnsi="宋体" w:eastAsia="宋体" w:cs="仿宋_GB2312"/>
                <w:color w:val="auto"/>
                <w:szCs w:val="21"/>
                <w:highlight w:val="none"/>
              </w:rPr>
              <w:t>收运</w:t>
            </w:r>
          </w:p>
        </w:tc>
        <w:tc>
          <w:tcPr>
            <w:tcW w:w="332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
              <w:rPr>
                <w:rFonts w:hint="eastAsia"/>
                <w:highlight w:val="none"/>
                <w:lang w:eastAsia="zh-CN"/>
              </w:rPr>
            </w:pPr>
            <w:r>
              <w:rPr>
                <w:rFonts w:hint="eastAsia"/>
                <w:highlight w:val="none"/>
                <w:lang w:val="en-US" w:eastAsia="zh-CN"/>
              </w:rPr>
              <w:t>1、</w:t>
            </w:r>
            <w:r>
              <w:rPr>
                <w:rFonts w:hint="eastAsia"/>
                <w:highlight w:val="none"/>
              </w:rPr>
              <w:t>按要求完成垃圾</w:t>
            </w:r>
            <w:r>
              <w:rPr>
                <w:rFonts w:hint="eastAsia"/>
                <w:highlight w:val="none"/>
                <w:lang w:val="en-US" w:eastAsia="zh-CN"/>
              </w:rPr>
              <w:t>和废弃物清理</w:t>
            </w:r>
            <w:r>
              <w:rPr>
                <w:rFonts w:hint="eastAsia"/>
                <w:highlight w:val="none"/>
              </w:rPr>
              <w:t>收运</w:t>
            </w:r>
            <w:r>
              <w:rPr>
                <w:rFonts w:hint="eastAsia"/>
                <w:highlight w:val="none"/>
                <w:lang w:eastAsia="zh-CN"/>
              </w:rPr>
              <w:t>；</w:t>
            </w:r>
          </w:p>
          <w:p>
            <w:pPr>
              <w:pStyle w:val="2"/>
              <w:rPr>
                <w:rFonts w:hint="eastAsia"/>
                <w:highlight w:val="none"/>
                <w:lang w:eastAsia="zh-CN"/>
              </w:rPr>
            </w:pPr>
            <w:r>
              <w:rPr>
                <w:rFonts w:hint="eastAsia"/>
                <w:highlight w:val="none"/>
                <w:lang w:val="en-US" w:eastAsia="zh-CN"/>
              </w:rPr>
              <w:t>2、</w:t>
            </w:r>
            <w:r>
              <w:rPr>
                <w:rFonts w:hint="eastAsia"/>
                <w:highlight w:val="none"/>
              </w:rPr>
              <w:t>垃圾清运车司机必须持证上岗，不允许搞其他营运活动</w:t>
            </w:r>
            <w:r>
              <w:rPr>
                <w:rFonts w:hint="eastAsia"/>
                <w:highlight w:val="none"/>
                <w:lang w:eastAsia="zh-CN"/>
              </w:rPr>
              <w:t>。</w:t>
            </w:r>
          </w:p>
          <w:p>
            <w:pPr>
              <w:pStyle w:val="2"/>
              <w:rPr>
                <w:rFonts w:hint="default"/>
                <w:highlight w:val="none"/>
                <w:lang w:val="en-US" w:eastAsia="zh-CN"/>
              </w:rPr>
            </w:pPr>
            <w:r>
              <w:rPr>
                <w:rFonts w:hint="eastAsia"/>
                <w:highlight w:val="none"/>
                <w:lang w:val="en-US" w:eastAsia="zh-CN"/>
              </w:rPr>
              <w:t>3、</w:t>
            </w:r>
            <w:r>
              <w:rPr>
                <w:rFonts w:hint="eastAsia"/>
                <w:highlight w:val="none"/>
              </w:rPr>
              <w:t>垃圾清运司机必须严格遵守安全管理规定，自觉遵守交通法规，做到不酒后驾车、疲劳驾车、带病驾车，确保安全。</w:t>
            </w:r>
          </w:p>
        </w:tc>
        <w:tc>
          <w:tcPr>
            <w:tcW w:w="419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pStyle w:val="2"/>
              <w:rPr>
                <w:rFonts w:hint="eastAsia"/>
                <w:highlight w:val="none"/>
              </w:rPr>
            </w:pPr>
            <w:r>
              <w:rPr>
                <w:rFonts w:hint="eastAsia"/>
                <w:highlight w:val="none"/>
              </w:rPr>
              <w:t>1、未按规定时间完成</w:t>
            </w:r>
            <w:r>
              <w:rPr>
                <w:rFonts w:hint="eastAsia"/>
                <w:highlight w:val="none"/>
                <w:lang w:val="en-US" w:eastAsia="zh-CN"/>
              </w:rPr>
              <w:t>清理</w:t>
            </w:r>
            <w:r>
              <w:rPr>
                <w:rFonts w:hint="eastAsia"/>
                <w:highlight w:val="none"/>
              </w:rPr>
              <w:t>收运每次扣0.2分</w:t>
            </w:r>
          </w:p>
          <w:p>
            <w:pPr>
              <w:pStyle w:val="2"/>
              <w:rPr>
                <w:rFonts w:hint="eastAsia"/>
                <w:highlight w:val="none"/>
                <w:lang w:eastAsia="zh-CN"/>
              </w:rPr>
            </w:pPr>
            <w:r>
              <w:rPr>
                <w:rFonts w:hint="eastAsia"/>
                <w:highlight w:val="none"/>
              </w:rPr>
              <w:t>2</w:t>
            </w:r>
            <w:r>
              <w:rPr>
                <w:rFonts w:hint="eastAsia"/>
                <w:highlight w:val="none"/>
                <w:lang w:eastAsia="zh-CN"/>
              </w:rPr>
              <w:t>、垃圾清运车外观不洁、积尘、破损，实行密闭运输发生抛洒滴漏污染路面、车厢外有吊挂垃圾等问题</w:t>
            </w:r>
            <w:r>
              <w:rPr>
                <w:rFonts w:hint="eastAsia"/>
                <w:highlight w:val="none"/>
              </w:rPr>
              <w:t>每次扣0.2分</w:t>
            </w:r>
            <w:r>
              <w:rPr>
                <w:rFonts w:hint="eastAsia"/>
                <w:highlight w:val="none"/>
                <w:lang w:eastAsia="zh-CN"/>
              </w:rPr>
              <w:t>；</w:t>
            </w:r>
          </w:p>
          <w:p>
            <w:pPr>
              <w:pStyle w:val="2"/>
              <w:rPr>
                <w:rFonts w:hint="eastAsia"/>
                <w:highlight w:val="none"/>
                <w:lang w:val="en-US" w:eastAsia="zh-CN"/>
              </w:rPr>
            </w:pPr>
            <w:r>
              <w:rPr>
                <w:rFonts w:hint="eastAsia"/>
                <w:highlight w:val="none"/>
                <w:lang w:val="en-US" w:eastAsia="zh-CN"/>
              </w:rPr>
              <w:t>3、</w:t>
            </w:r>
            <w:r>
              <w:rPr>
                <w:rFonts w:hint="eastAsia"/>
                <w:highlight w:val="none"/>
              </w:rPr>
              <w:t>垃圾清运车司机</w:t>
            </w:r>
            <w:r>
              <w:rPr>
                <w:rFonts w:hint="eastAsia"/>
                <w:highlight w:val="none"/>
                <w:lang w:val="en-US" w:eastAsia="zh-CN"/>
              </w:rPr>
              <w:t>未</w:t>
            </w:r>
            <w:r>
              <w:rPr>
                <w:rFonts w:hint="eastAsia"/>
                <w:highlight w:val="none"/>
              </w:rPr>
              <w:t>持证上岗，</w:t>
            </w:r>
            <w:r>
              <w:rPr>
                <w:rFonts w:hint="eastAsia"/>
                <w:highlight w:val="none"/>
                <w:lang w:val="en-US" w:eastAsia="zh-CN"/>
              </w:rPr>
              <w:t>或</w:t>
            </w:r>
            <w:r>
              <w:rPr>
                <w:rFonts w:hint="eastAsia"/>
                <w:highlight w:val="none"/>
              </w:rPr>
              <w:t>搞其他营运活动</w:t>
            </w:r>
            <w:r>
              <w:rPr>
                <w:rFonts w:hint="eastAsia"/>
                <w:highlight w:val="none"/>
                <w:lang w:val="en-US" w:eastAsia="zh-CN"/>
              </w:rPr>
              <w:t>的每次扣0.5分；</w:t>
            </w:r>
          </w:p>
          <w:p>
            <w:pPr>
              <w:pStyle w:val="2"/>
              <w:rPr>
                <w:rFonts w:hint="default"/>
                <w:highlight w:val="none"/>
                <w:lang w:val="en-US" w:eastAsia="zh-CN"/>
              </w:rPr>
            </w:pPr>
            <w:r>
              <w:rPr>
                <w:rFonts w:hint="eastAsia"/>
                <w:highlight w:val="none"/>
                <w:lang w:val="en-US" w:eastAsia="zh-CN"/>
              </w:rPr>
              <w:t>4、</w:t>
            </w:r>
            <w:r>
              <w:rPr>
                <w:rFonts w:hint="eastAsia"/>
                <w:highlight w:val="none"/>
              </w:rPr>
              <w:t>垃圾清运司机</w:t>
            </w:r>
            <w:r>
              <w:rPr>
                <w:rFonts w:hint="eastAsia"/>
                <w:highlight w:val="none"/>
                <w:lang w:val="en-US" w:eastAsia="zh-CN"/>
              </w:rPr>
              <w:t>未</w:t>
            </w:r>
            <w:r>
              <w:rPr>
                <w:rFonts w:hint="eastAsia"/>
                <w:highlight w:val="none"/>
              </w:rPr>
              <w:t>遵守安全管理规定，</w:t>
            </w:r>
            <w:r>
              <w:rPr>
                <w:rFonts w:hint="eastAsia"/>
                <w:highlight w:val="none"/>
                <w:lang w:val="en-US" w:eastAsia="zh-CN"/>
              </w:rPr>
              <w:t>或未</w:t>
            </w:r>
            <w:r>
              <w:rPr>
                <w:rFonts w:hint="eastAsia"/>
                <w:highlight w:val="none"/>
              </w:rPr>
              <w:t>自觉遵守交通法规</w:t>
            </w:r>
            <w:r>
              <w:rPr>
                <w:rFonts w:hint="eastAsia"/>
                <w:highlight w:val="none"/>
                <w:lang w:val="en-US" w:eastAsia="zh-CN"/>
              </w:rPr>
              <w:t>的每次扣1分；</w:t>
            </w:r>
          </w:p>
        </w:tc>
      </w:tr>
      <w:tr>
        <w:tblPrEx>
          <w:tblCellMar>
            <w:top w:w="0" w:type="dxa"/>
            <w:left w:w="0" w:type="dxa"/>
            <w:bottom w:w="0" w:type="dxa"/>
            <w:right w:w="0" w:type="dxa"/>
          </w:tblCellMar>
        </w:tblPrEx>
        <w:trPr>
          <w:trHeight w:val="798" w:hRule="atLeast"/>
          <w:jc w:val="center"/>
        </w:trPr>
        <w:tc>
          <w:tcPr>
            <w:tcW w:w="1421" w:type="dxa"/>
            <w:tcBorders>
              <w:left w:val="single" w:color="auto" w:sz="4" w:space="0"/>
              <w:right w:val="single" w:color="000000" w:sz="4" w:space="0"/>
            </w:tcBorders>
            <w:noWrap w:val="0"/>
            <w:tcMar>
              <w:top w:w="15" w:type="dxa"/>
              <w:left w:w="15" w:type="dxa"/>
              <w:right w:w="15" w:type="dxa"/>
            </w:tcMar>
            <w:vAlign w:val="center"/>
          </w:tcPr>
          <w:p>
            <w:pPr>
              <w:jc w:val="center"/>
              <w:rPr>
                <w:rFonts w:hint="default" w:ascii="宋体" w:hAnsi="宋体" w:cs="仿宋_GB2312"/>
                <w:color w:val="auto"/>
                <w:szCs w:val="21"/>
                <w:highlight w:val="none"/>
                <w:lang w:val="en-US" w:eastAsia="zh-CN"/>
              </w:rPr>
            </w:pPr>
            <w:r>
              <w:rPr>
                <w:rFonts w:hint="eastAsia" w:ascii="宋体" w:hAnsi="宋体" w:cs="仿宋_GB2312"/>
                <w:color w:val="auto"/>
                <w:szCs w:val="21"/>
                <w:highlight w:val="none"/>
                <w:lang w:val="en-US" w:eastAsia="zh-CN"/>
              </w:rPr>
              <w:t>生活垃圾分类</w:t>
            </w:r>
          </w:p>
        </w:tc>
        <w:tc>
          <w:tcPr>
            <w:tcW w:w="332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
              <w:rPr>
                <w:rFonts w:hint="eastAsia"/>
                <w:highlight w:val="none"/>
                <w:lang w:eastAsia="zh-CN"/>
              </w:rPr>
            </w:pPr>
            <w:r>
              <w:rPr>
                <w:rFonts w:hint="eastAsia"/>
                <w:highlight w:val="none"/>
                <w:lang w:val="en-US" w:eastAsia="zh-CN"/>
              </w:rPr>
              <w:t>1、</w:t>
            </w:r>
            <w:r>
              <w:rPr>
                <w:rFonts w:hint="eastAsia"/>
                <w:highlight w:val="none"/>
              </w:rPr>
              <w:t>建立生活垃圾分类工作协调机制，明确工作分工，完善队伍建设，建立责任清单</w:t>
            </w:r>
            <w:r>
              <w:rPr>
                <w:rFonts w:hint="eastAsia"/>
                <w:highlight w:val="none"/>
                <w:lang w:eastAsia="zh-CN"/>
              </w:rPr>
              <w:t>。</w:t>
            </w:r>
          </w:p>
          <w:p>
            <w:pPr>
              <w:pStyle w:val="2"/>
              <w:rPr>
                <w:rFonts w:hint="eastAsia"/>
                <w:highlight w:val="none"/>
                <w:lang w:eastAsia="zh-CN"/>
              </w:rPr>
            </w:pPr>
            <w:r>
              <w:rPr>
                <w:rFonts w:hint="eastAsia"/>
                <w:highlight w:val="none"/>
                <w:lang w:val="en-US" w:eastAsia="zh-CN"/>
              </w:rPr>
              <w:t>2、</w:t>
            </w:r>
            <w:r>
              <w:rPr>
                <w:rFonts w:hint="eastAsia"/>
                <w:highlight w:val="none"/>
              </w:rPr>
              <w:t>建立年度考核制度并有效执行</w:t>
            </w:r>
            <w:r>
              <w:rPr>
                <w:rFonts w:hint="eastAsia"/>
                <w:highlight w:val="none"/>
                <w:lang w:eastAsia="zh-CN"/>
              </w:rPr>
              <w:t>。</w:t>
            </w:r>
          </w:p>
          <w:p>
            <w:pPr>
              <w:pStyle w:val="2"/>
              <w:rPr>
                <w:rFonts w:hint="eastAsia"/>
                <w:highlight w:val="none"/>
                <w:lang w:eastAsia="zh-CN"/>
              </w:rPr>
            </w:pPr>
            <w:r>
              <w:rPr>
                <w:rFonts w:hint="eastAsia"/>
                <w:highlight w:val="none"/>
                <w:lang w:val="en-US" w:eastAsia="zh-CN"/>
              </w:rPr>
              <w:t>3、制定</w:t>
            </w:r>
            <w:r>
              <w:rPr>
                <w:rFonts w:hint="eastAsia"/>
                <w:highlight w:val="none"/>
              </w:rPr>
              <w:t>生活垃圾分类年度工作方案</w:t>
            </w:r>
            <w:r>
              <w:rPr>
                <w:rFonts w:hint="eastAsia"/>
                <w:highlight w:val="none"/>
                <w:lang w:eastAsia="zh-CN"/>
              </w:rPr>
              <w:t>。</w:t>
            </w:r>
          </w:p>
          <w:p>
            <w:pPr>
              <w:pStyle w:val="2"/>
              <w:rPr>
                <w:rFonts w:hint="eastAsia"/>
                <w:highlight w:val="none"/>
              </w:rPr>
            </w:pPr>
            <w:r>
              <w:rPr>
                <w:rFonts w:hint="eastAsia"/>
                <w:highlight w:val="none"/>
                <w:lang w:val="en-US" w:eastAsia="zh-CN"/>
              </w:rPr>
              <w:t>4、</w:t>
            </w:r>
            <w:r>
              <w:rPr>
                <w:rFonts w:hint="eastAsia"/>
                <w:highlight w:val="none"/>
              </w:rPr>
              <w:t>收集容器颜色、垃圾种类、标志标识符合标准，收集容器无破损、脏污、冒溢问题，颜色与标志标识对应，标志标识完整正确；无垃圾随意堆积；无混合倒桶及出桶混合摆放。</w:t>
            </w:r>
          </w:p>
          <w:p>
            <w:pPr>
              <w:pStyle w:val="2"/>
              <w:rPr>
                <w:rFonts w:hint="eastAsia"/>
                <w:highlight w:val="none"/>
              </w:rPr>
            </w:pPr>
            <w:r>
              <w:rPr>
                <w:rFonts w:hint="eastAsia"/>
                <w:highlight w:val="none"/>
                <w:lang w:val="en-US" w:eastAsia="zh-CN"/>
              </w:rPr>
              <w:t>5</w:t>
            </w:r>
            <w:r>
              <w:rPr>
                <w:rFonts w:hint="eastAsia"/>
                <w:highlight w:val="none"/>
                <w:lang w:eastAsia="zh-CN"/>
              </w:rPr>
              <w:t>、</w:t>
            </w:r>
            <w:r>
              <w:rPr>
                <w:rFonts w:hint="eastAsia"/>
                <w:highlight w:val="none"/>
              </w:rPr>
              <w:t>可回收物、其他垃圾、有害垃圾收集容器分类准确。</w:t>
            </w:r>
          </w:p>
          <w:p>
            <w:pPr>
              <w:pStyle w:val="2"/>
              <w:rPr>
                <w:rFonts w:hint="default"/>
                <w:highlight w:val="none"/>
                <w:lang w:val="en-US" w:eastAsia="zh-CN"/>
              </w:rPr>
            </w:pPr>
            <w:r>
              <w:rPr>
                <w:rFonts w:hint="eastAsia"/>
                <w:highlight w:val="none"/>
                <w:lang w:val="en-US" w:eastAsia="zh-CN"/>
              </w:rPr>
              <w:t>6、</w:t>
            </w:r>
            <w:r>
              <w:rPr>
                <w:rFonts w:hint="eastAsia"/>
                <w:highlight w:val="none"/>
              </w:rPr>
              <w:t>分类指导员上岗指导。</w:t>
            </w:r>
          </w:p>
        </w:tc>
        <w:tc>
          <w:tcPr>
            <w:tcW w:w="419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pStyle w:val="2"/>
              <w:rPr>
                <w:rFonts w:hint="eastAsia"/>
                <w:highlight w:val="none"/>
              </w:rPr>
            </w:pPr>
            <w:r>
              <w:rPr>
                <w:rFonts w:hint="eastAsia"/>
                <w:highlight w:val="none"/>
                <w:lang w:val="en-US" w:eastAsia="zh-CN"/>
              </w:rPr>
              <w:t>1、</w:t>
            </w:r>
            <w:r>
              <w:rPr>
                <w:rFonts w:hint="eastAsia"/>
                <w:highlight w:val="none"/>
              </w:rPr>
              <w:t>未建立领导小组，小组成员职责不清、分工不明的，</w:t>
            </w:r>
            <w:r>
              <w:rPr>
                <w:rFonts w:hint="eastAsia"/>
                <w:highlight w:val="none"/>
                <w:lang w:val="en-US" w:eastAsia="zh-CN"/>
              </w:rPr>
              <w:t>扣2分</w:t>
            </w:r>
            <w:r>
              <w:rPr>
                <w:rFonts w:hint="eastAsia"/>
                <w:highlight w:val="none"/>
              </w:rPr>
              <w:t>。</w:t>
            </w:r>
          </w:p>
          <w:p>
            <w:pPr>
              <w:pStyle w:val="2"/>
              <w:rPr>
                <w:rFonts w:hint="eastAsia"/>
                <w:highlight w:val="none"/>
              </w:rPr>
            </w:pPr>
            <w:r>
              <w:rPr>
                <w:rFonts w:hint="eastAsia"/>
                <w:highlight w:val="none"/>
                <w:lang w:val="en-US" w:eastAsia="zh-CN"/>
              </w:rPr>
              <w:t>2、</w:t>
            </w:r>
            <w:r>
              <w:rPr>
                <w:rFonts w:hint="eastAsia"/>
                <w:highlight w:val="none"/>
              </w:rPr>
              <w:t>未建立生活垃圾分类分级考核制度，</w:t>
            </w:r>
            <w:r>
              <w:rPr>
                <w:rFonts w:hint="eastAsia"/>
                <w:highlight w:val="none"/>
                <w:lang w:val="en-US" w:eastAsia="zh-CN"/>
              </w:rPr>
              <w:t>扣2分</w:t>
            </w:r>
            <w:r>
              <w:rPr>
                <w:rFonts w:hint="eastAsia"/>
                <w:highlight w:val="none"/>
              </w:rPr>
              <w:t>。每月未对各村分类情况考核通报，通报不全的扣</w:t>
            </w:r>
            <w:r>
              <w:rPr>
                <w:rFonts w:hint="eastAsia"/>
                <w:highlight w:val="none"/>
                <w:lang w:val="en-US" w:eastAsia="zh-CN"/>
              </w:rPr>
              <w:t>1</w:t>
            </w:r>
            <w:r>
              <w:rPr>
                <w:rFonts w:hint="eastAsia"/>
                <w:highlight w:val="none"/>
              </w:rPr>
              <w:t>分。</w:t>
            </w:r>
          </w:p>
          <w:p>
            <w:pPr>
              <w:pStyle w:val="2"/>
              <w:rPr>
                <w:rFonts w:hint="eastAsia"/>
                <w:highlight w:val="none"/>
              </w:rPr>
            </w:pPr>
            <w:r>
              <w:rPr>
                <w:rFonts w:hint="eastAsia"/>
                <w:highlight w:val="none"/>
                <w:lang w:val="en-US" w:eastAsia="zh-CN"/>
              </w:rPr>
              <w:t>3、</w:t>
            </w:r>
            <w:r>
              <w:rPr>
                <w:rFonts w:hint="eastAsia"/>
                <w:highlight w:val="none"/>
              </w:rPr>
              <w:t>未制定年度工作方案的，</w:t>
            </w:r>
            <w:r>
              <w:rPr>
                <w:rFonts w:hint="eastAsia"/>
                <w:highlight w:val="none"/>
                <w:lang w:val="en-US" w:eastAsia="zh-CN"/>
              </w:rPr>
              <w:t>扣2分</w:t>
            </w:r>
            <w:r>
              <w:rPr>
                <w:rFonts w:hint="eastAsia"/>
                <w:highlight w:val="none"/>
              </w:rPr>
              <w:t>。</w:t>
            </w:r>
          </w:p>
          <w:p>
            <w:pPr>
              <w:pStyle w:val="2"/>
              <w:rPr>
                <w:rFonts w:hint="eastAsia"/>
                <w:highlight w:val="none"/>
                <w:lang w:val="en-US" w:eastAsia="zh-CN"/>
              </w:rPr>
            </w:pPr>
            <w:r>
              <w:rPr>
                <w:rFonts w:hint="eastAsia"/>
                <w:highlight w:val="none"/>
                <w:lang w:val="en-US" w:eastAsia="zh-CN"/>
              </w:rPr>
              <w:t>4、</w:t>
            </w:r>
            <w:r>
              <w:rPr>
                <w:rFonts w:hint="eastAsia"/>
                <w:highlight w:val="none"/>
              </w:rPr>
              <w:t>收集容器颜色、垃圾种类、标志标识</w:t>
            </w:r>
            <w:r>
              <w:rPr>
                <w:rFonts w:hint="eastAsia"/>
                <w:highlight w:val="none"/>
                <w:lang w:val="en-US" w:eastAsia="zh-CN"/>
              </w:rPr>
              <w:t>不</w:t>
            </w:r>
            <w:r>
              <w:rPr>
                <w:rFonts w:hint="eastAsia"/>
                <w:highlight w:val="none"/>
              </w:rPr>
              <w:t>符合标准</w:t>
            </w:r>
            <w:r>
              <w:rPr>
                <w:rFonts w:hint="eastAsia"/>
                <w:highlight w:val="none"/>
                <w:lang w:eastAsia="zh-CN"/>
              </w:rPr>
              <w:t>的</w:t>
            </w:r>
            <w:r>
              <w:rPr>
                <w:rFonts w:hint="eastAsia"/>
                <w:highlight w:val="none"/>
              </w:rPr>
              <w:t>，</w:t>
            </w:r>
            <w:r>
              <w:rPr>
                <w:rFonts w:hint="eastAsia"/>
                <w:highlight w:val="none"/>
                <w:lang w:val="en-US" w:eastAsia="zh-CN"/>
              </w:rPr>
              <w:t>每次扣1分；</w:t>
            </w:r>
            <w:r>
              <w:rPr>
                <w:rFonts w:hint="eastAsia"/>
                <w:highlight w:val="none"/>
              </w:rPr>
              <w:t>收集容器</w:t>
            </w:r>
            <w:r>
              <w:rPr>
                <w:rFonts w:hint="eastAsia"/>
                <w:highlight w:val="none"/>
                <w:lang w:val="en-US" w:eastAsia="zh-CN"/>
              </w:rPr>
              <w:t>有</w:t>
            </w:r>
            <w:r>
              <w:rPr>
                <w:rFonts w:hint="eastAsia"/>
                <w:highlight w:val="none"/>
              </w:rPr>
              <w:t>破损、脏污、冒溢问题</w:t>
            </w:r>
            <w:r>
              <w:rPr>
                <w:rFonts w:hint="eastAsia"/>
                <w:highlight w:val="none"/>
                <w:lang w:eastAsia="zh-CN"/>
              </w:rPr>
              <w:t>的</w:t>
            </w:r>
            <w:r>
              <w:rPr>
                <w:rFonts w:hint="eastAsia"/>
                <w:highlight w:val="none"/>
              </w:rPr>
              <w:t>，</w:t>
            </w:r>
            <w:r>
              <w:rPr>
                <w:rFonts w:hint="eastAsia"/>
                <w:highlight w:val="none"/>
                <w:lang w:val="en-US" w:eastAsia="zh-CN"/>
              </w:rPr>
              <w:t>每次扣0.5分；</w:t>
            </w:r>
            <w:r>
              <w:rPr>
                <w:rFonts w:hint="eastAsia"/>
                <w:highlight w:val="none"/>
              </w:rPr>
              <w:t>颜色与标志标识</w:t>
            </w:r>
            <w:r>
              <w:rPr>
                <w:rFonts w:hint="eastAsia"/>
                <w:highlight w:val="none"/>
                <w:lang w:val="en-US" w:eastAsia="zh-CN"/>
              </w:rPr>
              <w:t>未</w:t>
            </w:r>
            <w:r>
              <w:rPr>
                <w:rFonts w:hint="eastAsia"/>
                <w:highlight w:val="none"/>
              </w:rPr>
              <w:t>对应，标志标识</w:t>
            </w:r>
            <w:r>
              <w:rPr>
                <w:rFonts w:hint="eastAsia"/>
                <w:highlight w:val="none"/>
                <w:lang w:val="en-US" w:eastAsia="zh-CN"/>
              </w:rPr>
              <w:t>存在错误的，每次扣0.5分</w:t>
            </w:r>
            <w:r>
              <w:rPr>
                <w:rFonts w:hint="eastAsia"/>
                <w:highlight w:val="none"/>
              </w:rPr>
              <w:t>；垃圾随意堆积</w:t>
            </w:r>
            <w:r>
              <w:rPr>
                <w:rFonts w:hint="eastAsia"/>
                <w:highlight w:val="none"/>
                <w:lang w:val="en-US" w:eastAsia="zh-CN"/>
              </w:rPr>
              <w:t>的，每次扣2分；混合倒桶或出桶混合摆放的，每次扣2分。</w:t>
            </w:r>
          </w:p>
          <w:p>
            <w:pPr>
              <w:pStyle w:val="2"/>
              <w:rPr>
                <w:rFonts w:hint="eastAsia"/>
                <w:highlight w:val="none"/>
                <w:lang w:val="en-US" w:eastAsia="zh-CN"/>
              </w:rPr>
            </w:pPr>
            <w:r>
              <w:rPr>
                <w:rFonts w:hint="eastAsia"/>
                <w:highlight w:val="none"/>
                <w:lang w:val="en-US" w:eastAsia="zh-CN"/>
              </w:rPr>
              <w:t>5、可回收物、其他垃圾、有害垃圾收集容器未分类准确的，每次扣1分。</w:t>
            </w:r>
          </w:p>
          <w:p>
            <w:pPr>
              <w:pStyle w:val="2"/>
              <w:rPr>
                <w:rFonts w:hint="eastAsia"/>
                <w:highlight w:val="none"/>
                <w:lang w:val="en-US" w:eastAsia="zh-CN"/>
              </w:rPr>
            </w:pPr>
            <w:r>
              <w:rPr>
                <w:rFonts w:hint="eastAsia"/>
                <w:highlight w:val="none"/>
                <w:lang w:val="en-US" w:eastAsia="zh-CN"/>
              </w:rPr>
              <w:t>6、早晚投放高峰期（各2个小时）内，未发现指导员上岗的，每发现一个村未上岗的扣2分。实现电动车上门收集的视为指导员上岗。</w:t>
            </w:r>
          </w:p>
        </w:tc>
      </w:tr>
      <w:tr>
        <w:tblPrEx>
          <w:tblCellMar>
            <w:top w:w="0" w:type="dxa"/>
            <w:left w:w="0" w:type="dxa"/>
            <w:bottom w:w="0" w:type="dxa"/>
            <w:right w:w="0" w:type="dxa"/>
          </w:tblCellMar>
        </w:tblPrEx>
        <w:trPr>
          <w:trHeight w:val="416" w:hRule="atLeast"/>
          <w:jc w:val="center"/>
        </w:trPr>
        <w:tc>
          <w:tcPr>
            <w:tcW w:w="1421" w:type="dxa"/>
            <w:tcBorders>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default" w:ascii="宋体" w:hAnsi="宋体" w:cs="仿宋_GB2312"/>
                <w:color w:val="auto"/>
                <w:szCs w:val="21"/>
                <w:highlight w:val="none"/>
                <w:lang w:val="en-US" w:eastAsia="zh-CN"/>
              </w:rPr>
            </w:pPr>
            <w:r>
              <w:rPr>
                <w:rFonts w:hint="eastAsia" w:ascii="宋体" w:hAnsi="宋体" w:cs="仿宋_GB2312"/>
                <w:color w:val="auto"/>
                <w:szCs w:val="21"/>
                <w:highlight w:val="none"/>
                <w:lang w:val="en-US" w:eastAsia="zh-CN"/>
              </w:rPr>
              <w:t>三乱清除</w:t>
            </w:r>
          </w:p>
        </w:tc>
        <w:tc>
          <w:tcPr>
            <w:tcW w:w="332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left"/>
              <w:rPr>
                <w:rFonts w:hint="eastAsia" w:ascii="宋体" w:hAnsi="宋体" w:cs="仿宋_GB2312"/>
                <w:color w:val="auto"/>
                <w:szCs w:val="21"/>
                <w:highlight w:val="none"/>
                <w:lang w:val="en-US" w:eastAsia="zh-CN"/>
              </w:rPr>
            </w:pPr>
            <w:r>
              <w:rPr>
                <w:rFonts w:hint="eastAsia" w:ascii="宋体" w:hAnsi="宋体" w:cs="仿宋_GB2312"/>
                <w:color w:val="auto"/>
                <w:szCs w:val="21"/>
                <w:highlight w:val="none"/>
                <w:lang w:val="en-US" w:eastAsia="zh-CN"/>
              </w:rPr>
              <w:t>1、全面清除规定范围内的所有三乱（乱张贴、乱涂写、乱刻画），并做好日常的清洁维护工作。清除区域范围包括路段及区域视线所及范围内的建（构）筑物、路面、各类设施与杆件等所有非流动物体的平面、立面。</w:t>
            </w:r>
          </w:p>
          <w:p>
            <w:pPr>
              <w:jc w:val="left"/>
              <w:rPr>
                <w:rFonts w:hint="eastAsia" w:ascii="宋体" w:hAnsi="宋体" w:cs="仿宋_GB2312"/>
                <w:color w:val="auto"/>
                <w:szCs w:val="21"/>
                <w:highlight w:val="none"/>
                <w:lang w:val="en-US" w:eastAsia="zh-CN"/>
              </w:rPr>
            </w:pPr>
            <w:r>
              <w:rPr>
                <w:rFonts w:hint="eastAsia" w:ascii="宋体" w:hAnsi="宋体" w:cs="仿宋_GB2312"/>
                <w:color w:val="auto"/>
                <w:szCs w:val="21"/>
                <w:highlight w:val="none"/>
                <w:lang w:val="en-US" w:eastAsia="zh-CN"/>
              </w:rPr>
              <w:t>2、清除作业应在不破坏材质原貌的基础上予以彻底清除，不留痕迹。</w:t>
            </w:r>
          </w:p>
          <w:p>
            <w:pPr>
              <w:jc w:val="left"/>
              <w:rPr>
                <w:rFonts w:hint="default" w:ascii="宋体" w:hAnsi="宋体" w:cs="仿宋_GB2312"/>
                <w:color w:val="auto"/>
                <w:szCs w:val="21"/>
                <w:highlight w:val="none"/>
                <w:lang w:val="en-US" w:eastAsia="zh-CN"/>
              </w:rPr>
            </w:pPr>
            <w:r>
              <w:rPr>
                <w:rFonts w:hint="eastAsia" w:ascii="宋体" w:hAnsi="宋体" w:cs="仿宋_GB2312"/>
                <w:color w:val="auto"/>
                <w:szCs w:val="21"/>
                <w:highlight w:val="none"/>
                <w:lang w:val="en-US" w:eastAsia="zh-CN"/>
              </w:rPr>
              <w:t>3、清除过程中应保持周边环境整洁，清除物不得遗留在地面。</w:t>
            </w:r>
          </w:p>
        </w:tc>
        <w:tc>
          <w:tcPr>
            <w:tcW w:w="419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left"/>
              <w:rPr>
                <w:rFonts w:hint="eastAsia" w:ascii="宋体" w:hAnsi="宋体" w:cs="仿宋_GB2312"/>
                <w:color w:val="auto"/>
                <w:szCs w:val="21"/>
                <w:highlight w:val="none"/>
                <w:lang w:val="en-US" w:eastAsia="zh-CN"/>
              </w:rPr>
            </w:pPr>
            <w:r>
              <w:rPr>
                <w:rFonts w:hint="eastAsia" w:ascii="宋体" w:hAnsi="宋体" w:cs="仿宋_GB2312"/>
                <w:color w:val="auto"/>
                <w:szCs w:val="21"/>
                <w:highlight w:val="none"/>
                <w:lang w:val="en-US" w:eastAsia="zh-CN"/>
              </w:rPr>
              <w:t>1、乱涂写、乱张贴、乱刻画每发现一个扣0.1分。</w:t>
            </w:r>
          </w:p>
          <w:p>
            <w:pPr>
              <w:jc w:val="left"/>
              <w:rPr>
                <w:rFonts w:hint="eastAsia" w:ascii="宋体" w:hAnsi="宋体" w:cs="仿宋_GB2312"/>
                <w:color w:val="auto"/>
                <w:szCs w:val="21"/>
                <w:highlight w:val="none"/>
                <w:lang w:val="en-US" w:eastAsia="zh-CN"/>
              </w:rPr>
            </w:pPr>
            <w:r>
              <w:rPr>
                <w:rFonts w:hint="eastAsia" w:ascii="宋体" w:hAnsi="宋体" w:cs="仿宋_GB2312"/>
                <w:color w:val="auto"/>
                <w:szCs w:val="21"/>
                <w:highlight w:val="none"/>
                <w:lang w:val="en-US" w:eastAsia="zh-CN"/>
              </w:rPr>
              <w:t>2、清除不到位或清除不完全的，每处扣0.1分。</w:t>
            </w:r>
          </w:p>
          <w:p>
            <w:pPr>
              <w:jc w:val="left"/>
              <w:rPr>
                <w:rFonts w:hint="default" w:ascii="宋体" w:hAnsi="宋体" w:cs="仿宋_GB2312"/>
                <w:color w:val="auto"/>
                <w:szCs w:val="21"/>
                <w:highlight w:val="none"/>
                <w:lang w:val="en-US" w:eastAsia="zh-CN"/>
              </w:rPr>
            </w:pPr>
            <w:r>
              <w:rPr>
                <w:rFonts w:hint="eastAsia" w:ascii="宋体" w:hAnsi="宋体" w:cs="仿宋_GB2312"/>
                <w:color w:val="auto"/>
                <w:szCs w:val="21"/>
                <w:highlight w:val="none"/>
                <w:lang w:val="en-US" w:eastAsia="zh-CN"/>
              </w:rPr>
              <w:t>3、清除物遗留地面的每处扣0.1分。</w:t>
            </w:r>
          </w:p>
        </w:tc>
      </w:tr>
      <w:tr>
        <w:tblPrEx>
          <w:tblCellMar>
            <w:top w:w="0" w:type="dxa"/>
            <w:left w:w="0" w:type="dxa"/>
            <w:bottom w:w="0" w:type="dxa"/>
            <w:right w:w="0" w:type="dxa"/>
          </w:tblCellMar>
        </w:tblPrEx>
        <w:trPr>
          <w:trHeight w:val="90" w:hRule="atLeast"/>
          <w:jc w:val="center"/>
        </w:trPr>
        <w:tc>
          <w:tcPr>
            <w:tcW w:w="1421"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仿宋_GB2312"/>
                <w:color w:val="auto"/>
                <w:szCs w:val="21"/>
                <w:highlight w:val="none"/>
              </w:rPr>
            </w:pPr>
            <w:r>
              <w:rPr>
                <w:rFonts w:hint="eastAsia" w:ascii="宋体" w:hAnsi="宋体" w:eastAsia="宋体" w:cs="仿宋_GB2312"/>
                <w:color w:val="auto"/>
                <w:szCs w:val="21"/>
                <w:highlight w:val="none"/>
              </w:rPr>
              <w:t>安全管理</w:t>
            </w:r>
          </w:p>
        </w:tc>
        <w:tc>
          <w:tcPr>
            <w:tcW w:w="3328"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eastAsia="宋体" w:cs="仿宋_GB2312"/>
                <w:color w:val="auto"/>
                <w:kern w:val="0"/>
                <w:szCs w:val="21"/>
                <w:highlight w:val="none"/>
                <w:lang w:bidi="ar"/>
              </w:rPr>
            </w:pPr>
            <w:r>
              <w:rPr>
                <w:rFonts w:hint="eastAsia" w:ascii="宋体" w:hAnsi="宋体" w:eastAsia="宋体" w:cs="仿宋_GB2312"/>
                <w:color w:val="auto"/>
                <w:kern w:val="0"/>
                <w:szCs w:val="21"/>
                <w:highlight w:val="none"/>
                <w:lang w:bidi="ar"/>
              </w:rPr>
              <w:t>无安全责任事故</w:t>
            </w:r>
          </w:p>
        </w:tc>
        <w:tc>
          <w:tcPr>
            <w:tcW w:w="4197"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jc w:val="left"/>
              <w:rPr>
                <w:rFonts w:ascii="宋体" w:hAnsi="宋体" w:eastAsia="宋体" w:cs="仿宋_GB2312"/>
                <w:color w:val="auto"/>
                <w:szCs w:val="21"/>
                <w:highlight w:val="none"/>
              </w:rPr>
            </w:pPr>
            <w:r>
              <w:rPr>
                <w:rFonts w:hint="eastAsia" w:ascii="宋体" w:hAnsi="宋体" w:eastAsia="宋体" w:cs="仿宋_GB2312"/>
                <w:color w:val="auto"/>
                <w:kern w:val="0"/>
                <w:szCs w:val="21"/>
                <w:highlight w:val="none"/>
              </w:rPr>
              <w:t>若</w:t>
            </w:r>
            <w:r>
              <w:rPr>
                <w:rFonts w:hint="eastAsia" w:ascii="宋体" w:hAnsi="宋体" w:eastAsia="宋体" w:cs="仿宋_GB2312"/>
                <w:color w:val="auto"/>
                <w:szCs w:val="21"/>
                <w:highlight w:val="none"/>
              </w:rPr>
              <w:t>发生安全事故，处理不当的扣款10000-</w:t>
            </w:r>
            <w:r>
              <w:rPr>
                <w:rFonts w:hint="eastAsia" w:ascii="宋体" w:hAnsi="宋体" w:cs="仿宋_GB2312"/>
                <w:color w:val="auto"/>
                <w:szCs w:val="21"/>
                <w:highlight w:val="none"/>
                <w:lang w:val="en-US" w:eastAsia="zh-CN"/>
              </w:rPr>
              <w:t>10</w:t>
            </w:r>
            <w:r>
              <w:rPr>
                <w:rFonts w:hint="eastAsia" w:ascii="宋体" w:hAnsi="宋体" w:eastAsia="宋体" w:cs="仿宋_GB2312"/>
                <w:color w:val="auto"/>
                <w:szCs w:val="21"/>
                <w:highlight w:val="none"/>
              </w:rPr>
              <w:t>0000元。</w:t>
            </w:r>
          </w:p>
        </w:tc>
      </w:tr>
      <w:tr>
        <w:tblPrEx>
          <w:tblCellMar>
            <w:top w:w="0" w:type="dxa"/>
            <w:left w:w="0" w:type="dxa"/>
            <w:bottom w:w="0" w:type="dxa"/>
            <w:right w:w="0" w:type="dxa"/>
          </w:tblCellMar>
        </w:tblPrEx>
        <w:trPr>
          <w:trHeight w:val="367" w:hRule="atLeast"/>
          <w:jc w:val="center"/>
        </w:trPr>
        <w:tc>
          <w:tcPr>
            <w:tcW w:w="1421" w:type="dxa"/>
            <w:tcBorders>
              <w:top w:val="single" w:color="auto" w:sz="4" w:space="0"/>
              <w:left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仿宋_GB2312"/>
                <w:color w:val="auto"/>
                <w:szCs w:val="21"/>
                <w:highlight w:val="none"/>
              </w:rPr>
            </w:pPr>
            <w:r>
              <w:rPr>
                <w:rFonts w:hint="eastAsia" w:ascii="宋体" w:hAnsi="宋体" w:cs="仿宋_GB2312"/>
                <w:color w:val="auto"/>
                <w:szCs w:val="21"/>
                <w:highlight w:val="none"/>
                <w:lang w:val="en-US" w:eastAsia="zh-CN"/>
              </w:rPr>
              <w:t>垃圾分类</w:t>
            </w:r>
            <w:r>
              <w:rPr>
                <w:rFonts w:hint="eastAsia" w:ascii="宋体" w:hAnsi="宋体" w:eastAsia="宋体" w:cs="仿宋_GB2312"/>
                <w:color w:val="auto"/>
                <w:szCs w:val="21"/>
                <w:highlight w:val="none"/>
              </w:rPr>
              <w:t>宣传引导</w:t>
            </w:r>
          </w:p>
        </w:tc>
        <w:tc>
          <w:tcPr>
            <w:tcW w:w="3328"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numPr>
                <w:ilvl w:val="0"/>
                <w:numId w:val="0"/>
              </w:numPr>
              <w:jc w:val="left"/>
              <w:rPr>
                <w:rFonts w:hint="eastAsia" w:ascii="宋体" w:hAnsi="宋体" w:cs="仿宋_GB2312"/>
                <w:color w:val="auto"/>
                <w:szCs w:val="21"/>
                <w:highlight w:val="none"/>
                <w:lang w:val="en-US" w:eastAsia="zh-CN"/>
              </w:rPr>
            </w:pPr>
            <w:r>
              <w:rPr>
                <w:rFonts w:hint="eastAsia" w:ascii="宋体" w:hAnsi="宋体" w:cs="仿宋_GB2312"/>
                <w:color w:val="auto"/>
                <w:szCs w:val="21"/>
                <w:highlight w:val="none"/>
                <w:lang w:val="en-US" w:eastAsia="zh-CN"/>
              </w:rPr>
              <w:t>1、每月至少对分类指导员、上门收集员开展五次垃圾分类培训。</w:t>
            </w:r>
          </w:p>
          <w:p>
            <w:pPr>
              <w:numPr>
                <w:ilvl w:val="0"/>
                <w:numId w:val="0"/>
              </w:numPr>
              <w:jc w:val="left"/>
              <w:rPr>
                <w:rFonts w:hint="eastAsia" w:ascii="宋体" w:hAnsi="宋体" w:cs="仿宋_GB2312"/>
                <w:color w:val="auto"/>
                <w:szCs w:val="21"/>
                <w:highlight w:val="none"/>
                <w:lang w:val="en-US" w:eastAsia="zh-CN"/>
              </w:rPr>
            </w:pPr>
            <w:r>
              <w:rPr>
                <w:rFonts w:hint="eastAsia" w:ascii="宋体" w:hAnsi="宋体" w:cs="仿宋_GB2312"/>
                <w:color w:val="auto"/>
                <w:szCs w:val="21"/>
                <w:highlight w:val="none"/>
                <w:lang w:val="en-US" w:eastAsia="zh-CN"/>
              </w:rPr>
              <w:t>2、对村庄住户入户宣传垃圾分类，宣传户数不少于入住户数的90%，</w:t>
            </w:r>
            <w:r>
              <w:rPr>
                <w:rFonts w:hint="eastAsia"/>
                <w:highlight w:val="none"/>
                <w:lang w:val="en-US" w:eastAsia="zh-CN"/>
              </w:rPr>
              <w:t>引导村民完成垃圾分类</w:t>
            </w:r>
            <w:r>
              <w:rPr>
                <w:rFonts w:hint="eastAsia" w:ascii="宋体" w:hAnsi="宋体" w:cs="仿宋_GB2312"/>
                <w:color w:val="auto"/>
                <w:szCs w:val="21"/>
                <w:highlight w:val="none"/>
                <w:lang w:val="en-US" w:eastAsia="zh-CN"/>
              </w:rPr>
              <w:t>。</w:t>
            </w:r>
          </w:p>
        </w:tc>
        <w:tc>
          <w:tcPr>
            <w:tcW w:w="4197"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jc w:val="left"/>
              <w:rPr>
                <w:rFonts w:hint="eastAsia" w:ascii="宋体" w:hAnsi="宋体" w:cs="仿宋_GB2312"/>
                <w:color w:val="auto"/>
                <w:szCs w:val="21"/>
                <w:highlight w:val="none"/>
                <w:lang w:val="en-US" w:eastAsia="zh-CN"/>
              </w:rPr>
            </w:pPr>
            <w:r>
              <w:rPr>
                <w:rFonts w:hint="eastAsia" w:ascii="宋体" w:hAnsi="宋体" w:cs="仿宋_GB2312"/>
                <w:color w:val="auto"/>
                <w:szCs w:val="21"/>
                <w:highlight w:val="none"/>
                <w:lang w:val="en-US" w:eastAsia="zh-CN"/>
              </w:rPr>
              <w:t>1、开展四次的扣0.5分，三次的扣1分，二次的扣1.5分，开展一次及以下的，扣3分。</w:t>
            </w:r>
          </w:p>
          <w:p>
            <w:pPr>
              <w:jc w:val="left"/>
              <w:rPr>
                <w:rFonts w:hint="eastAsia" w:ascii="宋体" w:hAnsi="宋体" w:cs="仿宋_GB2312"/>
                <w:color w:val="auto"/>
                <w:szCs w:val="21"/>
                <w:highlight w:val="none"/>
                <w:lang w:val="en-US" w:eastAsia="zh-CN"/>
              </w:rPr>
            </w:pPr>
            <w:r>
              <w:rPr>
                <w:rFonts w:hint="eastAsia" w:ascii="宋体" w:hAnsi="宋体" w:cs="仿宋_GB2312"/>
                <w:color w:val="auto"/>
                <w:szCs w:val="21"/>
                <w:highlight w:val="none"/>
                <w:lang w:val="en-US" w:eastAsia="zh-CN"/>
              </w:rPr>
              <w:t>2、开展入户宣传数量达到入住户数90%的不扣分；达到入住户数85%的，扣1分；低于入住户数85%的，扣3分。</w:t>
            </w:r>
          </w:p>
        </w:tc>
      </w:tr>
      <w:tr>
        <w:tblPrEx>
          <w:tblCellMar>
            <w:top w:w="0" w:type="dxa"/>
            <w:left w:w="0" w:type="dxa"/>
            <w:bottom w:w="0" w:type="dxa"/>
            <w:right w:w="0" w:type="dxa"/>
          </w:tblCellMar>
        </w:tblPrEx>
        <w:trPr>
          <w:trHeight w:val="244" w:hRule="atLeast"/>
          <w:jc w:val="center"/>
        </w:trPr>
        <w:tc>
          <w:tcPr>
            <w:tcW w:w="1421"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仿宋_GB2312"/>
                <w:color w:val="auto"/>
                <w:szCs w:val="21"/>
                <w:highlight w:val="none"/>
              </w:rPr>
            </w:pPr>
            <w:r>
              <w:rPr>
                <w:rFonts w:hint="eastAsia" w:ascii="宋体" w:hAnsi="宋体" w:eastAsia="宋体" w:cs="仿宋_GB2312"/>
                <w:color w:val="auto"/>
                <w:szCs w:val="21"/>
                <w:highlight w:val="none"/>
              </w:rPr>
              <w:t>台账信息</w:t>
            </w:r>
          </w:p>
        </w:tc>
        <w:tc>
          <w:tcPr>
            <w:tcW w:w="3328"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jc w:val="left"/>
              <w:rPr>
                <w:rFonts w:hint="eastAsia"/>
                <w:highlight w:val="none"/>
                <w:lang w:val="en-US" w:eastAsia="zh-CN"/>
              </w:rPr>
            </w:pPr>
            <w:r>
              <w:rPr>
                <w:rFonts w:hint="eastAsia"/>
                <w:highlight w:val="none"/>
                <w:lang w:val="en-US" w:eastAsia="zh-CN"/>
              </w:rPr>
              <w:t>1、及时报送台账。</w:t>
            </w:r>
          </w:p>
          <w:p>
            <w:pPr>
              <w:pStyle w:val="2"/>
              <w:rPr>
                <w:rFonts w:hint="default"/>
                <w:highlight w:val="none"/>
                <w:lang w:val="en-US" w:eastAsia="zh-CN"/>
              </w:rPr>
            </w:pPr>
            <w:r>
              <w:rPr>
                <w:rFonts w:hint="eastAsia"/>
                <w:highlight w:val="none"/>
                <w:lang w:val="en-US" w:eastAsia="zh-CN"/>
              </w:rPr>
              <w:t>2、</w:t>
            </w:r>
            <w:r>
              <w:rPr>
                <w:rFonts w:hint="eastAsia" w:ascii="宋体" w:hAnsi="宋体" w:cs="仿宋_GB2312"/>
                <w:color w:val="auto"/>
                <w:szCs w:val="21"/>
                <w:highlight w:val="none"/>
                <w:lang w:val="en-US" w:eastAsia="zh-CN"/>
              </w:rPr>
              <w:t>按要求设置台账。</w:t>
            </w:r>
          </w:p>
        </w:tc>
        <w:tc>
          <w:tcPr>
            <w:tcW w:w="4197"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jc w:val="left"/>
              <w:rPr>
                <w:rFonts w:hint="eastAsia"/>
                <w:highlight w:val="none"/>
                <w:lang w:val="en-US" w:eastAsia="zh-CN"/>
              </w:rPr>
            </w:pPr>
            <w:r>
              <w:rPr>
                <w:rFonts w:hint="eastAsia"/>
                <w:highlight w:val="none"/>
                <w:lang w:val="en-US" w:eastAsia="zh-CN"/>
              </w:rPr>
              <w:t>1、未按要求报送台账表格，扣2分；报送不及时的每次扣0.2分；报送不合格两次以上的，扣2分。</w:t>
            </w:r>
          </w:p>
          <w:p>
            <w:pPr>
              <w:pStyle w:val="2"/>
              <w:rPr>
                <w:rFonts w:hint="eastAsia"/>
                <w:highlight w:val="none"/>
                <w:lang w:val="en-US" w:eastAsia="zh-CN"/>
              </w:rPr>
            </w:pPr>
            <w:r>
              <w:rPr>
                <w:rFonts w:hint="eastAsia" w:ascii="宋体" w:hAnsi="宋体" w:cs="仿宋_GB2312"/>
                <w:color w:val="auto"/>
                <w:szCs w:val="21"/>
                <w:highlight w:val="none"/>
                <w:lang w:val="en-US" w:eastAsia="zh-CN"/>
              </w:rPr>
              <w:t>2、单独建立垃圾分类工作台账。未单独建立垃圾分类台账的</w:t>
            </w:r>
            <w:r>
              <w:rPr>
                <w:rFonts w:hint="eastAsia"/>
                <w:highlight w:val="none"/>
                <w:lang w:val="en-US" w:eastAsia="zh-CN"/>
              </w:rPr>
              <w:t>，扣2分</w:t>
            </w:r>
            <w:r>
              <w:rPr>
                <w:rFonts w:hint="eastAsia" w:ascii="宋体" w:hAnsi="宋体" w:cs="仿宋_GB2312"/>
                <w:color w:val="auto"/>
                <w:szCs w:val="21"/>
                <w:highlight w:val="none"/>
                <w:lang w:val="en-US" w:eastAsia="zh-CN"/>
              </w:rPr>
              <w:t>；信息不规范的，每处扣0.2分。</w:t>
            </w:r>
          </w:p>
        </w:tc>
      </w:tr>
    </w:tbl>
    <w:p>
      <w:pPr>
        <w:ind w:firstLine="420" w:firstLineChars="0"/>
        <w:rPr>
          <w:highlight w:val="none"/>
        </w:rPr>
      </w:pPr>
      <w:r>
        <w:rPr>
          <w:rFonts w:hint="eastAsia" w:ascii="宋体" w:hAnsi="宋体" w:eastAsia="宋体" w:cs="Times New Roman"/>
          <w:b w:val="0"/>
          <w:bCs/>
          <w:color w:val="auto"/>
          <w:kern w:val="2"/>
          <w:sz w:val="21"/>
          <w:szCs w:val="21"/>
          <w:highlight w:val="none"/>
          <w:lang w:val="en-US" w:eastAsia="zh-CN" w:bidi="ar-SA"/>
        </w:rPr>
        <w:t>备注：本考核办法为暂行规定，若合同履行过程中，考核办法有调整的，以</w:t>
      </w:r>
      <w:r>
        <w:rPr>
          <w:rFonts w:hint="eastAsia" w:ascii="宋体" w:hAnsi="宋体" w:cs="Times New Roman"/>
          <w:b w:val="0"/>
          <w:bCs/>
          <w:color w:val="auto"/>
          <w:kern w:val="2"/>
          <w:sz w:val="21"/>
          <w:szCs w:val="21"/>
          <w:highlight w:val="none"/>
          <w:lang w:val="en-US" w:eastAsia="zh-CN" w:bidi="ar-SA"/>
        </w:rPr>
        <w:t>甲方</w:t>
      </w:r>
      <w:r>
        <w:rPr>
          <w:rFonts w:hint="eastAsia" w:ascii="宋体" w:hAnsi="宋体" w:eastAsia="宋体" w:cs="Times New Roman"/>
          <w:b w:val="0"/>
          <w:bCs/>
          <w:color w:val="auto"/>
          <w:kern w:val="2"/>
          <w:sz w:val="21"/>
          <w:szCs w:val="21"/>
          <w:highlight w:val="none"/>
          <w:lang w:val="en-US" w:eastAsia="zh-CN" w:bidi="ar-SA"/>
        </w:rPr>
        <w:t>正式发文后的考核办法执行。</w:t>
      </w:r>
    </w:p>
    <w:p>
      <w:pPr>
        <w:spacing w:line="360" w:lineRule="auto"/>
        <w:rPr>
          <w:rFonts w:ascii="宋体" w:hAnsi="宋体" w:cs="宋体"/>
          <w:b/>
          <w:szCs w:val="21"/>
          <w:highlight w:val="none"/>
        </w:rPr>
      </w:pPr>
      <w:r>
        <w:rPr>
          <w:rFonts w:hint="eastAsia" w:ascii="宋体" w:hAnsi="宋体" w:cs="宋体"/>
          <w:b/>
          <w:szCs w:val="21"/>
          <w:highlight w:val="none"/>
        </w:rPr>
        <w:t>六、税</w:t>
      </w:r>
    </w:p>
    <w:p>
      <w:pPr>
        <w:spacing w:line="360" w:lineRule="auto"/>
        <w:rPr>
          <w:rFonts w:ascii="宋体" w:hAnsi="宋体" w:cs="宋体"/>
          <w:szCs w:val="21"/>
          <w:highlight w:val="none"/>
        </w:rPr>
      </w:pPr>
      <w:r>
        <w:rPr>
          <w:rFonts w:hint="eastAsia" w:ascii="宋体" w:hAnsi="宋体" w:cs="宋体"/>
          <w:szCs w:val="21"/>
          <w:highlight w:val="none"/>
        </w:rPr>
        <w:t>6.1本合同执行中相关的一切税费均由乙方负担。</w:t>
      </w:r>
    </w:p>
    <w:p>
      <w:pPr>
        <w:spacing w:line="360" w:lineRule="auto"/>
        <w:ind w:left="360" w:hanging="361" w:hangingChars="171"/>
        <w:rPr>
          <w:rFonts w:ascii="宋体" w:hAnsi="宋体" w:cs="宋体"/>
          <w:szCs w:val="21"/>
          <w:highlight w:val="none"/>
        </w:rPr>
      </w:pPr>
      <w:r>
        <w:rPr>
          <w:rFonts w:hint="eastAsia" w:ascii="宋体" w:hAnsi="宋体" w:cs="宋体"/>
          <w:b/>
          <w:szCs w:val="21"/>
          <w:highlight w:val="none"/>
        </w:rPr>
        <w:t>七、完成质量要求</w:t>
      </w:r>
    </w:p>
    <w:p>
      <w:pPr>
        <w:spacing w:line="360" w:lineRule="auto"/>
        <w:rPr>
          <w:rFonts w:ascii="宋体" w:hAnsi="宋体" w:cs="宋体"/>
          <w:szCs w:val="21"/>
          <w:highlight w:val="none"/>
        </w:rPr>
      </w:pPr>
      <w:r>
        <w:rPr>
          <w:rFonts w:hint="eastAsia" w:ascii="宋体" w:hAnsi="宋体" w:cs="宋体"/>
          <w:szCs w:val="21"/>
          <w:highlight w:val="none"/>
        </w:rPr>
        <w:t>7.1 服务期间乙方不得随意更换项目负责人，如有特殊情况需要更换，须经甲方同意确认。</w:t>
      </w:r>
    </w:p>
    <w:p>
      <w:pPr>
        <w:spacing w:line="360" w:lineRule="auto"/>
        <w:rPr>
          <w:rFonts w:ascii="宋体" w:hAnsi="宋体" w:cs="宋体"/>
          <w:szCs w:val="21"/>
          <w:highlight w:val="none"/>
        </w:rPr>
      </w:pPr>
      <w:r>
        <w:rPr>
          <w:rFonts w:hint="eastAsia" w:ascii="宋体" w:hAnsi="宋体" w:cs="宋体"/>
          <w:szCs w:val="21"/>
          <w:highlight w:val="none"/>
        </w:rPr>
        <w:t>7.2服务期间，乙方须配备足够的人员和设备。</w:t>
      </w:r>
    </w:p>
    <w:p>
      <w:pPr>
        <w:spacing w:line="360" w:lineRule="auto"/>
        <w:rPr>
          <w:rFonts w:ascii="宋体" w:hAnsi="宋体" w:cs="宋体"/>
          <w:szCs w:val="21"/>
          <w:highlight w:val="none"/>
        </w:rPr>
      </w:pPr>
      <w:r>
        <w:rPr>
          <w:rFonts w:hint="eastAsia" w:ascii="宋体" w:hAnsi="宋体" w:cs="宋体"/>
          <w:szCs w:val="21"/>
          <w:highlight w:val="none"/>
        </w:rPr>
        <w:t>7.3合同执行过程中，乙方如有弄虚作假行为，甲方有权单方面解除合同并没收全部履约保证金，由此引起的所</w:t>
      </w:r>
      <w:r>
        <w:rPr>
          <w:rFonts w:hint="eastAsia" w:ascii="宋体" w:hAnsi="宋体" w:cs="宋体"/>
          <w:szCs w:val="21"/>
          <w:highlight w:val="none"/>
          <w:lang w:val="en-US" w:eastAsia="zh-CN"/>
        </w:rPr>
        <w:t>有</w:t>
      </w:r>
      <w:r>
        <w:rPr>
          <w:rFonts w:hint="eastAsia" w:ascii="宋体" w:hAnsi="宋体" w:cs="宋体"/>
          <w:szCs w:val="21"/>
          <w:highlight w:val="none"/>
        </w:rPr>
        <w:t>损失由乙方承担。</w:t>
      </w:r>
    </w:p>
    <w:p>
      <w:pPr>
        <w:spacing w:line="360" w:lineRule="auto"/>
        <w:ind w:left="360" w:hanging="361" w:hangingChars="171"/>
        <w:rPr>
          <w:rFonts w:ascii="宋体" w:hAnsi="宋体" w:cs="宋体"/>
          <w:b/>
          <w:szCs w:val="21"/>
          <w:highlight w:val="none"/>
        </w:rPr>
      </w:pPr>
      <w:r>
        <w:rPr>
          <w:rFonts w:hint="eastAsia" w:ascii="宋体" w:hAnsi="宋体" w:cs="宋体"/>
          <w:b/>
          <w:szCs w:val="21"/>
          <w:highlight w:val="none"/>
        </w:rPr>
        <w:t>八、违约责任</w:t>
      </w:r>
    </w:p>
    <w:p>
      <w:pPr>
        <w:spacing w:line="360" w:lineRule="auto"/>
        <w:rPr>
          <w:rFonts w:ascii="宋体" w:hAnsi="宋体" w:cs="宋体"/>
          <w:szCs w:val="21"/>
          <w:highlight w:val="none"/>
        </w:rPr>
      </w:pPr>
      <w:r>
        <w:rPr>
          <w:rFonts w:hint="eastAsia" w:ascii="宋体" w:hAnsi="宋体" w:cs="宋体"/>
          <w:szCs w:val="21"/>
          <w:highlight w:val="none"/>
        </w:rPr>
        <w:t>8.1 甲方无正当理由拒收接受服务的，甲方向乙方偿付合同款项百分之五作为违约金。</w:t>
      </w:r>
    </w:p>
    <w:p>
      <w:pPr>
        <w:spacing w:line="360" w:lineRule="auto"/>
        <w:rPr>
          <w:rFonts w:ascii="宋体" w:hAnsi="宋体" w:cs="宋体"/>
          <w:szCs w:val="21"/>
          <w:highlight w:val="none"/>
        </w:rPr>
      </w:pPr>
      <w:r>
        <w:rPr>
          <w:rFonts w:hint="eastAsia" w:ascii="宋体" w:hAnsi="宋体" w:cs="宋体"/>
          <w:szCs w:val="21"/>
          <w:highlight w:val="none"/>
        </w:rPr>
        <w:t>8.2 甲方无故逾期验收和办理款项支付手续的，甲方应按逾期付款总额每日万分之五向乙方支付违约金。</w:t>
      </w:r>
    </w:p>
    <w:p>
      <w:pPr>
        <w:spacing w:line="360" w:lineRule="auto"/>
        <w:rPr>
          <w:rFonts w:ascii="宋体" w:hAnsi="宋体" w:cs="宋体"/>
          <w:szCs w:val="21"/>
          <w:highlight w:val="none"/>
        </w:rPr>
      </w:pPr>
      <w:r>
        <w:rPr>
          <w:rFonts w:hint="eastAsia" w:ascii="宋体" w:hAnsi="宋体" w:cs="宋体"/>
          <w:szCs w:val="21"/>
          <w:highlight w:val="none"/>
        </w:rPr>
        <w:t>8.3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pPr>
        <w:spacing w:line="360" w:lineRule="auto"/>
        <w:ind w:left="360" w:hanging="361" w:hangingChars="171"/>
        <w:rPr>
          <w:rFonts w:ascii="宋体" w:hAnsi="宋体" w:cs="宋体"/>
          <w:b/>
          <w:szCs w:val="21"/>
          <w:highlight w:val="none"/>
        </w:rPr>
      </w:pPr>
      <w:r>
        <w:rPr>
          <w:rFonts w:hint="eastAsia" w:ascii="宋体" w:hAnsi="宋体" w:cs="宋体"/>
          <w:b/>
          <w:szCs w:val="21"/>
          <w:highlight w:val="none"/>
        </w:rPr>
        <w:t>九、不可抗力事件处理</w:t>
      </w:r>
    </w:p>
    <w:p>
      <w:pPr>
        <w:spacing w:line="360" w:lineRule="auto"/>
        <w:rPr>
          <w:rFonts w:ascii="宋体" w:hAnsi="宋体" w:cs="宋体"/>
          <w:szCs w:val="21"/>
          <w:highlight w:val="none"/>
        </w:rPr>
      </w:pPr>
      <w:r>
        <w:rPr>
          <w:rFonts w:hint="eastAsia" w:ascii="宋体" w:hAnsi="宋体" w:cs="宋体"/>
          <w:szCs w:val="21"/>
          <w:highlight w:val="none"/>
        </w:rPr>
        <w:t>9.1 在合同有效期内，任何一方因不可抗力事件导致不能履行合同，则合同履行期可延长，其延长期与不可抗力影响期相同。</w:t>
      </w:r>
    </w:p>
    <w:p>
      <w:pPr>
        <w:spacing w:line="360" w:lineRule="auto"/>
        <w:rPr>
          <w:rFonts w:ascii="宋体" w:hAnsi="宋体" w:cs="宋体"/>
          <w:szCs w:val="21"/>
          <w:highlight w:val="none"/>
        </w:rPr>
      </w:pPr>
      <w:r>
        <w:rPr>
          <w:rFonts w:hint="eastAsia" w:ascii="宋体" w:hAnsi="宋体" w:cs="宋体"/>
          <w:szCs w:val="21"/>
          <w:highlight w:val="none"/>
        </w:rPr>
        <w:t>9.2 不可抗力事件发生后，应立即通知对方，并寄送有关权威机构出具的证明。</w:t>
      </w:r>
    </w:p>
    <w:p>
      <w:pPr>
        <w:spacing w:line="360" w:lineRule="auto"/>
        <w:rPr>
          <w:rFonts w:ascii="宋体" w:hAnsi="宋体" w:cs="宋体"/>
          <w:szCs w:val="21"/>
          <w:highlight w:val="none"/>
        </w:rPr>
      </w:pPr>
      <w:r>
        <w:rPr>
          <w:rFonts w:hint="eastAsia" w:ascii="宋体" w:hAnsi="宋体" w:cs="宋体"/>
          <w:szCs w:val="21"/>
          <w:highlight w:val="none"/>
        </w:rPr>
        <w:t>9.3 不可抗力事件延续120天以上，双方应通过友好协商，确定是否继续履行合同。</w:t>
      </w:r>
    </w:p>
    <w:p>
      <w:pPr>
        <w:spacing w:line="360" w:lineRule="auto"/>
        <w:rPr>
          <w:rFonts w:ascii="宋体" w:hAnsi="宋体" w:cs="宋体"/>
          <w:b/>
          <w:szCs w:val="21"/>
          <w:highlight w:val="none"/>
        </w:rPr>
      </w:pPr>
      <w:r>
        <w:rPr>
          <w:rFonts w:hint="eastAsia" w:ascii="宋体" w:hAnsi="宋体" w:cs="宋体"/>
          <w:b/>
          <w:szCs w:val="21"/>
          <w:highlight w:val="none"/>
        </w:rPr>
        <w:t>十、诉讼</w:t>
      </w:r>
    </w:p>
    <w:p>
      <w:pPr>
        <w:spacing w:line="360" w:lineRule="auto"/>
        <w:rPr>
          <w:rFonts w:ascii="宋体" w:hAnsi="宋体" w:cs="宋体"/>
          <w:szCs w:val="21"/>
          <w:highlight w:val="none"/>
        </w:rPr>
      </w:pPr>
      <w:r>
        <w:rPr>
          <w:rFonts w:hint="eastAsia" w:ascii="宋体" w:hAnsi="宋体" w:cs="宋体"/>
          <w:szCs w:val="21"/>
          <w:highlight w:val="none"/>
        </w:rPr>
        <w:t>10.1 双方在执行合同中所发生的一切争议，应通过协商解决。如协商不成，可向合同签订地法院起诉。</w:t>
      </w:r>
    </w:p>
    <w:p>
      <w:pPr>
        <w:spacing w:line="360" w:lineRule="auto"/>
        <w:rPr>
          <w:rFonts w:ascii="宋体" w:hAnsi="宋体" w:cs="宋体"/>
          <w:b/>
          <w:szCs w:val="21"/>
          <w:highlight w:val="none"/>
        </w:rPr>
      </w:pPr>
      <w:r>
        <w:rPr>
          <w:rFonts w:hint="eastAsia" w:ascii="宋体" w:hAnsi="宋体" w:cs="宋体"/>
          <w:b/>
          <w:szCs w:val="21"/>
          <w:highlight w:val="none"/>
        </w:rPr>
        <w:t>十一、合同生效及其它</w:t>
      </w:r>
    </w:p>
    <w:p>
      <w:pPr>
        <w:spacing w:line="360" w:lineRule="auto"/>
        <w:rPr>
          <w:rFonts w:hint="eastAsia" w:ascii="宋体" w:hAnsi="宋体" w:cs="宋体"/>
          <w:szCs w:val="21"/>
          <w:highlight w:val="none"/>
        </w:rPr>
      </w:pPr>
      <w:r>
        <w:rPr>
          <w:rFonts w:hint="eastAsia" w:ascii="宋体" w:hAnsi="宋体" w:cs="宋体"/>
          <w:szCs w:val="21"/>
          <w:highlight w:val="none"/>
        </w:rPr>
        <w:t>11.1因宁海县桃源街道建筑垃圾和装潢垃圾清运项目合同履约期限未到期，故于2024年2月28日前，</w:t>
      </w:r>
      <w:r>
        <w:rPr>
          <w:rFonts w:hint="eastAsia" w:ascii="宋体" w:hAnsi="宋体" w:cs="宋体"/>
          <w:szCs w:val="21"/>
          <w:highlight w:val="none"/>
          <w:lang w:val="en-US" w:eastAsia="zh-CN"/>
        </w:rPr>
        <w:t>乙方</w:t>
      </w:r>
      <w:r>
        <w:rPr>
          <w:rFonts w:hint="eastAsia" w:ascii="宋体" w:hAnsi="宋体" w:cs="宋体"/>
          <w:szCs w:val="21"/>
          <w:highlight w:val="none"/>
        </w:rPr>
        <w:t>在宁海县桃源街道建筑垃圾和装潢垃圾清运项目合同履约期限内不承担建筑垃圾和装潢垃圾清运服务，</w:t>
      </w:r>
      <w:r>
        <w:rPr>
          <w:rFonts w:hint="eastAsia" w:ascii="宋体" w:hAnsi="宋体" w:cs="宋体"/>
          <w:szCs w:val="21"/>
          <w:highlight w:val="none"/>
          <w:lang w:val="en-US" w:eastAsia="zh-CN"/>
        </w:rPr>
        <w:t>甲方</w:t>
      </w:r>
      <w:r>
        <w:rPr>
          <w:rFonts w:hint="eastAsia" w:ascii="宋体" w:hAnsi="宋体" w:cs="宋体"/>
          <w:szCs w:val="21"/>
          <w:highlight w:val="none"/>
        </w:rPr>
        <w:t>将从每月服务经费中扣除21360元用于支付宁海县桃源街道建筑垃圾和装潢垃圾清运项目的承包人，直至自2024年3月1日起，不再扣除经费，由</w:t>
      </w:r>
      <w:r>
        <w:rPr>
          <w:rFonts w:hint="eastAsia" w:ascii="宋体" w:hAnsi="宋体" w:cs="宋体"/>
          <w:szCs w:val="21"/>
          <w:highlight w:val="none"/>
          <w:lang w:val="en-US" w:eastAsia="zh-CN"/>
        </w:rPr>
        <w:t>乙方</w:t>
      </w:r>
      <w:r>
        <w:rPr>
          <w:rFonts w:hint="eastAsia" w:ascii="宋体" w:hAnsi="宋体" w:cs="宋体"/>
          <w:szCs w:val="21"/>
          <w:highlight w:val="none"/>
        </w:rPr>
        <w:t xml:space="preserve">负责服务范围内的建筑垃圾和装潢垃圾清运服务。 </w:t>
      </w:r>
    </w:p>
    <w:p>
      <w:pPr>
        <w:spacing w:line="360" w:lineRule="auto"/>
        <w:rPr>
          <w:rFonts w:hint="default" w:eastAsia="宋体"/>
          <w:highlight w:val="none"/>
          <w:lang w:val="en-US" w:eastAsia="zh-CN"/>
        </w:rPr>
      </w:pPr>
      <w:r>
        <w:rPr>
          <w:rFonts w:hint="eastAsia" w:ascii="宋体" w:hAnsi="宋体" w:cs="宋体"/>
          <w:szCs w:val="21"/>
          <w:highlight w:val="none"/>
          <w:lang w:val="en-US" w:eastAsia="zh-CN"/>
        </w:rPr>
        <w:t>11.2乙方</w:t>
      </w:r>
      <w:r>
        <w:rPr>
          <w:rFonts w:hint="eastAsia" w:ascii="宋体" w:hAnsi="宋体" w:cs="宋体"/>
          <w:szCs w:val="21"/>
          <w:highlight w:val="none"/>
        </w:rPr>
        <w:t>应严格按照《浙江省落实生产经营单位安全生产主体责任暂行规定》承担安全生产主体责任。</w:t>
      </w:r>
      <w:r>
        <w:rPr>
          <w:rFonts w:hint="eastAsia" w:ascii="宋体" w:hAnsi="宋体" w:cs="宋体"/>
          <w:szCs w:val="21"/>
          <w:highlight w:val="none"/>
          <w:lang w:val="en-US" w:eastAsia="zh-CN"/>
        </w:rPr>
        <w:t>乙方的</w:t>
      </w:r>
      <w:r>
        <w:rPr>
          <w:rFonts w:hint="eastAsia" w:ascii="宋体" w:hAnsi="宋体" w:cs="宋体"/>
          <w:szCs w:val="21"/>
          <w:highlight w:val="none"/>
        </w:rPr>
        <w:t>法定代表人是本项目安全生产的第一责任人，应对本单位的安全生产负全部责任。对单位所发生的一切安全事故（包括由于作业受伤等引起的全部事故内容），全部责任由</w:t>
      </w:r>
      <w:r>
        <w:rPr>
          <w:rFonts w:hint="eastAsia" w:ascii="宋体" w:hAnsi="宋体" w:cs="宋体"/>
          <w:szCs w:val="21"/>
          <w:highlight w:val="none"/>
          <w:lang w:val="en-US" w:eastAsia="zh-CN"/>
        </w:rPr>
        <w:t>乙方</w:t>
      </w:r>
      <w:r>
        <w:rPr>
          <w:rFonts w:hint="eastAsia" w:ascii="宋体" w:hAnsi="宋体" w:cs="宋体"/>
          <w:szCs w:val="21"/>
          <w:highlight w:val="none"/>
        </w:rPr>
        <w:t>自行承</w:t>
      </w:r>
      <w:r>
        <w:rPr>
          <w:rFonts w:hint="eastAsia" w:ascii="宋体" w:hAnsi="宋体" w:cs="宋体"/>
          <w:color w:val="auto"/>
          <w:szCs w:val="21"/>
          <w:highlight w:val="none"/>
        </w:rPr>
        <w:t>担，自主负责处理解决并承担相关费用。</w:t>
      </w:r>
      <w:r>
        <w:rPr>
          <w:rFonts w:hint="eastAsia" w:ascii="宋体" w:hAnsi="宋体" w:cs="宋体"/>
          <w:szCs w:val="21"/>
          <w:highlight w:val="none"/>
          <w:lang w:val="en-US" w:eastAsia="zh-CN"/>
        </w:rPr>
        <w:t>乙方</w:t>
      </w:r>
      <w:r>
        <w:rPr>
          <w:rFonts w:hint="eastAsia" w:ascii="宋体" w:hAnsi="宋体" w:cs="宋体"/>
          <w:color w:val="auto"/>
          <w:szCs w:val="21"/>
          <w:highlight w:val="none"/>
        </w:rPr>
        <w:t>的职工在法律规定的工伤认定范围内发生事故的应按工伤赔偿标准赔偿。</w:t>
      </w:r>
    </w:p>
    <w:p>
      <w:pPr>
        <w:spacing w:line="360" w:lineRule="auto"/>
        <w:rPr>
          <w:rFonts w:ascii="宋体" w:hAnsi="宋体" w:cs="宋体"/>
          <w:szCs w:val="21"/>
          <w:highlight w:val="none"/>
        </w:rPr>
      </w:pPr>
      <w:r>
        <w:rPr>
          <w:rFonts w:hint="eastAsia" w:ascii="宋体" w:hAnsi="宋体" w:cs="宋体"/>
          <w:szCs w:val="21"/>
          <w:highlight w:val="none"/>
          <w:lang w:val="en-US" w:eastAsia="zh-CN"/>
        </w:rPr>
        <w:t>11.3</w:t>
      </w:r>
      <w:r>
        <w:rPr>
          <w:rFonts w:hint="eastAsia" w:ascii="宋体" w:hAnsi="宋体" w:cs="宋体"/>
          <w:szCs w:val="21"/>
          <w:highlight w:val="none"/>
        </w:rPr>
        <w:t>合同经双方法定代表人或授权委托代理人签字并加盖单位公章后生效。</w:t>
      </w:r>
    </w:p>
    <w:p>
      <w:pPr>
        <w:spacing w:line="360" w:lineRule="auto"/>
        <w:rPr>
          <w:rFonts w:ascii="宋体" w:hAnsi="宋体" w:cs="宋体"/>
          <w:szCs w:val="21"/>
          <w:highlight w:val="none"/>
        </w:rPr>
      </w:pPr>
      <w:r>
        <w:rPr>
          <w:rFonts w:hint="eastAsia" w:ascii="宋体" w:hAnsi="宋体" w:cs="宋体"/>
          <w:szCs w:val="21"/>
          <w:highlight w:val="none"/>
        </w:rPr>
        <w:t>11.</w:t>
      </w:r>
      <w:r>
        <w:rPr>
          <w:rFonts w:hint="eastAsia" w:ascii="宋体" w:hAnsi="宋体" w:cs="宋体"/>
          <w:szCs w:val="21"/>
          <w:highlight w:val="none"/>
          <w:lang w:val="en-US" w:eastAsia="zh-CN"/>
        </w:rPr>
        <w:t>4</w:t>
      </w:r>
      <w:r>
        <w:rPr>
          <w:rFonts w:hint="eastAsia" w:ascii="宋体" w:hAnsi="宋体" w:cs="宋体"/>
          <w:szCs w:val="21"/>
          <w:highlight w:val="none"/>
        </w:rPr>
        <w:t>合同执行中涉及采购资金和采购内容修改或补充的，须经财政部门审批，并签书面补充协议报政府采购监督管理部门备案，方可作为主合同不可分割的一部分。</w:t>
      </w:r>
    </w:p>
    <w:p>
      <w:pPr>
        <w:spacing w:line="360" w:lineRule="auto"/>
        <w:rPr>
          <w:rFonts w:ascii="宋体" w:hAnsi="宋体" w:cs="宋体"/>
          <w:szCs w:val="21"/>
          <w:highlight w:val="none"/>
        </w:rPr>
      </w:pPr>
      <w:r>
        <w:rPr>
          <w:rFonts w:hint="eastAsia" w:ascii="宋体" w:hAnsi="宋体" w:cs="宋体"/>
          <w:szCs w:val="21"/>
          <w:highlight w:val="none"/>
        </w:rPr>
        <w:t>11.</w:t>
      </w:r>
      <w:r>
        <w:rPr>
          <w:rFonts w:hint="eastAsia" w:ascii="宋体" w:hAnsi="宋体" w:cs="宋体"/>
          <w:szCs w:val="21"/>
          <w:highlight w:val="none"/>
          <w:lang w:val="en-US" w:eastAsia="zh-CN"/>
        </w:rPr>
        <w:t>5</w:t>
      </w:r>
      <w:r>
        <w:rPr>
          <w:rFonts w:hint="eastAsia" w:ascii="宋体" w:hAnsi="宋体" w:cs="宋体"/>
          <w:szCs w:val="21"/>
          <w:highlight w:val="none"/>
        </w:rPr>
        <w:t>本合同未尽事宜，遵照《中华人民共和国民法典》有关条文、补充协议、投标承诺、投标文件、采购文件及补充执行。</w:t>
      </w:r>
    </w:p>
    <w:p>
      <w:pPr>
        <w:spacing w:line="360" w:lineRule="auto"/>
        <w:rPr>
          <w:rFonts w:ascii="Calibri" w:hAnsi="Calibri"/>
          <w:highlight w:val="none"/>
        </w:rPr>
      </w:pPr>
      <w:r>
        <w:rPr>
          <w:rFonts w:hint="eastAsia" w:ascii="宋体" w:hAnsi="宋体" w:cs="宋体"/>
          <w:szCs w:val="21"/>
          <w:highlight w:val="none"/>
        </w:rPr>
        <w:t>11.</w:t>
      </w:r>
      <w:r>
        <w:rPr>
          <w:rFonts w:hint="eastAsia" w:ascii="宋体" w:hAnsi="宋体" w:cs="宋体"/>
          <w:szCs w:val="21"/>
          <w:highlight w:val="none"/>
          <w:lang w:val="en-US" w:eastAsia="zh-CN"/>
        </w:rPr>
        <w:t>6</w:t>
      </w:r>
      <w:r>
        <w:rPr>
          <w:rFonts w:hint="eastAsia" w:ascii="宋体" w:hAnsi="宋体" w:cs="宋体"/>
          <w:szCs w:val="21"/>
          <w:highlight w:val="none"/>
        </w:rPr>
        <w:t>本合同正本一式   份，甲乙双方各执  份；副本  份，甲乙双方各执  份。合同正副本具有同等法律效力。</w:t>
      </w:r>
    </w:p>
    <w:p>
      <w:pPr>
        <w:spacing w:line="360" w:lineRule="auto"/>
        <w:jc w:val="left"/>
        <w:rPr>
          <w:rFonts w:ascii="Calibri" w:hAnsi="Calibri"/>
          <w:kern w:val="0"/>
          <w:sz w:val="24"/>
          <w:highlight w:val="none"/>
        </w:rPr>
      </w:pPr>
      <w:r>
        <w:rPr>
          <w:rFonts w:hint="eastAsia" w:ascii="宋体" w:hAnsi="宋体" w:cs="宋体"/>
          <w:kern w:val="0"/>
          <w:szCs w:val="21"/>
          <w:highlight w:val="none"/>
        </w:rPr>
        <w:t>甲方：(公章)                               乙方：(公章)</w:t>
      </w:r>
    </w:p>
    <w:p>
      <w:pPr>
        <w:spacing w:line="360" w:lineRule="auto"/>
        <w:jc w:val="left"/>
        <w:rPr>
          <w:rFonts w:ascii="Calibri" w:hAnsi="Calibri"/>
          <w:kern w:val="0"/>
          <w:sz w:val="24"/>
          <w:highlight w:val="none"/>
        </w:rPr>
      </w:pPr>
      <w:r>
        <w:rPr>
          <w:rFonts w:hint="eastAsia" w:ascii="宋体" w:hAnsi="宋体" w:cs="宋体"/>
          <w:kern w:val="0"/>
          <w:szCs w:val="21"/>
          <w:highlight w:val="none"/>
        </w:rPr>
        <w:t>地址：                                     地址：</w:t>
      </w:r>
    </w:p>
    <w:p>
      <w:pPr>
        <w:spacing w:line="360" w:lineRule="auto"/>
        <w:jc w:val="left"/>
        <w:rPr>
          <w:rFonts w:ascii="Calibri" w:hAnsi="Calibri"/>
          <w:kern w:val="0"/>
          <w:sz w:val="24"/>
          <w:highlight w:val="none"/>
        </w:rPr>
      </w:pPr>
      <w:r>
        <w:rPr>
          <w:rFonts w:hint="eastAsia" w:ascii="宋体" w:hAnsi="宋体" w:cs="宋体"/>
          <w:kern w:val="0"/>
          <w:szCs w:val="21"/>
          <w:highlight w:val="none"/>
        </w:rPr>
        <w:t>法定代表人：(签字)                         法定代表人：(签字)</w:t>
      </w:r>
    </w:p>
    <w:p>
      <w:pPr>
        <w:spacing w:line="360" w:lineRule="auto"/>
        <w:jc w:val="left"/>
        <w:rPr>
          <w:rFonts w:ascii="Calibri" w:hAnsi="Calibri"/>
          <w:kern w:val="0"/>
          <w:sz w:val="24"/>
          <w:highlight w:val="none"/>
        </w:rPr>
      </w:pPr>
      <w:r>
        <w:rPr>
          <w:rFonts w:hint="eastAsia" w:ascii="宋体" w:hAnsi="宋体" w:cs="宋体"/>
          <w:kern w:val="0"/>
          <w:szCs w:val="21"/>
          <w:highlight w:val="none"/>
        </w:rPr>
        <w:t>委托代理人：(签字)                         委托代理人：(签字)</w:t>
      </w:r>
    </w:p>
    <w:p>
      <w:pPr>
        <w:spacing w:line="360" w:lineRule="auto"/>
        <w:jc w:val="left"/>
        <w:rPr>
          <w:rFonts w:ascii="Calibri" w:hAnsi="Calibri"/>
          <w:kern w:val="0"/>
          <w:sz w:val="24"/>
          <w:highlight w:val="none"/>
        </w:rPr>
      </w:pPr>
      <w:r>
        <w:rPr>
          <w:rFonts w:hint="eastAsia" w:ascii="宋体" w:hAnsi="宋体" w:cs="宋体"/>
          <w:kern w:val="0"/>
          <w:szCs w:val="21"/>
          <w:highlight w:val="none"/>
        </w:rPr>
        <w:t>电话：                                     电话：</w:t>
      </w:r>
    </w:p>
    <w:p>
      <w:pPr>
        <w:spacing w:line="360" w:lineRule="auto"/>
        <w:jc w:val="left"/>
        <w:rPr>
          <w:rFonts w:ascii="Calibri" w:hAnsi="Calibri"/>
          <w:kern w:val="0"/>
          <w:sz w:val="24"/>
          <w:highlight w:val="none"/>
        </w:rPr>
      </w:pPr>
      <w:r>
        <w:rPr>
          <w:rFonts w:hint="eastAsia" w:ascii="宋体" w:hAnsi="宋体" w:cs="宋体"/>
          <w:kern w:val="0"/>
          <w:szCs w:val="21"/>
          <w:highlight w:val="none"/>
        </w:rPr>
        <w:t>传真：                                     传真：</w:t>
      </w:r>
    </w:p>
    <w:p>
      <w:pPr>
        <w:spacing w:line="360" w:lineRule="auto"/>
        <w:jc w:val="left"/>
        <w:rPr>
          <w:rFonts w:ascii="Calibri" w:hAnsi="Calibri"/>
          <w:kern w:val="0"/>
          <w:sz w:val="24"/>
          <w:highlight w:val="none"/>
        </w:rPr>
      </w:pPr>
      <w:r>
        <w:rPr>
          <w:rFonts w:hint="eastAsia" w:ascii="宋体" w:hAnsi="宋体" w:cs="宋体"/>
          <w:kern w:val="0"/>
          <w:szCs w:val="21"/>
          <w:highlight w:val="none"/>
        </w:rPr>
        <w:t>开户银行：                                 开户银行：</w:t>
      </w:r>
    </w:p>
    <w:p>
      <w:pPr>
        <w:spacing w:line="360" w:lineRule="auto"/>
        <w:jc w:val="left"/>
        <w:rPr>
          <w:rFonts w:ascii="Calibri" w:hAnsi="Calibri"/>
          <w:kern w:val="0"/>
          <w:sz w:val="24"/>
          <w:highlight w:val="none"/>
        </w:rPr>
      </w:pPr>
      <w:r>
        <w:rPr>
          <w:rFonts w:hint="eastAsia" w:ascii="宋体" w:hAnsi="宋体" w:cs="宋体"/>
          <w:kern w:val="0"/>
          <w:szCs w:val="21"/>
          <w:highlight w:val="none"/>
        </w:rPr>
        <w:t>账号：                                     账号：</w:t>
      </w:r>
    </w:p>
    <w:p>
      <w:pPr>
        <w:widowControl/>
        <w:spacing w:line="360" w:lineRule="auto"/>
        <w:jc w:val="left"/>
        <w:rPr>
          <w:rFonts w:ascii="Calibri" w:hAnsi="Calibri"/>
          <w:highlight w:val="none"/>
        </w:rPr>
      </w:pPr>
      <w:r>
        <w:rPr>
          <w:rFonts w:hint="eastAsia" w:ascii="宋体" w:hAnsi="宋体" w:cs="宋体"/>
          <w:szCs w:val="21"/>
          <w:highlight w:val="none"/>
        </w:rPr>
        <w:t>邮政编码：                                 邮政编码：</w:t>
      </w:r>
    </w:p>
    <w:p>
      <w:pPr>
        <w:spacing w:line="360" w:lineRule="auto"/>
        <w:rPr>
          <w:rFonts w:ascii="宋体" w:hAnsi="宋体" w:cs="宋体"/>
          <w:szCs w:val="21"/>
          <w:highlight w:val="none"/>
        </w:rPr>
      </w:pPr>
    </w:p>
    <w:p>
      <w:pPr>
        <w:spacing w:line="360" w:lineRule="auto"/>
        <w:contextualSpacing/>
        <w:rPr>
          <w:rFonts w:ascii="宋体" w:hAnsi="宋体" w:cs="宋体"/>
          <w:szCs w:val="21"/>
          <w:highlight w:val="none"/>
        </w:rPr>
      </w:pPr>
      <w:r>
        <w:rPr>
          <w:rFonts w:hint="eastAsia" w:ascii="宋体" w:hAnsi="宋体" w:cs="宋体"/>
          <w:szCs w:val="21"/>
          <w:highlight w:val="none"/>
        </w:rPr>
        <w:t>合同见证方：浙江中基正采管理咨询有限公司</w:t>
      </w:r>
    </w:p>
    <w:p>
      <w:pPr>
        <w:pStyle w:val="27"/>
        <w:spacing w:beforeLines="0" w:afterLines="0"/>
        <w:jc w:val="both"/>
        <w:outlineLvl w:val="0"/>
        <w:rPr>
          <w:rFonts w:hint="default"/>
          <w:highlight w:val="none"/>
        </w:rPr>
      </w:pPr>
      <w:r>
        <w:rPr>
          <w:rFonts w:hint="eastAsia" w:ascii="宋体" w:hAnsi="宋体" w:eastAsia="宋体" w:cs="宋体"/>
          <w:kern w:val="2"/>
          <w:sz w:val="21"/>
          <w:szCs w:val="21"/>
          <w:highlight w:val="none"/>
          <w:lang w:val="en-US" w:eastAsia="zh-CN" w:bidi="ar-SA"/>
        </w:rPr>
        <w:t>见证日期：</w:t>
      </w:r>
    </w:p>
    <w:p>
      <w:pPr>
        <w:pStyle w:val="27"/>
        <w:spacing w:beforeLines="0" w:afterLines="0"/>
        <w:jc w:val="center"/>
        <w:outlineLvl w:val="0"/>
        <w:rPr>
          <w:rFonts w:hint="default" w:hAnsi="宋体" w:cs="宋体"/>
          <w:b/>
          <w:highlight w:val="none"/>
        </w:rPr>
      </w:pPr>
      <w:r>
        <w:rPr>
          <w:highlight w:val="none"/>
        </w:rPr>
        <w:br w:type="page"/>
      </w:r>
      <w:bookmarkStart w:id="58" w:name="_Toc32283"/>
      <w:bookmarkStart w:id="59" w:name="_Toc4952"/>
      <w:r>
        <w:rPr>
          <w:rFonts w:hAnsi="宋体" w:cs="宋体"/>
          <w:b/>
          <w:sz w:val="32"/>
          <w:szCs w:val="32"/>
          <w:highlight w:val="none"/>
        </w:rPr>
        <w:t>第六章　投标文件格式</w:t>
      </w:r>
      <w:bookmarkEnd w:id="58"/>
      <w:bookmarkEnd w:id="59"/>
    </w:p>
    <w:p>
      <w:pPr>
        <w:snapToGrid w:val="0"/>
        <w:spacing w:line="360" w:lineRule="auto"/>
        <w:jc w:val="center"/>
        <w:rPr>
          <w:rFonts w:ascii="宋体" w:hAnsi="宋体" w:cs="宋体"/>
          <w:b/>
          <w:bCs/>
          <w:sz w:val="28"/>
          <w:szCs w:val="28"/>
          <w:highlight w:val="none"/>
        </w:rPr>
      </w:pPr>
    </w:p>
    <w:p>
      <w:pPr>
        <w:snapToGrid w:val="0"/>
        <w:spacing w:line="360" w:lineRule="auto"/>
        <w:jc w:val="center"/>
        <w:rPr>
          <w:rFonts w:ascii="宋体" w:hAnsi="宋体" w:cs="宋体"/>
          <w:b/>
          <w:bCs/>
          <w:sz w:val="28"/>
          <w:szCs w:val="28"/>
          <w:highlight w:val="none"/>
        </w:rPr>
      </w:pPr>
      <w:r>
        <w:rPr>
          <w:rFonts w:hint="eastAsia" w:ascii="宋体" w:hAnsi="宋体" w:cs="宋体"/>
          <w:b/>
          <w:bCs/>
          <w:sz w:val="28"/>
          <w:szCs w:val="28"/>
          <w:highlight w:val="none"/>
        </w:rPr>
        <w:t>一、资格文件、商务技术文件格式</w:t>
      </w:r>
    </w:p>
    <w:p>
      <w:pPr>
        <w:snapToGrid w:val="0"/>
        <w:spacing w:line="360" w:lineRule="auto"/>
        <w:jc w:val="left"/>
        <w:rPr>
          <w:rFonts w:ascii="宋体" w:hAnsi="宋体" w:cs="宋体"/>
          <w:bCs/>
          <w:sz w:val="28"/>
          <w:szCs w:val="28"/>
          <w:highlight w:val="none"/>
        </w:rPr>
      </w:pPr>
      <w:r>
        <w:rPr>
          <w:rFonts w:hint="eastAsia" w:ascii="宋体" w:hAnsi="宋体" w:cs="宋体"/>
          <w:highlight w:val="none"/>
        </w:rPr>
        <w:t>1、</w:t>
      </w:r>
      <w:r>
        <w:rPr>
          <w:rFonts w:hint="eastAsia" w:ascii="宋体" w:hAnsi="宋体" w:cs="宋体"/>
          <w:szCs w:val="21"/>
          <w:highlight w:val="none"/>
        </w:rPr>
        <w:t>资格、商务技术文件</w:t>
      </w:r>
      <w:r>
        <w:rPr>
          <w:rFonts w:hint="eastAsia" w:ascii="宋体" w:hAnsi="宋体" w:cs="宋体"/>
          <w:highlight w:val="none"/>
        </w:rPr>
        <w:t>封面格式：</w:t>
      </w:r>
    </w:p>
    <w:p>
      <w:pPr>
        <w:snapToGrid w:val="0"/>
        <w:spacing w:line="360" w:lineRule="auto"/>
        <w:ind w:firstLine="275" w:firstLineChars="98"/>
        <w:rPr>
          <w:rFonts w:ascii="宋体" w:hAnsi="宋体" w:cs="宋体"/>
          <w:b/>
          <w:sz w:val="28"/>
          <w:szCs w:val="28"/>
          <w:highlight w:val="none"/>
        </w:rPr>
      </w:pPr>
    </w:p>
    <w:p>
      <w:pPr>
        <w:snapToGrid w:val="0"/>
        <w:spacing w:line="360" w:lineRule="auto"/>
        <w:ind w:firstLine="275" w:firstLineChars="98"/>
        <w:rPr>
          <w:rFonts w:ascii="宋体" w:hAnsi="宋体" w:cs="宋体"/>
          <w:b/>
          <w:sz w:val="28"/>
          <w:szCs w:val="28"/>
          <w:highlight w:val="none"/>
        </w:rPr>
      </w:pPr>
      <w:r>
        <w:rPr>
          <w:rFonts w:hint="eastAsia" w:ascii="宋体" w:hAnsi="宋体" w:cs="宋体"/>
          <w:b/>
          <w:sz w:val="28"/>
          <w:szCs w:val="28"/>
          <w:highlight w:val="none"/>
        </w:rPr>
        <w:t>封面格式：</w:t>
      </w:r>
    </w:p>
    <w:p>
      <w:pPr>
        <w:snapToGrid w:val="0"/>
        <w:spacing w:line="360" w:lineRule="auto"/>
        <w:jc w:val="right"/>
        <w:rPr>
          <w:rFonts w:hint="eastAsia" w:ascii="宋体" w:hAnsi="宋体" w:eastAsia="宋体" w:cs="宋体"/>
          <w:bCs/>
          <w:sz w:val="28"/>
          <w:szCs w:val="28"/>
          <w:highlight w:val="none"/>
          <w:lang w:val="en-US" w:eastAsia="zh-CN"/>
        </w:rPr>
      </w:pPr>
      <w:r>
        <w:rPr>
          <w:rFonts w:hint="eastAsia" w:ascii="宋体" w:hAnsi="宋体" w:cs="宋体"/>
          <w:bCs/>
          <w:sz w:val="28"/>
          <w:szCs w:val="28"/>
          <w:highlight w:val="none"/>
          <w:lang w:val="en-US" w:eastAsia="zh-CN"/>
        </w:rPr>
        <w:t>正本</w:t>
      </w:r>
    </w:p>
    <w:p>
      <w:pPr>
        <w:snapToGrid w:val="0"/>
        <w:spacing w:line="360" w:lineRule="auto"/>
        <w:jc w:val="center"/>
        <w:rPr>
          <w:rFonts w:ascii="宋体" w:hAnsi="宋体" w:cs="宋体"/>
          <w:bCs/>
          <w:sz w:val="24"/>
          <w:highlight w:val="none"/>
        </w:rPr>
      </w:pPr>
      <w:r>
        <w:rPr>
          <w:rFonts w:hint="eastAsia" w:ascii="宋体" w:hAnsi="宋体" w:cs="宋体"/>
          <w:bCs/>
          <w:sz w:val="40"/>
          <w:szCs w:val="40"/>
          <w:highlight w:val="none"/>
        </w:rPr>
        <w:t>资格、商务技术文件</w:t>
      </w:r>
    </w:p>
    <w:p>
      <w:pPr>
        <w:snapToGrid w:val="0"/>
        <w:spacing w:line="360" w:lineRule="auto"/>
        <w:ind w:firstLine="6919" w:firstLineChars="2883"/>
        <w:rPr>
          <w:rFonts w:ascii="宋体" w:hAnsi="宋体" w:cs="宋体"/>
          <w:bCs/>
          <w:sz w:val="24"/>
          <w:highlight w:val="none"/>
        </w:rPr>
      </w:pPr>
    </w:p>
    <w:p>
      <w:pPr>
        <w:snapToGrid w:val="0"/>
        <w:spacing w:line="360" w:lineRule="auto"/>
        <w:ind w:firstLine="1080" w:firstLineChars="450"/>
        <w:rPr>
          <w:rFonts w:ascii="宋体" w:hAnsi="宋体" w:cs="宋体"/>
          <w:bCs/>
          <w:sz w:val="24"/>
          <w:highlight w:val="none"/>
        </w:rPr>
      </w:pPr>
      <w:r>
        <w:rPr>
          <w:rFonts w:hint="eastAsia" w:ascii="宋体" w:hAnsi="宋体" w:cs="宋体"/>
          <w:bCs/>
          <w:sz w:val="24"/>
          <w:highlight w:val="none"/>
        </w:rPr>
        <w:t>项目名称：</w:t>
      </w:r>
    </w:p>
    <w:p>
      <w:pPr>
        <w:snapToGrid w:val="0"/>
        <w:spacing w:line="360" w:lineRule="auto"/>
        <w:ind w:firstLine="1080" w:firstLineChars="450"/>
        <w:rPr>
          <w:rFonts w:ascii="宋体" w:hAnsi="宋体" w:cs="宋体"/>
          <w:bCs/>
          <w:sz w:val="24"/>
          <w:highlight w:val="none"/>
        </w:rPr>
      </w:pPr>
      <w:r>
        <w:rPr>
          <w:rFonts w:hint="eastAsia" w:ascii="宋体" w:hAnsi="宋体" w:cs="宋体"/>
          <w:bCs/>
          <w:sz w:val="24"/>
          <w:highlight w:val="none"/>
        </w:rPr>
        <w:t>项目编号：</w:t>
      </w:r>
    </w:p>
    <w:p>
      <w:pPr>
        <w:snapToGrid w:val="0"/>
        <w:spacing w:line="360" w:lineRule="auto"/>
        <w:ind w:firstLine="1080" w:firstLineChars="450"/>
        <w:rPr>
          <w:rFonts w:ascii="宋体" w:hAnsi="宋体" w:cs="宋体"/>
          <w:bCs/>
          <w:sz w:val="24"/>
          <w:highlight w:val="none"/>
        </w:rPr>
      </w:pPr>
      <w:r>
        <w:rPr>
          <w:rFonts w:hint="eastAsia" w:ascii="宋体" w:hAnsi="宋体" w:cs="宋体"/>
          <w:bCs/>
          <w:sz w:val="24"/>
          <w:highlight w:val="none"/>
        </w:rPr>
        <w:t>标项号：</w:t>
      </w:r>
    </w:p>
    <w:p>
      <w:pPr>
        <w:snapToGrid w:val="0"/>
        <w:spacing w:line="360" w:lineRule="auto"/>
        <w:ind w:firstLine="1080" w:firstLineChars="450"/>
        <w:rPr>
          <w:rFonts w:ascii="宋体" w:hAnsi="宋体" w:cs="宋体"/>
          <w:bCs/>
          <w:sz w:val="24"/>
          <w:highlight w:val="none"/>
        </w:rPr>
      </w:pPr>
      <w:r>
        <w:rPr>
          <w:rFonts w:hint="eastAsia" w:ascii="宋体" w:hAnsi="宋体" w:cs="宋体"/>
          <w:bCs/>
          <w:sz w:val="24"/>
          <w:highlight w:val="none"/>
        </w:rPr>
        <w:t>供应商名称（加盖公章）：</w:t>
      </w:r>
    </w:p>
    <w:p>
      <w:pPr>
        <w:snapToGrid w:val="0"/>
        <w:spacing w:line="360" w:lineRule="auto"/>
        <w:ind w:firstLine="1080" w:firstLineChars="450"/>
        <w:rPr>
          <w:rFonts w:ascii="宋体" w:hAnsi="宋体" w:cs="宋体"/>
          <w:bCs/>
          <w:sz w:val="24"/>
          <w:highlight w:val="none"/>
        </w:rPr>
      </w:pPr>
      <w:r>
        <w:rPr>
          <w:rFonts w:hint="eastAsia" w:ascii="宋体" w:hAnsi="宋体" w:cs="宋体"/>
          <w:bCs/>
          <w:sz w:val="24"/>
          <w:highlight w:val="none"/>
        </w:rPr>
        <w:t>供应商地址：</w:t>
      </w:r>
    </w:p>
    <w:p>
      <w:pPr>
        <w:snapToGrid w:val="0"/>
        <w:spacing w:line="360" w:lineRule="auto"/>
        <w:jc w:val="center"/>
        <w:rPr>
          <w:rFonts w:ascii="宋体" w:hAnsi="宋体" w:cs="宋体"/>
          <w:sz w:val="20"/>
          <w:szCs w:val="20"/>
          <w:highlight w:val="none"/>
        </w:rPr>
      </w:pPr>
      <w:bookmarkStart w:id="60" w:name="_Toc9414"/>
      <w:r>
        <w:rPr>
          <w:rFonts w:hint="eastAsia" w:ascii="宋体" w:hAnsi="宋体" w:cs="宋体"/>
          <w:bCs/>
          <w:sz w:val="24"/>
          <w:highlight w:val="none"/>
          <w:lang w:val="en-US" w:eastAsia="zh-CN"/>
        </w:rPr>
        <w:t xml:space="preserve">                   </w:t>
      </w:r>
      <w:r>
        <w:rPr>
          <w:rFonts w:hint="eastAsia" w:ascii="宋体" w:hAnsi="宋体" w:cs="宋体"/>
          <w:bCs/>
          <w:sz w:val="24"/>
          <w:highlight w:val="none"/>
        </w:rPr>
        <w:t>年  月  日</w:t>
      </w:r>
      <w:bookmarkEnd w:id="60"/>
    </w:p>
    <w:p>
      <w:pPr>
        <w:snapToGrid w:val="0"/>
        <w:spacing w:line="360" w:lineRule="auto"/>
        <w:rPr>
          <w:rFonts w:ascii="宋体" w:hAnsi="宋体" w:cs="Arial"/>
          <w:b/>
          <w:bCs/>
          <w:sz w:val="24"/>
          <w:szCs w:val="22"/>
          <w:highlight w:val="none"/>
        </w:rPr>
      </w:pPr>
    </w:p>
    <w:p>
      <w:pPr>
        <w:widowControl w:val="0"/>
        <w:adjustRightInd w:val="0"/>
        <w:spacing w:line="360" w:lineRule="auto"/>
        <w:jc w:val="both"/>
        <w:textAlignment w:val="baseline"/>
        <w:rPr>
          <w:rFonts w:ascii="宋体" w:hAnsi="宋体" w:cs="宋体"/>
          <w:sz w:val="28"/>
          <w:szCs w:val="21"/>
          <w:highlight w:val="none"/>
        </w:rPr>
      </w:pPr>
      <w:r>
        <w:rPr>
          <w:rFonts w:hint="eastAsia" w:ascii="宋体" w:hAnsi="宋体" w:cs="宋体"/>
          <w:b/>
          <w:bCs/>
          <w:szCs w:val="21"/>
          <w:highlight w:val="none"/>
        </w:rPr>
        <w:t>注：联合体投标的，可只由联合体牵头人签章。</w:t>
      </w:r>
    </w:p>
    <w:p>
      <w:pPr>
        <w:pStyle w:val="27"/>
        <w:snapToGrid w:val="0"/>
        <w:spacing w:beforeLines="0" w:afterLines="0" w:line="240" w:lineRule="auto"/>
        <w:rPr>
          <w:rFonts w:hint="default" w:hAnsi="宋体" w:cs="宋体"/>
          <w:highlight w:val="none"/>
        </w:rPr>
      </w:pPr>
    </w:p>
    <w:p>
      <w:pPr>
        <w:snapToGrid w:val="0"/>
        <w:spacing w:line="360" w:lineRule="auto"/>
        <w:jc w:val="left"/>
        <w:rPr>
          <w:rFonts w:ascii="宋体" w:hAnsi="宋体" w:cs="宋体"/>
          <w:b/>
          <w:bCs/>
          <w:highlight w:val="none"/>
        </w:rPr>
      </w:pPr>
      <w:r>
        <w:rPr>
          <w:rFonts w:hint="eastAsia" w:ascii="宋体" w:hAnsi="宋体" w:cs="宋体"/>
          <w:szCs w:val="21"/>
          <w:highlight w:val="none"/>
        </w:rPr>
        <w:br w:type="page"/>
      </w:r>
      <w:r>
        <w:rPr>
          <w:rFonts w:hint="eastAsia" w:ascii="宋体" w:hAnsi="宋体" w:cs="宋体"/>
          <w:szCs w:val="21"/>
          <w:highlight w:val="none"/>
        </w:rPr>
        <w:t>（三）</w:t>
      </w:r>
      <w:r>
        <w:rPr>
          <w:rFonts w:hint="eastAsia" w:ascii="宋体" w:hAnsi="宋体" w:cs="宋体"/>
          <w:b/>
          <w:bCs/>
          <w:highlight w:val="none"/>
        </w:rPr>
        <w:t>资格文件：</w:t>
      </w:r>
    </w:p>
    <w:p>
      <w:pPr>
        <w:numPr>
          <w:ilvl w:val="0"/>
          <w:numId w:val="40"/>
        </w:numPr>
        <w:snapToGrid w:val="0"/>
        <w:spacing w:line="360" w:lineRule="auto"/>
        <w:ind w:left="210" w:leftChars="100"/>
        <w:jc w:val="left"/>
        <w:rPr>
          <w:rFonts w:ascii="宋体" w:hAnsi="宋体" w:cs="宋体"/>
          <w:highlight w:val="none"/>
        </w:rPr>
      </w:pPr>
      <w:r>
        <w:rPr>
          <w:rFonts w:hint="eastAsia" w:ascii="宋体" w:hAnsi="宋体" w:cs="宋体"/>
          <w:highlight w:val="none"/>
        </w:rPr>
        <w:t>供应商资格声明函（格式见附件）；</w:t>
      </w:r>
    </w:p>
    <w:p>
      <w:pPr>
        <w:numPr>
          <w:ilvl w:val="0"/>
          <w:numId w:val="40"/>
        </w:numPr>
        <w:snapToGrid w:val="0"/>
        <w:spacing w:line="360" w:lineRule="auto"/>
        <w:ind w:left="210" w:leftChars="100"/>
        <w:jc w:val="left"/>
        <w:rPr>
          <w:rFonts w:ascii="宋体" w:hAnsi="宋体" w:cs="宋体"/>
          <w:highlight w:val="none"/>
        </w:rPr>
      </w:pPr>
      <w:r>
        <w:rPr>
          <w:rFonts w:hint="eastAsia" w:ascii="宋体" w:hAnsi="宋体" w:cs="宋体"/>
          <w:highlight w:val="none"/>
        </w:rPr>
        <w:t>有效的企业法人营业执照（或事业法人登记证）、其他组织（个体工商户）的营业执照或者民办非企业单位登记证书复印件；</w:t>
      </w:r>
      <w:r>
        <w:rPr>
          <w:rFonts w:hint="eastAsia" w:ascii="宋体" w:hAnsi="宋体" w:cs="宋体"/>
          <w:szCs w:val="21"/>
          <w:highlight w:val="none"/>
        </w:rPr>
        <w:t>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cs="宋体"/>
          <w:highlight w:val="none"/>
        </w:rPr>
        <w:t>；</w:t>
      </w:r>
    </w:p>
    <w:p>
      <w:pPr>
        <w:numPr>
          <w:ilvl w:val="0"/>
          <w:numId w:val="40"/>
        </w:numPr>
        <w:snapToGrid w:val="0"/>
        <w:spacing w:line="360" w:lineRule="auto"/>
        <w:ind w:left="210" w:leftChars="100"/>
        <w:jc w:val="left"/>
        <w:rPr>
          <w:rFonts w:ascii="宋体" w:hAnsi="宋体" w:cs="宋体"/>
          <w:highlight w:val="none"/>
        </w:rPr>
      </w:pPr>
      <w:r>
        <w:rPr>
          <w:rFonts w:hint="eastAsia" w:ascii="宋体" w:hAnsi="宋体" w:cs="宋体"/>
          <w:highlight w:val="none"/>
        </w:rPr>
        <w:t>供应商特定资格条件的证明文件：详见“第一章  公开招标公告 二、申请人的资格要求：3.本项目的特定资格要求”；</w:t>
      </w:r>
    </w:p>
    <w:p>
      <w:pPr>
        <w:numPr>
          <w:ilvl w:val="0"/>
          <w:numId w:val="40"/>
        </w:numPr>
        <w:snapToGrid w:val="0"/>
        <w:spacing w:line="360" w:lineRule="auto"/>
        <w:ind w:left="210" w:leftChars="100"/>
        <w:jc w:val="left"/>
        <w:rPr>
          <w:rFonts w:ascii="宋体" w:hAnsi="宋体" w:cs="宋体"/>
          <w:highlight w:val="none"/>
        </w:rPr>
      </w:pPr>
      <w:r>
        <w:rPr>
          <w:rFonts w:hint="eastAsia" w:ascii="宋体" w:hAnsi="宋体" w:cs="宋体"/>
          <w:highlight w:val="none"/>
        </w:rPr>
        <w:t>联合体协议（如有，格式见附件）；</w:t>
      </w:r>
    </w:p>
    <w:p>
      <w:pPr>
        <w:numPr>
          <w:ilvl w:val="0"/>
          <w:numId w:val="40"/>
        </w:numPr>
        <w:snapToGrid w:val="0"/>
        <w:spacing w:line="360" w:lineRule="auto"/>
        <w:ind w:left="210" w:leftChars="100"/>
        <w:jc w:val="left"/>
        <w:rPr>
          <w:rFonts w:ascii="宋体" w:hAnsi="宋体" w:cs="宋体"/>
          <w:highlight w:val="none"/>
        </w:rPr>
      </w:pPr>
      <w:r>
        <w:rPr>
          <w:rFonts w:hint="eastAsia" w:ascii="宋体" w:hAnsi="宋体" w:cs="宋体"/>
          <w:highlight w:val="none"/>
        </w:rPr>
        <w:t>招标文件要求的其他资格条件证明材料（如有）；</w:t>
      </w:r>
    </w:p>
    <w:p>
      <w:pPr>
        <w:snapToGrid w:val="0"/>
        <w:spacing w:line="360" w:lineRule="auto"/>
        <w:jc w:val="left"/>
        <w:rPr>
          <w:rFonts w:ascii="宋体" w:hAnsi="宋体" w:cs="宋体"/>
          <w:b/>
          <w:bCs/>
          <w:highlight w:val="none"/>
        </w:rPr>
      </w:pPr>
      <w:r>
        <w:rPr>
          <w:rFonts w:hint="eastAsia" w:ascii="宋体" w:hAnsi="宋体" w:cs="宋体"/>
          <w:highlight w:val="none"/>
        </w:rPr>
        <w:br w:type="page"/>
      </w:r>
      <w:r>
        <w:rPr>
          <w:rFonts w:hint="eastAsia" w:ascii="宋体" w:hAnsi="宋体" w:cs="宋体"/>
          <w:b/>
          <w:bCs/>
          <w:highlight w:val="none"/>
        </w:rPr>
        <w:t>（1）供应商资格声明函格式；</w:t>
      </w:r>
    </w:p>
    <w:p>
      <w:pPr>
        <w:jc w:val="center"/>
        <w:rPr>
          <w:rFonts w:ascii="宋体" w:hAnsi="宋体" w:cs="宋体"/>
          <w:b/>
          <w:sz w:val="32"/>
          <w:szCs w:val="32"/>
          <w:highlight w:val="none"/>
        </w:rPr>
      </w:pPr>
      <w:r>
        <w:rPr>
          <w:rFonts w:hint="eastAsia" w:ascii="宋体" w:hAnsi="宋体" w:cs="宋体"/>
          <w:b/>
          <w:sz w:val="32"/>
          <w:szCs w:val="32"/>
          <w:highlight w:val="none"/>
        </w:rPr>
        <w:t>供应商资格声明函</w:t>
      </w:r>
    </w:p>
    <w:p>
      <w:pPr>
        <w:snapToGrid w:val="0"/>
        <w:rPr>
          <w:rFonts w:ascii="宋体" w:hAnsi="宋体" w:cs="宋体"/>
          <w:b/>
          <w:szCs w:val="21"/>
          <w:highlight w:val="none"/>
        </w:rPr>
      </w:pPr>
    </w:p>
    <w:p>
      <w:pPr>
        <w:spacing w:line="360" w:lineRule="auto"/>
        <w:ind w:right="420" w:firstLine="3150" w:firstLineChars="1500"/>
        <w:rPr>
          <w:rFonts w:ascii="宋体" w:hAnsi="宋体" w:cs="宋体"/>
          <w:highlight w:val="none"/>
        </w:rPr>
      </w:pPr>
    </w:p>
    <w:p>
      <w:pPr>
        <w:spacing w:line="360" w:lineRule="auto"/>
        <w:rPr>
          <w:rFonts w:ascii="宋体" w:hAnsi="宋体" w:cs="宋体"/>
          <w:b/>
          <w:highlight w:val="none"/>
        </w:rPr>
      </w:pPr>
      <w:r>
        <w:rPr>
          <w:rFonts w:hint="eastAsia" w:ascii="宋体" w:hAnsi="宋体" w:cs="宋体"/>
          <w:b/>
          <w:highlight w:val="none"/>
        </w:rPr>
        <w:t>浙江中基正采管理咨询有限公司：</w:t>
      </w:r>
    </w:p>
    <w:p>
      <w:pPr>
        <w:snapToGrid w:val="0"/>
        <w:spacing w:beforeLines="50" w:line="360" w:lineRule="auto"/>
        <w:ind w:firstLine="424" w:firstLineChars="202"/>
        <w:rPr>
          <w:rFonts w:ascii="宋体" w:hAnsi="宋体" w:cs="宋体"/>
          <w:highlight w:val="none"/>
        </w:rPr>
      </w:pPr>
      <w:r>
        <w:rPr>
          <w:rFonts w:hint="eastAsia" w:ascii="宋体" w:hAnsi="宋体" w:cs="宋体"/>
          <w:highlight w:val="none"/>
        </w:rPr>
        <w:t>关于贵司年</w:t>
      </w:r>
      <w:r>
        <w:rPr>
          <w:rFonts w:hint="eastAsia" w:ascii="宋体" w:hAnsi="宋体" w:cs="宋体"/>
          <w:highlight w:val="none"/>
          <w:u w:val="single"/>
        </w:rPr>
        <w:t>　　</w:t>
      </w:r>
      <w:r>
        <w:rPr>
          <w:rFonts w:hint="eastAsia" w:ascii="宋体" w:hAnsi="宋体" w:cs="宋体"/>
          <w:highlight w:val="none"/>
        </w:rPr>
        <w:t>月</w:t>
      </w:r>
      <w:r>
        <w:rPr>
          <w:rFonts w:hint="eastAsia" w:ascii="宋体" w:hAnsi="宋体" w:cs="宋体"/>
          <w:highlight w:val="none"/>
          <w:u w:val="single"/>
        </w:rPr>
        <w:t>　　</w:t>
      </w:r>
      <w:r>
        <w:rPr>
          <w:rFonts w:hint="eastAsia" w:ascii="宋体" w:hAnsi="宋体" w:cs="宋体"/>
          <w:highlight w:val="none"/>
        </w:rPr>
        <w:t>日发布</w:t>
      </w:r>
      <w:r>
        <w:rPr>
          <w:rFonts w:hint="eastAsia" w:ascii="宋体" w:hAnsi="宋体" w:cs="宋体"/>
          <w:kern w:val="28"/>
          <w:highlight w:val="none"/>
          <w:u w:val="single"/>
        </w:rPr>
        <w:t>XXXXXXXXXXXXXXXXXXXXXXXXXXXX</w:t>
      </w:r>
      <w:r>
        <w:rPr>
          <w:rFonts w:hint="eastAsia" w:ascii="宋体" w:hAnsi="宋体" w:cs="宋体"/>
          <w:highlight w:val="none"/>
        </w:rPr>
        <w:t>项目（项目编号：　　　）的公开招标公告，本公司（企业）愿意参加投标，并声明：</w:t>
      </w:r>
    </w:p>
    <w:p>
      <w:pPr>
        <w:snapToGrid w:val="0"/>
        <w:spacing w:line="360" w:lineRule="auto"/>
        <w:ind w:firstLine="424" w:firstLineChars="202"/>
        <w:rPr>
          <w:rFonts w:ascii="宋体" w:hAnsi="宋体" w:cs="宋体"/>
          <w:highlight w:val="none"/>
        </w:rPr>
      </w:pPr>
      <w:r>
        <w:rPr>
          <w:rFonts w:hint="eastAsia" w:ascii="宋体" w:hAnsi="宋体" w:cs="宋体"/>
          <w:highlight w:val="none"/>
        </w:rPr>
        <w:t>1、本公司（企业）具备《中华人民共和国政府采购法》第二十二条资格条件：</w:t>
      </w:r>
    </w:p>
    <w:p>
      <w:pPr>
        <w:snapToGrid w:val="0"/>
        <w:spacing w:line="360" w:lineRule="auto"/>
        <w:ind w:firstLine="424" w:firstLineChars="202"/>
        <w:rPr>
          <w:rFonts w:ascii="宋体" w:hAnsi="宋体" w:cs="宋体"/>
          <w:highlight w:val="none"/>
        </w:rPr>
      </w:pPr>
      <w:r>
        <w:rPr>
          <w:rFonts w:hint="eastAsia" w:ascii="宋体" w:hAnsi="宋体" w:cs="宋体"/>
          <w:highlight w:val="none"/>
        </w:rPr>
        <w:t>1.1、具有独立承担民事责任的能力；</w:t>
      </w:r>
    </w:p>
    <w:p>
      <w:pPr>
        <w:snapToGrid w:val="0"/>
        <w:spacing w:line="360" w:lineRule="auto"/>
        <w:ind w:firstLine="424" w:firstLineChars="202"/>
        <w:rPr>
          <w:rFonts w:ascii="宋体" w:hAnsi="宋体" w:cs="宋体"/>
          <w:highlight w:val="none"/>
        </w:rPr>
      </w:pPr>
      <w:r>
        <w:rPr>
          <w:rFonts w:hint="eastAsia" w:ascii="宋体" w:hAnsi="宋体" w:cs="宋体"/>
          <w:highlight w:val="none"/>
        </w:rPr>
        <w:t>1.2、具有良好的商业信誉和健全的财务会计制度；</w:t>
      </w:r>
    </w:p>
    <w:p>
      <w:pPr>
        <w:snapToGrid w:val="0"/>
        <w:spacing w:line="360" w:lineRule="auto"/>
        <w:ind w:firstLine="424" w:firstLineChars="202"/>
        <w:rPr>
          <w:rFonts w:ascii="宋体" w:hAnsi="宋体" w:cs="宋体"/>
          <w:highlight w:val="none"/>
        </w:rPr>
      </w:pPr>
      <w:r>
        <w:rPr>
          <w:rFonts w:hint="eastAsia" w:ascii="宋体" w:hAnsi="宋体" w:cs="宋体"/>
          <w:highlight w:val="none"/>
        </w:rPr>
        <w:t>1.3、具有履行合同所必需的设备和专业技术能力；</w:t>
      </w:r>
    </w:p>
    <w:p>
      <w:pPr>
        <w:snapToGrid w:val="0"/>
        <w:spacing w:line="360" w:lineRule="auto"/>
        <w:ind w:firstLine="424" w:firstLineChars="202"/>
        <w:rPr>
          <w:rFonts w:ascii="宋体" w:hAnsi="宋体" w:cs="宋体"/>
          <w:highlight w:val="none"/>
        </w:rPr>
      </w:pPr>
      <w:r>
        <w:rPr>
          <w:rFonts w:hint="eastAsia" w:ascii="宋体" w:hAnsi="宋体" w:cs="宋体"/>
          <w:highlight w:val="none"/>
        </w:rPr>
        <w:t>1.4、有依法缴纳税收和社会保障资金的良好记录；</w:t>
      </w:r>
    </w:p>
    <w:p>
      <w:pPr>
        <w:snapToGrid w:val="0"/>
        <w:spacing w:line="360" w:lineRule="auto"/>
        <w:ind w:firstLine="424" w:firstLineChars="202"/>
        <w:rPr>
          <w:rFonts w:ascii="宋体" w:hAnsi="宋体" w:cs="宋体"/>
          <w:highlight w:val="none"/>
        </w:rPr>
      </w:pPr>
      <w:r>
        <w:rPr>
          <w:rFonts w:hint="eastAsia" w:ascii="宋体" w:hAnsi="宋体" w:cs="宋体"/>
          <w:highlight w:val="none"/>
        </w:rPr>
        <w:t>1.5、参加政府采购活动前三年内，在经营活动中没有重大违法记录；</w:t>
      </w:r>
    </w:p>
    <w:p>
      <w:pPr>
        <w:snapToGrid w:val="0"/>
        <w:spacing w:line="360" w:lineRule="auto"/>
        <w:ind w:firstLine="424" w:firstLineChars="202"/>
        <w:rPr>
          <w:rFonts w:ascii="宋体" w:hAnsi="宋体" w:cs="宋体"/>
          <w:highlight w:val="none"/>
        </w:rPr>
      </w:pPr>
      <w:r>
        <w:rPr>
          <w:rFonts w:hint="eastAsia" w:ascii="宋体" w:hAnsi="宋体" w:cs="宋体"/>
          <w:highlight w:val="none"/>
        </w:rPr>
        <w:t>1.6、法律、行政法规规定的其他条件。</w:t>
      </w:r>
    </w:p>
    <w:p>
      <w:pPr>
        <w:snapToGrid w:val="0"/>
        <w:spacing w:line="360" w:lineRule="auto"/>
        <w:ind w:firstLine="424" w:firstLineChars="202"/>
        <w:rPr>
          <w:rFonts w:ascii="宋体" w:hAnsi="宋体" w:cs="宋体"/>
          <w:highlight w:val="none"/>
        </w:rPr>
      </w:pPr>
      <w:r>
        <w:rPr>
          <w:rFonts w:hint="eastAsia" w:ascii="宋体" w:hAnsi="宋体" w:cs="宋体"/>
          <w:highlight w:val="none"/>
        </w:rPr>
        <w:t>本公司（企业）的法定代表人或单位负责人与所参投的本采购项目的其他供应商的法定代表人或单位负责人不为同一人且与其他供应商之间不存在直接控股、管理关系。</w:t>
      </w:r>
    </w:p>
    <w:p>
      <w:pPr>
        <w:snapToGrid w:val="0"/>
        <w:spacing w:line="360" w:lineRule="auto"/>
        <w:ind w:firstLine="424" w:firstLineChars="202"/>
        <w:rPr>
          <w:rFonts w:ascii="宋体" w:hAnsi="宋体" w:cs="宋体"/>
          <w:highlight w:val="none"/>
        </w:rPr>
      </w:pPr>
      <w:r>
        <w:rPr>
          <w:rFonts w:hint="eastAsia" w:ascii="宋体" w:hAnsi="宋体" w:cs="宋体"/>
          <w:szCs w:val="21"/>
          <w:highlight w:val="none"/>
        </w:rPr>
        <w:t>根据《中华人民共和国政府采购法</w:t>
      </w:r>
      <w:r>
        <w:rPr>
          <w:rFonts w:hint="eastAsia" w:ascii="宋体" w:hAnsi="宋体" w:cs="宋体"/>
          <w:highlight w:val="none"/>
        </w:rPr>
        <w:t>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snapToGrid w:val="0"/>
        <w:spacing w:line="360" w:lineRule="auto"/>
        <w:ind w:firstLine="426" w:firstLineChars="202"/>
        <w:rPr>
          <w:rFonts w:ascii="宋体" w:hAnsi="宋体" w:cs="宋体"/>
          <w:b/>
          <w:bCs/>
          <w:highlight w:val="none"/>
        </w:rPr>
      </w:pPr>
      <w:r>
        <w:rPr>
          <w:rFonts w:hint="eastAsia" w:ascii="宋体" w:hAnsi="宋体" w:cs="宋体"/>
          <w:b/>
          <w:bCs/>
          <w:highlight w:val="none"/>
        </w:rPr>
        <w:t>本公司（企业）</w:t>
      </w:r>
      <w:r>
        <w:rPr>
          <w:rFonts w:hint="eastAsia" w:ascii="宋体" w:hAnsi="宋体" w:cs="宋体"/>
          <w:b/>
          <w:bCs/>
          <w:szCs w:val="21"/>
          <w:highlight w:val="none"/>
        </w:rPr>
        <w:t>未被列入“信用中国”网站(www.creditchina.gov.cn)“记录失信被执行人或重大税收违法案件当事人名单</w:t>
      </w:r>
      <w:r>
        <w:rPr>
          <w:rFonts w:hint="eastAsia" w:ascii="宋体" w:hAnsi="宋体"/>
          <w:b/>
          <w:bCs/>
          <w:szCs w:val="21"/>
          <w:highlight w:val="none"/>
        </w:rPr>
        <w:t>（重大税收违法失信主体）</w:t>
      </w:r>
      <w:r>
        <w:rPr>
          <w:rFonts w:hint="eastAsia" w:ascii="宋体" w:hAnsi="宋体" w:cs="宋体"/>
          <w:b/>
          <w:bCs/>
          <w:szCs w:val="21"/>
          <w:highlight w:val="none"/>
        </w:rPr>
        <w:t>或政府采购严重违法失信行为”记录名单；不处于中国政府采购网(www.ccgp.gov.cn)“政府采购严重违法失信行为信息记录”中的禁止参加政府采购活动期间。未在中国裁判文书网有行贿犯罪相关记录。</w:t>
      </w:r>
      <w:r>
        <w:rPr>
          <w:rFonts w:hint="eastAsia" w:ascii="宋体" w:hAnsi="宋体" w:cs="宋体"/>
          <w:b/>
          <w:bCs/>
          <w:highlight w:val="none"/>
        </w:rPr>
        <w:t>否则，由此所造成的损失、不良后果及法律责任，一律由我公司（企业）承担。</w:t>
      </w:r>
    </w:p>
    <w:p>
      <w:pPr>
        <w:snapToGrid w:val="0"/>
        <w:spacing w:line="360" w:lineRule="auto"/>
        <w:ind w:firstLine="424" w:firstLineChars="202"/>
        <w:rPr>
          <w:rFonts w:ascii="宋体" w:hAnsi="宋体" w:cs="宋体"/>
          <w:highlight w:val="none"/>
        </w:rPr>
      </w:pPr>
      <w:r>
        <w:rPr>
          <w:rFonts w:hint="eastAsia" w:ascii="宋体" w:hAnsi="宋体" w:cs="宋体"/>
          <w:highlight w:val="none"/>
        </w:rPr>
        <w:t>我公司已清楚招标文件的要求及有关文件规定。本次招标采购活动中，如有违法、违规、弄虚作假行为，所造成的损失、不良后果及法律责任，一律由我公司（企业）承担。</w:t>
      </w:r>
    </w:p>
    <w:p>
      <w:pPr>
        <w:spacing w:line="360" w:lineRule="auto"/>
        <w:ind w:firstLine="420"/>
        <w:rPr>
          <w:rFonts w:ascii="宋体" w:hAnsi="宋体" w:cs="宋体"/>
          <w:b/>
          <w:highlight w:val="none"/>
        </w:rPr>
      </w:pPr>
      <w:r>
        <w:rPr>
          <w:rFonts w:hint="eastAsia" w:ascii="宋体" w:hAnsi="宋体" w:cs="宋体"/>
          <w:b/>
          <w:highlight w:val="none"/>
        </w:rPr>
        <w:t>特此声明！</w:t>
      </w:r>
    </w:p>
    <w:p>
      <w:pPr>
        <w:adjustRightInd w:val="0"/>
        <w:snapToGrid w:val="0"/>
        <w:spacing w:line="360" w:lineRule="auto"/>
        <w:ind w:left="425"/>
        <w:rPr>
          <w:rFonts w:ascii="宋体" w:hAnsi="宋体" w:cs="宋体"/>
          <w:spacing w:val="4"/>
          <w:highlight w:val="none"/>
        </w:rPr>
      </w:pPr>
    </w:p>
    <w:p>
      <w:pPr>
        <w:spacing w:line="360" w:lineRule="auto"/>
        <w:ind w:right="420" w:firstLine="3150" w:firstLineChars="1500"/>
        <w:rPr>
          <w:rFonts w:ascii="宋体" w:hAnsi="宋体" w:cs="宋体"/>
          <w:highlight w:val="none"/>
        </w:rPr>
      </w:pPr>
      <w:r>
        <w:rPr>
          <w:rFonts w:hint="eastAsia" w:ascii="宋体" w:hAnsi="宋体" w:cs="宋体"/>
          <w:highlight w:val="none"/>
        </w:rPr>
        <w:t>法定代表人或授权代表（签名或印章）：</w:t>
      </w:r>
    </w:p>
    <w:p>
      <w:pPr>
        <w:spacing w:line="360" w:lineRule="auto"/>
        <w:ind w:right="420" w:firstLine="3150" w:firstLineChars="1500"/>
        <w:rPr>
          <w:rFonts w:ascii="宋体" w:hAnsi="宋体" w:cs="宋体"/>
          <w:highlight w:val="none"/>
        </w:rPr>
      </w:pPr>
      <w:r>
        <w:rPr>
          <w:rFonts w:hint="eastAsia" w:ascii="宋体" w:hAnsi="宋体" w:cs="宋体"/>
          <w:highlight w:val="none"/>
        </w:rPr>
        <w:t>供应商公章：</w:t>
      </w:r>
    </w:p>
    <w:p>
      <w:pPr>
        <w:spacing w:line="360" w:lineRule="auto"/>
        <w:ind w:right="420" w:firstLine="3150" w:firstLineChars="1500"/>
        <w:rPr>
          <w:rFonts w:ascii="宋体" w:hAnsi="宋体" w:cs="宋体"/>
          <w:highlight w:val="none"/>
        </w:rPr>
      </w:pPr>
      <w:r>
        <w:rPr>
          <w:rFonts w:hint="eastAsia" w:ascii="宋体" w:hAnsi="宋体" w:cs="宋体"/>
          <w:highlight w:val="none"/>
        </w:rPr>
        <w:t>年    月    日</w:t>
      </w:r>
    </w:p>
    <w:p>
      <w:pPr>
        <w:snapToGrid w:val="0"/>
        <w:rPr>
          <w:rFonts w:ascii="宋体" w:hAnsi="宋体" w:cs="宋体"/>
          <w:szCs w:val="21"/>
          <w:highlight w:val="none"/>
        </w:rPr>
      </w:pPr>
      <w:r>
        <w:rPr>
          <w:rFonts w:hint="eastAsia" w:ascii="宋体" w:hAnsi="宋体" w:cs="宋体"/>
          <w:b/>
          <w:highlight w:val="none"/>
        </w:rPr>
        <w:t>注：联合体投标的，可只由联合体牵头人签章。</w:t>
      </w:r>
      <w:r>
        <w:rPr>
          <w:rFonts w:hint="eastAsia" w:ascii="宋体" w:hAnsi="宋体" w:cs="宋体"/>
          <w:highlight w:val="none"/>
        </w:rPr>
        <w:br w:type="page"/>
      </w:r>
      <w:r>
        <w:rPr>
          <w:rFonts w:hint="eastAsia" w:ascii="宋体" w:hAnsi="宋体" w:cs="宋体"/>
          <w:b/>
          <w:bCs/>
          <w:highlight w:val="none"/>
        </w:rPr>
        <w:t>（2）</w:t>
      </w:r>
      <w:r>
        <w:rPr>
          <w:rFonts w:hint="eastAsia" w:ascii="宋体" w:hAnsi="宋体" w:cs="宋体"/>
          <w:highlight w:val="none"/>
        </w:rPr>
        <w:t>有效的企业法人营业执照（或事业法人登记证）、其他组织（个体工商户）的营业执照或者民办非企业单位登记证书复印件；</w:t>
      </w:r>
      <w:r>
        <w:rPr>
          <w:rFonts w:hint="eastAsia" w:ascii="宋体" w:hAnsi="宋体" w:cs="宋体"/>
          <w:szCs w:val="21"/>
          <w:highlight w:val="none"/>
        </w:rPr>
        <w:t>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cs="宋体"/>
          <w:highlight w:val="none"/>
        </w:rPr>
        <w:t>；</w:t>
      </w:r>
    </w:p>
    <w:p>
      <w:pPr>
        <w:snapToGrid w:val="0"/>
        <w:rPr>
          <w:rFonts w:ascii="宋体" w:hAnsi="宋体" w:cs="宋体"/>
          <w:szCs w:val="21"/>
          <w:highlight w:val="none"/>
        </w:rPr>
      </w:pPr>
    </w:p>
    <w:p>
      <w:pPr>
        <w:snapToGrid w:val="0"/>
        <w:rPr>
          <w:rFonts w:ascii="宋体" w:hAnsi="宋体" w:cs="宋体"/>
          <w:szCs w:val="21"/>
          <w:highlight w:val="none"/>
        </w:rPr>
      </w:pPr>
      <w:r>
        <w:rPr>
          <w:rFonts w:hint="eastAsia" w:ascii="宋体" w:hAnsi="宋体" w:cs="宋体"/>
          <w:b/>
          <w:bCs/>
          <w:highlight w:val="none"/>
        </w:rPr>
        <w:t>注：联合体投标的，联合体各方均须提供。</w:t>
      </w:r>
    </w:p>
    <w:p>
      <w:pPr>
        <w:rPr>
          <w:rFonts w:ascii="宋体" w:hAnsi="宋体" w:cs="宋体"/>
          <w:szCs w:val="21"/>
          <w:highlight w:val="none"/>
        </w:rPr>
      </w:pPr>
      <w:r>
        <w:rPr>
          <w:rFonts w:hint="eastAsia" w:ascii="宋体" w:hAnsi="宋体" w:cs="宋体"/>
          <w:szCs w:val="21"/>
          <w:highlight w:val="none"/>
        </w:rPr>
        <w:br w:type="page"/>
      </w:r>
    </w:p>
    <w:p>
      <w:pPr>
        <w:snapToGrid w:val="0"/>
        <w:rPr>
          <w:rFonts w:hint="eastAsia" w:ascii="宋体" w:hAnsi="宋体" w:eastAsia="宋体" w:cs="宋体"/>
          <w:highlight w:val="none"/>
        </w:rPr>
      </w:pPr>
      <w:r>
        <w:rPr>
          <w:rFonts w:hint="eastAsia" w:ascii="宋体" w:hAnsi="宋体" w:eastAsia="宋体" w:cs="宋体"/>
          <w:highlight w:val="none"/>
        </w:rPr>
        <w:t>（3）供应商特定资格条件的证明文件：详见“第一章  公开招标公告 二、申请人的资格要求：3.本项目的特定资格要求”；</w:t>
      </w:r>
    </w:p>
    <w:p>
      <w:pPr>
        <w:snapToGrid w:val="0"/>
        <w:rPr>
          <w:rFonts w:hint="eastAsia" w:ascii="宋体" w:hAnsi="宋体" w:eastAsia="宋体" w:cs="宋体"/>
          <w:highlight w:val="none"/>
          <w:lang w:eastAsia="zh-CN"/>
        </w:rPr>
      </w:pPr>
    </w:p>
    <w:p>
      <w:pPr>
        <w:rPr>
          <w:rFonts w:hint="eastAsia" w:ascii="宋体" w:hAnsi="宋体" w:eastAsia="宋体" w:cs="宋体"/>
          <w:highlight w:val="none"/>
          <w:lang w:eastAsia="zh-CN"/>
        </w:rPr>
      </w:pPr>
      <w:r>
        <w:rPr>
          <w:rFonts w:hint="eastAsia" w:ascii="宋体" w:hAnsi="宋体" w:eastAsia="宋体" w:cs="宋体"/>
          <w:highlight w:val="none"/>
          <w:lang w:eastAsia="zh-CN"/>
        </w:rPr>
        <w:br w:type="page"/>
      </w:r>
    </w:p>
    <w:p>
      <w:pPr>
        <w:snapToGrid w:val="0"/>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4</w:t>
      </w:r>
      <w:r>
        <w:rPr>
          <w:rFonts w:hint="eastAsia" w:ascii="宋体" w:hAnsi="宋体" w:eastAsia="宋体" w:cs="宋体"/>
          <w:highlight w:val="none"/>
          <w:lang w:eastAsia="zh-CN"/>
        </w:rPr>
        <w:t>）</w:t>
      </w:r>
      <w:r>
        <w:rPr>
          <w:rFonts w:hint="eastAsia" w:ascii="宋体" w:hAnsi="宋体" w:eastAsia="宋体" w:cs="宋体"/>
          <w:highlight w:val="none"/>
        </w:rPr>
        <w:t>联合体协议书格式</w:t>
      </w:r>
    </w:p>
    <w:p>
      <w:pPr>
        <w:snapToGrid w:val="0"/>
        <w:spacing w:beforeLines="50" w:after="50"/>
        <w:jc w:val="center"/>
        <w:rPr>
          <w:rFonts w:ascii="宋体" w:hAnsi="宋体" w:cs="宋体"/>
          <w:b/>
          <w:bCs/>
          <w:szCs w:val="21"/>
          <w:highlight w:val="none"/>
        </w:rPr>
      </w:pPr>
      <w:r>
        <w:rPr>
          <w:rFonts w:hint="eastAsia" w:ascii="宋体" w:hAnsi="宋体" w:cs="宋体"/>
          <w:b/>
          <w:bCs/>
          <w:szCs w:val="21"/>
          <w:highlight w:val="none"/>
        </w:rPr>
        <w:t>联合体协议书</w:t>
      </w:r>
    </w:p>
    <w:p>
      <w:pPr>
        <w:rPr>
          <w:rFonts w:ascii="宋体" w:hAnsi="Courier New"/>
          <w:szCs w:val="20"/>
          <w:highlight w:val="none"/>
        </w:rPr>
      </w:pPr>
    </w:p>
    <w:p>
      <w:pPr>
        <w:topLinePunct/>
        <w:spacing w:line="440" w:lineRule="exact"/>
        <w:ind w:firstLine="420" w:firstLineChars="200"/>
        <w:rPr>
          <w:szCs w:val="21"/>
          <w:highlight w:val="none"/>
        </w:rPr>
      </w:pPr>
      <w:r>
        <w:rPr>
          <w:szCs w:val="21"/>
          <w:highlight w:val="none"/>
        </w:rPr>
        <w:t>（所有成员单位名称）自愿组成</w:t>
      </w:r>
      <w:r>
        <w:rPr>
          <w:rFonts w:hint="eastAsia"/>
          <w:szCs w:val="21"/>
          <w:highlight w:val="none"/>
        </w:rPr>
        <w:t>（联合体名称）</w:t>
      </w:r>
      <w:r>
        <w:rPr>
          <w:szCs w:val="21"/>
          <w:highlight w:val="none"/>
        </w:rPr>
        <w:t>，共同参加（项目名称）。现就联合体投标事宜订立如下协议。</w:t>
      </w:r>
    </w:p>
    <w:p>
      <w:pPr>
        <w:topLinePunct/>
        <w:spacing w:line="440" w:lineRule="exact"/>
        <w:ind w:firstLine="420" w:firstLineChars="200"/>
        <w:rPr>
          <w:szCs w:val="21"/>
          <w:highlight w:val="none"/>
        </w:rPr>
      </w:pPr>
      <w:r>
        <w:rPr>
          <w:szCs w:val="21"/>
          <w:highlight w:val="none"/>
        </w:rPr>
        <w:t>1</w:t>
      </w:r>
      <w:r>
        <w:rPr>
          <w:rFonts w:hint="eastAsia"/>
          <w:szCs w:val="21"/>
          <w:highlight w:val="none"/>
        </w:rPr>
        <w:t>．</w:t>
      </w:r>
      <w:r>
        <w:rPr>
          <w:szCs w:val="21"/>
          <w:highlight w:val="none"/>
        </w:rPr>
        <w:t>（某成员单位名称）为</w:t>
      </w:r>
      <w:r>
        <w:rPr>
          <w:rFonts w:hint="eastAsia"/>
          <w:szCs w:val="21"/>
          <w:highlight w:val="none"/>
        </w:rPr>
        <w:t>（联合体名称）</w:t>
      </w:r>
      <w:r>
        <w:rPr>
          <w:szCs w:val="21"/>
          <w:highlight w:val="none"/>
        </w:rPr>
        <w:t>牵头人。</w:t>
      </w:r>
    </w:p>
    <w:p>
      <w:pPr>
        <w:topLinePunct/>
        <w:spacing w:line="440" w:lineRule="exact"/>
        <w:ind w:firstLine="420" w:firstLineChars="200"/>
        <w:rPr>
          <w:szCs w:val="21"/>
          <w:highlight w:val="none"/>
        </w:rPr>
      </w:pPr>
      <w:r>
        <w:rPr>
          <w:szCs w:val="21"/>
          <w:highlight w:val="none"/>
        </w:rPr>
        <w:t>2</w:t>
      </w:r>
      <w:r>
        <w:rPr>
          <w:rFonts w:hint="eastAsia"/>
          <w:szCs w:val="21"/>
          <w:highlight w:val="none"/>
        </w:rPr>
        <w:t>．联合体各成员授权牵头人代表联合体参加投标活动，签署文件，提交和接收相关的资料、信息及指示，进行合同谈判活动，负责合同实施阶段的组织和协调工作，以及处理与本招标项目有关的一切事宜</w:t>
      </w:r>
      <w:r>
        <w:rPr>
          <w:szCs w:val="21"/>
          <w:highlight w:val="none"/>
        </w:rPr>
        <w:t>。</w:t>
      </w:r>
    </w:p>
    <w:p>
      <w:pPr>
        <w:topLinePunct/>
        <w:spacing w:line="440" w:lineRule="exact"/>
        <w:ind w:firstLine="420" w:firstLineChars="200"/>
        <w:rPr>
          <w:szCs w:val="21"/>
          <w:highlight w:val="none"/>
        </w:rPr>
      </w:pPr>
      <w:r>
        <w:rPr>
          <w:szCs w:val="21"/>
          <w:highlight w:val="none"/>
        </w:rPr>
        <w:t>3</w:t>
      </w:r>
      <w:r>
        <w:rPr>
          <w:rFonts w:hint="eastAsia"/>
          <w:szCs w:val="21"/>
          <w:highlight w:val="none"/>
        </w:rPr>
        <w:t>．联合体牵头人在本项目中签署的一切文件和处理的一切事宜，联合体各成员均予以承认。联合体各成员将严格按照采购文件、投标文件和合同的要求全面履行义务，并向采购人承担连带责任</w:t>
      </w:r>
      <w:r>
        <w:rPr>
          <w:szCs w:val="21"/>
          <w:highlight w:val="none"/>
        </w:rPr>
        <w:t>。</w:t>
      </w:r>
    </w:p>
    <w:p>
      <w:pPr>
        <w:topLinePunct/>
        <w:spacing w:line="440" w:lineRule="exact"/>
        <w:ind w:firstLine="420" w:firstLineChars="200"/>
        <w:rPr>
          <w:szCs w:val="21"/>
          <w:highlight w:val="none"/>
        </w:rPr>
      </w:pPr>
      <w:r>
        <w:rPr>
          <w:szCs w:val="21"/>
          <w:highlight w:val="none"/>
        </w:rPr>
        <w:t>4</w:t>
      </w:r>
      <w:r>
        <w:rPr>
          <w:rFonts w:hint="eastAsia"/>
          <w:szCs w:val="21"/>
          <w:highlight w:val="none"/>
        </w:rPr>
        <w:t>．联合体各成员单位内部的职责分工如下：</w:t>
      </w:r>
    </w:p>
    <w:p>
      <w:pPr>
        <w:topLinePunct/>
        <w:spacing w:line="440" w:lineRule="exact"/>
        <w:ind w:firstLine="420" w:firstLineChars="200"/>
        <w:rPr>
          <w:szCs w:val="21"/>
          <w:highlight w:val="none"/>
        </w:rPr>
      </w:pPr>
      <w:r>
        <w:rPr>
          <w:rFonts w:hint="eastAsia"/>
          <w:szCs w:val="21"/>
          <w:highlight w:val="none"/>
        </w:rPr>
        <w:t>（1）由联合体牵头人承担</w:t>
      </w:r>
      <w:r>
        <w:rPr>
          <w:rFonts w:hint="eastAsia"/>
          <w:szCs w:val="21"/>
          <w:highlight w:val="none"/>
          <w:u w:val="single"/>
        </w:rPr>
        <w:t xml:space="preserve">               工作（占合同总金额     %）</w:t>
      </w:r>
      <w:r>
        <w:rPr>
          <w:rFonts w:hint="eastAsia"/>
          <w:szCs w:val="21"/>
          <w:highlight w:val="none"/>
        </w:rPr>
        <w:t>；</w:t>
      </w:r>
    </w:p>
    <w:p>
      <w:pPr>
        <w:topLinePunct/>
        <w:spacing w:line="440" w:lineRule="exact"/>
        <w:ind w:firstLine="420" w:firstLineChars="200"/>
        <w:rPr>
          <w:szCs w:val="21"/>
          <w:highlight w:val="none"/>
        </w:rPr>
      </w:pPr>
      <w:r>
        <w:rPr>
          <w:rFonts w:hint="eastAsia"/>
          <w:szCs w:val="21"/>
          <w:highlight w:val="none"/>
        </w:rPr>
        <w:t>（2）由联合体成员承担</w:t>
      </w:r>
      <w:r>
        <w:rPr>
          <w:rFonts w:hint="eastAsia"/>
          <w:szCs w:val="21"/>
          <w:highlight w:val="none"/>
          <w:u w:val="single"/>
        </w:rPr>
        <w:t xml:space="preserve">                 工作（占合同总金额     %）</w:t>
      </w:r>
      <w:r>
        <w:rPr>
          <w:rFonts w:hint="eastAsia"/>
          <w:szCs w:val="21"/>
          <w:highlight w:val="none"/>
        </w:rPr>
        <w:t>。</w:t>
      </w:r>
    </w:p>
    <w:p>
      <w:pPr>
        <w:topLinePunct/>
        <w:spacing w:line="440" w:lineRule="exact"/>
        <w:ind w:firstLine="420" w:firstLineChars="200"/>
        <w:rPr>
          <w:szCs w:val="21"/>
          <w:highlight w:val="none"/>
        </w:rPr>
      </w:pPr>
      <w:r>
        <w:rPr>
          <w:szCs w:val="21"/>
          <w:highlight w:val="none"/>
        </w:rPr>
        <w:t>5</w:t>
      </w:r>
      <w:r>
        <w:rPr>
          <w:rFonts w:hint="eastAsia"/>
          <w:szCs w:val="21"/>
          <w:highlight w:val="none"/>
        </w:rPr>
        <w:t>．投标工作和联合体在中标后实施过程中的有关费用按各自承担的工作量分摊。</w:t>
      </w:r>
    </w:p>
    <w:p>
      <w:pPr>
        <w:topLinePunct/>
        <w:spacing w:line="440" w:lineRule="exact"/>
        <w:ind w:firstLine="420" w:firstLineChars="200"/>
        <w:rPr>
          <w:szCs w:val="21"/>
          <w:highlight w:val="none"/>
        </w:rPr>
      </w:pPr>
      <w:r>
        <w:rPr>
          <w:szCs w:val="21"/>
          <w:highlight w:val="none"/>
        </w:rPr>
        <w:t>6</w:t>
      </w:r>
      <w:r>
        <w:rPr>
          <w:rFonts w:hint="eastAsia"/>
          <w:szCs w:val="21"/>
          <w:highlight w:val="none"/>
        </w:rPr>
        <w:t>．本协议书自所有成员单位法定代表人签字或盖章并加盖单位章之日起生效，合同履行完毕后自动失效</w:t>
      </w:r>
      <w:r>
        <w:rPr>
          <w:szCs w:val="21"/>
          <w:highlight w:val="none"/>
        </w:rPr>
        <w:t xml:space="preserve">。 </w:t>
      </w:r>
    </w:p>
    <w:p>
      <w:pPr>
        <w:topLinePunct/>
        <w:spacing w:line="440" w:lineRule="exact"/>
        <w:ind w:firstLine="420" w:firstLineChars="200"/>
        <w:rPr>
          <w:szCs w:val="21"/>
          <w:highlight w:val="none"/>
        </w:rPr>
      </w:pPr>
      <w:r>
        <w:rPr>
          <w:szCs w:val="21"/>
          <w:highlight w:val="none"/>
        </w:rPr>
        <w:t>7</w:t>
      </w:r>
      <w:r>
        <w:rPr>
          <w:rFonts w:hint="eastAsia"/>
          <w:szCs w:val="21"/>
          <w:highlight w:val="none"/>
        </w:rPr>
        <w:t>．</w:t>
      </w:r>
      <w:r>
        <w:rPr>
          <w:szCs w:val="21"/>
          <w:highlight w:val="none"/>
        </w:rPr>
        <w:t>本协议书一式份，联合体成员和</w:t>
      </w:r>
      <w:r>
        <w:rPr>
          <w:rFonts w:hint="eastAsia"/>
          <w:szCs w:val="21"/>
          <w:highlight w:val="none"/>
        </w:rPr>
        <w:t>采购人</w:t>
      </w:r>
      <w:r>
        <w:rPr>
          <w:szCs w:val="21"/>
          <w:highlight w:val="none"/>
        </w:rPr>
        <w:t>各执一份。</w:t>
      </w:r>
    </w:p>
    <w:p>
      <w:pPr>
        <w:topLinePunct/>
        <w:spacing w:line="440" w:lineRule="exact"/>
        <w:rPr>
          <w:szCs w:val="21"/>
          <w:highlight w:val="none"/>
        </w:rPr>
      </w:pPr>
    </w:p>
    <w:p>
      <w:pPr>
        <w:topLinePunct/>
        <w:spacing w:line="440" w:lineRule="exact"/>
        <w:ind w:firstLine="420" w:firstLineChars="200"/>
        <w:rPr>
          <w:szCs w:val="21"/>
          <w:highlight w:val="none"/>
        </w:rPr>
      </w:pPr>
      <w:r>
        <w:rPr>
          <w:rFonts w:hint="eastAsia"/>
          <w:szCs w:val="21"/>
          <w:highlight w:val="none"/>
        </w:rPr>
        <w:t>联合体</w:t>
      </w:r>
      <w:r>
        <w:rPr>
          <w:szCs w:val="21"/>
          <w:highlight w:val="none"/>
        </w:rPr>
        <w:t>牵头人名称：（盖单位章）</w:t>
      </w:r>
    </w:p>
    <w:p>
      <w:pPr>
        <w:topLinePunct/>
        <w:spacing w:line="440" w:lineRule="exact"/>
        <w:ind w:firstLine="420" w:firstLineChars="200"/>
        <w:rPr>
          <w:szCs w:val="21"/>
          <w:highlight w:val="none"/>
        </w:rPr>
      </w:pPr>
      <w:r>
        <w:rPr>
          <w:szCs w:val="21"/>
          <w:highlight w:val="none"/>
        </w:rPr>
        <w:t>法定代表人：（签字</w:t>
      </w:r>
      <w:r>
        <w:rPr>
          <w:rFonts w:hint="eastAsia"/>
          <w:szCs w:val="21"/>
          <w:highlight w:val="none"/>
        </w:rPr>
        <w:t>或盖章</w:t>
      </w:r>
      <w:r>
        <w:rPr>
          <w:szCs w:val="21"/>
          <w:highlight w:val="none"/>
        </w:rPr>
        <w:t>）</w:t>
      </w:r>
    </w:p>
    <w:p>
      <w:pPr>
        <w:topLinePunct/>
        <w:spacing w:line="440" w:lineRule="exact"/>
        <w:rPr>
          <w:szCs w:val="21"/>
          <w:highlight w:val="none"/>
        </w:rPr>
      </w:pPr>
    </w:p>
    <w:p>
      <w:pPr>
        <w:topLinePunct/>
        <w:spacing w:line="440" w:lineRule="exact"/>
        <w:ind w:firstLine="420" w:firstLineChars="200"/>
        <w:rPr>
          <w:szCs w:val="21"/>
          <w:highlight w:val="none"/>
        </w:rPr>
      </w:pPr>
      <w:r>
        <w:rPr>
          <w:rFonts w:hint="eastAsia"/>
          <w:szCs w:val="21"/>
          <w:highlight w:val="none"/>
        </w:rPr>
        <w:t>联合体</w:t>
      </w:r>
      <w:r>
        <w:rPr>
          <w:szCs w:val="21"/>
          <w:highlight w:val="none"/>
        </w:rPr>
        <w:t>成员名称：（盖单位章）</w:t>
      </w:r>
    </w:p>
    <w:p>
      <w:pPr>
        <w:topLinePunct/>
        <w:spacing w:line="440" w:lineRule="exact"/>
        <w:ind w:firstLine="420" w:firstLineChars="200"/>
        <w:rPr>
          <w:szCs w:val="21"/>
          <w:highlight w:val="none"/>
        </w:rPr>
      </w:pPr>
      <w:r>
        <w:rPr>
          <w:szCs w:val="21"/>
          <w:highlight w:val="none"/>
        </w:rPr>
        <w:t>法定代表人：（签字</w:t>
      </w:r>
      <w:r>
        <w:rPr>
          <w:rFonts w:hint="eastAsia"/>
          <w:szCs w:val="21"/>
          <w:highlight w:val="none"/>
        </w:rPr>
        <w:t>或盖章</w:t>
      </w:r>
      <w:r>
        <w:rPr>
          <w:szCs w:val="21"/>
          <w:highlight w:val="none"/>
        </w:rPr>
        <w:t>）</w:t>
      </w:r>
    </w:p>
    <w:p>
      <w:pPr>
        <w:topLinePunct/>
        <w:spacing w:line="440" w:lineRule="exact"/>
        <w:rPr>
          <w:szCs w:val="21"/>
          <w:highlight w:val="none"/>
        </w:rPr>
      </w:pPr>
    </w:p>
    <w:p>
      <w:pPr>
        <w:widowControl/>
        <w:spacing w:line="360" w:lineRule="auto"/>
        <w:jc w:val="left"/>
        <w:rPr>
          <w:highlight w:val="none"/>
        </w:rPr>
      </w:pPr>
      <w:r>
        <w:rPr>
          <w:highlight w:val="none"/>
        </w:rPr>
        <w:t>年月日</w:t>
      </w:r>
    </w:p>
    <w:p>
      <w:pPr>
        <w:tabs>
          <w:tab w:val="left" w:pos="360"/>
        </w:tabs>
        <w:spacing w:line="360" w:lineRule="auto"/>
        <w:ind w:left="357" w:hanging="357"/>
        <w:rPr>
          <w:rFonts w:ascii="宋体" w:hAnsi="宋体"/>
          <w:highlight w:val="none"/>
        </w:rPr>
      </w:pPr>
    </w:p>
    <w:p>
      <w:pPr>
        <w:rPr>
          <w:highlight w:val="none"/>
        </w:rPr>
      </w:pPr>
      <w:r>
        <w:rPr>
          <w:rFonts w:hint="eastAsia" w:ascii="宋体" w:hAnsi="宋体" w:cs="宋体"/>
          <w:b/>
          <w:bCs/>
          <w:highlight w:val="none"/>
        </w:rPr>
        <w:t>注：采用联合体形式投标的供应商必须提供联合体协议；如单独投标无须提供“联合体协议”。</w:t>
      </w:r>
      <w:r>
        <w:rPr>
          <w:rFonts w:hint="eastAsia"/>
          <w:highlight w:val="none"/>
        </w:rPr>
        <w:br w:type="page"/>
      </w:r>
    </w:p>
    <w:p>
      <w:pPr>
        <w:snapToGrid w:val="0"/>
        <w:rPr>
          <w:rFonts w:ascii="宋体" w:hAnsi="宋体" w:cs="宋体"/>
          <w:b/>
          <w:bCs/>
          <w:highlight w:val="none"/>
        </w:rPr>
      </w:pPr>
      <w:r>
        <w:rPr>
          <w:rFonts w:hint="eastAsia" w:ascii="宋体" w:hAnsi="宋体" w:cs="宋体"/>
          <w:b/>
          <w:bCs/>
          <w:highlight w:val="none"/>
        </w:rPr>
        <w:t>（</w:t>
      </w:r>
      <w:r>
        <w:rPr>
          <w:rFonts w:hint="eastAsia" w:ascii="宋体" w:hAnsi="宋体" w:cs="宋体"/>
          <w:b/>
          <w:bCs/>
          <w:highlight w:val="none"/>
          <w:lang w:val="en-US" w:eastAsia="zh-CN"/>
        </w:rPr>
        <w:t>5</w:t>
      </w:r>
      <w:r>
        <w:rPr>
          <w:rFonts w:hint="eastAsia" w:ascii="宋体" w:hAnsi="宋体" w:cs="宋体"/>
          <w:b/>
          <w:bCs/>
          <w:highlight w:val="none"/>
        </w:rPr>
        <w:t>）</w:t>
      </w:r>
      <w:r>
        <w:rPr>
          <w:rFonts w:hint="eastAsia" w:ascii="宋体" w:hAnsi="宋体" w:cs="宋体"/>
          <w:szCs w:val="21"/>
          <w:highlight w:val="none"/>
        </w:rPr>
        <w:t>招标文件要求的其他资格条件证明材料（如有）。</w:t>
      </w:r>
    </w:p>
    <w:p>
      <w:pPr>
        <w:spacing w:line="360" w:lineRule="auto"/>
        <w:rPr>
          <w:rFonts w:ascii="宋体" w:hAnsi="宋体" w:cs="宋体"/>
          <w:bCs/>
          <w:sz w:val="24"/>
          <w:highlight w:val="none"/>
        </w:rPr>
      </w:pPr>
      <w:r>
        <w:rPr>
          <w:rFonts w:hint="eastAsia" w:ascii="宋体" w:hAnsi="宋体" w:cs="宋体"/>
          <w:b/>
          <w:bCs/>
          <w:highlight w:val="none"/>
        </w:rPr>
        <w:br w:type="page"/>
      </w:r>
      <w:r>
        <w:rPr>
          <w:rFonts w:hint="eastAsia" w:ascii="宋体" w:hAnsi="宋体" w:cs="宋体"/>
          <w:b/>
          <w:bCs/>
          <w:highlight w:val="none"/>
        </w:rPr>
        <w:t>3、商务技术文件内容包括</w:t>
      </w:r>
    </w:p>
    <w:p>
      <w:pPr>
        <w:numPr>
          <w:ilvl w:val="0"/>
          <w:numId w:val="41"/>
        </w:numPr>
        <w:spacing w:line="360" w:lineRule="auto"/>
        <w:jc w:val="left"/>
        <w:rPr>
          <w:rFonts w:ascii="宋体" w:hAnsi="宋体" w:cs="宋体"/>
          <w:highlight w:val="none"/>
        </w:rPr>
      </w:pPr>
      <w:r>
        <w:rPr>
          <w:rFonts w:hint="eastAsia" w:ascii="宋体" w:hAnsi="宋体" w:cs="宋体"/>
          <w:highlight w:val="none"/>
        </w:rPr>
        <w:t>符合性自查表（格式见附件）；</w:t>
      </w:r>
    </w:p>
    <w:p>
      <w:pPr>
        <w:numPr>
          <w:ilvl w:val="0"/>
          <w:numId w:val="41"/>
        </w:numPr>
        <w:spacing w:line="360" w:lineRule="auto"/>
        <w:jc w:val="left"/>
        <w:rPr>
          <w:rFonts w:ascii="宋体" w:hAnsi="宋体" w:cs="宋体"/>
          <w:highlight w:val="none"/>
        </w:rPr>
      </w:pPr>
      <w:r>
        <w:rPr>
          <w:rFonts w:hint="eastAsia" w:ascii="宋体" w:hAnsi="宋体" w:cs="宋体"/>
          <w:highlight w:val="none"/>
        </w:rPr>
        <w:t>供应商响应表（格式见附件）；</w:t>
      </w:r>
    </w:p>
    <w:p>
      <w:pPr>
        <w:numPr>
          <w:ilvl w:val="0"/>
          <w:numId w:val="41"/>
        </w:numPr>
        <w:spacing w:line="360" w:lineRule="auto"/>
        <w:jc w:val="left"/>
        <w:rPr>
          <w:rFonts w:ascii="宋体" w:hAnsi="宋体" w:cs="宋体"/>
          <w:highlight w:val="none"/>
        </w:rPr>
      </w:pPr>
      <w:r>
        <w:rPr>
          <w:rFonts w:hint="eastAsia" w:ascii="宋体" w:hAnsi="宋体" w:cs="宋体"/>
          <w:highlight w:val="none"/>
        </w:rPr>
        <w:t>商务条款偏离表（格式见附件）；</w:t>
      </w:r>
    </w:p>
    <w:p>
      <w:pPr>
        <w:numPr>
          <w:ilvl w:val="0"/>
          <w:numId w:val="41"/>
        </w:numPr>
        <w:spacing w:line="360" w:lineRule="auto"/>
        <w:jc w:val="left"/>
        <w:rPr>
          <w:rFonts w:ascii="宋体" w:hAnsi="宋体" w:cs="宋体"/>
          <w:highlight w:val="none"/>
        </w:rPr>
      </w:pPr>
      <w:r>
        <w:rPr>
          <w:rFonts w:hint="eastAsia" w:ascii="宋体" w:hAnsi="宋体" w:cs="宋体"/>
          <w:highlight w:val="none"/>
        </w:rPr>
        <w:t>投标函（格式见附件）；</w:t>
      </w:r>
    </w:p>
    <w:p>
      <w:pPr>
        <w:numPr>
          <w:ilvl w:val="0"/>
          <w:numId w:val="41"/>
        </w:numPr>
        <w:spacing w:line="360" w:lineRule="auto"/>
        <w:jc w:val="left"/>
        <w:rPr>
          <w:rFonts w:ascii="宋体" w:hAnsi="宋体" w:cs="宋体"/>
          <w:highlight w:val="none"/>
        </w:rPr>
      </w:pPr>
      <w:r>
        <w:rPr>
          <w:rFonts w:hint="eastAsia" w:ascii="宋体" w:hAnsi="宋体" w:cs="宋体"/>
          <w:highlight w:val="none"/>
        </w:rPr>
        <w:t>法定代表人身份证明或法定代表人授权委托书（格式见附件）；</w:t>
      </w:r>
    </w:p>
    <w:p>
      <w:pPr>
        <w:numPr>
          <w:ilvl w:val="0"/>
          <w:numId w:val="41"/>
        </w:numPr>
        <w:spacing w:line="360" w:lineRule="auto"/>
        <w:jc w:val="left"/>
        <w:rPr>
          <w:rFonts w:ascii="宋体" w:hAnsi="宋体" w:cs="宋体"/>
          <w:highlight w:val="none"/>
        </w:rPr>
      </w:pPr>
      <w:r>
        <w:rPr>
          <w:rFonts w:hint="eastAsia" w:ascii="宋体" w:hAnsi="宋体" w:cs="宋体"/>
          <w:highlight w:val="none"/>
        </w:rPr>
        <w:t>技术（服务）条款偏离表（格式见附件）；</w:t>
      </w:r>
    </w:p>
    <w:p>
      <w:pPr>
        <w:numPr>
          <w:ilvl w:val="0"/>
          <w:numId w:val="41"/>
        </w:numPr>
        <w:spacing w:line="360" w:lineRule="auto"/>
        <w:jc w:val="left"/>
        <w:rPr>
          <w:rFonts w:ascii="宋体" w:hAnsi="宋体" w:cs="宋体"/>
          <w:highlight w:val="none"/>
        </w:rPr>
      </w:pPr>
      <w:r>
        <w:rPr>
          <w:rFonts w:hint="eastAsia" w:ascii="宋体" w:hAnsi="宋体" w:cs="宋体"/>
          <w:highlight w:val="none"/>
        </w:rPr>
        <w:t>供应商基本情况表（格式见附件）；</w:t>
      </w:r>
    </w:p>
    <w:p>
      <w:pPr>
        <w:numPr>
          <w:ilvl w:val="0"/>
          <w:numId w:val="41"/>
        </w:numPr>
        <w:spacing w:line="360" w:lineRule="auto"/>
        <w:rPr>
          <w:rFonts w:ascii="宋体" w:hAnsi="宋体" w:cs="宋体"/>
          <w:highlight w:val="none"/>
        </w:rPr>
      </w:pPr>
      <w:r>
        <w:rPr>
          <w:rFonts w:hint="eastAsia" w:ascii="宋体" w:hAnsi="宋体" w:cs="宋体"/>
          <w:highlight w:val="none"/>
        </w:rPr>
        <w:t>本项目负责人简历表（格式见附件）</w:t>
      </w:r>
    </w:p>
    <w:p>
      <w:pPr>
        <w:numPr>
          <w:ilvl w:val="0"/>
          <w:numId w:val="41"/>
        </w:numPr>
        <w:spacing w:line="360" w:lineRule="auto"/>
        <w:rPr>
          <w:rFonts w:ascii="宋体" w:hAnsi="宋体" w:cs="宋体"/>
          <w:highlight w:val="none"/>
        </w:rPr>
      </w:pPr>
      <w:r>
        <w:rPr>
          <w:rFonts w:hint="eastAsia" w:ascii="宋体" w:hAnsi="宋体" w:cs="宋体"/>
          <w:highlight w:val="none"/>
        </w:rPr>
        <w:t>本项目组人员配备情况表（格式见附件）</w:t>
      </w:r>
    </w:p>
    <w:p>
      <w:pPr>
        <w:numPr>
          <w:ilvl w:val="0"/>
          <w:numId w:val="41"/>
        </w:numPr>
        <w:spacing w:line="360" w:lineRule="auto"/>
        <w:jc w:val="left"/>
        <w:rPr>
          <w:rFonts w:ascii="宋体" w:hAnsi="宋体" w:cs="宋体"/>
          <w:highlight w:val="none"/>
        </w:rPr>
      </w:pPr>
      <w:r>
        <w:rPr>
          <w:rFonts w:hint="eastAsia" w:ascii="宋体" w:hAnsi="宋体" w:cs="宋体"/>
          <w:highlight w:val="none"/>
        </w:rPr>
        <w:t>同类业绩情况一览表（格式见附件）；</w:t>
      </w:r>
    </w:p>
    <w:p>
      <w:pPr>
        <w:numPr>
          <w:ilvl w:val="0"/>
          <w:numId w:val="41"/>
        </w:numPr>
        <w:spacing w:line="360" w:lineRule="auto"/>
        <w:jc w:val="left"/>
        <w:rPr>
          <w:rFonts w:ascii="宋体" w:hAnsi="宋体" w:cs="宋体"/>
          <w:highlight w:val="none"/>
        </w:rPr>
      </w:pPr>
      <w:r>
        <w:rPr>
          <w:rFonts w:hint="eastAsia" w:ascii="宋体" w:hAnsi="宋体" w:cs="宋体"/>
          <w:highlight w:val="none"/>
          <w:lang w:val="en-US" w:eastAsia="zh-CN"/>
        </w:rPr>
        <w:t>承诺书；</w:t>
      </w:r>
    </w:p>
    <w:p>
      <w:pPr>
        <w:numPr>
          <w:ilvl w:val="0"/>
          <w:numId w:val="41"/>
        </w:numPr>
        <w:spacing w:line="360" w:lineRule="auto"/>
        <w:jc w:val="left"/>
        <w:rPr>
          <w:rFonts w:hint="eastAsia" w:ascii="宋体" w:hAnsi="宋体" w:cs="宋体"/>
          <w:highlight w:val="none"/>
        </w:rPr>
      </w:pPr>
      <w:r>
        <w:rPr>
          <w:rFonts w:hint="eastAsia" w:ascii="宋体" w:hAnsi="宋体" w:cs="宋体"/>
          <w:highlight w:val="none"/>
        </w:rPr>
        <w:t>技术部分：针对本项目第二章采购需求和第四章评分标准中的条款拟定完整方案，格式自拟；</w:t>
      </w:r>
    </w:p>
    <w:p>
      <w:pPr>
        <w:numPr>
          <w:ilvl w:val="0"/>
          <w:numId w:val="41"/>
        </w:numPr>
        <w:spacing w:line="360" w:lineRule="auto"/>
        <w:jc w:val="left"/>
        <w:rPr>
          <w:rFonts w:hint="eastAsia" w:ascii="宋体" w:hAnsi="宋体" w:cs="宋体"/>
          <w:highlight w:val="none"/>
        </w:rPr>
      </w:pPr>
      <w:r>
        <w:rPr>
          <w:rFonts w:hint="eastAsia" w:ascii="宋体" w:hAnsi="宋体" w:cs="宋体"/>
          <w:highlight w:val="none"/>
        </w:rPr>
        <w:t>第四章评标办法及评分标准中需提供的其他相关证书及合同复印件等并加盖公章；</w:t>
      </w:r>
    </w:p>
    <w:p>
      <w:pPr>
        <w:numPr>
          <w:ilvl w:val="0"/>
          <w:numId w:val="41"/>
        </w:numPr>
        <w:spacing w:line="360" w:lineRule="auto"/>
        <w:jc w:val="left"/>
        <w:rPr>
          <w:rFonts w:hint="eastAsia" w:ascii="宋体" w:hAnsi="宋体" w:cs="宋体"/>
          <w:highlight w:val="none"/>
        </w:rPr>
      </w:pPr>
      <w:r>
        <w:rPr>
          <w:rFonts w:hint="eastAsia" w:ascii="宋体" w:hAnsi="宋体" w:cs="宋体"/>
          <w:highlight w:val="none"/>
        </w:rPr>
        <w:t>供应商认为有需要提供的其它有关证明资料</w:t>
      </w:r>
      <w:r>
        <w:rPr>
          <w:rFonts w:hint="eastAsia" w:ascii="宋体" w:hAnsi="宋体" w:cs="宋体"/>
          <w:highlight w:val="none"/>
          <w:lang w:eastAsia="zh-CN"/>
        </w:rPr>
        <w:t>。</w:t>
      </w:r>
    </w:p>
    <w:p>
      <w:pPr>
        <w:snapToGrid w:val="0"/>
        <w:rPr>
          <w:rFonts w:ascii="宋体" w:hAnsi="宋体" w:cs="宋体"/>
          <w:bCs/>
          <w:sz w:val="24"/>
          <w:highlight w:val="none"/>
        </w:rPr>
      </w:pPr>
    </w:p>
    <w:p>
      <w:pPr>
        <w:snapToGrid w:val="0"/>
        <w:rPr>
          <w:rFonts w:ascii="宋体" w:hAnsi="宋体" w:cs="宋体"/>
          <w:bCs/>
          <w:sz w:val="24"/>
          <w:highlight w:val="none"/>
        </w:rPr>
      </w:pPr>
    </w:p>
    <w:p>
      <w:pPr>
        <w:numPr>
          <w:ilvl w:val="0"/>
          <w:numId w:val="42"/>
        </w:numPr>
        <w:snapToGrid w:val="0"/>
        <w:rPr>
          <w:rFonts w:ascii="宋体" w:hAnsi="宋体" w:cs="宋体"/>
          <w:b/>
          <w:szCs w:val="21"/>
          <w:highlight w:val="none"/>
        </w:rPr>
      </w:pPr>
      <w:r>
        <w:rPr>
          <w:rFonts w:hint="eastAsia" w:ascii="宋体" w:hAnsi="宋体" w:cs="宋体"/>
          <w:b/>
          <w:szCs w:val="21"/>
          <w:highlight w:val="none"/>
        </w:rPr>
        <w:br w:type="page"/>
      </w:r>
      <w:r>
        <w:rPr>
          <w:rFonts w:hint="eastAsia" w:ascii="宋体" w:hAnsi="宋体" w:cs="宋体"/>
          <w:b/>
          <w:szCs w:val="21"/>
          <w:highlight w:val="none"/>
        </w:rPr>
        <w:t>符合性自查表格式</w:t>
      </w:r>
    </w:p>
    <w:p>
      <w:pPr>
        <w:jc w:val="center"/>
        <w:rPr>
          <w:rFonts w:ascii="宋体" w:hAnsi="宋体" w:cs="宋体"/>
          <w:b/>
          <w:sz w:val="32"/>
          <w:szCs w:val="32"/>
          <w:highlight w:val="none"/>
        </w:rPr>
      </w:pPr>
      <w:r>
        <w:rPr>
          <w:rFonts w:hint="eastAsia" w:ascii="宋体" w:hAnsi="宋体" w:cs="宋体"/>
          <w:b/>
          <w:sz w:val="32"/>
          <w:szCs w:val="32"/>
          <w:highlight w:val="none"/>
        </w:rPr>
        <w:t>符合性自查表</w:t>
      </w:r>
    </w:p>
    <w:tbl>
      <w:tblPr>
        <w:tblStyle w:val="46"/>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149"/>
        <w:gridCol w:w="3499"/>
        <w:gridCol w:w="1240"/>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Align w:val="center"/>
          </w:tcPr>
          <w:p>
            <w:pPr>
              <w:spacing w:line="240" w:lineRule="exact"/>
              <w:jc w:val="center"/>
              <w:rPr>
                <w:rFonts w:ascii="宋体" w:hAnsi="宋体" w:cs="宋体"/>
                <w:highlight w:val="none"/>
              </w:rPr>
            </w:pPr>
            <w:r>
              <w:rPr>
                <w:rFonts w:hint="eastAsia" w:ascii="宋体" w:hAnsi="宋体" w:cs="宋体"/>
                <w:highlight w:val="none"/>
              </w:rPr>
              <w:t>评审内容</w:t>
            </w:r>
          </w:p>
        </w:tc>
        <w:tc>
          <w:tcPr>
            <w:tcW w:w="3499" w:type="dxa"/>
            <w:vAlign w:val="center"/>
          </w:tcPr>
          <w:p>
            <w:pPr>
              <w:spacing w:line="240" w:lineRule="exact"/>
              <w:jc w:val="center"/>
              <w:rPr>
                <w:rFonts w:ascii="宋体" w:hAnsi="宋体" w:cs="宋体"/>
                <w:highlight w:val="none"/>
              </w:rPr>
            </w:pPr>
            <w:r>
              <w:rPr>
                <w:rFonts w:hint="eastAsia" w:ascii="宋体" w:hAnsi="宋体" w:cs="宋体"/>
                <w:highlight w:val="none"/>
              </w:rPr>
              <w:t>招标文件要求</w:t>
            </w:r>
          </w:p>
        </w:tc>
        <w:tc>
          <w:tcPr>
            <w:tcW w:w="1240" w:type="dxa"/>
            <w:vAlign w:val="center"/>
          </w:tcPr>
          <w:p>
            <w:pPr>
              <w:spacing w:line="240" w:lineRule="exact"/>
              <w:jc w:val="center"/>
              <w:rPr>
                <w:rFonts w:ascii="宋体" w:hAnsi="宋体" w:cs="宋体"/>
                <w:highlight w:val="none"/>
              </w:rPr>
            </w:pPr>
            <w:r>
              <w:rPr>
                <w:rFonts w:hint="eastAsia" w:ascii="宋体" w:hAnsi="宋体" w:cs="宋体"/>
                <w:highlight w:val="none"/>
              </w:rPr>
              <w:t>自查结论</w:t>
            </w:r>
          </w:p>
        </w:tc>
        <w:tc>
          <w:tcPr>
            <w:tcW w:w="2550" w:type="dxa"/>
            <w:vAlign w:val="center"/>
          </w:tcPr>
          <w:p>
            <w:pPr>
              <w:spacing w:line="240" w:lineRule="exact"/>
              <w:jc w:val="center"/>
              <w:rPr>
                <w:rFonts w:ascii="宋体" w:hAnsi="宋体" w:cs="宋体"/>
                <w:highlight w:val="none"/>
              </w:rPr>
            </w:pPr>
            <w:r>
              <w:rPr>
                <w:rFonts w:hint="eastAsia" w:ascii="宋体" w:hAnsi="宋体" w:cs="宋体"/>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restart"/>
            <w:vAlign w:val="center"/>
          </w:tcPr>
          <w:p>
            <w:pPr>
              <w:spacing w:line="240" w:lineRule="exact"/>
              <w:rPr>
                <w:rFonts w:ascii="宋体" w:hAnsi="宋体" w:cs="宋体"/>
                <w:highlight w:val="none"/>
              </w:rPr>
            </w:pPr>
            <w:r>
              <w:rPr>
                <w:rFonts w:hint="eastAsia" w:ascii="宋体" w:hAnsi="宋体" w:cs="宋体"/>
                <w:highlight w:val="none"/>
              </w:rPr>
              <w:t>符合性审</w:t>
            </w:r>
          </w:p>
          <w:p>
            <w:pPr>
              <w:spacing w:line="240" w:lineRule="exact"/>
              <w:rPr>
                <w:rFonts w:ascii="宋体" w:hAnsi="宋体" w:cs="宋体"/>
                <w:highlight w:val="none"/>
              </w:rPr>
            </w:pPr>
            <w:r>
              <w:rPr>
                <w:rFonts w:hint="eastAsia" w:ascii="宋体" w:hAnsi="宋体" w:cs="宋体"/>
                <w:highlight w:val="none"/>
              </w:rPr>
              <w:t>查（商务技术文件）</w:t>
            </w:r>
          </w:p>
        </w:tc>
        <w:tc>
          <w:tcPr>
            <w:tcW w:w="3499" w:type="dxa"/>
            <w:vAlign w:val="center"/>
          </w:tcPr>
          <w:p>
            <w:pPr>
              <w:tabs>
                <w:tab w:val="left" w:pos="612"/>
              </w:tabs>
              <w:spacing w:line="240" w:lineRule="exact"/>
              <w:rPr>
                <w:rFonts w:ascii="宋体" w:hAnsi="宋体" w:cs="宋体"/>
                <w:highlight w:val="none"/>
              </w:rPr>
            </w:pPr>
            <w:r>
              <w:rPr>
                <w:rFonts w:hint="eastAsia" w:ascii="宋体" w:hAnsi="宋体" w:cs="宋体"/>
                <w:szCs w:val="21"/>
                <w:highlight w:val="none"/>
              </w:rPr>
              <w:t>（一）</w:t>
            </w:r>
            <w:r>
              <w:rPr>
                <w:rFonts w:hint="eastAsia" w:ascii="宋体" w:hAnsi="宋体" w:cs="宋体"/>
                <w:highlight w:val="none"/>
              </w:rPr>
              <w:t>投标函已提交并符合招标文件要求；</w:t>
            </w:r>
          </w:p>
        </w:tc>
        <w:tc>
          <w:tcPr>
            <w:tcW w:w="1240" w:type="dxa"/>
            <w:vAlign w:val="center"/>
          </w:tcPr>
          <w:p>
            <w:pPr>
              <w:spacing w:line="240" w:lineRule="exact"/>
              <w:rPr>
                <w:rFonts w:ascii="宋体" w:hAnsi="宋体" w:cs="宋体"/>
                <w:highlight w:val="none"/>
              </w:rPr>
            </w:pPr>
            <w:r>
              <w:rPr>
                <w:rFonts w:hint="eastAsia" w:ascii="宋体" w:hAnsi="宋体" w:cs="宋体"/>
                <w:highlight w:val="none"/>
              </w:rPr>
              <w:t xml:space="preserve">□通过 </w:t>
            </w:r>
          </w:p>
          <w:p>
            <w:pPr>
              <w:spacing w:line="240" w:lineRule="exact"/>
              <w:rPr>
                <w:rFonts w:ascii="宋体" w:hAnsi="宋体" w:cs="宋体"/>
                <w:highlight w:val="none"/>
              </w:rPr>
            </w:pPr>
            <w:r>
              <w:rPr>
                <w:rFonts w:hint="eastAsia" w:ascii="宋体" w:hAnsi="宋体" w:cs="宋体"/>
                <w:highlight w:val="none"/>
              </w:rPr>
              <w:t>□不通过</w:t>
            </w:r>
          </w:p>
        </w:tc>
        <w:tc>
          <w:tcPr>
            <w:tcW w:w="2550" w:type="dxa"/>
            <w:vAlign w:val="center"/>
          </w:tcPr>
          <w:p>
            <w:pPr>
              <w:spacing w:line="240" w:lineRule="exact"/>
              <w:rPr>
                <w:rFonts w:ascii="宋体" w:hAnsi="宋体" w:cs="宋体"/>
                <w:highlight w:val="none"/>
              </w:rPr>
            </w:pPr>
            <w:r>
              <w:rPr>
                <w:rFonts w:hint="eastAsia" w:ascii="宋体" w:hAnsi="宋体" w:cs="宋体"/>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spacing w:line="240" w:lineRule="exact"/>
              <w:rPr>
                <w:rFonts w:ascii="宋体" w:hAnsi="宋体" w:cs="宋体"/>
                <w:highlight w:val="none"/>
              </w:rPr>
            </w:pPr>
          </w:p>
        </w:tc>
        <w:tc>
          <w:tcPr>
            <w:tcW w:w="3499" w:type="dxa"/>
            <w:vAlign w:val="center"/>
          </w:tcPr>
          <w:p>
            <w:pPr>
              <w:tabs>
                <w:tab w:val="left" w:pos="612"/>
              </w:tabs>
              <w:spacing w:line="240" w:lineRule="exact"/>
              <w:rPr>
                <w:rFonts w:ascii="宋体" w:hAnsi="宋体" w:cs="宋体"/>
                <w:highlight w:val="none"/>
              </w:rPr>
            </w:pPr>
            <w:r>
              <w:rPr>
                <w:rFonts w:hint="eastAsia" w:ascii="宋体" w:hAnsi="宋体" w:cs="宋体"/>
                <w:szCs w:val="21"/>
                <w:highlight w:val="none"/>
              </w:rPr>
              <w:t>（二）</w:t>
            </w:r>
            <w:r>
              <w:rPr>
                <w:rFonts w:hint="eastAsia" w:ascii="宋体" w:hAnsi="宋体" w:cs="宋体"/>
                <w:highlight w:val="none"/>
              </w:rPr>
              <w:t>按照招标文件规定要求签署或盖章；</w:t>
            </w:r>
          </w:p>
        </w:tc>
        <w:tc>
          <w:tcPr>
            <w:tcW w:w="1240" w:type="dxa"/>
            <w:vAlign w:val="center"/>
          </w:tcPr>
          <w:p>
            <w:pPr>
              <w:spacing w:line="240" w:lineRule="exact"/>
              <w:rPr>
                <w:rFonts w:ascii="宋体" w:hAnsi="宋体" w:cs="宋体"/>
                <w:highlight w:val="none"/>
              </w:rPr>
            </w:pPr>
            <w:r>
              <w:rPr>
                <w:rFonts w:hint="eastAsia" w:ascii="宋体" w:hAnsi="宋体" w:cs="宋体"/>
                <w:highlight w:val="none"/>
              </w:rPr>
              <w:t xml:space="preserve">□通过 </w:t>
            </w:r>
          </w:p>
          <w:p>
            <w:pPr>
              <w:spacing w:line="240" w:lineRule="exact"/>
              <w:rPr>
                <w:rFonts w:ascii="宋体" w:hAnsi="宋体" w:cs="宋体"/>
                <w:highlight w:val="none"/>
              </w:rPr>
            </w:pPr>
            <w:r>
              <w:rPr>
                <w:rFonts w:hint="eastAsia" w:ascii="宋体" w:hAnsi="宋体" w:cs="宋体"/>
                <w:highlight w:val="none"/>
              </w:rPr>
              <w:t>□不通过</w:t>
            </w:r>
          </w:p>
        </w:tc>
        <w:tc>
          <w:tcPr>
            <w:tcW w:w="2550" w:type="dxa"/>
            <w:vAlign w:val="center"/>
          </w:tcPr>
          <w:p>
            <w:pPr>
              <w:spacing w:line="240" w:lineRule="exact"/>
              <w:rPr>
                <w:rFonts w:ascii="宋体" w:hAnsi="宋体" w:cs="宋体"/>
                <w:highlight w:val="none"/>
              </w:rPr>
            </w:pPr>
            <w:r>
              <w:rPr>
                <w:rFonts w:hint="eastAsia" w:ascii="宋体" w:hAnsi="宋体" w:cs="宋体"/>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spacing w:line="240" w:lineRule="exact"/>
              <w:rPr>
                <w:rFonts w:ascii="宋体" w:hAnsi="宋体" w:cs="宋体"/>
                <w:highlight w:val="none"/>
              </w:rPr>
            </w:pPr>
          </w:p>
        </w:tc>
        <w:tc>
          <w:tcPr>
            <w:tcW w:w="3499" w:type="dxa"/>
            <w:vAlign w:val="center"/>
          </w:tcPr>
          <w:p>
            <w:pPr>
              <w:tabs>
                <w:tab w:val="left" w:pos="612"/>
              </w:tabs>
              <w:spacing w:line="240" w:lineRule="exact"/>
              <w:rPr>
                <w:rFonts w:ascii="宋体" w:hAnsi="宋体" w:cs="宋体"/>
                <w:highlight w:val="none"/>
              </w:rPr>
            </w:pPr>
            <w:r>
              <w:rPr>
                <w:rFonts w:hint="eastAsia" w:ascii="宋体" w:hAnsi="宋体" w:cs="宋体"/>
                <w:szCs w:val="21"/>
                <w:highlight w:val="none"/>
              </w:rPr>
              <w:t>（三）</w:t>
            </w:r>
            <w:r>
              <w:rPr>
                <w:rFonts w:hint="eastAsia" w:ascii="宋体" w:hAnsi="宋体" w:cs="宋体"/>
                <w:highlight w:val="none"/>
              </w:rPr>
              <w:t>投标文件有法定代表人签署本人姓名（或印盖本人姓名章），或签署人提供有效的法定代表人授权委托书且授权委托书填写项目齐全的；</w:t>
            </w:r>
          </w:p>
        </w:tc>
        <w:tc>
          <w:tcPr>
            <w:tcW w:w="1240" w:type="dxa"/>
            <w:vAlign w:val="center"/>
          </w:tcPr>
          <w:p>
            <w:pPr>
              <w:spacing w:line="240" w:lineRule="exact"/>
              <w:rPr>
                <w:rFonts w:ascii="宋体" w:hAnsi="宋体" w:cs="宋体"/>
                <w:highlight w:val="none"/>
              </w:rPr>
            </w:pPr>
            <w:r>
              <w:rPr>
                <w:rFonts w:hint="eastAsia" w:ascii="宋体" w:hAnsi="宋体" w:cs="宋体"/>
                <w:highlight w:val="none"/>
              </w:rPr>
              <w:t xml:space="preserve">□通过 </w:t>
            </w:r>
          </w:p>
          <w:p>
            <w:pPr>
              <w:spacing w:line="240" w:lineRule="exact"/>
              <w:rPr>
                <w:rFonts w:ascii="宋体" w:hAnsi="宋体" w:cs="宋体"/>
                <w:highlight w:val="none"/>
              </w:rPr>
            </w:pPr>
            <w:r>
              <w:rPr>
                <w:rFonts w:hint="eastAsia" w:ascii="宋体" w:hAnsi="宋体" w:cs="宋体"/>
                <w:highlight w:val="none"/>
              </w:rPr>
              <w:t>□不通过</w:t>
            </w:r>
          </w:p>
        </w:tc>
        <w:tc>
          <w:tcPr>
            <w:tcW w:w="2550" w:type="dxa"/>
            <w:vAlign w:val="center"/>
          </w:tcPr>
          <w:p>
            <w:pPr>
              <w:spacing w:line="240" w:lineRule="exact"/>
              <w:rPr>
                <w:rFonts w:ascii="宋体" w:hAnsi="宋体" w:cs="宋体"/>
                <w:highlight w:val="none"/>
              </w:rPr>
            </w:pPr>
            <w:r>
              <w:rPr>
                <w:rFonts w:hint="eastAsia" w:ascii="宋体" w:hAnsi="宋体" w:cs="宋体"/>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spacing w:line="240" w:lineRule="exact"/>
              <w:rPr>
                <w:rFonts w:ascii="宋体" w:hAnsi="宋体" w:cs="宋体"/>
                <w:highlight w:val="none"/>
              </w:rPr>
            </w:pPr>
          </w:p>
        </w:tc>
        <w:tc>
          <w:tcPr>
            <w:tcW w:w="3499" w:type="dxa"/>
            <w:vAlign w:val="center"/>
          </w:tcPr>
          <w:p>
            <w:pPr>
              <w:tabs>
                <w:tab w:val="left" w:pos="612"/>
              </w:tabs>
              <w:spacing w:line="240" w:lineRule="exact"/>
              <w:rPr>
                <w:rFonts w:ascii="宋体" w:hAnsi="宋体" w:cs="宋体"/>
                <w:kern w:val="0"/>
                <w:highlight w:val="none"/>
              </w:rPr>
            </w:pPr>
            <w:r>
              <w:rPr>
                <w:rFonts w:hint="eastAsia" w:ascii="宋体" w:hAnsi="宋体" w:cs="宋体"/>
                <w:szCs w:val="21"/>
                <w:highlight w:val="none"/>
              </w:rPr>
              <w:t>（</w:t>
            </w:r>
            <w:r>
              <w:rPr>
                <w:rFonts w:hint="eastAsia" w:ascii="宋体" w:hAnsi="宋体" w:cs="宋体"/>
                <w:szCs w:val="21"/>
                <w:highlight w:val="none"/>
                <w:lang w:val="en-US" w:eastAsia="zh-CN"/>
              </w:rPr>
              <w:t>四</w:t>
            </w:r>
            <w:r>
              <w:rPr>
                <w:rFonts w:hint="eastAsia" w:ascii="宋体" w:hAnsi="宋体" w:cs="宋体"/>
                <w:szCs w:val="21"/>
                <w:highlight w:val="none"/>
              </w:rPr>
              <w:t>）</w:t>
            </w:r>
            <w:r>
              <w:rPr>
                <w:rFonts w:hint="eastAsia" w:ascii="宋体" w:hAnsi="宋体" w:cs="宋体"/>
                <w:highlight w:val="none"/>
              </w:rPr>
              <w:t>投标文件标明的响应或偏离与事实相符且无虚假投标的；</w:t>
            </w:r>
          </w:p>
        </w:tc>
        <w:tc>
          <w:tcPr>
            <w:tcW w:w="1240" w:type="dxa"/>
            <w:vAlign w:val="center"/>
          </w:tcPr>
          <w:p>
            <w:pPr>
              <w:spacing w:line="240" w:lineRule="exact"/>
              <w:rPr>
                <w:rFonts w:ascii="宋体" w:hAnsi="宋体" w:cs="宋体"/>
                <w:highlight w:val="none"/>
              </w:rPr>
            </w:pPr>
            <w:r>
              <w:rPr>
                <w:rFonts w:hint="eastAsia" w:ascii="宋体" w:hAnsi="宋体" w:cs="宋体"/>
                <w:highlight w:val="none"/>
              </w:rPr>
              <w:t xml:space="preserve">□通过 </w:t>
            </w:r>
          </w:p>
          <w:p>
            <w:pPr>
              <w:spacing w:line="240" w:lineRule="exact"/>
              <w:rPr>
                <w:rFonts w:ascii="宋体" w:hAnsi="宋体" w:cs="宋体"/>
                <w:highlight w:val="none"/>
              </w:rPr>
            </w:pPr>
            <w:r>
              <w:rPr>
                <w:rFonts w:hint="eastAsia" w:ascii="宋体" w:hAnsi="宋体" w:cs="宋体"/>
                <w:highlight w:val="none"/>
              </w:rPr>
              <w:t>□不通过</w:t>
            </w:r>
          </w:p>
        </w:tc>
        <w:tc>
          <w:tcPr>
            <w:tcW w:w="2550" w:type="dxa"/>
            <w:vAlign w:val="center"/>
          </w:tcPr>
          <w:p>
            <w:pPr>
              <w:spacing w:line="240" w:lineRule="exact"/>
              <w:rPr>
                <w:rFonts w:ascii="宋体" w:hAnsi="宋体" w:cs="宋体"/>
                <w:highlight w:val="none"/>
              </w:rPr>
            </w:pPr>
            <w:r>
              <w:rPr>
                <w:rFonts w:hint="eastAsia" w:ascii="宋体" w:hAnsi="宋体" w:cs="宋体"/>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spacing w:line="240" w:lineRule="exact"/>
              <w:rPr>
                <w:rFonts w:ascii="宋体" w:hAnsi="宋体" w:cs="宋体"/>
                <w:highlight w:val="none"/>
              </w:rPr>
            </w:pPr>
          </w:p>
        </w:tc>
        <w:tc>
          <w:tcPr>
            <w:tcW w:w="3499" w:type="dxa"/>
            <w:vAlign w:val="center"/>
          </w:tcPr>
          <w:p>
            <w:pPr>
              <w:tabs>
                <w:tab w:val="left" w:pos="612"/>
              </w:tabs>
              <w:spacing w:line="240" w:lineRule="exact"/>
              <w:rPr>
                <w:rFonts w:ascii="宋体" w:hAnsi="宋体" w:cs="宋体"/>
                <w:highlight w:val="none"/>
              </w:rPr>
            </w:pPr>
            <w:r>
              <w:rPr>
                <w:rFonts w:hint="eastAsia" w:ascii="宋体" w:hAnsi="宋体" w:cs="宋体"/>
                <w:szCs w:val="21"/>
                <w:highlight w:val="none"/>
              </w:rPr>
              <w:t>（</w:t>
            </w:r>
            <w:r>
              <w:rPr>
                <w:rFonts w:hint="eastAsia" w:ascii="宋体" w:hAnsi="宋体" w:cs="宋体"/>
                <w:szCs w:val="21"/>
                <w:highlight w:val="none"/>
                <w:lang w:val="en-US" w:eastAsia="zh-CN"/>
              </w:rPr>
              <w:t>五</w:t>
            </w:r>
            <w:r>
              <w:rPr>
                <w:rFonts w:hint="eastAsia" w:ascii="宋体" w:hAnsi="宋体" w:cs="宋体"/>
                <w:szCs w:val="21"/>
                <w:highlight w:val="none"/>
              </w:rPr>
              <w:t>）</w:t>
            </w:r>
            <w:r>
              <w:rPr>
                <w:rFonts w:hint="eastAsia" w:ascii="宋体" w:hAnsi="宋体" w:cs="宋体"/>
                <w:highlight w:val="none"/>
              </w:rPr>
              <w:t>投标文件的实质性内容使用中文表述且意思表述明确，前后无矛盾且使用计量单位符合招标文件要求的；</w:t>
            </w:r>
          </w:p>
        </w:tc>
        <w:tc>
          <w:tcPr>
            <w:tcW w:w="1240" w:type="dxa"/>
            <w:vAlign w:val="center"/>
          </w:tcPr>
          <w:p>
            <w:pPr>
              <w:spacing w:line="240" w:lineRule="exact"/>
              <w:rPr>
                <w:rFonts w:ascii="宋体" w:hAnsi="宋体" w:cs="宋体"/>
                <w:highlight w:val="none"/>
              </w:rPr>
            </w:pPr>
            <w:r>
              <w:rPr>
                <w:rFonts w:hint="eastAsia" w:ascii="宋体" w:hAnsi="宋体" w:cs="宋体"/>
                <w:highlight w:val="none"/>
              </w:rPr>
              <w:t xml:space="preserve">□通过 </w:t>
            </w:r>
          </w:p>
          <w:p>
            <w:pPr>
              <w:spacing w:line="240" w:lineRule="exact"/>
              <w:rPr>
                <w:rFonts w:ascii="宋体" w:hAnsi="宋体" w:cs="宋体"/>
                <w:highlight w:val="none"/>
              </w:rPr>
            </w:pPr>
            <w:r>
              <w:rPr>
                <w:rFonts w:hint="eastAsia" w:ascii="宋体" w:hAnsi="宋体" w:cs="宋体"/>
                <w:highlight w:val="none"/>
              </w:rPr>
              <w:t>□不通过</w:t>
            </w:r>
          </w:p>
        </w:tc>
        <w:tc>
          <w:tcPr>
            <w:tcW w:w="2550" w:type="dxa"/>
            <w:vAlign w:val="center"/>
          </w:tcPr>
          <w:p>
            <w:pPr>
              <w:spacing w:line="240" w:lineRule="exact"/>
              <w:rPr>
                <w:rFonts w:ascii="宋体" w:hAnsi="宋体" w:cs="宋体"/>
                <w:highlight w:val="none"/>
              </w:rPr>
            </w:pPr>
            <w:r>
              <w:rPr>
                <w:rFonts w:hint="eastAsia" w:ascii="宋体" w:hAnsi="宋体" w:cs="宋体"/>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spacing w:line="240" w:lineRule="exact"/>
              <w:rPr>
                <w:rFonts w:ascii="宋体" w:hAnsi="宋体" w:cs="宋体"/>
                <w:highlight w:val="none"/>
              </w:rPr>
            </w:pPr>
          </w:p>
        </w:tc>
        <w:tc>
          <w:tcPr>
            <w:tcW w:w="3499" w:type="dxa"/>
            <w:vAlign w:val="center"/>
          </w:tcPr>
          <w:p>
            <w:pPr>
              <w:tabs>
                <w:tab w:val="left" w:pos="612"/>
              </w:tabs>
              <w:spacing w:line="240" w:lineRule="exact"/>
              <w:rPr>
                <w:rFonts w:ascii="宋体" w:hAnsi="宋体" w:cs="宋体"/>
                <w:highlight w:val="none"/>
              </w:rPr>
            </w:pPr>
            <w:r>
              <w:rPr>
                <w:rFonts w:hint="eastAsia" w:ascii="宋体" w:hAnsi="宋体" w:cs="宋体"/>
                <w:szCs w:val="21"/>
                <w:highlight w:val="none"/>
              </w:rPr>
              <w:t>（</w:t>
            </w:r>
            <w:r>
              <w:rPr>
                <w:rFonts w:hint="eastAsia" w:ascii="宋体" w:hAnsi="宋体" w:cs="宋体"/>
                <w:szCs w:val="21"/>
                <w:highlight w:val="none"/>
                <w:lang w:val="en-US" w:eastAsia="zh-CN"/>
              </w:rPr>
              <w:t>六</w:t>
            </w:r>
            <w:r>
              <w:rPr>
                <w:rFonts w:hint="eastAsia" w:ascii="宋体" w:hAnsi="宋体" w:cs="宋体"/>
                <w:szCs w:val="21"/>
                <w:highlight w:val="none"/>
              </w:rPr>
              <w:t>）</w:t>
            </w:r>
            <w:r>
              <w:rPr>
                <w:rFonts w:hint="eastAsia" w:ascii="宋体" w:hAnsi="宋体" w:cs="宋体"/>
                <w:highlight w:val="none"/>
              </w:rPr>
              <w:t>带“★”的条款满足招标文件要求、已实质性响应招标文件要求且投标文件无采购人不能接受的附加条件的；</w:t>
            </w:r>
          </w:p>
        </w:tc>
        <w:tc>
          <w:tcPr>
            <w:tcW w:w="1240" w:type="dxa"/>
            <w:vAlign w:val="center"/>
          </w:tcPr>
          <w:p>
            <w:pPr>
              <w:spacing w:line="240" w:lineRule="exact"/>
              <w:rPr>
                <w:rFonts w:ascii="宋体" w:hAnsi="宋体" w:cs="宋体"/>
                <w:highlight w:val="none"/>
              </w:rPr>
            </w:pPr>
            <w:r>
              <w:rPr>
                <w:rFonts w:hint="eastAsia" w:ascii="宋体" w:hAnsi="宋体" w:cs="宋体"/>
                <w:highlight w:val="none"/>
              </w:rPr>
              <w:t xml:space="preserve">□通过 </w:t>
            </w:r>
          </w:p>
          <w:p>
            <w:pPr>
              <w:spacing w:line="240" w:lineRule="exact"/>
              <w:rPr>
                <w:rFonts w:ascii="宋体" w:hAnsi="宋体" w:cs="宋体"/>
                <w:highlight w:val="none"/>
              </w:rPr>
            </w:pPr>
            <w:r>
              <w:rPr>
                <w:rFonts w:hint="eastAsia" w:ascii="宋体" w:hAnsi="宋体" w:cs="宋体"/>
                <w:highlight w:val="none"/>
              </w:rPr>
              <w:t>□不通过</w:t>
            </w:r>
          </w:p>
        </w:tc>
        <w:tc>
          <w:tcPr>
            <w:tcW w:w="2550" w:type="dxa"/>
            <w:vAlign w:val="center"/>
          </w:tcPr>
          <w:p>
            <w:pPr>
              <w:spacing w:line="240" w:lineRule="exact"/>
              <w:rPr>
                <w:rFonts w:ascii="宋体" w:hAnsi="宋体" w:cs="宋体"/>
                <w:highlight w:val="none"/>
              </w:rPr>
            </w:pPr>
            <w:r>
              <w:rPr>
                <w:rFonts w:hint="eastAsia" w:ascii="宋体" w:hAnsi="宋体" w:cs="宋体"/>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spacing w:line="240" w:lineRule="exact"/>
              <w:rPr>
                <w:rFonts w:ascii="宋体" w:hAnsi="宋体" w:cs="宋体"/>
                <w:highlight w:val="none"/>
              </w:rPr>
            </w:pPr>
          </w:p>
        </w:tc>
        <w:tc>
          <w:tcPr>
            <w:tcW w:w="3499" w:type="dxa"/>
            <w:vAlign w:val="center"/>
          </w:tcPr>
          <w:p>
            <w:pPr>
              <w:tabs>
                <w:tab w:val="left" w:pos="612"/>
              </w:tabs>
              <w:spacing w:line="240" w:lineRule="exact"/>
              <w:rPr>
                <w:rFonts w:ascii="宋体" w:hAnsi="宋体" w:cs="宋体"/>
                <w:highlight w:val="none"/>
              </w:rPr>
            </w:pPr>
            <w:r>
              <w:rPr>
                <w:rFonts w:hint="eastAsia" w:ascii="宋体" w:hAnsi="宋体" w:cs="宋体"/>
                <w:szCs w:val="21"/>
                <w:highlight w:val="none"/>
              </w:rPr>
              <w:t>（</w:t>
            </w:r>
            <w:r>
              <w:rPr>
                <w:rFonts w:hint="eastAsia" w:ascii="宋体" w:hAnsi="宋体" w:cs="宋体"/>
                <w:szCs w:val="21"/>
                <w:highlight w:val="none"/>
                <w:lang w:val="en-US" w:eastAsia="zh-CN"/>
              </w:rPr>
              <w:t>七</w:t>
            </w:r>
            <w:r>
              <w:rPr>
                <w:rFonts w:hint="eastAsia" w:ascii="宋体" w:hAnsi="宋体" w:cs="宋体"/>
                <w:szCs w:val="21"/>
                <w:highlight w:val="none"/>
              </w:rPr>
              <w:t>）</w:t>
            </w:r>
            <w:r>
              <w:rPr>
                <w:rFonts w:hint="eastAsia" w:ascii="宋体" w:hAnsi="宋体" w:cs="宋体"/>
                <w:highlight w:val="none"/>
              </w:rPr>
              <w:t>投标技术方案明确，不存在一个或一个以上备选（替代）投标方案的；</w:t>
            </w:r>
          </w:p>
        </w:tc>
        <w:tc>
          <w:tcPr>
            <w:tcW w:w="1240" w:type="dxa"/>
            <w:vAlign w:val="center"/>
          </w:tcPr>
          <w:p>
            <w:pPr>
              <w:spacing w:line="240" w:lineRule="exact"/>
              <w:rPr>
                <w:rFonts w:ascii="宋体" w:hAnsi="宋体" w:cs="宋体"/>
                <w:highlight w:val="none"/>
              </w:rPr>
            </w:pPr>
            <w:r>
              <w:rPr>
                <w:rFonts w:hint="eastAsia" w:ascii="宋体" w:hAnsi="宋体" w:cs="宋体"/>
                <w:highlight w:val="none"/>
              </w:rPr>
              <w:t xml:space="preserve">□通过 </w:t>
            </w:r>
          </w:p>
          <w:p>
            <w:pPr>
              <w:spacing w:line="240" w:lineRule="exact"/>
              <w:rPr>
                <w:rFonts w:ascii="宋体" w:hAnsi="宋体" w:cs="宋体"/>
                <w:highlight w:val="none"/>
              </w:rPr>
            </w:pPr>
            <w:r>
              <w:rPr>
                <w:rFonts w:hint="eastAsia" w:ascii="宋体" w:hAnsi="宋体" w:cs="宋体"/>
                <w:highlight w:val="none"/>
              </w:rPr>
              <w:t>□不通过</w:t>
            </w:r>
          </w:p>
        </w:tc>
        <w:tc>
          <w:tcPr>
            <w:tcW w:w="2550" w:type="dxa"/>
            <w:vAlign w:val="center"/>
          </w:tcPr>
          <w:p>
            <w:pPr>
              <w:spacing w:line="240" w:lineRule="exact"/>
              <w:rPr>
                <w:rFonts w:ascii="宋体" w:hAnsi="宋体" w:cs="宋体"/>
                <w:highlight w:val="none"/>
              </w:rPr>
            </w:pPr>
            <w:r>
              <w:rPr>
                <w:rFonts w:hint="eastAsia" w:ascii="宋体" w:hAnsi="宋体" w:cs="宋体"/>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spacing w:line="240" w:lineRule="exact"/>
              <w:rPr>
                <w:rFonts w:ascii="宋体" w:hAnsi="宋体" w:cs="宋体"/>
                <w:highlight w:val="none"/>
              </w:rPr>
            </w:pPr>
          </w:p>
        </w:tc>
        <w:tc>
          <w:tcPr>
            <w:tcW w:w="3499" w:type="dxa"/>
            <w:vAlign w:val="center"/>
          </w:tcPr>
          <w:p>
            <w:pPr>
              <w:tabs>
                <w:tab w:val="left" w:pos="612"/>
              </w:tabs>
              <w:spacing w:line="240" w:lineRule="exact"/>
              <w:rPr>
                <w:rFonts w:ascii="宋体" w:hAnsi="宋体" w:cs="宋体"/>
                <w:highlight w:val="none"/>
              </w:rPr>
            </w:pPr>
            <w:r>
              <w:rPr>
                <w:rFonts w:hint="eastAsia" w:ascii="宋体" w:hAnsi="宋体" w:cs="宋体"/>
                <w:szCs w:val="21"/>
                <w:highlight w:val="none"/>
              </w:rPr>
              <w:t>（</w:t>
            </w:r>
            <w:r>
              <w:rPr>
                <w:rFonts w:hint="eastAsia" w:ascii="宋体" w:hAnsi="宋体" w:cs="宋体"/>
                <w:szCs w:val="21"/>
                <w:highlight w:val="none"/>
                <w:lang w:val="en-US" w:eastAsia="zh-CN"/>
              </w:rPr>
              <w:t>八</w:t>
            </w:r>
            <w:r>
              <w:rPr>
                <w:rFonts w:hint="eastAsia" w:ascii="宋体" w:hAnsi="宋体" w:cs="宋体"/>
                <w:szCs w:val="21"/>
                <w:highlight w:val="none"/>
              </w:rPr>
              <w:t>）</w:t>
            </w:r>
            <w:r>
              <w:rPr>
                <w:rFonts w:hint="eastAsia" w:ascii="宋体" w:hAnsi="宋体" w:cs="宋体"/>
                <w:highlight w:val="none"/>
              </w:rPr>
              <w:t>商务技术文件中未出现报价或单价的；</w:t>
            </w:r>
          </w:p>
        </w:tc>
        <w:tc>
          <w:tcPr>
            <w:tcW w:w="1240" w:type="dxa"/>
            <w:vAlign w:val="center"/>
          </w:tcPr>
          <w:p>
            <w:pPr>
              <w:spacing w:line="240" w:lineRule="exact"/>
              <w:rPr>
                <w:rFonts w:ascii="宋体" w:hAnsi="宋体" w:cs="宋体"/>
                <w:highlight w:val="none"/>
              </w:rPr>
            </w:pPr>
            <w:r>
              <w:rPr>
                <w:rFonts w:hint="eastAsia" w:ascii="宋体" w:hAnsi="宋体" w:cs="宋体"/>
                <w:highlight w:val="none"/>
              </w:rPr>
              <w:t xml:space="preserve">□通过 </w:t>
            </w:r>
          </w:p>
          <w:p>
            <w:pPr>
              <w:spacing w:line="240" w:lineRule="exact"/>
              <w:rPr>
                <w:rFonts w:ascii="宋体" w:hAnsi="宋体" w:cs="宋体"/>
                <w:highlight w:val="none"/>
              </w:rPr>
            </w:pPr>
            <w:r>
              <w:rPr>
                <w:rFonts w:hint="eastAsia" w:ascii="宋体" w:hAnsi="宋体" w:cs="宋体"/>
                <w:highlight w:val="none"/>
              </w:rPr>
              <w:t>□不通过</w:t>
            </w:r>
          </w:p>
        </w:tc>
        <w:tc>
          <w:tcPr>
            <w:tcW w:w="2550" w:type="dxa"/>
            <w:vAlign w:val="center"/>
          </w:tcPr>
          <w:p>
            <w:pPr>
              <w:spacing w:line="240" w:lineRule="exact"/>
              <w:rPr>
                <w:rFonts w:ascii="宋体" w:hAnsi="宋体" w:cs="宋体"/>
                <w:highlight w:val="none"/>
              </w:rPr>
            </w:pPr>
            <w:r>
              <w:rPr>
                <w:rFonts w:hint="eastAsia" w:ascii="宋体" w:hAnsi="宋体" w:cs="宋体"/>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spacing w:line="240" w:lineRule="exact"/>
              <w:rPr>
                <w:rFonts w:ascii="宋体" w:hAnsi="宋体" w:cs="宋体"/>
                <w:highlight w:val="none"/>
              </w:rPr>
            </w:pPr>
          </w:p>
        </w:tc>
        <w:tc>
          <w:tcPr>
            <w:tcW w:w="3499" w:type="dxa"/>
            <w:vAlign w:val="center"/>
          </w:tcPr>
          <w:p>
            <w:pPr>
              <w:tabs>
                <w:tab w:val="left" w:pos="612"/>
              </w:tabs>
              <w:spacing w:line="240" w:lineRule="exact"/>
              <w:rPr>
                <w:rFonts w:ascii="宋体" w:hAnsi="宋体" w:cs="宋体"/>
                <w:highlight w:val="none"/>
              </w:rPr>
            </w:pPr>
            <w:r>
              <w:rPr>
                <w:rFonts w:hint="eastAsia" w:ascii="宋体" w:hAnsi="宋体" w:cs="宋体"/>
                <w:szCs w:val="21"/>
                <w:highlight w:val="none"/>
              </w:rPr>
              <w:t>（</w:t>
            </w:r>
            <w:r>
              <w:rPr>
                <w:rFonts w:hint="eastAsia" w:ascii="宋体" w:hAnsi="宋体" w:cs="宋体"/>
                <w:szCs w:val="21"/>
                <w:highlight w:val="none"/>
                <w:lang w:val="en-US" w:eastAsia="zh-CN"/>
              </w:rPr>
              <w:t>九</w:t>
            </w:r>
            <w:r>
              <w:rPr>
                <w:rFonts w:hint="eastAsia" w:ascii="宋体" w:hAnsi="宋体" w:cs="宋体"/>
                <w:szCs w:val="21"/>
                <w:highlight w:val="none"/>
              </w:rPr>
              <w:t>）</w:t>
            </w:r>
            <w:r>
              <w:rPr>
                <w:rFonts w:hint="eastAsia" w:ascii="宋体" w:hAnsi="宋体" w:cs="宋体"/>
                <w:highlight w:val="none"/>
              </w:rPr>
              <w:t>不存在法律、法规和招标文件规定的其他无效情形；</w:t>
            </w:r>
          </w:p>
        </w:tc>
        <w:tc>
          <w:tcPr>
            <w:tcW w:w="1240" w:type="dxa"/>
            <w:vAlign w:val="center"/>
          </w:tcPr>
          <w:p>
            <w:pPr>
              <w:spacing w:line="240" w:lineRule="exact"/>
              <w:rPr>
                <w:rFonts w:ascii="宋体" w:hAnsi="宋体" w:cs="宋体"/>
                <w:highlight w:val="none"/>
              </w:rPr>
            </w:pPr>
            <w:r>
              <w:rPr>
                <w:rFonts w:hint="eastAsia" w:ascii="宋体" w:hAnsi="宋体" w:cs="宋体"/>
                <w:highlight w:val="none"/>
              </w:rPr>
              <w:t xml:space="preserve">□通过 </w:t>
            </w:r>
          </w:p>
          <w:p>
            <w:pPr>
              <w:spacing w:line="240" w:lineRule="exact"/>
              <w:rPr>
                <w:rFonts w:ascii="宋体" w:hAnsi="宋体" w:cs="宋体"/>
                <w:highlight w:val="none"/>
              </w:rPr>
            </w:pPr>
            <w:r>
              <w:rPr>
                <w:rFonts w:hint="eastAsia" w:ascii="宋体" w:hAnsi="宋体" w:cs="宋体"/>
                <w:highlight w:val="none"/>
              </w:rPr>
              <w:t>□不通过</w:t>
            </w:r>
          </w:p>
        </w:tc>
        <w:tc>
          <w:tcPr>
            <w:tcW w:w="2550" w:type="dxa"/>
            <w:vAlign w:val="center"/>
          </w:tcPr>
          <w:p>
            <w:pPr>
              <w:spacing w:line="240" w:lineRule="exact"/>
              <w:rPr>
                <w:rFonts w:ascii="宋体" w:hAnsi="宋体" w:cs="宋体"/>
                <w:highlight w:val="none"/>
              </w:rPr>
            </w:pPr>
            <w:r>
              <w:rPr>
                <w:rFonts w:hint="eastAsia" w:ascii="宋体" w:hAnsi="宋体" w:cs="宋体"/>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spacing w:line="240" w:lineRule="exact"/>
              <w:rPr>
                <w:rFonts w:ascii="宋体" w:hAnsi="宋体" w:cs="宋体"/>
                <w:highlight w:val="none"/>
              </w:rPr>
            </w:pPr>
          </w:p>
        </w:tc>
        <w:tc>
          <w:tcPr>
            <w:tcW w:w="3499" w:type="dxa"/>
            <w:vAlign w:val="center"/>
          </w:tcPr>
          <w:p>
            <w:pPr>
              <w:tabs>
                <w:tab w:val="left" w:pos="612"/>
              </w:tabs>
              <w:spacing w:line="240" w:lineRule="exact"/>
              <w:rPr>
                <w:rFonts w:ascii="宋体" w:hAnsi="宋体" w:cs="宋体"/>
                <w:highlight w:val="none"/>
              </w:rPr>
            </w:pPr>
            <w:r>
              <w:rPr>
                <w:rFonts w:hint="eastAsia" w:ascii="宋体" w:hAnsi="宋体" w:cs="宋体"/>
                <w:szCs w:val="21"/>
                <w:highlight w:val="none"/>
              </w:rPr>
              <w:t>（十）</w:t>
            </w:r>
            <w:r>
              <w:rPr>
                <w:rFonts w:hint="eastAsia" w:ascii="宋体" w:hAnsi="宋体" w:cs="宋体"/>
                <w:highlight w:val="none"/>
              </w:rPr>
              <w:t>不存在投标文件的有效期不满足招标文件要求情形；</w:t>
            </w:r>
          </w:p>
        </w:tc>
        <w:tc>
          <w:tcPr>
            <w:tcW w:w="1240" w:type="dxa"/>
            <w:vAlign w:val="center"/>
          </w:tcPr>
          <w:p>
            <w:pPr>
              <w:spacing w:line="240" w:lineRule="exact"/>
              <w:rPr>
                <w:rFonts w:ascii="宋体" w:hAnsi="宋体" w:cs="宋体"/>
                <w:highlight w:val="none"/>
              </w:rPr>
            </w:pPr>
            <w:r>
              <w:rPr>
                <w:rFonts w:hint="eastAsia" w:ascii="宋体" w:hAnsi="宋体" w:cs="宋体"/>
                <w:highlight w:val="none"/>
              </w:rPr>
              <w:t xml:space="preserve">□通过 </w:t>
            </w:r>
          </w:p>
          <w:p>
            <w:pPr>
              <w:spacing w:line="240" w:lineRule="exact"/>
              <w:rPr>
                <w:rFonts w:ascii="宋体" w:hAnsi="宋体" w:cs="宋体"/>
                <w:highlight w:val="none"/>
              </w:rPr>
            </w:pPr>
            <w:r>
              <w:rPr>
                <w:rFonts w:hint="eastAsia" w:ascii="宋体" w:hAnsi="宋体" w:cs="宋体"/>
                <w:highlight w:val="none"/>
              </w:rPr>
              <w:t>□不通过</w:t>
            </w:r>
          </w:p>
        </w:tc>
        <w:tc>
          <w:tcPr>
            <w:tcW w:w="2550" w:type="dxa"/>
            <w:vAlign w:val="center"/>
          </w:tcPr>
          <w:p>
            <w:pPr>
              <w:spacing w:line="240" w:lineRule="exact"/>
              <w:rPr>
                <w:rFonts w:ascii="宋体" w:hAnsi="宋体" w:cs="宋体"/>
                <w:highlight w:val="none"/>
              </w:rPr>
            </w:pPr>
            <w:r>
              <w:rPr>
                <w:rFonts w:hint="eastAsia" w:ascii="宋体" w:hAnsi="宋体" w:cs="宋体"/>
                <w:highlight w:val="none"/>
              </w:rPr>
              <w:t>第（ ）页</w:t>
            </w:r>
          </w:p>
        </w:tc>
      </w:tr>
    </w:tbl>
    <w:p>
      <w:pPr>
        <w:snapToGrid w:val="0"/>
        <w:rPr>
          <w:rFonts w:ascii="宋体" w:hAnsi="宋体" w:cs="宋体"/>
          <w:b/>
          <w:szCs w:val="21"/>
          <w:highlight w:val="none"/>
        </w:rPr>
      </w:pPr>
      <w:r>
        <w:rPr>
          <w:rFonts w:hint="eastAsia" w:ascii="宋体" w:hAnsi="宋体" w:cs="宋体"/>
          <w:b/>
          <w:szCs w:val="21"/>
          <w:highlight w:val="none"/>
        </w:rPr>
        <w:t xml:space="preserve">备注：符合性自查表将作为供应商有效性审查的重要内容之一，供应商必须严格按照其内容及序列要求在投标文件中对应如实提供，对证明文件的任何缺漏和不符合项将会直接导致投标无效！ </w:t>
      </w:r>
    </w:p>
    <w:p>
      <w:pPr>
        <w:snapToGrid w:val="0"/>
        <w:rPr>
          <w:rFonts w:ascii="宋体" w:hAnsi="宋体" w:cs="宋体"/>
          <w:b/>
          <w:szCs w:val="21"/>
          <w:highlight w:val="none"/>
        </w:rPr>
      </w:pPr>
    </w:p>
    <w:p>
      <w:pPr>
        <w:snapToGrid w:val="0"/>
        <w:rPr>
          <w:rFonts w:ascii="宋体" w:hAnsi="宋体" w:cs="宋体"/>
          <w:b/>
          <w:szCs w:val="21"/>
          <w:highlight w:val="none"/>
        </w:rPr>
      </w:pPr>
      <w:r>
        <w:rPr>
          <w:rFonts w:hint="eastAsia" w:ascii="宋体" w:hAnsi="宋体" w:cs="宋体"/>
          <w:b/>
          <w:szCs w:val="21"/>
          <w:highlight w:val="none"/>
        </w:rPr>
        <w:br w:type="page"/>
      </w:r>
      <w:r>
        <w:rPr>
          <w:rFonts w:hint="eastAsia" w:ascii="宋体" w:hAnsi="宋体" w:cs="宋体"/>
          <w:b/>
          <w:szCs w:val="21"/>
          <w:highlight w:val="none"/>
        </w:rPr>
        <w:t>（2）供应商响应表格式</w:t>
      </w:r>
    </w:p>
    <w:p>
      <w:pPr>
        <w:jc w:val="center"/>
        <w:rPr>
          <w:rFonts w:ascii="宋体" w:hAnsi="宋体" w:cs="宋体"/>
          <w:b/>
          <w:sz w:val="32"/>
          <w:szCs w:val="32"/>
          <w:highlight w:val="none"/>
        </w:rPr>
      </w:pPr>
      <w:r>
        <w:rPr>
          <w:rFonts w:hint="eastAsia" w:ascii="宋体" w:hAnsi="宋体" w:cs="宋体"/>
          <w:b/>
          <w:sz w:val="32"/>
          <w:szCs w:val="32"/>
          <w:highlight w:val="none"/>
        </w:rPr>
        <w:t>供应商响应表</w:t>
      </w:r>
    </w:p>
    <w:p>
      <w:pPr>
        <w:rPr>
          <w:rFonts w:ascii="宋体" w:hAnsi="宋体" w:cs="宋体"/>
          <w:highlight w:val="none"/>
        </w:rPr>
      </w:pPr>
    </w:p>
    <w:p>
      <w:pPr>
        <w:rPr>
          <w:rFonts w:ascii="宋体" w:hAnsi="宋体" w:cs="宋体"/>
          <w:highlight w:val="none"/>
        </w:rPr>
      </w:pPr>
      <w:r>
        <w:rPr>
          <w:rFonts w:hint="eastAsia" w:ascii="宋体" w:hAnsi="宋体" w:cs="宋体"/>
          <w:highlight w:val="none"/>
        </w:rPr>
        <w:t>采购项目：</w:t>
      </w:r>
    </w:p>
    <w:p>
      <w:pPr>
        <w:rPr>
          <w:rFonts w:ascii="宋体" w:hAnsi="宋体" w:cs="宋体"/>
          <w:highlight w:val="none"/>
        </w:rPr>
      </w:pPr>
      <w:r>
        <w:rPr>
          <w:rFonts w:hint="eastAsia" w:ascii="宋体" w:hAnsi="宋体" w:cs="宋体"/>
          <w:highlight w:val="none"/>
        </w:rPr>
        <w:t>项目编号：</w:t>
      </w:r>
    </w:p>
    <w:p>
      <w:pPr>
        <w:rPr>
          <w:rFonts w:ascii="宋体" w:hAnsi="宋体" w:cs="宋体"/>
          <w:highlight w:val="none"/>
        </w:rPr>
      </w:pPr>
      <w:r>
        <w:rPr>
          <w:rFonts w:hint="eastAsia" w:ascii="宋体" w:hAnsi="宋体" w:cs="宋体"/>
          <w:highlight w:val="none"/>
        </w:rPr>
        <w:t>标项号：</w:t>
      </w:r>
    </w:p>
    <w:tbl>
      <w:tblPr>
        <w:tblStyle w:val="46"/>
        <w:tblW w:w="8436" w:type="dxa"/>
        <w:tblInd w:w="93" w:type="dxa"/>
        <w:tblLayout w:type="fixed"/>
        <w:tblCellMar>
          <w:top w:w="0" w:type="dxa"/>
          <w:left w:w="108" w:type="dxa"/>
          <w:bottom w:w="0" w:type="dxa"/>
          <w:right w:w="108" w:type="dxa"/>
        </w:tblCellMar>
      </w:tblPr>
      <w:tblGrid>
        <w:gridCol w:w="574"/>
        <w:gridCol w:w="4942"/>
        <w:gridCol w:w="1460"/>
        <w:gridCol w:w="1460"/>
      </w:tblGrid>
      <w:tr>
        <w:tblPrEx>
          <w:tblCellMar>
            <w:top w:w="0" w:type="dxa"/>
            <w:left w:w="108" w:type="dxa"/>
            <w:bottom w:w="0" w:type="dxa"/>
            <w:right w:w="108" w:type="dxa"/>
          </w:tblCellMar>
        </w:tblPrEx>
        <w:trPr>
          <w:trHeight w:val="596" w:hRule="atLeast"/>
        </w:trPr>
        <w:tc>
          <w:tcPr>
            <w:tcW w:w="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序号</w:t>
            </w:r>
          </w:p>
        </w:tc>
        <w:tc>
          <w:tcPr>
            <w:tcW w:w="49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评审内容</w:t>
            </w: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自评分</w:t>
            </w: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证明文件</w:t>
            </w:r>
          </w:p>
        </w:tc>
      </w:tr>
      <w:tr>
        <w:tblPrEx>
          <w:tblCellMar>
            <w:top w:w="0" w:type="dxa"/>
            <w:left w:w="108" w:type="dxa"/>
            <w:bottom w:w="0" w:type="dxa"/>
            <w:right w:w="108" w:type="dxa"/>
          </w:tblCellMar>
        </w:tblPrEx>
        <w:trPr>
          <w:trHeight w:val="593" w:hRule="atLeast"/>
        </w:trPr>
        <w:tc>
          <w:tcPr>
            <w:tcW w:w="574" w:type="dxa"/>
            <w:tcBorders>
              <w:top w:val="nil"/>
              <w:left w:val="single" w:color="auto" w:sz="4" w:space="0"/>
              <w:bottom w:val="single" w:color="auto" w:sz="4" w:space="0"/>
              <w:right w:val="single" w:color="auto" w:sz="4" w:space="0"/>
            </w:tcBorders>
            <w:vAlign w:val="center"/>
          </w:tcPr>
          <w:p>
            <w:pPr>
              <w:rPr>
                <w:rFonts w:ascii="宋体" w:hAnsi="宋体" w:cs="宋体"/>
                <w:highlight w:val="none"/>
              </w:rPr>
            </w:pPr>
          </w:p>
        </w:tc>
        <w:tc>
          <w:tcPr>
            <w:tcW w:w="4942" w:type="dxa"/>
            <w:tcBorders>
              <w:top w:val="nil"/>
              <w:left w:val="single" w:color="auto" w:sz="4" w:space="0"/>
              <w:bottom w:val="single" w:color="auto" w:sz="4" w:space="0"/>
              <w:right w:val="single" w:color="auto" w:sz="4" w:space="0"/>
            </w:tcBorders>
            <w:vAlign w:val="center"/>
          </w:tcPr>
          <w:p>
            <w:pPr>
              <w:rPr>
                <w:rFonts w:ascii="宋体" w:hAnsi="宋体" w:cs="宋体"/>
                <w:highlight w:val="none"/>
              </w:rPr>
            </w:pPr>
          </w:p>
        </w:tc>
        <w:tc>
          <w:tcPr>
            <w:tcW w:w="1460" w:type="dxa"/>
            <w:tcBorders>
              <w:top w:val="nil"/>
              <w:left w:val="nil"/>
              <w:bottom w:val="single" w:color="auto" w:sz="4" w:space="0"/>
              <w:right w:val="single" w:color="auto" w:sz="4" w:space="0"/>
            </w:tcBorders>
            <w:vAlign w:val="center"/>
          </w:tcPr>
          <w:p>
            <w:pPr>
              <w:jc w:val="center"/>
              <w:rPr>
                <w:rFonts w:ascii="宋体" w:hAnsi="宋体" w:cs="宋体"/>
                <w:highlight w:val="none"/>
              </w:rPr>
            </w:pPr>
          </w:p>
        </w:tc>
        <w:tc>
          <w:tcPr>
            <w:tcW w:w="1460" w:type="dxa"/>
            <w:tcBorders>
              <w:top w:val="nil"/>
              <w:left w:val="nil"/>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见（  ）页</w:t>
            </w:r>
          </w:p>
        </w:tc>
      </w:tr>
      <w:tr>
        <w:tblPrEx>
          <w:tblCellMar>
            <w:top w:w="0" w:type="dxa"/>
            <w:left w:w="108" w:type="dxa"/>
            <w:bottom w:w="0" w:type="dxa"/>
            <w:right w:w="108" w:type="dxa"/>
          </w:tblCellMar>
        </w:tblPrEx>
        <w:trPr>
          <w:trHeight w:val="613" w:hRule="atLeast"/>
        </w:trPr>
        <w:tc>
          <w:tcPr>
            <w:tcW w:w="574" w:type="dxa"/>
            <w:tcBorders>
              <w:top w:val="nil"/>
              <w:left w:val="single" w:color="auto" w:sz="4" w:space="0"/>
              <w:bottom w:val="single" w:color="auto" w:sz="4" w:space="0"/>
              <w:right w:val="single" w:color="auto" w:sz="4" w:space="0"/>
            </w:tcBorders>
            <w:vAlign w:val="center"/>
          </w:tcPr>
          <w:p>
            <w:pPr>
              <w:rPr>
                <w:rFonts w:ascii="宋体" w:hAnsi="宋体" w:cs="宋体"/>
                <w:highlight w:val="none"/>
              </w:rPr>
            </w:pPr>
          </w:p>
        </w:tc>
        <w:tc>
          <w:tcPr>
            <w:tcW w:w="4942" w:type="dxa"/>
            <w:tcBorders>
              <w:top w:val="nil"/>
              <w:left w:val="single" w:color="auto" w:sz="4" w:space="0"/>
              <w:bottom w:val="single" w:color="auto" w:sz="4" w:space="0"/>
              <w:right w:val="single" w:color="auto" w:sz="4" w:space="0"/>
            </w:tcBorders>
            <w:vAlign w:val="center"/>
          </w:tcPr>
          <w:p>
            <w:pPr>
              <w:rPr>
                <w:rFonts w:ascii="宋体" w:hAnsi="宋体" w:cs="宋体"/>
                <w:highlight w:val="none"/>
              </w:rPr>
            </w:pPr>
          </w:p>
        </w:tc>
        <w:tc>
          <w:tcPr>
            <w:tcW w:w="1460" w:type="dxa"/>
            <w:tcBorders>
              <w:top w:val="nil"/>
              <w:left w:val="nil"/>
              <w:bottom w:val="single" w:color="auto" w:sz="4" w:space="0"/>
              <w:right w:val="single" w:color="auto" w:sz="4" w:space="0"/>
            </w:tcBorders>
            <w:vAlign w:val="center"/>
          </w:tcPr>
          <w:p>
            <w:pPr>
              <w:jc w:val="center"/>
              <w:rPr>
                <w:rFonts w:ascii="宋体" w:hAnsi="宋体" w:cs="宋体"/>
                <w:highlight w:val="none"/>
              </w:rPr>
            </w:pPr>
          </w:p>
        </w:tc>
        <w:tc>
          <w:tcPr>
            <w:tcW w:w="1460" w:type="dxa"/>
            <w:tcBorders>
              <w:top w:val="nil"/>
              <w:left w:val="nil"/>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见（  ）页</w:t>
            </w:r>
          </w:p>
        </w:tc>
      </w:tr>
      <w:tr>
        <w:tblPrEx>
          <w:tblCellMar>
            <w:top w:w="0" w:type="dxa"/>
            <w:left w:w="108" w:type="dxa"/>
            <w:bottom w:w="0" w:type="dxa"/>
            <w:right w:w="108" w:type="dxa"/>
          </w:tblCellMar>
        </w:tblPrEx>
        <w:trPr>
          <w:trHeight w:val="520" w:hRule="atLeast"/>
        </w:trPr>
        <w:tc>
          <w:tcPr>
            <w:tcW w:w="574" w:type="dxa"/>
            <w:tcBorders>
              <w:top w:val="nil"/>
              <w:left w:val="single" w:color="auto" w:sz="4" w:space="0"/>
              <w:bottom w:val="single" w:color="auto" w:sz="4" w:space="0"/>
              <w:right w:val="single" w:color="auto" w:sz="4" w:space="0"/>
            </w:tcBorders>
            <w:vAlign w:val="center"/>
          </w:tcPr>
          <w:p>
            <w:pPr>
              <w:rPr>
                <w:rFonts w:ascii="宋体" w:hAnsi="宋体" w:cs="宋体"/>
                <w:highlight w:val="none"/>
              </w:rPr>
            </w:pPr>
          </w:p>
        </w:tc>
        <w:tc>
          <w:tcPr>
            <w:tcW w:w="4942" w:type="dxa"/>
            <w:tcBorders>
              <w:top w:val="nil"/>
              <w:left w:val="single" w:color="auto" w:sz="4" w:space="0"/>
              <w:bottom w:val="single" w:color="auto" w:sz="4" w:space="0"/>
              <w:right w:val="single" w:color="auto" w:sz="4" w:space="0"/>
            </w:tcBorders>
            <w:vAlign w:val="center"/>
          </w:tcPr>
          <w:p>
            <w:pPr>
              <w:rPr>
                <w:rFonts w:ascii="宋体" w:hAnsi="宋体" w:cs="宋体"/>
                <w:highlight w:val="none"/>
              </w:rPr>
            </w:pPr>
          </w:p>
        </w:tc>
        <w:tc>
          <w:tcPr>
            <w:tcW w:w="1460" w:type="dxa"/>
            <w:tcBorders>
              <w:top w:val="nil"/>
              <w:left w:val="nil"/>
              <w:bottom w:val="single" w:color="auto" w:sz="4" w:space="0"/>
              <w:right w:val="single" w:color="auto" w:sz="4" w:space="0"/>
            </w:tcBorders>
            <w:vAlign w:val="center"/>
          </w:tcPr>
          <w:p>
            <w:pPr>
              <w:jc w:val="center"/>
              <w:rPr>
                <w:rFonts w:ascii="宋体" w:hAnsi="宋体" w:cs="宋体"/>
                <w:highlight w:val="none"/>
              </w:rPr>
            </w:pPr>
          </w:p>
        </w:tc>
        <w:tc>
          <w:tcPr>
            <w:tcW w:w="1460" w:type="dxa"/>
            <w:tcBorders>
              <w:top w:val="nil"/>
              <w:left w:val="nil"/>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见（  ）页</w:t>
            </w:r>
          </w:p>
        </w:tc>
      </w:tr>
      <w:tr>
        <w:tblPrEx>
          <w:tblCellMar>
            <w:top w:w="0" w:type="dxa"/>
            <w:left w:w="108" w:type="dxa"/>
            <w:bottom w:w="0" w:type="dxa"/>
            <w:right w:w="108" w:type="dxa"/>
          </w:tblCellMar>
        </w:tblPrEx>
        <w:trPr>
          <w:trHeight w:val="531" w:hRule="atLeast"/>
        </w:trPr>
        <w:tc>
          <w:tcPr>
            <w:tcW w:w="574" w:type="dxa"/>
            <w:tcBorders>
              <w:top w:val="nil"/>
              <w:left w:val="single" w:color="auto" w:sz="4" w:space="0"/>
              <w:bottom w:val="single" w:color="auto" w:sz="4" w:space="0"/>
              <w:right w:val="single" w:color="auto" w:sz="4" w:space="0"/>
            </w:tcBorders>
            <w:vAlign w:val="center"/>
          </w:tcPr>
          <w:p>
            <w:pPr>
              <w:rPr>
                <w:rFonts w:ascii="宋体" w:hAnsi="宋体" w:cs="宋体"/>
                <w:highlight w:val="none"/>
              </w:rPr>
            </w:pPr>
          </w:p>
        </w:tc>
        <w:tc>
          <w:tcPr>
            <w:tcW w:w="4942" w:type="dxa"/>
            <w:tcBorders>
              <w:top w:val="nil"/>
              <w:left w:val="single" w:color="auto" w:sz="4" w:space="0"/>
              <w:bottom w:val="single" w:color="auto" w:sz="4" w:space="0"/>
              <w:right w:val="single" w:color="auto" w:sz="4" w:space="0"/>
            </w:tcBorders>
            <w:vAlign w:val="center"/>
          </w:tcPr>
          <w:p>
            <w:pPr>
              <w:rPr>
                <w:rFonts w:ascii="宋体" w:hAnsi="宋体" w:cs="宋体"/>
                <w:highlight w:val="none"/>
              </w:rPr>
            </w:pPr>
          </w:p>
        </w:tc>
        <w:tc>
          <w:tcPr>
            <w:tcW w:w="1460" w:type="dxa"/>
            <w:tcBorders>
              <w:top w:val="nil"/>
              <w:left w:val="nil"/>
              <w:bottom w:val="single" w:color="auto" w:sz="4" w:space="0"/>
              <w:right w:val="single" w:color="auto" w:sz="4" w:space="0"/>
            </w:tcBorders>
            <w:vAlign w:val="center"/>
          </w:tcPr>
          <w:p>
            <w:pPr>
              <w:jc w:val="center"/>
              <w:rPr>
                <w:rFonts w:ascii="宋体" w:hAnsi="宋体" w:cs="宋体"/>
                <w:highlight w:val="none"/>
              </w:rPr>
            </w:pPr>
          </w:p>
        </w:tc>
        <w:tc>
          <w:tcPr>
            <w:tcW w:w="1460" w:type="dxa"/>
            <w:tcBorders>
              <w:top w:val="nil"/>
              <w:left w:val="nil"/>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见（  ）页</w:t>
            </w:r>
          </w:p>
        </w:tc>
      </w:tr>
      <w:tr>
        <w:tblPrEx>
          <w:tblCellMar>
            <w:top w:w="0" w:type="dxa"/>
            <w:left w:w="108" w:type="dxa"/>
            <w:bottom w:w="0" w:type="dxa"/>
            <w:right w:w="108" w:type="dxa"/>
          </w:tblCellMar>
        </w:tblPrEx>
        <w:trPr>
          <w:trHeight w:val="607" w:hRule="atLeast"/>
        </w:trPr>
        <w:tc>
          <w:tcPr>
            <w:tcW w:w="57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highlight w:val="none"/>
              </w:rPr>
            </w:pP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highlight w:val="none"/>
              </w:rPr>
            </w:pP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见（  ）页</w:t>
            </w: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highlight w:val="none"/>
              </w:rPr>
            </w:pP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highlight w:val="none"/>
              </w:rPr>
            </w:pP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见（  ）页</w:t>
            </w: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highlight w:val="none"/>
              </w:rPr>
            </w:pP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highlight w:val="none"/>
              </w:rPr>
            </w:pP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见（  ）页</w:t>
            </w: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highlight w:val="none"/>
              </w:rPr>
            </w:pP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highlight w:val="none"/>
              </w:rPr>
            </w:pP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见（  ）页</w:t>
            </w: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highlight w:val="none"/>
              </w:rPr>
            </w:pP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highlight w:val="none"/>
              </w:rPr>
            </w:pP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见（  ）页</w:t>
            </w: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highlight w:val="none"/>
              </w:rPr>
            </w:pP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highlight w:val="none"/>
              </w:rPr>
            </w:pP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见（  ）页</w:t>
            </w:r>
          </w:p>
        </w:tc>
      </w:tr>
      <w:tr>
        <w:tblPrEx>
          <w:tblCellMar>
            <w:top w:w="0" w:type="dxa"/>
            <w:left w:w="108" w:type="dxa"/>
            <w:bottom w:w="0" w:type="dxa"/>
            <w:right w:w="108" w:type="dxa"/>
          </w:tblCellMar>
        </w:tblPrEx>
        <w:trPr>
          <w:trHeight w:val="608" w:hRule="atLeast"/>
        </w:trPr>
        <w:tc>
          <w:tcPr>
            <w:tcW w:w="57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highlight w:val="none"/>
              </w:rPr>
            </w:pP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highlight w:val="none"/>
              </w:rPr>
            </w:pP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见（  ）页</w:t>
            </w:r>
          </w:p>
        </w:tc>
      </w:tr>
      <w:tr>
        <w:tblPrEx>
          <w:tblCellMar>
            <w:top w:w="0" w:type="dxa"/>
            <w:left w:w="108" w:type="dxa"/>
            <w:bottom w:w="0" w:type="dxa"/>
            <w:right w:w="108" w:type="dxa"/>
          </w:tblCellMar>
        </w:tblPrEx>
        <w:trPr>
          <w:trHeight w:val="750" w:hRule="atLeast"/>
        </w:trPr>
        <w:tc>
          <w:tcPr>
            <w:tcW w:w="57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highlight w:val="none"/>
              </w:rPr>
            </w:pP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highlight w:val="none"/>
              </w:rPr>
            </w:pP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见（  ）页</w:t>
            </w:r>
          </w:p>
        </w:tc>
      </w:tr>
    </w:tbl>
    <w:p>
      <w:pPr>
        <w:rPr>
          <w:rFonts w:ascii="宋体" w:hAnsi="宋体" w:cs="宋体"/>
          <w:b/>
          <w:highlight w:val="none"/>
        </w:rPr>
      </w:pPr>
      <w:r>
        <w:rPr>
          <w:rFonts w:hint="eastAsia" w:ascii="宋体" w:hAnsi="宋体" w:cs="宋体"/>
          <w:b/>
          <w:highlight w:val="none"/>
        </w:rPr>
        <w:t>注：根据评分标准内容逐条填写并自行评分</w:t>
      </w:r>
      <w:r>
        <w:rPr>
          <w:rFonts w:hint="eastAsia" w:ascii="宋体" w:hAnsi="宋体" w:cs="宋体"/>
          <w:b/>
          <w:szCs w:val="21"/>
          <w:highlight w:val="none"/>
        </w:rPr>
        <w:t>（价格分除外）</w:t>
      </w:r>
      <w:r>
        <w:rPr>
          <w:rFonts w:hint="eastAsia" w:ascii="宋体" w:hAnsi="宋体" w:cs="宋体"/>
          <w:b/>
          <w:highlight w:val="none"/>
        </w:rPr>
        <w:t>。</w:t>
      </w:r>
    </w:p>
    <w:p>
      <w:pPr>
        <w:rPr>
          <w:rFonts w:ascii="宋体" w:hAnsi="宋体" w:cs="宋体"/>
          <w:highlight w:val="none"/>
        </w:rPr>
      </w:pPr>
    </w:p>
    <w:p>
      <w:pPr>
        <w:ind w:firstLine="6090" w:firstLineChars="2900"/>
        <w:rPr>
          <w:rFonts w:ascii="宋体" w:hAnsi="宋体" w:cs="宋体"/>
          <w:highlight w:val="none"/>
        </w:rPr>
      </w:pPr>
      <w:r>
        <w:rPr>
          <w:rFonts w:hint="eastAsia" w:ascii="宋体" w:hAnsi="宋体" w:cs="宋体"/>
          <w:highlight w:val="none"/>
        </w:rPr>
        <w:t>供应商名称：</w:t>
      </w:r>
    </w:p>
    <w:p>
      <w:pPr>
        <w:rPr>
          <w:rFonts w:ascii="宋体" w:hAnsi="宋体" w:cs="宋体"/>
          <w:highlight w:val="none"/>
        </w:rPr>
      </w:pPr>
    </w:p>
    <w:p>
      <w:pPr>
        <w:ind w:firstLine="6090" w:firstLineChars="2900"/>
        <w:rPr>
          <w:rFonts w:ascii="宋体" w:hAnsi="宋体" w:cs="宋体"/>
          <w:highlight w:val="none"/>
        </w:rPr>
      </w:pPr>
      <w:r>
        <w:rPr>
          <w:rFonts w:hint="eastAsia" w:ascii="宋体" w:hAnsi="宋体" w:cs="宋体"/>
          <w:highlight w:val="none"/>
        </w:rPr>
        <w:t>年  月  日</w:t>
      </w:r>
    </w:p>
    <w:p>
      <w:pPr>
        <w:snapToGrid w:val="0"/>
        <w:rPr>
          <w:rFonts w:ascii="宋体" w:hAnsi="宋体" w:cs="宋体"/>
          <w:b/>
          <w:szCs w:val="21"/>
          <w:highlight w:val="none"/>
        </w:rPr>
      </w:pPr>
    </w:p>
    <w:p>
      <w:pPr>
        <w:snapToGrid w:val="0"/>
        <w:rPr>
          <w:rFonts w:ascii="宋体" w:hAnsi="宋体" w:cs="宋体"/>
          <w:b/>
          <w:szCs w:val="21"/>
          <w:highlight w:val="none"/>
        </w:rPr>
      </w:pPr>
    </w:p>
    <w:p>
      <w:pPr>
        <w:widowControl w:val="0"/>
        <w:adjustRightInd w:val="0"/>
        <w:spacing w:line="360" w:lineRule="auto"/>
        <w:jc w:val="both"/>
        <w:textAlignment w:val="baseline"/>
        <w:rPr>
          <w:rFonts w:ascii="宋体" w:hAnsi="宋体" w:cs="宋体"/>
          <w:sz w:val="28"/>
          <w:szCs w:val="21"/>
          <w:highlight w:val="none"/>
        </w:rPr>
      </w:pPr>
      <w:r>
        <w:rPr>
          <w:rFonts w:hint="eastAsia" w:ascii="宋体" w:hAnsi="宋体" w:cs="宋体"/>
          <w:b/>
          <w:bCs/>
          <w:szCs w:val="21"/>
          <w:highlight w:val="none"/>
        </w:rPr>
        <w:t>注：联合体投标的，可只由联合体牵头人签章。</w:t>
      </w:r>
    </w:p>
    <w:p>
      <w:pPr>
        <w:snapToGrid w:val="0"/>
        <w:rPr>
          <w:rFonts w:ascii="宋体" w:hAnsi="宋体" w:cs="宋体"/>
          <w:b/>
          <w:szCs w:val="21"/>
          <w:highlight w:val="none"/>
        </w:rPr>
      </w:pPr>
      <w:r>
        <w:rPr>
          <w:rFonts w:hint="eastAsia" w:ascii="宋体" w:hAnsi="宋体" w:cs="宋体"/>
          <w:b/>
          <w:szCs w:val="21"/>
          <w:highlight w:val="none"/>
        </w:rPr>
        <w:br w:type="page"/>
      </w:r>
      <w:r>
        <w:rPr>
          <w:rFonts w:hint="eastAsia" w:ascii="宋体" w:hAnsi="宋体" w:cs="宋体"/>
          <w:b/>
          <w:szCs w:val="21"/>
          <w:highlight w:val="none"/>
        </w:rPr>
        <w:t>（3）商务条款偏离表格式</w:t>
      </w:r>
    </w:p>
    <w:p>
      <w:pPr>
        <w:jc w:val="center"/>
        <w:rPr>
          <w:rFonts w:ascii="宋体" w:hAnsi="宋体" w:cs="宋体"/>
          <w:sz w:val="32"/>
          <w:szCs w:val="32"/>
          <w:highlight w:val="none"/>
        </w:rPr>
      </w:pPr>
      <w:r>
        <w:rPr>
          <w:rFonts w:hint="eastAsia" w:ascii="宋体" w:hAnsi="宋体" w:cs="宋体"/>
          <w:b/>
          <w:sz w:val="32"/>
          <w:szCs w:val="32"/>
          <w:highlight w:val="none"/>
        </w:rPr>
        <w:t>商务条款偏离表</w:t>
      </w:r>
    </w:p>
    <w:p>
      <w:pPr>
        <w:rPr>
          <w:rFonts w:ascii="宋体" w:hAnsi="宋体" w:cs="宋体"/>
          <w:highlight w:val="none"/>
        </w:rPr>
      </w:pPr>
      <w:r>
        <w:rPr>
          <w:rFonts w:hint="eastAsia" w:ascii="宋体" w:hAnsi="宋体" w:cs="宋体"/>
          <w:highlight w:val="none"/>
        </w:rPr>
        <w:t>采购项目：</w:t>
      </w:r>
    </w:p>
    <w:p>
      <w:pPr>
        <w:rPr>
          <w:rFonts w:ascii="宋体" w:hAnsi="宋体" w:cs="宋体"/>
          <w:highlight w:val="none"/>
        </w:rPr>
      </w:pPr>
      <w:r>
        <w:rPr>
          <w:rFonts w:hint="eastAsia" w:ascii="宋体" w:hAnsi="宋体" w:cs="宋体"/>
          <w:highlight w:val="none"/>
        </w:rPr>
        <w:t>项目编号：</w:t>
      </w:r>
    </w:p>
    <w:p>
      <w:pPr>
        <w:rPr>
          <w:rFonts w:ascii="宋体" w:hAnsi="宋体" w:cs="宋体"/>
          <w:highlight w:val="none"/>
        </w:rPr>
      </w:pPr>
      <w:r>
        <w:rPr>
          <w:rFonts w:hint="eastAsia" w:ascii="宋体" w:hAnsi="宋体" w:cs="宋体"/>
          <w:highlight w:val="none"/>
        </w:rPr>
        <w:t>标项号：</w:t>
      </w:r>
    </w:p>
    <w:tbl>
      <w:tblPr>
        <w:tblStyle w:val="46"/>
        <w:tblW w:w="84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vAlign w:val="center"/>
          </w:tcPr>
          <w:p>
            <w:pPr>
              <w:spacing w:line="360" w:lineRule="auto"/>
              <w:jc w:val="center"/>
              <w:rPr>
                <w:rFonts w:ascii="宋体" w:hAnsi="宋体" w:cs="宋体"/>
                <w:highlight w:val="none"/>
              </w:rPr>
            </w:pPr>
            <w:r>
              <w:rPr>
                <w:rFonts w:hint="eastAsia" w:ascii="宋体" w:hAnsi="宋体" w:cs="宋体"/>
                <w:highlight w:val="none"/>
              </w:rPr>
              <w:t>条款号</w:t>
            </w:r>
          </w:p>
        </w:tc>
        <w:tc>
          <w:tcPr>
            <w:tcW w:w="4647" w:type="dxa"/>
            <w:vAlign w:val="center"/>
          </w:tcPr>
          <w:p>
            <w:pPr>
              <w:spacing w:line="360" w:lineRule="auto"/>
              <w:jc w:val="center"/>
              <w:rPr>
                <w:rFonts w:ascii="宋体" w:hAnsi="宋体" w:cs="宋体"/>
                <w:highlight w:val="none"/>
              </w:rPr>
            </w:pPr>
            <w:r>
              <w:rPr>
                <w:rFonts w:hint="eastAsia" w:ascii="宋体" w:hAnsi="宋体" w:cs="宋体"/>
                <w:highlight w:val="none"/>
              </w:rPr>
              <w:t>招标文件的商务条款</w:t>
            </w:r>
          </w:p>
        </w:tc>
        <w:tc>
          <w:tcPr>
            <w:tcW w:w="1575" w:type="dxa"/>
            <w:vAlign w:val="center"/>
          </w:tcPr>
          <w:p>
            <w:pPr>
              <w:spacing w:line="360" w:lineRule="auto"/>
              <w:jc w:val="center"/>
              <w:rPr>
                <w:rFonts w:ascii="宋体" w:hAnsi="宋体" w:cs="宋体"/>
                <w:highlight w:val="none"/>
              </w:rPr>
            </w:pPr>
            <w:r>
              <w:rPr>
                <w:rFonts w:hint="eastAsia" w:ascii="宋体" w:hAnsi="宋体" w:cs="宋体"/>
                <w:highlight w:val="none"/>
              </w:rPr>
              <w:t>投标文件的</w:t>
            </w:r>
          </w:p>
          <w:p>
            <w:pPr>
              <w:spacing w:line="360" w:lineRule="auto"/>
              <w:jc w:val="center"/>
              <w:rPr>
                <w:rFonts w:ascii="宋体" w:hAnsi="宋体" w:cs="宋体"/>
                <w:highlight w:val="none"/>
              </w:rPr>
            </w:pPr>
            <w:r>
              <w:rPr>
                <w:rFonts w:hint="eastAsia" w:ascii="宋体" w:hAnsi="宋体" w:cs="宋体"/>
                <w:highlight w:val="none"/>
              </w:rPr>
              <w:t>响应情况</w:t>
            </w:r>
          </w:p>
        </w:tc>
        <w:tc>
          <w:tcPr>
            <w:tcW w:w="1185" w:type="dxa"/>
            <w:vAlign w:val="center"/>
          </w:tcPr>
          <w:p>
            <w:pPr>
              <w:spacing w:line="360" w:lineRule="auto"/>
              <w:jc w:val="center"/>
              <w:rPr>
                <w:rFonts w:ascii="宋体" w:hAnsi="宋体" w:cs="宋体"/>
                <w:highlight w:val="none"/>
              </w:rPr>
            </w:pPr>
            <w:r>
              <w:rPr>
                <w:rFonts w:hint="eastAsia" w:ascii="宋体" w:hAnsi="宋体" w:cs="宋体"/>
                <w:highlight w:val="none"/>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宋体" w:hAnsi="宋体" w:cs="宋体"/>
                <w:highlight w:val="none"/>
              </w:rPr>
            </w:pPr>
          </w:p>
        </w:tc>
        <w:tc>
          <w:tcPr>
            <w:tcW w:w="4647" w:type="dxa"/>
            <w:vAlign w:val="center"/>
          </w:tcPr>
          <w:p>
            <w:pPr>
              <w:spacing w:line="360" w:lineRule="auto"/>
              <w:rPr>
                <w:rFonts w:ascii="宋体" w:hAnsi="宋体" w:cs="宋体"/>
                <w:b/>
                <w:bCs/>
                <w:highlight w:val="none"/>
              </w:rPr>
            </w:pPr>
          </w:p>
        </w:tc>
        <w:tc>
          <w:tcPr>
            <w:tcW w:w="1575" w:type="dxa"/>
            <w:vAlign w:val="center"/>
          </w:tcPr>
          <w:p>
            <w:pPr>
              <w:spacing w:line="360" w:lineRule="auto"/>
              <w:jc w:val="center"/>
              <w:rPr>
                <w:rFonts w:ascii="宋体" w:hAnsi="宋体" w:cs="宋体"/>
                <w:sz w:val="24"/>
                <w:highlight w:val="none"/>
              </w:rPr>
            </w:pPr>
          </w:p>
        </w:tc>
        <w:tc>
          <w:tcPr>
            <w:tcW w:w="1185"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宋体" w:hAnsi="宋体" w:cs="宋体"/>
                <w:highlight w:val="none"/>
              </w:rPr>
            </w:pPr>
          </w:p>
        </w:tc>
        <w:tc>
          <w:tcPr>
            <w:tcW w:w="4647" w:type="dxa"/>
            <w:vAlign w:val="center"/>
          </w:tcPr>
          <w:p>
            <w:pPr>
              <w:spacing w:line="360" w:lineRule="auto"/>
              <w:rPr>
                <w:rFonts w:ascii="宋体" w:hAnsi="宋体" w:cs="宋体"/>
                <w:b/>
                <w:bCs/>
                <w:highlight w:val="none"/>
              </w:rPr>
            </w:pPr>
          </w:p>
        </w:tc>
        <w:tc>
          <w:tcPr>
            <w:tcW w:w="1575" w:type="dxa"/>
            <w:vAlign w:val="center"/>
          </w:tcPr>
          <w:p>
            <w:pPr>
              <w:spacing w:line="360" w:lineRule="auto"/>
              <w:jc w:val="center"/>
              <w:rPr>
                <w:rFonts w:ascii="宋体" w:hAnsi="宋体" w:cs="宋体"/>
                <w:sz w:val="24"/>
                <w:highlight w:val="none"/>
              </w:rPr>
            </w:pPr>
          </w:p>
        </w:tc>
        <w:tc>
          <w:tcPr>
            <w:tcW w:w="1185"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宋体" w:hAnsi="宋体" w:cs="宋体"/>
                <w:highlight w:val="none"/>
              </w:rPr>
            </w:pPr>
          </w:p>
        </w:tc>
        <w:tc>
          <w:tcPr>
            <w:tcW w:w="4647" w:type="dxa"/>
            <w:vAlign w:val="center"/>
          </w:tcPr>
          <w:p>
            <w:pPr>
              <w:spacing w:line="360" w:lineRule="auto"/>
              <w:rPr>
                <w:rFonts w:ascii="宋体" w:hAnsi="宋体" w:cs="宋体"/>
                <w:b/>
                <w:bCs/>
                <w:highlight w:val="none"/>
              </w:rPr>
            </w:pPr>
          </w:p>
        </w:tc>
        <w:tc>
          <w:tcPr>
            <w:tcW w:w="1575" w:type="dxa"/>
            <w:vAlign w:val="center"/>
          </w:tcPr>
          <w:p>
            <w:pPr>
              <w:spacing w:line="360" w:lineRule="auto"/>
              <w:jc w:val="center"/>
              <w:rPr>
                <w:rFonts w:ascii="宋体" w:hAnsi="宋体" w:cs="宋体"/>
                <w:sz w:val="24"/>
                <w:highlight w:val="none"/>
              </w:rPr>
            </w:pPr>
          </w:p>
        </w:tc>
        <w:tc>
          <w:tcPr>
            <w:tcW w:w="1185"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宋体" w:hAnsi="宋体" w:cs="宋体"/>
                <w:highlight w:val="none"/>
              </w:rPr>
            </w:pPr>
          </w:p>
        </w:tc>
        <w:tc>
          <w:tcPr>
            <w:tcW w:w="4647" w:type="dxa"/>
            <w:vAlign w:val="center"/>
          </w:tcPr>
          <w:p>
            <w:pPr>
              <w:spacing w:line="360" w:lineRule="auto"/>
              <w:rPr>
                <w:rFonts w:ascii="宋体" w:hAnsi="宋体" w:cs="宋体"/>
                <w:b/>
                <w:bCs/>
                <w:highlight w:val="none"/>
              </w:rPr>
            </w:pPr>
          </w:p>
        </w:tc>
        <w:tc>
          <w:tcPr>
            <w:tcW w:w="1575" w:type="dxa"/>
            <w:vAlign w:val="center"/>
          </w:tcPr>
          <w:p>
            <w:pPr>
              <w:spacing w:line="360" w:lineRule="auto"/>
              <w:jc w:val="center"/>
              <w:rPr>
                <w:rFonts w:ascii="宋体" w:hAnsi="宋体" w:cs="宋体"/>
                <w:sz w:val="24"/>
                <w:highlight w:val="none"/>
              </w:rPr>
            </w:pPr>
          </w:p>
        </w:tc>
        <w:tc>
          <w:tcPr>
            <w:tcW w:w="1185"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宋体" w:hAnsi="宋体" w:cs="宋体"/>
                <w:highlight w:val="none"/>
              </w:rPr>
            </w:pPr>
          </w:p>
        </w:tc>
        <w:tc>
          <w:tcPr>
            <w:tcW w:w="4647" w:type="dxa"/>
            <w:vAlign w:val="center"/>
          </w:tcPr>
          <w:p>
            <w:pPr>
              <w:spacing w:line="360" w:lineRule="auto"/>
              <w:rPr>
                <w:rFonts w:ascii="宋体" w:hAnsi="宋体" w:cs="宋体"/>
                <w:highlight w:val="none"/>
              </w:rPr>
            </w:pPr>
          </w:p>
        </w:tc>
        <w:tc>
          <w:tcPr>
            <w:tcW w:w="1575" w:type="dxa"/>
            <w:vAlign w:val="center"/>
          </w:tcPr>
          <w:p>
            <w:pPr>
              <w:spacing w:line="360" w:lineRule="auto"/>
              <w:jc w:val="center"/>
              <w:rPr>
                <w:rFonts w:ascii="宋体" w:hAnsi="宋体" w:cs="宋体"/>
                <w:sz w:val="24"/>
                <w:highlight w:val="none"/>
              </w:rPr>
            </w:pPr>
          </w:p>
        </w:tc>
        <w:tc>
          <w:tcPr>
            <w:tcW w:w="1185"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宋体" w:hAnsi="宋体" w:cs="宋体"/>
                <w:highlight w:val="none"/>
              </w:rPr>
            </w:pPr>
          </w:p>
        </w:tc>
        <w:tc>
          <w:tcPr>
            <w:tcW w:w="4647" w:type="dxa"/>
            <w:vAlign w:val="center"/>
          </w:tcPr>
          <w:p>
            <w:pPr>
              <w:spacing w:line="360" w:lineRule="auto"/>
              <w:rPr>
                <w:rFonts w:ascii="宋体" w:hAnsi="宋体" w:cs="宋体"/>
                <w:highlight w:val="none"/>
              </w:rPr>
            </w:pPr>
          </w:p>
        </w:tc>
        <w:tc>
          <w:tcPr>
            <w:tcW w:w="1575" w:type="dxa"/>
            <w:vAlign w:val="center"/>
          </w:tcPr>
          <w:p>
            <w:pPr>
              <w:spacing w:line="360" w:lineRule="auto"/>
              <w:jc w:val="center"/>
              <w:rPr>
                <w:rFonts w:ascii="宋体" w:hAnsi="宋体" w:cs="宋体"/>
                <w:sz w:val="24"/>
                <w:highlight w:val="none"/>
              </w:rPr>
            </w:pPr>
          </w:p>
        </w:tc>
        <w:tc>
          <w:tcPr>
            <w:tcW w:w="1185"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宋体" w:hAnsi="宋体" w:cs="宋体"/>
                <w:highlight w:val="none"/>
              </w:rPr>
            </w:pPr>
          </w:p>
        </w:tc>
        <w:tc>
          <w:tcPr>
            <w:tcW w:w="4647" w:type="dxa"/>
            <w:vAlign w:val="center"/>
          </w:tcPr>
          <w:p>
            <w:pPr>
              <w:spacing w:line="360" w:lineRule="auto"/>
              <w:rPr>
                <w:rFonts w:ascii="宋体" w:hAnsi="宋体" w:cs="宋体"/>
                <w:highlight w:val="none"/>
              </w:rPr>
            </w:pPr>
          </w:p>
        </w:tc>
        <w:tc>
          <w:tcPr>
            <w:tcW w:w="1575" w:type="dxa"/>
            <w:vAlign w:val="center"/>
          </w:tcPr>
          <w:p>
            <w:pPr>
              <w:spacing w:line="360" w:lineRule="auto"/>
              <w:jc w:val="center"/>
              <w:rPr>
                <w:rFonts w:ascii="宋体" w:hAnsi="宋体" w:cs="宋体"/>
                <w:sz w:val="24"/>
                <w:highlight w:val="none"/>
              </w:rPr>
            </w:pPr>
          </w:p>
        </w:tc>
        <w:tc>
          <w:tcPr>
            <w:tcW w:w="1185"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宋体" w:hAnsi="宋体" w:cs="宋体"/>
                <w:highlight w:val="none"/>
              </w:rPr>
            </w:pPr>
          </w:p>
        </w:tc>
        <w:tc>
          <w:tcPr>
            <w:tcW w:w="4647" w:type="dxa"/>
            <w:vAlign w:val="center"/>
          </w:tcPr>
          <w:p>
            <w:pPr>
              <w:spacing w:line="360" w:lineRule="auto"/>
              <w:rPr>
                <w:rFonts w:ascii="宋体" w:hAnsi="宋体" w:cs="宋体"/>
                <w:highlight w:val="none"/>
              </w:rPr>
            </w:pPr>
          </w:p>
        </w:tc>
        <w:tc>
          <w:tcPr>
            <w:tcW w:w="1575" w:type="dxa"/>
            <w:vAlign w:val="center"/>
          </w:tcPr>
          <w:p>
            <w:pPr>
              <w:spacing w:line="360" w:lineRule="auto"/>
              <w:jc w:val="center"/>
              <w:rPr>
                <w:rFonts w:ascii="宋体" w:hAnsi="宋体" w:cs="宋体"/>
                <w:sz w:val="24"/>
                <w:highlight w:val="none"/>
              </w:rPr>
            </w:pPr>
          </w:p>
        </w:tc>
        <w:tc>
          <w:tcPr>
            <w:tcW w:w="1185"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宋体" w:hAnsi="宋体" w:cs="宋体"/>
                <w:highlight w:val="none"/>
              </w:rPr>
            </w:pPr>
          </w:p>
        </w:tc>
        <w:tc>
          <w:tcPr>
            <w:tcW w:w="4647" w:type="dxa"/>
            <w:vAlign w:val="center"/>
          </w:tcPr>
          <w:p>
            <w:pPr>
              <w:spacing w:line="360" w:lineRule="auto"/>
              <w:rPr>
                <w:rFonts w:ascii="宋体" w:hAnsi="宋体" w:cs="宋体"/>
                <w:highlight w:val="none"/>
              </w:rPr>
            </w:pPr>
          </w:p>
        </w:tc>
        <w:tc>
          <w:tcPr>
            <w:tcW w:w="1575" w:type="dxa"/>
            <w:vAlign w:val="center"/>
          </w:tcPr>
          <w:p>
            <w:pPr>
              <w:spacing w:line="360" w:lineRule="auto"/>
              <w:jc w:val="center"/>
              <w:rPr>
                <w:rFonts w:ascii="宋体" w:hAnsi="宋体" w:cs="宋体"/>
                <w:sz w:val="24"/>
                <w:highlight w:val="none"/>
              </w:rPr>
            </w:pPr>
          </w:p>
        </w:tc>
        <w:tc>
          <w:tcPr>
            <w:tcW w:w="1185"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宋体" w:hAnsi="宋体" w:cs="宋体"/>
                <w:highlight w:val="none"/>
              </w:rPr>
            </w:pPr>
          </w:p>
        </w:tc>
        <w:tc>
          <w:tcPr>
            <w:tcW w:w="4647" w:type="dxa"/>
            <w:vAlign w:val="center"/>
          </w:tcPr>
          <w:p>
            <w:pPr>
              <w:spacing w:line="360" w:lineRule="auto"/>
              <w:rPr>
                <w:rFonts w:ascii="宋体" w:hAnsi="宋体" w:cs="宋体"/>
                <w:highlight w:val="none"/>
              </w:rPr>
            </w:pPr>
          </w:p>
        </w:tc>
        <w:tc>
          <w:tcPr>
            <w:tcW w:w="1575" w:type="dxa"/>
            <w:vAlign w:val="center"/>
          </w:tcPr>
          <w:p>
            <w:pPr>
              <w:spacing w:line="360" w:lineRule="auto"/>
              <w:jc w:val="center"/>
              <w:rPr>
                <w:rFonts w:ascii="宋体" w:hAnsi="宋体" w:cs="宋体"/>
                <w:sz w:val="24"/>
                <w:highlight w:val="none"/>
              </w:rPr>
            </w:pPr>
          </w:p>
        </w:tc>
        <w:tc>
          <w:tcPr>
            <w:tcW w:w="1185"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宋体" w:hAnsi="宋体" w:cs="宋体"/>
                <w:highlight w:val="none"/>
              </w:rPr>
            </w:pPr>
          </w:p>
        </w:tc>
        <w:tc>
          <w:tcPr>
            <w:tcW w:w="4647" w:type="dxa"/>
            <w:vAlign w:val="center"/>
          </w:tcPr>
          <w:p>
            <w:pPr>
              <w:spacing w:line="360" w:lineRule="auto"/>
              <w:rPr>
                <w:rFonts w:ascii="宋体" w:hAnsi="宋体" w:cs="宋体"/>
                <w:highlight w:val="none"/>
              </w:rPr>
            </w:pPr>
          </w:p>
        </w:tc>
        <w:tc>
          <w:tcPr>
            <w:tcW w:w="1575" w:type="dxa"/>
            <w:vAlign w:val="center"/>
          </w:tcPr>
          <w:p>
            <w:pPr>
              <w:spacing w:line="360" w:lineRule="auto"/>
              <w:jc w:val="center"/>
              <w:rPr>
                <w:rFonts w:ascii="宋体" w:hAnsi="宋体" w:cs="宋体"/>
                <w:sz w:val="24"/>
                <w:highlight w:val="none"/>
              </w:rPr>
            </w:pPr>
          </w:p>
        </w:tc>
        <w:tc>
          <w:tcPr>
            <w:tcW w:w="1185"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宋体" w:hAnsi="宋体" w:cs="宋体"/>
                <w:highlight w:val="none"/>
              </w:rPr>
            </w:pPr>
          </w:p>
        </w:tc>
        <w:tc>
          <w:tcPr>
            <w:tcW w:w="4647" w:type="dxa"/>
            <w:vAlign w:val="center"/>
          </w:tcPr>
          <w:p>
            <w:pPr>
              <w:spacing w:line="360" w:lineRule="auto"/>
              <w:rPr>
                <w:rFonts w:ascii="宋体" w:hAnsi="宋体" w:cs="宋体"/>
                <w:highlight w:val="none"/>
              </w:rPr>
            </w:pPr>
          </w:p>
        </w:tc>
        <w:tc>
          <w:tcPr>
            <w:tcW w:w="1575" w:type="dxa"/>
            <w:vAlign w:val="center"/>
          </w:tcPr>
          <w:p>
            <w:pPr>
              <w:spacing w:line="360" w:lineRule="auto"/>
              <w:jc w:val="center"/>
              <w:rPr>
                <w:rFonts w:ascii="宋体" w:hAnsi="宋体" w:cs="宋体"/>
                <w:sz w:val="24"/>
                <w:highlight w:val="none"/>
              </w:rPr>
            </w:pPr>
          </w:p>
        </w:tc>
        <w:tc>
          <w:tcPr>
            <w:tcW w:w="1185"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宋体" w:hAnsi="宋体" w:cs="宋体"/>
                <w:highlight w:val="none"/>
              </w:rPr>
            </w:pPr>
          </w:p>
        </w:tc>
        <w:tc>
          <w:tcPr>
            <w:tcW w:w="4647" w:type="dxa"/>
            <w:vAlign w:val="center"/>
          </w:tcPr>
          <w:p>
            <w:pPr>
              <w:spacing w:line="360" w:lineRule="auto"/>
              <w:rPr>
                <w:rFonts w:ascii="宋体" w:hAnsi="宋体" w:cs="宋体"/>
                <w:highlight w:val="none"/>
              </w:rPr>
            </w:pPr>
          </w:p>
        </w:tc>
        <w:tc>
          <w:tcPr>
            <w:tcW w:w="1575" w:type="dxa"/>
            <w:vAlign w:val="center"/>
          </w:tcPr>
          <w:p>
            <w:pPr>
              <w:spacing w:line="360" w:lineRule="auto"/>
              <w:jc w:val="center"/>
              <w:rPr>
                <w:rFonts w:ascii="宋体" w:hAnsi="宋体" w:cs="宋体"/>
                <w:sz w:val="24"/>
                <w:highlight w:val="none"/>
              </w:rPr>
            </w:pPr>
          </w:p>
        </w:tc>
        <w:tc>
          <w:tcPr>
            <w:tcW w:w="1185"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宋体" w:hAnsi="宋体" w:cs="宋体"/>
                <w:highlight w:val="none"/>
              </w:rPr>
            </w:pPr>
          </w:p>
        </w:tc>
        <w:tc>
          <w:tcPr>
            <w:tcW w:w="4647" w:type="dxa"/>
            <w:vAlign w:val="center"/>
          </w:tcPr>
          <w:p>
            <w:pPr>
              <w:spacing w:line="360" w:lineRule="auto"/>
              <w:rPr>
                <w:rFonts w:ascii="宋体" w:hAnsi="宋体" w:cs="宋体"/>
                <w:highlight w:val="none"/>
              </w:rPr>
            </w:pPr>
          </w:p>
        </w:tc>
        <w:tc>
          <w:tcPr>
            <w:tcW w:w="1575" w:type="dxa"/>
            <w:vAlign w:val="center"/>
          </w:tcPr>
          <w:p>
            <w:pPr>
              <w:spacing w:line="360" w:lineRule="auto"/>
              <w:jc w:val="center"/>
              <w:rPr>
                <w:rFonts w:ascii="宋体" w:hAnsi="宋体" w:cs="宋体"/>
                <w:sz w:val="24"/>
                <w:highlight w:val="none"/>
              </w:rPr>
            </w:pPr>
          </w:p>
        </w:tc>
        <w:tc>
          <w:tcPr>
            <w:tcW w:w="1185" w:type="dxa"/>
            <w:vAlign w:val="center"/>
          </w:tcPr>
          <w:p>
            <w:pPr>
              <w:spacing w:line="360" w:lineRule="auto"/>
              <w:jc w:val="center"/>
              <w:rPr>
                <w:rFonts w:ascii="宋体" w:hAnsi="宋体" w:cs="宋体"/>
                <w:sz w:val="24"/>
                <w:highlight w:val="none"/>
              </w:rPr>
            </w:pPr>
          </w:p>
        </w:tc>
      </w:tr>
    </w:tbl>
    <w:p>
      <w:pPr>
        <w:rPr>
          <w:rFonts w:ascii="宋体" w:hAnsi="宋体" w:cs="宋体"/>
          <w:highlight w:val="none"/>
        </w:rPr>
      </w:pPr>
      <w:r>
        <w:rPr>
          <w:rFonts w:hint="eastAsia" w:ascii="宋体" w:hAnsi="宋体" w:cs="宋体"/>
          <w:highlight w:val="none"/>
        </w:rPr>
        <w:t>供应商须按第二章《采购需求》</w:t>
      </w:r>
      <w:r>
        <w:rPr>
          <w:rFonts w:hint="eastAsia" w:ascii="宋体" w:hAnsi="宋体" w:cs="宋体"/>
          <w:szCs w:val="21"/>
          <w:highlight w:val="none"/>
        </w:rPr>
        <w:t>“</w:t>
      </w:r>
      <w:r>
        <w:rPr>
          <w:rFonts w:hint="eastAsia" w:ascii="宋体" w:hAnsi="宋体" w:cs="宋体"/>
          <w:highlight w:val="none"/>
        </w:rPr>
        <w:t>一、重要商务要求一览表”逐项填写，并根据“第五章 政府采购合同主要条款”内容自行补充。</w:t>
      </w:r>
    </w:p>
    <w:p>
      <w:pPr>
        <w:rPr>
          <w:rFonts w:ascii="宋体" w:hAnsi="宋体" w:cs="宋体"/>
          <w:highlight w:val="none"/>
        </w:rPr>
      </w:pPr>
    </w:p>
    <w:p>
      <w:pPr>
        <w:spacing w:line="360" w:lineRule="auto"/>
        <w:rPr>
          <w:rFonts w:ascii="宋体" w:hAnsi="宋体" w:cs="宋体"/>
          <w:highlight w:val="none"/>
        </w:rPr>
      </w:pPr>
    </w:p>
    <w:p>
      <w:pPr>
        <w:spacing w:line="360" w:lineRule="auto"/>
        <w:ind w:firstLine="4095" w:firstLineChars="1950"/>
        <w:rPr>
          <w:rFonts w:ascii="宋体" w:hAnsi="宋体" w:cs="宋体"/>
          <w:highlight w:val="none"/>
        </w:rPr>
      </w:pPr>
      <w:r>
        <w:rPr>
          <w:rFonts w:hint="eastAsia" w:ascii="宋体" w:hAnsi="宋体" w:cs="宋体"/>
          <w:highlight w:val="none"/>
        </w:rPr>
        <w:t xml:space="preserve">法定代表人或授权代表（签名或印章）：        </w:t>
      </w:r>
    </w:p>
    <w:p>
      <w:pPr>
        <w:spacing w:line="360" w:lineRule="auto"/>
        <w:ind w:firstLine="5460" w:firstLineChars="2600"/>
        <w:rPr>
          <w:rFonts w:ascii="宋体" w:hAnsi="宋体" w:cs="宋体"/>
          <w:highlight w:val="none"/>
        </w:rPr>
      </w:pPr>
      <w:r>
        <w:rPr>
          <w:rFonts w:hint="eastAsia" w:ascii="宋体" w:hAnsi="宋体" w:cs="宋体"/>
          <w:highlight w:val="none"/>
        </w:rPr>
        <w:t xml:space="preserve">供应商盖章：         </w:t>
      </w:r>
    </w:p>
    <w:p>
      <w:pPr>
        <w:spacing w:line="360" w:lineRule="auto"/>
        <w:ind w:firstLine="5460" w:firstLineChars="2600"/>
        <w:rPr>
          <w:rFonts w:ascii="宋体" w:hAnsi="宋体" w:cs="宋体"/>
          <w:highlight w:val="none"/>
        </w:rPr>
      </w:pPr>
      <w:r>
        <w:rPr>
          <w:rFonts w:hint="eastAsia" w:ascii="宋体" w:hAnsi="宋体" w:cs="宋体"/>
          <w:highlight w:val="none"/>
        </w:rPr>
        <w:t xml:space="preserve">日  期：        </w:t>
      </w:r>
    </w:p>
    <w:p>
      <w:pPr>
        <w:widowControl w:val="0"/>
        <w:adjustRightInd w:val="0"/>
        <w:spacing w:line="360" w:lineRule="auto"/>
        <w:jc w:val="both"/>
        <w:textAlignment w:val="baseline"/>
        <w:rPr>
          <w:rFonts w:ascii="宋体" w:hAnsi="宋体" w:cs="宋体"/>
          <w:sz w:val="28"/>
          <w:szCs w:val="21"/>
          <w:highlight w:val="none"/>
        </w:rPr>
      </w:pPr>
      <w:r>
        <w:rPr>
          <w:rFonts w:hint="eastAsia" w:ascii="宋体" w:hAnsi="宋体" w:cs="宋体"/>
          <w:b/>
          <w:bCs/>
          <w:szCs w:val="21"/>
          <w:highlight w:val="none"/>
        </w:rPr>
        <w:t>注：联合体投标的，可只由联合体牵头人签章。</w:t>
      </w:r>
    </w:p>
    <w:p>
      <w:pPr>
        <w:snapToGrid w:val="0"/>
        <w:spacing w:beforeLines="50" w:after="50"/>
        <w:rPr>
          <w:rFonts w:ascii="宋体" w:hAnsi="宋体" w:cs="宋体"/>
          <w:szCs w:val="21"/>
          <w:highlight w:val="none"/>
        </w:rPr>
      </w:pPr>
      <w:r>
        <w:rPr>
          <w:rFonts w:hint="eastAsia" w:ascii="宋体" w:hAnsi="宋体" w:cs="宋体"/>
          <w:b/>
          <w:szCs w:val="21"/>
          <w:highlight w:val="none"/>
        </w:rPr>
        <w:br w:type="page"/>
      </w:r>
      <w:r>
        <w:rPr>
          <w:rFonts w:hint="eastAsia" w:ascii="宋体" w:hAnsi="宋体" w:cs="宋体"/>
          <w:b/>
          <w:szCs w:val="21"/>
          <w:highlight w:val="none"/>
        </w:rPr>
        <w:t>（4）</w:t>
      </w:r>
      <w:r>
        <w:rPr>
          <w:rFonts w:hint="eastAsia" w:ascii="宋体" w:hAnsi="宋体" w:cs="宋体"/>
          <w:b/>
          <w:bCs/>
          <w:szCs w:val="21"/>
          <w:highlight w:val="none"/>
        </w:rPr>
        <w:t>投标函格式</w:t>
      </w:r>
    </w:p>
    <w:p>
      <w:pPr>
        <w:jc w:val="center"/>
        <w:rPr>
          <w:rFonts w:ascii="宋体" w:hAnsi="宋体" w:cs="宋体"/>
          <w:b/>
          <w:sz w:val="32"/>
          <w:szCs w:val="32"/>
          <w:highlight w:val="none"/>
        </w:rPr>
      </w:pPr>
      <w:r>
        <w:rPr>
          <w:rFonts w:hint="eastAsia" w:ascii="宋体" w:hAnsi="宋体" w:cs="宋体"/>
          <w:b/>
          <w:sz w:val="32"/>
          <w:szCs w:val="32"/>
          <w:highlight w:val="none"/>
        </w:rPr>
        <w:t>投 标 函</w:t>
      </w:r>
    </w:p>
    <w:p>
      <w:pPr>
        <w:snapToGrid w:val="0"/>
        <w:spacing w:beforeLines="50" w:after="50"/>
        <w:jc w:val="center"/>
        <w:rPr>
          <w:rFonts w:ascii="宋体" w:hAnsi="宋体" w:cs="宋体"/>
          <w:b/>
          <w:szCs w:val="21"/>
          <w:highlight w:val="none"/>
        </w:rPr>
      </w:pPr>
    </w:p>
    <w:p>
      <w:pPr>
        <w:snapToGrid w:val="0"/>
        <w:spacing w:line="360" w:lineRule="auto"/>
        <w:rPr>
          <w:rFonts w:ascii="宋体" w:hAnsi="宋体" w:cs="宋体"/>
          <w:szCs w:val="21"/>
          <w:highlight w:val="none"/>
        </w:rPr>
      </w:pPr>
      <w:r>
        <w:rPr>
          <w:rFonts w:hint="eastAsia" w:ascii="宋体" w:hAnsi="宋体" w:cs="宋体"/>
          <w:szCs w:val="21"/>
          <w:highlight w:val="none"/>
        </w:rPr>
        <w:t>致：（招标采购单位名称）：</w:t>
      </w:r>
    </w:p>
    <w:p>
      <w:pPr>
        <w:snapToGrid w:val="0"/>
        <w:spacing w:line="360" w:lineRule="auto"/>
        <w:ind w:firstLine="480"/>
        <w:rPr>
          <w:rFonts w:ascii="宋体" w:hAnsi="宋体" w:cs="宋体"/>
          <w:szCs w:val="21"/>
          <w:highlight w:val="none"/>
        </w:rPr>
      </w:pPr>
      <w:r>
        <w:rPr>
          <w:rFonts w:hint="eastAsia" w:ascii="宋体" w:hAnsi="宋体" w:cs="宋体"/>
          <w:szCs w:val="21"/>
          <w:highlight w:val="none"/>
        </w:rPr>
        <w:t>根据贵方为项目的公开招标公告/投标邀请书（项目编号：），签字代表（全名）经正式授权并代表供应商（供应商名称）提交投标文件。</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据此函，签字代表宣布同意如下：</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1.供应商已详细审查全部“招标文件”，包括修改文件（如有的话）以及全部参考资料和有关附件，已经了解我方对于招标文件、采购过程、采购结果有依法进行询问、质疑、投诉的权利及相关渠道和要求。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2.供应商在投标之前已经与贵方进行了充分的沟通，完全理解并接受招标文件的各项规定和要求，对招标文件的合理性、合法性不再有异议。</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3.本投标有效期自开标日起90个日历日。</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4.如中标，本投标文件至本项目合同履行完毕止均保持有效，本供应商将按“招标文件”及政府采购法律、法规的规定履行合同责任和义务。</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5.供应商同意按照贵方要求提供与投标有关的一切数据或资料。</w:t>
      </w:r>
    </w:p>
    <w:p>
      <w:pPr>
        <w:snapToGrid w:val="0"/>
        <w:spacing w:line="360" w:lineRule="auto"/>
        <w:ind w:firstLine="420" w:firstLineChars="200"/>
        <w:rPr>
          <w:rFonts w:ascii="宋体" w:hAnsi="宋体" w:cs="宋体"/>
          <w:szCs w:val="21"/>
          <w:highlight w:val="none"/>
          <w:lang w:val="zh-CN"/>
        </w:rPr>
      </w:pPr>
      <w:r>
        <w:rPr>
          <w:rFonts w:hint="eastAsia" w:ascii="宋体" w:hAnsi="宋体" w:cs="宋体"/>
          <w:szCs w:val="21"/>
          <w:highlight w:val="none"/>
        </w:rPr>
        <w:t>6.</w:t>
      </w:r>
      <w:r>
        <w:rPr>
          <w:rFonts w:hint="eastAsia" w:ascii="宋体" w:hAnsi="宋体" w:cs="宋体"/>
          <w:szCs w:val="21"/>
          <w:highlight w:val="none"/>
          <w:lang w:val="zh-CN"/>
        </w:rPr>
        <w:t>我们郑重声明：本投标文件提供的情况和文件完全是真实的。</w:t>
      </w:r>
    </w:p>
    <w:p>
      <w:pPr>
        <w:snapToGrid w:val="0"/>
        <w:spacing w:line="360" w:lineRule="auto"/>
        <w:ind w:firstLine="420" w:firstLineChars="200"/>
        <w:rPr>
          <w:rFonts w:ascii="宋体" w:hAnsi="宋体" w:cs="宋体"/>
          <w:szCs w:val="21"/>
          <w:highlight w:val="none"/>
          <w:lang w:val="zh-CN"/>
        </w:rPr>
      </w:pPr>
      <w:r>
        <w:rPr>
          <w:rFonts w:hint="eastAsia" w:ascii="宋体" w:hAnsi="宋体" w:cs="宋体"/>
          <w:szCs w:val="21"/>
          <w:highlight w:val="none"/>
        </w:rPr>
        <w:t>7.</w:t>
      </w:r>
      <w:r>
        <w:rPr>
          <w:rFonts w:hint="eastAsia" w:ascii="宋体" w:hAnsi="宋体" w:cs="宋体"/>
          <w:szCs w:val="21"/>
          <w:highlight w:val="none"/>
          <w:lang w:val="zh-CN"/>
        </w:rPr>
        <w:t>按照</w:t>
      </w:r>
      <w:r>
        <w:rPr>
          <w:rFonts w:hint="eastAsia" w:ascii="宋体" w:hAnsi="宋体" w:cs="宋体"/>
          <w:szCs w:val="21"/>
          <w:highlight w:val="none"/>
        </w:rPr>
        <w:t>招标文件</w:t>
      </w:r>
      <w:r>
        <w:rPr>
          <w:rFonts w:hint="eastAsia" w:ascii="宋体" w:hAnsi="宋体" w:cs="宋体"/>
          <w:szCs w:val="21"/>
          <w:highlight w:val="none"/>
          <w:lang w:val="zh-CN"/>
        </w:rPr>
        <w:t>的规定，在中标后向</w:t>
      </w:r>
      <w:r>
        <w:rPr>
          <w:rFonts w:hint="eastAsia" w:ascii="宋体" w:hAnsi="宋体" w:cs="宋体"/>
          <w:szCs w:val="21"/>
          <w:highlight w:val="none"/>
        </w:rPr>
        <w:t>采购代理机构</w:t>
      </w:r>
      <w:r>
        <w:rPr>
          <w:rFonts w:hint="eastAsia" w:ascii="宋体" w:hAnsi="宋体" w:cs="宋体"/>
          <w:szCs w:val="21"/>
          <w:highlight w:val="none"/>
          <w:lang w:val="zh-CN"/>
        </w:rPr>
        <w:t>一次性支付招标代理费。</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8.与本投标有关的一切正式往来信函请寄：</w:t>
      </w:r>
    </w:p>
    <w:p>
      <w:pPr>
        <w:snapToGrid w:val="0"/>
        <w:spacing w:line="360" w:lineRule="auto"/>
        <w:rPr>
          <w:rFonts w:ascii="宋体" w:hAnsi="宋体" w:cs="宋体"/>
          <w:szCs w:val="21"/>
          <w:highlight w:val="none"/>
        </w:rPr>
      </w:pPr>
      <w:r>
        <w:rPr>
          <w:rFonts w:hint="eastAsia" w:ascii="宋体" w:hAnsi="宋体" w:cs="宋体"/>
          <w:szCs w:val="21"/>
          <w:highlight w:val="none"/>
        </w:rPr>
        <w:t>地址：邮编：__________   电话：______________</w:t>
      </w:r>
    </w:p>
    <w:p>
      <w:pPr>
        <w:snapToGrid w:val="0"/>
        <w:spacing w:line="360" w:lineRule="auto"/>
        <w:rPr>
          <w:rFonts w:ascii="宋体" w:hAnsi="宋体" w:cs="宋体"/>
          <w:szCs w:val="21"/>
          <w:highlight w:val="none"/>
        </w:rPr>
      </w:pPr>
      <w:r>
        <w:rPr>
          <w:rFonts w:hint="eastAsia" w:ascii="宋体" w:hAnsi="宋体" w:cs="宋体"/>
          <w:szCs w:val="21"/>
          <w:highlight w:val="none"/>
        </w:rPr>
        <w:t>传真：______________供应商代表姓名 ___________  职务：_____________</w:t>
      </w:r>
    </w:p>
    <w:p>
      <w:pPr>
        <w:snapToGrid w:val="0"/>
        <w:spacing w:line="360" w:lineRule="auto"/>
        <w:rPr>
          <w:rFonts w:ascii="宋体" w:hAnsi="宋体" w:cs="宋体"/>
          <w:szCs w:val="21"/>
          <w:highlight w:val="none"/>
        </w:rPr>
      </w:pPr>
      <w:r>
        <w:rPr>
          <w:rFonts w:hint="eastAsia" w:ascii="宋体" w:hAnsi="宋体" w:cs="宋体"/>
          <w:szCs w:val="21"/>
          <w:highlight w:val="none"/>
        </w:rPr>
        <w:t>供应商名称(公章):___________________</w:t>
      </w:r>
    </w:p>
    <w:p>
      <w:pPr>
        <w:snapToGrid w:val="0"/>
        <w:spacing w:line="360" w:lineRule="auto"/>
        <w:rPr>
          <w:rFonts w:ascii="宋体" w:hAnsi="宋体" w:cs="宋体"/>
          <w:szCs w:val="21"/>
          <w:highlight w:val="none"/>
        </w:rPr>
      </w:pPr>
      <w:r>
        <w:rPr>
          <w:rFonts w:hint="eastAsia" w:ascii="宋体" w:hAnsi="宋体" w:cs="宋体"/>
          <w:szCs w:val="21"/>
          <w:highlight w:val="none"/>
        </w:rPr>
        <w:t>开户银行：   银行账号：</w:t>
      </w:r>
    </w:p>
    <w:p>
      <w:pPr>
        <w:snapToGrid w:val="0"/>
        <w:spacing w:before="50" w:afterLines="50"/>
        <w:rPr>
          <w:rFonts w:ascii="宋体" w:hAnsi="宋体" w:cs="宋体"/>
          <w:szCs w:val="21"/>
          <w:highlight w:val="none"/>
        </w:rPr>
      </w:pPr>
      <w:r>
        <w:rPr>
          <w:rFonts w:hint="eastAsia" w:ascii="宋体" w:hAnsi="宋体" w:cs="宋体"/>
          <w:szCs w:val="21"/>
          <w:highlight w:val="none"/>
        </w:rPr>
        <w:t>法定代表人或授权代表</w:t>
      </w:r>
      <w:r>
        <w:rPr>
          <w:rFonts w:hint="eastAsia" w:ascii="宋体" w:hAnsi="宋体" w:cs="宋体"/>
          <w:highlight w:val="none"/>
        </w:rPr>
        <w:t>（签名或印章）</w:t>
      </w:r>
      <w:r>
        <w:rPr>
          <w:rFonts w:hint="eastAsia" w:ascii="宋体" w:hAnsi="宋体" w:cs="宋体"/>
          <w:szCs w:val="21"/>
          <w:highlight w:val="none"/>
        </w:rPr>
        <w:t>:___________       日期:_____年___月___日</w:t>
      </w:r>
    </w:p>
    <w:p>
      <w:pPr>
        <w:snapToGrid w:val="0"/>
        <w:rPr>
          <w:rFonts w:ascii="宋体" w:hAnsi="宋体" w:cs="宋体"/>
          <w:szCs w:val="21"/>
          <w:highlight w:val="none"/>
        </w:rPr>
      </w:pPr>
    </w:p>
    <w:p>
      <w:pPr>
        <w:snapToGrid w:val="0"/>
        <w:rPr>
          <w:rFonts w:ascii="宋体" w:hAnsi="宋体" w:cs="宋体"/>
          <w:szCs w:val="21"/>
          <w:highlight w:val="none"/>
        </w:rPr>
      </w:pPr>
    </w:p>
    <w:p>
      <w:pPr>
        <w:widowControl w:val="0"/>
        <w:adjustRightInd w:val="0"/>
        <w:spacing w:line="360" w:lineRule="auto"/>
        <w:jc w:val="both"/>
        <w:textAlignment w:val="baseline"/>
        <w:rPr>
          <w:rFonts w:ascii="宋体" w:hAnsi="宋体" w:cs="宋体"/>
          <w:sz w:val="28"/>
          <w:szCs w:val="21"/>
          <w:highlight w:val="none"/>
        </w:rPr>
      </w:pPr>
      <w:r>
        <w:rPr>
          <w:rFonts w:hint="eastAsia" w:ascii="宋体" w:hAnsi="宋体" w:cs="宋体"/>
          <w:b/>
          <w:bCs/>
          <w:szCs w:val="21"/>
          <w:highlight w:val="none"/>
        </w:rPr>
        <w:t>注：联合体投标的，可只由联合体牵头人签章。</w:t>
      </w:r>
    </w:p>
    <w:p>
      <w:pPr>
        <w:snapToGrid w:val="0"/>
        <w:spacing w:line="360" w:lineRule="auto"/>
        <w:rPr>
          <w:rFonts w:ascii="宋体" w:hAnsi="宋体" w:cs="宋体"/>
          <w:b/>
          <w:szCs w:val="21"/>
          <w:highlight w:val="none"/>
        </w:rPr>
      </w:pPr>
      <w:r>
        <w:rPr>
          <w:rFonts w:hint="eastAsia" w:ascii="宋体" w:hAnsi="宋体" w:cs="宋体"/>
          <w:szCs w:val="21"/>
          <w:highlight w:val="none"/>
        </w:rPr>
        <w:br w:type="page"/>
      </w:r>
      <w:r>
        <w:rPr>
          <w:rFonts w:hint="eastAsia" w:ascii="宋体" w:hAnsi="宋体" w:cs="宋体"/>
          <w:b/>
          <w:szCs w:val="21"/>
          <w:highlight w:val="none"/>
        </w:rPr>
        <w:t>（5）法定代表人身份证明或法定代表人授权委托书格式</w:t>
      </w:r>
    </w:p>
    <w:p>
      <w:pPr>
        <w:spacing w:line="360" w:lineRule="auto"/>
        <w:jc w:val="center"/>
        <w:rPr>
          <w:rFonts w:ascii="宋体" w:hAnsi="宋体" w:cs="宋体"/>
          <w:b/>
          <w:sz w:val="32"/>
          <w:szCs w:val="32"/>
          <w:highlight w:val="none"/>
        </w:rPr>
      </w:pPr>
      <w:r>
        <w:rPr>
          <w:rFonts w:hint="eastAsia" w:ascii="宋体" w:hAnsi="宋体" w:cs="宋体"/>
          <w:b/>
          <w:sz w:val="32"/>
          <w:szCs w:val="32"/>
          <w:highlight w:val="none"/>
        </w:rPr>
        <w:t>法定代表人身份证明</w:t>
      </w:r>
    </w:p>
    <w:p>
      <w:pPr>
        <w:spacing w:line="480" w:lineRule="auto"/>
        <w:ind w:firstLine="420" w:firstLineChars="200"/>
        <w:rPr>
          <w:rFonts w:ascii="宋体" w:hAnsi="宋体" w:cs="宋体"/>
          <w:szCs w:val="21"/>
          <w:highlight w:val="none"/>
        </w:rPr>
      </w:pPr>
    </w:p>
    <w:p>
      <w:pPr>
        <w:spacing w:line="480" w:lineRule="auto"/>
        <w:ind w:firstLine="420" w:firstLineChars="200"/>
        <w:rPr>
          <w:rFonts w:ascii="宋体" w:hAnsi="宋体" w:cs="宋体"/>
          <w:szCs w:val="21"/>
          <w:highlight w:val="none"/>
        </w:rPr>
      </w:pPr>
      <w:r>
        <w:rPr>
          <w:rFonts w:hint="eastAsia" w:ascii="宋体" w:hAnsi="宋体" w:cs="宋体"/>
          <w:szCs w:val="21"/>
          <w:highlight w:val="none"/>
        </w:rPr>
        <w:t>供应商名称：</w:t>
      </w:r>
    </w:p>
    <w:p>
      <w:pPr>
        <w:spacing w:line="480" w:lineRule="auto"/>
        <w:ind w:firstLine="420" w:firstLineChars="200"/>
        <w:rPr>
          <w:rFonts w:ascii="宋体" w:hAnsi="宋体" w:cs="宋体"/>
          <w:szCs w:val="21"/>
          <w:highlight w:val="none"/>
        </w:rPr>
      </w:pPr>
      <w:r>
        <w:rPr>
          <w:rFonts w:hint="eastAsia" w:ascii="宋体" w:hAnsi="宋体" w:cs="宋体"/>
          <w:szCs w:val="21"/>
          <w:highlight w:val="none"/>
        </w:rPr>
        <w:t>单位性质：</w:t>
      </w:r>
    </w:p>
    <w:p>
      <w:pPr>
        <w:spacing w:line="480" w:lineRule="auto"/>
        <w:ind w:firstLine="420" w:firstLineChars="200"/>
        <w:rPr>
          <w:rFonts w:ascii="宋体" w:hAnsi="宋体" w:cs="宋体"/>
          <w:szCs w:val="21"/>
          <w:highlight w:val="none"/>
        </w:rPr>
      </w:pPr>
      <w:r>
        <w:rPr>
          <w:rFonts w:hint="eastAsia" w:ascii="宋体" w:hAnsi="宋体" w:cs="宋体"/>
          <w:szCs w:val="21"/>
          <w:highlight w:val="none"/>
        </w:rPr>
        <w:t>地址：</w:t>
      </w:r>
    </w:p>
    <w:p>
      <w:pPr>
        <w:spacing w:line="480" w:lineRule="auto"/>
        <w:ind w:firstLine="420" w:firstLineChars="200"/>
        <w:rPr>
          <w:rFonts w:ascii="宋体" w:hAnsi="宋体" w:cs="宋体"/>
          <w:szCs w:val="21"/>
          <w:highlight w:val="none"/>
        </w:rPr>
      </w:pPr>
      <w:r>
        <w:rPr>
          <w:rFonts w:hint="eastAsia" w:ascii="宋体" w:hAnsi="宋体" w:cs="宋体"/>
          <w:szCs w:val="21"/>
          <w:highlight w:val="none"/>
        </w:rPr>
        <w:t>成立时间：年月＿日</w:t>
      </w:r>
    </w:p>
    <w:p>
      <w:pPr>
        <w:spacing w:line="480" w:lineRule="auto"/>
        <w:ind w:firstLine="420" w:firstLineChars="200"/>
        <w:rPr>
          <w:rFonts w:ascii="宋体" w:hAnsi="宋体" w:cs="宋体"/>
          <w:szCs w:val="21"/>
          <w:highlight w:val="none"/>
        </w:rPr>
      </w:pPr>
      <w:r>
        <w:rPr>
          <w:rFonts w:hint="eastAsia" w:ascii="宋体" w:hAnsi="宋体" w:cs="宋体"/>
          <w:szCs w:val="21"/>
          <w:highlight w:val="none"/>
        </w:rPr>
        <w:t>经营期限：</w:t>
      </w:r>
    </w:p>
    <w:p>
      <w:pPr>
        <w:spacing w:line="480" w:lineRule="auto"/>
        <w:ind w:firstLine="420" w:firstLineChars="200"/>
        <w:rPr>
          <w:rFonts w:ascii="宋体" w:hAnsi="宋体" w:cs="宋体"/>
          <w:szCs w:val="21"/>
          <w:highlight w:val="none"/>
        </w:rPr>
      </w:pPr>
      <w:r>
        <w:rPr>
          <w:rFonts w:hint="eastAsia" w:ascii="宋体" w:hAnsi="宋体" w:cs="宋体"/>
          <w:szCs w:val="21"/>
          <w:highlight w:val="none"/>
        </w:rPr>
        <w:t>姓名：性别：年龄：</w:t>
      </w:r>
      <w:r>
        <w:rPr>
          <w:rFonts w:hint="eastAsia" w:ascii="宋体" w:hAnsi="宋体" w:cs="宋体"/>
          <w:szCs w:val="21"/>
          <w:highlight w:val="none"/>
          <w:u w:val="single"/>
        </w:rPr>
        <w:t xml:space="preserve">    周岁  </w:t>
      </w:r>
      <w:r>
        <w:rPr>
          <w:rFonts w:hint="eastAsia" w:ascii="宋体" w:hAnsi="宋体" w:cs="宋体"/>
          <w:szCs w:val="21"/>
          <w:highlight w:val="none"/>
        </w:rPr>
        <w:t>职务：_</w:t>
      </w:r>
    </w:p>
    <w:p>
      <w:pPr>
        <w:spacing w:line="480" w:lineRule="auto"/>
        <w:ind w:firstLine="420" w:firstLineChars="200"/>
        <w:rPr>
          <w:rFonts w:ascii="宋体" w:hAnsi="宋体" w:cs="宋体"/>
          <w:szCs w:val="21"/>
          <w:highlight w:val="none"/>
          <w:u w:val="single"/>
        </w:rPr>
      </w:pPr>
      <w:r>
        <w:rPr>
          <w:rFonts w:hint="eastAsia" w:ascii="宋体" w:hAnsi="宋体" w:cs="宋体"/>
          <w:szCs w:val="21"/>
          <w:highlight w:val="none"/>
        </w:rPr>
        <w:t>身份证号码：</w:t>
      </w:r>
    </w:p>
    <w:p>
      <w:pPr>
        <w:spacing w:line="480" w:lineRule="auto"/>
        <w:ind w:firstLine="420" w:firstLineChars="200"/>
        <w:rPr>
          <w:rFonts w:ascii="宋体" w:hAnsi="宋体" w:cs="宋体"/>
          <w:szCs w:val="21"/>
          <w:highlight w:val="none"/>
        </w:rPr>
      </w:pPr>
      <w:r>
        <w:rPr>
          <w:rFonts w:hint="eastAsia" w:ascii="宋体" w:hAnsi="宋体" w:cs="宋体"/>
          <w:szCs w:val="21"/>
          <w:highlight w:val="none"/>
        </w:rPr>
        <w:t>系（供应商名称）的法定代表人。</w:t>
      </w:r>
    </w:p>
    <w:p>
      <w:pPr>
        <w:spacing w:line="480" w:lineRule="auto"/>
        <w:ind w:firstLine="840" w:firstLineChars="400"/>
        <w:rPr>
          <w:rFonts w:ascii="宋体" w:hAnsi="宋体" w:cs="宋体"/>
          <w:szCs w:val="21"/>
          <w:highlight w:val="none"/>
        </w:rPr>
      </w:pPr>
      <w:r>
        <w:rPr>
          <w:rFonts w:hint="eastAsia" w:ascii="宋体" w:hAnsi="宋体" w:cs="宋体"/>
          <w:szCs w:val="21"/>
          <w:highlight w:val="none"/>
        </w:rPr>
        <w:t>特此证明。</w:t>
      </w: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wordWrap w:val="0"/>
        <w:spacing w:line="360" w:lineRule="auto"/>
        <w:jc w:val="right"/>
        <w:rPr>
          <w:rFonts w:ascii="宋体" w:hAnsi="宋体" w:cs="宋体"/>
          <w:szCs w:val="21"/>
          <w:highlight w:val="none"/>
        </w:rPr>
      </w:pPr>
      <w:r>
        <w:rPr>
          <w:rFonts w:hint="eastAsia" w:ascii="宋体" w:hAnsi="宋体" w:cs="宋体"/>
          <w:szCs w:val="21"/>
          <w:highlight w:val="none"/>
        </w:rPr>
        <w:t>供应商：（盖单位公章）</w:t>
      </w:r>
    </w:p>
    <w:p>
      <w:pPr>
        <w:spacing w:line="360" w:lineRule="auto"/>
        <w:ind w:firstLine="4515" w:firstLineChars="2150"/>
        <w:rPr>
          <w:rFonts w:ascii="宋体" w:hAnsi="宋体" w:cs="宋体"/>
          <w:szCs w:val="21"/>
          <w:highlight w:val="none"/>
          <w:u w:val="single"/>
        </w:rPr>
      </w:pPr>
    </w:p>
    <w:p>
      <w:pPr>
        <w:spacing w:line="360" w:lineRule="auto"/>
        <w:ind w:firstLine="3675" w:firstLineChars="1750"/>
        <w:rPr>
          <w:rFonts w:ascii="宋体" w:hAnsi="宋体" w:cs="宋体"/>
          <w:szCs w:val="21"/>
          <w:highlight w:val="none"/>
        </w:rPr>
      </w:pPr>
      <w:r>
        <w:rPr>
          <w:rFonts w:hint="eastAsia" w:ascii="宋体" w:hAnsi="宋体" w:cs="宋体"/>
          <w:szCs w:val="21"/>
          <w:highlight w:val="none"/>
        </w:rPr>
        <w:t>年月日</w:t>
      </w:r>
    </w:p>
    <w:p>
      <w:pPr>
        <w:spacing w:line="360" w:lineRule="auto"/>
        <w:rPr>
          <w:rFonts w:ascii="宋体" w:hAnsi="宋体" w:cs="宋体"/>
          <w:sz w:val="24"/>
          <w:highlight w:val="none"/>
        </w:rPr>
      </w:pPr>
    </w:p>
    <w:p>
      <w:pPr>
        <w:spacing w:line="360" w:lineRule="auto"/>
        <w:rPr>
          <w:rFonts w:ascii="宋体" w:hAnsi="宋体" w:cs="宋体"/>
          <w:b/>
          <w:szCs w:val="21"/>
          <w:highlight w:val="none"/>
        </w:rPr>
      </w:pPr>
    </w:p>
    <w:p>
      <w:pPr>
        <w:spacing w:line="360" w:lineRule="auto"/>
        <w:rPr>
          <w:rFonts w:ascii="宋体" w:hAnsi="宋体" w:cs="宋体"/>
          <w:b/>
          <w:szCs w:val="21"/>
          <w:highlight w:val="none"/>
        </w:rPr>
      </w:pPr>
    </w:p>
    <w:p>
      <w:pPr>
        <w:snapToGrid w:val="0"/>
        <w:rPr>
          <w:rFonts w:ascii="宋体" w:hAnsi="宋体" w:cs="宋体"/>
          <w:b/>
          <w:szCs w:val="21"/>
          <w:highlight w:val="none"/>
        </w:rPr>
      </w:pPr>
      <w:r>
        <w:rPr>
          <w:rFonts w:hint="eastAsia" w:ascii="宋体" w:hAnsi="宋体" w:cs="宋体"/>
          <w:b/>
          <w:szCs w:val="21"/>
          <w:highlight w:val="none"/>
        </w:rPr>
        <w:t>附法定代表人身份证复印件（正反面）：</w:t>
      </w:r>
    </w:p>
    <w:p>
      <w:pPr>
        <w:pStyle w:val="20"/>
        <w:rPr>
          <w:rFonts w:ascii="宋体" w:hAnsi="宋体" w:cs="宋体"/>
          <w:b/>
          <w:szCs w:val="21"/>
          <w:highlight w:val="none"/>
        </w:rPr>
      </w:pPr>
    </w:p>
    <w:p>
      <w:pPr>
        <w:widowControl w:val="0"/>
        <w:adjustRightInd w:val="0"/>
        <w:spacing w:line="360" w:lineRule="auto"/>
        <w:jc w:val="both"/>
        <w:textAlignment w:val="baseline"/>
        <w:rPr>
          <w:rFonts w:ascii="宋体" w:hAnsi="宋体" w:cs="宋体"/>
          <w:sz w:val="28"/>
          <w:szCs w:val="21"/>
          <w:highlight w:val="none"/>
        </w:rPr>
      </w:pPr>
      <w:r>
        <w:rPr>
          <w:rFonts w:hint="eastAsia" w:ascii="宋体" w:hAnsi="宋体" w:cs="宋体"/>
          <w:b/>
          <w:bCs/>
          <w:szCs w:val="21"/>
          <w:highlight w:val="none"/>
        </w:rPr>
        <w:t>注：联合体投标的，可只由联合体牵头人</w:t>
      </w:r>
      <w:r>
        <w:rPr>
          <w:rFonts w:hint="eastAsia" w:ascii="宋体" w:hAnsi="宋体" w:cs="宋体"/>
          <w:b/>
          <w:bCs/>
          <w:szCs w:val="21"/>
          <w:highlight w:val="none"/>
          <w:lang w:val="en-US" w:eastAsia="zh-CN"/>
        </w:rPr>
        <w:t>提供并签章</w:t>
      </w:r>
      <w:r>
        <w:rPr>
          <w:rFonts w:hint="eastAsia" w:ascii="宋体" w:hAnsi="宋体" w:cs="宋体"/>
          <w:b/>
          <w:bCs/>
          <w:szCs w:val="21"/>
          <w:highlight w:val="none"/>
        </w:rPr>
        <w:t>。</w:t>
      </w:r>
    </w:p>
    <w:p>
      <w:pPr>
        <w:jc w:val="center"/>
        <w:rPr>
          <w:rFonts w:ascii="宋体" w:hAnsi="宋体" w:cs="宋体"/>
          <w:b/>
          <w:sz w:val="32"/>
          <w:szCs w:val="32"/>
          <w:highlight w:val="none"/>
        </w:rPr>
      </w:pPr>
      <w:r>
        <w:rPr>
          <w:rFonts w:hint="eastAsia" w:ascii="宋体" w:hAnsi="宋体" w:cs="宋体"/>
          <w:b/>
          <w:szCs w:val="21"/>
          <w:highlight w:val="none"/>
        </w:rPr>
        <w:br w:type="page"/>
      </w:r>
      <w:r>
        <w:rPr>
          <w:rFonts w:hint="eastAsia" w:ascii="宋体" w:hAnsi="宋体" w:cs="宋体"/>
          <w:b/>
          <w:sz w:val="32"/>
          <w:szCs w:val="32"/>
          <w:highlight w:val="none"/>
        </w:rPr>
        <w:t>法定代表人授权委托书</w:t>
      </w:r>
    </w:p>
    <w:p>
      <w:pPr>
        <w:jc w:val="center"/>
        <w:rPr>
          <w:rFonts w:ascii="宋体" w:hAnsi="宋体" w:cs="宋体"/>
          <w:b/>
          <w:sz w:val="32"/>
          <w:szCs w:val="32"/>
          <w:highlight w:val="none"/>
        </w:rPr>
      </w:pPr>
      <w:r>
        <w:rPr>
          <w:rFonts w:hint="eastAsia" w:ascii="宋体" w:hAnsi="宋体" w:cs="宋体"/>
          <w:bCs/>
          <w:sz w:val="24"/>
          <w:highlight w:val="none"/>
        </w:rPr>
        <w:t>（法定代表人来投标的，此表不用）</w:t>
      </w:r>
    </w:p>
    <w:p>
      <w:pPr>
        <w:snapToGrid w:val="0"/>
        <w:spacing w:line="360" w:lineRule="auto"/>
        <w:rPr>
          <w:rFonts w:ascii="宋体" w:hAnsi="宋体" w:cs="宋体"/>
          <w:bCs/>
          <w:sz w:val="24"/>
          <w:highlight w:val="none"/>
        </w:rPr>
      </w:pPr>
    </w:p>
    <w:p>
      <w:pPr>
        <w:snapToGrid w:val="0"/>
        <w:spacing w:line="360" w:lineRule="auto"/>
        <w:rPr>
          <w:rFonts w:ascii="宋体" w:hAnsi="宋体" w:cs="宋体"/>
          <w:szCs w:val="21"/>
          <w:highlight w:val="none"/>
        </w:rPr>
      </w:pPr>
      <w:r>
        <w:rPr>
          <w:rFonts w:hint="eastAsia" w:ascii="宋体" w:hAnsi="宋体" w:cs="宋体"/>
          <w:bCs/>
          <w:szCs w:val="21"/>
          <w:highlight w:val="none"/>
        </w:rPr>
        <w:t>致：</w:t>
      </w:r>
      <w:r>
        <w:rPr>
          <w:rFonts w:hint="eastAsia" w:ascii="宋体" w:hAnsi="宋体" w:cs="宋体"/>
          <w:szCs w:val="21"/>
          <w:highlight w:val="none"/>
        </w:rPr>
        <w:t>（采购人名称）：</w:t>
      </w:r>
    </w:p>
    <w:p>
      <w:pPr>
        <w:snapToGrid w:val="0"/>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我（姓名）系（供应商名称）的法定代表人，现授权委托本单位在职职工 （姓名）以我方的名义参加</w:t>
      </w:r>
      <w:r>
        <w:rPr>
          <w:rFonts w:hint="eastAsia" w:ascii="宋体" w:hAnsi="宋体" w:cs="宋体"/>
          <w:szCs w:val="21"/>
          <w:highlight w:val="none"/>
          <w:u w:val="single"/>
        </w:rPr>
        <w:t xml:space="preserve">                       政府采购 </w:t>
      </w:r>
      <w:r>
        <w:rPr>
          <w:rFonts w:hint="eastAsia" w:ascii="宋体" w:hAnsi="宋体" w:cs="宋体"/>
          <w:szCs w:val="21"/>
          <w:highlight w:val="none"/>
        </w:rPr>
        <w:t>项目的投标活动，并代表我方全权办理针对上述项目的投标、开标、评标、签约等具体事务和签署相关文件。</w:t>
      </w:r>
    </w:p>
    <w:p>
      <w:pPr>
        <w:snapToGrid w:val="0"/>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我方对授权代表的签名事项负全部责任。</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在撤销授权的书面通知以前，本授权书一直有效。授权代表在授权书有效期内签署的所有文件不因授权的撤销而失效。</w:t>
      </w:r>
    </w:p>
    <w:p>
      <w:pPr>
        <w:snapToGrid w:val="0"/>
        <w:spacing w:line="360" w:lineRule="auto"/>
        <w:ind w:firstLine="480"/>
        <w:rPr>
          <w:rFonts w:ascii="宋体" w:hAnsi="宋体" w:cs="宋体"/>
          <w:szCs w:val="21"/>
          <w:highlight w:val="none"/>
        </w:rPr>
      </w:pPr>
      <w:r>
        <w:rPr>
          <w:rFonts w:hint="eastAsia" w:ascii="宋体" w:hAnsi="宋体" w:cs="宋体"/>
          <w:szCs w:val="21"/>
          <w:highlight w:val="none"/>
        </w:rPr>
        <w:t>授权代表无转委托权，特此委托。</w:t>
      </w:r>
    </w:p>
    <w:p>
      <w:pPr>
        <w:snapToGrid w:val="0"/>
        <w:spacing w:line="360" w:lineRule="auto"/>
        <w:rPr>
          <w:rFonts w:ascii="宋体" w:hAnsi="宋体" w:cs="宋体"/>
          <w:szCs w:val="21"/>
          <w:highlight w:val="none"/>
        </w:rPr>
      </w:pPr>
    </w:p>
    <w:p>
      <w:pPr>
        <w:snapToGrid w:val="0"/>
        <w:spacing w:line="360" w:lineRule="auto"/>
        <w:rPr>
          <w:rFonts w:ascii="宋体" w:hAnsi="宋体" w:cs="宋体"/>
          <w:szCs w:val="21"/>
          <w:highlight w:val="none"/>
        </w:rPr>
      </w:pPr>
    </w:p>
    <w:p>
      <w:pPr>
        <w:snapToGrid w:val="0"/>
        <w:spacing w:line="360" w:lineRule="auto"/>
        <w:rPr>
          <w:rFonts w:ascii="宋体" w:hAnsi="宋体" w:cs="宋体"/>
          <w:szCs w:val="21"/>
          <w:highlight w:val="none"/>
          <w:u w:val="single"/>
        </w:rPr>
      </w:pPr>
      <w:r>
        <w:rPr>
          <w:rFonts w:hint="eastAsia" w:ascii="宋体" w:hAnsi="宋体" w:cs="宋体"/>
          <w:szCs w:val="21"/>
          <w:highlight w:val="none"/>
        </w:rPr>
        <w:t>授权代表</w:t>
      </w:r>
      <w:r>
        <w:rPr>
          <w:rFonts w:hint="eastAsia" w:ascii="宋体" w:hAnsi="宋体" w:cs="宋体"/>
          <w:highlight w:val="none"/>
        </w:rPr>
        <w:t>（签名或印章）</w:t>
      </w:r>
      <w:r>
        <w:rPr>
          <w:rFonts w:hint="eastAsia" w:ascii="宋体" w:hAnsi="宋体" w:cs="宋体"/>
          <w:szCs w:val="21"/>
          <w:highlight w:val="none"/>
        </w:rPr>
        <w:t>：                 法定代表人</w:t>
      </w:r>
      <w:r>
        <w:rPr>
          <w:rFonts w:hint="eastAsia" w:ascii="宋体" w:hAnsi="宋体" w:cs="宋体"/>
          <w:highlight w:val="none"/>
        </w:rPr>
        <w:t>（签名或印章）</w:t>
      </w:r>
      <w:r>
        <w:rPr>
          <w:rFonts w:hint="eastAsia" w:ascii="宋体" w:hAnsi="宋体" w:cs="宋体"/>
          <w:szCs w:val="21"/>
          <w:highlight w:val="none"/>
        </w:rPr>
        <w:t>：</w:t>
      </w:r>
    </w:p>
    <w:p>
      <w:pPr>
        <w:snapToGrid w:val="0"/>
        <w:spacing w:line="360" w:lineRule="auto"/>
        <w:ind w:firstLine="840" w:firstLineChars="400"/>
        <w:rPr>
          <w:rFonts w:ascii="宋体" w:hAnsi="宋体" w:cs="宋体"/>
          <w:szCs w:val="21"/>
          <w:highlight w:val="none"/>
        </w:rPr>
      </w:pPr>
      <w:r>
        <w:rPr>
          <w:rFonts w:hint="eastAsia" w:ascii="宋体" w:hAnsi="宋体" w:cs="宋体"/>
          <w:szCs w:val="21"/>
          <w:highlight w:val="none"/>
        </w:rPr>
        <w:t>职务：                          职务：</w:t>
      </w:r>
    </w:p>
    <w:p>
      <w:pPr>
        <w:snapToGrid w:val="0"/>
        <w:spacing w:line="360" w:lineRule="auto"/>
        <w:rPr>
          <w:rFonts w:ascii="宋体" w:hAnsi="宋体" w:cs="宋体"/>
          <w:szCs w:val="21"/>
          <w:highlight w:val="none"/>
        </w:rPr>
      </w:pPr>
      <w:r>
        <w:rPr>
          <w:rFonts w:hint="eastAsia" w:ascii="宋体" w:hAnsi="宋体" w:cs="宋体"/>
          <w:szCs w:val="21"/>
          <w:highlight w:val="none"/>
        </w:rPr>
        <w:t>授权代表身份证号码：</w:t>
      </w:r>
    </w:p>
    <w:p>
      <w:pPr>
        <w:snapToGrid w:val="0"/>
        <w:spacing w:line="360" w:lineRule="auto"/>
        <w:rPr>
          <w:rFonts w:ascii="宋体" w:hAnsi="宋体" w:cs="宋体"/>
          <w:szCs w:val="21"/>
          <w:highlight w:val="none"/>
        </w:rPr>
      </w:pPr>
    </w:p>
    <w:p>
      <w:pPr>
        <w:snapToGrid w:val="0"/>
        <w:spacing w:line="360" w:lineRule="auto"/>
        <w:rPr>
          <w:rFonts w:ascii="宋体" w:hAnsi="宋体" w:cs="宋体"/>
          <w:szCs w:val="21"/>
          <w:highlight w:val="none"/>
        </w:rPr>
      </w:pPr>
    </w:p>
    <w:p>
      <w:pPr>
        <w:snapToGrid w:val="0"/>
        <w:spacing w:line="360" w:lineRule="auto"/>
        <w:ind w:firstLine="4830" w:firstLineChars="2300"/>
        <w:rPr>
          <w:rFonts w:ascii="宋体" w:hAnsi="宋体" w:cs="宋体"/>
          <w:szCs w:val="21"/>
          <w:highlight w:val="none"/>
        </w:rPr>
      </w:pPr>
      <w:r>
        <w:rPr>
          <w:rFonts w:hint="eastAsia" w:ascii="宋体" w:hAnsi="宋体" w:cs="宋体"/>
          <w:szCs w:val="21"/>
          <w:highlight w:val="none"/>
        </w:rPr>
        <w:t>供应商公章：</w:t>
      </w:r>
    </w:p>
    <w:p>
      <w:pPr>
        <w:snapToGrid w:val="0"/>
        <w:spacing w:line="360" w:lineRule="auto"/>
        <w:ind w:firstLine="4830" w:firstLineChars="2300"/>
        <w:rPr>
          <w:rFonts w:ascii="宋体" w:hAnsi="宋体" w:cs="宋体"/>
          <w:szCs w:val="21"/>
          <w:highlight w:val="none"/>
        </w:rPr>
      </w:pPr>
    </w:p>
    <w:p>
      <w:pPr>
        <w:snapToGrid w:val="0"/>
        <w:spacing w:line="360" w:lineRule="auto"/>
        <w:jc w:val="center"/>
        <w:rPr>
          <w:rFonts w:ascii="宋体" w:hAnsi="宋体" w:cs="宋体"/>
          <w:szCs w:val="21"/>
          <w:highlight w:val="none"/>
        </w:rPr>
      </w:pPr>
      <w:r>
        <w:rPr>
          <w:rFonts w:hint="eastAsia" w:ascii="宋体" w:hAnsi="宋体" w:cs="宋体"/>
          <w:szCs w:val="21"/>
          <w:highlight w:val="none"/>
        </w:rPr>
        <w:t xml:space="preserve">                                        年    月    日</w:t>
      </w:r>
    </w:p>
    <w:p>
      <w:pPr>
        <w:spacing w:line="360" w:lineRule="auto"/>
        <w:rPr>
          <w:rFonts w:ascii="宋体" w:hAnsi="宋体" w:cs="宋体"/>
          <w:b/>
          <w:szCs w:val="21"/>
          <w:highlight w:val="none"/>
        </w:rPr>
      </w:pPr>
    </w:p>
    <w:p>
      <w:pPr>
        <w:spacing w:line="360" w:lineRule="auto"/>
        <w:rPr>
          <w:rFonts w:ascii="宋体" w:hAnsi="宋体" w:cs="宋体"/>
          <w:b/>
          <w:szCs w:val="21"/>
          <w:highlight w:val="none"/>
        </w:rPr>
      </w:pPr>
    </w:p>
    <w:p>
      <w:pPr>
        <w:snapToGrid w:val="0"/>
        <w:spacing w:before="50" w:after="50"/>
        <w:rPr>
          <w:rFonts w:ascii="宋体" w:hAnsi="宋体" w:cs="宋体"/>
          <w:b/>
          <w:szCs w:val="21"/>
          <w:highlight w:val="none"/>
        </w:rPr>
      </w:pPr>
      <w:r>
        <w:rPr>
          <w:rFonts w:hint="eastAsia" w:ascii="宋体" w:hAnsi="宋体" w:cs="宋体"/>
          <w:b/>
          <w:szCs w:val="21"/>
          <w:highlight w:val="none"/>
        </w:rPr>
        <w:t>附：授权代表身份证复印件（正反面）及开标日前近三个月</w:t>
      </w:r>
      <w:r>
        <w:rPr>
          <w:rFonts w:hint="eastAsia" w:ascii="宋体" w:hAnsi="宋体" w:cs="宋体"/>
          <w:b/>
          <w:szCs w:val="21"/>
          <w:highlight w:val="none"/>
          <w:lang w:eastAsia="zh-CN"/>
        </w:rPr>
        <w:t>（</w:t>
      </w:r>
      <w:r>
        <w:rPr>
          <w:rFonts w:hint="eastAsia" w:ascii="宋体" w:hAnsi="宋体" w:cs="宋体"/>
          <w:b/>
          <w:szCs w:val="21"/>
          <w:highlight w:val="none"/>
          <w:lang w:val="en-US" w:eastAsia="zh-CN"/>
        </w:rPr>
        <w:t>任意一个月</w:t>
      </w:r>
      <w:r>
        <w:rPr>
          <w:rFonts w:hint="eastAsia" w:ascii="宋体" w:hAnsi="宋体" w:cs="宋体"/>
          <w:b/>
          <w:szCs w:val="21"/>
          <w:highlight w:val="none"/>
          <w:lang w:eastAsia="zh-CN"/>
        </w:rPr>
        <w:t>）</w:t>
      </w:r>
      <w:r>
        <w:rPr>
          <w:rFonts w:hint="eastAsia" w:ascii="宋体" w:hAnsi="宋体" w:cs="宋体"/>
          <w:b/>
          <w:szCs w:val="21"/>
          <w:highlight w:val="none"/>
        </w:rPr>
        <w:t>内当地相关部门出具的社保证明。</w:t>
      </w:r>
    </w:p>
    <w:p>
      <w:pPr>
        <w:widowControl w:val="0"/>
        <w:adjustRightInd w:val="0"/>
        <w:spacing w:line="360" w:lineRule="auto"/>
        <w:jc w:val="both"/>
        <w:textAlignment w:val="baseline"/>
        <w:rPr>
          <w:rFonts w:hint="eastAsia" w:ascii="宋体" w:hAnsi="宋体" w:cs="宋体"/>
          <w:b/>
          <w:bCs/>
          <w:szCs w:val="21"/>
          <w:highlight w:val="none"/>
        </w:rPr>
      </w:pPr>
    </w:p>
    <w:p>
      <w:pPr>
        <w:widowControl w:val="0"/>
        <w:adjustRightInd w:val="0"/>
        <w:spacing w:line="360" w:lineRule="auto"/>
        <w:jc w:val="both"/>
        <w:textAlignment w:val="baseline"/>
        <w:rPr>
          <w:rFonts w:hint="eastAsia" w:ascii="宋体" w:hAnsi="宋体" w:cs="宋体"/>
          <w:b/>
          <w:bCs/>
          <w:szCs w:val="21"/>
          <w:highlight w:val="none"/>
        </w:rPr>
      </w:pPr>
    </w:p>
    <w:p>
      <w:pPr>
        <w:widowControl w:val="0"/>
        <w:adjustRightInd w:val="0"/>
        <w:spacing w:line="360" w:lineRule="auto"/>
        <w:jc w:val="both"/>
        <w:textAlignment w:val="baseline"/>
        <w:rPr>
          <w:rFonts w:ascii="宋体" w:hAnsi="宋体" w:cs="宋体"/>
          <w:sz w:val="28"/>
          <w:szCs w:val="21"/>
          <w:highlight w:val="none"/>
        </w:rPr>
      </w:pPr>
      <w:r>
        <w:rPr>
          <w:rFonts w:hint="eastAsia" w:ascii="宋体" w:hAnsi="宋体" w:cs="宋体"/>
          <w:b/>
          <w:bCs/>
          <w:szCs w:val="21"/>
          <w:highlight w:val="none"/>
        </w:rPr>
        <w:t>注：联合体投标的，可只由联合体牵头人</w:t>
      </w:r>
      <w:r>
        <w:rPr>
          <w:rFonts w:hint="eastAsia" w:ascii="宋体" w:hAnsi="宋体" w:cs="宋体"/>
          <w:b/>
          <w:bCs/>
          <w:szCs w:val="21"/>
          <w:highlight w:val="none"/>
          <w:lang w:val="en-US" w:eastAsia="zh-CN"/>
        </w:rPr>
        <w:t>提供并签章</w:t>
      </w:r>
      <w:r>
        <w:rPr>
          <w:rFonts w:hint="eastAsia" w:ascii="宋体" w:hAnsi="宋体" w:cs="宋体"/>
          <w:b/>
          <w:bCs/>
          <w:szCs w:val="21"/>
          <w:highlight w:val="none"/>
        </w:rPr>
        <w:t>。</w:t>
      </w:r>
    </w:p>
    <w:p>
      <w:pPr>
        <w:spacing w:line="360" w:lineRule="auto"/>
        <w:rPr>
          <w:rFonts w:ascii="宋体" w:hAnsi="宋体" w:cs="宋体"/>
          <w:b/>
          <w:szCs w:val="21"/>
          <w:highlight w:val="none"/>
        </w:rPr>
      </w:pPr>
    </w:p>
    <w:p>
      <w:pPr>
        <w:snapToGrid w:val="0"/>
        <w:rPr>
          <w:rFonts w:ascii="宋体" w:hAnsi="宋体" w:cs="宋体"/>
          <w:b/>
          <w:szCs w:val="21"/>
          <w:highlight w:val="none"/>
        </w:rPr>
      </w:pPr>
      <w:r>
        <w:rPr>
          <w:rFonts w:hint="eastAsia" w:ascii="宋体" w:hAnsi="宋体" w:cs="宋体"/>
          <w:b/>
          <w:szCs w:val="21"/>
          <w:highlight w:val="none"/>
        </w:rPr>
        <w:br w:type="page"/>
      </w:r>
      <w:r>
        <w:rPr>
          <w:rFonts w:hint="eastAsia" w:ascii="宋体" w:hAnsi="宋体" w:cs="宋体"/>
          <w:b/>
          <w:szCs w:val="21"/>
          <w:highlight w:val="none"/>
        </w:rPr>
        <w:t>（6）技术（服务）条款偏离表格式</w:t>
      </w:r>
    </w:p>
    <w:p>
      <w:pPr>
        <w:rPr>
          <w:rFonts w:ascii="宋体" w:hAnsi="宋体" w:cs="宋体"/>
          <w:highlight w:val="none"/>
        </w:rPr>
      </w:pPr>
    </w:p>
    <w:p>
      <w:pPr>
        <w:jc w:val="center"/>
        <w:rPr>
          <w:rFonts w:ascii="宋体" w:hAnsi="宋体" w:cs="宋体"/>
          <w:b/>
          <w:sz w:val="32"/>
          <w:szCs w:val="32"/>
          <w:highlight w:val="none"/>
        </w:rPr>
      </w:pPr>
      <w:r>
        <w:rPr>
          <w:rFonts w:hint="eastAsia" w:ascii="宋体" w:hAnsi="宋体" w:cs="宋体"/>
          <w:b/>
          <w:sz w:val="32"/>
          <w:szCs w:val="32"/>
          <w:highlight w:val="none"/>
        </w:rPr>
        <w:t>技术（服务）条款偏离表</w:t>
      </w:r>
    </w:p>
    <w:p>
      <w:pPr>
        <w:snapToGrid w:val="0"/>
        <w:spacing w:before="50"/>
        <w:rPr>
          <w:rFonts w:ascii="宋体" w:hAnsi="宋体" w:cs="宋体"/>
          <w:szCs w:val="21"/>
          <w:highlight w:val="none"/>
          <w:u w:val="single"/>
        </w:rPr>
      </w:pPr>
      <w:r>
        <w:rPr>
          <w:rFonts w:hint="eastAsia" w:ascii="宋体" w:hAnsi="宋体" w:cs="宋体"/>
          <w:szCs w:val="21"/>
          <w:highlight w:val="none"/>
        </w:rPr>
        <w:t>采购编号：                   项目名称：                       标项号：</w:t>
      </w:r>
    </w:p>
    <w:tbl>
      <w:tblPr>
        <w:tblStyle w:val="46"/>
        <w:tblW w:w="84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vAlign w:val="center"/>
          </w:tcPr>
          <w:p>
            <w:pPr>
              <w:spacing w:line="360" w:lineRule="auto"/>
              <w:jc w:val="center"/>
              <w:rPr>
                <w:rFonts w:ascii="宋体" w:hAnsi="宋体" w:cs="宋体"/>
                <w:highlight w:val="none"/>
              </w:rPr>
            </w:pPr>
            <w:r>
              <w:rPr>
                <w:rFonts w:hint="eastAsia" w:ascii="宋体" w:hAnsi="宋体" w:cs="宋体"/>
                <w:highlight w:val="none"/>
              </w:rPr>
              <w:t>条款号</w:t>
            </w:r>
          </w:p>
        </w:tc>
        <w:tc>
          <w:tcPr>
            <w:tcW w:w="4647" w:type="dxa"/>
            <w:vAlign w:val="center"/>
          </w:tcPr>
          <w:p>
            <w:pPr>
              <w:spacing w:line="360" w:lineRule="auto"/>
              <w:jc w:val="center"/>
              <w:rPr>
                <w:rFonts w:ascii="宋体" w:hAnsi="宋体" w:cs="宋体"/>
                <w:highlight w:val="none"/>
              </w:rPr>
            </w:pPr>
            <w:r>
              <w:rPr>
                <w:rFonts w:hint="eastAsia" w:ascii="宋体" w:hAnsi="宋体" w:cs="宋体"/>
                <w:highlight w:val="none"/>
              </w:rPr>
              <w:t>招标文件的技术（服务）条款</w:t>
            </w:r>
          </w:p>
        </w:tc>
        <w:tc>
          <w:tcPr>
            <w:tcW w:w="1575" w:type="dxa"/>
            <w:vAlign w:val="center"/>
          </w:tcPr>
          <w:p>
            <w:pPr>
              <w:spacing w:line="360" w:lineRule="auto"/>
              <w:jc w:val="center"/>
              <w:rPr>
                <w:rFonts w:ascii="宋体" w:hAnsi="宋体" w:cs="宋体"/>
                <w:highlight w:val="none"/>
              </w:rPr>
            </w:pPr>
            <w:r>
              <w:rPr>
                <w:rFonts w:hint="eastAsia" w:ascii="宋体" w:hAnsi="宋体" w:cs="宋体"/>
                <w:highlight w:val="none"/>
              </w:rPr>
              <w:t>投标文件的</w:t>
            </w:r>
          </w:p>
          <w:p>
            <w:pPr>
              <w:spacing w:line="360" w:lineRule="auto"/>
              <w:jc w:val="center"/>
              <w:rPr>
                <w:rFonts w:ascii="宋体" w:hAnsi="宋体" w:cs="宋体"/>
                <w:highlight w:val="none"/>
              </w:rPr>
            </w:pPr>
            <w:r>
              <w:rPr>
                <w:rFonts w:hint="eastAsia" w:ascii="宋体" w:hAnsi="宋体" w:cs="宋体"/>
                <w:highlight w:val="none"/>
              </w:rPr>
              <w:t>响应情况</w:t>
            </w:r>
          </w:p>
        </w:tc>
        <w:tc>
          <w:tcPr>
            <w:tcW w:w="1185" w:type="dxa"/>
            <w:vAlign w:val="center"/>
          </w:tcPr>
          <w:p>
            <w:pPr>
              <w:spacing w:line="360" w:lineRule="auto"/>
              <w:jc w:val="center"/>
              <w:rPr>
                <w:rFonts w:ascii="宋体" w:hAnsi="宋体" w:cs="宋体"/>
                <w:highlight w:val="none"/>
              </w:rPr>
            </w:pPr>
            <w:r>
              <w:rPr>
                <w:rFonts w:hint="eastAsia" w:ascii="宋体" w:hAnsi="宋体" w:cs="宋体"/>
                <w:highlight w:val="none"/>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宋体" w:hAnsi="宋体" w:cs="宋体"/>
                <w:highlight w:val="none"/>
              </w:rPr>
            </w:pPr>
          </w:p>
        </w:tc>
        <w:tc>
          <w:tcPr>
            <w:tcW w:w="4647" w:type="dxa"/>
            <w:vAlign w:val="center"/>
          </w:tcPr>
          <w:p>
            <w:pPr>
              <w:spacing w:line="360" w:lineRule="auto"/>
              <w:rPr>
                <w:rFonts w:ascii="宋体" w:hAnsi="宋体" w:cs="宋体"/>
                <w:b/>
                <w:bCs/>
                <w:highlight w:val="none"/>
              </w:rPr>
            </w:pPr>
          </w:p>
        </w:tc>
        <w:tc>
          <w:tcPr>
            <w:tcW w:w="1575" w:type="dxa"/>
            <w:vAlign w:val="center"/>
          </w:tcPr>
          <w:p>
            <w:pPr>
              <w:spacing w:line="360" w:lineRule="auto"/>
              <w:jc w:val="center"/>
              <w:rPr>
                <w:rFonts w:ascii="宋体" w:hAnsi="宋体" w:cs="宋体"/>
                <w:sz w:val="24"/>
                <w:highlight w:val="none"/>
              </w:rPr>
            </w:pPr>
          </w:p>
        </w:tc>
        <w:tc>
          <w:tcPr>
            <w:tcW w:w="1185"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宋体" w:hAnsi="宋体" w:cs="宋体"/>
                <w:highlight w:val="none"/>
              </w:rPr>
            </w:pPr>
          </w:p>
        </w:tc>
        <w:tc>
          <w:tcPr>
            <w:tcW w:w="4647" w:type="dxa"/>
            <w:vAlign w:val="center"/>
          </w:tcPr>
          <w:p>
            <w:pPr>
              <w:spacing w:line="360" w:lineRule="auto"/>
              <w:rPr>
                <w:rFonts w:ascii="宋体" w:hAnsi="宋体" w:cs="宋体"/>
                <w:b/>
                <w:bCs/>
                <w:highlight w:val="none"/>
              </w:rPr>
            </w:pPr>
          </w:p>
        </w:tc>
        <w:tc>
          <w:tcPr>
            <w:tcW w:w="1575" w:type="dxa"/>
            <w:vAlign w:val="center"/>
          </w:tcPr>
          <w:p>
            <w:pPr>
              <w:spacing w:line="360" w:lineRule="auto"/>
              <w:jc w:val="center"/>
              <w:rPr>
                <w:rFonts w:ascii="宋体" w:hAnsi="宋体" w:cs="宋体"/>
                <w:sz w:val="24"/>
                <w:highlight w:val="none"/>
              </w:rPr>
            </w:pPr>
          </w:p>
        </w:tc>
        <w:tc>
          <w:tcPr>
            <w:tcW w:w="1185"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宋体" w:hAnsi="宋体" w:cs="宋体"/>
                <w:highlight w:val="none"/>
              </w:rPr>
            </w:pPr>
          </w:p>
        </w:tc>
        <w:tc>
          <w:tcPr>
            <w:tcW w:w="4647" w:type="dxa"/>
            <w:vAlign w:val="center"/>
          </w:tcPr>
          <w:p>
            <w:pPr>
              <w:spacing w:line="360" w:lineRule="auto"/>
              <w:rPr>
                <w:rFonts w:ascii="宋体" w:hAnsi="宋体" w:cs="宋体"/>
                <w:b/>
                <w:bCs/>
                <w:highlight w:val="none"/>
              </w:rPr>
            </w:pPr>
          </w:p>
        </w:tc>
        <w:tc>
          <w:tcPr>
            <w:tcW w:w="1575" w:type="dxa"/>
            <w:vAlign w:val="center"/>
          </w:tcPr>
          <w:p>
            <w:pPr>
              <w:spacing w:line="360" w:lineRule="auto"/>
              <w:jc w:val="center"/>
              <w:rPr>
                <w:rFonts w:ascii="宋体" w:hAnsi="宋体" w:cs="宋体"/>
                <w:sz w:val="24"/>
                <w:highlight w:val="none"/>
              </w:rPr>
            </w:pPr>
          </w:p>
        </w:tc>
        <w:tc>
          <w:tcPr>
            <w:tcW w:w="1185"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宋体" w:hAnsi="宋体" w:cs="宋体"/>
                <w:highlight w:val="none"/>
              </w:rPr>
            </w:pPr>
          </w:p>
        </w:tc>
        <w:tc>
          <w:tcPr>
            <w:tcW w:w="4647" w:type="dxa"/>
            <w:vAlign w:val="center"/>
          </w:tcPr>
          <w:p>
            <w:pPr>
              <w:spacing w:line="360" w:lineRule="auto"/>
              <w:rPr>
                <w:rFonts w:ascii="宋体" w:hAnsi="宋体" w:cs="宋体"/>
                <w:b/>
                <w:bCs/>
                <w:highlight w:val="none"/>
              </w:rPr>
            </w:pPr>
          </w:p>
        </w:tc>
        <w:tc>
          <w:tcPr>
            <w:tcW w:w="1575" w:type="dxa"/>
            <w:vAlign w:val="center"/>
          </w:tcPr>
          <w:p>
            <w:pPr>
              <w:spacing w:line="360" w:lineRule="auto"/>
              <w:jc w:val="center"/>
              <w:rPr>
                <w:rFonts w:ascii="宋体" w:hAnsi="宋体" w:cs="宋体"/>
                <w:sz w:val="24"/>
                <w:highlight w:val="none"/>
              </w:rPr>
            </w:pPr>
          </w:p>
        </w:tc>
        <w:tc>
          <w:tcPr>
            <w:tcW w:w="1185"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宋体" w:hAnsi="宋体" w:cs="宋体"/>
                <w:highlight w:val="none"/>
              </w:rPr>
            </w:pPr>
          </w:p>
        </w:tc>
        <w:tc>
          <w:tcPr>
            <w:tcW w:w="4647" w:type="dxa"/>
            <w:vAlign w:val="center"/>
          </w:tcPr>
          <w:p>
            <w:pPr>
              <w:spacing w:line="360" w:lineRule="auto"/>
              <w:rPr>
                <w:rFonts w:ascii="宋体" w:hAnsi="宋体" w:cs="宋体"/>
                <w:highlight w:val="none"/>
              </w:rPr>
            </w:pPr>
          </w:p>
        </w:tc>
        <w:tc>
          <w:tcPr>
            <w:tcW w:w="1575" w:type="dxa"/>
            <w:vAlign w:val="center"/>
          </w:tcPr>
          <w:p>
            <w:pPr>
              <w:spacing w:line="360" w:lineRule="auto"/>
              <w:jc w:val="center"/>
              <w:rPr>
                <w:rFonts w:ascii="宋体" w:hAnsi="宋体" w:cs="宋体"/>
                <w:sz w:val="24"/>
                <w:highlight w:val="none"/>
              </w:rPr>
            </w:pPr>
          </w:p>
        </w:tc>
        <w:tc>
          <w:tcPr>
            <w:tcW w:w="1185"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宋体" w:hAnsi="宋体" w:cs="宋体"/>
                <w:highlight w:val="none"/>
              </w:rPr>
            </w:pPr>
          </w:p>
        </w:tc>
        <w:tc>
          <w:tcPr>
            <w:tcW w:w="4647" w:type="dxa"/>
            <w:vAlign w:val="center"/>
          </w:tcPr>
          <w:p>
            <w:pPr>
              <w:spacing w:line="360" w:lineRule="auto"/>
              <w:rPr>
                <w:rFonts w:ascii="宋体" w:hAnsi="宋体" w:cs="宋体"/>
                <w:highlight w:val="none"/>
              </w:rPr>
            </w:pPr>
          </w:p>
        </w:tc>
        <w:tc>
          <w:tcPr>
            <w:tcW w:w="1575" w:type="dxa"/>
            <w:vAlign w:val="center"/>
          </w:tcPr>
          <w:p>
            <w:pPr>
              <w:spacing w:line="360" w:lineRule="auto"/>
              <w:jc w:val="center"/>
              <w:rPr>
                <w:rFonts w:ascii="宋体" w:hAnsi="宋体" w:cs="宋体"/>
                <w:sz w:val="24"/>
                <w:highlight w:val="none"/>
              </w:rPr>
            </w:pPr>
          </w:p>
        </w:tc>
        <w:tc>
          <w:tcPr>
            <w:tcW w:w="1185"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宋体" w:hAnsi="宋体" w:cs="宋体"/>
                <w:highlight w:val="none"/>
              </w:rPr>
            </w:pPr>
          </w:p>
        </w:tc>
        <w:tc>
          <w:tcPr>
            <w:tcW w:w="4647" w:type="dxa"/>
            <w:vAlign w:val="center"/>
          </w:tcPr>
          <w:p>
            <w:pPr>
              <w:spacing w:line="360" w:lineRule="auto"/>
              <w:rPr>
                <w:rFonts w:ascii="宋体" w:hAnsi="宋体" w:cs="宋体"/>
                <w:highlight w:val="none"/>
              </w:rPr>
            </w:pPr>
          </w:p>
        </w:tc>
        <w:tc>
          <w:tcPr>
            <w:tcW w:w="1575" w:type="dxa"/>
            <w:vAlign w:val="center"/>
          </w:tcPr>
          <w:p>
            <w:pPr>
              <w:spacing w:line="360" w:lineRule="auto"/>
              <w:jc w:val="center"/>
              <w:rPr>
                <w:rFonts w:ascii="宋体" w:hAnsi="宋体" w:cs="宋体"/>
                <w:sz w:val="24"/>
                <w:highlight w:val="none"/>
              </w:rPr>
            </w:pPr>
          </w:p>
        </w:tc>
        <w:tc>
          <w:tcPr>
            <w:tcW w:w="1185"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宋体" w:hAnsi="宋体" w:cs="宋体"/>
                <w:highlight w:val="none"/>
              </w:rPr>
            </w:pPr>
          </w:p>
        </w:tc>
        <w:tc>
          <w:tcPr>
            <w:tcW w:w="4647" w:type="dxa"/>
            <w:vAlign w:val="center"/>
          </w:tcPr>
          <w:p>
            <w:pPr>
              <w:spacing w:line="360" w:lineRule="auto"/>
              <w:rPr>
                <w:rFonts w:ascii="宋体" w:hAnsi="宋体" w:cs="宋体"/>
                <w:highlight w:val="none"/>
              </w:rPr>
            </w:pPr>
          </w:p>
        </w:tc>
        <w:tc>
          <w:tcPr>
            <w:tcW w:w="1575" w:type="dxa"/>
            <w:vAlign w:val="center"/>
          </w:tcPr>
          <w:p>
            <w:pPr>
              <w:spacing w:line="360" w:lineRule="auto"/>
              <w:jc w:val="center"/>
              <w:rPr>
                <w:rFonts w:ascii="宋体" w:hAnsi="宋体" w:cs="宋体"/>
                <w:sz w:val="24"/>
                <w:highlight w:val="none"/>
              </w:rPr>
            </w:pPr>
          </w:p>
        </w:tc>
        <w:tc>
          <w:tcPr>
            <w:tcW w:w="1185"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宋体" w:hAnsi="宋体" w:cs="宋体"/>
                <w:highlight w:val="none"/>
              </w:rPr>
            </w:pPr>
          </w:p>
        </w:tc>
        <w:tc>
          <w:tcPr>
            <w:tcW w:w="4647" w:type="dxa"/>
            <w:vAlign w:val="center"/>
          </w:tcPr>
          <w:p>
            <w:pPr>
              <w:spacing w:line="360" w:lineRule="auto"/>
              <w:rPr>
                <w:rFonts w:ascii="宋体" w:hAnsi="宋体" w:cs="宋体"/>
                <w:highlight w:val="none"/>
              </w:rPr>
            </w:pPr>
          </w:p>
        </w:tc>
        <w:tc>
          <w:tcPr>
            <w:tcW w:w="1575" w:type="dxa"/>
            <w:vAlign w:val="center"/>
          </w:tcPr>
          <w:p>
            <w:pPr>
              <w:spacing w:line="360" w:lineRule="auto"/>
              <w:jc w:val="center"/>
              <w:rPr>
                <w:rFonts w:ascii="宋体" w:hAnsi="宋体" w:cs="宋体"/>
                <w:sz w:val="24"/>
                <w:highlight w:val="none"/>
              </w:rPr>
            </w:pPr>
          </w:p>
        </w:tc>
        <w:tc>
          <w:tcPr>
            <w:tcW w:w="1185"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宋体" w:hAnsi="宋体" w:cs="宋体"/>
                <w:highlight w:val="none"/>
              </w:rPr>
            </w:pPr>
          </w:p>
        </w:tc>
        <w:tc>
          <w:tcPr>
            <w:tcW w:w="4647" w:type="dxa"/>
            <w:vAlign w:val="center"/>
          </w:tcPr>
          <w:p>
            <w:pPr>
              <w:spacing w:line="360" w:lineRule="auto"/>
              <w:rPr>
                <w:rFonts w:ascii="宋体" w:hAnsi="宋体" w:cs="宋体"/>
                <w:highlight w:val="none"/>
              </w:rPr>
            </w:pPr>
          </w:p>
        </w:tc>
        <w:tc>
          <w:tcPr>
            <w:tcW w:w="1575" w:type="dxa"/>
            <w:vAlign w:val="center"/>
          </w:tcPr>
          <w:p>
            <w:pPr>
              <w:spacing w:line="360" w:lineRule="auto"/>
              <w:jc w:val="center"/>
              <w:rPr>
                <w:rFonts w:ascii="宋体" w:hAnsi="宋体" w:cs="宋体"/>
                <w:sz w:val="24"/>
                <w:highlight w:val="none"/>
              </w:rPr>
            </w:pPr>
          </w:p>
        </w:tc>
        <w:tc>
          <w:tcPr>
            <w:tcW w:w="1185"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宋体" w:hAnsi="宋体" w:cs="宋体"/>
                <w:highlight w:val="none"/>
              </w:rPr>
            </w:pPr>
          </w:p>
        </w:tc>
        <w:tc>
          <w:tcPr>
            <w:tcW w:w="4647" w:type="dxa"/>
            <w:vAlign w:val="center"/>
          </w:tcPr>
          <w:p>
            <w:pPr>
              <w:spacing w:line="360" w:lineRule="auto"/>
              <w:rPr>
                <w:rFonts w:ascii="宋体" w:hAnsi="宋体" w:cs="宋体"/>
                <w:highlight w:val="none"/>
              </w:rPr>
            </w:pPr>
          </w:p>
        </w:tc>
        <w:tc>
          <w:tcPr>
            <w:tcW w:w="1575" w:type="dxa"/>
            <w:vAlign w:val="center"/>
          </w:tcPr>
          <w:p>
            <w:pPr>
              <w:spacing w:line="360" w:lineRule="auto"/>
              <w:jc w:val="center"/>
              <w:rPr>
                <w:rFonts w:ascii="宋体" w:hAnsi="宋体" w:cs="宋体"/>
                <w:sz w:val="24"/>
                <w:highlight w:val="none"/>
              </w:rPr>
            </w:pPr>
          </w:p>
        </w:tc>
        <w:tc>
          <w:tcPr>
            <w:tcW w:w="1185"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宋体" w:hAnsi="宋体" w:cs="宋体"/>
                <w:highlight w:val="none"/>
              </w:rPr>
            </w:pPr>
          </w:p>
        </w:tc>
        <w:tc>
          <w:tcPr>
            <w:tcW w:w="4647" w:type="dxa"/>
            <w:vAlign w:val="center"/>
          </w:tcPr>
          <w:p>
            <w:pPr>
              <w:spacing w:line="360" w:lineRule="auto"/>
              <w:rPr>
                <w:rFonts w:ascii="宋体" w:hAnsi="宋体" w:cs="宋体"/>
                <w:highlight w:val="none"/>
              </w:rPr>
            </w:pPr>
          </w:p>
        </w:tc>
        <w:tc>
          <w:tcPr>
            <w:tcW w:w="1575" w:type="dxa"/>
            <w:vAlign w:val="center"/>
          </w:tcPr>
          <w:p>
            <w:pPr>
              <w:spacing w:line="360" w:lineRule="auto"/>
              <w:jc w:val="center"/>
              <w:rPr>
                <w:rFonts w:ascii="宋体" w:hAnsi="宋体" w:cs="宋体"/>
                <w:sz w:val="24"/>
                <w:highlight w:val="none"/>
              </w:rPr>
            </w:pPr>
          </w:p>
        </w:tc>
        <w:tc>
          <w:tcPr>
            <w:tcW w:w="1185"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宋体" w:hAnsi="宋体" w:cs="宋体"/>
                <w:highlight w:val="none"/>
              </w:rPr>
            </w:pPr>
          </w:p>
        </w:tc>
        <w:tc>
          <w:tcPr>
            <w:tcW w:w="4647" w:type="dxa"/>
            <w:vAlign w:val="center"/>
          </w:tcPr>
          <w:p>
            <w:pPr>
              <w:spacing w:line="360" w:lineRule="auto"/>
              <w:rPr>
                <w:rFonts w:ascii="宋体" w:hAnsi="宋体" w:cs="宋体"/>
                <w:highlight w:val="none"/>
              </w:rPr>
            </w:pPr>
          </w:p>
        </w:tc>
        <w:tc>
          <w:tcPr>
            <w:tcW w:w="1575" w:type="dxa"/>
            <w:vAlign w:val="center"/>
          </w:tcPr>
          <w:p>
            <w:pPr>
              <w:spacing w:line="360" w:lineRule="auto"/>
              <w:jc w:val="center"/>
              <w:rPr>
                <w:rFonts w:ascii="宋体" w:hAnsi="宋体" w:cs="宋体"/>
                <w:sz w:val="24"/>
                <w:highlight w:val="none"/>
              </w:rPr>
            </w:pPr>
          </w:p>
        </w:tc>
        <w:tc>
          <w:tcPr>
            <w:tcW w:w="1185"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宋体" w:hAnsi="宋体" w:cs="宋体"/>
                <w:highlight w:val="none"/>
              </w:rPr>
            </w:pPr>
          </w:p>
        </w:tc>
        <w:tc>
          <w:tcPr>
            <w:tcW w:w="4647" w:type="dxa"/>
            <w:vAlign w:val="center"/>
          </w:tcPr>
          <w:p>
            <w:pPr>
              <w:spacing w:line="360" w:lineRule="auto"/>
              <w:rPr>
                <w:rFonts w:ascii="宋体" w:hAnsi="宋体" w:cs="宋体"/>
                <w:highlight w:val="none"/>
              </w:rPr>
            </w:pPr>
          </w:p>
        </w:tc>
        <w:tc>
          <w:tcPr>
            <w:tcW w:w="1575" w:type="dxa"/>
            <w:vAlign w:val="center"/>
          </w:tcPr>
          <w:p>
            <w:pPr>
              <w:spacing w:line="360" w:lineRule="auto"/>
              <w:jc w:val="center"/>
              <w:rPr>
                <w:rFonts w:ascii="宋体" w:hAnsi="宋体" w:cs="宋体"/>
                <w:sz w:val="24"/>
                <w:highlight w:val="none"/>
              </w:rPr>
            </w:pPr>
          </w:p>
        </w:tc>
        <w:tc>
          <w:tcPr>
            <w:tcW w:w="1185" w:type="dxa"/>
            <w:vAlign w:val="center"/>
          </w:tcPr>
          <w:p>
            <w:pPr>
              <w:spacing w:line="360" w:lineRule="auto"/>
              <w:jc w:val="center"/>
              <w:rPr>
                <w:rFonts w:ascii="宋体" w:hAnsi="宋体" w:cs="宋体"/>
                <w:sz w:val="24"/>
                <w:highlight w:val="none"/>
              </w:rPr>
            </w:pPr>
          </w:p>
        </w:tc>
      </w:tr>
    </w:tbl>
    <w:p>
      <w:pPr>
        <w:snapToGrid w:val="0"/>
        <w:spacing w:before="50"/>
        <w:rPr>
          <w:rFonts w:ascii="宋体" w:hAnsi="宋体" w:cs="宋体"/>
          <w:szCs w:val="21"/>
          <w:highlight w:val="none"/>
        </w:rPr>
      </w:pPr>
    </w:p>
    <w:p>
      <w:pPr>
        <w:spacing w:line="360" w:lineRule="auto"/>
        <w:ind w:firstLine="3675" w:firstLineChars="1750"/>
        <w:rPr>
          <w:rFonts w:ascii="宋体" w:hAnsi="宋体" w:cs="宋体"/>
          <w:highlight w:val="none"/>
        </w:rPr>
      </w:pPr>
      <w:r>
        <w:rPr>
          <w:rFonts w:hint="eastAsia" w:ascii="宋体" w:hAnsi="宋体" w:cs="宋体"/>
          <w:highlight w:val="none"/>
        </w:rPr>
        <w:t>供应商（盖章）</w:t>
      </w:r>
    </w:p>
    <w:p>
      <w:pPr>
        <w:spacing w:line="360" w:lineRule="auto"/>
        <w:rPr>
          <w:rFonts w:ascii="宋体" w:hAnsi="宋体" w:cs="宋体"/>
          <w:highlight w:val="none"/>
        </w:rPr>
      </w:pPr>
      <w:r>
        <w:rPr>
          <w:rFonts w:hint="eastAsia" w:ascii="宋体" w:hAnsi="宋体" w:cs="宋体"/>
          <w:highlight w:val="none"/>
        </w:rPr>
        <w:t xml:space="preserve">             法定代表人或授权代表（签名或印章）：</w:t>
      </w:r>
    </w:p>
    <w:p>
      <w:pPr>
        <w:snapToGrid w:val="0"/>
        <w:rPr>
          <w:rFonts w:ascii="宋体" w:hAnsi="宋体" w:cs="宋体"/>
          <w:b/>
          <w:szCs w:val="21"/>
          <w:highlight w:val="none"/>
        </w:rPr>
      </w:pPr>
      <w:r>
        <w:rPr>
          <w:rFonts w:hint="eastAsia" w:ascii="宋体" w:hAnsi="宋体" w:cs="宋体"/>
          <w:highlight w:val="none"/>
        </w:rPr>
        <w:t xml:space="preserve">                                    日    期：</w:t>
      </w:r>
    </w:p>
    <w:p>
      <w:pPr>
        <w:widowControl w:val="0"/>
        <w:adjustRightInd w:val="0"/>
        <w:spacing w:line="360" w:lineRule="auto"/>
        <w:jc w:val="both"/>
        <w:textAlignment w:val="baseline"/>
        <w:rPr>
          <w:rFonts w:ascii="宋体" w:hAnsi="宋体" w:cs="宋体"/>
          <w:sz w:val="28"/>
          <w:szCs w:val="21"/>
          <w:highlight w:val="none"/>
        </w:rPr>
      </w:pPr>
      <w:r>
        <w:rPr>
          <w:rFonts w:hint="eastAsia" w:ascii="宋体" w:hAnsi="宋体" w:cs="宋体"/>
          <w:b/>
          <w:bCs/>
          <w:szCs w:val="21"/>
          <w:highlight w:val="none"/>
        </w:rPr>
        <w:t>注：联合体投标的，可只由联合体牵头人签章。</w:t>
      </w:r>
    </w:p>
    <w:p>
      <w:pPr>
        <w:snapToGrid w:val="0"/>
        <w:rPr>
          <w:rFonts w:ascii="宋体" w:hAnsi="宋体" w:cs="宋体"/>
          <w:b/>
          <w:szCs w:val="21"/>
          <w:highlight w:val="none"/>
        </w:rPr>
      </w:pPr>
    </w:p>
    <w:p>
      <w:pPr>
        <w:snapToGrid w:val="0"/>
        <w:rPr>
          <w:rFonts w:ascii="宋体" w:hAnsi="宋体" w:cs="宋体"/>
          <w:b/>
          <w:szCs w:val="21"/>
          <w:highlight w:val="none"/>
        </w:rPr>
      </w:pPr>
      <w:r>
        <w:rPr>
          <w:rFonts w:hint="eastAsia" w:ascii="宋体" w:hAnsi="宋体" w:cs="宋体"/>
          <w:b/>
          <w:szCs w:val="21"/>
          <w:highlight w:val="none"/>
        </w:rPr>
        <w:br w:type="page"/>
      </w:r>
      <w:r>
        <w:rPr>
          <w:rFonts w:hint="eastAsia" w:ascii="宋体" w:hAnsi="宋体" w:cs="宋体"/>
          <w:b/>
          <w:szCs w:val="21"/>
          <w:highlight w:val="none"/>
        </w:rPr>
        <w:t>（7）供应商基本情况表格式</w:t>
      </w:r>
    </w:p>
    <w:p>
      <w:pPr>
        <w:jc w:val="center"/>
        <w:rPr>
          <w:rFonts w:ascii="宋体" w:hAnsi="宋体" w:cs="宋体"/>
          <w:b/>
          <w:sz w:val="32"/>
          <w:szCs w:val="32"/>
          <w:highlight w:val="none"/>
        </w:rPr>
      </w:pPr>
      <w:bookmarkStart w:id="61" w:name="_Toc483379796"/>
      <w:bookmarkStart w:id="62" w:name="_Toc110393361"/>
      <w:bookmarkStart w:id="63" w:name="_Toc225223761"/>
      <w:bookmarkStart w:id="64" w:name="_Toc479927873"/>
      <w:bookmarkStart w:id="65" w:name="_Toc14746861"/>
      <w:bookmarkStart w:id="66" w:name="_Toc488936100"/>
      <w:r>
        <w:rPr>
          <w:rFonts w:hint="eastAsia" w:ascii="宋体" w:hAnsi="宋体" w:cs="宋体"/>
          <w:b/>
          <w:sz w:val="32"/>
          <w:szCs w:val="32"/>
          <w:highlight w:val="none"/>
        </w:rPr>
        <w:t>供应商基本情况</w:t>
      </w:r>
      <w:bookmarkEnd w:id="61"/>
      <w:bookmarkEnd w:id="62"/>
      <w:bookmarkEnd w:id="63"/>
      <w:bookmarkEnd w:id="64"/>
      <w:bookmarkEnd w:id="65"/>
      <w:bookmarkEnd w:id="66"/>
      <w:r>
        <w:rPr>
          <w:rFonts w:hint="eastAsia" w:ascii="宋体" w:hAnsi="宋体" w:cs="宋体"/>
          <w:b/>
          <w:sz w:val="32"/>
          <w:szCs w:val="32"/>
          <w:highlight w:val="none"/>
        </w:rPr>
        <w:t>表</w:t>
      </w:r>
    </w:p>
    <w:tbl>
      <w:tblPr>
        <w:tblStyle w:val="46"/>
        <w:tblW w:w="821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835"/>
        <w:gridCol w:w="969"/>
        <w:gridCol w:w="695"/>
        <w:gridCol w:w="2141"/>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单位名称</w:t>
            </w:r>
          </w:p>
        </w:tc>
        <w:tc>
          <w:tcPr>
            <w:tcW w:w="2499" w:type="dxa"/>
            <w:gridSpan w:val="3"/>
            <w:vAlign w:val="center"/>
          </w:tcPr>
          <w:p>
            <w:pPr>
              <w:spacing w:line="360" w:lineRule="auto"/>
              <w:jc w:val="center"/>
              <w:rPr>
                <w:rFonts w:ascii="宋体" w:hAnsi="宋体" w:cs="宋体"/>
                <w:szCs w:val="21"/>
                <w:highlight w:val="none"/>
              </w:rPr>
            </w:pPr>
          </w:p>
        </w:tc>
        <w:tc>
          <w:tcPr>
            <w:tcW w:w="2141"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组织机构代码</w:t>
            </w:r>
          </w:p>
        </w:tc>
        <w:tc>
          <w:tcPr>
            <w:tcW w:w="2100"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注册地址</w:t>
            </w:r>
          </w:p>
        </w:tc>
        <w:tc>
          <w:tcPr>
            <w:tcW w:w="2499" w:type="dxa"/>
            <w:gridSpan w:val="3"/>
            <w:vAlign w:val="center"/>
          </w:tcPr>
          <w:p>
            <w:pPr>
              <w:spacing w:line="360" w:lineRule="auto"/>
              <w:jc w:val="center"/>
              <w:rPr>
                <w:rFonts w:ascii="宋体" w:hAnsi="宋体" w:cs="宋体"/>
                <w:szCs w:val="21"/>
                <w:highlight w:val="none"/>
              </w:rPr>
            </w:pPr>
          </w:p>
        </w:tc>
        <w:tc>
          <w:tcPr>
            <w:tcW w:w="2141"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注册登记号</w:t>
            </w:r>
          </w:p>
        </w:tc>
        <w:tc>
          <w:tcPr>
            <w:tcW w:w="2100"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经营地址</w:t>
            </w:r>
          </w:p>
        </w:tc>
        <w:tc>
          <w:tcPr>
            <w:tcW w:w="2499" w:type="dxa"/>
            <w:gridSpan w:val="3"/>
            <w:vAlign w:val="center"/>
          </w:tcPr>
          <w:p>
            <w:pPr>
              <w:spacing w:line="360" w:lineRule="auto"/>
              <w:jc w:val="center"/>
              <w:rPr>
                <w:rFonts w:ascii="宋体" w:hAnsi="宋体" w:cs="宋体"/>
                <w:szCs w:val="21"/>
                <w:highlight w:val="none"/>
              </w:rPr>
            </w:pPr>
          </w:p>
        </w:tc>
        <w:tc>
          <w:tcPr>
            <w:tcW w:w="2141" w:type="dxa"/>
            <w:vAlign w:val="center"/>
          </w:tcPr>
          <w:p>
            <w:pPr>
              <w:spacing w:line="360" w:lineRule="auto"/>
              <w:jc w:val="center"/>
              <w:rPr>
                <w:rFonts w:ascii="宋体" w:hAnsi="宋体" w:cs="宋体"/>
                <w:spacing w:val="30"/>
                <w:szCs w:val="21"/>
                <w:highlight w:val="none"/>
              </w:rPr>
            </w:pPr>
            <w:r>
              <w:rPr>
                <w:rFonts w:hint="eastAsia" w:ascii="宋体" w:hAnsi="宋体" w:cs="宋体"/>
                <w:szCs w:val="21"/>
                <w:highlight w:val="none"/>
              </w:rPr>
              <w:t>税务登记证号</w:t>
            </w:r>
          </w:p>
        </w:tc>
        <w:tc>
          <w:tcPr>
            <w:tcW w:w="2100"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单位性质</w:t>
            </w:r>
          </w:p>
        </w:tc>
        <w:tc>
          <w:tcPr>
            <w:tcW w:w="2499" w:type="dxa"/>
            <w:gridSpan w:val="3"/>
            <w:vAlign w:val="center"/>
          </w:tcPr>
          <w:p>
            <w:pPr>
              <w:pStyle w:val="154"/>
              <w:widowControl w:val="0"/>
              <w:spacing w:before="0" w:beforeAutospacing="0" w:after="0" w:afterAutospacing="0" w:line="360" w:lineRule="auto"/>
              <w:ind w:left="2160" w:hanging="480"/>
              <w:rPr>
                <w:rFonts w:cs="宋体"/>
                <w:kern w:val="2"/>
                <w:sz w:val="21"/>
                <w:szCs w:val="21"/>
                <w:highlight w:val="none"/>
              </w:rPr>
            </w:pPr>
          </w:p>
        </w:tc>
        <w:tc>
          <w:tcPr>
            <w:tcW w:w="2141" w:type="dxa"/>
            <w:vAlign w:val="center"/>
          </w:tcPr>
          <w:p>
            <w:pPr>
              <w:spacing w:line="360" w:lineRule="auto"/>
              <w:jc w:val="center"/>
              <w:rPr>
                <w:rFonts w:ascii="宋体" w:hAnsi="宋体" w:cs="宋体"/>
                <w:spacing w:val="34"/>
                <w:szCs w:val="21"/>
                <w:highlight w:val="none"/>
              </w:rPr>
            </w:pPr>
            <w:r>
              <w:rPr>
                <w:rFonts w:hint="eastAsia" w:ascii="宋体" w:hAnsi="宋体" w:cs="宋体"/>
                <w:spacing w:val="34"/>
                <w:szCs w:val="21"/>
                <w:highlight w:val="none"/>
              </w:rPr>
              <w:t>注册资本</w:t>
            </w:r>
          </w:p>
        </w:tc>
        <w:tc>
          <w:tcPr>
            <w:tcW w:w="2100"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经营范围</w:t>
            </w:r>
          </w:p>
        </w:tc>
        <w:tc>
          <w:tcPr>
            <w:tcW w:w="2499" w:type="dxa"/>
            <w:gridSpan w:val="3"/>
            <w:vAlign w:val="center"/>
          </w:tcPr>
          <w:p>
            <w:pPr>
              <w:spacing w:line="360" w:lineRule="auto"/>
              <w:jc w:val="center"/>
              <w:rPr>
                <w:rFonts w:ascii="宋体" w:hAnsi="宋体" w:cs="宋体"/>
                <w:szCs w:val="21"/>
                <w:highlight w:val="none"/>
              </w:rPr>
            </w:pPr>
          </w:p>
        </w:tc>
        <w:tc>
          <w:tcPr>
            <w:tcW w:w="2141"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营业期限</w:t>
            </w:r>
          </w:p>
        </w:tc>
        <w:tc>
          <w:tcPr>
            <w:tcW w:w="2100"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资质情况</w:t>
            </w:r>
          </w:p>
        </w:tc>
        <w:tc>
          <w:tcPr>
            <w:tcW w:w="6740" w:type="dxa"/>
            <w:gridSpan w:val="5"/>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员工数量</w:t>
            </w:r>
          </w:p>
        </w:tc>
        <w:tc>
          <w:tcPr>
            <w:tcW w:w="6740" w:type="dxa"/>
            <w:gridSpan w:val="5"/>
            <w:vAlign w:val="center"/>
          </w:tcPr>
          <w:p>
            <w:pPr>
              <w:spacing w:line="360" w:lineRule="auto"/>
              <w:rPr>
                <w:rFonts w:ascii="宋体" w:hAnsi="宋体" w:cs="宋体"/>
                <w:szCs w:val="21"/>
                <w:highlight w:val="none"/>
              </w:rPr>
            </w:pPr>
            <w:r>
              <w:rPr>
                <w:rFonts w:hint="eastAsia" w:ascii="宋体" w:hAnsi="宋体" w:cs="宋体"/>
                <w:szCs w:val="21"/>
                <w:highlight w:val="none"/>
              </w:rPr>
              <w:t>共人，其中，高级职称人，中级职称人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联系电话</w:t>
            </w:r>
          </w:p>
        </w:tc>
        <w:tc>
          <w:tcPr>
            <w:tcW w:w="2499" w:type="dxa"/>
            <w:gridSpan w:val="3"/>
            <w:vAlign w:val="center"/>
          </w:tcPr>
          <w:p>
            <w:pPr>
              <w:spacing w:line="360" w:lineRule="auto"/>
              <w:jc w:val="center"/>
              <w:rPr>
                <w:rFonts w:ascii="宋体" w:hAnsi="宋体" w:cs="宋体"/>
                <w:szCs w:val="21"/>
                <w:highlight w:val="none"/>
              </w:rPr>
            </w:pPr>
          </w:p>
        </w:tc>
        <w:tc>
          <w:tcPr>
            <w:tcW w:w="2141"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传真</w:t>
            </w:r>
          </w:p>
        </w:tc>
        <w:tc>
          <w:tcPr>
            <w:tcW w:w="2100"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70"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主要业绩</w:t>
            </w:r>
          </w:p>
        </w:tc>
        <w:tc>
          <w:tcPr>
            <w:tcW w:w="6740" w:type="dxa"/>
            <w:gridSpan w:val="5"/>
            <w:vAlign w:val="center"/>
          </w:tcPr>
          <w:p>
            <w:pPr>
              <w:spacing w:line="360" w:lineRule="auto"/>
              <w:rPr>
                <w:rFonts w:ascii="宋体" w:hAnsi="宋体" w:cs="宋体"/>
                <w:szCs w:val="21"/>
                <w:highlight w:val="none"/>
              </w:rPr>
            </w:pPr>
          </w:p>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0" w:type="dxa"/>
            <w:gridSpan w:val="6"/>
            <w:vAlign w:val="center"/>
          </w:tcPr>
          <w:p>
            <w:pPr>
              <w:spacing w:line="360" w:lineRule="auto"/>
              <w:jc w:val="center"/>
              <w:rPr>
                <w:rFonts w:ascii="宋体" w:hAnsi="宋体" w:cs="宋体"/>
                <w:szCs w:val="21"/>
                <w:highlight w:val="none"/>
              </w:rPr>
            </w:pPr>
            <w:r>
              <w:rPr>
                <w:rFonts w:hint="eastAsia" w:ascii="宋体" w:hAnsi="宋体" w:cs="宋体"/>
                <w:szCs w:val="21"/>
                <w:highlight w:val="none"/>
              </w:rPr>
              <w:t>法 定 代 表 人 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姓  名</w:t>
            </w:r>
          </w:p>
        </w:tc>
        <w:tc>
          <w:tcPr>
            <w:tcW w:w="2499" w:type="dxa"/>
            <w:gridSpan w:val="3"/>
            <w:vAlign w:val="center"/>
          </w:tcPr>
          <w:p>
            <w:pPr>
              <w:spacing w:line="360" w:lineRule="auto"/>
              <w:jc w:val="center"/>
              <w:rPr>
                <w:rFonts w:ascii="宋体" w:hAnsi="宋体" w:cs="宋体"/>
                <w:szCs w:val="21"/>
                <w:highlight w:val="none"/>
              </w:rPr>
            </w:pPr>
          </w:p>
        </w:tc>
        <w:tc>
          <w:tcPr>
            <w:tcW w:w="2141"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身份证号码</w:t>
            </w:r>
          </w:p>
        </w:tc>
        <w:tc>
          <w:tcPr>
            <w:tcW w:w="2100"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职  务</w:t>
            </w:r>
          </w:p>
        </w:tc>
        <w:tc>
          <w:tcPr>
            <w:tcW w:w="835" w:type="dxa"/>
            <w:vAlign w:val="center"/>
          </w:tcPr>
          <w:p>
            <w:pPr>
              <w:spacing w:line="360" w:lineRule="auto"/>
              <w:jc w:val="center"/>
              <w:rPr>
                <w:rFonts w:ascii="宋体" w:hAnsi="宋体" w:cs="宋体"/>
                <w:szCs w:val="21"/>
                <w:highlight w:val="none"/>
              </w:rPr>
            </w:pPr>
          </w:p>
        </w:tc>
        <w:tc>
          <w:tcPr>
            <w:tcW w:w="969"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职   称</w:t>
            </w:r>
          </w:p>
        </w:tc>
        <w:tc>
          <w:tcPr>
            <w:tcW w:w="695" w:type="dxa"/>
            <w:vAlign w:val="center"/>
          </w:tcPr>
          <w:p>
            <w:pPr>
              <w:spacing w:line="360" w:lineRule="auto"/>
              <w:jc w:val="center"/>
              <w:rPr>
                <w:rFonts w:ascii="宋体" w:hAnsi="宋体" w:cs="宋体"/>
                <w:szCs w:val="21"/>
                <w:highlight w:val="none"/>
              </w:rPr>
            </w:pPr>
          </w:p>
        </w:tc>
        <w:tc>
          <w:tcPr>
            <w:tcW w:w="2141"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学    历</w:t>
            </w:r>
          </w:p>
        </w:tc>
        <w:tc>
          <w:tcPr>
            <w:tcW w:w="2100"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210" w:type="dxa"/>
            <w:gridSpan w:val="6"/>
          </w:tcPr>
          <w:p>
            <w:pPr>
              <w:spacing w:line="360" w:lineRule="auto"/>
              <w:rPr>
                <w:rFonts w:ascii="宋体" w:hAnsi="宋体" w:cs="宋体"/>
                <w:szCs w:val="21"/>
                <w:highlight w:val="none"/>
              </w:rPr>
            </w:pPr>
            <w:r>
              <w:rPr>
                <w:rFonts w:hint="eastAsia" w:ascii="宋体" w:hAnsi="宋体" w:cs="宋体"/>
                <w:szCs w:val="21"/>
                <w:highlight w:val="none"/>
              </w:rPr>
              <w:t>备注:</w:t>
            </w:r>
          </w:p>
        </w:tc>
      </w:tr>
    </w:tbl>
    <w:p>
      <w:pPr>
        <w:spacing w:line="360" w:lineRule="auto"/>
        <w:rPr>
          <w:rFonts w:ascii="宋体" w:hAnsi="宋体" w:cs="宋体"/>
          <w:b/>
          <w:szCs w:val="21"/>
          <w:highlight w:val="none"/>
        </w:rPr>
      </w:pPr>
      <w:r>
        <w:rPr>
          <w:rFonts w:hint="eastAsia" w:ascii="宋体" w:hAnsi="宋体" w:cs="宋体"/>
          <w:b/>
          <w:szCs w:val="21"/>
          <w:highlight w:val="none"/>
        </w:rPr>
        <w:t>兹证明上述声明是真实、正确的，并提供了全部能提供的资料和数据，我们同意遵照贵方要求出示有关证明文件。</w:t>
      </w:r>
    </w:p>
    <w:p>
      <w:pPr>
        <w:spacing w:line="360" w:lineRule="auto"/>
        <w:rPr>
          <w:rFonts w:ascii="宋体" w:hAnsi="宋体" w:cs="宋体"/>
          <w:b/>
          <w:highlight w:val="none"/>
        </w:rPr>
      </w:pPr>
    </w:p>
    <w:p>
      <w:pPr>
        <w:rPr>
          <w:rFonts w:ascii="宋体" w:hAnsi="宋体" w:cs="宋体"/>
          <w:highlight w:val="none"/>
        </w:rPr>
      </w:pPr>
    </w:p>
    <w:p>
      <w:pPr>
        <w:spacing w:line="360" w:lineRule="auto"/>
        <w:ind w:firstLine="3675" w:firstLineChars="1750"/>
        <w:rPr>
          <w:rFonts w:ascii="宋体" w:hAnsi="宋体" w:cs="宋体"/>
          <w:highlight w:val="none"/>
        </w:rPr>
      </w:pPr>
      <w:r>
        <w:rPr>
          <w:rFonts w:hint="eastAsia" w:ascii="宋体" w:hAnsi="宋体" w:cs="宋体"/>
          <w:highlight w:val="none"/>
        </w:rPr>
        <w:t>供应商（盖章）</w:t>
      </w:r>
    </w:p>
    <w:p>
      <w:pPr>
        <w:spacing w:line="360" w:lineRule="auto"/>
        <w:rPr>
          <w:rFonts w:ascii="宋体" w:hAnsi="宋体" w:cs="宋体"/>
          <w:highlight w:val="none"/>
        </w:rPr>
      </w:pPr>
      <w:r>
        <w:rPr>
          <w:rFonts w:hint="eastAsia" w:ascii="宋体" w:hAnsi="宋体" w:cs="宋体"/>
          <w:highlight w:val="none"/>
        </w:rPr>
        <w:t xml:space="preserve">             法定代表人或授权代表（签名或印章）：</w:t>
      </w:r>
    </w:p>
    <w:p>
      <w:pPr>
        <w:snapToGrid w:val="0"/>
        <w:rPr>
          <w:rFonts w:ascii="宋体" w:hAnsi="宋体" w:cs="宋体"/>
          <w:b/>
          <w:szCs w:val="21"/>
          <w:highlight w:val="none"/>
        </w:rPr>
      </w:pPr>
      <w:r>
        <w:rPr>
          <w:rFonts w:hint="eastAsia" w:ascii="宋体" w:hAnsi="宋体" w:cs="宋体"/>
          <w:highlight w:val="none"/>
        </w:rPr>
        <w:t xml:space="preserve">                                    日    期：</w:t>
      </w:r>
    </w:p>
    <w:p>
      <w:pPr>
        <w:snapToGrid w:val="0"/>
        <w:rPr>
          <w:rFonts w:ascii="宋体" w:hAnsi="宋体" w:cs="宋体"/>
          <w:b/>
          <w:szCs w:val="21"/>
          <w:highlight w:val="none"/>
        </w:rPr>
      </w:pPr>
    </w:p>
    <w:p>
      <w:pPr>
        <w:snapToGrid w:val="0"/>
        <w:rPr>
          <w:rFonts w:ascii="宋体" w:hAnsi="宋体" w:cs="宋体"/>
          <w:b/>
          <w:szCs w:val="21"/>
          <w:highlight w:val="none"/>
        </w:rPr>
      </w:pPr>
      <w:r>
        <w:rPr>
          <w:rFonts w:hint="eastAsia" w:ascii="宋体" w:hAnsi="宋体" w:cs="宋体"/>
          <w:b/>
          <w:szCs w:val="21"/>
          <w:highlight w:val="none"/>
        </w:rPr>
        <w:t>注：联合体投标的，联合体各方均须提供。</w:t>
      </w:r>
    </w:p>
    <w:p>
      <w:pPr>
        <w:snapToGrid w:val="0"/>
        <w:rPr>
          <w:rFonts w:ascii="宋体" w:hAnsi="宋体" w:cs="宋体"/>
          <w:highlight w:val="none"/>
        </w:rPr>
      </w:pPr>
      <w:r>
        <w:rPr>
          <w:rFonts w:hint="eastAsia" w:ascii="宋体" w:hAnsi="宋体" w:cs="宋体"/>
          <w:b/>
          <w:szCs w:val="21"/>
          <w:highlight w:val="none"/>
        </w:rPr>
        <w:br w:type="page"/>
      </w:r>
      <w:r>
        <w:rPr>
          <w:rFonts w:hint="eastAsia" w:ascii="宋体" w:hAnsi="宋体" w:cs="宋体"/>
          <w:b/>
          <w:szCs w:val="21"/>
          <w:highlight w:val="none"/>
        </w:rPr>
        <w:t>(8)本项目负责人简历表格式</w:t>
      </w:r>
    </w:p>
    <w:p>
      <w:pPr>
        <w:spacing w:line="360" w:lineRule="auto"/>
        <w:ind w:right="25" w:rightChars="12"/>
        <w:jc w:val="center"/>
        <w:rPr>
          <w:rFonts w:ascii="宋体" w:hAnsi="宋体" w:cs="宋体"/>
          <w:b/>
          <w:sz w:val="28"/>
          <w:szCs w:val="28"/>
          <w:highlight w:val="none"/>
        </w:rPr>
      </w:pPr>
      <w:r>
        <w:rPr>
          <w:rFonts w:hint="eastAsia" w:ascii="宋体" w:hAnsi="宋体" w:cs="宋体"/>
          <w:b/>
          <w:sz w:val="28"/>
          <w:szCs w:val="28"/>
          <w:highlight w:val="none"/>
        </w:rPr>
        <w:t>本项目负责人简历表</w:t>
      </w:r>
    </w:p>
    <w:p>
      <w:pPr>
        <w:rPr>
          <w:rFonts w:ascii="宋体" w:hAnsi="宋体" w:cs="宋体"/>
          <w:highlight w:val="none"/>
        </w:rPr>
      </w:pPr>
      <w:r>
        <w:rPr>
          <w:rFonts w:hint="eastAsia" w:ascii="宋体" w:hAnsi="宋体" w:cs="宋体"/>
          <w:highlight w:val="none"/>
        </w:rPr>
        <w:t>采购项目：</w:t>
      </w:r>
    </w:p>
    <w:p>
      <w:pPr>
        <w:rPr>
          <w:rFonts w:ascii="宋体" w:hAnsi="宋体" w:cs="宋体"/>
          <w:highlight w:val="none"/>
        </w:rPr>
      </w:pPr>
      <w:r>
        <w:rPr>
          <w:rFonts w:hint="eastAsia" w:ascii="宋体" w:hAnsi="宋体" w:cs="宋体"/>
          <w:highlight w:val="none"/>
        </w:rPr>
        <w:t>项目编号：</w:t>
      </w:r>
    </w:p>
    <w:p>
      <w:pPr>
        <w:autoSpaceDN w:val="0"/>
        <w:spacing w:line="360" w:lineRule="auto"/>
        <w:jc w:val="left"/>
        <w:rPr>
          <w:rFonts w:ascii="宋体" w:hAnsi="宋体" w:cs="宋体"/>
          <w:szCs w:val="21"/>
          <w:highlight w:val="none"/>
        </w:rPr>
      </w:pPr>
      <w:r>
        <w:rPr>
          <w:rFonts w:hint="eastAsia" w:ascii="宋体" w:hAnsi="宋体" w:cs="宋体"/>
          <w:highlight w:val="none"/>
        </w:rPr>
        <w:t>标项号：</w:t>
      </w:r>
    </w:p>
    <w:tbl>
      <w:tblPr>
        <w:tblStyle w:val="46"/>
        <w:tblW w:w="8925" w:type="dxa"/>
        <w:jc w:val="center"/>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
      <w:tblGrid>
        <w:gridCol w:w="1785"/>
        <w:gridCol w:w="1575"/>
        <w:gridCol w:w="630"/>
        <w:gridCol w:w="1184"/>
        <w:gridCol w:w="1021"/>
        <w:gridCol w:w="522"/>
        <w:gridCol w:w="2208"/>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cantSplit/>
          <w:trHeight w:val="460" w:hRule="atLeast"/>
          <w:jc w:val="center"/>
        </w:trPr>
        <w:tc>
          <w:tcPr>
            <w:tcW w:w="1785"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szCs w:val="21"/>
                <w:highlight w:val="none"/>
              </w:rPr>
            </w:pPr>
            <w:r>
              <w:rPr>
                <w:rFonts w:hint="eastAsia" w:ascii="宋体" w:hAnsi="宋体" w:cs="宋体"/>
                <w:szCs w:val="21"/>
                <w:highlight w:val="none"/>
              </w:rPr>
              <w:t>姓    名</w:t>
            </w:r>
          </w:p>
        </w:tc>
        <w:tc>
          <w:tcPr>
            <w:tcW w:w="2205"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szCs w:val="21"/>
                <w:highlight w:val="none"/>
              </w:rPr>
            </w:pPr>
          </w:p>
        </w:tc>
        <w:tc>
          <w:tcPr>
            <w:tcW w:w="2205"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szCs w:val="21"/>
                <w:highlight w:val="none"/>
              </w:rPr>
            </w:pPr>
            <w:r>
              <w:rPr>
                <w:rFonts w:hint="eastAsia" w:ascii="宋体" w:hAnsi="宋体" w:cs="宋体"/>
                <w:szCs w:val="21"/>
                <w:highlight w:val="none"/>
              </w:rPr>
              <w:t>性    别</w:t>
            </w:r>
          </w:p>
        </w:tc>
        <w:tc>
          <w:tcPr>
            <w:tcW w:w="2730"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cantSplit/>
          <w:trHeight w:val="460" w:hRule="atLeast"/>
          <w:jc w:val="center"/>
        </w:trPr>
        <w:tc>
          <w:tcPr>
            <w:tcW w:w="1785"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szCs w:val="21"/>
                <w:highlight w:val="none"/>
              </w:rPr>
            </w:pPr>
            <w:r>
              <w:rPr>
                <w:rFonts w:hint="eastAsia" w:ascii="宋体" w:hAnsi="宋体" w:cs="宋体"/>
                <w:szCs w:val="21"/>
                <w:highlight w:val="none"/>
              </w:rPr>
              <w:t>资质等级</w:t>
            </w:r>
          </w:p>
        </w:tc>
        <w:tc>
          <w:tcPr>
            <w:tcW w:w="2205"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szCs w:val="21"/>
                <w:highlight w:val="none"/>
              </w:rPr>
            </w:pPr>
          </w:p>
        </w:tc>
        <w:tc>
          <w:tcPr>
            <w:tcW w:w="2205"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szCs w:val="21"/>
                <w:highlight w:val="none"/>
              </w:rPr>
            </w:pPr>
            <w:r>
              <w:rPr>
                <w:rFonts w:hint="eastAsia" w:ascii="宋体" w:hAnsi="宋体" w:cs="宋体"/>
                <w:szCs w:val="21"/>
                <w:highlight w:val="none"/>
              </w:rPr>
              <w:t>职    称</w:t>
            </w:r>
          </w:p>
        </w:tc>
        <w:tc>
          <w:tcPr>
            <w:tcW w:w="2730"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cantSplit/>
          <w:trHeight w:val="460" w:hRule="atLeast"/>
          <w:jc w:val="center"/>
        </w:trPr>
        <w:tc>
          <w:tcPr>
            <w:tcW w:w="1785"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szCs w:val="21"/>
                <w:highlight w:val="none"/>
              </w:rPr>
            </w:pPr>
            <w:r>
              <w:rPr>
                <w:rFonts w:hint="eastAsia" w:ascii="宋体" w:hAnsi="宋体" w:cs="宋体"/>
                <w:szCs w:val="21"/>
                <w:highlight w:val="none"/>
              </w:rPr>
              <w:t>学    历</w:t>
            </w:r>
          </w:p>
        </w:tc>
        <w:tc>
          <w:tcPr>
            <w:tcW w:w="2205"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szCs w:val="21"/>
                <w:highlight w:val="none"/>
              </w:rPr>
            </w:pPr>
          </w:p>
        </w:tc>
        <w:tc>
          <w:tcPr>
            <w:tcW w:w="2205"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szCs w:val="21"/>
                <w:highlight w:val="none"/>
              </w:rPr>
            </w:pPr>
            <w:r>
              <w:rPr>
                <w:rFonts w:hint="eastAsia" w:ascii="宋体" w:hAnsi="宋体" w:cs="宋体"/>
                <w:szCs w:val="21"/>
                <w:highlight w:val="none"/>
              </w:rPr>
              <w:t>年    龄</w:t>
            </w:r>
          </w:p>
        </w:tc>
        <w:tc>
          <w:tcPr>
            <w:tcW w:w="2730"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cantSplit/>
          <w:trHeight w:val="460" w:hRule="atLeast"/>
          <w:jc w:val="center"/>
        </w:trPr>
        <w:tc>
          <w:tcPr>
            <w:tcW w:w="1785"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szCs w:val="21"/>
                <w:highlight w:val="none"/>
              </w:rPr>
            </w:pPr>
            <w:r>
              <w:rPr>
                <w:rFonts w:hint="eastAsia" w:ascii="宋体" w:hAnsi="宋体" w:cs="宋体"/>
                <w:szCs w:val="21"/>
                <w:highlight w:val="none"/>
              </w:rPr>
              <w:t>参加工作时间</w:t>
            </w:r>
          </w:p>
        </w:tc>
        <w:tc>
          <w:tcPr>
            <w:tcW w:w="2205"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szCs w:val="21"/>
                <w:highlight w:val="none"/>
              </w:rPr>
            </w:pPr>
          </w:p>
        </w:tc>
        <w:tc>
          <w:tcPr>
            <w:tcW w:w="2205"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szCs w:val="21"/>
                <w:highlight w:val="none"/>
              </w:rPr>
            </w:pPr>
            <w:r>
              <w:rPr>
                <w:rFonts w:hint="eastAsia" w:ascii="宋体" w:hAnsi="宋体" w:cs="宋体"/>
                <w:szCs w:val="21"/>
                <w:highlight w:val="none"/>
              </w:rPr>
              <w:t>从事项目经理年限</w:t>
            </w:r>
          </w:p>
        </w:tc>
        <w:tc>
          <w:tcPr>
            <w:tcW w:w="2730"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cantSplit/>
          <w:trHeight w:val="460" w:hRule="atLeast"/>
          <w:jc w:val="center"/>
        </w:trPr>
        <w:tc>
          <w:tcPr>
            <w:tcW w:w="8925" w:type="dxa"/>
            <w:gridSpan w:val="7"/>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szCs w:val="21"/>
                <w:highlight w:val="none"/>
              </w:rPr>
            </w:pPr>
            <w:r>
              <w:rPr>
                <w:rFonts w:hint="eastAsia" w:ascii="宋体" w:hAnsi="宋体" w:cs="宋体"/>
                <w:szCs w:val="21"/>
                <w:highlight w:val="none"/>
              </w:rPr>
              <w:t>已完成及正在实施类似项目情况</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cantSplit/>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szCs w:val="21"/>
                <w:highlight w:val="none"/>
              </w:rPr>
            </w:pPr>
            <w:r>
              <w:rPr>
                <w:rFonts w:hint="eastAsia" w:ascii="宋体" w:hAnsi="宋体" w:cs="宋体"/>
                <w:szCs w:val="21"/>
                <w:highlight w:val="none"/>
              </w:rPr>
              <w:t>业主单位</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szCs w:val="21"/>
                <w:highlight w:val="none"/>
              </w:rPr>
            </w:pPr>
            <w:r>
              <w:rPr>
                <w:rFonts w:hint="eastAsia" w:ascii="宋体" w:hAnsi="宋体" w:cs="宋体"/>
                <w:szCs w:val="21"/>
                <w:highlight w:val="none"/>
              </w:rPr>
              <w:t>项目名称</w:t>
            </w:r>
          </w:p>
        </w:tc>
        <w:tc>
          <w:tcPr>
            <w:tcW w:w="181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szCs w:val="21"/>
                <w:highlight w:val="none"/>
              </w:rPr>
            </w:pPr>
            <w:r>
              <w:rPr>
                <w:rFonts w:hint="eastAsia" w:ascii="宋体" w:hAnsi="宋体" w:cs="宋体"/>
                <w:szCs w:val="21"/>
                <w:highlight w:val="none"/>
              </w:rPr>
              <w:t>合同金额（万元）</w:t>
            </w:r>
          </w:p>
        </w:tc>
        <w:tc>
          <w:tcPr>
            <w:tcW w:w="1543"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szCs w:val="21"/>
                <w:highlight w:val="none"/>
              </w:rPr>
            </w:pPr>
            <w:r>
              <w:rPr>
                <w:rFonts w:hint="eastAsia" w:ascii="宋体" w:hAnsi="宋体" w:cs="宋体"/>
                <w:szCs w:val="21"/>
                <w:highlight w:val="none"/>
              </w:rPr>
              <w:t>合同履行期限</w:t>
            </w:r>
          </w:p>
        </w:tc>
        <w:tc>
          <w:tcPr>
            <w:tcW w:w="2208"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szCs w:val="21"/>
                <w:highlight w:val="none"/>
              </w:rPr>
            </w:pPr>
            <w:r>
              <w:rPr>
                <w:rFonts w:hint="eastAsia" w:ascii="宋体" w:hAnsi="宋体" w:cs="宋体"/>
                <w:szCs w:val="21"/>
                <w:highlight w:val="none"/>
              </w:rPr>
              <w:t>承接项目质量</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szCs w:val="21"/>
                <w:highlight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szCs w:val="21"/>
                <w:highlight w:val="none"/>
              </w:rPr>
            </w:pPr>
          </w:p>
        </w:tc>
        <w:tc>
          <w:tcPr>
            <w:tcW w:w="1543"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szCs w:val="21"/>
                <w:highlight w:val="none"/>
              </w:rPr>
            </w:pPr>
          </w:p>
        </w:tc>
        <w:tc>
          <w:tcPr>
            <w:tcW w:w="2208"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szCs w:val="21"/>
                <w:highlight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szCs w:val="21"/>
                <w:highlight w:val="none"/>
              </w:rPr>
            </w:pPr>
          </w:p>
        </w:tc>
        <w:tc>
          <w:tcPr>
            <w:tcW w:w="1543"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szCs w:val="21"/>
                <w:highlight w:val="none"/>
              </w:rPr>
            </w:pPr>
          </w:p>
        </w:tc>
        <w:tc>
          <w:tcPr>
            <w:tcW w:w="2208"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szCs w:val="21"/>
                <w:highlight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szCs w:val="21"/>
                <w:highlight w:val="none"/>
              </w:rPr>
            </w:pPr>
          </w:p>
        </w:tc>
        <w:tc>
          <w:tcPr>
            <w:tcW w:w="1543"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szCs w:val="21"/>
                <w:highlight w:val="none"/>
              </w:rPr>
            </w:pPr>
          </w:p>
        </w:tc>
        <w:tc>
          <w:tcPr>
            <w:tcW w:w="2208"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szCs w:val="21"/>
                <w:highlight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szCs w:val="21"/>
                <w:highlight w:val="none"/>
              </w:rPr>
            </w:pPr>
          </w:p>
        </w:tc>
        <w:tc>
          <w:tcPr>
            <w:tcW w:w="1543"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szCs w:val="21"/>
                <w:highlight w:val="none"/>
              </w:rPr>
            </w:pPr>
          </w:p>
        </w:tc>
        <w:tc>
          <w:tcPr>
            <w:tcW w:w="2208"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szCs w:val="21"/>
                <w:highlight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szCs w:val="21"/>
                <w:highlight w:val="none"/>
              </w:rPr>
            </w:pPr>
          </w:p>
        </w:tc>
        <w:tc>
          <w:tcPr>
            <w:tcW w:w="1543"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szCs w:val="21"/>
                <w:highlight w:val="none"/>
              </w:rPr>
            </w:pPr>
          </w:p>
        </w:tc>
        <w:tc>
          <w:tcPr>
            <w:tcW w:w="2208"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szCs w:val="21"/>
                <w:highlight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szCs w:val="21"/>
                <w:highlight w:val="none"/>
              </w:rPr>
            </w:pPr>
          </w:p>
        </w:tc>
        <w:tc>
          <w:tcPr>
            <w:tcW w:w="1543"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szCs w:val="21"/>
                <w:highlight w:val="none"/>
              </w:rPr>
            </w:pPr>
          </w:p>
        </w:tc>
        <w:tc>
          <w:tcPr>
            <w:tcW w:w="2208"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szCs w:val="21"/>
                <w:highlight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szCs w:val="21"/>
                <w:highlight w:val="none"/>
              </w:rPr>
            </w:pPr>
          </w:p>
        </w:tc>
        <w:tc>
          <w:tcPr>
            <w:tcW w:w="1543"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szCs w:val="21"/>
                <w:highlight w:val="none"/>
              </w:rPr>
            </w:pPr>
          </w:p>
        </w:tc>
        <w:tc>
          <w:tcPr>
            <w:tcW w:w="2208"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cantSplit/>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szCs w:val="21"/>
                <w:highlight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szCs w:val="21"/>
                <w:highlight w:val="none"/>
              </w:rPr>
            </w:pPr>
          </w:p>
        </w:tc>
        <w:tc>
          <w:tcPr>
            <w:tcW w:w="1543"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szCs w:val="21"/>
                <w:highlight w:val="none"/>
              </w:rPr>
            </w:pPr>
          </w:p>
        </w:tc>
        <w:tc>
          <w:tcPr>
            <w:tcW w:w="2208"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cantSplit/>
          <w:trHeight w:val="1215" w:hRule="atLeast"/>
          <w:jc w:val="center"/>
        </w:trPr>
        <w:tc>
          <w:tcPr>
            <w:tcW w:w="1785" w:type="dxa"/>
            <w:tcBorders>
              <w:top w:val="single" w:color="000000" w:sz="4" w:space="0"/>
              <w:left w:val="single" w:color="000000" w:sz="4" w:space="0"/>
              <w:bottom w:val="single" w:color="000000" w:sz="4" w:space="0"/>
              <w:right w:val="nil"/>
            </w:tcBorders>
            <w:vAlign w:val="center"/>
          </w:tcPr>
          <w:p>
            <w:pPr>
              <w:autoSpaceDN w:val="0"/>
              <w:spacing w:line="360" w:lineRule="auto"/>
              <w:jc w:val="center"/>
              <w:rPr>
                <w:rFonts w:ascii="宋体" w:hAnsi="宋体" w:cs="宋体"/>
                <w:szCs w:val="21"/>
                <w:highlight w:val="none"/>
              </w:rPr>
            </w:pPr>
            <w:r>
              <w:rPr>
                <w:rFonts w:hint="eastAsia" w:ascii="宋体" w:hAnsi="宋体" w:cs="宋体"/>
                <w:szCs w:val="21"/>
                <w:highlight w:val="none"/>
              </w:rPr>
              <w:t>备注</w:t>
            </w:r>
          </w:p>
        </w:tc>
        <w:tc>
          <w:tcPr>
            <w:tcW w:w="7140" w:type="dxa"/>
            <w:gridSpan w:val="6"/>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cs="宋体"/>
                <w:szCs w:val="21"/>
                <w:highlight w:val="none"/>
              </w:rPr>
            </w:pPr>
          </w:p>
        </w:tc>
      </w:tr>
    </w:tbl>
    <w:p>
      <w:pPr>
        <w:rPr>
          <w:rFonts w:ascii="宋体" w:hAnsi="宋体" w:cs="宋体"/>
          <w:highlight w:val="none"/>
        </w:rPr>
      </w:pPr>
    </w:p>
    <w:p>
      <w:pPr>
        <w:spacing w:line="360" w:lineRule="auto"/>
        <w:rPr>
          <w:rFonts w:ascii="宋体" w:hAnsi="宋体" w:cs="宋体"/>
          <w:highlight w:val="none"/>
        </w:rPr>
      </w:pPr>
      <w:r>
        <w:rPr>
          <w:rFonts w:hint="eastAsia" w:ascii="宋体" w:hAnsi="宋体" w:cs="宋体"/>
          <w:highlight w:val="none"/>
        </w:rPr>
        <w:t>供应商（盖章）</w:t>
      </w:r>
    </w:p>
    <w:p>
      <w:pPr>
        <w:spacing w:line="360" w:lineRule="auto"/>
        <w:rPr>
          <w:rFonts w:ascii="宋体" w:hAnsi="宋体" w:cs="宋体"/>
          <w:highlight w:val="none"/>
        </w:rPr>
      </w:pPr>
      <w:r>
        <w:rPr>
          <w:rFonts w:hint="eastAsia" w:ascii="宋体" w:hAnsi="宋体" w:cs="宋体"/>
          <w:highlight w:val="none"/>
        </w:rPr>
        <w:t>法定代表人或授权代表（签名或印章）：</w:t>
      </w:r>
    </w:p>
    <w:p>
      <w:pPr>
        <w:snapToGrid w:val="0"/>
        <w:rPr>
          <w:rFonts w:ascii="宋体" w:hAnsi="宋体" w:cs="宋体"/>
          <w:highlight w:val="none"/>
        </w:rPr>
      </w:pPr>
      <w:r>
        <w:rPr>
          <w:rFonts w:hint="eastAsia" w:ascii="宋体" w:hAnsi="宋体" w:cs="宋体"/>
          <w:highlight w:val="none"/>
        </w:rPr>
        <w:t>日    期：</w:t>
      </w:r>
    </w:p>
    <w:p>
      <w:pPr>
        <w:snapToGrid w:val="0"/>
        <w:rPr>
          <w:rFonts w:ascii="宋体" w:hAnsi="宋体" w:cs="宋体"/>
          <w:highlight w:val="none"/>
        </w:rPr>
      </w:pPr>
    </w:p>
    <w:p>
      <w:pPr>
        <w:snapToGrid w:val="0"/>
        <w:rPr>
          <w:rFonts w:ascii="宋体" w:hAnsi="宋体" w:cs="宋体"/>
          <w:highlight w:val="none"/>
        </w:rPr>
      </w:pPr>
    </w:p>
    <w:p>
      <w:pPr>
        <w:widowControl w:val="0"/>
        <w:adjustRightInd w:val="0"/>
        <w:spacing w:line="360" w:lineRule="auto"/>
        <w:jc w:val="both"/>
        <w:textAlignment w:val="baseline"/>
        <w:rPr>
          <w:rFonts w:ascii="宋体" w:hAnsi="宋体" w:cs="宋体"/>
          <w:sz w:val="28"/>
          <w:szCs w:val="21"/>
          <w:highlight w:val="none"/>
        </w:rPr>
      </w:pPr>
      <w:r>
        <w:rPr>
          <w:rFonts w:hint="eastAsia" w:ascii="宋体" w:hAnsi="宋体" w:cs="宋体"/>
          <w:b/>
          <w:bCs/>
          <w:szCs w:val="21"/>
          <w:highlight w:val="none"/>
        </w:rPr>
        <w:t>注：联合体投标的，可只由联合体牵头人签章。</w:t>
      </w:r>
    </w:p>
    <w:p>
      <w:pPr>
        <w:snapToGrid w:val="0"/>
        <w:rPr>
          <w:rFonts w:ascii="宋体" w:hAnsi="宋体" w:cs="宋体"/>
          <w:b/>
          <w:szCs w:val="21"/>
          <w:highlight w:val="none"/>
        </w:rPr>
      </w:pPr>
      <w:r>
        <w:rPr>
          <w:rFonts w:hint="eastAsia" w:ascii="宋体" w:hAnsi="宋体" w:cs="宋体"/>
          <w:highlight w:val="none"/>
        </w:rPr>
        <w:br w:type="page"/>
      </w:r>
      <w:r>
        <w:rPr>
          <w:rFonts w:hint="eastAsia" w:ascii="宋体" w:hAnsi="宋体" w:cs="宋体"/>
          <w:b/>
          <w:szCs w:val="21"/>
          <w:highlight w:val="none"/>
        </w:rPr>
        <w:t xml:space="preserve"> (9)本项目组人员配备情况表格式</w:t>
      </w:r>
    </w:p>
    <w:p>
      <w:pPr>
        <w:spacing w:line="360" w:lineRule="auto"/>
        <w:ind w:right="25" w:rightChars="12"/>
        <w:jc w:val="center"/>
        <w:rPr>
          <w:rFonts w:ascii="宋体" w:hAnsi="宋体" w:cs="宋体"/>
          <w:b/>
          <w:sz w:val="28"/>
          <w:szCs w:val="28"/>
          <w:highlight w:val="none"/>
        </w:rPr>
      </w:pPr>
      <w:r>
        <w:rPr>
          <w:rFonts w:hint="eastAsia" w:ascii="宋体" w:hAnsi="宋体" w:cs="宋体"/>
          <w:b/>
          <w:sz w:val="28"/>
          <w:szCs w:val="28"/>
          <w:highlight w:val="none"/>
        </w:rPr>
        <w:t>本项目组人员配备情况表</w:t>
      </w:r>
    </w:p>
    <w:p>
      <w:pPr>
        <w:rPr>
          <w:rFonts w:ascii="宋体" w:hAnsi="宋体" w:cs="宋体"/>
          <w:highlight w:val="none"/>
        </w:rPr>
      </w:pPr>
      <w:r>
        <w:rPr>
          <w:rFonts w:hint="eastAsia" w:ascii="宋体" w:hAnsi="宋体" w:cs="宋体"/>
          <w:highlight w:val="none"/>
        </w:rPr>
        <w:t>采购项目：</w:t>
      </w:r>
    </w:p>
    <w:p>
      <w:pPr>
        <w:rPr>
          <w:rFonts w:ascii="宋体" w:hAnsi="宋体" w:cs="宋体"/>
          <w:highlight w:val="none"/>
        </w:rPr>
      </w:pPr>
      <w:r>
        <w:rPr>
          <w:rFonts w:hint="eastAsia" w:ascii="宋体" w:hAnsi="宋体" w:cs="宋体"/>
          <w:highlight w:val="none"/>
        </w:rPr>
        <w:t>项目编号：</w:t>
      </w:r>
    </w:p>
    <w:p>
      <w:pPr>
        <w:rPr>
          <w:rFonts w:ascii="宋体" w:hAnsi="宋体" w:cs="宋体"/>
          <w:highlight w:val="none"/>
        </w:rPr>
      </w:pPr>
      <w:r>
        <w:rPr>
          <w:rFonts w:hint="eastAsia" w:ascii="宋体" w:hAnsi="宋体" w:cs="宋体"/>
          <w:highlight w:val="none"/>
        </w:rPr>
        <w:t>标项号：</w:t>
      </w:r>
    </w:p>
    <w:tbl>
      <w:tblPr>
        <w:tblStyle w:val="46"/>
        <w:tblW w:w="8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134"/>
        <w:gridCol w:w="1134"/>
        <w:gridCol w:w="1966"/>
        <w:gridCol w:w="2226"/>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szCs w:val="21"/>
                <w:highlight w:val="none"/>
              </w:rPr>
            </w:pPr>
            <w:r>
              <w:rPr>
                <w:rFonts w:hint="eastAsia" w:ascii="宋体" w:hAnsi="宋体" w:cs="宋体"/>
                <w:b/>
                <w:bCs/>
                <w:szCs w:val="21"/>
                <w:highlight w:val="none"/>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szCs w:val="21"/>
                <w:highlight w:val="none"/>
              </w:rPr>
            </w:pPr>
            <w:r>
              <w:rPr>
                <w:rFonts w:hint="eastAsia" w:ascii="宋体" w:hAnsi="宋体" w:cs="宋体"/>
                <w:b/>
                <w:bCs/>
                <w:szCs w:val="21"/>
                <w:highlight w:val="none"/>
              </w:rPr>
              <w:t>姓名</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szCs w:val="21"/>
                <w:highlight w:val="none"/>
              </w:rPr>
            </w:pPr>
            <w:r>
              <w:rPr>
                <w:rFonts w:hint="eastAsia" w:ascii="宋体" w:hAnsi="宋体" w:cs="宋体"/>
                <w:b/>
                <w:bCs/>
                <w:szCs w:val="21"/>
                <w:highlight w:val="none"/>
              </w:rPr>
              <w:t>性别</w:t>
            </w:r>
          </w:p>
        </w:tc>
        <w:tc>
          <w:tcPr>
            <w:tcW w:w="19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szCs w:val="21"/>
                <w:highlight w:val="none"/>
              </w:rPr>
            </w:pPr>
            <w:r>
              <w:rPr>
                <w:rFonts w:hint="eastAsia" w:ascii="宋体" w:hAnsi="宋体" w:cs="宋体"/>
                <w:b/>
                <w:bCs/>
                <w:szCs w:val="21"/>
                <w:highlight w:val="none"/>
              </w:rPr>
              <w:t>出生年月</w:t>
            </w:r>
          </w:p>
        </w:tc>
        <w:tc>
          <w:tcPr>
            <w:tcW w:w="22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szCs w:val="21"/>
                <w:highlight w:val="none"/>
              </w:rPr>
            </w:pPr>
            <w:r>
              <w:rPr>
                <w:rFonts w:hint="eastAsia" w:ascii="宋体" w:hAnsi="宋体" w:cs="宋体"/>
                <w:b/>
                <w:bCs/>
                <w:szCs w:val="21"/>
                <w:highlight w:val="none"/>
              </w:rPr>
              <w:t>参加本单位工作时间</w:t>
            </w:r>
          </w:p>
        </w:tc>
        <w:tc>
          <w:tcPr>
            <w:tcW w:w="11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szCs w:val="21"/>
                <w:highlight w:val="none"/>
              </w:rPr>
            </w:pPr>
            <w:r>
              <w:rPr>
                <w:rFonts w:hint="eastAsia" w:ascii="宋体" w:hAnsi="宋体" w:cs="宋体"/>
                <w:b/>
                <w:bCs/>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196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222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113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196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222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113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196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222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113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196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222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113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196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222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113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196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222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113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196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222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113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196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222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113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196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222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113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196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222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113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196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222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113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196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222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113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196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222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113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196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222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c>
          <w:tcPr>
            <w:tcW w:w="113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r>
    </w:tbl>
    <w:p>
      <w:pPr>
        <w:spacing w:line="360" w:lineRule="auto"/>
        <w:ind w:right="25" w:rightChars="12"/>
        <w:rPr>
          <w:rFonts w:ascii="宋体" w:hAnsi="宋体" w:cs="宋体"/>
          <w:szCs w:val="21"/>
          <w:highlight w:val="none"/>
        </w:rPr>
      </w:pPr>
    </w:p>
    <w:p>
      <w:pPr>
        <w:spacing w:line="360" w:lineRule="auto"/>
        <w:rPr>
          <w:rFonts w:ascii="宋体" w:hAnsi="宋体" w:cs="宋体"/>
          <w:highlight w:val="none"/>
        </w:rPr>
      </w:pPr>
      <w:r>
        <w:rPr>
          <w:rFonts w:hint="eastAsia" w:ascii="宋体" w:hAnsi="宋体" w:cs="宋体"/>
          <w:highlight w:val="none"/>
        </w:rPr>
        <w:t>供应商（盖章）</w:t>
      </w:r>
    </w:p>
    <w:p>
      <w:pPr>
        <w:spacing w:line="360" w:lineRule="auto"/>
        <w:rPr>
          <w:rFonts w:ascii="宋体" w:hAnsi="宋体" w:cs="宋体"/>
          <w:highlight w:val="none"/>
        </w:rPr>
      </w:pPr>
      <w:r>
        <w:rPr>
          <w:rFonts w:hint="eastAsia" w:ascii="宋体" w:hAnsi="宋体" w:cs="宋体"/>
          <w:highlight w:val="none"/>
        </w:rPr>
        <w:t>法定代表人或授权代表（签名或印章）：</w:t>
      </w:r>
    </w:p>
    <w:p>
      <w:pPr>
        <w:snapToGrid w:val="0"/>
        <w:rPr>
          <w:rFonts w:ascii="宋体" w:hAnsi="宋体" w:cs="宋体"/>
          <w:highlight w:val="none"/>
        </w:rPr>
      </w:pPr>
      <w:r>
        <w:rPr>
          <w:rFonts w:hint="eastAsia" w:ascii="宋体" w:hAnsi="宋体" w:cs="宋体"/>
          <w:highlight w:val="none"/>
        </w:rPr>
        <w:t>日    期：</w:t>
      </w:r>
    </w:p>
    <w:p>
      <w:pPr>
        <w:snapToGrid w:val="0"/>
        <w:rPr>
          <w:rFonts w:ascii="宋体" w:hAnsi="宋体" w:cs="宋体"/>
          <w:b/>
          <w:szCs w:val="21"/>
          <w:highlight w:val="none"/>
        </w:rPr>
      </w:pPr>
    </w:p>
    <w:p>
      <w:pPr>
        <w:widowControl w:val="0"/>
        <w:adjustRightInd w:val="0"/>
        <w:spacing w:line="360" w:lineRule="auto"/>
        <w:jc w:val="both"/>
        <w:textAlignment w:val="baseline"/>
        <w:rPr>
          <w:rFonts w:ascii="宋体" w:hAnsi="宋体" w:cs="宋体"/>
          <w:sz w:val="28"/>
          <w:szCs w:val="21"/>
          <w:highlight w:val="none"/>
        </w:rPr>
      </w:pPr>
      <w:r>
        <w:rPr>
          <w:rFonts w:hint="eastAsia" w:ascii="宋体" w:hAnsi="宋体" w:cs="宋体"/>
          <w:b/>
          <w:bCs/>
          <w:szCs w:val="21"/>
          <w:highlight w:val="none"/>
        </w:rPr>
        <w:t>注：联合体投标的，可只由联合体牵头人签章。</w:t>
      </w:r>
    </w:p>
    <w:p>
      <w:pPr>
        <w:snapToGrid w:val="0"/>
        <w:rPr>
          <w:rFonts w:ascii="宋体" w:hAnsi="宋体" w:cs="宋体"/>
          <w:b/>
          <w:szCs w:val="21"/>
          <w:highlight w:val="none"/>
        </w:rPr>
      </w:pPr>
      <w:r>
        <w:rPr>
          <w:rFonts w:hint="eastAsia" w:ascii="宋体" w:hAnsi="宋体" w:cs="宋体"/>
          <w:b/>
          <w:szCs w:val="21"/>
          <w:highlight w:val="none"/>
        </w:rPr>
        <w:br w:type="page"/>
      </w:r>
      <w:r>
        <w:rPr>
          <w:rFonts w:hint="eastAsia" w:ascii="宋体" w:hAnsi="宋体" w:cs="宋体"/>
          <w:b/>
          <w:szCs w:val="21"/>
          <w:highlight w:val="none"/>
        </w:rPr>
        <w:t>（10）同类业绩情况一览表格式</w:t>
      </w:r>
    </w:p>
    <w:p>
      <w:pPr>
        <w:jc w:val="center"/>
        <w:rPr>
          <w:rFonts w:ascii="宋体" w:hAnsi="宋体" w:cs="宋体"/>
          <w:b/>
          <w:szCs w:val="21"/>
          <w:highlight w:val="none"/>
        </w:rPr>
      </w:pPr>
    </w:p>
    <w:p>
      <w:pPr>
        <w:spacing w:line="360" w:lineRule="auto"/>
        <w:ind w:right="25" w:rightChars="12"/>
        <w:jc w:val="center"/>
        <w:rPr>
          <w:rFonts w:ascii="宋体" w:hAnsi="宋体" w:cs="宋体"/>
          <w:b/>
          <w:sz w:val="28"/>
          <w:szCs w:val="28"/>
          <w:highlight w:val="none"/>
          <w:lang w:val="zh-CN"/>
        </w:rPr>
      </w:pPr>
      <w:r>
        <w:rPr>
          <w:rFonts w:hint="eastAsia" w:ascii="宋体" w:hAnsi="宋体" w:cs="宋体"/>
          <w:b/>
          <w:sz w:val="28"/>
          <w:szCs w:val="28"/>
          <w:highlight w:val="none"/>
        </w:rPr>
        <w:t>同类业绩情况一览表</w:t>
      </w:r>
    </w:p>
    <w:p>
      <w:pPr>
        <w:ind w:right="25" w:rightChars="12"/>
        <w:rPr>
          <w:rFonts w:ascii="宋体" w:hAnsi="宋体" w:cs="宋体"/>
          <w:highlight w:val="none"/>
        </w:rPr>
      </w:pPr>
      <w:r>
        <w:rPr>
          <w:rFonts w:hint="eastAsia" w:ascii="宋体" w:hAnsi="宋体" w:cs="宋体"/>
          <w:highlight w:val="none"/>
          <w:lang w:val="zh-CN"/>
        </w:rPr>
        <w:t>采购项目： 项目编号</w:t>
      </w:r>
      <w:r>
        <w:rPr>
          <w:rFonts w:hint="eastAsia" w:ascii="宋体" w:hAnsi="宋体" w:cs="宋体"/>
          <w:highlight w:val="none"/>
          <w:u w:val="single"/>
          <w:lang w:val="zh-CN"/>
        </w:rPr>
        <w:t xml:space="preserve">：             </w:t>
      </w:r>
      <w:r>
        <w:rPr>
          <w:rFonts w:hint="eastAsia" w:ascii="宋体" w:hAnsi="宋体" w:cs="宋体"/>
          <w:spacing w:val="-4"/>
          <w:highlight w:val="none"/>
        </w:rPr>
        <w:t>标项号：</w:t>
      </w:r>
    </w:p>
    <w:tbl>
      <w:tblPr>
        <w:tblStyle w:val="46"/>
        <w:tblW w:w="9060" w:type="dxa"/>
        <w:tblInd w:w="9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46"/>
        <w:gridCol w:w="1607"/>
        <w:gridCol w:w="1291"/>
        <w:gridCol w:w="1216"/>
        <w:gridCol w:w="1216"/>
        <w:gridCol w:w="16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787" w:type="dxa"/>
            <w:vAlign w:val="center"/>
          </w:tcPr>
          <w:p>
            <w:pPr>
              <w:spacing w:line="400" w:lineRule="exact"/>
              <w:ind w:right="23" w:rightChars="11"/>
              <w:jc w:val="center"/>
              <w:rPr>
                <w:rFonts w:ascii="宋体" w:hAnsi="宋体" w:cs="宋体"/>
                <w:highlight w:val="none"/>
              </w:rPr>
            </w:pPr>
            <w:r>
              <w:rPr>
                <w:rFonts w:hint="eastAsia" w:ascii="宋体" w:hAnsi="宋体" w:cs="宋体"/>
                <w:highlight w:val="none"/>
              </w:rPr>
              <w:t>序号</w:t>
            </w:r>
          </w:p>
        </w:tc>
        <w:tc>
          <w:tcPr>
            <w:tcW w:w="1246" w:type="dxa"/>
            <w:vAlign w:val="center"/>
          </w:tcPr>
          <w:p>
            <w:pPr>
              <w:spacing w:line="400" w:lineRule="exact"/>
              <w:ind w:right="23" w:rightChars="11"/>
              <w:jc w:val="center"/>
              <w:rPr>
                <w:rFonts w:ascii="宋体" w:hAnsi="宋体" w:cs="宋体"/>
                <w:highlight w:val="none"/>
              </w:rPr>
            </w:pPr>
            <w:r>
              <w:rPr>
                <w:rFonts w:hint="eastAsia" w:ascii="宋体" w:hAnsi="宋体" w:cs="宋体"/>
                <w:highlight w:val="none"/>
              </w:rPr>
              <w:t>业主单位</w:t>
            </w:r>
          </w:p>
        </w:tc>
        <w:tc>
          <w:tcPr>
            <w:tcW w:w="1607" w:type="dxa"/>
            <w:vAlign w:val="center"/>
          </w:tcPr>
          <w:p>
            <w:pPr>
              <w:spacing w:line="400" w:lineRule="exact"/>
              <w:ind w:right="23" w:rightChars="11"/>
              <w:jc w:val="center"/>
              <w:rPr>
                <w:rFonts w:ascii="宋体" w:hAnsi="宋体" w:cs="宋体"/>
                <w:highlight w:val="none"/>
              </w:rPr>
            </w:pPr>
            <w:r>
              <w:rPr>
                <w:rFonts w:hint="eastAsia" w:ascii="宋体" w:hAnsi="宋体" w:cs="宋体"/>
                <w:highlight w:val="none"/>
              </w:rPr>
              <w:t>项目名称</w:t>
            </w:r>
          </w:p>
        </w:tc>
        <w:tc>
          <w:tcPr>
            <w:tcW w:w="1291" w:type="dxa"/>
            <w:vAlign w:val="center"/>
          </w:tcPr>
          <w:p>
            <w:pPr>
              <w:spacing w:line="400" w:lineRule="exact"/>
              <w:ind w:right="23" w:rightChars="11"/>
              <w:jc w:val="center"/>
              <w:rPr>
                <w:rFonts w:ascii="宋体" w:hAnsi="宋体" w:cs="宋体"/>
                <w:highlight w:val="none"/>
              </w:rPr>
            </w:pPr>
            <w:r>
              <w:rPr>
                <w:rFonts w:hint="eastAsia" w:ascii="宋体" w:hAnsi="宋体" w:cs="宋体"/>
                <w:highlight w:val="none"/>
              </w:rPr>
              <w:t>服务地点</w:t>
            </w:r>
          </w:p>
        </w:tc>
        <w:tc>
          <w:tcPr>
            <w:tcW w:w="1216" w:type="dxa"/>
            <w:vAlign w:val="center"/>
          </w:tcPr>
          <w:p>
            <w:pPr>
              <w:spacing w:line="400" w:lineRule="exact"/>
              <w:ind w:right="23" w:rightChars="11"/>
              <w:jc w:val="center"/>
              <w:rPr>
                <w:rFonts w:ascii="宋体" w:hAnsi="宋体" w:cs="宋体"/>
                <w:highlight w:val="none"/>
              </w:rPr>
            </w:pPr>
            <w:r>
              <w:rPr>
                <w:rFonts w:hint="eastAsia" w:ascii="宋体" w:hAnsi="宋体" w:cs="宋体"/>
                <w:highlight w:val="none"/>
              </w:rPr>
              <w:t>合同履行期限</w:t>
            </w:r>
          </w:p>
        </w:tc>
        <w:tc>
          <w:tcPr>
            <w:tcW w:w="1216" w:type="dxa"/>
            <w:vAlign w:val="center"/>
          </w:tcPr>
          <w:p>
            <w:pPr>
              <w:spacing w:line="400" w:lineRule="exact"/>
              <w:ind w:right="23" w:rightChars="11"/>
              <w:jc w:val="center"/>
              <w:rPr>
                <w:rFonts w:ascii="宋体" w:hAnsi="宋体" w:cs="宋体"/>
                <w:highlight w:val="none"/>
              </w:rPr>
            </w:pPr>
            <w:r>
              <w:rPr>
                <w:rFonts w:hint="eastAsia" w:ascii="宋体" w:hAnsi="宋体" w:cs="宋体"/>
                <w:highlight w:val="none"/>
              </w:rPr>
              <w:t>合同价格（元）</w:t>
            </w:r>
          </w:p>
        </w:tc>
        <w:tc>
          <w:tcPr>
            <w:tcW w:w="1697" w:type="dxa"/>
            <w:vAlign w:val="center"/>
          </w:tcPr>
          <w:p>
            <w:pPr>
              <w:spacing w:line="400" w:lineRule="exact"/>
              <w:ind w:right="23" w:rightChars="11"/>
              <w:jc w:val="center"/>
              <w:rPr>
                <w:rFonts w:ascii="宋体" w:hAnsi="宋体" w:cs="宋体"/>
                <w:highlight w:val="none"/>
              </w:rPr>
            </w:pPr>
            <w:r>
              <w:rPr>
                <w:rFonts w:hint="eastAsia" w:ascii="宋体" w:hAnsi="宋体" w:cs="宋体"/>
                <w:highlight w:val="none"/>
              </w:rPr>
              <w:t>业主单位联系人/电话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vAlign w:val="center"/>
          </w:tcPr>
          <w:p>
            <w:pPr>
              <w:spacing w:line="400" w:lineRule="exact"/>
              <w:ind w:right="25" w:rightChars="12"/>
              <w:jc w:val="center"/>
              <w:rPr>
                <w:rFonts w:ascii="宋体" w:hAnsi="宋体" w:cs="宋体"/>
                <w:highlight w:val="none"/>
              </w:rPr>
            </w:pPr>
            <w:r>
              <w:rPr>
                <w:rFonts w:hint="eastAsia" w:ascii="宋体" w:hAnsi="宋体" w:cs="宋体"/>
                <w:highlight w:val="none"/>
              </w:rPr>
              <w:t>1</w:t>
            </w:r>
          </w:p>
        </w:tc>
        <w:tc>
          <w:tcPr>
            <w:tcW w:w="1246" w:type="dxa"/>
          </w:tcPr>
          <w:p>
            <w:pPr>
              <w:spacing w:line="400" w:lineRule="exact"/>
              <w:ind w:right="25" w:rightChars="12"/>
              <w:jc w:val="center"/>
              <w:rPr>
                <w:rFonts w:ascii="宋体" w:hAnsi="宋体" w:cs="宋体"/>
                <w:b/>
                <w:highlight w:val="none"/>
              </w:rPr>
            </w:pPr>
          </w:p>
        </w:tc>
        <w:tc>
          <w:tcPr>
            <w:tcW w:w="1607" w:type="dxa"/>
          </w:tcPr>
          <w:p>
            <w:pPr>
              <w:spacing w:line="400" w:lineRule="exact"/>
              <w:ind w:right="25" w:rightChars="12"/>
              <w:jc w:val="center"/>
              <w:rPr>
                <w:rFonts w:ascii="宋体" w:hAnsi="宋体" w:cs="宋体"/>
                <w:b/>
                <w:highlight w:val="none"/>
              </w:rPr>
            </w:pPr>
          </w:p>
        </w:tc>
        <w:tc>
          <w:tcPr>
            <w:tcW w:w="1291" w:type="dxa"/>
          </w:tcPr>
          <w:p>
            <w:pPr>
              <w:spacing w:line="400" w:lineRule="exact"/>
              <w:ind w:right="25" w:rightChars="12"/>
              <w:jc w:val="center"/>
              <w:rPr>
                <w:rFonts w:ascii="宋体" w:hAnsi="宋体" w:cs="宋体"/>
                <w:b/>
                <w:highlight w:val="none"/>
              </w:rPr>
            </w:pPr>
          </w:p>
        </w:tc>
        <w:tc>
          <w:tcPr>
            <w:tcW w:w="1216" w:type="dxa"/>
          </w:tcPr>
          <w:p>
            <w:pPr>
              <w:spacing w:line="400" w:lineRule="exact"/>
              <w:ind w:right="25" w:rightChars="12"/>
              <w:jc w:val="center"/>
              <w:rPr>
                <w:rFonts w:ascii="宋体" w:hAnsi="宋体" w:cs="宋体"/>
                <w:b/>
                <w:highlight w:val="none"/>
              </w:rPr>
            </w:pPr>
          </w:p>
        </w:tc>
        <w:tc>
          <w:tcPr>
            <w:tcW w:w="1216" w:type="dxa"/>
          </w:tcPr>
          <w:p>
            <w:pPr>
              <w:spacing w:line="400" w:lineRule="exact"/>
              <w:ind w:right="25" w:rightChars="12"/>
              <w:jc w:val="center"/>
              <w:rPr>
                <w:rFonts w:ascii="宋体" w:hAnsi="宋体" w:cs="宋体"/>
                <w:b/>
                <w:highlight w:val="none"/>
              </w:rPr>
            </w:pPr>
          </w:p>
        </w:tc>
        <w:tc>
          <w:tcPr>
            <w:tcW w:w="1697" w:type="dxa"/>
          </w:tcPr>
          <w:p>
            <w:pPr>
              <w:spacing w:line="400" w:lineRule="exact"/>
              <w:ind w:right="25" w:rightChars="12"/>
              <w:jc w:val="center"/>
              <w:rPr>
                <w:rFonts w:ascii="宋体" w:hAnsi="宋体" w:cs="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vAlign w:val="center"/>
          </w:tcPr>
          <w:p>
            <w:pPr>
              <w:spacing w:line="400" w:lineRule="exact"/>
              <w:ind w:right="25" w:rightChars="12"/>
              <w:jc w:val="center"/>
              <w:rPr>
                <w:rFonts w:ascii="宋体" w:hAnsi="宋体" w:cs="宋体"/>
                <w:highlight w:val="none"/>
              </w:rPr>
            </w:pPr>
            <w:r>
              <w:rPr>
                <w:rFonts w:hint="eastAsia" w:ascii="宋体" w:hAnsi="宋体" w:cs="宋体"/>
                <w:highlight w:val="none"/>
              </w:rPr>
              <w:t>2</w:t>
            </w:r>
          </w:p>
        </w:tc>
        <w:tc>
          <w:tcPr>
            <w:tcW w:w="1246" w:type="dxa"/>
          </w:tcPr>
          <w:p>
            <w:pPr>
              <w:spacing w:line="400" w:lineRule="exact"/>
              <w:ind w:right="25" w:rightChars="12"/>
              <w:jc w:val="center"/>
              <w:rPr>
                <w:rFonts w:ascii="宋体" w:hAnsi="宋体" w:cs="宋体"/>
                <w:b/>
                <w:highlight w:val="none"/>
              </w:rPr>
            </w:pPr>
          </w:p>
        </w:tc>
        <w:tc>
          <w:tcPr>
            <w:tcW w:w="1607" w:type="dxa"/>
          </w:tcPr>
          <w:p>
            <w:pPr>
              <w:spacing w:line="400" w:lineRule="exact"/>
              <w:ind w:right="25" w:rightChars="12"/>
              <w:jc w:val="center"/>
              <w:rPr>
                <w:rFonts w:ascii="宋体" w:hAnsi="宋体" w:cs="宋体"/>
                <w:b/>
                <w:highlight w:val="none"/>
              </w:rPr>
            </w:pPr>
          </w:p>
        </w:tc>
        <w:tc>
          <w:tcPr>
            <w:tcW w:w="1291" w:type="dxa"/>
          </w:tcPr>
          <w:p>
            <w:pPr>
              <w:spacing w:line="400" w:lineRule="exact"/>
              <w:ind w:right="25" w:rightChars="12"/>
              <w:jc w:val="center"/>
              <w:rPr>
                <w:rFonts w:ascii="宋体" w:hAnsi="宋体" w:cs="宋体"/>
                <w:b/>
                <w:highlight w:val="none"/>
              </w:rPr>
            </w:pPr>
          </w:p>
        </w:tc>
        <w:tc>
          <w:tcPr>
            <w:tcW w:w="1216" w:type="dxa"/>
          </w:tcPr>
          <w:p>
            <w:pPr>
              <w:spacing w:line="400" w:lineRule="exact"/>
              <w:ind w:right="25" w:rightChars="12"/>
              <w:jc w:val="center"/>
              <w:rPr>
                <w:rFonts w:ascii="宋体" w:hAnsi="宋体" w:cs="宋体"/>
                <w:b/>
                <w:highlight w:val="none"/>
              </w:rPr>
            </w:pPr>
          </w:p>
        </w:tc>
        <w:tc>
          <w:tcPr>
            <w:tcW w:w="1216" w:type="dxa"/>
          </w:tcPr>
          <w:p>
            <w:pPr>
              <w:spacing w:line="400" w:lineRule="exact"/>
              <w:ind w:right="25" w:rightChars="12"/>
              <w:jc w:val="center"/>
              <w:rPr>
                <w:rFonts w:ascii="宋体" w:hAnsi="宋体" w:cs="宋体"/>
                <w:b/>
                <w:highlight w:val="none"/>
              </w:rPr>
            </w:pPr>
          </w:p>
        </w:tc>
        <w:tc>
          <w:tcPr>
            <w:tcW w:w="1697" w:type="dxa"/>
          </w:tcPr>
          <w:p>
            <w:pPr>
              <w:spacing w:line="400" w:lineRule="exact"/>
              <w:ind w:right="25" w:rightChars="12"/>
              <w:jc w:val="center"/>
              <w:rPr>
                <w:rFonts w:ascii="宋体" w:hAnsi="宋体" w:cs="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vAlign w:val="center"/>
          </w:tcPr>
          <w:p>
            <w:pPr>
              <w:spacing w:line="400" w:lineRule="exact"/>
              <w:ind w:right="25" w:rightChars="12"/>
              <w:jc w:val="center"/>
              <w:rPr>
                <w:rFonts w:ascii="宋体" w:hAnsi="宋体" w:cs="宋体"/>
                <w:highlight w:val="none"/>
              </w:rPr>
            </w:pPr>
            <w:r>
              <w:rPr>
                <w:rFonts w:hint="eastAsia" w:ascii="宋体" w:hAnsi="宋体" w:cs="宋体"/>
                <w:highlight w:val="none"/>
              </w:rPr>
              <w:t>3</w:t>
            </w:r>
          </w:p>
        </w:tc>
        <w:tc>
          <w:tcPr>
            <w:tcW w:w="1246" w:type="dxa"/>
          </w:tcPr>
          <w:p>
            <w:pPr>
              <w:spacing w:line="400" w:lineRule="exact"/>
              <w:ind w:right="25" w:rightChars="12"/>
              <w:jc w:val="center"/>
              <w:rPr>
                <w:rFonts w:ascii="宋体" w:hAnsi="宋体" w:cs="宋体"/>
                <w:b/>
                <w:highlight w:val="none"/>
              </w:rPr>
            </w:pPr>
          </w:p>
        </w:tc>
        <w:tc>
          <w:tcPr>
            <w:tcW w:w="1607" w:type="dxa"/>
          </w:tcPr>
          <w:p>
            <w:pPr>
              <w:spacing w:line="400" w:lineRule="exact"/>
              <w:ind w:right="25" w:rightChars="12"/>
              <w:jc w:val="center"/>
              <w:rPr>
                <w:rFonts w:ascii="宋体" w:hAnsi="宋体" w:cs="宋体"/>
                <w:b/>
                <w:highlight w:val="none"/>
              </w:rPr>
            </w:pPr>
          </w:p>
        </w:tc>
        <w:tc>
          <w:tcPr>
            <w:tcW w:w="1291" w:type="dxa"/>
          </w:tcPr>
          <w:p>
            <w:pPr>
              <w:spacing w:line="400" w:lineRule="exact"/>
              <w:ind w:right="25" w:rightChars="12"/>
              <w:jc w:val="center"/>
              <w:rPr>
                <w:rFonts w:ascii="宋体" w:hAnsi="宋体" w:cs="宋体"/>
                <w:b/>
                <w:highlight w:val="none"/>
              </w:rPr>
            </w:pPr>
          </w:p>
        </w:tc>
        <w:tc>
          <w:tcPr>
            <w:tcW w:w="1216" w:type="dxa"/>
          </w:tcPr>
          <w:p>
            <w:pPr>
              <w:spacing w:line="400" w:lineRule="exact"/>
              <w:ind w:right="25" w:rightChars="12"/>
              <w:jc w:val="center"/>
              <w:rPr>
                <w:rFonts w:ascii="宋体" w:hAnsi="宋体" w:cs="宋体"/>
                <w:b/>
                <w:highlight w:val="none"/>
              </w:rPr>
            </w:pPr>
          </w:p>
        </w:tc>
        <w:tc>
          <w:tcPr>
            <w:tcW w:w="1216" w:type="dxa"/>
          </w:tcPr>
          <w:p>
            <w:pPr>
              <w:spacing w:line="400" w:lineRule="exact"/>
              <w:ind w:right="25" w:rightChars="12"/>
              <w:jc w:val="center"/>
              <w:rPr>
                <w:rFonts w:ascii="宋体" w:hAnsi="宋体" w:cs="宋体"/>
                <w:b/>
                <w:highlight w:val="none"/>
              </w:rPr>
            </w:pPr>
          </w:p>
        </w:tc>
        <w:tc>
          <w:tcPr>
            <w:tcW w:w="1697" w:type="dxa"/>
          </w:tcPr>
          <w:p>
            <w:pPr>
              <w:spacing w:line="400" w:lineRule="exact"/>
              <w:ind w:right="25" w:rightChars="12"/>
              <w:jc w:val="center"/>
              <w:rPr>
                <w:rFonts w:ascii="宋体" w:hAnsi="宋体" w:cs="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vAlign w:val="center"/>
          </w:tcPr>
          <w:p>
            <w:pPr>
              <w:spacing w:line="400" w:lineRule="exact"/>
              <w:ind w:right="25" w:rightChars="12"/>
              <w:jc w:val="center"/>
              <w:rPr>
                <w:rFonts w:ascii="宋体" w:hAnsi="宋体" w:cs="宋体"/>
                <w:highlight w:val="none"/>
              </w:rPr>
            </w:pPr>
            <w:r>
              <w:rPr>
                <w:rFonts w:hint="eastAsia" w:ascii="宋体" w:hAnsi="宋体" w:cs="宋体"/>
                <w:highlight w:val="none"/>
              </w:rPr>
              <w:t>…</w:t>
            </w:r>
          </w:p>
        </w:tc>
        <w:tc>
          <w:tcPr>
            <w:tcW w:w="1246" w:type="dxa"/>
          </w:tcPr>
          <w:p>
            <w:pPr>
              <w:spacing w:line="400" w:lineRule="exact"/>
              <w:ind w:right="25" w:rightChars="12"/>
              <w:jc w:val="center"/>
              <w:rPr>
                <w:rFonts w:ascii="宋体" w:hAnsi="宋体" w:cs="宋体"/>
                <w:b/>
                <w:highlight w:val="none"/>
              </w:rPr>
            </w:pPr>
          </w:p>
        </w:tc>
        <w:tc>
          <w:tcPr>
            <w:tcW w:w="1607" w:type="dxa"/>
          </w:tcPr>
          <w:p>
            <w:pPr>
              <w:spacing w:line="400" w:lineRule="exact"/>
              <w:ind w:right="25" w:rightChars="12"/>
              <w:jc w:val="center"/>
              <w:rPr>
                <w:rFonts w:ascii="宋体" w:hAnsi="宋体" w:cs="宋体"/>
                <w:b/>
                <w:highlight w:val="none"/>
              </w:rPr>
            </w:pPr>
          </w:p>
        </w:tc>
        <w:tc>
          <w:tcPr>
            <w:tcW w:w="1291" w:type="dxa"/>
          </w:tcPr>
          <w:p>
            <w:pPr>
              <w:spacing w:line="400" w:lineRule="exact"/>
              <w:ind w:right="25" w:rightChars="12"/>
              <w:jc w:val="center"/>
              <w:rPr>
                <w:rFonts w:ascii="宋体" w:hAnsi="宋体" w:cs="宋体"/>
                <w:b/>
                <w:highlight w:val="none"/>
              </w:rPr>
            </w:pPr>
          </w:p>
        </w:tc>
        <w:tc>
          <w:tcPr>
            <w:tcW w:w="1216" w:type="dxa"/>
          </w:tcPr>
          <w:p>
            <w:pPr>
              <w:spacing w:line="400" w:lineRule="exact"/>
              <w:ind w:right="25" w:rightChars="12"/>
              <w:jc w:val="center"/>
              <w:rPr>
                <w:rFonts w:ascii="宋体" w:hAnsi="宋体" w:cs="宋体"/>
                <w:b/>
                <w:highlight w:val="none"/>
              </w:rPr>
            </w:pPr>
          </w:p>
        </w:tc>
        <w:tc>
          <w:tcPr>
            <w:tcW w:w="1216" w:type="dxa"/>
          </w:tcPr>
          <w:p>
            <w:pPr>
              <w:spacing w:line="400" w:lineRule="exact"/>
              <w:ind w:right="25" w:rightChars="12"/>
              <w:jc w:val="center"/>
              <w:rPr>
                <w:rFonts w:ascii="宋体" w:hAnsi="宋体" w:cs="宋体"/>
                <w:b/>
                <w:highlight w:val="none"/>
              </w:rPr>
            </w:pPr>
          </w:p>
        </w:tc>
        <w:tc>
          <w:tcPr>
            <w:tcW w:w="1697" w:type="dxa"/>
          </w:tcPr>
          <w:p>
            <w:pPr>
              <w:spacing w:line="400" w:lineRule="exact"/>
              <w:ind w:right="25" w:rightChars="12"/>
              <w:jc w:val="center"/>
              <w:rPr>
                <w:rFonts w:ascii="宋体" w:hAnsi="宋体" w:cs="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vAlign w:val="center"/>
          </w:tcPr>
          <w:p>
            <w:pPr>
              <w:spacing w:line="400" w:lineRule="exact"/>
              <w:ind w:right="25" w:rightChars="12"/>
              <w:jc w:val="center"/>
              <w:rPr>
                <w:rFonts w:ascii="宋体" w:hAnsi="宋体" w:cs="宋体"/>
                <w:highlight w:val="none"/>
              </w:rPr>
            </w:pPr>
          </w:p>
        </w:tc>
        <w:tc>
          <w:tcPr>
            <w:tcW w:w="1246" w:type="dxa"/>
          </w:tcPr>
          <w:p>
            <w:pPr>
              <w:spacing w:line="400" w:lineRule="exact"/>
              <w:ind w:right="25" w:rightChars="12"/>
              <w:jc w:val="center"/>
              <w:rPr>
                <w:rFonts w:ascii="宋体" w:hAnsi="宋体" w:cs="宋体"/>
                <w:b/>
                <w:highlight w:val="none"/>
              </w:rPr>
            </w:pPr>
          </w:p>
        </w:tc>
        <w:tc>
          <w:tcPr>
            <w:tcW w:w="1607" w:type="dxa"/>
          </w:tcPr>
          <w:p>
            <w:pPr>
              <w:spacing w:line="400" w:lineRule="exact"/>
              <w:ind w:right="25" w:rightChars="12"/>
              <w:jc w:val="center"/>
              <w:rPr>
                <w:rFonts w:ascii="宋体" w:hAnsi="宋体" w:cs="宋体"/>
                <w:b/>
                <w:highlight w:val="none"/>
              </w:rPr>
            </w:pPr>
          </w:p>
        </w:tc>
        <w:tc>
          <w:tcPr>
            <w:tcW w:w="1291" w:type="dxa"/>
          </w:tcPr>
          <w:p>
            <w:pPr>
              <w:spacing w:line="400" w:lineRule="exact"/>
              <w:ind w:right="25" w:rightChars="12"/>
              <w:jc w:val="center"/>
              <w:rPr>
                <w:rFonts w:ascii="宋体" w:hAnsi="宋体" w:cs="宋体"/>
                <w:b/>
                <w:highlight w:val="none"/>
              </w:rPr>
            </w:pPr>
          </w:p>
        </w:tc>
        <w:tc>
          <w:tcPr>
            <w:tcW w:w="1216" w:type="dxa"/>
          </w:tcPr>
          <w:p>
            <w:pPr>
              <w:spacing w:line="400" w:lineRule="exact"/>
              <w:ind w:right="25" w:rightChars="12"/>
              <w:jc w:val="center"/>
              <w:rPr>
                <w:rFonts w:ascii="宋体" w:hAnsi="宋体" w:cs="宋体"/>
                <w:b/>
                <w:highlight w:val="none"/>
              </w:rPr>
            </w:pPr>
          </w:p>
        </w:tc>
        <w:tc>
          <w:tcPr>
            <w:tcW w:w="1216" w:type="dxa"/>
          </w:tcPr>
          <w:p>
            <w:pPr>
              <w:spacing w:line="400" w:lineRule="exact"/>
              <w:ind w:right="25" w:rightChars="12"/>
              <w:jc w:val="center"/>
              <w:rPr>
                <w:rFonts w:ascii="宋体" w:hAnsi="宋体" w:cs="宋体"/>
                <w:b/>
                <w:highlight w:val="none"/>
              </w:rPr>
            </w:pPr>
          </w:p>
        </w:tc>
        <w:tc>
          <w:tcPr>
            <w:tcW w:w="1697" w:type="dxa"/>
          </w:tcPr>
          <w:p>
            <w:pPr>
              <w:spacing w:line="400" w:lineRule="exact"/>
              <w:ind w:right="25" w:rightChars="12"/>
              <w:jc w:val="center"/>
              <w:rPr>
                <w:rFonts w:ascii="宋体" w:hAnsi="宋体" w:cs="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87" w:type="dxa"/>
            <w:vAlign w:val="center"/>
          </w:tcPr>
          <w:p>
            <w:pPr>
              <w:spacing w:line="400" w:lineRule="exact"/>
              <w:ind w:right="25" w:rightChars="12"/>
              <w:jc w:val="center"/>
              <w:rPr>
                <w:rFonts w:ascii="宋体" w:hAnsi="宋体" w:cs="宋体"/>
                <w:highlight w:val="none"/>
              </w:rPr>
            </w:pPr>
          </w:p>
        </w:tc>
        <w:tc>
          <w:tcPr>
            <w:tcW w:w="1246" w:type="dxa"/>
          </w:tcPr>
          <w:p>
            <w:pPr>
              <w:spacing w:line="400" w:lineRule="exact"/>
              <w:ind w:right="25" w:rightChars="12"/>
              <w:jc w:val="center"/>
              <w:rPr>
                <w:rFonts w:ascii="宋体" w:hAnsi="宋体" w:cs="宋体"/>
                <w:b/>
                <w:highlight w:val="none"/>
              </w:rPr>
            </w:pPr>
          </w:p>
        </w:tc>
        <w:tc>
          <w:tcPr>
            <w:tcW w:w="1607" w:type="dxa"/>
          </w:tcPr>
          <w:p>
            <w:pPr>
              <w:spacing w:line="400" w:lineRule="exact"/>
              <w:ind w:right="25" w:rightChars="12"/>
              <w:jc w:val="center"/>
              <w:rPr>
                <w:rFonts w:ascii="宋体" w:hAnsi="宋体" w:cs="宋体"/>
                <w:b/>
                <w:highlight w:val="none"/>
              </w:rPr>
            </w:pPr>
          </w:p>
        </w:tc>
        <w:tc>
          <w:tcPr>
            <w:tcW w:w="1291" w:type="dxa"/>
          </w:tcPr>
          <w:p>
            <w:pPr>
              <w:spacing w:line="400" w:lineRule="exact"/>
              <w:ind w:right="25" w:rightChars="12"/>
              <w:jc w:val="center"/>
              <w:rPr>
                <w:rFonts w:ascii="宋体" w:hAnsi="宋体" w:cs="宋体"/>
                <w:b/>
                <w:highlight w:val="none"/>
              </w:rPr>
            </w:pPr>
          </w:p>
        </w:tc>
        <w:tc>
          <w:tcPr>
            <w:tcW w:w="1216" w:type="dxa"/>
          </w:tcPr>
          <w:p>
            <w:pPr>
              <w:spacing w:line="400" w:lineRule="exact"/>
              <w:ind w:right="25" w:rightChars="12"/>
              <w:jc w:val="center"/>
              <w:rPr>
                <w:rFonts w:ascii="宋体" w:hAnsi="宋体" w:cs="宋体"/>
                <w:b/>
                <w:highlight w:val="none"/>
              </w:rPr>
            </w:pPr>
          </w:p>
        </w:tc>
        <w:tc>
          <w:tcPr>
            <w:tcW w:w="1216" w:type="dxa"/>
          </w:tcPr>
          <w:p>
            <w:pPr>
              <w:spacing w:line="400" w:lineRule="exact"/>
              <w:ind w:right="25" w:rightChars="12"/>
              <w:jc w:val="center"/>
              <w:rPr>
                <w:rFonts w:ascii="宋体" w:hAnsi="宋体" w:cs="宋体"/>
                <w:b/>
                <w:highlight w:val="none"/>
              </w:rPr>
            </w:pPr>
          </w:p>
        </w:tc>
        <w:tc>
          <w:tcPr>
            <w:tcW w:w="1697" w:type="dxa"/>
          </w:tcPr>
          <w:p>
            <w:pPr>
              <w:spacing w:line="400" w:lineRule="exact"/>
              <w:ind w:right="25" w:rightChars="12"/>
              <w:jc w:val="center"/>
              <w:rPr>
                <w:rFonts w:ascii="宋体" w:hAnsi="宋体" w:cs="宋体"/>
                <w:b/>
                <w:highlight w:val="none"/>
              </w:rPr>
            </w:pPr>
          </w:p>
        </w:tc>
      </w:tr>
    </w:tbl>
    <w:p>
      <w:pPr>
        <w:snapToGrid w:val="0"/>
        <w:spacing w:line="360" w:lineRule="auto"/>
        <w:jc w:val="left"/>
        <w:rPr>
          <w:rFonts w:hint="eastAsia" w:ascii="宋体" w:hAnsi="宋体" w:cs="宋体"/>
          <w:highlight w:val="none"/>
        </w:rPr>
      </w:pPr>
    </w:p>
    <w:p>
      <w:pPr>
        <w:snapToGrid w:val="0"/>
        <w:spacing w:line="360" w:lineRule="auto"/>
        <w:jc w:val="left"/>
        <w:rPr>
          <w:rFonts w:hint="eastAsia" w:ascii="宋体" w:hAnsi="宋体" w:cs="宋体"/>
          <w:highlight w:val="none"/>
        </w:rPr>
      </w:pPr>
    </w:p>
    <w:p>
      <w:pPr>
        <w:snapToGrid w:val="0"/>
        <w:spacing w:line="360" w:lineRule="auto"/>
        <w:jc w:val="left"/>
        <w:rPr>
          <w:rFonts w:hint="eastAsia" w:ascii="宋体" w:hAnsi="宋体" w:cs="宋体"/>
          <w:highlight w:val="none"/>
        </w:rPr>
      </w:pPr>
    </w:p>
    <w:p>
      <w:pPr>
        <w:snapToGrid w:val="0"/>
        <w:spacing w:line="360" w:lineRule="auto"/>
        <w:jc w:val="left"/>
        <w:rPr>
          <w:rFonts w:hint="eastAsia" w:ascii="宋体" w:hAnsi="宋体" w:cs="宋体"/>
          <w:highlight w:val="none"/>
        </w:rPr>
      </w:pPr>
    </w:p>
    <w:p>
      <w:pPr>
        <w:snapToGrid w:val="0"/>
        <w:spacing w:line="360" w:lineRule="auto"/>
        <w:jc w:val="left"/>
        <w:rPr>
          <w:rFonts w:hint="eastAsia" w:ascii="宋体" w:hAnsi="宋体" w:cs="宋体"/>
          <w:highlight w:val="none"/>
        </w:rPr>
      </w:pPr>
    </w:p>
    <w:p>
      <w:pPr>
        <w:snapToGrid w:val="0"/>
        <w:spacing w:line="360" w:lineRule="auto"/>
        <w:jc w:val="left"/>
        <w:rPr>
          <w:rFonts w:hint="eastAsia" w:ascii="宋体" w:hAnsi="宋体" w:cs="宋体"/>
          <w:highlight w:val="none"/>
        </w:rPr>
      </w:pPr>
    </w:p>
    <w:p>
      <w:pPr>
        <w:snapToGrid w:val="0"/>
        <w:spacing w:line="360" w:lineRule="auto"/>
        <w:jc w:val="left"/>
        <w:rPr>
          <w:rFonts w:hint="eastAsia" w:ascii="宋体" w:hAnsi="宋体" w:cs="宋体"/>
          <w:highlight w:val="none"/>
        </w:rPr>
      </w:pPr>
    </w:p>
    <w:p>
      <w:pPr>
        <w:snapToGrid w:val="0"/>
        <w:spacing w:line="360" w:lineRule="auto"/>
        <w:jc w:val="left"/>
        <w:rPr>
          <w:rFonts w:hint="eastAsia" w:ascii="宋体" w:hAnsi="宋体" w:cs="宋体"/>
          <w:highlight w:val="none"/>
        </w:rPr>
      </w:pPr>
    </w:p>
    <w:p>
      <w:pPr>
        <w:snapToGrid w:val="0"/>
        <w:spacing w:line="360" w:lineRule="auto"/>
        <w:jc w:val="left"/>
        <w:rPr>
          <w:rFonts w:hint="eastAsia" w:ascii="宋体" w:hAnsi="宋体" w:cs="宋体"/>
          <w:highlight w:val="none"/>
        </w:rPr>
      </w:pPr>
    </w:p>
    <w:p>
      <w:pPr>
        <w:snapToGrid w:val="0"/>
        <w:spacing w:line="360" w:lineRule="auto"/>
        <w:jc w:val="left"/>
        <w:rPr>
          <w:rFonts w:hint="eastAsia" w:ascii="宋体" w:hAnsi="宋体" w:cs="宋体"/>
          <w:highlight w:val="none"/>
        </w:rPr>
      </w:pPr>
    </w:p>
    <w:p>
      <w:pPr>
        <w:snapToGrid w:val="0"/>
        <w:spacing w:line="360" w:lineRule="auto"/>
        <w:jc w:val="left"/>
        <w:rPr>
          <w:rFonts w:hint="eastAsia" w:ascii="宋体" w:hAnsi="宋体" w:cs="宋体"/>
          <w:highlight w:val="none"/>
        </w:rPr>
      </w:pPr>
    </w:p>
    <w:p>
      <w:pPr>
        <w:snapToGrid w:val="0"/>
        <w:spacing w:line="360" w:lineRule="auto"/>
        <w:jc w:val="left"/>
        <w:rPr>
          <w:rFonts w:hint="eastAsia" w:ascii="宋体" w:hAnsi="宋体" w:cs="宋体"/>
          <w:highlight w:val="none"/>
        </w:rPr>
      </w:pPr>
    </w:p>
    <w:p>
      <w:pPr>
        <w:snapToGrid w:val="0"/>
        <w:spacing w:line="360" w:lineRule="auto"/>
        <w:jc w:val="left"/>
        <w:rPr>
          <w:rFonts w:hint="eastAsia" w:ascii="宋体" w:hAnsi="宋体" w:cs="宋体"/>
          <w:highlight w:val="none"/>
        </w:rPr>
      </w:pPr>
    </w:p>
    <w:p>
      <w:pPr>
        <w:snapToGrid w:val="0"/>
        <w:spacing w:line="360" w:lineRule="auto"/>
        <w:jc w:val="left"/>
        <w:rPr>
          <w:rFonts w:hint="eastAsia" w:ascii="宋体" w:hAnsi="宋体" w:cs="宋体"/>
          <w:highlight w:val="none"/>
        </w:rPr>
      </w:pPr>
    </w:p>
    <w:p>
      <w:pPr>
        <w:snapToGrid w:val="0"/>
        <w:spacing w:line="360" w:lineRule="auto"/>
        <w:jc w:val="left"/>
        <w:rPr>
          <w:rFonts w:hint="eastAsia" w:ascii="宋体" w:hAnsi="宋体" w:cs="宋体"/>
          <w:highlight w:val="none"/>
        </w:rPr>
      </w:pPr>
    </w:p>
    <w:p>
      <w:pPr>
        <w:snapToGrid w:val="0"/>
        <w:spacing w:line="360" w:lineRule="auto"/>
        <w:jc w:val="left"/>
        <w:rPr>
          <w:rFonts w:hint="eastAsia" w:ascii="宋体" w:hAnsi="宋体" w:cs="宋体"/>
          <w:highlight w:val="none"/>
        </w:rPr>
      </w:pPr>
    </w:p>
    <w:p>
      <w:pPr>
        <w:snapToGrid w:val="0"/>
        <w:spacing w:line="360" w:lineRule="auto"/>
        <w:jc w:val="left"/>
        <w:rPr>
          <w:rFonts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1</w:t>
      </w:r>
      <w:r>
        <w:rPr>
          <w:rFonts w:hint="eastAsia" w:ascii="宋体" w:hAnsi="宋体" w:cs="宋体"/>
          <w:highlight w:val="none"/>
        </w:rPr>
        <w:t>）</w:t>
      </w:r>
      <w:r>
        <w:rPr>
          <w:rFonts w:hint="eastAsia" w:ascii="宋体" w:hAnsi="宋体" w:cs="宋体"/>
          <w:highlight w:val="none"/>
          <w:lang w:val="en-US" w:eastAsia="zh-CN"/>
        </w:rPr>
        <w:t>承诺书</w:t>
      </w:r>
      <w:r>
        <w:rPr>
          <w:rFonts w:hint="eastAsia" w:ascii="宋体" w:hAnsi="宋体" w:cs="宋体"/>
          <w:highlight w:val="none"/>
        </w:rPr>
        <w:t>；</w:t>
      </w:r>
    </w:p>
    <w:p>
      <w:pPr>
        <w:snapToGrid w:val="0"/>
        <w:jc w:val="center"/>
        <w:rPr>
          <w:rFonts w:hint="default" w:ascii="宋体" w:hAnsi="宋体" w:eastAsia="宋体" w:cs="宋体"/>
          <w:b/>
          <w:bCs/>
          <w:sz w:val="36"/>
          <w:szCs w:val="44"/>
          <w:highlight w:val="none"/>
          <w:lang w:val="en-US" w:eastAsia="zh-CN"/>
        </w:rPr>
      </w:pPr>
      <w:r>
        <w:rPr>
          <w:rFonts w:hint="eastAsia" w:ascii="宋体" w:hAnsi="宋体" w:cs="宋体"/>
          <w:b/>
          <w:bCs/>
          <w:sz w:val="36"/>
          <w:szCs w:val="44"/>
          <w:highlight w:val="none"/>
          <w:lang w:val="en-US" w:eastAsia="zh-CN"/>
        </w:rPr>
        <w:t>承诺书</w:t>
      </w:r>
    </w:p>
    <w:p>
      <w:pPr>
        <w:snapToGrid w:val="0"/>
        <w:rPr>
          <w:rFonts w:hint="eastAsia" w:ascii="宋体" w:hAnsi="宋体" w:cs="宋体"/>
          <w:highlight w:val="none"/>
        </w:rPr>
      </w:pPr>
    </w:p>
    <w:p>
      <w:pPr>
        <w:snapToGrid w:val="0"/>
        <w:rPr>
          <w:rFonts w:hint="eastAsia" w:ascii="宋体" w:hAnsi="宋体" w:cs="宋体"/>
          <w:b/>
          <w:bCs/>
          <w:highlight w:val="none"/>
        </w:rPr>
      </w:pPr>
      <w:r>
        <w:rPr>
          <w:rFonts w:hint="eastAsia" w:ascii="宋体" w:hAnsi="宋体" w:cs="宋体"/>
          <w:b/>
          <w:bCs/>
          <w:highlight w:val="none"/>
          <w:lang w:val="en-US" w:eastAsia="zh-CN"/>
        </w:rPr>
        <w:t>宁海县人民政府桃源街道办事处</w:t>
      </w:r>
      <w:r>
        <w:rPr>
          <w:rFonts w:hint="eastAsia" w:ascii="宋体" w:hAnsi="宋体" w:cs="宋体"/>
          <w:b/>
          <w:bCs/>
          <w:highlight w:val="none"/>
        </w:rPr>
        <w:t>：</w:t>
      </w:r>
    </w:p>
    <w:p>
      <w:pPr>
        <w:snapToGrid w:val="0"/>
        <w:rPr>
          <w:rFonts w:hint="eastAsia" w:ascii="宋体" w:hAnsi="宋体" w:cs="宋体"/>
          <w:b/>
          <w:bCs/>
          <w:highlight w:val="none"/>
        </w:rPr>
      </w:pPr>
      <w:r>
        <w:rPr>
          <w:rFonts w:hint="eastAsia" w:ascii="宋体" w:hAnsi="宋体" w:cs="宋体"/>
          <w:b/>
          <w:bCs/>
          <w:highlight w:val="none"/>
          <w:lang w:eastAsia="zh-CN"/>
        </w:rPr>
        <w:t>浙江中基正采管理咨询有限公司</w:t>
      </w:r>
      <w:r>
        <w:rPr>
          <w:rFonts w:hint="eastAsia" w:ascii="宋体" w:hAnsi="宋体" w:cs="宋体"/>
          <w:b/>
          <w:bCs/>
          <w:highlight w:val="none"/>
        </w:rPr>
        <w:t>：</w:t>
      </w:r>
    </w:p>
    <w:p>
      <w:pPr>
        <w:snapToGrid w:val="0"/>
        <w:rPr>
          <w:rFonts w:hint="eastAsia" w:ascii="宋体" w:hAnsi="宋体" w:cs="宋体"/>
          <w:b/>
          <w:bCs/>
          <w:highlight w:val="none"/>
          <w:lang w:eastAsia="zh-CN"/>
        </w:rPr>
      </w:pPr>
      <w:r>
        <w:rPr>
          <w:rFonts w:hint="eastAsia" w:ascii="宋体" w:hAnsi="宋体" w:cs="宋体"/>
          <w:b/>
          <w:bCs/>
          <w:highlight w:val="none"/>
          <w:lang w:eastAsia="zh-CN"/>
        </w:rPr>
        <w:t>我方郑重承诺：</w:t>
      </w:r>
    </w:p>
    <w:p>
      <w:pPr>
        <w:numPr>
          <w:ilvl w:val="0"/>
          <w:numId w:val="43"/>
        </w:num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如我方中标，我方保证本项目与其他保洁范围交接处，纳入本次保洁范围内，按照保洁要求完成交接处以内的保洁工作。</w:t>
      </w:r>
    </w:p>
    <w:p>
      <w:pPr>
        <w:numPr>
          <w:ilvl w:val="0"/>
          <w:numId w:val="43"/>
        </w:num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如我方中标，拟投入本项目的人员我方应按投标文件中承诺的人数，在进驻日前应全部配置完毕。</w:t>
      </w:r>
    </w:p>
    <w:p>
      <w:pPr>
        <w:numPr>
          <w:ilvl w:val="0"/>
          <w:numId w:val="43"/>
        </w:num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在进驻日，如存在人数未达到投标承诺的：采购人将下达整改通知，同时按1万元/天进行扣罚；如在进驻日起15日（含进驻日）内我方未按规定整改完成的，次日起，采购人将按3万元/天进行扣罚；扣罚费用在服务经费中支出。如在进驻日起60日（含进驻日）内我方仍未按规定整改完成的，采购人将有权单方面解除合同，并不予支付保洁服务经费。</w:t>
      </w:r>
    </w:p>
    <w:p>
      <w:pPr>
        <w:numPr>
          <w:ilvl w:val="0"/>
          <w:numId w:val="43"/>
        </w:num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如我方中标，在投标文件中我方承诺投入本项目的车辆、机械设备等在进驻日前应全部配置完毕。</w:t>
      </w:r>
    </w:p>
    <w:p>
      <w:pPr>
        <w:numPr>
          <w:ilvl w:val="0"/>
          <w:numId w:val="43"/>
        </w:num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在进驻日，如存在数量未达到投标承诺的：采购人将下达整改通知，同时按1万元/天进行扣罚；如在进驻日起15日（含进驻日）内我方未按规定整改完成的，次日起，采购人将按3万元/天进行扣罚；扣罚费用在服务经费中支出。如在进驻日起60日（含进驻日）内我方仍未按规定整改完成的，采购人将有权单方面解除合同，并不予支付保洁服务经费。</w:t>
      </w:r>
    </w:p>
    <w:p>
      <w:pPr>
        <w:numPr>
          <w:ilvl w:val="0"/>
          <w:numId w:val="43"/>
        </w:num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在进驻日，如我方投标文件中列明的拟投入本项目的车辆（或其他机械设备）与实际投入车辆（或其他机械设备）不一致的：采购人将下达整改通知【我方需提供同规格、型号车辆（或其他机械设备）或经采购人认可的优于投标文件承诺规格、型号车辆（或其他机械设备）。】，同时按1万元/天进行扣罚；如在进驻日起15日（含进驻日）内我方未按规定整改完成的，次日起，采购人将按3万元/天进行扣罚；扣罚费用在服务经费中支出。如在进驻日起60日（含进驻日）内我方仍未按规定整改完成的，采购人将有权单方面解除合同，并不予支付保洁服务经费。</w:t>
      </w:r>
    </w:p>
    <w:p>
      <w:pPr>
        <w:numPr>
          <w:ilvl w:val="0"/>
          <w:numId w:val="43"/>
        </w:num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如我方中标，我方承诺拟投入本项目的人员数量不得低于招标文件要求的最低人员配置数量。</w:t>
      </w:r>
    </w:p>
    <w:p>
      <w:pPr>
        <w:numPr>
          <w:ilvl w:val="0"/>
          <w:numId w:val="43"/>
        </w:num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如我方中标，我方承诺投入本项目的项目负责人须与投标文件所列举的一致。服务期间一般不得更换项目负责人，特殊情况必须更换项目负责人的，须在满足工作需求的情况下，经采购人书面同意后方可更换，无正当理由擅自更换项目负责人的须向采购人支付每人次50000元的违约金。</w:t>
      </w:r>
    </w:p>
    <w:p>
      <w:pPr>
        <w:numPr>
          <w:ilvl w:val="0"/>
          <w:numId w:val="43"/>
        </w:num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如我方中标，我方承诺投入本项目的驾驶员应具备相应工种资格证，带证上岗，并定时接受培训。</w:t>
      </w:r>
    </w:p>
    <w:p>
      <w:pPr>
        <w:numPr>
          <w:ilvl w:val="0"/>
          <w:numId w:val="43"/>
        </w:num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如我方中标，我方承诺投入本项目的一线作业人员的劳动合同时间必须跟本合同时间相一致。</w:t>
      </w:r>
    </w:p>
    <w:p>
      <w:pPr>
        <w:numPr>
          <w:ilvl w:val="0"/>
          <w:numId w:val="43"/>
        </w:num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如我方中标，我方承诺投入本项目的车辆数量不得低于招标文件要求的车辆配置最低数量。</w:t>
      </w:r>
    </w:p>
    <w:p>
      <w:pPr>
        <w:numPr>
          <w:ilvl w:val="0"/>
          <w:numId w:val="43"/>
        </w:num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环卫服务标准：如市、县、局、街道有新要求，我方承诺按新要求执行。</w:t>
      </w:r>
    </w:p>
    <w:p>
      <w:pPr>
        <w:numPr>
          <w:ilvl w:val="0"/>
          <w:numId w:val="43"/>
        </w:num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如我方中标，我方承诺严格按照《宁波市人民政府办公厅关于印发进一步加强市容环卫行业管理实施意见的通知》（甬政办发【2014】70号）的规定执行。</w:t>
      </w:r>
    </w:p>
    <w:p>
      <w:pPr>
        <w:numPr>
          <w:ilvl w:val="0"/>
          <w:numId w:val="43"/>
        </w:num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如我方中标，我方承诺对所有符合参加人身意外伤害保险条件的人员统一进行参保。</w:t>
      </w:r>
    </w:p>
    <w:p>
      <w:pPr>
        <w:numPr>
          <w:ilvl w:val="0"/>
          <w:numId w:val="43"/>
        </w:numPr>
        <w:spacing w:line="360" w:lineRule="auto"/>
        <w:ind w:firstLine="42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如我方中标，我方承诺</w:t>
      </w:r>
      <w:r>
        <w:rPr>
          <w:rFonts w:hint="eastAsia" w:ascii="宋体" w:hAnsi="宋体" w:cs="宋体"/>
          <w:color w:val="auto"/>
          <w:highlight w:val="none"/>
          <w:lang w:val="en-US" w:eastAsia="zh-CN"/>
        </w:rPr>
        <w:t>按采购人要求在</w:t>
      </w:r>
      <w:r>
        <w:rPr>
          <w:rFonts w:hint="eastAsia" w:ascii="宋体" w:hAnsi="宋体" w:eastAsia="宋体" w:cs="宋体"/>
          <w:color w:val="auto"/>
          <w:highlight w:val="none"/>
          <w:lang w:val="en-US" w:eastAsia="zh-CN"/>
        </w:rPr>
        <w:t>2024年3月1日起负责服务范围内的建筑垃圾和装潢垃圾清运服务</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2024年2月28日前</w:t>
      </w:r>
      <w:r>
        <w:rPr>
          <w:rFonts w:hint="eastAsia" w:ascii="宋体" w:hAnsi="宋体" w:cs="宋体"/>
          <w:color w:val="auto"/>
          <w:highlight w:val="none"/>
          <w:lang w:val="en-US" w:eastAsia="zh-CN"/>
        </w:rPr>
        <w:t>，我司</w:t>
      </w:r>
      <w:r>
        <w:rPr>
          <w:rFonts w:hint="eastAsia" w:ascii="宋体" w:hAnsi="宋体" w:eastAsia="宋体" w:cs="宋体"/>
          <w:color w:val="auto"/>
          <w:highlight w:val="none"/>
          <w:lang w:val="en-US" w:eastAsia="zh-CN"/>
        </w:rPr>
        <w:t>在宁海县桃源街道建筑垃圾和装潢垃圾清运项目合同履约期限内不承担建筑垃圾和装潢垃圾清运服务，采购人将从每月服务经费中扣除21360元用于支付宁海县桃源街道建筑垃圾和装潢垃圾清运项目的承包人，</w:t>
      </w:r>
      <w:r>
        <w:rPr>
          <w:rFonts w:hint="eastAsia" w:ascii="宋体" w:hAnsi="宋体" w:cs="宋体"/>
          <w:color w:val="auto"/>
          <w:highlight w:val="none"/>
          <w:lang w:val="en-US" w:eastAsia="zh-CN"/>
        </w:rPr>
        <w:t>我司无异议</w:t>
      </w:r>
      <w:r>
        <w:rPr>
          <w:rFonts w:hint="eastAsia" w:ascii="宋体" w:hAnsi="宋体" w:eastAsia="宋体" w:cs="宋体"/>
          <w:color w:val="auto"/>
          <w:highlight w:val="none"/>
          <w:lang w:val="en-US" w:eastAsia="zh-CN"/>
        </w:rPr>
        <w:t>。</w:t>
      </w:r>
    </w:p>
    <w:p>
      <w:pPr>
        <w:snapToGrid w:val="0"/>
        <w:rPr>
          <w:rFonts w:hint="eastAsia" w:ascii="宋体" w:hAnsi="宋体" w:cs="宋体"/>
          <w:highlight w:val="none"/>
        </w:rPr>
      </w:pPr>
    </w:p>
    <w:p>
      <w:pPr>
        <w:snapToGrid w:val="0"/>
        <w:rPr>
          <w:rFonts w:hint="eastAsia" w:ascii="宋体" w:hAnsi="宋体" w:cs="宋体"/>
          <w:highlight w:val="none"/>
        </w:rPr>
      </w:pPr>
    </w:p>
    <w:p>
      <w:pPr>
        <w:snapToGrid w:val="0"/>
        <w:rPr>
          <w:rFonts w:hint="eastAsia" w:ascii="宋体" w:hAnsi="宋体" w:cs="宋体"/>
          <w:highlight w:val="none"/>
        </w:rPr>
      </w:pPr>
    </w:p>
    <w:p>
      <w:pPr>
        <w:snapToGrid w:val="0"/>
        <w:rPr>
          <w:rFonts w:hint="eastAsia" w:ascii="宋体" w:hAnsi="宋体" w:cs="宋体"/>
          <w:highlight w:val="none"/>
        </w:rPr>
      </w:pPr>
    </w:p>
    <w:p>
      <w:pPr>
        <w:snapToGrid w:val="0"/>
        <w:rPr>
          <w:rFonts w:hint="eastAsia" w:ascii="宋体" w:hAnsi="宋体" w:cs="宋体"/>
          <w:highlight w:val="none"/>
        </w:rPr>
      </w:pPr>
    </w:p>
    <w:p>
      <w:pPr>
        <w:numPr>
          <w:ilvl w:val="0"/>
          <w:numId w:val="0"/>
        </w:numPr>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（如有其他承诺，请自行填写；如无，则删除本括号内的内容）</w:t>
      </w:r>
    </w:p>
    <w:p>
      <w:pPr>
        <w:numPr>
          <w:ilvl w:val="0"/>
          <w:numId w:val="0"/>
        </w:numPr>
        <w:spacing w:line="360" w:lineRule="auto"/>
        <w:rPr>
          <w:rFonts w:hint="eastAsia" w:ascii="宋体" w:hAnsi="宋体" w:eastAsia="宋体" w:cs="宋体"/>
          <w:color w:val="auto"/>
          <w:highlight w:val="none"/>
          <w:lang w:val="en-US" w:eastAsia="zh-CN"/>
        </w:rPr>
      </w:pPr>
    </w:p>
    <w:p>
      <w:pPr>
        <w:spacing w:line="360" w:lineRule="auto"/>
        <w:jc w:val="right"/>
        <w:rPr>
          <w:rFonts w:hint="eastAsia" w:ascii="宋体" w:hAnsi="宋体" w:eastAsia="宋体" w:cs="宋体"/>
          <w:color w:val="auto"/>
          <w:highlight w:val="none"/>
          <w:lang w:eastAsia="zh-CN"/>
        </w:rPr>
      </w:pPr>
      <w:r>
        <w:rPr>
          <w:rFonts w:hint="eastAsia" w:ascii="宋体" w:hAnsi="宋体" w:eastAsia="宋体" w:cs="宋体"/>
          <w:color w:val="auto"/>
          <w:highlight w:val="none"/>
        </w:rPr>
        <w:t>供应商（盖章）</w:t>
      </w:r>
      <w:r>
        <w:rPr>
          <w:rFonts w:hint="eastAsia" w:ascii="宋体" w:hAnsi="宋体" w:eastAsia="宋体" w:cs="宋体"/>
          <w:color w:val="auto"/>
          <w:highlight w:val="none"/>
          <w:lang w:eastAsia="zh-CN"/>
        </w:rPr>
        <w:t>：</w:t>
      </w:r>
    </w:p>
    <w:p>
      <w:pPr>
        <w:spacing w:line="360" w:lineRule="auto"/>
        <w:jc w:val="right"/>
        <w:rPr>
          <w:rFonts w:hint="eastAsia" w:ascii="宋体" w:hAnsi="宋体" w:eastAsia="宋体" w:cs="宋体"/>
          <w:color w:val="auto"/>
          <w:highlight w:val="none"/>
        </w:rPr>
      </w:pPr>
      <w:r>
        <w:rPr>
          <w:rFonts w:hint="eastAsia" w:ascii="宋体" w:hAnsi="宋体" w:eastAsia="宋体" w:cs="宋体"/>
          <w:color w:val="auto"/>
          <w:highlight w:val="none"/>
        </w:rPr>
        <w:t>法定代表人或授权代表（签名或印章）：</w:t>
      </w:r>
    </w:p>
    <w:p>
      <w:pPr>
        <w:snapToGrid w:val="0"/>
        <w:jc w:val="right"/>
        <w:rPr>
          <w:rFonts w:hint="eastAsia" w:ascii="宋体" w:hAnsi="宋体" w:cs="宋体"/>
          <w:highlight w:val="none"/>
        </w:rPr>
      </w:pPr>
      <w:r>
        <w:rPr>
          <w:rFonts w:hint="eastAsia" w:ascii="宋体" w:hAnsi="宋体" w:eastAsia="宋体" w:cs="宋体"/>
          <w:color w:val="auto"/>
          <w:highlight w:val="none"/>
        </w:rPr>
        <w:t>日    期：</w:t>
      </w:r>
    </w:p>
    <w:p>
      <w:pPr>
        <w:snapToGrid w:val="0"/>
        <w:rPr>
          <w:rFonts w:hint="eastAsia" w:ascii="宋体" w:hAnsi="宋体" w:cs="宋体"/>
          <w:highlight w:val="none"/>
        </w:rPr>
      </w:pPr>
    </w:p>
    <w:p>
      <w:pPr>
        <w:snapToGrid w:val="0"/>
        <w:rPr>
          <w:rFonts w:hint="eastAsia" w:ascii="宋体" w:hAnsi="宋体" w:cs="宋体"/>
          <w:highlight w:val="none"/>
        </w:rPr>
      </w:pPr>
    </w:p>
    <w:p>
      <w:pPr>
        <w:snapToGrid w:val="0"/>
        <w:rPr>
          <w:rFonts w:hint="eastAsia" w:ascii="宋体" w:hAnsi="宋体" w:cs="宋体"/>
          <w:highlight w:val="none"/>
        </w:rPr>
      </w:pPr>
    </w:p>
    <w:p>
      <w:pPr>
        <w:snapToGrid w:val="0"/>
        <w:rPr>
          <w:rFonts w:hint="eastAsia" w:ascii="宋体" w:hAnsi="宋体" w:cs="宋体"/>
          <w:highlight w:val="none"/>
        </w:rPr>
      </w:pPr>
    </w:p>
    <w:p>
      <w:pPr>
        <w:snapToGrid w:val="0"/>
        <w:rPr>
          <w:rFonts w:hint="eastAsia" w:ascii="宋体" w:hAnsi="宋体" w:cs="宋体"/>
          <w:highlight w:val="none"/>
        </w:rPr>
      </w:pPr>
    </w:p>
    <w:p>
      <w:pPr>
        <w:snapToGrid w:val="0"/>
        <w:rPr>
          <w:rFonts w:hint="eastAsia" w:ascii="宋体" w:hAnsi="宋体" w:cs="宋体"/>
          <w:highlight w:val="none"/>
        </w:rPr>
      </w:pPr>
    </w:p>
    <w:p>
      <w:pPr>
        <w:snapToGrid w:val="0"/>
        <w:rPr>
          <w:rFonts w:hint="eastAsia" w:ascii="宋体" w:hAnsi="宋体" w:cs="宋体"/>
          <w:highlight w:val="none"/>
        </w:rPr>
      </w:pPr>
    </w:p>
    <w:p>
      <w:pPr>
        <w:snapToGrid w:val="0"/>
        <w:rPr>
          <w:rFonts w:hint="eastAsia" w:ascii="宋体" w:hAnsi="宋体" w:cs="宋体"/>
          <w:highlight w:val="none"/>
        </w:rPr>
      </w:pPr>
    </w:p>
    <w:p>
      <w:pPr>
        <w:snapToGrid w:val="0"/>
        <w:rPr>
          <w:rFonts w:hint="eastAsia" w:ascii="宋体" w:hAnsi="宋体" w:cs="宋体"/>
          <w:highlight w:val="none"/>
        </w:rPr>
      </w:pPr>
    </w:p>
    <w:p>
      <w:pPr>
        <w:snapToGrid w:val="0"/>
        <w:rPr>
          <w:rFonts w:hint="eastAsia" w:ascii="宋体" w:hAnsi="宋体" w:cs="宋体"/>
          <w:highlight w:val="none"/>
        </w:rPr>
      </w:pPr>
    </w:p>
    <w:p>
      <w:pPr>
        <w:snapToGrid w:val="0"/>
        <w:rPr>
          <w:rFonts w:hint="eastAsia" w:ascii="宋体" w:hAnsi="宋体" w:cs="宋体"/>
          <w:highlight w:val="none"/>
        </w:rPr>
      </w:pPr>
    </w:p>
    <w:p>
      <w:pPr>
        <w:snapToGrid w:val="0"/>
        <w:rPr>
          <w:rFonts w:hint="eastAsia" w:ascii="宋体" w:hAnsi="宋体" w:cs="宋体"/>
          <w:highlight w:val="none"/>
        </w:rPr>
      </w:pPr>
    </w:p>
    <w:p>
      <w:pPr>
        <w:snapToGrid w:val="0"/>
        <w:rPr>
          <w:rFonts w:hint="eastAsia" w:ascii="宋体" w:hAnsi="宋体" w:cs="宋体"/>
          <w:highlight w:val="none"/>
        </w:rPr>
      </w:pPr>
    </w:p>
    <w:p>
      <w:pPr>
        <w:snapToGrid w:val="0"/>
        <w:rPr>
          <w:rFonts w:hint="eastAsia" w:ascii="宋体" w:hAnsi="宋体" w:cs="宋体"/>
          <w:highlight w:val="none"/>
        </w:rPr>
      </w:pPr>
    </w:p>
    <w:p>
      <w:pPr>
        <w:snapToGrid w:val="0"/>
        <w:rPr>
          <w:rFonts w:hint="eastAsia" w:ascii="宋体" w:hAnsi="宋体" w:cs="宋体"/>
          <w:highlight w:val="none"/>
        </w:rPr>
      </w:pPr>
    </w:p>
    <w:p>
      <w:pPr>
        <w:snapToGrid w:val="0"/>
        <w:rPr>
          <w:rFonts w:hint="eastAsia" w:ascii="宋体" w:hAnsi="宋体" w:cs="宋体"/>
          <w:highlight w:val="none"/>
        </w:rPr>
      </w:pPr>
    </w:p>
    <w:p>
      <w:pPr>
        <w:snapToGrid w:val="0"/>
        <w:rPr>
          <w:rFonts w:hint="eastAsia" w:ascii="宋体" w:hAnsi="宋体" w:cs="宋体"/>
          <w:highlight w:val="none"/>
        </w:rPr>
      </w:pPr>
    </w:p>
    <w:p>
      <w:pPr>
        <w:snapToGrid w:val="0"/>
        <w:rPr>
          <w:rFonts w:hint="eastAsia" w:ascii="宋体" w:hAnsi="宋体" w:cs="宋体"/>
          <w:highlight w:val="none"/>
        </w:rPr>
      </w:pPr>
    </w:p>
    <w:p>
      <w:pPr>
        <w:snapToGrid w:val="0"/>
        <w:rPr>
          <w:rFonts w:hint="eastAsia" w:ascii="宋体" w:hAnsi="宋体" w:cs="宋体"/>
          <w:highlight w:val="none"/>
        </w:rPr>
      </w:pPr>
    </w:p>
    <w:p>
      <w:pPr>
        <w:snapToGrid w:val="0"/>
        <w:rPr>
          <w:rFonts w:hint="eastAsia" w:ascii="宋体" w:hAnsi="宋体" w:cs="宋体"/>
          <w:highlight w:val="none"/>
        </w:rPr>
      </w:pPr>
    </w:p>
    <w:p>
      <w:pPr>
        <w:snapToGrid w:val="0"/>
        <w:rPr>
          <w:rFonts w:hint="eastAsia" w:ascii="宋体" w:hAnsi="宋体" w:cs="宋体"/>
          <w:highlight w:val="none"/>
        </w:rPr>
      </w:pPr>
    </w:p>
    <w:p>
      <w:pPr>
        <w:snapToGrid w:val="0"/>
        <w:rPr>
          <w:rFonts w:hint="eastAsia" w:ascii="宋体" w:hAnsi="宋体" w:cs="宋体"/>
          <w:highlight w:val="none"/>
        </w:rPr>
      </w:pPr>
    </w:p>
    <w:p>
      <w:pPr>
        <w:snapToGrid w:val="0"/>
        <w:rPr>
          <w:rFonts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2</w:t>
      </w:r>
      <w:r>
        <w:rPr>
          <w:rFonts w:hint="eastAsia" w:ascii="宋体" w:hAnsi="宋体" w:cs="宋体"/>
          <w:highlight w:val="none"/>
        </w:rPr>
        <w:t>）技术部分：针对本项目第二章采购需求和第四章评分标准中的条款拟定完整方案，格式自拟；</w:t>
      </w:r>
    </w:p>
    <w:p>
      <w:pPr>
        <w:snapToGrid w:val="0"/>
        <w:rPr>
          <w:rFonts w:ascii="宋体" w:hAnsi="宋体" w:cs="宋体"/>
          <w:highlight w:val="none"/>
        </w:rPr>
      </w:pPr>
    </w:p>
    <w:p>
      <w:pPr>
        <w:snapToGrid w:val="0"/>
        <w:rPr>
          <w:rFonts w:ascii="宋体" w:hAnsi="宋体" w:cs="宋体"/>
          <w:highlight w:val="none"/>
        </w:rPr>
      </w:pPr>
    </w:p>
    <w:p>
      <w:pPr>
        <w:pStyle w:val="198"/>
        <w:rPr>
          <w:highlight w:val="none"/>
        </w:rPr>
      </w:pPr>
    </w:p>
    <w:p>
      <w:pPr>
        <w:snapToGrid w:val="0"/>
        <w:rPr>
          <w:rFonts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3</w:t>
      </w:r>
      <w:r>
        <w:rPr>
          <w:rFonts w:hint="eastAsia" w:ascii="宋体" w:hAnsi="宋体" w:cs="宋体"/>
          <w:highlight w:val="none"/>
        </w:rPr>
        <w:t>）第四章评标办法及评分标准中需提供的其他相关证书及合同复印件等并加盖公章；</w:t>
      </w:r>
    </w:p>
    <w:p>
      <w:pPr>
        <w:snapToGrid w:val="0"/>
        <w:spacing w:line="360" w:lineRule="auto"/>
        <w:jc w:val="left"/>
        <w:rPr>
          <w:rFonts w:ascii="宋体" w:hAnsi="宋体" w:cs="宋体"/>
          <w:highlight w:val="none"/>
        </w:rPr>
      </w:pPr>
    </w:p>
    <w:p>
      <w:pPr>
        <w:rPr>
          <w:highlight w:val="none"/>
        </w:rPr>
      </w:pPr>
    </w:p>
    <w:p>
      <w:pPr>
        <w:rPr>
          <w:highlight w:val="none"/>
        </w:rPr>
      </w:pPr>
    </w:p>
    <w:p>
      <w:pPr>
        <w:rPr>
          <w:highlight w:val="none"/>
        </w:rPr>
      </w:pPr>
    </w:p>
    <w:p>
      <w:pPr>
        <w:snapToGrid w:val="0"/>
        <w:spacing w:line="360" w:lineRule="auto"/>
        <w:jc w:val="left"/>
        <w:rPr>
          <w:rFonts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4</w:t>
      </w:r>
      <w:r>
        <w:rPr>
          <w:rFonts w:hint="eastAsia" w:ascii="宋体" w:hAnsi="宋体" w:cs="宋体"/>
          <w:highlight w:val="none"/>
        </w:rPr>
        <w:t>）供应商认为有需要提供的其它有关证明资料。</w:t>
      </w:r>
    </w:p>
    <w:p>
      <w:pPr>
        <w:snapToGrid w:val="0"/>
        <w:spacing w:line="360" w:lineRule="auto"/>
        <w:jc w:val="left"/>
        <w:rPr>
          <w:rFonts w:ascii="宋体" w:hAnsi="宋体" w:cs="宋体"/>
          <w:highlight w:val="none"/>
        </w:rPr>
      </w:pPr>
    </w:p>
    <w:p>
      <w:pPr>
        <w:spacing w:line="360" w:lineRule="auto"/>
        <w:rPr>
          <w:rFonts w:ascii="宋体" w:hAnsi="宋体" w:cs="宋体"/>
          <w:b/>
          <w:bCs/>
          <w:sz w:val="28"/>
          <w:szCs w:val="28"/>
          <w:highlight w:val="none"/>
        </w:rPr>
        <w:sectPr>
          <w:pgSz w:w="11906" w:h="16838"/>
          <w:pgMar w:top="1474" w:right="1797" w:bottom="1247" w:left="1797" w:header="851" w:footer="851" w:gutter="0"/>
          <w:cols w:space="720" w:num="1"/>
          <w:docGrid w:linePitch="312" w:charSpace="0"/>
        </w:sectPr>
      </w:pPr>
    </w:p>
    <w:p>
      <w:pPr>
        <w:snapToGrid w:val="0"/>
        <w:spacing w:line="360" w:lineRule="auto"/>
        <w:jc w:val="center"/>
        <w:rPr>
          <w:rFonts w:ascii="宋体" w:hAnsi="宋体" w:cs="宋体"/>
          <w:b/>
          <w:bCs/>
          <w:sz w:val="28"/>
          <w:szCs w:val="28"/>
          <w:highlight w:val="none"/>
        </w:rPr>
      </w:pPr>
      <w:r>
        <w:rPr>
          <w:rFonts w:hint="eastAsia" w:ascii="宋体" w:hAnsi="宋体" w:cs="宋体"/>
          <w:b/>
          <w:bCs/>
          <w:sz w:val="28"/>
          <w:szCs w:val="28"/>
          <w:highlight w:val="none"/>
        </w:rPr>
        <w:t>二、报价文件</w:t>
      </w:r>
    </w:p>
    <w:p>
      <w:pPr>
        <w:snapToGrid w:val="0"/>
        <w:spacing w:line="360" w:lineRule="auto"/>
        <w:jc w:val="left"/>
        <w:rPr>
          <w:rFonts w:ascii="宋体" w:hAnsi="宋体" w:cs="宋体"/>
          <w:bCs/>
          <w:sz w:val="28"/>
          <w:szCs w:val="28"/>
          <w:highlight w:val="none"/>
        </w:rPr>
      </w:pPr>
      <w:r>
        <w:rPr>
          <w:rFonts w:hint="eastAsia" w:ascii="宋体" w:hAnsi="宋体" w:cs="宋体"/>
          <w:highlight w:val="none"/>
        </w:rPr>
        <w:t>1、</w:t>
      </w:r>
      <w:r>
        <w:rPr>
          <w:rFonts w:hint="eastAsia" w:ascii="宋体" w:hAnsi="宋体" w:cs="宋体"/>
          <w:szCs w:val="21"/>
          <w:highlight w:val="none"/>
        </w:rPr>
        <w:t>报价文件</w:t>
      </w:r>
      <w:r>
        <w:rPr>
          <w:rFonts w:hint="eastAsia" w:ascii="宋体" w:hAnsi="宋体" w:cs="宋体"/>
          <w:highlight w:val="none"/>
        </w:rPr>
        <w:t>封面格式：</w:t>
      </w:r>
    </w:p>
    <w:p>
      <w:pPr>
        <w:snapToGrid w:val="0"/>
        <w:spacing w:line="360" w:lineRule="auto"/>
        <w:ind w:firstLine="275" w:firstLineChars="98"/>
        <w:rPr>
          <w:rFonts w:ascii="宋体" w:hAnsi="宋体" w:cs="宋体"/>
          <w:b/>
          <w:sz w:val="28"/>
          <w:szCs w:val="28"/>
          <w:highlight w:val="none"/>
        </w:rPr>
      </w:pPr>
      <w:r>
        <w:rPr>
          <w:rFonts w:hint="eastAsia" w:ascii="宋体" w:hAnsi="宋体" w:cs="宋体"/>
          <w:b/>
          <w:sz w:val="28"/>
          <w:szCs w:val="28"/>
          <w:highlight w:val="none"/>
        </w:rPr>
        <w:t>封面格式：</w:t>
      </w:r>
    </w:p>
    <w:p>
      <w:pPr>
        <w:snapToGrid w:val="0"/>
        <w:spacing w:line="360" w:lineRule="auto"/>
        <w:jc w:val="center"/>
        <w:rPr>
          <w:rFonts w:ascii="宋体" w:hAnsi="宋体" w:cs="宋体"/>
          <w:bCs/>
          <w:sz w:val="28"/>
          <w:szCs w:val="28"/>
          <w:highlight w:val="none"/>
        </w:rPr>
      </w:pPr>
      <w:r>
        <w:rPr>
          <w:rFonts w:hint="eastAsia" w:ascii="宋体" w:hAnsi="宋体" w:cs="宋体"/>
          <w:b/>
          <w:sz w:val="28"/>
          <w:szCs w:val="28"/>
          <w:highlight w:val="none"/>
        </w:rPr>
        <w:t xml:space="preserve">                                            正本</w:t>
      </w:r>
    </w:p>
    <w:p>
      <w:pPr>
        <w:snapToGrid w:val="0"/>
        <w:spacing w:line="360" w:lineRule="auto"/>
        <w:jc w:val="center"/>
        <w:rPr>
          <w:rFonts w:ascii="宋体" w:hAnsi="宋体" w:cs="宋体"/>
          <w:sz w:val="40"/>
          <w:szCs w:val="40"/>
          <w:highlight w:val="none"/>
        </w:rPr>
      </w:pPr>
      <w:r>
        <w:rPr>
          <w:rFonts w:hint="eastAsia" w:ascii="宋体" w:hAnsi="宋体" w:cs="宋体"/>
          <w:sz w:val="40"/>
          <w:szCs w:val="40"/>
          <w:highlight w:val="none"/>
        </w:rPr>
        <w:t>报价文件</w:t>
      </w:r>
    </w:p>
    <w:p>
      <w:pPr>
        <w:snapToGrid w:val="0"/>
        <w:spacing w:line="360" w:lineRule="auto"/>
        <w:ind w:firstLine="6919" w:firstLineChars="2883"/>
        <w:rPr>
          <w:rFonts w:ascii="宋体" w:hAnsi="宋体" w:cs="宋体"/>
          <w:bCs/>
          <w:sz w:val="24"/>
          <w:highlight w:val="none"/>
        </w:rPr>
      </w:pPr>
    </w:p>
    <w:p>
      <w:pPr>
        <w:snapToGrid w:val="0"/>
        <w:spacing w:line="360" w:lineRule="auto"/>
        <w:ind w:firstLine="1080" w:firstLineChars="450"/>
        <w:rPr>
          <w:rFonts w:ascii="宋体" w:hAnsi="宋体" w:cs="宋体"/>
          <w:bCs/>
          <w:sz w:val="24"/>
          <w:highlight w:val="none"/>
        </w:rPr>
      </w:pPr>
      <w:r>
        <w:rPr>
          <w:rFonts w:hint="eastAsia" w:ascii="宋体" w:hAnsi="宋体" w:cs="宋体"/>
          <w:bCs/>
          <w:sz w:val="24"/>
          <w:highlight w:val="none"/>
        </w:rPr>
        <w:t>项目名称：</w:t>
      </w:r>
    </w:p>
    <w:p>
      <w:pPr>
        <w:snapToGrid w:val="0"/>
        <w:spacing w:line="360" w:lineRule="auto"/>
        <w:ind w:firstLine="1080" w:firstLineChars="450"/>
        <w:rPr>
          <w:rFonts w:ascii="宋体" w:hAnsi="宋体" w:cs="宋体"/>
          <w:bCs/>
          <w:sz w:val="24"/>
          <w:highlight w:val="none"/>
        </w:rPr>
      </w:pPr>
      <w:r>
        <w:rPr>
          <w:rFonts w:hint="eastAsia" w:ascii="宋体" w:hAnsi="宋体" w:cs="宋体"/>
          <w:bCs/>
          <w:sz w:val="24"/>
          <w:highlight w:val="none"/>
        </w:rPr>
        <w:t>项目编号：</w:t>
      </w:r>
    </w:p>
    <w:p>
      <w:pPr>
        <w:snapToGrid w:val="0"/>
        <w:spacing w:line="360" w:lineRule="auto"/>
        <w:ind w:firstLine="1080" w:firstLineChars="450"/>
        <w:rPr>
          <w:rFonts w:ascii="宋体" w:hAnsi="宋体" w:cs="宋体"/>
          <w:bCs/>
          <w:sz w:val="24"/>
          <w:highlight w:val="none"/>
        </w:rPr>
      </w:pPr>
      <w:r>
        <w:rPr>
          <w:rFonts w:hint="eastAsia" w:ascii="宋体" w:hAnsi="宋体" w:cs="宋体"/>
          <w:bCs/>
          <w:sz w:val="24"/>
          <w:highlight w:val="none"/>
        </w:rPr>
        <w:t>标项号：</w:t>
      </w:r>
    </w:p>
    <w:p>
      <w:pPr>
        <w:snapToGrid w:val="0"/>
        <w:spacing w:line="360" w:lineRule="auto"/>
        <w:ind w:firstLine="1080" w:firstLineChars="450"/>
        <w:rPr>
          <w:rFonts w:ascii="宋体" w:hAnsi="宋体" w:cs="宋体"/>
          <w:bCs/>
          <w:sz w:val="24"/>
          <w:highlight w:val="none"/>
        </w:rPr>
      </w:pPr>
      <w:r>
        <w:rPr>
          <w:rFonts w:hint="eastAsia" w:ascii="宋体" w:hAnsi="宋体" w:cs="宋体"/>
          <w:bCs/>
          <w:sz w:val="24"/>
          <w:highlight w:val="none"/>
        </w:rPr>
        <w:t>供应商名称（加盖公章）：</w:t>
      </w:r>
    </w:p>
    <w:p>
      <w:pPr>
        <w:snapToGrid w:val="0"/>
        <w:spacing w:line="360" w:lineRule="auto"/>
        <w:ind w:firstLine="1080" w:firstLineChars="450"/>
        <w:rPr>
          <w:rFonts w:ascii="宋体" w:hAnsi="宋体" w:cs="宋体"/>
          <w:bCs/>
          <w:sz w:val="24"/>
          <w:highlight w:val="none"/>
        </w:rPr>
      </w:pPr>
      <w:r>
        <w:rPr>
          <w:rFonts w:hint="eastAsia" w:ascii="宋体" w:hAnsi="宋体" w:cs="宋体"/>
          <w:bCs/>
          <w:sz w:val="24"/>
          <w:highlight w:val="none"/>
        </w:rPr>
        <w:t>供应商地址：</w:t>
      </w:r>
    </w:p>
    <w:p>
      <w:pPr>
        <w:snapToGrid w:val="0"/>
        <w:rPr>
          <w:rFonts w:hint="eastAsia" w:ascii="宋体" w:hAnsi="宋体" w:cs="宋体"/>
          <w:bCs/>
          <w:sz w:val="24"/>
          <w:highlight w:val="none"/>
        </w:rPr>
      </w:pPr>
      <w:r>
        <w:rPr>
          <w:rFonts w:hint="eastAsia" w:ascii="宋体" w:hAnsi="宋体" w:cs="宋体"/>
          <w:bCs/>
          <w:sz w:val="24"/>
          <w:highlight w:val="none"/>
        </w:rPr>
        <w:t xml:space="preserve">                                      年  月  日</w:t>
      </w:r>
    </w:p>
    <w:p>
      <w:pPr>
        <w:pStyle w:val="20"/>
        <w:rPr>
          <w:rFonts w:hint="eastAsia" w:ascii="宋体" w:hAnsi="宋体" w:cs="宋体"/>
          <w:bCs/>
          <w:sz w:val="24"/>
          <w:highlight w:val="none"/>
        </w:rPr>
      </w:pPr>
    </w:p>
    <w:p>
      <w:pPr>
        <w:pStyle w:val="21"/>
        <w:rPr>
          <w:rFonts w:hint="eastAsia" w:ascii="宋体" w:hAnsi="宋体" w:cs="宋体"/>
          <w:bCs/>
          <w:sz w:val="24"/>
          <w:highlight w:val="none"/>
        </w:rPr>
      </w:pPr>
    </w:p>
    <w:p>
      <w:pPr>
        <w:widowControl w:val="0"/>
        <w:adjustRightInd w:val="0"/>
        <w:spacing w:line="360" w:lineRule="auto"/>
        <w:jc w:val="both"/>
        <w:textAlignment w:val="baseline"/>
        <w:rPr>
          <w:rFonts w:ascii="宋体" w:hAnsi="宋体" w:cs="宋体"/>
          <w:sz w:val="28"/>
          <w:szCs w:val="21"/>
          <w:highlight w:val="none"/>
        </w:rPr>
      </w:pPr>
      <w:r>
        <w:rPr>
          <w:rFonts w:hint="eastAsia" w:ascii="宋体" w:hAnsi="宋体" w:cs="宋体"/>
          <w:b/>
          <w:bCs/>
          <w:szCs w:val="21"/>
          <w:highlight w:val="none"/>
        </w:rPr>
        <w:t>注：联合体投标的，可只由联合体牵头人签章。</w:t>
      </w:r>
    </w:p>
    <w:p>
      <w:pPr>
        <w:rPr>
          <w:highlight w:val="none"/>
        </w:rPr>
      </w:pPr>
    </w:p>
    <w:p>
      <w:pPr>
        <w:snapToGrid w:val="0"/>
        <w:spacing w:line="360" w:lineRule="auto"/>
        <w:rPr>
          <w:rFonts w:ascii="宋体" w:hAnsi="宋体" w:cs="宋体"/>
          <w:szCs w:val="21"/>
          <w:highlight w:val="none"/>
        </w:rPr>
      </w:pPr>
      <w:r>
        <w:rPr>
          <w:rFonts w:hint="eastAsia" w:ascii="宋体" w:hAnsi="宋体" w:cs="宋体"/>
          <w:b/>
          <w:bCs/>
          <w:szCs w:val="21"/>
          <w:highlight w:val="none"/>
        </w:rPr>
        <w:br w:type="page"/>
      </w:r>
      <w:r>
        <w:rPr>
          <w:rFonts w:hint="eastAsia" w:ascii="宋体" w:hAnsi="宋体" w:cs="宋体"/>
          <w:szCs w:val="21"/>
          <w:highlight w:val="none"/>
        </w:rPr>
        <w:t>2、报价文件内容包括：</w:t>
      </w:r>
    </w:p>
    <w:p>
      <w:pPr>
        <w:numPr>
          <w:ilvl w:val="0"/>
          <w:numId w:val="44"/>
        </w:numPr>
        <w:snapToGrid w:val="0"/>
        <w:spacing w:line="360" w:lineRule="auto"/>
        <w:jc w:val="left"/>
        <w:rPr>
          <w:rFonts w:ascii="宋体" w:hAnsi="宋体" w:cs="宋体"/>
          <w:highlight w:val="none"/>
        </w:rPr>
      </w:pPr>
      <w:r>
        <w:rPr>
          <w:rFonts w:hint="eastAsia" w:ascii="宋体" w:hAnsi="宋体" w:cs="宋体"/>
          <w:highlight w:val="none"/>
        </w:rPr>
        <w:t>开标一览表（格式见附件）；</w:t>
      </w:r>
    </w:p>
    <w:p>
      <w:pPr>
        <w:numPr>
          <w:ilvl w:val="0"/>
          <w:numId w:val="44"/>
        </w:numPr>
        <w:snapToGrid w:val="0"/>
        <w:spacing w:line="360" w:lineRule="auto"/>
        <w:jc w:val="left"/>
        <w:rPr>
          <w:rFonts w:hint="eastAsia" w:ascii="宋体" w:hAnsi="宋体" w:cs="宋体"/>
          <w:highlight w:val="none"/>
        </w:rPr>
      </w:pPr>
      <w:r>
        <w:rPr>
          <w:rFonts w:hint="eastAsia" w:ascii="宋体" w:hAnsi="宋体" w:cs="宋体"/>
          <w:highlight w:val="none"/>
        </w:rPr>
        <w:t>投标报价明细表（格式见附件）；</w:t>
      </w:r>
    </w:p>
    <w:p>
      <w:pPr>
        <w:numPr>
          <w:ilvl w:val="0"/>
          <w:numId w:val="44"/>
        </w:numPr>
        <w:snapToGrid w:val="0"/>
        <w:spacing w:line="360" w:lineRule="auto"/>
        <w:jc w:val="left"/>
        <w:rPr>
          <w:rFonts w:hint="eastAsia" w:ascii="宋体" w:hAnsi="宋体" w:cs="宋体"/>
          <w:highlight w:val="none"/>
        </w:rPr>
      </w:pPr>
      <w:r>
        <w:rPr>
          <w:rFonts w:hint="eastAsia" w:ascii="宋体" w:hAnsi="宋体" w:cs="宋体"/>
          <w:highlight w:val="none"/>
        </w:rPr>
        <w:t>中小企业声明函[提供中小企业声明函或残疾人福利性单位声明函（非残疾人福利性单位无需提供本函)，格式见附件或提供由省级以上监狱管理局、戒毒管理局（含新疆生产建设兵团）出具的属于监狱企业的证明文件]；</w:t>
      </w:r>
    </w:p>
    <w:p>
      <w:pPr>
        <w:numPr>
          <w:ilvl w:val="0"/>
          <w:numId w:val="44"/>
        </w:numPr>
        <w:snapToGrid w:val="0"/>
        <w:spacing w:line="360" w:lineRule="auto"/>
        <w:jc w:val="left"/>
        <w:rPr>
          <w:rFonts w:ascii="宋体" w:hAnsi="宋体" w:cs="宋体"/>
          <w:highlight w:val="none"/>
        </w:rPr>
      </w:pPr>
      <w:r>
        <w:rPr>
          <w:rFonts w:hint="eastAsia" w:ascii="宋体" w:hAnsi="宋体" w:cs="宋体"/>
          <w:highlight w:val="none"/>
        </w:rPr>
        <w:t>供应商针对报价需要说明的其他文件和说明（格式自拟）；</w:t>
      </w:r>
    </w:p>
    <w:p>
      <w:pPr>
        <w:snapToGrid w:val="0"/>
        <w:spacing w:line="360" w:lineRule="auto"/>
        <w:jc w:val="left"/>
        <w:rPr>
          <w:rFonts w:ascii="宋体" w:hAnsi="宋体" w:cs="宋体"/>
          <w:highlight w:val="none"/>
        </w:rPr>
      </w:pPr>
    </w:p>
    <w:p>
      <w:pPr>
        <w:snapToGrid w:val="0"/>
        <w:spacing w:line="360" w:lineRule="auto"/>
        <w:jc w:val="left"/>
        <w:rPr>
          <w:rFonts w:ascii="宋体" w:hAnsi="宋体" w:cs="宋体"/>
          <w:b/>
          <w:bCs/>
          <w:szCs w:val="21"/>
          <w:highlight w:val="none"/>
        </w:rPr>
      </w:pPr>
      <w:r>
        <w:rPr>
          <w:rFonts w:hint="eastAsia" w:ascii="宋体" w:hAnsi="宋体" w:cs="宋体"/>
          <w:highlight w:val="none"/>
        </w:rPr>
        <w:br w:type="page"/>
      </w:r>
      <w:r>
        <w:rPr>
          <w:rFonts w:hint="eastAsia" w:ascii="宋体" w:hAnsi="宋体" w:cs="宋体"/>
          <w:b/>
          <w:bCs/>
          <w:szCs w:val="21"/>
          <w:highlight w:val="none"/>
        </w:rPr>
        <w:t>（1）开标一览表格式</w:t>
      </w:r>
    </w:p>
    <w:p>
      <w:pPr>
        <w:pStyle w:val="43"/>
        <w:widowControl w:val="0"/>
        <w:tabs>
          <w:tab w:val="left" w:pos="4841"/>
        </w:tabs>
        <w:spacing w:before="0" w:beforeAutospacing="0" w:after="0" w:afterAutospacing="0" w:line="360" w:lineRule="auto"/>
        <w:ind w:firstLine="301"/>
        <w:jc w:val="center"/>
        <w:rPr>
          <w:rFonts w:ascii="宋体" w:hAnsi="宋体" w:cs="宋体"/>
          <w:b/>
          <w:szCs w:val="20"/>
          <w:highlight w:val="none"/>
        </w:rPr>
      </w:pPr>
      <w:r>
        <w:rPr>
          <w:rFonts w:hint="eastAsia" w:ascii="宋体" w:hAnsi="宋体" w:cs="宋体"/>
          <w:b/>
          <w:spacing w:val="-4"/>
          <w:kern w:val="2"/>
          <w:szCs w:val="20"/>
          <w:highlight w:val="none"/>
        </w:rPr>
        <w:t>开标一览表</w:t>
      </w:r>
    </w:p>
    <w:p>
      <w:pPr>
        <w:pStyle w:val="43"/>
        <w:widowControl w:val="0"/>
        <w:snapToGrid w:val="0"/>
        <w:spacing w:before="0" w:beforeAutospacing="0" w:after="0" w:afterAutospacing="0" w:line="360" w:lineRule="auto"/>
        <w:rPr>
          <w:rFonts w:ascii="宋体" w:hAnsi="宋体" w:cs="宋体"/>
          <w:spacing w:val="-4"/>
          <w:kern w:val="2"/>
          <w:sz w:val="21"/>
          <w:szCs w:val="21"/>
          <w:highlight w:val="none"/>
        </w:rPr>
      </w:pPr>
      <w:r>
        <w:rPr>
          <w:rFonts w:hint="eastAsia" w:ascii="宋体" w:hAnsi="宋体" w:cs="宋体"/>
          <w:spacing w:val="-4"/>
          <w:kern w:val="2"/>
          <w:sz w:val="21"/>
          <w:szCs w:val="21"/>
          <w:highlight w:val="none"/>
        </w:rPr>
        <w:t>采购项目：                                               项目编号：</w:t>
      </w:r>
    </w:p>
    <w:p>
      <w:pPr>
        <w:pStyle w:val="43"/>
        <w:widowControl w:val="0"/>
        <w:snapToGrid w:val="0"/>
        <w:spacing w:before="0" w:beforeAutospacing="0" w:after="0" w:afterAutospacing="0" w:line="360" w:lineRule="auto"/>
        <w:jc w:val="right"/>
        <w:rPr>
          <w:rFonts w:hint="eastAsia" w:ascii="宋体" w:hAnsi="宋体" w:cs="宋体"/>
          <w:spacing w:val="-4"/>
          <w:kern w:val="2"/>
          <w:sz w:val="21"/>
          <w:szCs w:val="21"/>
          <w:highlight w:val="none"/>
        </w:rPr>
      </w:pPr>
      <w:r>
        <w:rPr>
          <w:rFonts w:hint="eastAsia" w:ascii="宋体" w:hAnsi="宋体" w:cs="宋体"/>
          <w:spacing w:val="-4"/>
          <w:kern w:val="2"/>
          <w:sz w:val="21"/>
          <w:szCs w:val="21"/>
          <w:highlight w:val="none"/>
        </w:rPr>
        <w:t>单位：人民币元</w:t>
      </w:r>
    </w:p>
    <w:tbl>
      <w:tblPr>
        <w:tblStyle w:val="46"/>
        <w:tblpPr w:leftFromText="180" w:rightFromText="180" w:vertAnchor="text" w:horzAnchor="page" w:tblpX="1417" w:tblpY="4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3097"/>
        <w:gridCol w:w="1718"/>
        <w:gridCol w:w="3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64" w:type="dxa"/>
            <w:noWrap w:val="0"/>
            <w:vAlign w:val="center"/>
          </w:tcPr>
          <w:p>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标项</w:t>
            </w:r>
            <w:r>
              <w:rPr>
                <w:rFonts w:hint="eastAsia" w:ascii="宋体" w:hAnsi="宋体" w:eastAsia="宋体" w:cs="宋体"/>
                <w:b/>
                <w:bCs/>
                <w:color w:val="auto"/>
                <w:szCs w:val="21"/>
                <w:highlight w:val="none"/>
              </w:rPr>
              <w:t>号</w:t>
            </w:r>
          </w:p>
        </w:tc>
        <w:tc>
          <w:tcPr>
            <w:tcW w:w="3097" w:type="dxa"/>
            <w:noWrap w:val="0"/>
            <w:vAlign w:val="center"/>
          </w:tcPr>
          <w:p>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采购内容</w:t>
            </w:r>
          </w:p>
        </w:tc>
        <w:tc>
          <w:tcPr>
            <w:tcW w:w="1718" w:type="dxa"/>
            <w:noWrap w:val="0"/>
            <w:vAlign w:val="center"/>
          </w:tcPr>
          <w:p>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3382" w:type="dxa"/>
            <w:noWrap w:val="0"/>
            <w:vAlign w:val="center"/>
          </w:tcPr>
          <w:p>
            <w:pPr>
              <w:snapToGrid w:val="0"/>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eastAsia="zh-CN"/>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1064" w:type="dxa"/>
            <w:noWrap w:val="0"/>
            <w:vAlign w:val="center"/>
          </w:tcPr>
          <w:p>
            <w:pPr>
              <w:snapToGrid w:val="0"/>
              <w:spacing w:line="360" w:lineRule="auto"/>
              <w:jc w:val="center"/>
              <w:rPr>
                <w:rFonts w:hint="eastAsia" w:ascii="宋体" w:hAnsi="宋体" w:eastAsia="宋体" w:cs="宋体"/>
                <w:color w:val="auto"/>
                <w:szCs w:val="21"/>
                <w:highlight w:val="none"/>
              </w:rPr>
            </w:pPr>
          </w:p>
        </w:tc>
        <w:tc>
          <w:tcPr>
            <w:tcW w:w="3097" w:type="dxa"/>
            <w:noWrap w:val="0"/>
            <w:vAlign w:val="center"/>
          </w:tcPr>
          <w:p>
            <w:pPr>
              <w:snapToGrid w:val="0"/>
              <w:spacing w:line="360" w:lineRule="auto"/>
              <w:jc w:val="center"/>
              <w:rPr>
                <w:rFonts w:hint="eastAsia" w:ascii="宋体" w:hAnsi="宋体" w:eastAsia="宋体" w:cs="宋体"/>
                <w:color w:val="auto"/>
                <w:szCs w:val="21"/>
                <w:highlight w:val="none"/>
              </w:rPr>
            </w:pPr>
          </w:p>
        </w:tc>
        <w:tc>
          <w:tcPr>
            <w:tcW w:w="1718" w:type="dxa"/>
            <w:noWrap w:val="0"/>
            <w:vAlign w:val="center"/>
          </w:tcPr>
          <w:p>
            <w:pPr>
              <w:snapToGrid w:val="0"/>
              <w:spacing w:line="360" w:lineRule="auto"/>
              <w:rPr>
                <w:rFonts w:hint="eastAsia" w:ascii="宋体" w:hAnsi="宋体" w:eastAsia="宋体" w:cs="宋体"/>
                <w:color w:val="auto"/>
                <w:szCs w:val="21"/>
                <w:highlight w:val="none"/>
              </w:rPr>
            </w:pPr>
          </w:p>
        </w:tc>
        <w:tc>
          <w:tcPr>
            <w:tcW w:w="3382" w:type="dxa"/>
            <w:noWrap w:val="0"/>
            <w:vAlign w:val="center"/>
          </w:tcPr>
          <w:p>
            <w:pPr>
              <w:snapToGrid w:val="0"/>
              <w:spacing w:line="360" w:lineRule="auto"/>
              <w:jc w:val="center"/>
              <w:rPr>
                <w:rFonts w:hint="eastAsia" w:ascii="宋体" w:hAnsi="宋体" w:eastAsia="宋体" w:cs="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4161" w:type="dxa"/>
            <w:gridSpan w:val="2"/>
            <w:noWrap w:val="0"/>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单年</w:t>
            </w:r>
            <w:r>
              <w:rPr>
                <w:rFonts w:hint="eastAsia" w:ascii="宋体" w:hAnsi="宋体" w:eastAsia="宋体" w:cs="宋体"/>
                <w:color w:val="auto"/>
                <w:szCs w:val="21"/>
                <w:highlight w:val="none"/>
              </w:rPr>
              <w:t>投标价</w:t>
            </w:r>
          </w:p>
        </w:tc>
        <w:tc>
          <w:tcPr>
            <w:tcW w:w="5100" w:type="dxa"/>
            <w:gridSpan w:val="2"/>
            <w:noWrap w:val="0"/>
            <w:vAlign w:val="center"/>
          </w:tcPr>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p>
            <w:pPr>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4161" w:type="dxa"/>
            <w:gridSpan w:val="2"/>
            <w:noWrap w:val="0"/>
            <w:vAlign w:val="center"/>
          </w:tcPr>
          <w:p>
            <w:pP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三年投标总价</w:t>
            </w:r>
          </w:p>
        </w:tc>
        <w:tc>
          <w:tcPr>
            <w:tcW w:w="5100" w:type="dxa"/>
            <w:gridSpan w:val="2"/>
            <w:noWrap w:val="0"/>
            <w:vAlign w:val="center"/>
          </w:tcPr>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p>
            <w:pPr>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1064" w:type="dxa"/>
            <w:noWrap w:val="0"/>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投标声明</w:t>
            </w:r>
          </w:p>
        </w:tc>
        <w:tc>
          <w:tcPr>
            <w:tcW w:w="8197" w:type="dxa"/>
            <w:gridSpan w:val="3"/>
            <w:noWrap w:val="0"/>
            <w:vAlign w:val="center"/>
          </w:tcPr>
          <w:p>
            <w:pPr>
              <w:snapToGrid w:val="0"/>
              <w:spacing w:line="360" w:lineRule="auto"/>
              <w:jc w:val="center"/>
              <w:rPr>
                <w:rFonts w:hint="eastAsia" w:ascii="宋体" w:hAnsi="宋体" w:eastAsia="宋体" w:cs="宋体"/>
                <w:color w:val="auto"/>
                <w:szCs w:val="21"/>
                <w:highlight w:val="none"/>
              </w:rPr>
            </w:pPr>
          </w:p>
        </w:tc>
      </w:tr>
    </w:tbl>
    <w:p>
      <w:pPr>
        <w:pStyle w:val="43"/>
        <w:widowControl w:val="0"/>
        <w:spacing w:before="0" w:beforeAutospacing="0" w:after="0" w:afterAutospacing="0" w:line="360" w:lineRule="auto"/>
        <w:jc w:val="both"/>
        <w:rPr>
          <w:rFonts w:ascii="宋体" w:hAnsi="宋体" w:cs="宋体"/>
          <w:spacing w:val="-4"/>
          <w:kern w:val="2"/>
          <w:sz w:val="21"/>
          <w:szCs w:val="21"/>
          <w:highlight w:val="none"/>
        </w:rPr>
      </w:pPr>
      <w:r>
        <w:rPr>
          <w:rFonts w:hint="eastAsia" w:ascii="宋体" w:hAnsi="宋体" w:cs="宋体"/>
          <w:spacing w:val="-4"/>
          <w:kern w:val="2"/>
          <w:sz w:val="21"/>
          <w:szCs w:val="21"/>
          <w:highlight w:val="none"/>
        </w:rPr>
        <w:t>注：1、若供应商尚有其它内容需明列的，请按此表格式扩展。</w:t>
      </w:r>
    </w:p>
    <w:p>
      <w:pPr>
        <w:pStyle w:val="43"/>
        <w:widowControl w:val="0"/>
        <w:spacing w:before="0" w:beforeAutospacing="0" w:after="0" w:afterAutospacing="0" w:line="360" w:lineRule="auto"/>
        <w:ind w:left="403"/>
        <w:jc w:val="both"/>
        <w:rPr>
          <w:rFonts w:ascii="宋体" w:hAnsi="宋体" w:cs="宋体"/>
          <w:spacing w:val="-4"/>
          <w:kern w:val="2"/>
          <w:sz w:val="21"/>
          <w:szCs w:val="21"/>
          <w:highlight w:val="none"/>
        </w:rPr>
      </w:pPr>
      <w:r>
        <w:rPr>
          <w:rFonts w:hint="eastAsia" w:ascii="宋体" w:hAnsi="宋体" w:cs="宋体"/>
          <w:spacing w:val="-4"/>
          <w:kern w:val="2"/>
          <w:sz w:val="21"/>
          <w:szCs w:val="21"/>
          <w:highlight w:val="none"/>
        </w:rPr>
        <w:t>2、以上“三年投标总价”应与“投标报价明细表”中的“三年投标总价”相一致。</w:t>
      </w:r>
    </w:p>
    <w:p>
      <w:pPr>
        <w:pStyle w:val="43"/>
        <w:widowControl w:val="0"/>
        <w:snapToGrid w:val="0"/>
        <w:spacing w:before="0" w:beforeAutospacing="0" w:after="0" w:afterAutospacing="0" w:line="360" w:lineRule="auto"/>
        <w:ind w:left="-178" w:leftChars="-85" w:firstLine="301"/>
        <w:jc w:val="both"/>
        <w:rPr>
          <w:rFonts w:ascii="宋体" w:hAnsi="宋体" w:cs="宋体"/>
          <w:spacing w:val="-4"/>
          <w:kern w:val="2"/>
          <w:sz w:val="21"/>
          <w:szCs w:val="21"/>
          <w:highlight w:val="none"/>
        </w:rPr>
      </w:pPr>
    </w:p>
    <w:p>
      <w:pPr>
        <w:pStyle w:val="43"/>
        <w:widowControl w:val="0"/>
        <w:snapToGrid w:val="0"/>
        <w:spacing w:before="0" w:beforeAutospacing="0" w:after="0" w:afterAutospacing="0" w:line="360" w:lineRule="auto"/>
        <w:ind w:left="-178" w:leftChars="-85" w:firstLine="301"/>
        <w:jc w:val="both"/>
        <w:rPr>
          <w:rFonts w:ascii="宋体" w:hAnsi="宋体" w:cs="宋体"/>
          <w:sz w:val="21"/>
          <w:szCs w:val="21"/>
          <w:highlight w:val="none"/>
        </w:rPr>
      </w:pPr>
      <w:r>
        <w:rPr>
          <w:rFonts w:hint="eastAsia" w:ascii="宋体" w:hAnsi="宋体" w:cs="宋体"/>
          <w:spacing w:val="-4"/>
          <w:kern w:val="2"/>
          <w:sz w:val="21"/>
          <w:szCs w:val="21"/>
          <w:highlight w:val="none"/>
        </w:rPr>
        <w:t>供 应 商 （盖章）：</w:t>
      </w:r>
    </w:p>
    <w:p>
      <w:pPr>
        <w:pStyle w:val="43"/>
        <w:widowControl w:val="0"/>
        <w:snapToGrid w:val="0"/>
        <w:spacing w:before="0" w:beforeAutospacing="0" w:after="0" w:afterAutospacing="0" w:line="360" w:lineRule="auto"/>
        <w:ind w:left="-178" w:leftChars="-85" w:firstLine="301"/>
        <w:jc w:val="both"/>
        <w:rPr>
          <w:rFonts w:ascii="宋体" w:hAnsi="宋体" w:cs="宋体"/>
          <w:spacing w:val="-4"/>
          <w:kern w:val="2"/>
          <w:sz w:val="21"/>
          <w:szCs w:val="21"/>
          <w:highlight w:val="none"/>
        </w:rPr>
      </w:pPr>
      <w:r>
        <w:rPr>
          <w:rFonts w:hint="eastAsia" w:ascii="宋体" w:hAnsi="宋体" w:cs="宋体"/>
          <w:spacing w:val="-4"/>
          <w:kern w:val="2"/>
          <w:sz w:val="21"/>
          <w:szCs w:val="21"/>
          <w:highlight w:val="none"/>
        </w:rPr>
        <w:t>法定代表人或授权代表（签名或印章）：</w:t>
      </w:r>
    </w:p>
    <w:p>
      <w:pPr>
        <w:pStyle w:val="43"/>
        <w:widowControl w:val="0"/>
        <w:snapToGrid w:val="0"/>
        <w:spacing w:before="0" w:beforeAutospacing="0" w:after="0" w:afterAutospacing="0" w:line="360" w:lineRule="auto"/>
        <w:ind w:left="-178" w:leftChars="-85" w:firstLine="301"/>
        <w:jc w:val="both"/>
        <w:rPr>
          <w:rFonts w:ascii="宋体" w:hAnsi="宋体" w:cs="宋体"/>
          <w:spacing w:val="-4"/>
          <w:kern w:val="2"/>
          <w:sz w:val="21"/>
          <w:szCs w:val="21"/>
          <w:highlight w:val="none"/>
        </w:rPr>
      </w:pPr>
      <w:r>
        <w:rPr>
          <w:rFonts w:hint="eastAsia" w:ascii="宋体" w:hAnsi="宋体" w:cs="宋体"/>
          <w:spacing w:val="-4"/>
          <w:kern w:val="2"/>
          <w:sz w:val="21"/>
          <w:szCs w:val="21"/>
          <w:highlight w:val="none"/>
        </w:rPr>
        <w:t>日     期：</w:t>
      </w:r>
    </w:p>
    <w:p>
      <w:pPr>
        <w:snapToGrid w:val="0"/>
        <w:rPr>
          <w:rFonts w:ascii="宋体" w:hAnsi="宋体" w:cs="宋体"/>
          <w:b/>
          <w:bCs/>
          <w:szCs w:val="21"/>
          <w:highlight w:val="none"/>
        </w:rPr>
      </w:pPr>
    </w:p>
    <w:p>
      <w:pPr>
        <w:widowControl w:val="0"/>
        <w:adjustRightInd w:val="0"/>
        <w:spacing w:line="360" w:lineRule="auto"/>
        <w:jc w:val="both"/>
        <w:textAlignment w:val="baseline"/>
        <w:rPr>
          <w:rFonts w:ascii="宋体" w:hAnsi="宋体" w:cs="宋体"/>
          <w:sz w:val="28"/>
          <w:szCs w:val="21"/>
          <w:highlight w:val="none"/>
        </w:rPr>
      </w:pPr>
      <w:r>
        <w:rPr>
          <w:rFonts w:hint="eastAsia" w:ascii="宋体" w:hAnsi="宋体" w:cs="宋体"/>
          <w:b/>
          <w:bCs/>
          <w:szCs w:val="21"/>
          <w:highlight w:val="none"/>
        </w:rPr>
        <w:t>注：联合体投标的，可只由联合体牵头人签章。</w:t>
      </w:r>
    </w:p>
    <w:p>
      <w:pPr>
        <w:pStyle w:val="54"/>
        <w:rPr>
          <w:rFonts w:ascii="宋体" w:hAnsi="宋体" w:cs="宋体"/>
          <w:b/>
          <w:bCs/>
          <w:szCs w:val="21"/>
          <w:highlight w:val="none"/>
        </w:rPr>
      </w:pPr>
    </w:p>
    <w:p>
      <w:pPr>
        <w:snapToGrid w:val="0"/>
        <w:rPr>
          <w:rFonts w:ascii="宋体" w:hAnsi="宋体" w:cs="宋体"/>
          <w:b/>
          <w:bCs/>
          <w:szCs w:val="21"/>
          <w:highlight w:val="none"/>
        </w:rPr>
      </w:pPr>
      <w:r>
        <w:rPr>
          <w:rFonts w:hint="eastAsia" w:ascii="宋体" w:hAnsi="宋体" w:cs="宋体"/>
          <w:b/>
          <w:bCs/>
          <w:szCs w:val="21"/>
          <w:highlight w:val="none"/>
        </w:rPr>
        <w:br w:type="page"/>
      </w:r>
      <w:r>
        <w:rPr>
          <w:rFonts w:hint="eastAsia" w:ascii="宋体" w:hAnsi="宋体" w:cs="宋体"/>
          <w:b/>
          <w:bCs/>
          <w:szCs w:val="21"/>
          <w:highlight w:val="none"/>
        </w:rPr>
        <w:t>（2）投标报价明细表格式</w:t>
      </w:r>
    </w:p>
    <w:p>
      <w:pPr>
        <w:jc w:val="center"/>
        <w:rPr>
          <w:rFonts w:ascii="宋体" w:hAnsi="宋体" w:cs="宋体"/>
          <w:b/>
          <w:sz w:val="32"/>
          <w:szCs w:val="32"/>
          <w:highlight w:val="none"/>
        </w:rPr>
      </w:pPr>
      <w:r>
        <w:rPr>
          <w:rFonts w:hint="eastAsia" w:ascii="宋体" w:hAnsi="宋体" w:cs="宋体"/>
          <w:b/>
          <w:sz w:val="32"/>
          <w:szCs w:val="32"/>
          <w:highlight w:val="none"/>
        </w:rPr>
        <w:t>投标报价明细表</w:t>
      </w:r>
    </w:p>
    <w:p>
      <w:pPr>
        <w:rPr>
          <w:rFonts w:ascii="宋体" w:hAnsi="宋体" w:cs="宋体"/>
          <w:spacing w:val="-4"/>
          <w:szCs w:val="21"/>
          <w:highlight w:val="none"/>
        </w:rPr>
      </w:pPr>
      <w:r>
        <w:rPr>
          <w:rFonts w:hint="eastAsia" w:ascii="宋体" w:hAnsi="宋体" w:cs="宋体"/>
          <w:spacing w:val="-4"/>
          <w:szCs w:val="21"/>
          <w:highlight w:val="none"/>
        </w:rPr>
        <w:t>采购项目：</w:t>
      </w:r>
    </w:p>
    <w:p>
      <w:pPr>
        <w:rPr>
          <w:rFonts w:ascii="宋体" w:hAnsi="宋体" w:cs="宋体"/>
          <w:spacing w:val="-4"/>
          <w:szCs w:val="21"/>
          <w:highlight w:val="none"/>
        </w:rPr>
      </w:pPr>
      <w:r>
        <w:rPr>
          <w:rFonts w:hint="eastAsia" w:ascii="宋体" w:hAnsi="宋体" w:cs="宋体"/>
          <w:spacing w:val="-4"/>
          <w:szCs w:val="21"/>
          <w:highlight w:val="none"/>
        </w:rPr>
        <w:t>项目编号：</w:t>
      </w:r>
    </w:p>
    <w:tbl>
      <w:tblPr>
        <w:tblStyle w:val="46"/>
        <w:tblW w:w="8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3164"/>
        <w:gridCol w:w="1770"/>
        <w:gridCol w:w="1550"/>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90" w:type="dxa"/>
          </w:tcPr>
          <w:p>
            <w:pPr>
              <w:jc w:val="center"/>
              <w:rPr>
                <w:rFonts w:ascii="宋体" w:hAnsi="宋体" w:cs="宋体"/>
                <w:b/>
                <w:szCs w:val="21"/>
                <w:highlight w:val="none"/>
              </w:rPr>
            </w:pPr>
            <w:r>
              <w:rPr>
                <w:rFonts w:hint="eastAsia" w:ascii="宋体" w:hAnsi="宋体" w:cs="宋体"/>
                <w:b/>
                <w:szCs w:val="21"/>
                <w:highlight w:val="none"/>
              </w:rPr>
              <w:t>序号</w:t>
            </w:r>
          </w:p>
        </w:tc>
        <w:tc>
          <w:tcPr>
            <w:tcW w:w="3164" w:type="dxa"/>
          </w:tcPr>
          <w:p>
            <w:pPr>
              <w:jc w:val="center"/>
              <w:rPr>
                <w:rFonts w:ascii="宋体" w:hAnsi="宋体" w:cs="宋体"/>
                <w:b/>
                <w:szCs w:val="21"/>
                <w:highlight w:val="none"/>
              </w:rPr>
            </w:pPr>
            <w:r>
              <w:rPr>
                <w:rFonts w:hint="eastAsia" w:ascii="宋体" w:hAnsi="宋体" w:cs="宋体"/>
                <w:b/>
                <w:szCs w:val="21"/>
                <w:highlight w:val="none"/>
              </w:rPr>
              <w:t>内容</w:t>
            </w:r>
          </w:p>
        </w:tc>
        <w:tc>
          <w:tcPr>
            <w:tcW w:w="1770" w:type="dxa"/>
          </w:tcPr>
          <w:p>
            <w:pPr>
              <w:jc w:val="center"/>
              <w:rPr>
                <w:rFonts w:ascii="宋体" w:hAnsi="宋体" w:cs="宋体"/>
                <w:b/>
                <w:szCs w:val="21"/>
                <w:highlight w:val="none"/>
              </w:rPr>
            </w:pPr>
            <w:r>
              <w:rPr>
                <w:rFonts w:hint="eastAsia" w:ascii="宋体" w:hAnsi="宋体" w:cs="宋体"/>
                <w:b/>
                <w:szCs w:val="21"/>
                <w:highlight w:val="none"/>
              </w:rPr>
              <w:t>数量</w:t>
            </w:r>
          </w:p>
        </w:tc>
        <w:tc>
          <w:tcPr>
            <w:tcW w:w="1550" w:type="dxa"/>
          </w:tcPr>
          <w:p>
            <w:pPr>
              <w:jc w:val="center"/>
              <w:rPr>
                <w:rFonts w:ascii="宋体" w:hAnsi="宋体" w:cs="宋体"/>
                <w:b/>
                <w:szCs w:val="21"/>
                <w:highlight w:val="none"/>
              </w:rPr>
            </w:pPr>
            <w:r>
              <w:rPr>
                <w:rFonts w:hint="eastAsia" w:ascii="宋体" w:hAnsi="宋体" w:cs="宋体"/>
                <w:b/>
                <w:szCs w:val="21"/>
                <w:highlight w:val="none"/>
              </w:rPr>
              <w:t>单价</w:t>
            </w:r>
          </w:p>
        </w:tc>
        <w:tc>
          <w:tcPr>
            <w:tcW w:w="1123" w:type="dxa"/>
          </w:tcPr>
          <w:p>
            <w:pPr>
              <w:jc w:val="center"/>
              <w:rPr>
                <w:rFonts w:ascii="宋体" w:hAnsi="宋体" w:cs="宋体"/>
                <w:b/>
                <w:szCs w:val="21"/>
                <w:highlight w:val="none"/>
              </w:rPr>
            </w:pPr>
            <w:r>
              <w:rPr>
                <w:rFonts w:hint="eastAsia" w:ascii="宋体" w:hAnsi="宋体" w:cs="宋体"/>
                <w:b/>
                <w:szCs w:val="21"/>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90" w:type="dxa"/>
          </w:tcPr>
          <w:p>
            <w:pPr>
              <w:pStyle w:val="2"/>
              <w:jc w:val="center"/>
              <w:rPr>
                <w:rFonts w:ascii="宋体" w:hAnsi="宋体" w:cs="宋体"/>
                <w:highlight w:val="none"/>
              </w:rPr>
            </w:pPr>
            <w:r>
              <w:rPr>
                <w:rFonts w:hint="eastAsia" w:ascii="宋体" w:hAnsi="宋体" w:cs="宋体"/>
                <w:highlight w:val="none"/>
              </w:rPr>
              <w:t>1</w:t>
            </w:r>
          </w:p>
        </w:tc>
        <w:tc>
          <w:tcPr>
            <w:tcW w:w="3164" w:type="dxa"/>
            <w:vAlign w:val="center"/>
          </w:tcPr>
          <w:p>
            <w:pPr>
              <w:pStyle w:val="2"/>
              <w:jc w:val="center"/>
              <w:rPr>
                <w:rFonts w:ascii="宋体" w:hAnsi="宋体" w:cs="宋体"/>
                <w:highlight w:val="none"/>
              </w:rPr>
            </w:pPr>
          </w:p>
        </w:tc>
        <w:tc>
          <w:tcPr>
            <w:tcW w:w="1770" w:type="dxa"/>
            <w:vAlign w:val="center"/>
          </w:tcPr>
          <w:p>
            <w:pPr>
              <w:pStyle w:val="2"/>
              <w:jc w:val="center"/>
              <w:rPr>
                <w:rFonts w:ascii="宋体" w:hAnsi="宋体" w:cs="宋体"/>
                <w:highlight w:val="none"/>
              </w:rPr>
            </w:pPr>
          </w:p>
        </w:tc>
        <w:tc>
          <w:tcPr>
            <w:tcW w:w="1550" w:type="dxa"/>
            <w:vAlign w:val="center"/>
          </w:tcPr>
          <w:p>
            <w:pPr>
              <w:pStyle w:val="2"/>
              <w:jc w:val="center"/>
              <w:rPr>
                <w:rFonts w:ascii="宋体" w:hAnsi="宋体" w:cs="宋体"/>
                <w:highlight w:val="none"/>
              </w:rPr>
            </w:pPr>
          </w:p>
        </w:tc>
        <w:tc>
          <w:tcPr>
            <w:tcW w:w="1123" w:type="dxa"/>
          </w:tcPr>
          <w:p>
            <w:pPr>
              <w:pStyle w:val="2"/>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90" w:type="dxa"/>
          </w:tcPr>
          <w:p>
            <w:pPr>
              <w:pStyle w:val="2"/>
              <w:jc w:val="center"/>
              <w:rPr>
                <w:rFonts w:ascii="宋体" w:hAnsi="宋体" w:cs="宋体"/>
                <w:highlight w:val="none"/>
              </w:rPr>
            </w:pPr>
            <w:r>
              <w:rPr>
                <w:rFonts w:hint="eastAsia" w:ascii="宋体" w:hAnsi="宋体" w:cs="宋体"/>
                <w:highlight w:val="none"/>
              </w:rPr>
              <w:t>2</w:t>
            </w:r>
          </w:p>
        </w:tc>
        <w:tc>
          <w:tcPr>
            <w:tcW w:w="3164" w:type="dxa"/>
            <w:vAlign w:val="center"/>
          </w:tcPr>
          <w:p>
            <w:pPr>
              <w:pStyle w:val="2"/>
              <w:jc w:val="center"/>
              <w:rPr>
                <w:rFonts w:ascii="宋体" w:hAnsi="宋体" w:cs="宋体"/>
                <w:highlight w:val="none"/>
              </w:rPr>
            </w:pPr>
          </w:p>
        </w:tc>
        <w:tc>
          <w:tcPr>
            <w:tcW w:w="1770" w:type="dxa"/>
            <w:vAlign w:val="center"/>
          </w:tcPr>
          <w:p>
            <w:pPr>
              <w:pStyle w:val="2"/>
              <w:jc w:val="center"/>
              <w:rPr>
                <w:rFonts w:ascii="宋体" w:hAnsi="宋体" w:cs="宋体"/>
                <w:highlight w:val="none"/>
              </w:rPr>
            </w:pPr>
          </w:p>
        </w:tc>
        <w:tc>
          <w:tcPr>
            <w:tcW w:w="1550" w:type="dxa"/>
            <w:vAlign w:val="center"/>
          </w:tcPr>
          <w:p>
            <w:pPr>
              <w:pStyle w:val="2"/>
              <w:jc w:val="center"/>
              <w:rPr>
                <w:rFonts w:ascii="宋体" w:hAnsi="宋体" w:cs="宋体"/>
                <w:highlight w:val="none"/>
              </w:rPr>
            </w:pPr>
          </w:p>
        </w:tc>
        <w:tc>
          <w:tcPr>
            <w:tcW w:w="1123" w:type="dxa"/>
          </w:tcPr>
          <w:p>
            <w:pPr>
              <w:pStyle w:val="2"/>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90" w:type="dxa"/>
          </w:tcPr>
          <w:p>
            <w:pPr>
              <w:pStyle w:val="2"/>
              <w:jc w:val="center"/>
              <w:rPr>
                <w:rFonts w:ascii="宋体" w:hAnsi="宋体" w:cs="宋体"/>
                <w:highlight w:val="none"/>
              </w:rPr>
            </w:pPr>
            <w:r>
              <w:rPr>
                <w:rFonts w:hint="eastAsia" w:ascii="宋体" w:hAnsi="宋体" w:cs="宋体"/>
                <w:highlight w:val="none"/>
              </w:rPr>
              <w:t>3</w:t>
            </w:r>
          </w:p>
        </w:tc>
        <w:tc>
          <w:tcPr>
            <w:tcW w:w="3164" w:type="dxa"/>
            <w:vAlign w:val="center"/>
          </w:tcPr>
          <w:p>
            <w:pPr>
              <w:pStyle w:val="2"/>
              <w:jc w:val="center"/>
              <w:rPr>
                <w:rFonts w:ascii="宋体" w:hAnsi="宋体" w:cs="宋体"/>
                <w:highlight w:val="none"/>
              </w:rPr>
            </w:pPr>
          </w:p>
        </w:tc>
        <w:tc>
          <w:tcPr>
            <w:tcW w:w="1770" w:type="dxa"/>
            <w:vAlign w:val="center"/>
          </w:tcPr>
          <w:p>
            <w:pPr>
              <w:pStyle w:val="2"/>
              <w:jc w:val="center"/>
              <w:rPr>
                <w:rFonts w:ascii="宋体" w:hAnsi="宋体" w:cs="宋体"/>
                <w:highlight w:val="none"/>
              </w:rPr>
            </w:pPr>
          </w:p>
        </w:tc>
        <w:tc>
          <w:tcPr>
            <w:tcW w:w="1550" w:type="dxa"/>
            <w:vAlign w:val="center"/>
          </w:tcPr>
          <w:p>
            <w:pPr>
              <w:pStyle w:val="2"/>
              <w:jc w:val="center"/>
              <w:rPr>
                <w:rFonts w:ascii="宋体" w:hAnsi="宋体" w:cs="宋体"/>
                <w:highlight w:val="none"/>
              </w:rPr>
            </w:pPr>
          </w:p>
        </w:tc>
        <w:tc>
          <w:tcPr>
            <w:tcW w:w="1123" w:type="dxa"/>
          </w:tcPr>
          <w:p>
            <w:pPr>
              <w:pStyle w:val="2"/>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90" w:type="dxa"/>
          </w:tcPr>
          <w:p>
            <w:pPr>
              <w:pStyle w:val="2"/>
              <w:jc w:val="center"/>
              <w:rPr>
                <w:rFonts w:ascii="宋体" w:hAnsi="宋体" w:cs="宋体"/>
                <w:highlight w:val="none"/>
              </w:rPr>
            </w:pPr>
            <w:r>
              <w:rPr>
                <w:rFonts w:hint="eastAsia" w:ascii="宋体" w:hAnsi="宋体" w:cs="宋体"/>
                <w:highlight w:val="none"/>
              </w:rPr>
              <w:t>4</w:t>
            </w:r>
          </w:p>
        </w:tc>
        <w:tc>
          <w:tcPr>
            <w:tcW w:w="3164" w:type="dxa"/>
            <w:vAlign w:val="center"/>
          </w:tcPr>
          <w:p>
            <w:pPr>
              <w:pStyle w:val="2"/>
              <w:jc w:val="center"/>
              <w:rPr>
                <w:rFonts w:ascii="宋体" w:hAnsi="宋体" w:cs="宋体"/>
                <w:highlight w:val="none"/>
              </w:rPr>
            </w:pPr>
          </w:p>
        </w:tc>
        <w:tc>
          <w:tcPr>
            <w:tcW w:w="1770" w:type="dxa"/>
            <w:vAlign w:val="center"/>
          </w:tcPr>
          <w:p>
            <w:pPr>
              <w:pStyle w:val="2"/>
              <w:jc w:val="center"/>
              <w:rPr>
                <w:rFonts w:ascii="宋体" w:hAnsi="宋体" w:cs="宋体"/>
                <w:highlight w:val="none"/>
              </w:rPr>
            </w:pPr>
          </w:p>
        </w:tc>
        <w:tc>
          <w:tcPr>
            <w:tcW w:w="1550" w:type="dxa"/>
            <w:vAlign w:val="center"/>
          </w:tcPr>
          <w:p>
            <w:pPr>
              <w:pStyle w:val="2"/>
              <w:jc w:val="center"/>
              <w:rPr>
                <w:rFonts w:ascii="宋体" w:hAnsi="宋体" w:cs="宋体"/>
                <w:highlight w:val="none"/>
              </w:rPr>
            </w:pPr>
          </w:p>
        </w:tc>
        <w:tc>
          <w:tcPr>
            <w:tcW w:w="1123" w:type="dxa"/>
          </w:tcPr>
          <w:p>
            <w:pPr>
              <w:pStyle w:val="2"/>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90" w:type="dxa"/>
          </w:tcPr>
          <w:p>
            <w:pPr>
              <w:pStyle w:val="2"/>
              <w:jc w:val="center"/>
              <w:rPr>
                <w:rFonts w:ascii="宋体" w:hAnsi="宋体" w:cs="宋体"/>
                <w:highlight w:val="none"/>
              </w:rPr>
            </w:pPr>
            <w:r>
              <w:rPr>
                <w:rFonts w:hint="eastAsia" w:ascii="宋体" w:hAnsi="宋体" w:cs="宋体"/>
                <w:highlight w:val="none"/>
              </w:rPr>
              <w:t>5</w:t>
            </w:r>
          </w:p>
        </w:tc>
        <w:tc>
          <w:tcPr>
            <w:tcW w:w="3164" w:type="dxa"/>
            <w:vAlign w:val="center"/>
          </w:tcPr>
          <w:p>
            <w:pPr>
              <w:pStyle w:val="2"/>
              <w:jc w:val="center"/>
              <w:rPr>
                <w:rFonts w:ascii="宋体" w:hAnsi="宋体" w:cs="宋体"/>
                <w:highlight w:val="none"/>
              </w:rPr>
            </w:pPr>
          </w:p>
        </w:tc>
        <w:tc>
          <w:tcPr>
            <w:tcW w:w="1770" w:type="dxa"/>
            <w:vAlign w:val="center"/>
          </w:tcPr>
          <w:p>
            <w:pPr>
              <w:pStyle w:val="2"/>
              <w:jc w:val="center"/>
              <w:rPr>
                <w:rFonts w:ascii="宋体" w:hAnsi="宋体" w:cs="宋体"/>
                <w:highlight w:val="none"/>
              </w:rPr>
            </w:pPr>
          </w:p>
        </w:tc>
        <w:tc>
          <w:tcPr>
            <w:tcW w:w="1550" w:type="dxa"/>
            <w:vAlign w:val="center"/>
          </w:tcPr>
          <w:p>
            <w:pPr>
              <w:pStyle w:val="2"/>
              <w:jc w:val="center"/>
              <w:rPr>
                <w:rFonts w:ascii="宋体" w:hAnsi="宋体" w:cs="宋体"/>
                <w:highlight w:val="none"/>
              </w:rPr>
            </w:pPr>
          </w:p>
        </w:tc>
        <w:tc>
          <w:tcPr>
            <w:tcW w:w="1123" w:type="dxa"/>
          </w:tcPr>
          <w:p>
            <w:pPr>
              <w:pStyle w:val="2"/>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90" w:type="dxa"/>
          </w:tcPr>
          <w:p>
            <w:pPr>
              <w:pStyle w:val="2"/>
              <w:jc w:val="center"/>
              <w:rPr>
                <w:rFonts w:ascii="宋体" w:hAnsi="宋体" w:cs="宋体"/>
                <w:highlight w:val="none"/>
              </w:rPr>
            </w:pPr>
            <w:r>
              <w:rPr>
                <w:rFonts w:hint="eastAsia" w:ascii="宋体" w:hAnsi="宋体" w:cs="宋体"/>
                <w:highlight w:val="none"/>
              </w:rPr>
              <w:t>6</w:t>
            </w:r>
          </w:p>
        </w:tc>
        <w:tc>
          <w:tcPr>
            <w:tcW w:w="3164" w:type="dxa"/>
            <w:vAlign w:val="center"/>
          </w:tcPr>
          <w:p>
            <w:pPr>
              <w:pStyle w:val="2"/>
              <w:jc w:val="center"/>
              <w:rPr>
                <w:rFonts w:ascii="宋体" w:hAnsi="宋体" w:cs="宋体"/>
                <w:highlight w:val="none"/>
              </w:rPr>
            </w:pPr>
          </w:p>
        </w:tc>
        <w:tc>
          <w:tcPr>
            <w:tcW w:w="1770" w:type="dxa"/>
            <w:vAlign w:val="center"/>
          </w:tcPr>
          <w:p>
            <w:pPr>
              <w:pStyle w:val="2"/>
              <w:jc w:val="center"/>
              <w:rPr>
                <w:rFonts w:ascii="宋体" w:hAnsi="宋体" w:cs="宋体"/>
                <w:highlight w:val="none"/>
              </w:rPr>
            </w:pPr>
          </w:p>
        </w:tc>
        <w:tc>
          <w:tcPr>
            <w:tcW w:w="1550" w:type="dxa"/>
            <w:vAlign w:val="center"/>
          </w:tcPr>
          <w:p>
            <w:pPr>
              <w:pStyle w:val="2"/>
              <w:jc w:val="center"/>
              <w:rPr>
                <w:rFonts w:ascii="宋体" w:hAnsi="宋体" w:cs="宋体"/>
                <w:highlight w:val="none"/>
              </w:rPr>
            </w:pPr>
          </w:p>
        </w:tc>
        <w:tc>
          <w:tcPr>
            <w:tcW w:w="1123" w:type="dxa"/>
          </w:tcPr>
          <w:p>
            <w:pPr>
              <w:pStyle w:val="2"/>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90" w:type="dxa"/>
          </w:tcPr>
          <w:p>
            <w:pPr>
              <w:pStyle w:val="2"/>
              <w:jc w:val="center"/>
              <w:rPr>
                <w:rFonts w:ascii="宋体" w:hAnsi="宋体" w:cs="宋体"/>
                <w:highlight w:val="none"/>
              </w:rPr>
            </w:pPr>
            <w:r>
              <w:rPr>
                <w:rFonts w:hint="eastAsia" w:ascii="宋体" w:hAnsi="宋体" w:cs="宋体"/>
                <w:highlight w:val="none"/>
              </w:rPr>
              <w:t>7</w:t>
            </w:r>
          </w:p>
        </w:tc>
        <w:tc>
          <w:tcPr>
            <w:tcW w:w="3164" w:type="dxa"/>
            <w:vAlign w:val="center"/>
          </w:tcPr>
          <w:p>
            <w:pPr>
              <w:pStyle w:val="2"/>
              <w:jc w:val="center"/>
              <w:rPr>
                <w:rFonts w:ascii="宋体" w:hAnsi="宋体" w:cs="宋体"/>
                <w:highlight w:val="none"/>
              </w:rPr>
            </w:pPr>
          </w:p>
        </w:tc>
        <w:tc>
          <w:tcPr>
            <w:tcW w:w="1770" w:type="dxa"/>
            <w:vAlign w:val="center"/>
          </w:tcPr>
          <w:p>
            <w:pPr>
              <w:pStyle w:val="2"/>
              <w:jc w:val="center"/>
              <w:rPr>
                <w:rFonts w:ascii="宋体" w:hAnsi="宋体" w:cs="宋体"/>
                <w:highlight w:val="none"/>
              </w:rPr>
            </w:pPr>
          </w:p>
        </w:tc>
        <w:tc>
          <w:tcPr>
            <w:tcW w:w="1550" w:type="dxa"/>
            <w:vAlign w:val="center"/>
          </w:tcPr>
          <w:p>
            <w:pPr>
              <w:pStyle w:val="2"/>
              <w:jc w:val="center"/>
              <w:rPr>
                <w:rFonts w:ascii="宋体" w:hAnsi="宋体" w:cs="宋体"/>
                <w:highlight w:val="none"/>
              </w:rPr>
            </w:pPr>
          </w:p>
        </w:tc>
        <w:tc>
          <w:tcPr>
            <w:tcW w:w="1123" w:type="dxa"/>
          </w:tcPr>
          <w:p>
            <w:pPr>
              <w:pStyle w:val="2"/>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274" w:type="dxa"/>
            <w:gridSpan w:val="4"/>
            <w:vAlign w:val="center"/>
          </w:tcPr>
          <w:p>
            <w:pPr>
              <w:pStyle w:val="2"/>
              <w:jc w:val="center"/>
              <w:rPr>
                <w:highlight w:val="none"/>
              </w:rPr>
            </w:pPr>
            <w:r>
              <w:rPr>
                <w:rFonts w:hint="eastAsia"/>
                <w:highlight w:val="none"/>
                <w:lang w:val="en-US" w:eastAsia="zh-CN"/>
              </w:rPr>
              <w:t>三年</w:t>
            </w:r>
            <w:r>
              <w:rPr>
                <w:rFonts w:hint="eastAsia"/>
                <w:highlight w:val="none"/>
              </w:rPr>
              <w:t>投标总价</w:t>
            </w:r>
          </w:p>
        </w:tc>
        <w:tc>
          <w:tcPr>
            <w:tcW w:w="1123" w:type="dxa"/>
          </w:tcPr>
          <w:p>
            <w:pPr>
              <w:pStyle w:val="2"/>
              <w:rPr>
                <w:highlight w:val="none"/>
              </w:rPr>
            </w:pPr>
          </w:p>
        </w:tc>
      </w:tr>
    </w:tbl>
    <w:p>
      <w:pPr>
        <w:rPr>
          <w:rFonts w:ascii="宋体" w:hAnsi="宋体" w:cs="宋体"/>
          <w:highlight w:val="none"/>
        </w:rPr>
      </w:pPr>
      <w:r>
        <w:rPr>
          <w:rFonts w:hint="eastAsia" w:ascii="宋体" w:hAnsi="宋体" w:cs="宋体"/>
          <w:bCs/>
          <w:szCs w:val="21"/>
          <w:highlight w:val="none"/>
        </w:rPr>
        <w:t>注：1、投标单位可根据实际情况自行调整表格。</w:t>
      </w:r>
    </w:p>
    <w:p>
      <w:pPr>
        <w:spacing w:line="360" w:lineRule="auto"/>
        <w:ind w:firstLine="4095" w:firstLineChars="1950"/>
        <w:rPr>
          <w:rFonts w:ascii="宋体" w:hAnsi="宋体" w:cs="宋体"/>
          <w:highlight w:val="none"/>
        </w:rPr>
      </w:pPr>
    </w:p>
    <w:p>
      <w:pPr>
        <w:spacing w:line="360" w:lineRule="auto"/>
        <w:ind w:firstLine="4095" w:firstLineChars="1950"/>
        <w:rPr>
          <w:rFonts w:ascii="宋体" w:hAnsi="宋体" w:cs="宋体"/>
          <w:highlight w:val="none"/>
        </w:rPr>
      </w:pPr>
    </w:p>
    <w:p>
      <w:pPr>
        <w:spacing w:line="360" w:lineRule="auto"/>
        <w:ind w:firstLine="4095" w:firstLineChars="1950"/>
        <w:rPr>
          <w:rFonts w:ascii="宋体" w:hAnsi="宋体" w:cs="宋体"/>
          <w:highlight w:val="none"/>
        </w:rPr>
      </w:pPr>
      <w:r>
        <w:rPr>
          <w:rFonts w:hint="eastAsia" w:ascii="宋体" w:hAnsi="宋体" w:cs="宋体"/>
          <w:highlight w:val="none"/>
        </w:rPr>
        <w:t xml:space="preserve">法定代表人或授权代表（签名或印章）：        </w:t>
      </w:r>
    </w:p>
    <w:p>
      <w:pPr>
        <w:spacing w:line="360" w:lineRule="auto"/>
        <w:ind w:firstLine="5460" w:firstLineChars="2600"/>
        <w:rPr>
          <w:rFonts w:ascii="宋体" w:hAnsi="宋体" w:cs="宋体"/>
          <w:highlight w:val="none"/>
        </w:rPr>
      </w:pPr>
      <w:r>
        <w:rPr>
          <w:rFonts w:hint="eastAsia" w:ascii="宋体" w:hAnsi="宋体" w:cs="宋体"/>
          <w:highlight w:val="none"/>
        </w:rPr>
        <w:t xml:space="preserve">供应商盖章：         </w:t>
      </w:r>
    </w:p>
    <w:p>
      <w:pPr>
        <w:snapToGrid w:val="0"/>
        <w:ind w:right="840" w:firstLine="5880" w:firstLineChars="2800"/>
        <w:rPr>
          <w:rFonts w:ascii="宋体" w:hAnsi="宋体" w:cs="宋体"/>
          <w:highlight w:val="none"/>
        </w:rPr>
      </w:pPr>
      <w:r>
        <w:rPr>
          <w:rFonts w:hint="eastAsia" w:ascii="宋体" w:hAnsi="宋体" w:cs="宋体"/>
          <w:highlight w:val="none"/>
        </w:rPr>
        <w:t xml:space="preserve">日  期：   </w:t>
      </w:r>
    </w:p>
    <w:p>
      <w:pPr>
        <w:pStyle w:val="20"/>
        <w:rPr>
          <w:rFonts w:ascii="宋体" w:hAnsi="宋体" w:cs="宋体"/>
          <w:b/>
          <w:bCs/>
          <w:highlight w:val="none"/>
        </w:rPr>
      </w:pPr>
    </w:p>
    <w:p>
      <w:pPr>
        <w:widowControl w:val="0"/>
        <w:adjustRightInd w:val="0"/>
        <w:spacing w:line="360" w:lineRule="auto"/>
        <w:jc w:val="both"/>
        <w:textAlignment w:val="baseline"/>
        <w:rPr>
          <w:rFonts w:ascii="宋体" w:hAnsi="宋体" w:cs="宋体"/>
          <w:sz w:val="28"/>
          <w:szCs w:val="21"/>
          <w:highlight w:val="none"/>
        </w:rPr>
      </w:pPr>
      <w:r>
        <w:rPr>
          <w:rFonts w:hint="eastAsia" w:ascii="宋体" w:hAnsi="宋体" w:cs="宋体"/>
          <w:b/>
          <w:bCs/>
          <w:szCs w:val="21"/>
          <w:highlight w:val="none"/>
        </w:rPr>
        <w:t>注：联合体投标的，可只由联合体牵头人签章。</w:t>
      </w:r>
    </w:p>
    <w:p>
      <w:pPr>
        <w:numPr>
          <w:ilvl w:val="0"/>
          <w:numId w:val="0"/>
        </w:numPr>
        <w:spacing w:line="360" w:lineRule="auto"/>
        <w:ind w:leftChars="0"/>
        <w:rPr>
          <w:rFonts w:hint="eastAsia" w:ascii="宋体" w:hAnsi="宋体" w:cs="宋体"/>
          <w:b/>
          <w:bCs/>
          <w:szCs w:val="21"/>
          <w:highlight w:val="none"/>
        </w:rPr>
      </w:pPr>
    </w:p>
    <w:p>
      <w:pPr>
        <w:numPr>
          <w:ilvl w:val="0"/>
          <w:numId w:val="0"/>
        </w:numPr>
        <w:spacing w:line="360" w:lineRule="auto"/>
        <w:ind w:leftChars="0"/>
        <w:rPr>
          <w:rFonts w:hint="eastAsia" w:ascii="宋体" w:hAnsi="宋体" w:cs="宋体"/>
          <w:b/>
          <w:bCs/>
          <w:szCs w:val="21"/>
          <w:highlight w:val="none"/>
          <w:lang w:val="en-US" w:eastAsia="zh-CN"/>
        </w:rPr>
      </w:pPr>
      <w:r>
        <w:rPr>
          <w:rFonts w:hint="eastAsia" w:ascii="宋体" w:hAnsi="宋体" w:cs="宋体"/>
          <w:b/>
          <w:bCs/>
          <w:szCs w:val="21"/>
          <w:highlight w:val="none"/>
          <w:lang w:val="en-US" w:eastAsia="zh-CN"/>
        </w:rPr>
        <w:t xml:space="preserve">         </w:t>
      </w:r>
    </w:p>
    <w:p>
      <w:pPr>
        <w:pStyle w:val="20"/>
        <w:rPr>
          <w:rFonts w:hint="eastAsia" w:ascii="宋体" w:hAnsi="宋体" w:cs="宋体"/>
          <w:b/>
          <w:bCs/>
          <w:szCs w:val="21"/>
          <w:highlight w:val="none"/>
          <w:lang w:val="en-US" w:eastAsia="zh-CN"/>
        </w:rPr>
      </w:pPr>
    </w:p>
    <w:p>
      <w:pPr>
        <w:pStyle w:val="21"/>
        <w:rPr>
          <w:rFonts w:hint="eastAsia" w:ascii="宋体" w:hAnsi="宋体" w:cs="宋体"/>
          <w:b/>
          <w:bCs/>
          <w:szCs w:val="21"/>
          <w:highlight w:val="none"/>
          <w:lang w:val="en-US" w:eastAsia="zh-CN"/>
        </w:rPr>
      </w:pPr>
    </w:p>
    <w:p>
      <w:pPr>
        <w:pStyle w:val="37"/>
        <w:rPr>
          <w:rFonts w:hint="eastAsia" w:ascii="宋体" w:hAnsi="宋体" w:cs="宋体"/>
          <w:b/>
          <w:bCs/>
          <w:szCs w:val="21"/>
          <w:highlight w:val="none"/>
          <w:lang w:val="en-US" w:eastAsia="zh-CN"/>
        </w:rPr>
      </w:pPr>
    </w:p>
    <w:p>
      <w:pPr>
        <w:rPr>
          <w:rFonts w:hint="eastAsia" w:ascii="宋体" w:hAnsi="宋体" w:cs="宋体"/>
          <w:b/>
          <w:bCs/>
          <w:szCs w:val="21"/>
          <w:highlight w:val="none"/>
          <w:lang w:val="en-US" w:eastAsia="zh-CN"/>
        </w:rPr>
      </w:pPr>
    </w:p>
    <w:p>
      <w:pPr>
        <w:pStyle w:val="20"/>
        <w:rPr>
          <w:rFonts w:hint="eastAsia" w:ascii="宋体" w:hAnsi="宋体" w:cs="宋体"/>
          <w:b/>
          <w:bCs/>
          <w:szCs w:val="21"/>
          <w:highlight w:val="none"/>
          <w:lang w:val="en-US" w:eastAsia="zh-CN"/>
        </w:rPr>
      </w:pPr>
    </w:p>
    <w:p>
      <w:pPr>
        <w:pStyle w:val="21"/>
        <w:rPr>
          <w:rFonts w:hint="eastAsia" w:ascii="宋体" w:hAnsi="宋体" w:cs="宋体"/>
          <w:b/>
          <w:bCs/>
          <w:szCs w:val="21"/>
          <w:highlight w:val="none"/>
          <w:lang w:val="en-US" w:eastAsia="zh-CN"/>
        </w:rPr>
      </w:pPr>
    </w:p>
    <w:p>
      <w:pPr>
        <w:pStyle w:val="37"/>
        <w:rPr>
          <w:rFonts w:hint="eastAsia" w:ascii="宋体" w:hAnsi="宋体" w:cs="宋体"/>
          <w:b/>
          <w:bCs/>
          <w:szCs w:val="21"/>
          <w:highlight w:val="none"/>
          <w:lang w:val="en-US" w:eastAsia="zh-CN"/>
        </w:rPr>
      </w:pPr>
    </w:p>
    <w:p>
      <w:pPr>
        <w:rPr>
          <w:rFonts w:hint="eastAsia" w:ascii="宋体" w:hAnsi="宋体" w:cs="宋体"/>
          <w:b/>
          <w:bCs/>
          <w:szCs w:val="21"/>
          <w:highlight w:val="none"/>
          <w:lang w:val="en-US" w:eastAsia="zh-CN"/>
        </w:rPr>
      </w:pPr>
    </w:p>
    <w:p>
      <w:pPr>
        <w:pStyle w:val="20"/>
        <w:rPr>
          <w:rFonts w:hint="eastAsia" w:ascii="宋体" w:hAnsi="宋体" w:cs="宋体"/>
          <w:b/>
          <w:bCs/>
          <w:szCs w:val="21"/>
          <w:highlight w:val="none"/>
          <w:lang w:val="en-US" w:eastAsia="zh-CN"/>
        </w:rPr>
      </w:pPr>
    </w:p>
    <w:p>
      <w:pPr>
        <w:pStyle w:val="21"/>
        <w:rPr>
          <w:rFonts w:hint="eastAsia" w:ascii="宋体" w:hAnsi="宋体" w:cs="宋体"/>
          <w:b/>
          <w:bCs/>
          <w:szCs w:val="21"/>
          <w:highlight w:val="none"/>
          <w:lang w:val="en-US" w:eastAsia="zh-CN"/>
        </w:rPr>
      </w:pPr>
    </w:p>
    <w:p>
      <w:pPr>
        <w:pStyle w:val="37"/>
        <w:rPr>
          <w:rFonts w:hint="eastAsia" w:ascii="宋体" w:hAnsi="宋体" w:cs="宋体"/>
          <w:b/>
          <w:bCs/>
          <w:szCs w:val="21"/>
          <w:highlight w:val="none"/>
          <w:lang w:val="en-US" w:eastAsia="zh-CN"/>
        </w:rPr>
      </w:pPr>
    </w:p>
    <w:p>
      <w:pPr>
        <w:rPr>
          <w:rFonts w:hint="default"/>
          <w:highlight w:val="none"/>
          <w:lang w:val="en-US" w:eastAsia="zh-CN"/>
        </w:rPr>
      </w:pPr>
    </w:p>
    <w:p>
      <w:pPr>
        <w:spacing w:line="360" w:lineRule="auto"/>
        <w:rPr>
          <w:rFonts w:ascii="宋体" w:hAnsi="宋体" w:eastAsia="宋体" w:cs="宋体"/>
          <w:b/>
          <w:bCs/>
          <w:szCs w:val="21"/>
          <w:highlight w:val="none"/>
        </w:rPr>
      </w:pPr>
      <w:r>
        <w:rPr>
          <w:rFonts w:hint="eastAsia" w:ascii="宋体" w:hAnsi="宋体" w:cs="宋体"/>
          <w:b/>
          <w:bCs/>
          <w:szCs w:val="21"/>
          <w:highlight w:val="none"/>
        </w:rPr>
        <w:t>（</w:t>
      </w:r>
      <w:r>
        <w:rPr>
          <w:rFonts w:hint="eastAsia" w:ascii="宋体" w:hAnsi="宋体" w:cs="宋体"/>
          <w:b/>
          <w:bCs/>
          <w:szCs w:val="21"/>
          <w:highlight w:val="none"/>
          <w:lang w:val="en-US" w:eastAsia="zh-CN"/>
        </w:rPr>
        <w:t>3</w:t>
      </w:r>
      <w:r>
        <w:rPr>
          <w:rFonts w:hint="eastAsia" w:ascii="宋体" w:hAnsi="宋体" w:cs="宋体"/>
          <w:b/>
          <w:bCs/>
          <w:szCs w:val="21"/>
          <w:highlight w:val="none"/>
        </w:rPr>
        <w:t>）</w:t>
      </w:r>
      <w:r>
        <w:rPr>
          <w:rFonts w:hint="eastAsia" w:ascii="宋体" w:hAnsi="宋体" w:eastAsia="宋体" w:cs="宋体"/>
          <w:b/>
          <w:bCs/>
          <w:highlight w:val="none"/>
        </w:rPr>
        <w:t>中小企业声明函</w:t>
      </w:r>
    </w:p>
    <w:p>
      <w:pPr>
        <w:spacing w:line="360" w:lineRule="auto"/>
        <w:jc w:val="center"/>
        <w:rPr>
          <w:rFonts w:ascii="宋体" w:hAnsi="宋体" w:eastAsia="宋体" w:cs="宋体"/>
          <w:b/>
          <w:sz w:val="28"/>
          <w:szCs w:val="28"/>
          <w:highlight w:val="none"/>
        </w:rPr>
      </w:pPr>
      <w:r>
        <w:rPr>
          <w:rFonts w:hint="eastAsia" w:ascii="宋体" w:hAnsi="宋体" w:eastAsia="宋体" w:cs="宋体"/>
          <w:b/>
          <w:sz w:val="32"/>
          <w:szCs w:val="32"/>
          <w:highlight w:val="none"/>
        </w:rPr>
        <w:t>中小企业声明函（服务）</w:t>
      </w:r>
    </w:p>
    <w:p>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本公司（联合体）郑重声明，根据《政府采购促进中小企业发展管理办法》（财库﹝2020﹞46 号）的规定，本公司（联合体）参加</w:t>
      </w:r>
      <w:r>
        <w:rPr>
          <w:rFonts w:hint="eastAsia" w:ascii="宋体" w:hAnsi="宋体" w:eastAsia="宋体" w:cs="宋体"/>
          <w:szCs w:val="21"/>
          <w:highlight w:val="none"/>
          <w:u w:val="single"/>
        </w:rPr>
        <w:t>（单位名称）</w:t>
      </w:r>
      <w:r>
        <w:rPr>
          <w:rFonts w:hint="eastAsia" w:ascii="宋体" w:hAnsi="宋体" w:eastAsia="宋体" w:cs="宋体"/>
          <w:szCs w:val="21"/>
          <w:highlight w:val="none"/>
        </w:rPr>
        <w:t>的</w:t>
      </w:r>
      <w:r>
        <w:rPr>
          <w:rFonts w:hint="eastAsia" w:ascii="宋体" w:hAnsi="宋体" w:eastAsia="宋体" w:cs="宋体"/>
          <w:szCs w:val="21"/>
          <w:highlight w:val="none"/>
          <w:u w:val="single"/>
        </w:rPr>
        <w:t>（项目名称）</w:t>
      </w:r>
      <w:r>
        <w:rPr>
          <w:rFonts w:hint="eastAsia" w:ascii="宋体" w:hAnsi="宋体" w:eastAsia="宋体" w:cs="宋体"/>
          <w:szCs w:val="21"/>
          <w:highlight w:val="none"/>
        </w:rPr>
        <w:t>采购活动，服务全部由符合政策要求的中小企业承接。相关企业（含联合体中的中小企业、签订分包意向协议的中小企业）的具体情况如下：</w:t>
      </w:r>
    </w:p>
    <w:p>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i/>
          <w:szCs w:val="21"/>
          <w:highlight w:val="none"/>
          <w:u w:val="single"/>
        </w:rPr>
        <w:t xml:space="preserve"> （标的名称） </w:t>
      </w:r>
      <w:r>
        <w:rPr>
          <w:rFonts w:hint="eastAsia" w:ascii="宋体" w:hAnsi="宋体" w:eastAsia="宋体" w:cs="宋体"/>
          <w:szCs w:val="21"/>
          <w:highlight w:val="none"/>
        </w:rPr>
        <w:t>，属于</w:t>
      </w:r>
      <w:r>
        <w:rPr>
          <w:rFonts w:hint="eastAsia" w:ascii="宋体" w:hAnsi="宋体" w:eastAsia="宋体" w:cs="宋体"/>
          <w:i/>
          <w:szCs w:val="21"/>
          <w:highlight w:val="none"/>
          <w:u w:val="single"/>
        </w:rPr>
        <w:t>（其他未列明行业）</w:t>
      </w:r>
      <w:r>
        <w:rPr>
          <w:rFonts w:hint="eastAsia" w:ascii="宋体" w:hAnsi="宋体" w:eastAsia="宋体" w:cs="宋体"/>
          <w:szCs w:val="21"/>
          <w:highlight w:val="none"/>
        </w:rPr>
        <w:t>；承接企业为</w:t>
      </w:r>
      <w:r>
        <w:rPr>
          <w:rFonts w:hint="eastAsia" w:ascii="宋体" w:hAnsi="宋体" w:eastAsia="宋体" w:cs="宋体"/>
          <w:i/>
          <w:szCs w:val="21"/>
          <w:highlight w:val="none"/>
          <w:u w:val="single"/>
        </w:rPr>
        <w:t>（企业名称）</w:t>
      </w:r>
      <w:r>
        <w:rPr>
          <w:rFonts w:hint="eastAsia" w:ascii="宋体" w:hAnsi="宋体" w:eastAsia="宋体" w:cs="宋体"/>
          <w:szCs w:val="21"/>
          <w:highlight w:val="none"/>
        </w:rPr>
        <w:t>，从业人员人，营业收入为万元，资产总额为万元，属于</w:t>
      </w:r>
      <w:r>
        <w:rPr>
          <w:rFonts w:hint="eastAsia" w:ascii="宋体" w:hAnsi="宋体" w:eastAsia="宋体" w:cs="宋体"/>
          <w:i/>
          <w:szCs w:val="21"/>
          <w:highlight w:val="none"/>
          <w:u w:val="single"/>
        </w:rPr>
        <w:t>（中型企业、小型企业、微型企业）</w:t>
      </w:r>
      <w:r>
        <w:rPr>
          <w:rFonts w:hint="eastAsia" w:ascii="宋体" w:hAnsi="宋体" w:eastAsia="宋体" w:cs="宋体"/>
          <w:szCs w:val="21"/>
          <w:highlight w:val="none"/>
        </w:rPr>
        <w:t>；</w:t>
      </w:r>
    </w:p>
    <w:p>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i/>
          <w:szCs w:val="21"/>
          <w:highlight w:val="none"/>
          <w:u w:val="single"/>
        </w:rPr>
        <w:t xml:space="preserve"> （标的名称） </w:t>
      </w:r>
      <w:r>
        <w:rPr>
          <w:rFonts w:hint="eastAsia" w:ascii="宋体" w:hAnsi="宋体" w:eastAsia="宋体" w:cs="宋体"/>
          <w:szCs w:val="21"/>
          <w:highlight w:val="none"/>
        </w:rPr>
        <w:t>，属于</w:t>
      </w:r>
      <w:r>
        <w:rPr>
          <w:rFonts w:hint="eastAsia" w:ascii="宋体" w:hAnsi="宋体" w:eastAsia="宋体" w:cs="宋体"/>
          <w:i/>
          <w:szCs w:val="21"/>
          <w:highlight w:val="none"/>
          <w:u w:val="single"/>
        </w:rPr>
        <w:t>（其他未列明行业）</w:t>
      </w:r>
      <w:r>
        <w:rPr>
          <w:rFonts w:hint="eastAsia" w:ascii="宋体" w:hAnsi="宋体" w:eastAsia="宋体" w:cs="宋体"/>
          <w:szCs w:val="21"/>
          <w:highlight w:val="none"/>
        </w:rPr>
        <w:t>；承接企业为</w:t>
      </w:r>
      <w:r>
        <w:rPr>
          <w:rFonts w:hint="eastAsia" w:ascii="宋体" w:hAnsi="宋体" w:eastAsia="宋体" w:cs="宋体"/>
          <w:i/>
          <w:szCs w:val="21"/>
          <w:highlight w:val="none"/>
          <w:u w:val="single"/>
        </w:rPr>
        <w:t>（企业名称）</w:t>
      </w:r>
      <w:r>
        <w:rPr>
          <w:rFonts w:hint="eastAsia" w:ascii="宋体" w:hAnsi="宋体" w:eastAsia="宋体" w:cs="宋体"/>
          <w:szCs w:val="21"/>
          <w:highlight w:val="none"/>
        </w:rPr>
        <w:t>，从业人员人，营业收入为万元，资产总额为万元，属于</w:t>
      </w:r>
      <w:r>
        <w:rPr>
          <w:rFonts w:hint="eastAsia" w:ascii="宋体" w:hAnsi="宋体" w:eastAsia="宋体" w:cs="宋体"/>
          <w:i/>
          <w:szCs w:val="21"/>
          <w:highlight w:val="none"/>
          <w:u w:val="single"/>
        </w:rPr>
        <w:t>（中型企业、小型企业、微型企业）</w:t>
      </w:r>
      <w:r>
        <w:rPr>
          <w:rFonts w:hint="eastAsia" w:ascii="宋体" w:hAnsi="宋体" w:eastAsia="宋体" w:cs="宋体"/>
          <w:szCs w:val="21"/>
          <w:highlight w:val="none"/>
        </w:rPr>
        <w:t>；</w:t>
      </w:r>
    </w:p>
    <w:p>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w:t>
      </w:r>
    </w:p>
    <w:p>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以上企业，不属于大企业的分支机构，不存在控股股东为大企业的情形，也不存在与大企业的负责人为同一人的情形。</w:t>
      </w:r>
    </w:p>
    <w:p>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本企业对上述声明内容的真实性负责。如有虚假，将依法承担相应责任。</w:t>
      </w:r>
    </w:p>
    <w:p>
      <w:pPr>
        <w:spacing w:line="500" w:lineRule="exact"/>
        <w:rPr>
          <w:rFonts w:ascii="宋体" w:hAnsi="宋体" w:eastAsia="宋体" w:cs="宋体"/>
          <w:szCs w:val="21"/>
          <w:highlight w:val="none"/>
        </w:rPr>
      </w:pPr>
      <w:r>
        <w:rPr>
          <w:rFonts w:hint="eastAsia" w:ascii="宋体" w:hAnsi="宋体" w:eastAsia="宋体" w:cs="宋体"/>
          <w:szCs w:val="21"/>
          <w:highlight w:val="none"/>
        </w:rPr>
        <w:t xml:space="preserve">                        企业名称（盖章）：</w:t>
      </w:r>
    </w:p>
    <w:p>
      <w:pPr>
        <w:spacing w:line="360" w:lineRule="auto"/>
        <w:rPr>
          <w:rFonts w:ascii="宋体" w:hAnsi="宋体" w:eastAsia="宋体" w:cs="宋体"/>
          <w:szCs w:val="21"/>
          <w:highlight w:val="none"/>
        </w:rPr>
      </w:pPr>
      <w:r>
        <w:rPr>
          <w:rFonts w:hint="eastAsia" w:ascii="宋体" w:hAnsi="宋体" w:eastAsia="宋体" w:cs="宋体"/>
          <w:szCs w:val="21"/>
          <w:highlight w:val="none"/>
        </w:rPr>
        <w:t xml:space="preserve">                        日期：</w:t>
      </w:r>
    </w:p>
    <w:p>
      <w:pPr>
        <w:spacing w:line="360" w:lineRule="auto"/>
        <w:rPr>
          <w:rFonts w:ascii="宋体" w:hAnsi="宋体" w:eastAsia="宋体" w:cs="宋体"/>
          <w:szCs w:val="21"/>
          <w:highlight w:val="none"/>
        </w:rPr>
      </w:pPr>
      <w:r>
        <w:rPr>
          <w:rFonts w:hint="eastAsia" w:ascii="宋体" w:hAnsi="宋体" w:eastAsia="宋体" w:cs="宋体"/>
          <w:szCs w:val="21"/>
          <w:highlight w:val="none"/>
        </w:rPr>
        <w:t>说明：</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szCs w:val="21"/>
          <w:highlight w:val="none"/>
        </w:rPr>
      </w:pPr>
      <w:r>
        <w:rPr>
          <w:rFonts w:hint="eastAsia" w:ascii="宋体" w:hAnsi="宋体" w:eastAsia="宋体" w:cs="宋体"/>
          <w:szCs w:val="21"/>
          <w:highlight w:val="none"/>
        </w:rPr>
        <w:t>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2、根据工信部联企业[2011]300号规定。其他未列明行业：从业人员300人以下的为中小微型企业。其中，从业人员100人及以上的为中型企业；从业人员10人及以上的为小型企业；从业人员10人以下的为微型企业。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Cs w:val="21"/>
          <w:highlight w:val="none"/>
          <w:lang w:val="zh-CN" w:eastAsia="zh-CN"/>
        </w:rPr>
      </w:pPr>
      <w:r>
        <w:rPr>
          <w:rFonts w:hint="default" w:ascii="宋体" w:hAnsi="宋体" w:eastAsia="宋体" w:cs="宋体"/>
          <w:szCs w:val="21"/>
          <w:highlight w:val="none"/>
          <w:lang w:val="zh-CN" w:eastAsia="zh-CN"/>
        </w:rPr>
        <w:t>3、供应商应当对其出具的《中小企业声明函》真实性负责，供应商出具的《中小企业声明函》内容不实的，属于提供虚假材料谋取中标。在实际操作中，供应商希望获得政策支持的，应从制造商处获得充分、准确的信息。对相关制造商信息了解不充分，或者不能确定相关信息真实、准确的，不建议出具《中小企业声明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Cs w:val="21"/>
          <w:highlight w:val="none"/>
          <w:lang w:val="zh-CN" w:eastAsia="zh-CN"/>
        </w:rPr>
      </w:pPr>
      <w:r>
        <w:rPr>
          <w:rFonts w:hint="default" w:ascii="宋体" w:hAnsi="宋体" w:eastAsia="宋体" w:cs="宋体"/>
          <w:szCs w:val="21"/>
          <w:highlight w:val="none"/>
          <w:lang w:val="zh-CN" w:eastAsia="zh-CN"/>
        </w:rPr>
        <w:t>4、供应商不得更改《中小企业声明函》中的行业类别，如有更改，视为《中小企业声明函》无效。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Cs w:val="21"/>
          <w:highlight w:val="none"/>
          <w:lang w:val="zh-CN" w:eastAsia="zh-CN"/>
        </w:rPr>
      </w:pPr>
      <w:r>
        <w:rPr>
          <w:rFonts w:hint="default" w:ascii="宋体" w:hAnsi="宋体" w:eastAsia="宋体" w:cs="宋体"/>
          <w:szCs w:val="21"/>
          <w:highlight w:val="none"/>
          <w:lang w:val="zh-CN" w:eastAsia="zh-CN"/>
        </w:rPr>
        <w:t>5、如供应商在本表中列明的从业人员、营业收入、资产总额数据与声明的企业划性不一致，视为《中小企业声明函》无效。</w:t>
      </w:r>
    </w:p>
    <w:p>
      <w:pPr>
        <w:spacing w:line="360" w:lineRule="auto"/>
        <w:rPr>
          <w:rFonts w:hint="eastAsia" w:ascii="宋体" w:hAnsi="宋体" w:eastAsia="宋体" w:cs="宋体"/>
          <w:szCs w:val="21"/>
          <w:highlight w:val="none"/>
        </w:rPr>
      </w:pPr>
    </w:p>
    <w:p>
      <w:pPr>
        <w:spacing w:line="500" w:lineRule="exact"/>
        <w:rPr>
          <w:rFonts w:ascii="宋体" w:hAnsi="宋体" w:eastAsia="宋体" w:cs="宋体"/>
          <w:szCs w:val="21"/>
          <w:highlight w:val="none"/>
        </w:rPr>
      </w:pPr>
      <w:r>
        <w:rPr>
          <w:rFonts w:hint="eastAsia" w:ascii="宋体" w:hAnsi="宋体" w:eastAsia="宋体" w:cs="宋体"/>
          <w:b/>
          <w:kern w:val="0"/>
          <w:szCs w:val="21"/>
          <w:highlight w:val="none"/>
        </w:rPr>
        <w:t>注：联合体投标的，联合体各方均须提供。</w:t>
      </w:r>
    </w:p>
    <w:p>
      <w:pPr>
        <w:spacing w:line="500" w:lineRule="exact"/>
        <w:rPr>
          <w:rFonts w:ascii="宋体" w:hAnsi="宋体" w:eastAsia="宋体" w:cs="宋体"/>
          <w:b/>
          <w:bCs/>
          <w:szCs w:val="21"/>
          <w:highlight w:val="none"/>
        </w:rPr>
      </w:pPr>
      <w:r>
        <w:rPr>
          <w:rFonts w:hint="eastAsia" w:ascii="宋体" w:hAnsi="宋体" w:eastAsia="宋体" w:cs="宋体"/>
          <w:b/>
          <w:bCs/>
          <w:szCs w:val="21"/>
          <w:highlight w:val="none"/>
        </w:rPr>
        <w:br w:type="page"/>
      </w:r>
      <w:r>
        <w:rPr>
          <w:rFonts w:hint="eastAsia" w:ascii="宋体" w:hAnsi="宋体" w:eastAsia="宋体" w:cs="宋体"/>
          <w:b/>
          <w:bCs/>
          <w:szCs w:val="21"/>
          <w:highlight w:val="none"/>
        </w:rPr>
        <w:t xml:space="preserve"> 残疾人福利性单位声明函（非残疾人福利性单位无需提供本函)</w:t>
      </w:r>
    </w:p>
    <w:p>
      <w:pPr>
        <w:spacing w:line="500" w:lineRule="exact"/>
        <w:rPr>
          <w:rFonts w:ascii="宋体" w:hAnsi="宋体" w:eastAsia="宋体" w:cs="宋体"/>
          <w:szCs w:val="21"/>
          <w:highlight w:val="none"/>
        </w:rPr>
      </w:pPr>
    </w:p>
    <w:p>
      <w:pPr>
        <w:spacing w:line="360" w:lineRule="auto"/>
        <w:jc w:val="center"/>
        <w:rPr>
          <w:rFonts w:ascii="宋体" w:hAnsi="宋体" w:eastAsia="宋体" w:cs="宋体"/>
          <w:b/>
          <w:spacing w:val="6"/>
          <w:szCs w:val="21"/>
          <w:highlight w:val="none"/>
        </w:rPr>
      </w:pPr>
      <w:r>
        <w:rPr>
          <w:rFonts w:hint="eastAsia" w:ascii="宋体" w:hAnsi="宋体" w:eastAsia="宋体" w:cs="宋体"/>
          <w:b/>
          <w:spacing w:val="6"/>
          <w:szCs w:val="21"/>
          <w:highlight w:val="none"/>
        </w:rPr>
        <w:t>残疾人福利性单位声明函</w:t>
      </w:r>
    </w:p>
    <w:p>
      <w:pPr>
        <w:spacing w:line="500" w:lineRule="exact"/>
        <w:rPr>
          <w:rFonts w:ascii="宋体" w:hAnsi="宋体" w:eastAsia="宋体" w:cs="宋体"/>
          <w:szCs w:val="21"/>
          <w:highlight w:val="none"/>
        </w:rPr>
      </w:pPr>
    </w:p>
    <w:p>
      <w:pPr>
        <w:spacing w:line="360" w:lineRule="auto"/>
        <w:ind w:firstLine="444" w:firstLineChars="200"/>
        <w:rPr>
          <w:rFonts w:ascii="宋体" w:hAnsi="宋体" w:eastAsia="宋体" w:cs="宋体"/>
          <w:spacing w:val="6"/>
          <w:szCs w:val="21"/>
          <w:highlight w:val="none"/>
        </w:rPr>
      </w:pPr>
      <w:r>
        <w:rPr>
          <w:rFonts w:hint="eastAsia" w:ascii="宋体" w:hAnsi="宋体" w:eastAsia="宋体" w:cs="宋体"/>
          <w:spacing w:val="6"/>
          <w:szCs w:val="21"/>
          <w:highlight w:val="none"/>
        </w:rPr>
        <w:t>本单位郑重声明，根据《财政部 民政部 中国残疾人联合会关于促进残疾人就业政府采购政策的通知》（财库</w:t>
      </w:r>
      <w:r>
        <w:rPr>
          <w:rFonts w:hint="eastAsia" w:ascii="宋体" w:hAnsi="宋体" w:eastAsia="宋体" w:cs="宋体"/>
          <w:szCs w:val="21"/>
          <w:highlight w:val="none"/>
        </w:rPr>
        <w:t>〔2017〕 141</w:t>
      </w:r>
      <w:r>
        <w:rPr>
          <w:rFonts w:hint="eastAsia" w:ascii="宋体" w:hAnsi="宋体" w:eastAsia="宋体" w:cs="宋体"/>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ascii="宋体" w:hAnsi="宋体" w:eastAsia="宋体" w:cs="宋体"/>
          <w:spacing w:val="6"/>
          <w:szCs w:val="21"/>
          <w:highlight w:val="none"/>
        </w:rPr>
      </w:pPr>
      <w:r>
        <w:rPr>
          <w:rFonts w:hint="eastAsia" w:ascii="宋体" w:hAnsi="宋体" w:eastAsia="宋体" w:cs="宋体"/>
          <w:spacing w:val="6"/>
          <w:szCs w:val="21"/>
          <w:highlight w:val="none"/>
        </w:rPr>
        <w:t>本单位对上述声明的真实性负责。如有虚假，将依法承担相应责任。</w:t>
      </w:r>
    </w:p>
    <w:p>
      <w:pPr>
        <w:spacing w:line="360" w:lineRule="auto"/>
        <w:ind w:firstLine="444" w:firstLineChars="200"/>
        <w:rPr>
          <w:rFonts w:ascii="宋体" w:hAnsi="宋体" w:eastAsia="宋体" w:cs="宋体"/>
          <w:spacing w:val="6"/>
          <w:szCs w:val="21"/>
          <w:highlight w:val="none"/>
        </w:rPr>
      </w:pPr>
    </w:p>
    <w:p>
      <w:pPr>
        <w:tabs>
          <w:tab w:val="left" w:pos="4860"/>
        </w:tabs>
        <w:spacing w:line="360" w:lineRule="auto"/>
        <w:ind w:firstLine="444" w:firstLineChars="200"/>
        <w:jc w:val="center"/>
        <w:rPr>
          <w:rFonts w:ascii="宋体" w:hAnsi="宋体" w:eastAsia="宋体" w:cs="宋体"/>
          <w:spacing w:val="6"/>
          <w:szCs w:val="21"/>
          <w:highlight w:val="none"/>
        </w:rPr>
      </w:pPr>
      <w:r>
        <w:rPr>
          <w:rFonts w:hint="eastAsia" w:ascii="宋体" w:hAnsi="宋体" w:eastAsia="宋体" w:cs="宋体"/>
          <w:spacing w:val="6"/>
          <w:szCs w:val="21"/>
          <w:highlight w:val="none"/>
        </w:rPr>
        <w:t xml:space="preserve">               单位名称（盖章）：</w:t>
      </w:r>
    </w:p>
    <w:p>
      <w:pPr>
        <w:tabs>
          <w:tab w:val="left" w:pos="4860"/>
        </w:tabs>
        <w:spacing w:line="360" w:lineRule="auto"/>
        <w:ind w:firstLine="444" w:firstLineChars="200"/>
        <w:jc w:val="center"/>
        <w:rPr>
          <w:rFonts w:ascii="宋体" w:hAnsi="宋体" w:eastAsia="宋体" w:cs="宋体"/>
          <w:highlight w:val="none"/>
        </w:rPr>
      </w:pPr>
      <w:r>
        <w:rPr>
          <w:rFonts w:hint="eastAsia" w:ascii="宋体" w:hAnsi="宋体" w:eastAsia="宋体" w:cs="宋体"/>
          <w:spacing w:val="6"/>
          <w:szCs w:val="21"/>
          <w:highlight w:val="none"/>
        </w:rPr>
        <w:t xml:space="preserve">       日  期：</w:t>
      </w:r>
    </w:p>
    <w:p>
      <w:pPr>
        <w:tabs>
          <w:tab w:val="left" w:pos="4860"/>
        </w:tabs>
        <w:spacing w:line="360" w:lineRule="auto"/>
        <w:ind w:firstLine="420" w:firstLineChars="200"/>
        <w:jc w:val="center"/>
        <w:rPr>
          <w:rFonts w:ascii="宋体" w:hAnsi="宋体" w:eastAsia="宋体" w:cs="宋体"/>
          <w:highlight w:val="none"/>
        </w:rPr>
      </w:pPr>
    </w:p>
    <w:p>
      <w:pPr>
        <w:tabs>
          <w:tab w:val="left" w:pos="4860"/>
        </w:tabs>
        <w:spacing w:line="360" w:lineRule="auto"/>
        <w:rPr>
          <w:rFonts w:ascii="宋体" w:hAnsi="宋体" w:eastAsia="宋体" w:cs="宋体"/>
          <w:spacing w:val="6"/>
          <w:szCs w:val="21"/>
          <w:highlight w:val="none"/>
        </w:rPr>
      </w:pPr>
      <w:r>
        <w:rPr>
          <w:rFonts w:hint="eastAsia" w:ascii="宋体" w:hAnsi="宋体" w:eastAsia="宋体" w:cs="宋体"/>
          <w:spacing w:val="6"/>
          <w:szCs w:val="21"/>
          <w:highlight w:val="none"/>
        </w:rPr>
        <w:t>注：1、如供应商为非残疾人福利性单位的可不提供本声明函。</w:t>
      </w:r>
    </w:p>
    <w:p>
      <w:pPr>
        <w:tabs>
          <w:tab w:val="left" w:pos="4860"/>
        </w:tabs>
        <w:spacing w:line="360" w:lineRule="auto"/>
        <w:ind w:firstLine="444" w:firstLineChars="200"/>
        <w:rPr>
          <w:rFonts w:ascii="宋体" w:hAnsi="宋体" w:eastAsia="宋体" w:cs="宋体"/>
          <w:spacing w:val="6"/>
          <w:szCs w:val="21"/>
          <w:highlight w:val="none"/>
        </w:rPr>
      </w:pPr>
      <w:r>
        <w:rPr>
          <w:rFonts w:hint="eastAsia" w:ascii="宋体" w:hAnsi="宋体" w:eastAsia="宋体" w:cs="宋体"/>
          <w:spacing w:val="6"/>
          <w:szCs w:val="21"/>
          <w:highlight w:val="none"/>
        </w:rPr>
        <w:t>2、享受政府采购支持政策的残疾人福利性单位应当同时满足以下条件：</w:t>
      </w:r>
    </w:p>
    <w:p>
      <w:pPr>
        <w:tabs>
          <w:tab w:val="left" w:pos="4860"/>
        </w:tabs>
        <w:spacing w:line="360" w:lineRule="auto"/>
        <w:ind w:firstLine="444" w:firstLineChars="200"/>
        <w:rPr>
          <w:rFonts w:ascii="宋体" w:hAnsi="宋体" w:eastAsia="宋体" w:cs="宋体"/>
          <w:spacing w:val="6"/>
          <w:szCs w:val="21"/>
          <w:highlight w:val="none"/>
        </w:rPr>
      </w:pPr>
      <w:r>
        <w:rPr>
          <w:rFonts w:hint="eastAsia" w:ascii="宋体" w:hAnsi="宋体" w:eastAsia="宋体" w:cs="宋体"/>
          <w:spacing w:val="6"/>
          <w:szCs w:val="21"/>
          <w:highlight w:val="none"/>
        </w:rPr>
        <w:t>（1）安置的残疾人占本单位在职职工人数的比例不低于25%（含25%），并且安置的残疾人人数不少于10人（含10人）；</w:t>
      </w:r>
    </w:p>
    <w:p>
      <w:pPr>
        <w:tabs>
          <w:tab w:val="left" w:pos="4860"/>
        </w:tabs>
        <w:spacing w:line="360" w:lineRule="auto"/>
        <w:ind w:firstLine="444" w:firstLineChars="200"/>
        <w:rPr>
          <w:rFonts w:ascii="宋体" w:hAnsi="宋体" w:eastAsia="宋体" w:cs="宋体"/>
          <w:spacing w:val="6"/>
          <w:szCs w:val="21"/>
          <w:highlight w:val="none"/>
        </w:rPr>
      </w:pPr>
      <w:r>
        <w:rPr>
          <w:rFonts w:hint="eastAsia" w:ascii="宋体" w:hAnsi="宋体" w:eastAsia="宋体" w:cs="宋体"/>
          <w:spacing w:val="6"/>
          <w:szCs w:val="21"/>
          <w:highlight w:val="none"/>
        </w:rPr>
        <w:t>（2）依法与安置的每位残疾人签订了一年以上（含一年）的劳动合同或服务协议；</w:t>
      </w:r>
    </w:p>
    <w:p>
      <w:pPr>
        <w:tabs>
          <w:tab w:val="left" w:pos="4860"/>
        </w:tabs>
        <w:spacing w:line="360" w:lineRule="auto"/>
        <w:ind w:firstLine="444" w:firstLineChars="200"/>
        <w:rPr>
          <w:rFonts w:ascii="宋体" w:hAnsi="宋体" w:eastAsia="宋体" w:cs="宋体"/>
          <w:spacing w:val="6"/>
          <w:szCs w:val="21"/>
          <w:highlight w:val="none"/>
        </w:rPr>
      </w:pPr>
      <w:r>
        <w:rPr>
          <w:rFonts w:hint="eastAsia" w:ascii="宋体" w:hAnsi="宋体" w:eastAsia="宋体" w:cs="宋体"/>
          <w:spacing w:val="6"/>
          <w:szCs w:val="21"/>
          <w:highlight w:val="none"/>
        </w:rPr>
        <w:t>（3）为安置的每位残疾人按月足额缴纳了基本养老保险、基本医疗保险、失业保险、工伤保险和生育保险等社会保险费；</w:t>
      </w:r>
    </w:p>
    <w:p>
      <w:pPr>
        <w:tabs>
          <w:tab w:val="left" w:pos="4860"/>
        </w:tabs>
        <w:spacing w:line="360" w:lineRule="auto"/>
        <w:ind w:firstLine="444" w:firstLineChars="200"/>
        <w:rPr>
          <w:rFonts w:ascii="宋体" w:hAnsi="宋体" w:eastAsia="宋体" w:cs="宋体"/>
          <w:spacing w:val="6"/>
          <w:szCs w:val="21"/>
          <w:highlight w:val="none"/>
        </w:rPr>
      </w:pPr>
      <w:r>
        <w:rPr>
          <w:rFonts w:hint="eastAsia" w:ascii="宋体" w:hAnsi="宋体" w:eastAsia="宋体" w:cs="宋体"/>
          <w:spacing w:val="6"/>
          <w:szCs w:val="21"/>
          <w:highlight w:val="none"/>
        </w:rPr>
        <w:t>（4）通过银行等金融机构向安置的每位残疾人，按月支付了不低于单位所在区县适用的经省级人民政府批准的月最低工资标准的工资；</w:t>
      </w:r>
    </w:p>
    <w:p>
      <w:pPr>
        <w:tabs>
          <w:tab w:val="left" w:pos="4860"/>
        </w:tabs>
        <w:spacing w:line="360" w:lineRule="auto"/>
        <w:ind w:firstLine="444" w:firstLineChars="200"/>
        <w:rPr>
          <w:rFonts w:ascii="宋体" w:hAnsi="宋体" w:eastAsia="宋体" w:cs="宋体"/>
          <w:spacing w:val="6"/>
          <w:szCs w:val="21"/>
          <w:highlight w:val="none"/>
        </w:rPr>
      </w:pPr>
      <w:r>
        <w:rPr>
          <w:rFonts w:hint="eastAsia" w:ascii="宋体" w:hAnsi="宋体" w:eastAsia="宋体" w:cs="宋体"/>
          <w:spacing w:val="6"/>
          <w:szCs w:val="21"/>
          <w:highlight w:val="none"/>
        </w:rPr>
        <w:t>（5）提供本单位制造的货物、承担的工程或者服务（以下简称产品），或者提供其他残疾人福利性单位制造的货物（不包括使用非残疾人福利性单位注册商标的货物）。</w:t>
      </w:r>
    </w:p>
    <w:p>
      <w:pPr>
        <w:spacing w:line="500" w:lineRule="exact"/>
        <w:rPr>
          <w:rFonts w:ascii="宋体" w:hAnsi="宋体" w:eastAsia="宋体" w:cs="宋体"/>
          <w:b/>
          <w:bCs/>
          <w:szCs w:val="21"/>
          <w:highlight w:val="none"/>
        </w:rPr>
      </w:pPr>
      <w:r>
        <w:rPr>
          <w:rFonts w:hint="eastAsia" w:ascii="宋体" w:hAnsi="宋体" w:eastAsia="宋体" w:cs="宋体"/>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numPr>
          <w:ilvl w:val="0"/>
          <w:numId w:val="0"/>
        </w:numPr>
        <w:spacing w:line="360" w:lineRule="auto"/>
        <w:ind w:leftChars="0"/>
        <w:rPr>
          <w:rFonts w:hint="eastAsia" w:ascii="宋体" w:hAnsi="宋体" w:cs="宋体"/>
          <w:b/>
          <w:bCs/>
          <w:szCs w:val="21"/>
          <w:highlight w:val="none"/>
        </w:rPr>
      </w:pPr>
      <w:r>
        <w:rPr>
          <w:rFonts w:hint="eastAsia" w:ascii="宋体" w:hAnsi="宋体" w:eastAsia="宋体" w:cs="宋体"/>
          <w:b/>
          <w:kern w:val="0"/>
          <w:szCs w:val="21"/>
          <w:highlight w:val="none"/>
        </w:rPr>
        <w:t>注：联合体投标的，联合体各方均须提供。</w:t>
      </w:r>
    </w:p>
    <w:p>
      <w:pPr>
        <w:pStyle w:val="20"/>
        <w:numPr>
          <w:ilvl w:val="0"/>
          <w:numId w:val="0"/>
        </w:numPr>
        <w:ind w:leftChars="0"/>
        <w:rPr>
          <w:highlight w:val="none"/>
        </w:rPr>
      </w:pPr>
    </w:p>
    <w:p>
      <w:pPr>
        <w:pStyle w:val="21"/>
        <w:rPr>
          <w:highlight w:val="none"/>
        </w:rPr>
      </w:pPr>
    </w:p>
    <w:p>
      <w:pPr>
        <w:pStyle w:val="37"/>
        <w:ind w:left="0" w:leftChars="0" w:firstLine="0" w:firstLineChars="0"/>
        <w:rPr>
          <w:highlight w:val="none"/>
        </w:rPr>
      </w:pPr>
    </w:p>
    <w:p>
      <w:pPr>
        <w:rPr>
          <w:highlight w:val="none"/>
        </w:rPr>
      </w:pPr>
    </w:p>
    <w:p>
      <w:pPr>
        <w:snapToGrid w:val="0"/>
        <w:spacing w:line="360" w:lineRule="auto"/>
        <w:jc w:val="both"/>
        <w:rPr>
          <w:rFonts w:hint="eastAsia" w:ascii="宋体" w:hAnsi="宋体" w:cs="宋体"/>
          <w:b/>
          <w:bCs/>
          <w:szCs w:val="21"/>
          <w:highlight w:val="none"/>
        </w:rPr>
      </w:pPr>
      <w:r>
        <w:rPr>
          <w:rFonts w:hint="eastAsia" w:ascii="宋体" w:hAnsi="宋体" w:cs="宋体"/>
          <w:b/>
          <w:bCs/>
          <w:szCs w:val="21"/>
          <w:highlight w:val="none"/>
        </w:rPr>
        <w:t>（</w:t>
      </w:r>
      <w:r>
        <w:rPr>
          <w:rFonts w:hint="eastAsia" w:ascii="宋体" w:hAnsi="宋体" w:cs="宋体"/>
          <w:b/>
          <w:bCs/>
          <w:szCs w:val="21"/>
          <w:highlight w:val="none"/>
          <w:lang w:val="en-US" w:eastAsia="zh-CN"/>
        </w:rPr>
        <w:t>4</w:t>
      </w:r>
      <w:r>
        <w:rPr>
          <w:rFonts w:hint="eastAsia" w:ascii="宋体" w:hAnsi="宋体" w:cs="宋体"/>
          <w:b/>
          <w:bCs/>
          <w:szCs w:val="21"/>
          <w:highlight w:val="none"/>
        </w:rPr>
        <w:t>）供应商针对报价需要说明的其他文件和说明（格式自拟）。</w:t>
      </w:r>
    </w:p>
    <w:p>
      <w:pPr>
        <w:snapToGrid w:val="0"/>
        <w:spacing w:line="360" w:lineRule="auto"/>
        <w:jc w:val="center"/>
        <w:rPr>
          <w:rFonts w:ascii="宋体" w:hAnsi="宋体" w:cs="宋体"/>
          <w:b/>
          <w:bCs/>
          <w:sz w:val="28"/>
          <w:szCs w:val="28"/>
          <w:highlight w:val="none"/>
        </w:rPr>
      </w:pPr>
      <w:r>
        <w:rPr>
          <w:rFonts w:hint="eastAsia" w:ascii="宋体" w:hAnsi="宋体" w:cs="宋体"/>
          <w:b/>
          <w:bCs/>
          <w:szCs w:val="21"/>
          <w:highlight w:val="none"/>
        </w:rPr>
        <w:br w:type="page"/>
      </w:r>
      <w:r>
        <w:rPr>
          <w:rFonts w:hint="eastAsia" w:ascii="宋体" w:hAnsi="宋体" w:cs="宋体"/>
          <w:b/>
          <w:bCs/>
          <w:sz w:val="28"/>
          <w:szCs w:val="28"/>
          <w:highlight w:val="none"/>
        </w:rPr>
        <w:t>三、电子备份投标文件</w:t>
      </w:r>
    </w:p>
    <w:p>
      <w:pPr>
        <w:snapToGrid w:val="0"/>
        <w:spacing w:line="360" w:lineRule="auto"/>
        <w:rPr>
          <w:rFonts w:ascii="宋体" w:hAnsi="宋体" w:cs="宋体"/>
          <w:b/>
          <w:sz w:val="28"/>
          <w:szCs w:val="28"/>
          <w:highlight w:val="none"/>
        </w:rPr>
      </w:pPr>
      <w:r>
        <w:rPr>
          <w:rFonts w:hint="eastAsia" w:ascii="宋体" w:hAnsi="宋体" w:cs="宋体"/>
          <w:highlight w:val="none"/>
        </w:rPr>
        <w:t>1、</w:t>
      </w:r>
      <w:r>
        <w:rPr>
          <w:rFonts w:hint="eastAsia" w:ascii="宋体" w:hAnsi="宋体" w:cs="宋体"/>
          <w:szCs w:val="21"/>
          <w:highlight w:val="none"/>
        </w:rPr>
        <w:t>电子备份投标文件</w:t>
      </w:r>
      <w:r>
        <w:rPr>
          <w:rFonts w:hint="eastAsia" w:ascii="宋体" w:hAnsi="宋体" w:cs="宋体"/>
          <w:highlight w:val="none"/>
        </w:rPr>
        <w:t>的外包装封面格式：</w:t>
      </w:r>
    </w:p>
    <w:p>
      <w:pPr>
        <w:snapToGrid w:val="0"/>
        <w:spacing w:line="360" w:lineRule="auto"/>
        <w:ind w:firstLine="275" w:firstLineChars="98"/>
        <w:rPr>
          <w:rFonts w:ascii="宋体" w:hAnsi="宋体" w:cs="宋体"/>
          <w:b/>
          <w:sz w:val="28"/>
          <w:szCs w:val="28"/>
          <w:highlight w:val="none"/>
        </w:rPr>
      </w:pPr>
      <w:r>
        <w:rPr>
          <w:rFonts w:hint="eastAsia" w:ascii="宋体" w:hAnsi="宋体" w:cs="宋体"/>
          <w:b/>
          <w:sz w:val="28"/>
          <w:szCs w:val="28"/>
          <w:highlight w:val="none"/>
        </w:rPr>
        <w:t>外包装格式：</w:t>
      </w:r>
    </w:p>
    <w:p>
      <w:pPr>
        <w:snapToGrid w:val="0"/>
        <w:spacing w:line="360" w:lineRule="auto"/>
        <w:jc w:val="center"/>
        <w:rPr>
          <w:rFonts w:ascii="宋体" w:hAnsi="宋体" w:cs="宋体"/>
          <w:sz w:val="40"/>
          <w:szCs w:val="40"/>
          <w:highlight w:val="none"/>
        </w:rPr>
      </w:pPr>
      <w:r>
        <w:rPr>
          <w:rFonts w:hint="eastAsia" w:ascii="宋体" w:hAnsi="宋体" w:cs="宋体"/>
          <w:sz w:val="40"/>
          <w:szCs w:val="40"/>
          <w:highlight w:val="none"/>
        </w:rPr>
        <w:t>电子备份投标文件</w:t>
      </w:r>
    </w:p>
    <w:p>
      <w:pPr>
        <w:snapToGrid w:val="0"/>
        <w:spacing w:line="360" w:lineRule="auto"/>
        <w:ind w:firstLine="1080" w:firstLineChars="450"/>
        <w:rPr>
          <w:rFonts w:ascii="宋体" w:hAnsi="宋体" w:cs="宋体"/>
          <w:bCs/>
          <w:sz w:val="24"/>
          <w:highlight w:val="none"/>
        </w:rPr>
      </w:pPr>
      <w:r>
        <w:rPr>
          <w:rFonts w:hint="eastAsia" w:ascii="宋体" w:hAnsi="宋体" w:cs="宋体"/>
          <w:bCs/>
          <w:sz w:val="24"/>
          <w:highlight w:val="none"/>
        </w:rPr>
        <w:t xml:space="preserve">项目名称： </w:t>
      </w:r>
    </w:p>
    <w:p>
      <w:pPr>
        <w:snapToGrid w:val="0"/>
        <w:spacing w:line="360" w:lineRule="auto"/>
        <w:ind w:firstLine="1080" w:firstLineChars="450"/>
        <w:rPr>
          <w:rFonts w:ascii="宋体" w:hAnsi="宋体" w:cs="宋体"/>
          <w:bCs/>
          <w:sz w:val="24"/>
          <w:highlight w:val="none"/>
        </w:rPr>
      </w:pPr>
      <w:r>
        <w:rPr>
          <w:rFonts w:hint="eastAsia" w:ascii="宋体" w:hAnsi="宋体" w:cs="宋体"/>
          <w:bCs/>
          <w:sz w:val="24"/>
          <w:highlight w:val="none"/>
        </w:rPr>
        <w:t>项目编号：</w:t>
      </w:r>
    </w:p>
    <w:p>
      <w:pPr>
        <w:snapToGrid w:val="0"/>
        <w:spacing w:line="360" w:lineRule="auto"/>
        <w:ind w:firstLine="1080" w:firstLineChars="450"/>
        <w:rPr>
          <w:rFonts w:ascii="宋体" w:hAnsi="宋体" w:cs="宋体"/>
          <w:bCs/>
          <w:sz w:val="24"/>
          <w:highlight w:val="none"/>
        </w:rPr>
      </w:pPr>
      <w:r>
        <w:rPr>
          <w:rFonts w:hint="eastAsia" w:ascii="宋体" w:hAnsi="宋体" w:cs="宋体"/>
          <w:bCs/>
          <w:sz w:val="24"/>
          <w:highlight w:val="none"/>
        </w:rPr>
        <w:t>标项号：</w:t>
      </w:r>
    </w:p>
    <w:p>
      <w:pPr>
        <w:snapToGrid w:val="0"/>
        <w:spacing w:line="360" w:lineRule="auto"/>
        <w:ind w:firstLine="1080" w:firstLineChars="450"/>
        <w:rPr>
          <w:rFonts w:ascii="宋体" w:hAnsi="宋体" w:cs="宋体"/>
          <w:bCs/>
          <w:sz w:val="24"/>
          <w:highlight w:val="none"/>
        </w:rPr>
      </w:pPr>
      <w:r>
        <w:rPr>
          <w:rFonts w:hint="eastAsia" w:ascii="宋体" w:hAnsi="宋体" w:cs="宋体"/>
          <w:bCs/>
          <w:sz w:val="24"/>
          <w:highlight w:val="none"/>
        </w:rPr>
        <w:t>供应商名称（加盖公章）：</w:t>
      </w:r>
    </w:p>
    <w:p>
      <w:pPr>
        <w:snapToGrid w:val="0"/>
        <w:spacing w:line="360" w:lineRule="auto"/>
        <w:ind w:firstLine="1080" w:firstLineChars="450"/>
        <w:rPr>
          <w:rFonts w:ascii="宋体" w:hAnsi="宋体" w:cs="宋体"/>
          <w:bCs/>
          <w:sz w:val="24"/>
          <w:highlight w:val="none"/>
        </w:rPr>
      </w:pPr>
      <w:r>
        <w:rPr>
          <w:rFonts w:hint="eastAsia" w:ascii="宋体" w:hAnsi="宋体" w:cs="宋体"/>
          <w:bCs/>
          <w:sz w:val="24"/>
          <w:highlight w:val="none"/>
        </w:rPr>
        <w:t>供应商地址：</w:t>
      </w:r>
    </w:p>
    <w:p>
      <w:pPr>
        <w:spacing w:line="360" w:lineRule="auto"/>
        <w:rPr>
          <w:rFonts w:ascii="宋体" w:hAnsi="宋体" w:cs="宋体"/>
          <w:highlight w:val="none"/>
        </w:rPr>
      </w:pPr>
      <w:r>
        <w:rPr>
          <w:rFonts w:hint="eastAsia" w:ascii="宋体" w:hAnsi="宋体" w:cs="宋体"/>
          <w:bCs/>
          <w:sz w:val="24"/>
          <w:highlight w:val="none"/>
        </w:rPr>
        <w:t xml:space="preserve">                        年  月  日</w:t>
      </w:r>
    </w:p>
    <w:p>
      <w:pPr>
        <w:pStyle w:val="187"/>
        <w:widowControl w:val="0"/>
        <w:snapToGrid w:val="0"/>
        <w:spacing w:line="500" w:lineRule="exact"/>
        <w:jc w:val="both"/>
        <w:rPr>
          <w:rFonts w:hAnsi="宋体"/>
          <w:b/>
          <w:bCs/>
          <w:highlight w:val="none"/>
        </w:rPr>
        <w:sectPr>
          <w:pgSz w:w="11906" w:h="16838"/>
          <w:pgMar w:top="1474" w:right="1797" w:bottom="1247" w:left="1797" w:header="851" w:footer="851" w:gutter="0"/>
          <w:cols w:space="720" w:num="1"/>
          <w:docGrid w:linePitch="312" w:charSpace="0"/>
        </w:sectPr>
      </w:pPr>
    </w:p>
    <w:p>
      <w:pPr>
        <w:pStyle w:val="187"/>
        <w:widowControl w:val="0"/>
        <w:snapToGrid w:val="0"/>
        <w:spacing w:line="500" w:lineRule="exact"/>
        <w:jc w:val="both"/>
        <w:rPr>
          <w:rFonts w:hAnsi="宋体"/>
          <w:b/>
          <w:bCs/>
          <w:highlight w:val="none"/>
        </w:rPr>
      </w:pPr>
      <w:r>
        <w:rPr>
          <w:rFonts w:hint="eastAsia" w:hAnsi="宋体"/>
          <w:b/>
          <w:bCs/>
          <w:highlight w:val="none"/>
        </w:rPr>
        <w:t>附件：请各位供应商认真填写下表，于投标截止时间后按采购代理公司规定要求单独递交。</w:t>
      </w:r>
    </w:p>
    <w:p>
      <w:pPr>
        <w:pStyle w:val="187"/>
        <w:widowControl w:val="0"/>
        <w:snapToGrid w:val="0"/>
        <w:spacing w:line="500" w:lineRule="exact"/>
        <w:jc w:val="center"/>
        <w:rPr>
          <w:rFonts w:hAnsi="宋体"/>
          <w:sz w:val="32"/>
          <w:szCs w:val="32"/>
          <w:highlight w:val="none"/>
        </w:rPr>
      </w:pPr>
      <w:r>
        <w:rPr>
          <w:rFonts w:hint="eastAsia" w:hAnsi="宋体"/>
          <w:sz w:val="32"/>
          <w:szCs w:val="32"/>
          <w:highlight w:val="none"/>
        </w:rPr>
        <w:t>政府采购活动现场确认声明书</w:t>
      </w:r>
    </w:p>
    <w:p>
      <w:pPr>
        <w:pStyle w:val="187"/>
        <w:widowControl w:val="0"/>
        <w:snapToGrid w:val="0"/>
        <w:spacing w:line="440" w:lineRule="exact"/>
        <w:jc w:val="both"/>
        <w:rPr>
          <w:rFonts w:hAnsi="宋体"/>
          <w:bCs/>
          <w:sz w:val="24"/>
          <w:szCs w:val="24"/>
          <w:highlight w:val="none"/>
        </w:rPr>
      </w:pPr>
      <w:r>
        <w:rPr>
          <w:rFonts w:hint="eastAsia" w:hAnsi="宋体"/>
          <w:kern w:val="0"/>
          <w:sz w:val="24"/>
          <w:szCs w:val="24"/>
          <w:highlight w:val="none"/>
        </w:rPr>
        <w:t xml:space="preserve"> 浙江中基正采管理咨询有限公司：</w:t>
      </w:r>
    </w:p>
    <w:p>
      <w:pPr>
        <w:pStyle w:val="187"/>
        <w:widowControl w:val="0"/>
        <w:snapToGrid w:val="0"/>
        <w:spacing w:line="440" w:lineRule="exact"/>
        <w:ind w:firstLine="504" w:firstLineChars="200"/>
        <w:jc w:val="both"/>
        <w:rPr>
          <w:rFonts w:hAnsi="宋体"/>
          <w:spacing w:val="6"/>
          <w:sz w:val="24"/>
          <w:szCs w:val="24"/>
          <w:highlight w:val="none"/>
        </w:rPr>
      </w:pPr>
      <w:r>
        <w:rPr>
          <w:rFonts w:hint="eastAsia" w:hAnsi="宋体"/>
          <w:spacing w:val="6"/>
          <w:sz w:val="24"/>
          <w:szCs w:val="24"/>
          <w:highlight w:val="none"/>
        </w:rPr>
        <w:t>本人（授权代表姓名），经由（单位）（法定代表人姓名）合法授权参加（编号：</w:t>
      </w:r>
      <w:r>
        <w:rPr>
          <w:rFonts w:hint="eastAsia" w:hAnsi="宋体"/>
          <w:sz w:val="24"/>
          <w:szCs w:val="24"/>
          <w:highlight w:val="none"/>
          <w:u w:val="single"/>
        </w:rPr>
        <w:t xml:space="preserve">CBZJ-         </w:t>
      </w:r>
      <w:r>
        <w:rPr>
          <w:rFonts w:hint="eastAsia" w:hAnsi="宋体"/>
          <w:spacing w:val="6"/>
          <w:sz w:val="24"/>
          <w:szCs w:val="24"/>
          <w:highlight w:val="none"/>
          <w:u w:val="single"/>
        </w:rPr>
        <w:t>）</w:t>
      </w:r>
      <w:r>
        <w:rPr>
          <w:rFonts w:hint="eastAsia" w:hAnsi="宋体"/>
          <w:spacing w:val="6"/>
          <w:sz w:val="24"/>
          <w:szCs w:val="24"/>
          <w:highlight w:val="none"/>
        </w:rPr>
        <w:t xml:space="preserve">政府采购活动，经与本单位法人代表（负责人）联系确认，现就有关公平竞争事项郑重声明如下： </w:t>
      </w:r>
    </w:p>
    <w:p>
      <w:pPr>
        <w:pStyle w:val="150"/>
        <w:widowControl/>
        <w:numPr>
          <w:ilvl w:val="0"/>
          <w:numId w:val="45"/>
        </w:numPr>
        <w:snapToGrid w:val="0"/>
        <w:spacing w:line="440" w:lineRule="exact"/>
        <w:ind w:firstLine="453" w:firstLineChars="189"/>
        <w:rPr>
          <w:rFonts w:ascii="宋体" w:hAnsi="宋体" w:cs="宋体"/>
          <w:kern w:val="0"/>
          <w:sz w:val="24"/>
          <w:szCs w:val="24"/>
          <w:highlight w:val="none"/>
        </w:rPr>
      </w:pPr>
      <w:r>
        <w:rPr>
          <w:rFonts w:hint="eastAsia" w:ascii="宋体" w:hAnsi="宋体" w:cs="宋体"/>
          <w:kern w:val="0"/>
          <w:sz w:val="24"/>
          <w:szCs w:val="24"/>
          <w:highlight w:val="none"/>
        </w:rPr>
        <w:t>本单位与采购人之间 □不存在利害关系 □存在下列利害关系：</w:t>
      </w:r>
    </w:p>
    <w:p>
      <w:pPr>
        <w:pStyle w:val="150"/>
        <w:widowControl/>
        <w:snapToGrid w:val="0"/>
        <w:spacing w:line="440" w:lineRule="exact"/>
        <w:rPr>
          <w:rFonts w:ascii="宋体" w:hAnsi="宋体" w:cs="宋体"/>
          <w:kern w:val="0"/>
          <w:sz w:val="24"/>
          <w:szCs w:val="24"/>
          <w:highlight w:val="none"/>
        </w:rPr>
      </w:pPr>
      <w:r>
        <w:rPr>
          <w:rFonts w:hint="eastAsia" w:ascii="宋体" w:hAnsi="宋体" w:cs="宋体"/>
          <w:kern w:val="0"/>
          <w:sz w:val="24"/>
          <w:szCs w:val="24"/>
          <w:highlight w:val="none"/>
        </w:rPr>
        <w:t xml:space="preserve">  A.投资关系    B.行政隶属关系    C.业务指导关系</w:t>
      </w:r>
    </w:p>
    <w:p>
      <w:pPr>
        <w:pStyle w:val="150"/>
        <w:widowControl/>
        <w:snapToGrid w:val="0"/>
        <w:spacing w:line="440" w:lineRule="exact"/>
        <w:rPr>
          <w:rFonts w:ascii="宋体" w:hAnsi="宋体" w:cs="宋体"/>
          <w:kern w:val="0"/>
          <w:sz w:val="24"/>
          <w:szCs w:val="24"/>
          <w:highlight w:val="none"/>
        </w:rPr>
      </w:pPr>
      <w:r>
        <w:rPr>
          <w:rFonts w:hint="eastAsia" w:ascii="宋体" w:hAnsi="宋体" w:cs="宋体"/>
          <w:kern w:val="0"/>
          <w:sz w:val="24"/>
          <w:szCs w:val="24"/>
          <w:highlight w:val="none"/>
        </w:rPr>
        <w:t xml:space="preserve">  D.其他可能</w:t>
      </w:r>
      <w:r>
        <w:rPr>
          <w:rFonts w:hint="eastAsia" w:ascii="宋体" w:hAnsi="宋体" w:cs="宋体"/>
          <w:sz w:val="24"/>
          <w:szCs w:val="24"/>
          <w:highlight w:val="none"/>
        </w:rPr>
        <w:t>影响采购公正的</w:t>
      </w:r>
      <w:r>
        <w:rPr>
          <w:rFonts w:hint="eastAsia" w:ascii="宋体" w:hAnsi="宋体" w:cs="宋体"/>
          <w:kern w:val="0"/>
          <w:sz w:val="24"/>
          <w:szCs w:val="24"/>
          <w:highlight w:val="none"/>
        </w:rPr>
        <w:t>利害关系（如有，请如实说明） 。</w:t>
      </w:r>
    </w:p>
    <w:p>
      <w:pPr>
        <w:pStyle w:val="150"/>
        <w:widowControl/>
        <w:numPr>
          <w:ilvl w:val="0"/>
          <w:numId w:val="45"/>
        </w:numPr>
        <w:snapToGrid w:val="0"/>
        <w:spacing w:line="440" w:lineRule="exact"/>
        <w:ind w:firstLine="453" w:firstLineChars="189"/>
        <w:rPr>
          <w:rFonts w:ascii="宋体" w:hAnsi="宋体" w:cs="宋体"/>
          <w:kern w:val="0"/>
          <w:sz w:val="24"/>
          <w:szCs w:val="24"/>
          <w:highlight w:val="none"/>
        </w:rPr>
      </w:pPr>
      <w:r>
        <w:rPr>
          <w:rFonts w:hint="eastAsia" w:ascii="宋体" w:hAnsi="宋体" w:cs="宋体"/>
          <w:kern w:val="0"/>
          <w:sz w:val="24"/>
          <w:szCs w:val="24"/>
          <w:highlight w:val="none"/>
        </w:rPr>
        <w:t>现已清楚知道参加本项目采购活动的其他所有供应商名称，本单位 □与其他所有供应商之间均不存在利害关系 □与 （供应商名称）之间存在下列利害关系：</w:t>
      </w:r>
    </w:p>
    <w:p>
      <w:pPr>
        <w:pStyle w:val="187"/>
        <w:widowControl w:val="0"/>
        <w:snapToGrid w:val="0"/>
        <w:spacing w:line="440" w:lineRule="exact"/>
        <w:jc w:val="both"/>
        <w:rPr>
          <w:rFonts w:hAnsi="宋体"/>
          <w:kern w:val="0"/>
          <w:sz w:val="24"/>
          <w:szCs w:val="24"/>
          <w:highlight w:val="none"/>
        </w:rPr>
      </w:pPr>
      <w:r>
        <w:rPr>
          <w:rFonts w:hint="eastAsia" w:hAnsi="宋体"/>
          <w:kern w:val="0"/>
          <w:sz w:val="24"/>
          <w:szCs w:val="24"/>
          <w:highlight w:val="none"/>
        </w:rPr>
        <w:t xml:space="preserve">  A.法定代表人或负责人或实际控制人是同一人</w:t>
      </w:r>
    </w:p>
    <w:p>
      <w:pPr>
        <w:pStyle w:val="187"/>
        <w:widowControl w:val="0"/>
        <w:snapToGrid w:val="0"/>
        <w:spacing w:line="440" w:lineRule="exact"/>
        <w:jc w:val="both"/>
        <w:rPr>
          <w:rFonts w:hAnsi="宋体"/>
          <w:spacing w:val="6"/>
          <w:sz w:val="24"/>
          <w:szCs w:val="24"/>
          <w:highlight w:val="none"/>
        </w:rPr>
      </w:pPr>
      <w:r>
        <w:rPr>
          <w:rFonts w:hint="eastAsia" w:hAnsi="宋体"/>
          <w:kern w:val="0"/>
          <w:sz w:val="24"/>
          <w:szCs w:val="24"/>
          <w:highlight w:val="none"/>
        </w:rPr>
        <w:t xml:space="preserve">  B.法定代表人或负责人或实际控制人是夫妻关系</w:t>
      </w:r>
    </w:p>
    <w:p>
      <w:pPr>
        <w:pStyle w:val="187"/>
        <w:widowControl w:val="0"/>
        <w:snapToGrid w:val="0"/>
        <w:spacing w:line="440" w:lineRule="exact"/>
        <w:jc w:val="both"/>
        <w:rPr>
          <w:rFonts w:hAnsi="宋体"/>
          <w:spacing w:val="6"/>
          <w:sz w:val="24"/>
          <w:szCs w:val="24"/>
          <w:highlight w:val="none"/>
        </w:rPr>
      </w:pPr>
      <w:r>
        <w:rPr>
          <w:rFonts w:hint="eastAsia" w:hAnsi="宋体"/>
          <w:kern w:val="0"/>
          <w:sz w:val="24"/>
          <w:szCs w:val="24"/>
          <w:highlight w:val="none"/>
        </w:rPr>
        <w:t xml:space="preserve">  C.法定代表人或负责人或实际控制人是直系血亲关系</w:t>
      </w:r>
    </w:p>
    <w:p>
      <w:pPr>
        <w:pStyle w:val="187"/>
        <w:widowControl w:val="0"/>
        <w:snapToGrid w:val="0"/>
        <w:spacing w:line="440" w:lineRule="exact"/>
        <w:jc w:val="both"/>
        <w:rPr>
          <w:rFonts w:hAnsi="宋体"/>
          <w:spacing w:val="6"/>
          <w:sz w:val="24"/>
          <w:szCs w:val="24"/>
          <w:highlight w:val="none"/>
        </w:rPr>
      </w:pPr>
      <w:r>
        <w:rPr>
          <w:rFonts w:hint="eastAsia" w:hAnsi="宋体"/>
          <w:kern w:val="0"/>
          <w:sz w:val="24"/>
          <w:szCs w:val="24"/>
          <w:highlight w:val="none"/>
        </w:rPr>
        <w:t xml:space="preserve">  D.法定代表人或负责人或实际控制人存在三代以内旁系血亲关系</w:t>
      </w:r>
    </w:p>
    <w:p>
      <w:pPr>
        <w:pStyle w:val="187"/>
        <w:widowControl w:val="0"/>
        <w:snapToGrid w:val="0"/>
        <w:spacing w:line="440" w:lineRule="exact"/>
        <w:jc w:val="both"/>
        <w:rPr>
          <w:rFonts w:hAnsi="宋体"/>
          <w:kern w:val="0"/>
          <w:sz w:val="24"/>
          <w:szCs w:val="24"/>
          <w:highlight w:val="none"/>
        </w:rPr>
      </w:pPr>
      <w:r>
        <w:rPr>
          <w:rFonts w:hint="eastAsia" w:hAnsi="宋体"/>
          <w:kern w:val="0"/>
          <w:sz w:val="24"/>
          <w:szCs w:val="24"/>
          <w:highlight w:val="none"/>
        </w:rPr>
        <w:t xml:space="preserve">  E.法定代表人或负责人或实际控制人存在近姻亲关系</w:t>
      </w:r>
    </w:p>
    <w:p>
      <w:pPr>
        <w:pStyle w:val="187"/>
        <w:widowControl w:val="0"/>
        <w:snapToGrid w:val="0"/>
        <w:spacing w:line="440" w:lineRule="exact"/>
        <w:jc w:val="both"/>
        <w:rPr>
          <w:rFonts w:hAnsi="宋体"/>
          <w:kern w:val="0"/>
          <w:sz w:val="24"/>
          <w:szCs w:val="24"/>
          <w:highlight w:val="none"/>
        </w:rPr>
      </w:pPr>
      <w:r>
        <w:rPr>
          <w:rFonts w:hint="eastAsia" w:hAnsi="宋体"/>
          <w:kern w:val="0"/>
          <w:sz w:val="24"/>
          <w:szCs w:val="24"/>
          <w:highlight w:val="none"/>
        </w:rPr>
        <w:t xml:space="preserve">  F.法定代表人或负责人或实际控制人存在股份控制或实际控制关系</w:t>
      </w:r>
    </w:p>
    <w:p>
      <w:pPr>
        <w:pStyle w:val="187"/>
        <w:widowControl w:val="0"/>
        <w:snapToGrid w:val="0"/>
        <w:spacing w:line="440" w:lineRule="exact"/>
        <w:jc w:val="both"/>
        <w:rPr>
          <w:rFonts w:hAnsi="宋体"/>
          <w:kern w:val="0"/>
          <w:sz w:val="24"/>
          <w:szCs w:val="24"/>
          <w:highlight w:val="none"/>
        </w:rPr>
      </w:pPr>
      <w:r>
        <w:rPr>
          <w:rFonts w:hint="eastAsia" w:hAnsi="宋体"/>
          <w:kern w:val="0"/>
          <w:sz w:val="24"/>
          <w:szCs w:val="24"/>
          <w:highlight w:val="none"/>
        </w:rPr>
        <w:t xml:space="preserve">  G.存在共同直接或间接投资设立子公司、联营企业和合营企业情况</w:t>
      </w:r>
    </w:p>
    <w:p>
      <w:pPr>
        <w:pStyle w:val="187"/>
        <w:widowControl w:val="0"/>
        <w:snapToGrid w:val="0"/>
        <w:spacing w:line="440" w:lineRule="exact"/>
        <w:jc w:val="both"/>
        <w:rPr>
          <w:rFonts w:hAnsi="宋体"/>
          <w:sz w:val="24"/>
          <w:szCs w:val="24"/>
          <w:highlight w:val="none"/>
        </w:rPr>
      </w:pPr>
      <w:r>
        <w:rPr>
          <w:rFonts w:hint="eastAsia" w:hAnsi="宋体"/>
          <w:kern w:val="0"/>
          <w:sz w:val="24"/>
          <w:szCs w:val="24"/>
          <w:highlight w:val="none"/>
        </w:rPr>
        <w:t xml:space="preserve">  H.存在分级代理或代销关系、同一生产制造商关系、</w:t>
      </w:r>
      <w:r>
        <w:rPr>
          <w:rFonts w:hint="eastAsia" w:hAnsi="宋体"/>
          <w:sz w:val="24"/>
          <w:szCs w:val="24"/>
          <w:highlight w:val="none"/>
        </w:rPr>
        <w:t>管理关系、重要业务（占主营业务收入50%以上）或重要财务往来关系（如融资）等其他实质性控制关系</w:t>
      </w:r>
    </w:p>
    <w:p>
      <w:pPr>
        <w:pStyle w:val="187"/>
        <w:widowControl w:val="0"/>
        <w:snapToGrid w:val="0"/>
        <w:spacing w:line="440" w:lineRule="exact"/>
        <w:jc w:val="both"/>
        <w:rPr>
          <w:rFonts w:hAnsi="宋体"/>
          <w:spacing w:val="6"/>
          <w:sz w:val="24"/>
          <w:szCs w:val="24"/>
          <w:highlight w:val="none"/>
        </w:rPr>
      </w:pPr>
      <w:r>
        <w:rPr>
          <w:rFonts w:hint="eastAsia" w:hAnsi="宋体"/>
          <w:sz w:val="24"/>
          <w:szCs w:val="24"/>
          <w:highlight w:val="none"/>
        </w:rPr>
        <w:t xml:space="preserve">  I</w:t>
      </w:r>
      <w:r>
        <w:rPr>
          <w:rFonts w:hint="eastAsia" w:hAnsi="宋体"/>
          <w:kern w:val="0"/>
          <w:sz w:val="24"/>
          <w:szCs w:val="24"/>
          <w:highlight w:val="none"/>
        </w:rPr>
        <w:t>.</w:t>
      </w:r>
      <w:r>
        <w:rPr>
          <w:rFonts w:hint="eastAsia" w:hAnsi="宋体"/>
          <w:sz w:val="24"/>
          <w:szCs w:val="24"/>
          <w:highlight w:val="none"/>
        </w:rPr>
        <w:t>其他利害关系情况</w:t>
      </w:r>
      <w:r>
        <w:rPr>
          <w:rFonts w:hint="eastAsia" w:hAnsi="宋体"/>
          <w:kern w:val="0"/>
          <w:sz w:val="24"/>
          <w:szCs w:val="24"/>
          <w:highlight w:val="none"/>
        </w:rPr>
        <w:t>。</w:t>
      </w:r>
    </w:p>
    <w:p>
      <w:pPr>
        <w:pStyle w:val="150"/>
        <w:widowControl/>
        <w:numPr>
          <w:ilvl w:val="0"/>
          <w:numId w:val="46"/>
        </w:numPr>
        <w:snapToGrid w:val="0"/>
        <w:spacing w:line="440" w:lineRule="exact"/>
        <w:ind w:firstLine="453" w:firstLineChars="189"/>
        <w:rPr>
          <w:rFonts w:ascii="宋体" w:hAnsi="宋体" w:cs="宋体"/>
          <w:kern w:val="0"/>
          <w:sz w:val="24"/>
          <w:szCs w:val="24"/>
          <w:highlight w:val="none"/>
        </w:rPr>
      </w:pPr>
      <w:r>
        <w:rPr>
          <w:rFonts w:hint="eastAsia" w:ascii="宋体" w:hAnsi="宋体" w:cs="宋体"/>
          <w:sz w:val="24"/>
          <w:szCs w:val="24"/>
          <w:highlight w:val="none"/>
        </w:rPr>
        <w:t>现已清楚知道并</w:t>
      </w:r>
      <w:r>
        <w:rPr>
          <w:rFonts w:hint="eastAsia" w:ascii="宋体" w:hAnsi="宋体" w:cs="宋体"/>
          <w:kern w:val="0"/>
          <w:sz w:val="24"/>
          <w:szCs w:val="24"/>
          <w:highlight w:val="none"/>
        </w:rPr>
        <w:t>严格遵守政府采购法律法规和现场纪律。</w:t>
      </w:r>
    </w:p>
    <w:p>
      <w:pPr>
        <w:pStyle w:val="150"/>
        <w:widowControl/>
        <w:numPr>
          <w:ilvl w:val="0"/>
          <w:numId w:val="46"/>
        </w:numPr>
        <w:snapToGrid w:val="0"/>
        <w:spacing w:line="440" w:lineRule="exact"/>
        <w:ind w:firstLine="453" w:firstLineChars="189"/>
        <w:rPr>
          <w:rFonts w:ascii="宋体" w:hAnsi="宋体" w:cs="宋体"/>
          <w:sz w:val="24"/>
          <w:szCs w:val="24"/>
          <w:highlight w:val="none"/>
        </w:rPr>
      </w:pPr>
      <w:r>
        <w:rPr>
          <w:rFonts w:hint="eastAsia" w:ascii="宋体" w:hAnsi="宋体" w:cs="宋体"/>
          <w:kern w:val="0"/>
          <w:sz w:val="24"/>
          <w:szCs w:val="24"/>
          <w:highlight w:val="none"/>
        </w:rPr>
        <w:t>我发现供应商之间存在或可能存在上述第二条第项利害关系。</w:t>
      </w:r>
    </w:p>
    <w:p>
      <w:pPr>
        <w:pStyle w:val="187"/>
        <w:widowControl w:val="0"/>
        <w:snapToGrid w:val="0"/>
        <w:spacing w:line="440" w:lineRule="exact"/>
        <w:ind w:firstLine="480" w:firstLineChars="200"/>
        <w:jc w:val="both"/>
        <w:rPr>
          <w:rFonts w:hAnsi="宋体"/>
          <w:sz w:val="24"/>
          <w:szCs w:val="24"/>
          <w:highlight w:val="none"/>
        </w:rPr>
      </w:pPr>
      <w:r>
        <w:rPr>
          <w:rFonts w:hint="eastAsia" w:hAnsi="宋体"/>
          <w:sz w:val="24"/>
          <w:szCs w:val="24"/>
          <w:highlight w:val="none"/>
        </w:rPr>
        <w:t xml:space="preserve">                                    （供应商代表签名）：</w:t>
      </w:r>
    </w:p>
    <w:p>
      <w:pPr>
        <w:pStyle w:val="187"/>
        <w:widowControl w:val="0"/>
        <w:snapToGrid w:val="0"/>
        <w:spacing w:line="440" w:lineRule="exact"/>
        <w:ind w:firstLine="480" w:firstLineChars="200"/>
        <w:jc w:val="both"/>
        <w:rPr>
          <w:rFonts w:hAnsi="宋体"/>
          <w:highlight w:val="none"/>
        </w:rPr>
      </w:pPr>
      <w:r>
        <w:rPr>
          <w:rFonts w:hint="eastAsia" w:hAnsi="宋体"/>
          <w:sz w:val="24"/>
          <w:szCs w:val="24"/>
          <w:highlight w:val="none"/>
        </w:rPr>
        <w:t xml:space="preserve">                                      2022年  月  日</w:t>
      </w:r>
    </w:p>
    <w:p>
      <w:pPr>
        <w:spacing w:line="360" w:lineRule="auto"/>
        <w:rPr>
          <w:rFonts w:ascii="宋体" w:hAnsi="宋体" w:cs="宋体"/>
          <w:highlight w:val="none"/>
        </w:rPr>
      </w:pPr>
    </w:p>
    <w:sectPr>
      <w:footerReference r:id="rId6" w:type="default"/>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Helvetica">
    <w:altName w:val="Arial"/>
    <w:panose1 w:val="020B0504020202020204"/>
    <w:charset w:val="00"/>
    <w:family w:val="swiss"/>
    <w:pitch w:val="default"/>
    <w:sig w:usb0="00000000" w:usb1="00000000" w:usb2="00000000" w:usb3="00000000" w:csb0="00000001" w:csb1="00000000"/>
  </w:font>
  <w:font w:name="Thorndale">
    <w:altName w:val="Times New Roman"/>
    <w:panose1 w:val="00000000000000000000"/>
    <w:charset w:val="00"/>
    <w:family w:val="roman"/>
    <w:pitch w:val="default"/>
    <w:sig w:usb0="00000000" w:usb1="00000000" w:usb2="00000000" w:usb3="00000000" w:csb0="00040001" w:csb1="00000000"/>
  </w:font>
  <w:font w:name="HG Mincho Light J">
    <w:altName w:val="Times New Roman"/>
    <w:panose1 w:val="00000000000000000000"/>
    <w:charset w:val="00"/>
    <w:family w:val="auto"/>
    <w:pitch w:val="default"/>
    <w:sig w:usb0="00000000" w:usb1="00000000" w:usb2="00000000" w:usb3="00000000" w:csb0="00040001"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长城仿宋">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32"/>
                            <w:rPr>
                              <w:rFonts w:hint="default" w:eastAsia="宋体"/>
                            </w:rPr>
                          </w:pPr>
                          <w:r>
                            <w:fldChar w:fldCharType="begin"/>
                          </w:r>
                          <w:r>
                            <w:instrText xml:space="preserve"> PAGE  \* MERGEFORMAT </w:instrText>
                          </w:r>
                          <w:r>
                            <w:fldChar w:fldCharType="separate"/>
                          </w:r>
                          <w:r>
                            <w:rPr>
                              <w:rFonts w:hint="default"/>
                            </w:rPr>
                            <w:t>1</w:t>
                          </w:r>
                          <w:r>
                            <w:fldChar w:fldCharType="end"/>
                          </w:r>
                        </w:p>
                      </w:txbxContent>
                    </wps:txbx>
                    <wps:bodyPr vert="horz" wrap="none" lIns="0" tIns="0" rIns="0" bIns="0" anchor="t" anchorCtr="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A6Sm+95gEA&#10;AMoDAAAOAAAAAAAAAAEAIAAAACIBAABkcnMvZTJvRG9jLnhtbFBLBQYAAAAABgAGAFkBAAB6BQAA&#10;AAA=&#10;">
              <v:fill on="f" focussize="0,0"/>
              <v:stroke on="f" weight="1.25pt"/>
              <v:imagedata o:title=""/>
              <o:lock v:ext="edit" aspectratio="f"/>
              <v:textbox inset="0mm,0mm,0mm,0mm" style="mso-fit-shape-to-text:t;">
                <w:txbxContent>
                  <w:p>
                    <w:pPr>
                      <w:pStyle w:val="32"/>
                      <w:rPr>
                        <w:rFonts w:hint="default" w:eastAsia="宋体"/>
                      </w:rPr>
                    </w:pPr>
                    <w:r>
                      <w:fldChar w:fldCharType="begin"/>
                    </w:r>
                    <w:r>
                      <w:instrText xml:space="preserve"> PAGE  \* MERGEFORMAT </w:instrText>
                    </w:r>
                    <w:r>
                      <w:fldChar w:fldCharType="separate"/>
                    </w:r>
                    <w:r>
                      <w:rPr>
                        <w:rFonts w:hint="default"/>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hint="default"/>
      </w:rPr>
    </w:pPr>
    <w:r>
      <w:rPr>
        <w:rFonts w:hint="default"/>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32"/>
                            <w:rPr>
                              <w:rFonts w:hint="default" w:eastAsia="宋体"/>
                            </w:rPr>
                          </w:pPr>
                          <w:r>
                            <w:fldChar w:fldCharType="begin"/>
                          </w:r>
                          <w:r>
                            <w:instrText xml:space="preserve"> PAGE  \* MERGEFORMAT </w:instrText>
                          </w:r>
                          <w:r>
                            <w:fldChar w:fldCharType="separate"/>
                          </w:r>
                          <w:r>
                            <w:rPr>
                              <w:rFonts w:hint="default"/>
                            </w:rPr>
                            <w:t>55</w:t>
                          </w:r>
                          <w:r>
                            <w:fldChar w:fldCharType="end"/>
                          </w:r>
                        </w:p>
                      </w:txbxContent>
                    </wps:txbx>
                    <wps:bodyPr vert="horz" wrap="none" lIns="0" tIns="0" rIns="0" bIns="0" anchor="t" anchorCtr="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GmCS9MAAAAFAQAA&#10;DwAAAAAAAAABACAAAAAiAAAAZHJzL2Rvd25yZXYueG1sUEsBAhQAFAAAAAgAh07iQBmqI+3lAQAA&#10;ygMAAA4AAAAAAAAAAQAgAAAAIgEAAGRycy9lMm9Eb2MueG1sUEsFBgAAAAAGAAYAWQEAAHkFAAAA&#10;AA==&#10;">
              <v:fill on="f" focussize="0,0"/>
              <v:stroke on="f" weight="1.25pt"/>
              <v:imagedata o:title=""/>
              <o:lock v:ext="edit" aspectratio="f"/>
              <v:textbox inset="0mm,0mm,0mm,0mm" style="mso-fit-shape-to-text:t;">
                <w:txbxContent>
                  <w:p>
                    <w:pPr>
                      <w:pStyle w:val="32"/>
                      <w:rPr>
                        <w:rFonts w:hint="default" w:eastAsia="宋体"/>
                      </w:rPr>
                    </w:pPr>
                    <w:r>
                      <w:fldChar w:fldCharType="begin"/>
                    </w:r>
                    <w:r>
                      <w:instrText xml:space="preserve"> PAGE  \* MERGEFORMAT </w:instrText>
                    </w:r>
                    <w:r>
                      <w:fldChar w:fldCharType="separate"/>
                    </w:r>
                    <w:r>
                      <w:rPr>
                        <w:rFonts w:hint="default"/>
                      </w:rPr>
                      <w:t>55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281E8"/>
    <w:multiLevelType w:val="singleLevel"/>
    <w:tmpl w:val="81A281E8"/>
    <w:lvl w:ilvl="0" w:tentative="0">
      <w:start w:val="1"/>
      <w:numFmt w:val="decimal"/>
      <w:suff w:val="nothing"/>
      <w:lvlText w:val="（%1）"/>
      <w:lvlJc w:val="left"/>
    </w:lvl>
  </w:abstractNum>
  <w:abstractNum w:abstractNumId="1">
    <w:nsid w:val="82F306C4"/>
    <w:multiLevelType w:val="singleLevel"/>
    <w:tmpl w:val="82F306C4"/>
    <w:lvl w:ilvl="0" w:tentative="0">
      <w:start w:val="1"/>
      <w:numFmt w:val="lowerLetter"/>
      <w:lvlText w:val="%1."/>
      <w:lvlJc w:val="left"/>
      <w:pPr>
        <w:ind w:left="425" w:hanging="425"/>
      </w:pPr>
      <w:rPr>
        <w:rFonts w:hint="default"/>
      </w:rPr>
    </w:lvl>
  </w:abstractNum>
  <w:abstractNum w:abstractNumId="2">
    <w:nsid w:val="943FCE8C"/>
    <w:multiLevelType w:val="singleLevel"/>
    <w:tmpl w:val="943FCE8C"/>
    <w:lvl w:ilvl="0" w:tentative="0">
      <w:start w:val="1"/>
      <w:numFmt w:val="chineseCounting"/>
      <w:suff w:val="nothing"/>
      <w:lvlText w:val="（%1）"/>
      <w:lvlJc w:val="left"/>
      <w:pPr>
        <w:ind w:left="0" w:firstLine="420"/>
      </w:pPr>
      <w:rPr>
        <w:rFonts w:hint="eastAsia"/>
      </w:rPr>
    </w:lvl>
  </w:abstractNum>
  <w:abstractNum w:abstractNumId="3">
    <w:nsid w:val="94EC79AE"/>
    <w:multiLevelType w:val="singleLevel"/>
    <w:tmpl w:val="94EC79AE"/>
    <w:lvl w:ilvl="0" w:tentative="0">
      <w:start w:val="1"/>
      <w:numFmt w:val="lowerLetter"/>
      <w:lvlText w:val="%1."/>
      <w:lvlJc w:val="left"/>
      <w:pPr>
        <w:tabs>
          <w:tab w:val="left" w:pos="840"/>
        </w:tabs>
        <w:ind w:left="1265" w:hanging="425"/>
      </w:pPr>
      <w:rPr>
        <w:rFonts w:hint="default"/>
      </w:rPr>
    </w:lvl>
  </w:abstractNum>
  <w:abstractNum w:abstractNumId="4">
    <w:nsid w:val="AC8EEA83"/>
    <w:multiLevelType w:val="singleLevel"/>
    <w:tmpl w:val="AC8EEA83"/>
    <w:lvl w:ilvl="0" w:tentative="0">
      <w:start w:val="1"/>
      <w:numFmt w:val="decimalEnclosedCircleChinese"/>
      <w:suff w:val="nothing"/>
      <w:lvlText w:val="%1　"/>
      <w:lvlJc w:val="left"/>
      <w:pPr>
        <w:ind w:left="420" w:firstLine="400"/>
      </w:pPr>
      <w:rPr>
        <w:rFonts w:hint="eastAsia"/>
      </w:rPr>
    </w:lvl>
  </w:abstractNum>
  <w:abstractNum w:abstractNumId="5">
    <w:nsid w:val="B1479E13"/>
    <w:multiLevelType w:val="singleLevel"/>
    <w:tmpl w:val="B1479E13"/>
    <w:lvl w:ilvl="0" w:tentative="0">
      <w:start w:val="1"/>
      <w:numFmt w:val="decimal"/>
      <w:suff w:val="nothing"/>
      <w:lvlText w:val="（%1）"/>
      <w:lvlJc w:val="left"/>
    </w:lvl>
  </w:abstractNum>
  <w:abstractNum w:abstractNumId="6">
    <w:nsid w:val="B2D31FBE"/>
    <w:multiLevelType w:val="singleLevel"/>
    <w:tmpl w:val="B2D31FBE"/>
    <w:lvl w:ilvl="0" w:tentative="0">
      <w:start w:val="1"/>
      <w:numFmt w:val="decimal"/>
      <w:suff w:val="nothing"/>
      <w:lvlText w:val="（%1）"/>
      <w:lvlJc w:val="left"/>
    </w:lvl>
  </w:abstractNum>
  <w:abstractNum w:abstractNumId="7">
    <w:nsid w:val="BD02E092"/>
    <w:multiLevelType w:val="singleLevel"/>
    <w:tmpl w:val="BD02E092"/>
    <w:lvl w:ilvl="0" w:tentative="0">
      <w:start w:val="1"/>
      <w:numFmt w:val="lowerLetter"/>
      <w:lvlText w:val="%1."/>
      <w:lvlJc w:val="left"/>
      <w:pPr>
        <w:ind w:left="425" w:hanging="425"/>
      </w:pPr>
      <w:rPr>
        <w:rFonts w:hint="default"/>
      </w:rPr>
    </w:lvl>
  </w:abstractNum>
  <w:abstractNum w:abstractNumId="8">
    <w:nsid w:val="C1BB2992"/>
    <w:multiLevelType w:val="multilevel"/>
    <w:tmpl w:val="C1BB2992"/>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9">
    <w:nsid w:val="D239C97B"/>
    <w:multiLevelType w:val="singleLevel"/>
    <w:tmpl w:val="D239C97B"/>
    <w:lvl w:ilvl="0" w:tentative="0">
      <w:start w:val="3"/>
      <w:numFmt w:val="chineseCounting"/>
      <w:suff w:val="nothing"/>
      <w:lvlText w:val="%1、"/>
      <w:lvlJc w:val="left"/>
      <w:rPr>
        <w:rFonts w:hint="eastAsia"/>
      </w:rPr>
    </w:lvl>
  </w:abstractNum>
  <w:abstractNum w:abstractNumId="10">
    <w:nsid w:val="DBA45A1E"/>
    <w:multiLevelType w:val="singleLevel"/>
    <w:tmpl w:val="DBA45A1E"/>
    <w:lvl w:ilvl="0" w:tentative="0">
      <w:start w:val="1"/>
      <w:numFmt w:val="decimal"/>
      <w:suff w:val="nothing"/>
      <w:lvlText w:val="（%1）"/>
      <w:lvlJc w:val="left"/>
    </w:lvl>
  </w:abstractNum>
  <w:abstractNum w:abstractNumId="11">
    <w:nsid w:val="EF200C61"/>
    <w:multiLevelType w:val="singleLevel"/>
    <w:tmpl w:val="EF200C61"/>
    <w:lvl w:ilvl="0" w:tentative="0">
      <w:start w:val="1"/>
      <w:numFmt w:val="chineseCounting"/>
      <w:suff w:val="nothing"/>
      <w:lvlText w:val="（%1）"/>
      <w:lvlJc w:val="left"/>
      <w:pPr>
        <w:ind w:left="0" w:firstLine="420"/>
      </w:pPr>
      <w:rPr>
        <w:rFonts w:hint="eastAsia"/>
      </w:rPr>
    </w:lvl>
  </w:abstractNum>
  <w:abstractNum w:abstractNumId="12">
    <w:nsid w:val="F2F7A96C"/>
    <w:multiLevelType w:val="singleLevel"/>
    <w:tmpl w:val="F2F7A96C"/>
    <w:lvl w:ilvl="0" w:tentative="0">
      <w:start w:val="1"/>
      <w:numFmt w:val="decimalEnclosedCircleChinese"/>
      <w:suff w:val="nothing"/>
      <w:lvlText w:val="%1　"/>
      <w:lvlJc w:val="left"/>
      <w:pPr>
        <w:ind w:left="420" w:firstLine="400"/>
      </w:pPr>
      <w:rPr>
        <w:rFonts w:hint="eastAsia"/>
      </w:rPr>
    </w:lvl>
  </w:abstractNum>
  <w:abstractNum w:abstractNumId="13">
    <w:nsid w:val="FAEDB828"/>
    <w:multiLevelType w:val="singleLevel"/>
    <w:tmpl w:val="FAEDB828"/>
    <w:lvl w:ilvl="0" w:tentative="0">
      <w:start w:val="1"/>
      <w:numFmt w:val="decimal"/>
      <w:suff w:val="nothing"/>
      <w:lvlText w:val="（%1）"/>
      <w:lvlJc w:val="left"/>
    </w:lvl>
  </w:abstractNum>
  <w:abstractNum w:abstractNumId="14">
    <w:nsid w:val="00000008"/>
    <w:multiLevelType w:val="multilevel"/>
    <w:tmpl w:val="00000008"/>
    <w:lvl w:ilvl="0" w:tentative="0">
      <w:start w:val="1"/>
      <w:numFmt w:val="japaneseCounting"/>
      <w:lvlText w:val="第%1章"/>
      <w:lvlJc w:val="left"/>
      <w:pPr>
        <w:tabs>
          <w:tab w:val="left" w:pos="1200"/>
        </w:tabs>
        <w:ind w:left="1200" w:hanging="1200"/>
      </w:pPr>
      <w:rPr>
        <w:rFonts w:hint="default"/>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167"/>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11"/>
    <w:multiLevelType w:val="multilevel"/>
    <w:tmpl w:val="00000011"/>
    <w:lvl w:ilvl="0" w:tentative="0">
      <w:start w:val="1"/>
      <w:numFmt w:val="decimal"/>
      <w:pStyle w:val="159"/>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00000014"/>
    <w:multiLevelType w:val="singleLevel"/>
    <w:tmpl w:val="00000014"/>
    <w:lvl w:ilvl="0" w:tentative="0">
      <w:start w:val="5"/>
      <w:numFmt w:val="chineseCounting"/>
      <w:suff w:val="nothing"/>
      <w:lvlText w:val="%1、"/>
      <w:lvlJc w:val="left"/>
    </w:lvl>
  </w:abstractNum>
  <w:abstractNum w:abstractNumId="17">
    <w:nsid w:val="00000017"/>
    <w:multiLevelType w:val="multilevel"/>
    <w:tmpl w:val="00000017"/>
    <w:lvl w:ilvl="0" w:tentative="0">
      <w:start w:val="1"/>
      <w:numFmt w:val="decimal"/>
      <w:lvlText w:val="(%1)"/>
      <w:lvlJc w:val="left"/>
      <w:pPr>
        <w:tabs>
          <w:tab w:val="left" w:pos="660"/>
        </w:tabs>
        <w:ind w:left="660" w:hanging="480"/>
      </w:pPr>
      <w:rPr>
        <w:rFonts w:cs="Times New Roman"/>
      </w:rPr>
    </w:lvl>
    <w:lvl w:ilvl="1" w:tentative="0">
      <w:start w:val="1"/>
      <w:numFmt w:val="decimal"/>
      <w:pStyle w:val="147"/>
      <w:lvlText w:val="%2、"/>
      <w:lvlJc w:val="left"/>
      <w:pPr>
        <w:tabs>
          <w:tab w:val="left" w:pos="1080"/>
        </w:tabs>
        <w:ind w:left="1080" w:hanging="360"/>
      </w:pPr>
      <w:rPr>
        <w:rFonts w:cs="Times New Roman"/>
      </w:rPr>
    </w:lvl>
    <w:lvl w:ilvl="2" w:tentative="0">
      <w:start w:val="3"/>
      <w:numFmt w:val="japaneseCounting"/>
      <w:lvlText w:val="（%3）"/>
      <w:lvlJc w:val="left"/>
      <w:pPr>
        <w:tabs>
          <w:tab w:val="left" w:pos="1800"/>
        </w:tabs>
        <w:ind w:left="1800" w:hanging="720"/>
      </w:pPr>
      <w:rPr>
        <w:rFonts w:cs="Times New Roman"/>
        <w:color w:val="FF0000"/>
      </w:rPr>
    </w:lvl>
    <w:lvl w:ilvl="3" w:tentative="0">
      <w:start w:val="1"/>
      <w:numFmt w:val="decimal"/>
      <w:lvlText w:val="%4."/>
      <w:lvlJc w:val="left"/>
      <w:pPr>
        <w:tabs>
          <w:tab w:val="left" w:pos="1920"/>
        </w:tabs>
        <w:ind w:left="1920" w:hanging="420"/>
      </w:pPr>
      <w:rPr>
        <w:rFonts w:cs="Times New Roman"/>
      </w:rPr>
    </w:lvl>
    <w:lvl w:ilvl="4" w:tentative="0">
      <w:start w:val="1"/>
      <w:numFmt w:val="lowerLetter"/>
      <w:lvlText w:val="%5)"/>
      <w:lvlJc w:val="left"/>
      <w:pPr>
        <w:tabs>
          <w:tab w:val="left" w:pos="2340"/>
        </w:tabs>
        <w:ind w:left="2340" w:hanging="420"/>
      </w:pPr>
      <w:rPr>
        <w:rFonts w:cs="Times New Roman"/>
      </w:rPr>
    </w:lvl>
    <w:lvl w:ilvl="5" w:tentative="0">
      <w:start w:val="1"/>
      <w:numFmt w:val="lowerRoman"/>
      <w:lvlText w:val="%6."/>
      <w:lvlJc w:val="right"/>
      <w:pPr>
        <w:tabs>
          <w:tab w:val="left" w:pos="2760"/>
        </w:tabs>
        <w:ind w:left="2760" w:hanging="420"/>
      </w:pPr>
      <w:rPr>
        <w:rFonts w:cs="Times New Roman"/>
      </w:rPr>
    </w:lvl>
    <w:lvl w:ilvl="6" w:tentative="0">
      <w:start w:val="1"/>
      <w:numFmt w:val="decimal"/>
      <w:lvlText w:val="%7."/>
      <w:lvlJc w:val="left"/>
      <w:pPr>
        <w:tabs>
          <w:tab w:val="left" w:pos="3180"/>
        </w:tabs>
        <w:ind w:left="3180" w:hanging="420"/>
      </w:pPr>
      <w:rPr>
        <w:rFonts w:cs="Times New Roman"/>
      </w:rPr>
    </w:lvl>
    <w:lvl w:ilvl="7" w:tentative="0">
      <w:start w:val="1"/>
      <w:numFmt w:val="lowerLetter"/>
      <w:lvlText w:val="%8)"/>
      <w:lvlJc w:val="left"/>
      <w:pPr>
        <w:tabs>
          <w:tab w:val="left" w:pos="3600"/>
        </w:tabs>
        <w:ind w:left="3600" w:hanging="420"/>
      </w:pPr>
      <w:rPr>
        <w:rFonts w:cs="Times New Roman"/>
      </w:rPr>
    </w:lvl>
    <w:lvl w:ilvl="8" w:tentative="0">
      <w:start w:val="1"/>
      <w:numFmt w:val="lowerRoman"/>
      <w:lvlText w:val="%9."/>
      <w:lvlJc w:val="right"/>
      <w:pPr>
        <w:tabs>
          <w:tab w:val="left" w:pos="4020"/>
        </w:tabs>
        <w:ind w:left="4020" w:hanging="420"/>
      </w:pPr>
      <w:rPr>
        <w:rFonts w:cs="Times New Roman"/>
      </w:rPr>
    </w:lvl>
  </w:abstractNum>
  <w:abstractNum w:abstractNumId="18">
    <w:nsid w:val="00000020"/>
    <w:multiLevelType w:val="multilevel"/>
    <w:tmpl w:val="00000020"/>
    <w:lvl w:ilvl="0" w:tentative="0">
      <w:start w:val="1"/>
      <w:numFmt w:val="chineseCounting"/>
      <w:suff w:val="nothing"/>
      <w:lvlText w:val="（%1）"/>
      <w:lvlJc w:val="left"/>
    </w:lvl>
    <w:lvl w:ilvl="1" w:tentative="0">
      <w:start w:val="1"/>
      <w:numFmt w:val="lowerLetter"/>
      <w:lvlText w:val="%2)"/>
      <w:lvlJc w:val="left"/>
      <w:pPr>
        <w:tabs>
          <w:tab w:val="left" w:pos="300"/>
        </w:tabs>
        <w:ind w:left="300" w:hanging="420"/>
      </w:pPr>
      <w:rPr>
        <w:rFonts w:hint="default" w:cs="Times New Roman"/>
        <w:u w:val="none"/>
      </w:rPr>
    </w:lvl>
    <w:lvl w:ilvl="2" w:tentative="0">
      <w:start w:val="1"/>
      <w:numFmt w:val="lowerRoman"/>
      <w:lvlText w:val="%3."/>
      <w:lvlJc w:val="right"/>
      <w:pPr>
        <w:tabs>
          <w:tab w:val="left" w:pos="720"/>
        </w:tabs>
        <w:ind w:left="720" w:hanging="420"/>
      </w:pPr>
      <w:rPr>
        <w:rFonts w:hint="default" w:cs="Times New Roman"/>
        <w:u w:val="none"/>
      </w:rPr>
    </w:lvl>
    <w:lvl w:ilvl="3" w:tentative="0">
      <w:start w:val="1"/>
      <w:numFmt w:val="decimal"/>
      <w:lvlText w:val="%4."/>
      <w:lvlJc w:val="left"/>
      <w:pPr>
        <w:tabs>
          <w:tab w:val="left" w:pos="1140"/>
        </w:tabs>
        <w:ind w:left="1140" w:hanging="420"/>
      </w:pPr>
      <w:rPr>
        <w:rFonts w:hint="default" w:cs="Times New Roman"/>
        <w:u w:val="none"/>
      </w:rPr>
    </w:lvl>
    <w:lvl w:ilvl="4" w:tentative="0">
      <w:start w:val="1"/>
      <w:numFmt w:val="lowerLetter"/>
      <w:lvlText w:val="%5)"/>
      <w:lvlJc w:val="left"/>
      <w:pPr>
        <w:tabs>
          <w:tab w:val="left" w:pos="1560"/>
        </w:tabs>
        <w:ind w:left="1560" w:hanging="420"/>
      </w:pPr>
      <w:rPr>
        <w:rFonts w:hint="default" w:cs="Times New Roman"/>
        <w:u w:val="none"/>
      </w:rPr>
    </w:lvl>
    <w:lvl w:ilvl="5" w:tentative="0">
      <w:start w:val="1"/>
      <w:numFmt w:val="lowerRoman"/>
      <w:lvlText w:val="%6."/>
      <w:lvlJc w:val="right"/>
      <w:pPr>
        <w:tabs>
          <w:tab w:val="left" w:pos="1980"/>
        </w:tabs>
        <w:ind w:left="1980" w:hanging="420"/>
      </w:pPr>
      <w:rPr>
        <w:rFonts w:hint="default" w:cs="Times New Roman"/>
        <w:u w:val="none"/>
      </w:rPr>
    </w:lvl>
    <w:lvl w:ilvl="6" w:tentative="0">
      <w:start w:val="1"/>
      <w:numFmt w:val="decimal"/>
      <w:lvlText w:val="%7."/>
      <w:lvlJc w:val="left"/>
      <w:pPr>
        <w:tabs>
          <w:tab w:val="left" w:pos="2400"/>
        </w:tabs>
        <w:ind w:left="2400" w:hanging="420"/>
      </w:pPr>
      <w:rPr>
        <w:rFonts w:hint="default" w:cs="Times New Roman"/>
        <w:u w:val="none"/>
      </w:rPr>
    </w:lvl>
    <w:lvl w:ilvl="7" w:tentative="0">
      <w:start w:val="1"/>
      <w:numFmt w:val="lowerLetter"/>
      <w:lvlText w:val="%8)"/>
      <w:lvlJc w:val="left"/>
      <w:pPr>
        <w:tabs>
          <w:tab w:val="left" w:pos="2820"/>
        </w:tabs>
        <w:ind w:left="2820" w:hanging="420"/>
      </w:pPr>
      <w:rPr>
        <w:rFonts w:hint="default" w:cs="Times New Roman"/>
        <w:u w:val="none"/>
      </w:rPr>
    </w:lvl>
    <w:lvl w:ilvl="8" w:tentative="0">
      <w:start w:val="1"/>
      <w:numFmt w:val="lowerRoman"/>
      <w:lvlText w:val="%9."/>
      <w:lvlJc w:val="right"/>
      <w:pPr>
        <w:tabs>
          <w:tab w:val="left" w:pos="3240"/>
        </w:tabs>
        <w:ind w:left="3240" w:hanging="420"/>
      </w:pPr>
      <w:rPr>
        <w:rFonts w:hint="default" w:cs="Times New Roman"/>
        <w:u w:val="none"/>
      </w:rPr>
    </w:lvl>
  </w:abstractNum>
  <w:abstractNum w:abstractNumId="19">
    <w:nsid w:val="00000022"/>
    <w:multiLevelType w:val="multilevel"/>
    <w:tmpl w:val="00000022"/>
    <w:lvl w:ilvl="0" w:tentative="0">
      <w:start w:val="1"/>
      <w:numFmt w:val="decimal"/>
      <w:pStyle w:val="23"/>
      <w:lvlText w:val="%1."/>
      <w:lvlJc w:val="left"/>
      <w:pPr>
        <w:tabs>
          <w:tab w:val="left" w:pos="1200"/>
        </w:tabs>
        <w:ind w:left="1200" w:hanging="360"/>
      </w:p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20">
    <w:nsid w:val="00000023"/>
    <w:multiLevelType w:val="singleLevel"/>
    <w:tmpl w:val="00000023"/>
    <w:lvl w:ilvl="0" w:tentative="0">
      <w:start w:val="1"/>
      <w:numFmt w:val="decimal"/>
      <w:lvlText w:val="%1."/>
      <w:lvlJc w:val="left"/>
      <w:pPr>
        <w:tabs>
          <w:tab w:val="left" w:pos="312"/>
        </w:tabs>
      </w:pPr>
    </w:lvl>
  </w:abstractNum>
  <w:abstractNum w:abstractNumId="21">
    <w:nsid w:val="00000024"/>
    <w:multiLevelType w:val="multilevel"/>
    <w:tmpl w:val="00000024"/>
    <w:lvl w:ilvl="0" w:tentative="0">
      <w:start w:val="1"/>
      <w:numFmt w:val="decimal"/>
      <w:pStyle w:val="183"/>
      <w:suff w:val="nothing"/>
      <w:lvlText w:val="%1　"/>
      <w:lvlJc w:val="left"/>
      <w:pPr>
        <w:tabs>
          <w:tab w:val="left" w:pos="0"/>
        </w:tabs>
        <w:ind w:left="105" w:firstLine="0"/>
      </w:pPr>
      <w:rPr>
        <w:rFonts w:ascii="Times New Roman" w:hAnsi="Times New Roman" w:cs="Times New Roman"/>
        <w:b w:val="0"/>
        <w:bCs w:val="0"/>
        <w:iCs w:val="0"/>
        <w:caps w:val="0"/>
        <w:strike w:val="0"/>
        <w:dstrike w:val="0"/>
        <w:outline w:val="0"/>
        <w:vanish w:val="0"/>
        <w:color w:val="000000"/>
        <w:spacing w:val="0"/>
        <w:w w:val="0"/>
        <w:kern w:val="0"/>
        <w:position w:val="0"/>
        <w:szCs w:val="0"/>
        <w:u w:val="none"/>
      </w:rPr>
    </w:lvl>
    <w:lvl w:ilvl="1" w:tentative="0">
      <w:start w:val="1"/>
      <w:numFmt w:val="decimal"/>
      <w:suff w:val="nothing"/>
      <w:lvlText w:val="%1.%2　"/>
      <w:lvlJc w:val="left"/>
      <w:pPr>
        <w:tabs>
          <w:tab w:val="left" w:pos="0"/>
        </w:tabs>
        <w:ind w:left="0" w:firstLine="0"/>
      </w:pPr>
      <w:rPr>
        <w:rFonts w:ascii="Times New Roman" w:hAnsi="Times New Roman" w:cs="Times New Roman"/>
        <w:b w:val="0"/>
        <w:bCs w:val="0"/>
        <w:iCs w:val="0"/>
        <w:caps w:val="0"/>
        <w:strike w:val="0"/>
        <w:dstrike w:val="0"/>
        <w:outline w:val="0"/>
        <w:vanish w:val="0"/>
        <w:color w:val="000000"/>
        <w:spacing w:val="0"/>
        <w:w w:val="0"/>
        <w:kern w:val="0"/>
        <w:position w:val="0"/>
        <w:szCs w:val="0"/>
        <w:u w:val="none"/>
      </w:rPr>
    </w:lvl>
    <w:lvl w:ilvl="2" w:tentative="0">
      <w:start w:val="1"/>
      <w:numFmt w:val="decimal"/>
      <w:suff w:val="nothing"/>
      <w:lvlText w:val="%1.%2.%3　"/>
      <w:lvlJc w:val="left"/>
      <w:pPr>
        <w:tabs>
          <w:tab w:val="left" w:pos="0"/>
        </w:tabs>
        <w:ind w:left="1985" w:hanging="1985"/>
      </w:pPr>
      <w:rPr>
        <w:rFonts w:hint="eastAsia" w:ascii="黑体" w:hAnsi="Times New Roman" w:eastAsia="黑体" w:cs="黑体"/>
        <w:b w:val="0"/>
        <w:sz w:val="21"/>
      </w:rPr>
    </w:lvl>
    <w:lvl w:ilvl="3" w:tentative="0">
      <w:start w:val="1"/>
      <w:numFmt w:val="decimal"/>
      <w:suff w:val="nothing"/>
      <w:lvlText w:val="%1.%2.%3.%4　"/>
      <w:lvlJc w:val="left"/>
      <w:pPr>
        <w:tabs>
          <w:tab w:val="left" w:pos="0"/>
        </w:tabs>
        <w:ind w:left="0" w:firstLine="0"/>
      </w:pPr>
      <w:rPr>
        <w:rFonts w:hint="eastAsia" w:ascii="黑体" w:hAnsi="Times New Roman" w:eastAsia="黑体" w:cs="黑体"/>
        <w:b w:val="0"/>
        <w:sz w:val="21"/>
      </w:rPr>
    </w:lvl>
    <w:lvl w:ilvl="4" w:tentative="0">
      <w:start w:val="1"/>
      <w:numFmt w:val="decimal"/>
      <w:suff w:val="nothing"/>
      <w:lvlText w:val="%1.%2.%3.%4.%5　"/>
      <w:lvlJc w:val="left"/>
      <w:pPr>
        <w:tabs>
          <w:tab w:val="left" w:pos="0"/>
        </w:tabs>
        <w:ind w:left="0" w:firstLine="0"/>
      </w:pPr>
      <w:rPr>
        <w:rFonts w:hint="eastAsia" w:ascii="黑体" w:hAnsi="Times New Roman" w:eastAsia="黑体" w:cs="黑体"/>
        <w:b w:val="0"/>
        <w:sz w:val="21"/>
      </w:rPr>
    </w:lvl>
    <w:lvl w:ilvl="5" w:tentative="0">
      <w:start w:val="1"/>
      <w:numFmt w:val="decimal"/>
      <w:suff w:val="nothing"/>
      <w:lvlText w:val="%1.%2.%3.%4.%5.%6　"/>
      <w:lvlJc w:val="left"/>
      <w:pPr>
        <w:tabs>
          <w:tab w:val="left" w:pos="0"/>
        </w:tabs>
        <w:ind w:left="0" w:firstLine="0"/>
      </w:pPr>
      <w:rPr>
        <w:rFonts w:hint="eastAsia" w:ascii="黑体" w:hAnsi="Times New Roman" w:eastAsia="黑体" w:cs="黑体"/>
        <w:b w:val="0"/>
        <w:sz w:val="21"/>
      </w:rPr>
    </w:lvl>
    <w:lvl w:ilvl="6" w:tentative="0">
      <w:start w:val="1"/>
      <w:numFmt w:val="decimal"/>
      <w:suff w:val="nothing"/>
      <w:lvlText w:val="%1%2.%3.%4.%5.%6.%7　"/>
      <w:lvlJc w:val="left"/>
      <w:pPr>
        <w:tabs>
          <w:tab w:val="left" w:pos="0"/>
        </w:tabs>
        <w:ind w:left="0" w:firstLine="0"/>
      </w:pPr>
      <w:rPr>
        <w:rFonts w:hint="eastAsia" w:ascii="黑体" w:hAnsi="Times New Roman" w:eastAsia="黑体" w:cs="黑体"/>
        <w:b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22">
    <w:nsid w:val="00000025"/>
    <w:multiLevelType w:val="singleLevel"/>
    <w:tmpl w:val="00000025"/>
    <w:lvl w:ilvl="0" w:tentative="0">
      <w:start w:val="1"/>
      <w:numFmt w:val="decimal"/>
      <w:suff w:val="nothing"/>
      <w:lvlText w:val="（%1）"/>
      <w:lvlJc w:val="left"/>
    </w:lvl>
  </w:abstractNum>
  <w:abstractNum w:abstractNumId="23">
    <w:nsid w:val="05466AD0"/>
    <w:multiLevelType w:val="singleLevel"/>
    <w:tmpl w:val="05466AD0"/>
    <w:lvl w:ilvl="0" w:tentative="0">
      <w:start w:val="1"/>
      <w:numFmt w:val="decimal"/>
      <w:suff w:val="nothing"/>
      <w:lvlText w:val="（%1）"/>
      <w:lvlJc w:val="left"/>
      <w:pPr>
        <w:ind w:left="840"/>
      </w:pPr>
    </w:lvl>
  </w:abstractNum>
  <w:abstractNum w:abstractNumId="24">
    <w:nsid w:val="154F6E25"/>
    <w:multiLevelType w:val="singleLevel"/>
    <w:tmpl w:val="154F6E25"/>
    <w:lvl w:ilvl="0" w:tentative="0">
      <w:start w:val="1"/>
      <w:numFmt w:val="decimal"/>
      <w:suff w:val="nothing"/>
      <w:lvlText w:val="%1、"/>
      <w:lvlJc w:val="left"/>
    </w:lvl>
  </w:abstractNum>
  <w:abstractNum w:abstractNumId="25">
    <w:nsid w:val="15AE74FA"/>
    <w:multiLevelType w:val="singleLevel"/>
    <w:tmpl w:val="15AE74FA"/>
    <w:lvl w:ilvl="0" w:tentative="0">
      <w:start w:val="1"/>
      <w:numFmt w:val="decimal"/>
      <w:suff w:val="nothing"/>
      <w:lvlText w:val="（%1）"/>
      <w:lvlJc w:val="left"/>
      <w:rPr>
        <w:rFonts w:hint="default"/>
        <w:b w:val="0"/>
        <w:bCs w:val="0"/>
      </w:rPr>
    </w:lvl>
  </w:abstractNum>
  <w:abstractNum w:abstractNumId="26">
    <w:nsid w:val="27B78F41"/>
    <w:multiLevelType w:val="multilevel"/>
    <w:tmpl w:val="27B78F41"/>
    <w:lvl w:ilvl="0" w:tentative="0">
      <w:start w:val="5"/>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7">
    <w:nsid w:val="29D120CC"/>
    <w:multiLevelType w:val="singleLevel"/>
    <w:tmpl w:val="29D120CC"/>
    <w:lvl w:ilvl="0" w:tentative="0">
      <w:start w:val="1"/>
      <w:numFmt w:val="decimal"/>
      <w:suff w:val="nothing"/>
      <w:lvlText w:val="（%1）"/>
      <w:lvlJc w:val="left"/>
    </w:lvl>
  </w:abstractNum>
  <w:abstractNum w:abstractNumId="28">
    <w:nsid w:val="2BF9D2DD"/>
    <w:multiLevelType w:val="singleLevel"/>
    <w:tmpl w:val="2BF9D2DD"/>
    <w:lvl w:ilvl="0" w:tentative="0">
      <w:start w:val="1"/>
      <w:numFmt w:val="decimal"/>
      <w:suff w:val="nothing"/>
      <w:lvlText w:val="（%1）"/>
      <w:lvlJc w:val="left"/>
    </w:lvl>
  </w:abstractNum>
  <w:abstractNum w:abstractNumId="29">
    <w:nsid w:val="2D09F2AE"/>
    <w:multiLevelType w:val="singleLevel"/>
    <w:tmpl w:val="2D09F2AE"/>
    <w:lvl w:ilvl="0" w:tentative="0">
      <w:start w:val="1"/>
      <w:numFmt w:val="lowerLetter"/>
      <w:lvlText w:val="%1."/>
      <w:lvlJc w:val="left"/>
      <w:pPr>
        <w:ind w:left="425" w:hanging="425"/>
      </w:pPr>
      <w:rPr>
        <w:rFonts w:hint="default"/>
      </w:rPr>
    </w:lvl>
  </w:abstractNum>
  <w:abstractNum w:abstractNumId="30">
    <w:nsid w:val="36EF3B9D"/>
    <w:multiLevelType w:val="singleLevel"/>
    <w:tmpl w:val="36EF3B9D"/>
    <w:lvl w:ilvl="0" w:tentative="0">
      <w:start w:val="1"/>
      <w:numFmt w:val="decimal"/>
      <w:suff w:val="nothing"/>
      <w:lvlText w:val="%1、"/>
      <w:lvlJc w:val="left"/>
    </w:lvl>
  </w:abstractNum>
  <w:abstractNum w:abstractNumId="31">
    <w:nsid w:val="387E04D0"/>
    <w:multiLevelType w:val="singleLevel"/>
    <w:tmpl w:val="387E04D0"/>
    <w:lvl w:ilvl="0" w:tentative="0">
      <w:start w:val="1"/>
      <w:numFmt w:val="decimalEnclosedCircleChinese"/>
      <w:suff w:val="nothing"/>
      <w:lvlText w:val="%1　"/>
      <w:lvlJc w:val="left"/>
      <w:pPr>
        <w:ind w:left="420" w:firstLine="400"/>
      </w:pPr>
      <w:rPr>
        <w:rFonts w:hint="eastAsia"/>
      </w:rPr>
    </w:lvl>
  </w:abstractNum>
  <w:abstractNum w:abstractNumId="32">
    <w:nsid w:val="3CD8BFBE"/>
    <w:multiLevelType w:val="singleLevel"/>
    <w:tmpl w:val="3CD8BFBE"/>
    <w:lvl w:ilvl="0" w:tentative="0">
      <w:start w:val="1"/>
      <w:numFmt w:val="decimal"/>
      <w:suff w:val="nothing"/>
      <w:lvlText w:val="（%1）"/>
      <w:lvlJc w:val="left"/>
    </w:lvl>
  </w:abstractNum>
  <w:abstractNum w:abstractNumId="33">
    <w:nsid w:val="44160DF1"/>
    <w:multiLevelType w:val="singleLevel"/>
    <w:tmpl w:val="44160DF1"/>
    <w:lvl w:ilvl="0" w:tentative="0">
      <w:start w:val="1"/>
      <w:numFmt w:val="lowerLetter"/>
      <w:lvlText w:val="%1."/>
      <w:lvlJc w:val="left"/>
      <w:pPr>
        <w:tabs>
          <w:tab w:val="left" w:pos="840"/>
        </w:tabs>
        <w:ind w:left="1265" w:hanging="425"/>
      </w:pPr>
      <w:rPr>
        <w:rFonts w:hint="default"/>
      </w:rPr>
    </w:lvl>
  </w:abstractNum>
  <w:abstractNum w:abstractNumId="34">
    <w:nsid w:val="4BF819C2"/>
    <w:multiLevelType w:val="singleLevel"/>
    <w:tmpl w:val="4BF819C2"/>
    <w:lvl w:ilvl="0" w:tentative="0">
      <w:start w:val="1"/>
      <w:numFmt w:val="decimal"/>
      <w:suff w:val="nothing"/>
      <w:lvlText w:val="（%1）"/>
      <w:lvlJc w:val="left"/>
      <w:pPr>
        <w:ind w:left="840"/>
      </w:pPr>
    </w:lvl>
  </w:abstractNum>
  <w:abstractNum w:abstractNumId="35">
    <w:nsid w:val="4BFA118D"/>
    <w:multiLevelType w:val="singleLevel"/>
    <w:tmpl w:val="4BFA118D"/>
    <w:lvl w:ilvl="0" w:tentative="0">
      <w:start w:val="1"/>
      <w:numFmt w:val="chineseCounting"/>
      <w:suff w:val="nothing"/>
      <w:lvlText w:val="（%1）"/>
      <w:lvlJc w:val="left"/>
      <w:pPr>
        <w:ind w:left="0" w:firstLine="420"/>
      </w:pPr>
      <w:rPr>
        <w:rFonts w:hint="eastAsia"/>
      </w:rPr>
    </w:lvl>
  </w:abstractNum>
  <w:abstractNum w:abstractNumId="36">
    <w:nsid w:val="54F403B5"/>
    <w:multiLevelType w:val="singleLevel"/>
    <w:tmpl w:val="54F403B5"/>
    <w:lvl w:ilvl="0" w:tentative="0">
      <w:start w:val="1"/>
      <w:numFmt w:val="chineseCounting"/>
      <w:suff w:val="nothing"/>
      <w:lvlText w:val="%1、"/>
      <w:lvlJc w:val="left"/>
    </w:lvl>
  </w:abstractNum>
  <w:abstractNum w:abstractNumId="37">
    <w:nsid w:val="557FD3DA"/>
    <w:multiLevelType w:val="singleLevel"/>
    <w:tmpl w:val="557FD3DA"/>
    <w:lvl w:ilvl="0" w:tentative="0">
      <w:start w:val="3"/>
      <w:numFmt w:val="chineseCounting"/>
      <w:suff w:val="nothing"/>
      <w:lvlText w:val="%1、"/>
      <w:lvlJc w:val="left"/>
    </w:lvl>
  </w:abstractNum>
  <w:abstractNum w:abstractNumId="38">
    <w:nsid w:val="589A2FD8"/>
    <w:multiLevelType w:val="singleLevel"/>
    <w:tmpl w:val="589A2FD8"/>
    <w:lvl w:ilvl="0" w:tentative="0">
      <w:start w:val="1"/>
      <w:numFmt w:val="decimal"/>
      <w:suff w:val="nothing"/>
      <w:lvlText w:val="（%1）"/>
      <w:lvlJc w:val="left"/>
    </w:lvl>
  </w:abstractNum>
  <w:abstractNum w:abstractNumId="39">
    <w:nsid w:val="59F1C7B7"/>
    <w:multiLevelType w:val="singleLevel"/>
    <w:tmpl w:val="59F1C7B7"/>
    <w:lvl w:ilvl="0" w:tentative="0">
      <w:start w:val="4"/>
      <w:numFmt w:val="chineseCounting"/>
      <w:suff w:val="nothing"/>
      <w:lvlText w:val="（%1）"/>
      <w:lvlJc w:val="left"/>
    </w:lvl>
  </w:abstractNum>
  <w:abstractNum w:abstractNumId="40">
    <w:nsid w:val="59F56D91"/>
    <w:multiLevelType w:val="singleLevel"/>
    <w:tmpl w:val="59F56D91"/>
    <w:lvl w:ilvl="0" w:tentative="0">
      <w:start w:val="1"/>
      <w:numFmt w:val="decimal"/>
      <w:suff w:val="nothing"/>
      <w:lvlText w:val="（%1）"/>
      <w:lvlJc w:val="left"/>
    </w:lvl>
  </w:abstractNum>
  <w:abstractNum w:abstractNumId="41">
    <w:nsid w:val="59FEDFBD"/>
    <w:multiLevelType w:val="multilevel"/>
    <w:tmpl w:val="59FEDFBD"/>
    <w:lvl w:ilvl="0" w:tentative="0">
      <w:start w:val="1"/>
      <w:numFmt w:val="decimal"/>
      <w:suff w:val="nothing"/>
      <w:lvlText w:val="（%1）"/>
      <w:lvlJc w:val="left"/>
      <w:pPr>
        <w:ind w:left="0" w:firstLine="0"/>
      </w:pPr>
      <w:rPr>
        <w:rFonts w:hint="default" w:ascii="Times New Roman"/>
        <w:u w:val="none"/>
      </w:rPr>
    </w:lvl>
    <w:lvl w:ilvl="1" w:tentative="0">
      <w:start w:val="1"/>
      <w:numFmt w:val="decimal"/>
      <w:lvlText w:val="%2."/>
      <w:lvlJc w:val="left"/>
      <w:pPr>
        <w:tabs>
          <w:tab w:val="left" w:pos="1440"/>
        </w:tabs>
        <w:ind w:left="1440" w:hanging="360"/>
      </w:pPr>
      <w:rPr>
        <w:rFonts w:hint="default" w:ascii="Times New Roman"/>
        <w:u w:val="none"/>
      </w:rPr>
    </w:lvl>
    <w:lvl w:ilvl="2" w:tentative="0">
      <w:start w:val="1"/>
      <w:numFmt w:val="decimal"/>
      <w:lvlText w:val="%3."/>
      <w:lvlJc w:val="left"/>
      <w:pPr>
        <w:tabs>
          <w:tab w:val="left" w:pos="2160"/>
        </w:tabs>
        <w:ind w:left="2160" w:hanging="360"/>
      </w:pPr>
      <w:rPr>
        <w:rFonts w:hint="default" w:ascii="Times New Roman"/>
        <w:u w:val="none"/>
      </w:rPr>
    </w:lvl>
    <w:lvl w:ilvl="3" w:tentative="0">
      <w:start w:val="1"/>
      <w:numFmt w:val="decimal"/>
      <w:lvlText w:val="%4."/>
      <w:lvlJc w:val="left"/>
      <w:pPr>
        <w:tabs>
          <w:tab w:val="left" w:pos="2880"/>
        </w:tabs>
        <w:ind w:left="2880" w:hanging="360"/>
      </w:pPr>
      <w:rPr>
        <w:rFonts w:hint="default" w:ascii="Times New Roman"/>
        <w:u w:val="none"/>
      </w:rPr>
    </w:lvl>
    <w:lvl w:ilvl="4" w:tentative="0">
      <w:start w:val="1"/>
      <w:numFmt w:val="decimal"/>
      <w:lvlText w:val="%5."/>
      <w:lvlJc w:val="left"/>
      <w:pPr>
        <w:tabs>
          <w:tab w:val="left" w:pos="3600"/>
        </w:tabs>
        <w:ind w:left="3600" w:hanging="360"/>
      </w:pPr>
      <w:rPr>
        <w:rFonts w:hint="default" w:ascii="Times New Roman"/>
        <w:u w:val="none"/>
      </w:rPr>
    </w:lvl>
    <w:lvl w:ilvl="5" w:tentative="0">
      <w:start w:val="1"/>
      <w:numFmt w:val="decimal"/>
      <w:lvlText w:val="%6."/>
      <w:lvlJc w:val="left"/>
      <w:pPr>
        <w:tabs>
          <w:tab w:val="left" w:pos="4320"/>
        </w:tabs>
        <w:ind w:left="4320" w:hanging="360"/>
      </w:pPr>
      <w:rPr>
        <w:rFonts w:hint="default" w:ascii="Times New Roman"/>
        <w:u w:val="none"/>
      </w:rPr>
    </w:lvl>
    <w:lvl w:ilvl="6" w:tentative="0">
      <w:start w:val="1"/>
      <w:numFmt w:val="decimal"/>
      <w:lvlText w:val="%7."/>
      <w:lvlJc w:val="left"/>
      <w:pPr>
        <w:tabs>
          <w:tab w:val="left" w:pos="5040"/>
        </w:tabs>
        <w:ind w:left="5040" w:hanging="360"/>
      </w:pPr>
      <w:rPr>
        <w:rFonts w:hint="default" w:ascii="Times New Roman"/>
        <w:u w:val="none"/>
      </w:rPr>
    </w:lvl>
    <w:lvl w:ilvl="7" w:tentative="0">
      <w:start w:val="1"/>
      <w:numFmt w:val="decimal"/>
      <w:lvlText w:val="%8."/>
      <w:lvlJc w:val="left"/>
      <w:pPr>
        <w:tabs>
          <w:tab w:val="left" w:pos="5760"/>
        </w:tabs>
        <w:ind w:left="5760" w:hanging="360"/>
      </w:pPr>
      <w:rPr>
        <w:rFonts w:hint="default" w:ascii="Times New Roman"/>
        <w:u w:val="none"/>
      </w:rPr>
    </w:lvl>
    <w:lvl w:ilvl="8" w:tentative="0">
      <w:start w:val="1"/>
      <w:numFmt w:val="decimal"/>
      <w:lvlText w:val="%9."/>
      <w:lvlJc w:val="left"/>
      <w:pPr>
        <w:tabs>
          <w:tab w:val="left" w:pos="6480"/>
        </w:tabs>
        <w:ind w:left="6480" w:hanging="360"/>
      </w:pPr>
      <w:rPr>
        <w:rFonts w:hint="default" w:ascii="Times New Roman"/>
        <w:u w:val="none"/>
      </w:rPr>
    </w:lvl>
  </w:abstractNum>
  <w:abstractNum w:abstractNumId="42">
    <w:nsid w:val="5F02DA9C"/>
    <w:multiLevelType w:val="singleLevel"/>
    <w:tmpl w:val="5F02DA9C"/>
    <w:lvl w:ilvl="0" w:tentative="0">
      <w:start w:val="6"/>
      <w:numFmt w:val="chineseCounting"/>
      <w:suff w:val="nothing"/>
      <w:lvlText w:val="%1、"/>
      <w:lvlJc w:val="left"/>
      <w:rPr>
        <w:rFonts w:hint="eastAsia"/>
      </w:rPr>
    </w:lvl>
  </w:abstractNum>
  <w:abstractNum w:abstractNumId="43">
    <w:nsid w:val="5F8A9F24"/>
    <w:multiLevelType w:val="singleLevel"/>
    <w:tmpl w:val="5F8A9F24"/>
    <w:lvl w:ilvl="0" w:tentative="0">
      <w:start w:val="1"/>
      <w:numFmt w:val="lowerLetter"/>
      <w:lvlText w:val="%1."/>
      <w:lvlJc w:val="left"/>
      <w:pPr>
        <w:tabs>
          <w:tab w:val="left" w:pos="840"/>
        </w:tabs>
        <w:ind w:left="1265" w:hanging="425"/>
      </w:pPr>
      <w:rPr>
        <w:rFonts w:hint="default"/>
      </w:rPr>
    </w:lvl>
  </w:abstractNum>
  <w:abstractNum w:abstractNumId="44">
    <w:nsid w:val="643B3368"/>
    <w:multiLevelType w:val="singleLevel"/>
    <w:tmpl w:val="643B3368"/>
    <w:lvl w:ilvl="0" w:tentative="0">
      <w:start w:val="1"/>
      <w:numFmt w:val="decimalEnclosedCircleChinese"/>
      <w:suff w:val="nothing"/>
      <w:lvlText w:val="%1　"/>
      <w:lvlJc w:val="left"/>
      <w:pPr>
        <w:ind w:left="0" w:firstLine="400"/>
      </w:pPr>
      <w:rPr>
        <w:rFonts w:hint="eastAsia"/>
      </w:rPr>
    </w:lvl>
  </w:abstractNum>
  <w:abstractNum w:abstractNumId="45">
    <w:nsid w:val="6C2A6DD1"/>
    <w:multiLevelType w:val="singleLevel"/>
    <w:tmpl w:val="6C2A6DD1"/>
    <w:lvl w:ilvl="0" w:tentative="0">
      <w:start w:val="1"/>
      <w:numFmt w:val="chineseCounting"/>
      <w:suff w:val="nothing"/>
      <w:lvlText w:val="（%1）"/>
      <w:lvlJc w:val="left"/>
      <w:pPr>
        <w:ind w:left="0" w:firstLine="420"/>
      </w:pPr>
      <w:rPr>
        <w:rFonts w:hint="eastAsia"/>
      </w:rPr>
    </w:lvl>
  </w:abstractNum>
  <w:num w:numId="1">
    <w:abstractNumId w:val="19"/>
  </w:num>
  <w:num w:numId="2">
    <w:abstractNumId w:val="17"/>
  </w:num>
  <w:num w:numId="3">
    <w:abstractNumId w:val="15"/>
  </w:num>
  <w:num w:numId="4">
    <w:abstractNumId w:val="14"/>
  </w:num>
  <w:num w:numId="5">
    <w:abstractNumId w:val="21"/>
  </w:num>
  <w:num w:numId="6">
    <w:abstractNumId w:val="22"/>
  </w:num>
  <w:num w:numId="7">
    <w:abstractNumId w:val="28"/>
  </w:num>
  <w:num w:numId="8">
    <w:abstractNumId w:val="35"/>
  </w:num>
  <w:num w:numId="9">
    <w:abstractNumId w:val="9"/>
  </w:num>
  <w:num w:numId="10">
    <w:abstractNumId w:val="45"/>
  </w:num>
  <w:num w:numId="11">
    <w:abstractNumId w:val="44"/>
  </w:num>
  <w:num w:numId="12">
    <w:abstractNumId w:val="6"/>
  </w:num>
  <w:num w:numId="13">
    <w:abstractNumId w:val="7"/>
  </w:num>
  <w:num w:numId="14">
    <w:abstractNumId w:val="1"/>
  </w:num>
  <w:num w:numId="15">
    <w:abstractNumId w:val="11"/>
  </w:num>
  <w:num w:numId="16">
    <w:abstractNumId w:val="10"/>
  </w:num>
  <w:num w:numId="17">
    <w:abstractNumId w:val="5"/>
  </w:num>
  <w:num w:numId="18">
    <w:abstractNumId w:val="29"/>
  </w:num>
  <w:num w:numId="19">
    <w:abstractNumId w:val="12"/>
  </w:num>
  <w:num w:numId="20">
    <w:abstractNumId w:val="43"/>
  </w:num>
  <w:num w:numId="21">
    <w:abstractNumId w:val="3"/>
  </w:num>
  <w:num w:numId="22">
    <w:abstractNumId w:val="33"/>
  </w:num>
  <w:num w:numId="23">
    <w:abstractNumId w:val="4"/>
  </w:num>
  <w:num w:numId="24">
    <w:abstractNumId w:val="31"/>
  </w:num>
  <w:num w:numId="25">
    <w:abstractNumId w:val="2"/>
  </w:num>
  <w:num w:numId="26">
    <w:abstractNumId w:val="34"/>
  </w:num>
  <w:num w:numId="27">
    <w:abstractNumId w:val="23"/>
  </w:num>
  <w:num w:numId="28">
    <w:abstractNumId w:val="30"/>
  </w:num>
  <w:num w:numId="29">
    <w:abstractNumId w:val="38"/>
  </w:num>
  <w:num w:numId="30">
    <w:abstractNumId w:val="20"/>
  </w:num>
  <w:num w:numId="31">
    <w:abstractNumId w:val="40"/>
  </w:num>
  <w:num w:numId="32">
    <w:abstractNumId w:val="13"/>
  </w:num>
  <w:num w:numId="33">
    <w:abstractNumId w:val="32"/>
  </w:num>
  <w:num w:numId="34">
    <w:abstractNumId w:val="27"/>
  </w:num>
  <w:num w:numId="35">
    <w:abstractNumId w:val="26"/>
  </w:num>
  <w:num w:numId="36">
    <w:abstractNumId w:val="16"/>
  </w:num>
  <w:num w:numId="37">
    <w:abstractNumId w:val="18"/>
  </w:num>
  <w:num w:numId="38">
    <w:abstractNumId w:val="39"/>
  </w:num>
  <w:num w:numId="39">
    <w:abstractNumId w:val="42"/>
  </w:num>
  <w:num w:numId="40">
    <w:abstractNumId w:val="25"/>
  </w:num>
  <w:num w:numId="41">
    <w:abstractNumId w:val="8"/>
  </w:num>
  <w:num w:numId="42">
    <w:abstractNumId w:val="0"/>
  </w:num>
  <w:num w:numId="43">
    <w:abstractNumId w:val="24"/>
  </w:num>
  <w:num w:numId="44">
    <w:abstractNumId w:val="41"/>
  </w:num>
  <w:num w:numId="45">
    <w:abstractNumId w:val="36"/>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okNames" w:val="year1_2;filetype1_2"/>
    <w:docVar w:name="commondata" w:val="eyJoZGlkIjoiZTdjMWNmNDY2ZDdhMGUyODE1NzJmZDg1YmI5NDRmYWEifQ=="/>
    <w:docVar w:name="CurUserName" w:val="采购监管处收发室"/>
    <w:docVar w:name="DeleteMarces" w:val="False"/>
    <w:docVar w:name="DocName" w:val="0EF90D4B09DBFB9E4825742B0028ACBF_1.doc"/>
    <w:docVar w:name="haha" w:val="100"/>
    <w:docVar w:name="NewInfo" w:val="〔2009〕20&amp;;&amp;浙财采监字"/>
    <w:docVar w:name="OldInfo" w:val=" "/>
    <w:docVar w:name="SplitTool" w:val="False"/>
    <w:docVar w:name="TitleStr" w:val="浙江省财政厅;文件;"/>
    <w:docVar w:name="TrackMark" w:val="1"/>
  </w:docVars>
  <w:rsids>
    <w:rsidRoot w:val="00172A27"/>
    <w:rsid w:val="00001819"/>
    <w:rsid w:val="00003736"/>
    <w:rsid w:val="00043C49"/>
    <w:rsid w:val="00043E46"/>
    <w:rsid w:val="00046D02"/>
    <w:rsid w:val="0007724A"/>
    <w:rsid w:val="0008353B"/>
    <w:rsid w:val="000B4944"/>
    <w:rsid w:val="000C44A5"/>
    <w:rsid w:val="000E10E7"/>
    <w:rsid w:val="000E34C5"/>
    <w:rsid w:val="000E6B30"/>
    <w:rsid w:val="000E7E2D"/>
    <w:rsid w:val="00103884"/>
    <w:rsid w:val="00106F98"/>
    <w:rsid w:val="00112ECA"/>
    <w:rsid w:val="00122DA1"/>
    <w:rsid w:val="001355D8"/>
    <w:rsid w:val="001356C6"/>
    <w:rsid w:val="001437E8"/>
    <w:rsid w:val="00143E60"/>
    <w:rsid w:val="001512F0"/>
    <w:rsid w:val="001541A3"/>
    <w:rsid w:val="00172A27"/>
    <w:rsid w:val="00173C4C"/>
    <w:rsid w:val="00173CBF"/>
    <w:rsid w:val="001758AD"/>
    <w:rsid w:val="001905D8"/>
    <w:rsid w:val="001A0375"/>
    <w:rsid w:val="001A5C76"/>
    <w:rsid w:val="001B2E7F"/>
    <w:rsid w:val="001B521D"/>
    <w:rsid w:val="001C11AA"/>
    <w:rsid w:val="001C2EF2"/>
    <w:rsid w:val="001C6605"/>
    <w:rsid w:val="001C70B5"/>
    <w:rsid w:val="001D0E58"/>
    <w:rsid w:val="001E3E44"/>
    <w:rsid w:val="00210449"/>
    <w:rsid w:val="00215A54"/>
    <w:rsid w:val="00223AFA"/>
    <w:rsid w:val="00243730"/>
    <w:rsid w:val="00245817"/>
    <w:rsid w:val="00255A5F"/>
    <w:rsid w:val="0025694B"/>
    <w:rsid w:val="00274BF9"/>
    <w:rsid w:val="00280CAB"/>
    <w:rsid w:val="002839CD"/>
    <w:rsid w:val="002925B0"/>
    <w:rsid w:val="002C755B"/>
    <w:rsid w:val="002F3B87"/>
    <w:rsid w:val="00314C94"/>
    <w:rsid w:val="0033238B"/>
    <w:rsid w:val="00342694"/>
    <w:rsid w:val="00347105"/>
    <w:rsid w:val="00366FCF"/>
    <w:rsid w:val="003767A6"/>
    <w:rsid w:val="00382EE0"/>
    <w:rsid w:val="0038578D"/>
    <w:rsid w:val="003B39BC"/>
    <w:rsid w:val="003C0AF4"/>
    <w:rsid w:val="003C1CF4"/>
    <w:rsid w:val="003C63AB"/>
    <w:rsid w:val="003C7FA7"/>
    <w:rsid w:val="003D3F33"/>
    <w:rsid w:val="00400F93"/>
    <w:rsid w:val="004105DA"/>
    <w:rsid w:val="004200E3"/>
    <w:rsid w:val="0042033A"/>
    <w:rsid w:val="00445EAF"/>
    <w:rsid w:val="004759B9"/>
    <w:rsid w:val="00485360"/>
    <w:rsid w:val="00487A88"/>
    <w:rsid w:val="00493874"/>
    <w:rsid w:val="004A3785"/>
    <w:rsid w:val="004A45A9"/>
    <w:rsid w:val="004C1A6A"/>
    <w:rsid w:val="004C1FEF"/>
    <w:rsid w:val="004D2BAC"/>
    <w:rsid w:val="004E1C49"/>
    <w:rsid w:val="004E4692"/>
    <w:rsid w:val="00541A53"/>
    <w:rsid w:val="00544F38"/>
    <w:rsid w:val="00574888"/>
    <w:rsid w:val="005801B8"/>
    <w:rsid w:val="005B1DCD"/>
    <w:rsid w:val="005B4C1A"/>
    <w:rsid w:val="005B578C"/>
    <w:rsid w:val="005C18F9"/>
    <w:rsid w:val="005C5E32"/>
    <w:rsid w:val="005F5FF4"/>
    <w:rsid w:val="0060060A"/>
    <w:rsid w:val="00620B78"/>
    <w:rsid w:val="00640E10"/>
    <w:rsid w:val="00645646"/>
    <w:rsid w:val="006521F0"/>
    <w:rsid w:val="00665A31"/>
    <w:rsid w:val="00674F90"/>
    <w:rsid w:val="00683347"/>
    <w:rsid w:val="00691BB2"/>
    <w:rsid w:val="006B7A2E"/>
    <w:rsid w:val="006D12DA"/>
    <w:rsid w:val="006D2B52"/>
    <w:rsid w:val="006E3201"/>
    <w:rsid w:val="0070033A"/>
    <w:rsid w:val="00706ED8"/>
    <w:rsid w:val="00712DDA"/>
    <w:rsid w:val="0071693A"/>
    <w:rsid w:val="00716A2F"/>
    <w:rsid w:val="00726C60"/>
    <w:rsid w:val="007501E1"/>
    <w:rsid w:val="007546C9"/>
    <w:rsid w:val="007852CF"/>
    <w:rsid w:val="0078749A"/>
    <w:rsid w:val="007A2F69"/>
    <w:rsid w:val="007A3668"/>
    <w:rsid w:val="007B26AA"/>
    <w:rsid w:val="007B5E19"/>
    <w:rsid w:val="007C5698"/>
    <w:rsid w:val="007E46F3"/>
    <w:rsid w:val="007E7997"/>
    <w:rsid w:val="008013B2"/>
    <w:rsid w:val="00801C61"/>
    <w:rsid w:val="00805004"/>
    <w:rsid w:val="0083101D"/>
    <w:rsid w:val="008315A1"/>
    <w:rsid w:val="00863D5D"/>
    <w:rsid w:val="008676E9"/>
    <w:rsid w:val="00873860"/>
    <w:rsid w:val="00875E0B"/>
    <w:rsid w:val="008939BB"/>
    <w:rsid w:val="00895E29"/>
    <w:rsid w:val="008A17C8"/>
    <w:rsid w:val="008B5158"/>
    <w:rsid w:val="008D04C4"/>
    <w:rsid w:val="008D7C97"/>
    <w:rsid w:val="008E3289"/>
    <w:rsid w:val="008E6F9C"/>
    <w:rsid w:val="00903054"/>
    <w:rsid w:val="00913682"/>
    <w:rsid w:val="00923892"/>
    <w:rsid w:val="00927078"/>
    <w:rsid w:val="00942C1A"/>
    <w:rsid w:val="009467E3"/>
    <w:rsid w:val="009625B4"/>
    <w:rsid w:val="00966B99"/>
    <w:rsid w:val="00986118"/>
    <w:rsid w:val="009901B5"/>
    <w:rsid w:val="009A148C"/>
    <w:rsid w:val="009A73BE"/>
    <w:rsid w:val="009C7F34"/>
    <w:rsid w:val="009D6C21"/>
    <w:rsid w:val="009E39FD"/>
    <w:rsid w:val="009F4379"/>
    <w:rsid w:val="00A20E0A"/>
    <w:rsid w:val="00A238F6"/>
    <w:rsid w:val="00A4023F"/>
    <w:rsid w:val="00A735DA"/>
    <w:rsid w:val="00A758AE"/>
    <w:rsid w:val="00A762E1"/>
    <w:rsid w:val="00A870B5"/>
    <w:rsid w:val="00A87D04"/>
    <w:rsid w:val="00AA375A"/>
    <w:rsid w:val="00AB06EA"/>
    <w:rsid w:val="00AE3382"/>
    <w:rsid w:val="00B20AE6"/>
    <w:rsid w:val="00B2200A"/>
    <w:rsid w:val="00B34B71"/>
    <w:rsid w:val="00B41730"/>
    <w:rsid w:val="00B562C2"/>
    <w:rsid w:val="00B60CEA"/>
    <w:rsid w:val="00B6106B"/>
    <w:rsid w:val="00B76AA1"/>
    <w:rsid w:val="00BC08EC"/>
    <w:rsid w:val="00BD4120"/>
    <w:rsid w:val="00BF7353"/>
    <w:rsid w:val="00C10A97"/>
    <w:rsid w:val="00C14EFF"/>
    <w:rsid w:val="00C26292"/>
    <w:rsid w:val="00C31180"/>
    <w:rsid w:val="00C31C52"/>
    <w:rsid w:val="00C51A3A"/>
    <w:rsid w:val="00C52CF8"/>
    <w:rsid w:val="00C55D6C"/>
    <w:rsid w:val="00C6715C"/>
    <w:rsid w:val="00C675CF"/>
    <w:rsid w:val="00C9038E"/>
    <w:rsid w:val="00CA13A3"/>
    <w:rsid w:val="00CB2CDC"/>
    <w:rsid w:val="00CE1180"/>
    <w:rsid w:val="00CE5C1A"/>
    <w:rsid w:val="00CF4173"/>
    <w:rsid w:val="00D34207"/>
    <w:rsid w:val="00D57DCD"/>
    <w:rsid w:val="00D62FA5"/>
    <w:rsid w:val="00D81EAA"/>
    <w:rsid w:val="00D866B8"/>
    <w:rsid w:val="00D944CE"/>
    <w:rsid w:val="00D96667"/>
    <w:rsid w:val="00DE4F4F"/>
    <w:rsid w:val="00DF509C"/>
    <w:rsid w:val="00E022F1"/>
    <w:rsid w:val="00E1120F"/>
    <w:rsid w:val="00E25796"/>
    <w:rsid w:val="00E56199"/>
    <w:rsid w:val="00E61B6D"/>
    <w:rsid w:val="00E709C6"/>
    <w:rsid w:val="00E87A35"/>
    <w:rsid w:val="00E87AF1"/>
    <w:rsid w:val="00E90FD0"/>
    <w:rsid w:val="00E96A5A"/>
    <w:rsid w:val="00EA463E"/>
    <w:rsid w:val="00EB35E1"/>
    <w:rsid w:val="00EB6490"/>
    <w:rsid w:val="00EB678F"/>
    <w:rsid w:val="00EE4998"/>
    <w:rsid w:val="00EF2DF5"/>
    <w:rsid w:val="00F02EAE"/>
    <w:rsid w:val="00F04145"/>
    <w:rsid w:val="00F07786"/>
    <w:rsid w:val="00F27203"/>
    <w:rsid w:val="00F416F4"/>
    <w:rsid w:val="00F47FE2"/>
    <w:rsid w:val="00F51466"/>
    <w:rsid w:val="00F71A3E"/>
    <w:rsid w:val="00FE35DC"/>
    <w:rsid w:val="00FF1B26"/>
    <w:rsid w:val="012B5C12"/>
    <w:rsid w:val="01541287"/>
    <w:rsid w:val="016E6A64"/>
    <w:rsid w:val="018F52CB"/>
    <w:rsid w:val="01FF2CC4"/>
    <w:rsid w:val="022B55EB"/>
    <w:rsid w:val="023A2572"/>
    <w:rsid w:val="02610A25"/>
    <w:rsid w:val="026704F1"/>
    <w:rsid w:val="02982FFD"/>
    <w:rsid w:val="02D81974"/>
    <w:rsid w:val="031646D2"/>
    <w:rsid w:val="033414DB"/>
    <w:rsid w:val="034C6E41"/>
    <w:rsid w:val="03886A90"/>
    <w:rsid w:val="038F11A2"/>
    <w:rsid w:val="03CB6EA3"/>
    <w:rsid w:val="03D22C7B"/>
    <w:rsid w:val="03DA33C0"/>
    <w:rsid w:val="042A13CF"/>
    <w:rsid w:val="0468480B"/>
    <w:rsid w:val="047820EA"/>
    <w:rsid w:val="05187999"/>
    <w:rsid w:val="05387ECA"/>
    <w:rsid w:val="054D2E98"/>
    <w:rsid w:val="058202DC"/>
    <w:rsid w:val="059C26CF"/>
    <w:rsid w:val="05C51E73"/>
    <w:rsid w:val="05DC5310"/>
    <w:rsid w:val="0612610E"/>
    <w:rsid w:val="06354B90"/>
    <w:rsid w:val="063F4B76"/>
    <w:rsid w:val="06AE1539"/>
    <w:rsid w:val="06CC5019"/>
    <w:rsid w:val="06F41689"/>
    <w:rsid w:val="07140325"/>
    <w:rsid w:val="074E6B5D"/>
    <w:rsid w:val="077B07BA"/>
    <w:rsid w:val="079A6957"/>
    <w:rsid w:val="07A70040"/>
    <w:rsid w:val="07F47C8D"/>
    <w:rsid w:val="07FC2759"/>
    <w:rsid w:val="08006815"/>
    <w:rsid w:val="080A3E1C"/>
    <w:rsid w:val="084607C4"/>
    <w:rsid w:val="089D63E7"/>
    <w:rsid w:val="08BB6C88"/>
    <w:rsid w:val="08D244A8"/>
    <w:rsid w:val="090B21AC"/>
    <w:rsid w:val="091F0867"/>
    <w:rsid w:val="093C424D"/>
    <w:rsid w:val="094309AF"/>
    <w:rsid w:val="097E6871"/>
    <w:rsid w:val="09920DB0"/>
    <w:rsid w:val="09A5445D"/>
    <w:rsid w:val="09B9511C"/>
    <w:rsid w:val="09EA2B0B"/>
    <w:rsid w:val="0A107AFC"/>
    <w:rsid w:val="0A341D54"/>
    <w:rsid w:val="0A3B36F5"/>
    <w:rsid w:val="0A8E73F1"/>
    <w:rsid w:val="0AB2571D"/>
    <w:rsid w:val="0AB652DA"/>
    <w:rsid w:val="0ABA3A59"/>
    <w:rsid w:val="0AC14DAE"/>
    <w:rsid w:val="0AE8785D"/>
    <w:rsid w:val="0B1D27B6"/>
    <w:rsid w:val="0B3A50E9"/>
    <w:rsid w:val="0B43606F"/>
    <w:rsid w:val="0B5663B4"/>
    <w:rsid w:val="0B6F5DB2"/>
    <w:rsid w:val="0B7863DB"/>
    <w:rsid w:val="0B8F3A0C"/>
    <w:rsid w:val="0B9D355B"/>
    <w:rsid w:val="0BCE7DAA"/>
    <w:rsid w:val="0BD3243A"/>
    <w:rsid w:val="0C142450"/>
    <w:rsid w:val="0C3B6EE3"/>
    <w:rsid w:val="0C4D0EBB"/>
    <w:rsid w:val="0C527C99"/>
    <w:rsid w:val="0C570C5F"/>
    <w:rsid w:val="0C747B49"/>
    <w:rsid w:val="0C752BE0"/>
    <w:rsid w:val="0C9C4B44"/>
    <w:rsid w:val="0CC12870"/>
    <w:rsid w:val="0CDD2D53"/>
    <w:rsid w:val="0D162709"/>
    <w:rsid w:val="0D245CFE"/>
    <w:rsid w:val="0D25762A"/>
    <w:rsid w:val="0D650680"/>
    <w:rsid w:val="0D953BA0"/>
    <w:rsid w:val="0E1B195D"/>
    <w:rsid w:val="0E400E48"/>
    <w:rsid w:val="0ED434F5"/>
    <w:rsid w:val="0EE53B0D"/>
    <w:rsid w:val="0F045303"/>
    <w:rsid w:val="0F16295D"/>
    <w:rsid w:val="0F2575D3"/>
    <w:rsid w:val="0F275FA3"/>
    <w:rsid w:val="0F5060DA"/>
    <w:rsid w:val="0F707EAE"/>
    <w:rsid w:val="0F95263D"/>
    <w:rsid w:val="0F956269"/>
    <w:rsid w:val="0F9A2890"/>
    <w:rsid w:val="0FC42AB2"/>
    <w:rsid w:val="0FCA16C2"/>
    <w:rsid w:val="104957CA"/>
    <w:rsid w:val="10980827"/>
    <w:rsid w:val="10A60D90"/>
    <w:rsid w:val="10D54448"/>
    <w:rsid w:val="10DD1069"/>
    <w:rsid w:val="110C3A1E"/>
    <w:rsid w:val="11366CE3"/>
    <w:rsid w:val="113D4D5F"/>
    <w:rsid w:val="11521E15"/>
    <w:rsid w:val="11564743"/>
    <w:rsid w:val="117A4938"/>
    <w:rsid w:val="118076A0"/>
    <w:rsid w:val="11AA51F6"/>
    <w:rsid w:val="11D1448A"/>
    <w:rsid w:val="121A72C4"/>
    <w:rsid w:val="12224E20"/>
    <w:rsid w:val="12793292"/>
    <w:rsid w:val="12B332CD"/>
    <w:rsid w:val="12B43EAF"/>
    <w:rsid w:val="12C82534"/>
    <w:rsid w:val="12D66E91"/>
    <w:rsid w:val="12F71501"/>
    <w:rsid w:val="13104DF0"/>
    <w:rsid w:val="131778C3"/>
    <w:rsid w:val="131E0669"/>
    <w:rsid w:val="133203CD"/>
    <w:rsid w:val="13737382"/>
    <w:rsid w:val="13825E33"/>
    <w:rsid w:val="13A30114"/>
    <w:rsid w:val="13A9115B"/>
    <w:rsid w:val="13AF3B46"/>
    <w:rsid w:val="13E25B79"/>
    <w:rsid w:val="14197EEC"/>
    <w:rsid w:val="141D3733"/>
    <w:rsid w:val="144569B0"/>
    <w:rsid w:val="1449233B"/>
    <w:rsid w:val="148256C6"/>
    <w:rsid w:val="148B578A"/>
    <w:rsid w:val="14931E55"/>
    <w:rsid w:val="14AE7E8C"/>
    <w:rsid w:val="14B05FC8"/>
    <w:rsid w:val="14CB4227"/>
    <w:rsid w:val="14D22406"/>
    <w:rsid w:val="150A1D36"/>
    <w:rsid w:val="150B1B20"/>
    <w:rsid w:val="152902FA"/>
    <w:rsid w:val="156D1AE3"/>
    <w:rsid w:val="15722C66"/>
    <w:rsid w:val="158E69C5"/>
    <w:rsid w:val="15AC15B0"/>
    <w:rsid w:val="15B94777"/>
    <w:rsid w:val="160D099B"/>
    <w:rsid w:val="165E4538"/>
    <w:rsid w:val="1669478E"/>
    <w:rsid w:val="16877C69"/>
    <w:rsid w:val="16BC1BA9"/>
    <w:rsid w:val="16E2205D"/>
    <w:rsid w:val="16EE0B33"/>
    <w:rsid w:val="170B2936"/>
    <w:rsid w:val="17BC638F"/>
    <w:rsid w:val="17F46A26"/>
    <w:rsid w:val="1802514D"/>
    <w:rsid w:val="180513A4"/>
    <w:rsid w:val="180E23E5"/>
    <w:rsid w:val="181C3669"/>
    <w:rsid w:val="183259DB"/>
    <w:rsid w:val="18351DF5"/>
    <w:rsid w:val="185C54ED"/>
    <w:rsid w:val="18900A1F"/>
    <w:rsid w:val="189A1D2D"/>
    <w:rsid w:val="18B004D2"/>
    <w:rsid w:val="18D146C8"/>
    <w:rsid w:val="18D77B2C"/>
    <w:rsid w:val="19197A55"/>
    <w:rsid w:val="191C7B6F"/>
    <w:rsid w:val="193627CE"/>
    <w:rsid w:val="193D2486"/>
    <w:rsid w:val="197313FD"/>
    <w:rsid w:val="19A27813"/>
    <w:rsid w:val="19A44CF9"/>
    <w:rsid w:val="19B62055"/>
    <w:rsid w:val="19B7412D"/>
    <w:rsid w:val="19BA38BC"/>
    <w:rsid w:val="1A145DAD"/>
    <w:rsid w:val="1A427151"/>
    <w:rsid w:val="1A63253D"/>
    <w:rsid w:val="1A947AA6"/>
    <w:rsid w:val="1A9E5F0A"/>
    <w:rsid w:val="1AB15758"/>
    <w:rsid w:val="1AC530EA"/>
    <w:rsid w:val="1AF554C1"/>
    <w:rsid w:val="1B100797"/>
    <w:rsid w:val="1B9204B8"/>
    <w:rsid w:val="1B9B6681"/>
    <w:rsid w:val="1BAD70CA"/>
    <w:rsid w:val="1C287B68"/>
    <w:rsid w:val="1C4F0EFC"/>
    <w:rsid w:val="1C984EE8"/>
    <w:rsid w:val="1CC5072A"/>
    <w:rsid w:val="1CC86CD8"/>
    <w:rsid w:val="1CD06C3F"/>
    <w:rsid w:val="1CFC62AA"/>
    <w:rsid w:val="1DE0746C"/>
    <w:rsid w:val="1E0A6632"/>
    <w:rsid w:val="1E2C0141"/>
    <w:rsid w:val="1EDA202C"/>
    <w:rsid w:val="1F370175"/>
    <w:rsid w:val="1F692DA0"/>
    <w:rsid w:val="1F8938D2"/>
    <w:rsid w:val="1F9B139D"/>
    <w:rsid w:val="1FB8449B"/>
    <w:rsid w:val="1FED3477"/>
    <w:rsid w:val="1FEF54D4"/>
    <w:rsid w:val="1FF041B3"/>
    <w:rsid w:val="1FF33F38"/>
    <w:rsid w:val="201C60D1"/>
    <w:rsid w:val="20215BEB"/>
    <w:rsid w:val="202D792D"/>
    <w:rsid w:val="2050604D"/>
    <w:rsid w:val="20765EAF"/>
    <w:rsid w:val="2086408C"/>
    <w:rsid w:val="20CB60E5"/>
    <w:rsid w:val="20F5147B"/>
    <w:rsid w:val="21443153"/>
    <w:rsid w:val="21A1511C"/>
    <w:rsid w:val="21B01C18"/>
    <w:rsid w:val="21D17878"/>
    <w:rsid w:val="21EA0D88"/>
    <w:rsid w:val="220B7C3B"/>
    <w:rsid w:val="22105747"/>
    <w:rsid w:val="22284AC5"/>
    <w:rsid w:val="22D30267"/>
    <w:rsid w:val="22D563FC"/>
    <w:rsid w:val="22D766C4"/>
    <w:rsid w:val="22E920A8"/>
    <w:rsid w:val="230147BE"/>
    <w:rsid w:val="232715C3"/>
    <w:rsid w:val="234C2C81"/>
    <w:rsid w:val="237D2E0D"/>
    <w:rsid w:val="238A7D90"/>
    <w:rsid w:val="23AC7DBD"/>
    <w:rsid w:val="23B62477"/>
    <w:rsid w:val="23BB5845"/>
    <w:rsid w:val="246C5CB2"/>
    <w:rsid w:val="24A26FCB"/>
    <w:rsid w:val="24C62E27"/>
    <w:rsid w:val="24DF49D0"/>
    <w:rsid w:val="24E41260"/>
    <w:rsid w:val="24EF2796"/>
    <w:rsid w:val="25205424"/>
    <w:rsid w:val="25250BB9"/>
    <w:rsid w:val="252A598D"/>
    <w:rsid w:val="254D4AFB"/>
    <w:rsid w:val="257274B9"/>
    <w:rsid w:val="258B383C"/>
    <w:rsid w:val="25964253"/>
    <w:rsid w:val="2613381C"/>
    <w:rsid w:val="26537743"/>
    <w:rsid w:val="266D6D5E"/>
    <w:rsid w:val="26A404A9"/>
    <w:rsid w:val="26A86679"/>
    <w:rsid w:val="26B33768"/>
    <w:rsid w:val="26CE10F9"/>
    <w:rsid w:val="276A69F2"/>
    <w:rsid w:val="27B61629"/>
    <w:rsid w:val="27E240BC"/>
    <w:rsid w:val="27EB1479"/>
    <w:rsid w:val="28375B92"/>
    <w:rsid w:val="28841280"/>
    <w:rsid w:val="28C44E08"/>
    <w:rsid w:val="28C8622D"/>
    <w:rsid w:val="28E22D99"/>
    <w:rsid w:val="28E57CFA"/>
    <w:rsid w:val="292024ED"/>
    <w:rsid w:val="292F7B3E"/>
    <w:rsid w:val="294E7C83"/>
    <w:rsid w:val="297835DF"/>
    <w:rsid w:val="298D75B2"/>
    <w:rsid w:val="29A11B13"/>
    <w:rsid w:val="29C27F89"/>
    <w:rsid w:val="29E52F20"/>
    <w:rsid w:val="29F35C36"/>
    <w:rsid w:val="29FE48A2"/>
    <w:rsid w:val="2A0F28DC"/>
    <w:rsid w:val="2A193C1E"/>
    <w:rsid w:val="2A24600D"/>
    <w:rsid w:val="2A3322EC"/>
    <w:rsid w:val="2A4E2046"/>
    <w:rsid w:val="2A8820F8"/>
    <w:rsid w:val="2AFE4B19"/>
    <w:rsid w:val="2B09446C"/>
    <w:rsid w:val="2B542CFD"/>
    <w:rsid w:val="2B597049"/>
    <w:rsid w:val="2B6F0B2B"/>
    <w:rsid w:val="2BA151BE"/>
    <w:rsid w:val="2BBE150F"/>
    <w:rsid w:val="2C813351"/>
    <w:rsid w:val="2C8213ED"/>
    <w:rsid w:val="2CC87CCD"/>
    <w:rsid w:val="2CD44ED2"/>
    <w:rsid w:val="2CD51E85"/>
    <w:rsid w:val="2D0216DB"/>
    <w:rsid w:val="2D045E31"/>
    <w:rsid w:val="2D117637"/>
    <w:rsid w:val="2D3D0C8C"/>
    <w:rsid w:val="2D7E2021"/>
    <w:rsid w:val="2E6F3616"/>
    <w:rsid w:val="2E7D0744"/>
    <w:rsid w:val="2E97180F"/>
    <w:rsid w:val="2EBB773D"/>
    <w:rsid w:val="2EF47A18"/>
    <w:rsid w:val="2F272596"/>
    <w:rsid w:val="2F3702EC"/>
    <w:rsid w:val="2F517FE7"/>
    <w:rsid w:val="2F7312C8"/>
    <w:rsid w:val="2FA40A66"/>
    <w:rsid w:val="2FAD5A6E"/>
    <w:rsid w:val="2FD03A0D"/>
    <w:rsid w:val="2FF327C8"/>
    <w:rsid w:val="300706DE"/>
    <w:rsid w:val="30265BBA"/>
    <w:rsid w:val="30286772"/>
    <w:rsid w:val="309A3846"/>
    <w:rsid w:val="30A42884"/>
    <w:rsid w:val="30AB16C4"/>
    <w:rsid w:val="30B314C5"/>
    <w:rsid w:val="30CB65F5"/>
    <w:rsid w:val="30CD1ECF"/>
    <w:rsid w:val="30E455CF"/>
    <w:rsid w:val="30E93409"/>
    <w:rsid w:val="30FB7239"/>
    <w:rsid w:val="30FC62D2"/>
    <w:rsid w:val="31454E99"/>
    <w:rsid w:val="31BE6BB0"/>
    <w:rsid w:val="323205BB"/>
    <w:rsid w:val="32BD226C"/>
    <w:rsid w:val="338776A9"/>
    <w:rsid w:val="33B82530"/>
    <w:rsid w:val="33C97AB2"/>
    <w:rsid w:val="34086582"/>
    <w:rsid w:val="34534DD2"/>
    <w:rsid w:val="34624E78"/>
    <w:rsid w:val="347A6CDA"/>
    <w:rsid w:val="348E6C6D"/>
    <w:rsid w:val="349E4D59"/>
    <w:rsid w:val="34AC40BF"/>
    <w:rsid w:val="34BE1741"/>
    <w:rsid w:val="34F74ED3"/>
    <w:rsid w:val="35125B54"/>
    <w:rsid w:val="352617E5"/>
    <w:rsid w:val="35483A7C"/>
    <w:rsid w:val="355338AE"/>
    <w:rsid w:val="358D569A"/>
    <w:rsid w:val="35CD2578"/>
    <w:rsid w:val="35D012EB"/>
    <w:rsid w:val="35D13F79"/>
    <w:rsid w:val="35D31CC0"/>
    <w:rsid w:val="35D93DE0"/>
    <w:rsid w:val="35E70196"/>
    <w:rsid w:val="35FF0B45"/>
    <w:rsid w:val="3621534E"/>
    <w:rsid w:val="363C0A89"/>
    <w:rsid w:val="36402AD5"/>
    <w:rsid w:val="369040B0"/>
    <w:rsid w:val="36927FE6"/>
    <w:rsid w:val="370276D6"/>
    <w:rsid w:val="375249C3"/>
    <w:rsid w:val="37780128"/>
    <w:rsid w:val="379339EA"/>
    <w:rsid w:val="379B6AD7"/>
    <w:rsid w:val="37A548EB"/>
    <w:rsid w:val="3816529E"/>
    <w:rsid w:val="3818493A"/>
    <w:rsid w:val="384C71EC"/>
    <w:rsid w:val="3862474B"/>
    <w:rsid w:val="388A72CA"/>
    <w:rsid w:val="389D17EE"/>
    <w:rsid w:val="38E873DF"/>
    <w:rsid w:val="38F97885"/>
    <w:rsid w:val="392C1B16"/>
    <w:rsid w:val="394A1CC0"/>
    <w:rsid w:val="396A740D"/>
    <w:rsid w:val="398712D6"/>
    <w:rsid w:val="398F5CF6"/>
    <w:rsid w:val="39AE3C5B"/>
    <w:rsid w:val="39BF1D2F"/>
    <w:rsid w:val="39C553D5"/>
    <w:rsid w:val="39F3271A"/>
    <w:rsid w:val="3A106AEE"/>
    <w:rsid w:val="3A1367E2"/>
    <w:rsid w:val="3A324916"/>
    <w:rsid w:val="3A4234A1"/>
    <w:rsid w:val="3A506919"/>
    <w:rsid w:val="3A75494F"/>
    <w:rsid w:val="3ADF6E91"/>
    <w:rsid w:val="3B046B07"/>
    <w:rsid w:val="3B066C27"/>
    <w:rsid w:val="3B142F73"/>
    <w:rsid w:val="3B854D8E"/>
    <w:rsid w:val="3B882AAB"/>
    <w:rsid w:val="3BE043A8"/>
    <w:rsid w:val="3BEA42EB"/>
    <w:rsid w:val="3C530F3F"/>
    <w:rsid w:val="3C637290"/>
    <w:rsid w:val="3CB35362"/>
    <w:rsid w:val="3CBC5414"/>
    <w:rsid w:val="3CEE4AE1"/>
    <w:rsid w:val="3CFD1A66"/>
    <w:rsid w:val="3D012FF0"/>
    <w:rsid w:val="3D171DBE"/>
    <w:rsid w:val="3D566B14"/>
    <w:rsid w:val="3D7755B8"/>
    <w:rsid w:val="3D975D88"/>
    <w:rsid w:val="3D98307D"/>
    <w:rsid w:val="3D986515"/>
    <w:rsid w:val="3DBB36F6"/>
    <w:rsid w:val="3E0D4C9B"/>
    <w:rsid w:val="3E387996"/>
    <w:rsid w:val="3E3C56F0"/>
    <w:rsid w:val="3E5C3E39"/>
    <w:rsid w:val="3E6163B0"/>
    <w:rsid w:val="3E9E5C6A"/>
    <w:rsid w:val="3EB83882"/>
    <w:rsid w:val="3F464F95"/>
    <w:rsid w:val="3F4A170B"/>
    <w:rsid w:val="3F5D7BA0"/>
    <w:rsid w:val="3F6C3B28"/>
    <w:rsid w:val="3F7C7853"/>
    <w:rsid w:val="3FAE4079"/>
    <w:rsid w:val="401D0250"/>
    <w:rsid w:val="40256142"/>
    <w:rsid w:val="406A4E0B"/>
    <w:rsid w:val="40A650D2"/>
    <w:rsid w:val="40E86291"/>
    <w:rsid w:val="4117092B"/>
    <w:rsid w:val="41A07E33"/>
    <w:rsid w:val="41E40E7E"/>
    <w:rsid w:val="423A128D"/>
    <w:rsid w:val="42960365"/>
    <w:rsid w:val="42A556B5"/>
    <w:rsid w:val="435D1F13"/>
    <w:rsid w:val="4379421C"/>
    <w:rsid w:val="43794748"/>
    <w:rsid w:val="437A12E7"/>
    <w:rsid w:val="43B83C86"/>
    <w:rsid w:val="43C94BCC"/>
    <w:rsid w:val="43DE10AA"/>
    <w:rsid w:val="43E74DC5"/>
    <w:rsid w:val="43F12E37"/>
    <w:rsid w:val="43F55901"/>
    <w:rsid w:val="43FB5128"/>
    <w:rsid w:val="445115AC"/>
    <w:rsid w:val="448919A2"/>
    <w:rsid w:val="449F1827"/>
    <w:rsid w:val="44AA7966"/>
    <w:rsid w:val="44C6031F"/>
    <w:rsid w:val="457263CD"/>
    <w:rsid w:val="45BA36BD"/>
    <w:rsid w:val="45BB3EB8"/>
    <w:rsid w:val="45C061D6"/>
    <w:rsid w:val="45E269D3"/>
    <w:rsid w:val="45FD78C7"/>
    <w:rsid w:val="46143715"/>
    <w:rsid w:val="4628541D"/>
    <w:rsid w:val="466F0832"/>
    <w:rsid w:val="467A042C"/>
    <w:rsid w:val="467F35E0"/>
    <w:rsid w:val="46B96EEC"/>
    <w:rsid w:val="46CA39F9"/>
    <w:rsid w:val="46CA405E"/>
    <w:rsid w:val="46E61B61"/>
    <w:rsid w:val="47097F61"/>
    <w:rsid w:val="47402699"/>
    <w:rsid w:val="475C7297"/>
    <w:rsid w:val="476F1912"/>
    <w:rsid w:val="47DD6954"/>
    <w:rsid w:val="48727FD3"/>
    <w:rsid w:val="487A113F"/>
    <w:rsid w:val="4884401E"/>
    <w:rsid w:val="48851A5F"/>
    <w:rsid w:val="49461C57"/>
    <w:rsid w:val="499003F2"/>
    <w:rsid w:val="4A1407A3"/>
    <w:rsid w:val="4A397FEC"/>
    <w:rsid w:val="4A7A495F"/>
    <w:rsid w:val="4AA37D17"/>
    <w:rsid w:val="4AD1133C"/>
    <w:rsid w:val="4AED0613"/>
    <w:rsid w:val="4AF01CAB"/>
    <w:rsid w:val="4B0B3AC9"/>
    <w:rsid w:val="4B1912C6"/>
    <w:rsid w:val="4B2F07ED"/>
    <w:rsid w:val="4B630C74"/>
    <w:rsid w:val="4B9B041C"/>
    <w:rsid w:val="4BCA480D"/>
    <w:rsid w:val="4BE818FA"/>
    <w:rsid w:val="4BF00690"/>
    <w:rsid w:val="4C0940B0"/>
    <w:rsid w:val="4C11719B"/>
    <w:rsid w:val="4C431ECB"/>
    <w:rsid w:val="4C9E1C5B"/>
    <w:rsid w:val="4CA42B81"/>
    <w:rsid w:val="4CBB2CCE"/>
    <w:rsid w:val="4CFF27E8"/>
    <w:rsid w:val="4D211BBF"/>
    <w:rsid w:val="4DC41B49"/>
    <w:rsid w:val="4DDD58E5"/>
    <w:rsid w:val="4E42531F"/>
    <w:rsid w:val="4E5C3DB1"/>
    <w:rsid w:val="4E6E0585"/>
    <w:rsid w:val="4E8C4BD2"/>
    <w:rsid w:val="4EA327D7"/>
    <w:rsid w:val="4EF82B8F"/>
    <w:rsid w:val="4EFA4807"/>
    <w:rsid w:val="4F0F747D"/>
    <w:rsid w:val="4F120D1E"/>
    <w:rsid w:val="4F2C7A9E"/>
    <w:rsid w:val="4F6F655D"/>
    <w:rsid w:val="4FCD0D2A"/>
    <w:rsid w:val="501F5E35"/>
    <w:rsid w:val="50203D29"/>
    <w:rsid w:val="5060514F"/>
    <w:rsid w:val="508563EE"/>
    <w:rsid w:val="508C0078"/>
    <w:rsid w:val="50C14567"/>
    <w:rsid w:val="50D22F32"/>
    <w:rsid w:val="50E9416C"/>
    <w:rsid w:val="50F422EF"/>
    <w:rsid w:val="50FE043E"/>
    <w:rsid w:val="510650EB"/>
    <w:rsid w:val="512A5714"/>
    <w:rsid w:val="515176A2"/>
    <w:rsid w:val="516809B2"/>
    <w:rsid w:val="516904FA"/>
    <w:rsid w:val="51736A67"/>
    <w:rsid w:val="51BD354A"/>
    <w:rsid w:val="51F36142"/>
    <w:rsid w:val="520843D2"/>
    <w:rsid w:val="5224304F"/>
    <w:rsid w:val="52316BEF"/>
    <w:rsid w:val="52325304"/>
    <w:rsid w:val="52413CDF"/>
    <w:rsid w:val="526C06C3"/>
    <w:rsid w:val="529C1D3A"/>
    <w:rsid w:val="53023764"/>
    <w:rsid w:val="53081882"/>
    <w:rsid w:val="53510C30"/>
    <w:rsid w:val="537070D7"/>
    <w:rsid w:val="5374606B"/>
    <w:rsid w:val="5381416F"/>
    <w:rsid w:val="53C307BF"/>
    <w:rsid w:val="53FC1CAE"/>
    <w:rsid w:val="54476672"/>
    <w:rsid w:val="545158E4"/>
    <w:rsid w:val="54B809E6"/>
    <w:rsid w:val="54CF0AD9"/>
    <w:rsid w:val="54F755AB"/>
    <w:rsid w:val="550117B4"/>
    <w:rsid w:val="553D4D85"/>
    <w:rsid w:val="55772F7D"/>
    <w:rsid w:val="55936BEB"/>
    <w:rsid w:val="55961D0E"/>
    <w:rsid w:val="55B12C66"/>
    <w:rsid w:val="55EE37A5"/>
    <w:rsid w:val="55EF5157"/>
    <w:rsid w:val="561E31FB"/>
    <w:rsid w:val="56381EF6"/>
    <w:rsid w:val="565577F9"/>
    <w:rsid w:val="567F12A4"/>
    <w:rsid w:val="569420D9"/>
    <w:rsid w:val="56A53918"/>
    <w:rsid w:val="56B84917"/>
    <w:rsid w:val="56C740B3"/>
    <w:rsid w:val="57650FD3"/>
    <w:rsid w:val="57AC7B7D"/>
    <w:rsid w:val="580C4CCC"/>
    <w:rsid w:val="58640F04"/>
    <w:rsid w:val="586B4C46"/>
    <w:rsid w:val="58810EAC"/>
    <w:rsid w:val="588E6B54"/>
    <w:rsid w:val="58A052FD"/>
    <w:rsid w:val="58B764A3"/>
    <w:rsid w:val="58D74F4A"/>
    <w:rsid w:val="58DC65F8"/>
    <w:rsid w:val="58E07CBB"/>
    <w:rsid w:val="58FC0F80"/>
    <w:rsid w:val="591257CE"/>
    <w:rsid w:val="593340F4"/>
    <w:rsid w:val="597B17CE"/>
    <w:rsid w:val="598D1217"/>
    <w:rsid w:val="59B231EB"/>
    <w:rsid w:val="59B501F6"/>
    <w:rsid w:val="59B63F00"/>
    <w:rsid w:val="5A313EC1"/>
    <w:rsid w:val="5A723BF0"/>
    <w:rsid w:val="5AD23DF5"/>
    <w:rsid w:val="5ADA403E"/>
    <w:rsid w:val="5B121E9B"/>
    <w:rsid w:val="5B357636"/>
    <w:rsid w:val="5B581335"/>
    <w:rsid w:val="5B7A10F7"/>
    <w:rsid w:val="5BD021AA"/>
    <w:rsid w:val="5C0461B5"/>
    <w:rsid w:val="5C151F37"/>
    <w:rsid w:val="5C1904FE"/>
    <w:rsid w:val="5C3754AC"/>
    <w:rsid w:val="5C3E446F"/>
    <w:rsid w:val="5C805673"/>
    <w:rsid w:val="5C8F5ED1"/>
    <w:rsid w:val="5CAC5490"/>
    <w:rsid w:val="5CAC7315"/>
    <w:rsid w:val="5CD17C2A"/>
    <w:rsid w:val="5CD61347"/>
    <w:rsid w:val="5CF35D6F"/>
    <w:rsid w:val="5CF52F29"/>
    <w:rsid w:val="5D2C16C1"/>
    <w:rsid w:val="5D39096A"/>
    <w:rsid w:val="5D487BDE"/>
    <w:rsid w:val="5DC639A9"/>
    <w:rsid w:val="5E191EEB"/>
    <w:rsid w:val="5E3345B8"/>
    <w:rsid w:val="5EA47D93"/>
    <w:rsid w:val="5ED05CBE"/>
    <w:rsid w:val="5EE8244A"/>
    <w:rsid w:val="5EF51D7B"/>
    <w:rsid w:val="5F093FB7"/>
    <w:rsid w:val="5F0D344E"/>
    <w:rsid w:val="5F2C6A42"/>
    <w:rsid w:val="5F565D68"/>
    <w:rsid w:val="5F6C607A"/>
    <w:rsid w:val="600955EA"/>
    <w:rsid w:val="60626BC9"/>
    <w:rsid w:val="608E3BBA"/>
    <w:rsid w:val="60D86A6F"/>
    <w:rsid w:val="60EA1779"/>
    <w:rsid w:val="61071F00"/>
    <w:rsid w:val="61A15ED8"/>
    <w:rsid w:val="61B3437C"/>
    <w:rsid w:val="61EB0D3C"/>
    <w:rsid w:val="61EC2074"/>
    <w:rsid w:val="61FF043B"/>
    <w:rsid w:val="624E6215"/>
    <w:rsid w:val="62765C01"/>
    <w:rsid w:val="62911C3C"/>
    <w:rsid w:val="62DD5279"/>
    <w:rsid w:val="62F16E70"/>
    <w:rsid w:val="63823D73"/>
    <w:rsid w:val="63974B7F"/>
    <w:rsid w:val="63E84A68"/>
    <w:rsid w:val="641B49B5"/>
    <w:rsid w:val="641C629E"/>
    <w:rsid w:val="643A5B47"/>
    <w:rsid w:val="64412F35"/>
    <w:rsid w:val="645A1DBD"/>
    <w:rsid w:val="647B5BE7"/>
    <w:rsid w:val="64907893"/>
    <w:rsid w:val="649753A1"/>
    <w:rsid w:val="64CE3444"/>
    <w:rsid w:val="650D25AF"/>
    <w:rsid w:val="65101E77"/>
    <w:rsid w:val="653E74DF"/>
    <w:rsid w:val="658F1276"/>
    <w:rsid w:val="65AD4413"/>
    <w:rsid w:val="662415A7"/>
    <w:rsid w:val="66F9110A"/>
    <w:rsid w:val="670F2E8A"/>
    <w:rsid w:val="6715798F"/>
    <w:rsid w:val="679715AA"/>
    <w:rsid w:val="67B90A33"/>
    <w:rsid w:val="67D07B05"/>
    <w:rsid w:val="68151FD4"/>
    <w:rsid w:val="681F120D"/>
    <w:rsid w:val="68442DC9"/>
    <w:rsid w:val="684575DA"/>
    <w:rsid w:val="684E499C"/>
    <w:rsid w:val="688C49F5"/>
    <w:rsid w:val="68926C88"/>
    <w:rsid w:val="68C1079B"/>
    <w:rsid w:val="68C305E7"/>
    <w:rsid w:val="68C6338F"/>
    <w:rsid w:val="68DB5239"/>
    <w:rsid w:val="68DE4F78"/>
    <w:rsid w:val="69326872"/>
    <w:rsid w:val="693A35B5"/>
    <w:rsid w:val="69681038"/>
    <w:rsid w:val="69C7285E"/>
    <w:rsid w:val="69F71FB6"/>
    <w:rsid w:val="6A64127C"/>
    <w:rsid w:val="6A7C60C8"/>
    <w:rsid w:val="6A905B6D"/>
    <w:rsid w:val="6AC26886"/>
    <w:rsid w:val="6AC9206A"/>
    <w:rsid w:val="6ACE16D9"/>
    <w:rsid w:val="6B010C46"/>
    <w:rsid w:val="6B310760"/>
    <w:rsid w:val="6B3A366A"/>
    <w:rsid w:val="6B707BEC"/>
    <w:rsid w:val="6B7A0050"/>
    <w:rsid w:val="6BE23C30"/>
    <w:rsid w:val="6C134034"/>
    <w:rsid w:val="6C317D5C"/>
    <w:rsid w:val="6C50079B"/>
    <w:rsid w:val="6C5A4141"/>
    <w:rsid w:val="6C8E74F7"/>
    <w:rsid w:val="6C8F30E6"/>
    <w:rsid w:val="6C906900"/>
    <w:rsid w:val="6CF65067"/>
    <w:rsid w:val="6D004DA8"/>
    <w:rsid w:val="6D092A6B"/>
    <w:rsid w:val="6D543DB3"/>
    <w:rsid w:val="6D750FCF"/>
    <w:rsid w:val="6D773FDC"/>
    <w:rsid w:val="6D9B22AA"/>
    <w:rsid w:val="6DB22F00"/>
    <w:rsid w:val="6DBB648A"/>
    <w:rsid w:val="6DDF18E4"/>
    <w:rsid w:val="6E232AB3"/>
    <w:rsid w:val="6E3F132C"/>
    <w:rsid w:val="6E517746"/>
    <w:rsid w:val="6E7A1325"/>
    <w:rsid w:val="6E861F5A"/>
    <w:rsid w:val="6E8B41A2"/>
    <w:rsid w:val="6EA40EAF"/>
    <w:rsid w:val="6EB40612"/>
    <w:rsid w:val="6EBF2C8C"/>
    <w:rsid w:val="6EFD1C95"/>
    <w:rsid w:val="6F072C6F"/>
    <w:rsid w:val="6F15167B"/>
    <w:rsid w:val="6F1A77D2"/>
    <w:rsid w:val="6F29143C"/>
    <w:rsid w:val="6F35557E"/>
    <w:rsid w:val="6F8729A5"/>
    <w:rsid w:val="70177912"/>
    <w:rsid w:val="702B63B0"/>
    <w:rsid w:val="70545562"/>
    <w:rsid w:val="707C28AD"/>
    <w:rsid w:val="70C8609C"/>
    <w:rsid w:val="70EE2DD8"/>
    <w:rsid w:val="70FA0EAB"/>
    <w:rsid w:val="71084815"/>
    <w:rsid w:val="71437115"/>
    <w:rsid w:val="715536FE"/>
    <w:rsid w:val="716B5672"/>
    <w:rsid w:val="71B5209B"/>
    <w:rsid w:val="720C4851"/>
    <w:rsid w:val="721359A5"/>
    <w:rsid w:val="72142897"/>
    <w:rsid w:val="72192C6A"/>
    <w:rsid w:val="722567BC"/>
    <w:rsid w:val="723D1589"/>
    <w:rsid w:val="724A7D53"/>
    <w:rsid w:val="728F79DE"/>
    <w:rsid w:val="729826AA"/>
    <w:rsid w:val="73484595"/>
    <w:rsid w:val="73735360"/>
    <w:rsid w:val="738D0387"/>
    <w:rsid w:val="73C30D59"/>
    <w:rsid w:val="74163DC7"/>
    <w:rsid w:val="74376210"/>
    <w:rsid w:val="74401536"/>
    <w:rsid w:val="747108A9"/>
    <w:rsid w:val="74760969"/>
    <w:rsid w:val="74996D3A"/>
    <w:rsid w:val="74AE01CF"/>
    <w:rsid w:val="74BD5147"/>
    <w:rsid w:val="74EE6478"/>
    <w:rsid w:val="74F323B1"/>
    <w:rsid w:val="755C4C21"/>
    <w:rsid w:val="75837EEC"/>
    <w:rsid w:val="75AE1DB9"/>
    <w:rsid w:val="75DD4A2B"/>
    <w:rsid w:val="75E77528"/>
    <w:rsid w:val="75E97311"/>
    <w:rsid w:val="75EF230F"/>
    <w:rsid w:val="76330AED"/>
    <w:rsid w:val="764823F4"/>
    <w:rsid w:val="76622B76"/>
    <w:rsid w:val="76914175"/>
    <w:rsid w:val="769D6ECB"/>
    <w:rsid w:val="76A0423C"/>
    <w:rsid w:val="76CE73F1"/>
    <w:rsid w:val="76D72275"/>
    <w:rsid w:val="77034827"/>
    <w:rsid w:val="77492CFF"/>
    <w:rsid w:val="774E635A"/>
    <w:rsid w:val="775F7B58"/>
    <w:rsid w:val="778441C8"/>
    <w:rsid w:val="778766B4"/>
    <w:rsid w:val="77882D05"/>
    <w:rsid w:val="778959D9"/>
    <w:rsid w:val="77914171"/>
    <w:rsid w:val="78203E5B"/>
    <w:rsid w:val="7844210E"/>
    <w:rsid w:val="78505A0B"/>
    <w:rsid w:val="786F2DE6"/>
    <w:rsid w:val="78711CE2"/>
    <w:rsid w:val="78837D58"/>
    <w:rsid w:val="78A3250E"/>
    <w:rsid w:val="78EC5C27"/>
    <w:rsid w:val="7A01262D"/>
    <w:rsid w:val="7A330A57"/>
    <w:rsid w:val="7A463B8C"/>
    <w:rsid w:val="7AA1053C"/>
    <w:rsid w:val="7AA811C5"/>
    <w:rsid w:val="7B3A1BDD"/>
    <w:rsid w:val="7BB11A35"/>
    <w:rsid w:val="7BEF658C"/>
    <w:rsid w:val="7C061168"/>
    <w:rsid w:val="7C0F0089"/>
    <w:rsid w:val="7C1C2408"/>
    <w:rsid w:val="7C1E15DB"/>
    <w:rsid w:val="7C2E4B32"/>
    <w:rsid w:val="7C914545"/>
    <w:rsid w:val="7C9E6C19"/>
    <w:rsid w:val="7CE17A14"/>
    <w:rsid w:val="7CFC412C"/>
    <w:rsid w:val="7D227A85"/>
    <w:rsid w:val="7DEF16E8"/>
    <w:rsid w:val="7DF94455"/>
    <w:rsid w:val="7DF95DF2"/>
    <w:rsid w:val="7E66153C"/>
    <w:rsid w:val="7EA2089B"/>
    <w:rsid w:val="7EAB2A81"/>
    <w:rsid w:val="7EBD4101"/>
    <w:rsid w:val="7EE0537C"/>
    <w:rsid w:val="7EE75E9D"/>
    <w:rsid w:val="7EFD57D3"/>
    <w:rsid w:val="7F187E12"/>
    <w:rsid w:val="7F5D4515"/>
    <w:rsid w:val="7F93124C"/>
    <w:rsid w:val="7F994B60"/>
    <w:rsid w:val="7FAD016B"/>
    <w:rsid w:val="7FB614A0"/>
    <w:rsid w:val="7FC957A4"/>
    <w:rsid w:val="7FD43287"/>
    <w:rsid w:val="7FD970F1"/>
    <w:rsid w:val="7FDD34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6"/>
    <w:qFormat/>
    <w:uiPriority w:val="0"/>
    <w:pPr>
      <w:keepNext/>
      <w:keepLines/>
      <w:spacing w:before="340" w:after="330" w:line="576" w:lineRule="auto"/>
      <w:outlineLvl w:val="0"/>
    </w:pPr>
    <w:rPr>
      <w:rFonts w:ascii="Tahoma" w:hAnsi="Tahoma"/>
      <w:b/>
      <w:kern w:val="44"/>
      <w:sz w:val="44"/>
      <w:szCs w:val="44"/>
    </w:rPr>
  </w:style>
  <w:style w:type="paragraph" w:styleId="4">
    <w:name w:val="heading 2"/>
    <w:basedOn w:val="1"/>
    <w:next w:val="1"/>
    <w:link w:val="57"/>
    <w:qFormat/>
    <w:uiPriority w:val="0"/>
    <w:pPr>
      <w:keepNext/>
      <w:keepLines/>
      <w:spacing w:before="260" w:after="260" w:line="413" w:lineRule="auto"/>
      <w:outlineLvl w:val="1"/>
    </w:pPr>
    <w:rPr>
      <w:rFonts w:ascii="Arial" w:hAnsi="Arial" w:eastAsia="黑体"/>
      <w:b/>
      <w:sz w:val="32"/>
      <w:szCs w:val="32"/>
    </w:rPr>
  </w:style>
  <w:style w:type="paragraph" w:styleId="5">
    <w:name w:val="heading 3"/>
    <w:basedOn w:val="1"/>
    <w:next w:val="1"/>
    <w:link w:val="58"/>
    <w:qFormat/>
    <w:uiPriority w:val="0"/>
    <w:pPr>
      <w:keepNext/>
      <w:keepLines/>
      <w:spacing w:before="260" w:after="260" w:line="416" w:lineRule="auto"/>
      <w:outlineLvl w:val="2"/>
    </w:pPr>
    <w:rPr>
      <w:b/>
      <w:sz w:val="32"/>
      <w:szCs w:val="20"/>
    </w:rPr>
  </w:style>
  <w:style w:type="paragraph" w:styleId="6">
    <w:name w:val="heading 4"/>
    <w:basedOn w:val="1"/>
    <w:next w:val="1"/>
    <w:link w:val="59"/>
    <w:qFormat/>
    <w:uiPriority w:val="0"/>
    <w:pPr>
      <w:keepNext/>
      <w:keepLines/>
      <w:spacing w:before="280" w:after="290" w:line="372" w:lineRule="auto"/>
      <w:outlineLvl w:val="3"/>
    </w:pPr>
    <w:rPr>
      <w:rFonts w:ascii="Cambria" w:hAnsi="Cambria" w:eastAsia="Cambria"/>
      <w:b/>
      <w:sz w:val="28"/>
      <w:szCs w:val="28"/>
    </w:rPr>
  </w:style>
  <w:style w:type="paragraph" w:styleId="7">
    <w:name w:val="heading 5"/>
    <w:basedOn w:val="8"/>
    <w:next w:val="9"/>
    <w:link w:val="61"/>
    <w:qFormat/>
    <w:uiPriority w:val="0"/>
    <w:pPr>
      <w:keepNext/>
      <w:keepLines/>
      <w:spacing w:before="280" w:after="290" w:line="372" w:lineRule="auto"/>
      <w:outlineLvl w:val="4"/>
    </w:pPr>
    <w:rPr>
      <w:rFonts w:ascii="Tahoma" w:hAnsi="Tahoma" w:eastAsia="宋体"/>
      <w:sz w:val="28"/>
      <w:szCs w:val="20"/>
    </w:rPr>
  </w:style>
  <w:style w:type="paragraph" w:styleId="10">
    <w:name w:val="heading 6"/>
    <w:basedOn w:val="1"/>
    <w:next w:val="9"/>
    <w:link w:val="63"/>
    <w:qFormat/>
    <w:uiPriority w:val="0"/>
    <w:pPr>
      <w:keepNext/>
      <w:keepLines/>
      <w:spacing w:before="240" w:after="64" w:line="317" w:lineRule="auto"/>
      <w:outlineLvl w:val="5"/>
    </w:pPr>
    <w:rPr>
      <w:rFonts w:ascii="Arial" w:hAnsi="Arial" w:eastAsia="黑体"/>
      <w:b/>
      <w:sz w:val="24"/>
      <w:szCs w:val="20"/>
    </w:rPr>
  </w:style>
  <w:style w:type="paragraph" w:styleId="11">
    <w:name w:val="heading 7"/>
    <w:basedOn w:val="1"/>
    <w:next w:val="1"/>
    <w:link w:val="64"/>
    <w:qFormat/>
    <w:uiPriority w:val="0"/>
    <w:pPr>
      <w:keepNext/>
      <w:keepLines/>
      <w:spacing w:before="240" w:after="64" w:line="317" w:lineRule="auto"/>
      <w:outlineLvl w:val="6"/>
    </w:pPr>
    <w:rPr>
      <w:rFonts w:ascii="Tahoma" w:hAnsi="Tahoma"/>
      <w:b/>
      <w:sz w:val="24"/>
      <w:szCs w:val="20"/>
    </w:rPr>
  </w:style>
  <w:style w:type="paragraph" w:styleId="12">
    <w:name w:val="heading 8"/>
    <w:basedOn w:val="1"/>
    <w:next w:val="1"/>
    <w:link w:val="65"/>
    <w:qFormat/>
    <w:uiPriority w:val="0"/>
    <w:pPr>
      <w:keepNext/>
      <w:keepLines/>
      <w:spacing w:before="240" w:after="64" w:line="317" w:lineRule="auto"/>
      <w:outlineLvl w:val="7"/>
    </w:pPr>
    <w:rPr>
      <w:rFonts w:ascii="Arial" w:hAnsi="Arial" w:eastAsia="黑体"/>
    </w:rPr>
  </w:style>
  <w:style w:type="paragraph" w:styleId="13">
    <w:name w:val="heading 9"/>
    <w:basedOn w:val="1"/>
    <w:next w:val="1"/>
    <w:link w:val="66"/>
    <w:qFormat/>
    <w:uiPriority w:val="0"/>
    <w:pPr>
      <w:keepNext/>
      <w:keepLines/>
      <w:spacing w:before="240" w:after="64" w:line="317" w:lineRule="auto"/>
      <w:outlineLvl w:val="8"/>
    </w:pPr>
    <w:rPr>
      <w:rFonts w:ascii="Arial" w:hAnsi="Arial" w:eastAsia="黑体"/>
      <w:szCs w:val="20"/>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style>
  <w:style w:type="paragraph" w:styleId="8">
    <w:name w:val="Title"/>
    <w:basedOn w:val="1"/>
    <w:link w:val="60"/>
    <w:qFormat/>
    <w:uiPriority w:val="0"/>
    <w:pPr>
      <w:spacing w:before="240" w:after="60"/>
      <w:jc w:val="center"/>
      <w:outlineLvl w:val="0"/>
    </w:pPr>
    <w:rPr>
      <w:rFonts w:ascii="Cambria" w:hAnsi="Cambria" w:eastAsia="Cambria"/>
      <w:b/>
      <w:sz w:val="32"/>
      <w:szCs w:val="32"/>
    </w:rPr>
  </w:style>
  <w:style w:type="paragraph" w:styleId="9">
    <w:name w:val="Normal Indent"/>
    <w:basedOn w:val="1"/>
    <w:next w:val="1"/>
    <w:link w:val="62"/>
    <w:qFormat/>
    <w:uiPriority w:val="0"/>
    <w:pPr>
      <w:ind w:firstLine="420"/>
    </w:pPr>
    <w:rPr>
      <w:rFonts w:ascii="Tahoma" w:hAnsi="Tahoma" w:eastAsia="Tahoma"/>
      <w:b/>
    </w:rPr>
  </w:style>
  <w:style w:type="paragraph" w:styleId="14">
    <w:name w:val="toc 7"/>
    <w:basedOn w:val="1"/>
    <w:next w:val="1"/>
    <w:qFormat/>
    <w:uiPriority w:val="0"/>
    <w:pPr>
      <w:ind w:left="2520" w:leftChars="1200"/>
    </w:pPr>
  </w:style>
  <w:style w:type="paragraph" w:styleId="15">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link w:val="67"/>
    <w:qFormat/>
    <w:uiPriority w:val="0"/>
    <w:pPr>
      <w:shd w:val="clear" w:color="auto" w:fill="000080"/>
    </w:pPr>
    <w:rPr>
      <w:rFonts w:hint="eastAsia" w:ascii="宋体" w:hAnsi="宋体"/>
      <w:sz w:val="18"/>
      <w:szCs w:val="18"/>
    </w:rPr>
  </w:style>
  <w:style w:type="paragraph" w:styleId="18">
    <w:name w:val="annotation text"/>
    <w:basedOn w:val="1"/>
    <w:link w:val="68"/>
    <w:qFormat/>
    <w:uiPriority w:val="0"/>
    <w:pPr>
      <w:jc w:val="left"/>
    </w:pPr>
    <w:rPr>
      <w:rFonts w:ascii="Tahoma" w:hAnsi="Tahoma"/>
    </w:rPr>
  </w:style>
  <w:style w:type="paragraph" w:styleId="19">
    <w:name w:val="Body Text 3"/>
    <w:basedOn w:val="1"/>
    <w:link w:val="69"/>
    <w:qFormat/>
    <w:uiPriority w:val="0"/>
    <w:pPr>
      <w:snapToGrid w:val="0"/>
      <w:spacing w:before="50" w:after="50"/>
    </w:pPr>
    <w:rPr>
      <w:rFonts w:ascii="Tahoma" w:hAnsi="Tahoma"/>
      <w:sz w:val="16"/>
      <w:szCs w:val="16"/>
    </w:rPr>
  </w:style>
  <w:style w:type="paragraph" w:styleId="20">
    <w:name w:val="Body Text"/>
    <w:basedOn w:val="1"/>
    <w:next w:val="21"/>
    <w:link w:val="55"/>
    <w:qFormat/>
    <w:uiPriority w:val="0"/>
    <w:pPr>
      <w:spacing w:after="120"/>
    </w:pPr>
    <w:rPr>
      <w:rFonts w:ascii="Tahoma" w:hAnsi="Tahoma"/>
      <w:sz w:val="28"/>
    </w:rPr>
  </w:style>
  <w:style w:type="paragraph" w:styleId="21">
    <w:name w:val="Body Text First Indent"/>
    <w:basedOn w:val="20"/>
    <w:next w:val="1"/>
    <w:link w:val="81"/>
    <w:qFormat/>
    <w:uiPriority w:val="0"/>
    <w:pPr>
      <w:ind w:firstLine="420" w:firstLineChars="100"/>
    </w:pPr>
  </w:style>
  <w:style w:type="paragraph" w:styleId="22">
    <w:name w:val="Body Text Indent"/>
    <w:basedOn w:val="1"/>
    <w:next w:val="1"/>
    <w:link w:val="70"/>
    <w:qFormat/>
    <w:uiPriority w:val="0"/>
    <w:pPr>
      <w:spacing w:line="200" w:lineRule="exact"/>
      <w:ind w:firstLine="301"/>
    </w:pPr>
    <w:rPr>
      <w:rFonts w:hint="eastAsia" w:ascii="宋体" w:hAnsi="Courier New"/>
      <w:spacing w:val="-4"/>
      <w:sz w:val="18"/>
      <w:szCs w:val="20"/>
    </w:rPr>
  </w:style>
  <w:style w:type="paragraph" w:styleId="23">
    <w:name w:val="List Number 3"/>
    <w:basedOn w:val="1"/>
    <w:qFormat/>
    <w:uiPriority w:val="0"/>
    <w:pPr>
      <w:numPr>
        <w:ilvl w:val="0"/>
        <w:numId w:val="1"/>
      </w:numPr>
    </w:pPr>
  </w:style>
  <w:style w:type="paragraph" w:styleId="24">
    <w:name w:val="List 2"/>
    <w:basedOn w:val="1"/>
    <w:qFormat/>
    <w:uiPriority w:val="0"/>
    <w:pPr>
      <w:ind w:left="100" w:leftChars="200" w:hanging="200" w:hangingChars="200"/>
    </w:pPr>
    <w:rPr>
      <w:sz w:val="28"/>
    </w:rPr>
  </w:style>
  <w:style w:type="paragraph" w:styleId="25">
    <w:name w:val="toc 5"/>
    <w:basedOn w:val="1"/>
    <w:next w:val="1"/>
    <w:qFormat/>
    <w:uiPriority w:val="0"/>
    <w:pPr>
      <w:ind w:left="1680" w:leftChars="800"/>
    </w:pPr>
  </w:style>
  <w:style w:type="paragraph" w:styleId="26">
    <w:name w:val="toc 3"/>
    <w:basedOn w:val="1"/>
    <w:next w:val="1"/>
    <w:qFormat/>
    <w:uiPriority w:val="0"/>
    <w:pPr>
      <w:ind w:left="840" w:leftChars="400"/>
    </w:pPr>
  </w:style>
  <w:style w:type="paragraph" w:styleId="27">
    <w:name w:val="Plain Text"/>
    <w:basedOn w:val="1"/>
    <w:link w:val="71"/>
    <w:qFormat/>
    <w:uiPriority w:val="0"/>
    <w:pPr>
      <w:spacing w:beforeLines="50" w:afterLines="50" w:line="400" w:lineRule="exact"/>
    </w:pPr>
    <w:rPr>
      <w:rFonts w:hint="eastAsia" w:ascii="宋体" w:hAnsi="Courier New"/>
      <w:szCs w:val="21"/>
    </w:rPr>
  </w:style>
  <w:style w:type="paragraph" w:styleId="28">
    <w:name w:val="toc 8"/>
    <w:basedOn w:val="1"/>
    <w:next w:val="1"/>
    <w:qFormat/>
    <w:uiPriority w:val="0"/>
    <w:pPr>
      <w:ind w:left="2940" w:leftChars="1400"/>
    </w:pPr>
  </w:style>
  <w:style w:type="paragraph" w:styleId="29">
    <w:name w:val="Date"/>
    <w:basedOn w:val="1"/>
    <w:next w:val="1"/>
    <w:link w:val="72"/>
    <w:qFormat/>
    <w:uiPriority w:val="0"/>
    <w:pPr>
      <w:ind w:left="2500" w:leftChars="2500"/>
    </w:pPr>
    <w:rPr>
      <w:rFonts w:hint="eastAsia" w:ascii="黑体" w:hAnsi="宋体" w:eastAsia="黑体"/>
      <w:kern w:val="44"/>
      <w:position w:val="6"/>
      <w:szCs w:val="20"/>
    </w:rPr>
  </w:style>
  <w:style w:type="paragraph" w:styleId="30">
    <w:name w:val="Body Text Indent 2"/>
    <w:basedOn w:val="1"/>
    <w:link w:val="73"/>
    <w:qFormat/>
    <w:uiPriority w:val="0"/>
    <w:pPr>
      <w:snapToGrid w:val="0"/>
      <w:ind w:firstLine="542" w:firstLineChars="225"/>
    </w:pPr>
    <w:rPr>
      <w:rFonts w:ascii="Tahoma" w:hAnsi="Tahoma"/>
    </w:rPr>
  </w:style>
  <w:style w:type="paragraph" w:styleId="31">
    <w:name w:val="Balloon Text"/>
    <w:basedOn w:val="1"/>
    <w:link w:val="74"/>
    <w:qFormat/>
    <w:uiPriority w:val="0"/>
    <w:rPr>
      <w:rFonts w:ascii="Tahoma" w:hAnsi="Tahoma"/>
      <w:sz w:val="18"/>
      <w:szCs w:val="18"/>
    </w:rPr>
  </w:style>
  <w:style w:type="paragraph" w:styleId="32">
    <w:name w:val="footer"/>
    <w:basedOn w:val="1"/>
    <w:link w:val="75"/>
    <w:qFormat/>
    <w:uiPriority w:val="0"/>
    <w:pPr>
      <w:tabs>
        <w:tab w:val="center" w:pos="4153"/>
        <w:tab w:val="right" w:pos="8306"/>
      </w:tabs>
      <w:snapToGrid w:val="0"/>
      <w:jc w:val="left"/>
    </w:pPr>
    <w:rPr>
      <w:rFonts w:hint="eastAsia" w:ascii="黑体" w:hAnsi="宋体" w:eastAsia="黑体"/>
      <w:kern w:val="0"/>
      <w:sz w:val="18"/>
      <w:szCs w:val="18"/>
    </w:rPr>
  </w:style>
  <w:style w:type="paragraph" w:styleId="33">
    <w:name w:val="header"/>
    <w:basedOn w:val="1"/>
    <w:link w:val="76"/>
    <w:qFormat/>
    <w:uiPriority w:val="0"/>
    <w:pPr>
      <w:pBdr>
        <w:bottom w:val="single" w:color="auto" w:sz="6" w:space="1"/>
      </w:pBdr>
      <w:tabs>
        <w:tab w:val="center" w:pos="4153"/>
        <w:tab w:val="right" w:pos="8306"/>
      </w:tabs>
      <w:snapToGrid w:val="0"/>
      <w:jc w:val="center"/>
    </w:pPr>
    <w:rPr>
      <w:rFonts w:ascii="Tahoma" w:hAnsi="Tahoma"/>
      <w:sz w:val="18"/>
      <w:szCs w:val="18"/>
    </w:rPr>
  </w:style>
  <w:style w:type="paragraph" w:styleId="34">
    <w:name w:val="toc 4"/>
    <w:basedOn w:val="1"/>
    <w:next w:val="1"/>
    <w:qFormat/>
    <w:uiPriority w:val="0"/>
    <w:pPr>
      <w:ind w:left="1260" w:leftChars="600"/>
    </w:pPr>
  </w:style>
  <w:style w:type="paragraph" w:styleId="35">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0"/>
    <w:pPr>
      <w:ind w:left="2100" w:leftChars="1000"/>
    </w:pPr>
  </w:style>
  <w:style w:type="paragraph" w:styleId="38">
    <w:name w:val="Body Text Indent 3"/>
    <w:basedOn w:val="1"/>
    <w:link w:val="77"/>
    <w:qFormat/>
    <w:uiPriority w:val="0"/>
    <w:pPr>
      <w:snapToGrid w:val="0"/>
      <w:ind w:firstLine="480" w:firstLineChars="200"/>
      <w:jc w:val="left"/>
    </w:pPr>
    <w:rPr>
      <w:rFonts w:ascii="Tahoma" w:hAnsi="Tahoma"/>
      <w:sz w:val="16"/>
      <w:szCs w:val="16"/>
    </w:rPr>
  </w:style>
  <w:style w:type="paragraph" w:styleId="39">
    <w:name w:val="toc 2"/>
    <w:basedOn w:val="1"/>
    <w:next w:val="1"/>
    <w:qFormat/>
    <w:uiPriority w:val="0"/>
    <w:pPr>
      <w:ind w:left="420" w:leftChars="200"/>
    </w:pPr>
  </w:style>
  <w:style w:type="paragraph" w:styleId="40">
    <w:name w:val="toc 9"/>
    <w:basedOn w:val="1"/>
    <w:next w:val="1"/>
    <w:qFormat/>
    <w:uiPriority w:val="0"/>
    <w:pPr>
      <w:ind w:left="3360" w:leftChars="1600"/>
    </w:pPr>
  </w:style>
  <w:style w:type="paragraph" w:styleId="41">
    <w:name w:val="Body Text 2"/>
    <w:basedOn w:val="1"/>
    <w:link w:val="78"/>
    <w:qFormat/>
    <w:uiPriority w:val="0"/>
    <w:pPr>
      <w:widowControl/>
      <w:snapToGrid w:val="0"/>
      <w:spacing w:before="50" w:afterLines="50" w:line="400" w:lineRule="exact"/>
      <w:jc w:val="left"/>
    </w:pPr>
    <w:rPr>
      <w:rFonts w:ascii="Tahoma" w:hAnsi="Tahoma"/>
      <w:spacing w:val="20"/>
    </w:rPr>
  </w:style>
  <w:style w:type="paragraph" w:styleId="42">
    <w:name w:val="HTML Preformatted"/>
    <w:basedOn w:val="1"/>
    <w:link w:val="79"/>
    <w:qFormat/>
    <w:uiPriority w:val="0"/>
    <w:rPr>
      <w:rFonts w:hint="eastAsia" w:ascii="宋体" w:hAnsi="宋体"/>
      <w:kern w:val="0"/>
      <w:sz w:val="24"/>
    </w:rPr>
  </w:style>
  <w:style w:type="paragraph" w:styleId="43">
    <w:name w:val="Normal (Web)"/>
    <w:basedOn w:val="1"/>
    <w:qFormat/>
    <w:uiPriority w:val="0"/>
    <w:pPr>
      <w:widowControl/>
      <w:spacing w:before="100" w:beforeAutospacing="1" w:after="100" w:afterAutospacing="1"/>
      <w:jc w:val="left"/>
    </w:pPr>
    <w:rPr>
      <w:kern w:val="0"/>
      <w:sz w:val="24"/>
    </w:rPr>
  </w:style>
  <w:style w:type="paragraph" w:styleId="44">
    <w:name w:val="annotation subject"/>
    <w:basedOn w:val="18"/>
    <w:next w:val="18"/>
    <w:link w:val="80"/>
    <w:qFormat/>
    <w:uiPriority w:val="0"/>
    <w:rPr>
      <w:b/>
    </w:rPr>
  </w:style>
  <w:style w:type="paragraph" w:styleId="45">
    <w:name w:val="Body Text First Indent 2"/>
    <w:basedOn w:val="22"/>
    <w:next w:val="1"/>
    <w:qFormat/>
    <w:uiPriority w:val="0"/>
    <w:pPr>
      <w:ind w:firstLine="420" w:firstLineChars="200"/>
    </w:pPr>
    <w:rPr>
      <w:rFonts w:ascii="Times New Roman" w:hAnsi="Times New Roman"/>
      <w:lang w:val="zh-CN"/>
    </w:rPr>
  </w:style>
  <w:style w:type="table" w:styleId="47">
    <w:name w:val="Table Grid"/>
    <w:basedOn w:val="46"/>
    <w:qFormat/>
    <w:uiPriority w:val="0"/>
    <w:pPr>
      <w:widowControl w:val="0"/>
      <w:adjustRightInd w:val="0"/>
      <w:spacing w:line="312"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qFormat/>
    <w:uiPriority w:val="0"/>
    <w:rPr>
      <w:b/>
      <w:bCs/>
    </w:rPr>
  </w:style>
  <w:style w:type="character" w:styleId="50">
    <w:name w:val="page number"/>
    <w:qFormat/>
    <w:uiPriority w:val="0"/>
    <w:rPr>
      <w:rFonts w:hint="default" w:ascii="Times New Roman" w:hAnsi="Times New Roman" w:cs="Times New Roman"/>
      <w:sz w:val="24"/>
      <w:szCs w:val="20"/>
    </w:rPr>
  </w:style>
  <w:style w:type="character" w:styleId="51">
    <w:name w:val="FollowedHyperlink"/>
    <w:qFormat/>
    <w:uiPriority w:val="0"/>
    <w:rPr>
      <w:rFonts w:ascii="Tahoma" w:hAnsi="Tahoma"/>
      <w:color w:val="004102"/>
      <w:sz w:val="24"/>
      <w:szCs w:val="20"/>
      <w:u w:val="none"/>
    </w:rPr>
  </w:style>
  <w:style w:type="character" w:styleId="52">
    <w:name w:val="Hyperlink"/>
    <w:qFormat/>
    <w:uiPriority w:val="99"/>
    <w:rPr>
      <w:rFonts w:ascii="Tahoma" w:hAnsi="Tahoma"/>
      <w:color w:val="004102"/>
      <w:sz w:val="24"/>
      <w:szCs w:val="20"/>
      <w:u w:val="none"/>
    </w:rPr>
  </w:style>
  <w:style w:type="character" w:styleId="53">
    <w:name w:val="annotation reference"/>
    <w:qFormat/>
    <w:uiPriority w:val="0"/>
    <w:rPr>
      <w:sz w:val="21"/>
      <w:szCs w:val="21"/>
    </w:rPr>
  </w:style>
  <w:style w:type="paragraph" w:customStyle="1" w:styleId="54">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5">
    <w:name w:val="正文文本 Char"/>
    <w:link w:val="20"/>
    <w:qFormat/>
    <w:uiPriority w:val="0"/>
    <w:rPr>
      <w:rFonts w:ascii="Tahoma" w:hAnsi="Tahoma"/>
      <w:kern w:val="2"/>
      <w:sz w:val="28"/>
      <w:szCs w:val="24"/>
    </w:rPr>
  </w:style>
  <w:style w:type="character" w:customStyle="1" w:styleId="56">
    <w:name w:val="标题 1 Char"/>
    <w:link w:val="3"/>
    <w:qFormat/>
    <w:uiPriority w:val="0"/>
    <w:rPr>
      <w:rFonts w:ascii="Calibri" w:hAnsi="Calibri"/>
      <w:b/>
      <w:kern w:val="44"/>
      <w:sz w:val="44"/>
    </w:rPr>
  </w:style>
  <w:style w:type="character" w:customStyle="1" w:styleId="57">
    <w:name w:val="标题 2 Char1"/>
    <w:link w:val="4"/>
    <w:qFormat/>
    <w:uiPriority w:val="9"/>
    <w:rPr>
      <w:rFonts w:ascii="Arial" w:hAnsi="Arial" w:eastAsia="仿宋_GB2312"/>
      <w:b/>
      <w:bCs/>
      <w:kern w:val="2"/>
      <w:sz w:val="28"/>
      <w:szCs w:val="32"/>
    </w:rPr>
  </w:style>
  <w:style w:type="character" w:customStyle="1" w:styleId="58">
    <w:name w:val="标题 3 Char"/>
    <w:link w:val="5"/>
    <w:qFormat/>
    <w:uiPriority w:val="0"/>
    <w:rPr>
      <w:b/>
      <w:kern w:val="2"/>
      <w:sz w:val="32"/>
    </w:rPr>
  </w:style>
  <w:style w:type="character" w:customStyle="1" w:styleId="59">
    <w:name w:val="标题 4 Char"/>
    <w:link w:val="6"/>
    <w:qFormat/>
    <w:uiPriority w:val="0"/>
    <w:rPr>
      <w:rFonts w:hint="default" w:ascii="Cambria" w:hAnsi="Cambria" w:eastAsia="Cambria" w:cs="Cambria"/>
      <w:b/>
      <w:kern w:val="2"/>
      <w:sz w:val="28"/>
      <w:szCs w:val="28"/>
    </w:rPr>
  </w:style>
  <w:style w:type="character" w:customStyle="1" w:styleId="60">
    <w:name w:val="标题 Char"/>
    <w:link w:val="8"/>
    <w:qFormat/>
    <w:uiPriority w:val="0"/>
    <w:rPr>
      <w:rFonts w:hint="default" w:ascii="Cambria" w:hAnsi="Cambria" w:eastAsia="Cambria" w:cs="Times New Roman"/>
      <w:b/>
      <w:kern w:val="2"/>
      <w:sz w:val="32"/>
      <w:szCs w:val="32"/>
    </w:rPr>
  </w:style>
  <w:style w:type="character" w:customStyle="1" w:styleId="61">
    <w:name w:val="标题 5 Char"/>
    <w:link w:val="7"/>
    <w:qFormat/>
    <w:uiPriority w:val="0"/>
    <w:rPr>
      <w:rFonts w:ascii="Tahoma" w:hAnsi="Tahoma"/>
      <w:b/>
      <w:kern w:val="2"/>
      <w:sz w:val="28"/>
      <w:szCs w:val="20"/>
    </w:rPr>
  </w:style>
  <w:style w:type="character" w:customStyle="1" w:styleId="62">
    <w:name w:val="正文缩进 Char"/>
    <w:link w:val="9"/>
    <w:qFormat/>
    <w:uiPriority w:val="0"/>
    <w:rPr>
      <w:rFonts w:hint="default" w:ascii="Tahoma" w:hAnsi="Tahoma" w:eastAsia="Tahoma" w:cs="Tahoma"/>
      <w:b/>
      <w:kern w:val="2"/>
      <w:sz w:val="21"/>
      <w:szCs w:val="24"/>
    </w:rPr>
  </w:style>
  <w:style w:type="character" w:customStyle="1" w:styleId="63">
    <w:name w:val="标题 6 Char"/>
    <w:link w:val="10"/>
    <w:qFormat/>
    <w:uiPriority w:val="0"/>
    <w:rPr>
      <w:rFonts w:hint="default" w:ascii="Arial" w:hAnsi="Arial" w:eastAsia="黑体" w:cs="Arial"/>
      <w:b/>
      <w:kern w:val="2"/>
      <w:sz w:val="24"/>
      <w:szCs w:val="20"/>
    </w:rPr>
  </w:style>
  <w:style w:type="character" w:customStyle="1" w:styleId="64">
    <w:name w:val="标题 7 Char"/>
    <w:link w:val="11"/>
    <w:qFormat/>
    <w:uiPriority w:val="0"/>
    <w:rPr>
      <w:rFonts w:ascii="Tahoma" w:hAnsi="Tahoma"/>
      <w:b/>
      <w:kern w:val="2"/>
      <w:sz w:val="24"/>
      <w:szCs w:val="20"/>
    </w:rPr>
  </w:style>
  <w:style w:type="character" w:customStyle="1" w:styleId="65">
    <w:name w:val="标题 8 Char"/>
    <w:link w:val="12"/>
    <w:qFormat/>
    <w:uiPriority w:val="0"/>
    <w:rPr>
      <w:rFonts w:ascii="Arial" w:hAnsi="Arial" w:eastAsia="黑体" w:cs="Arial"/>
      <w:kern w:val="2"/>
      <w:sz w:val="21"/>
      <w:szCs w:val="24"/>
    </w:rPr>
  </w:style>
  <w:style w:type="character" w:customStyle="1" w:styleId="66">
    <w:name w:val="标题 9 Char"/>
    <w:link w:val="13"/>
    <w:qFormat/>
    <w:uiPriority w:val="0"/>
    <w:rPr>
      <w:rFonts w:hint="default" w:ascii="Arial" w:hAnsi="Arial" w:eastAsia="黑体" w:cs="Arial"/>
      <w:kern w:val="2"/>
      <w:sz w:val="21"/>
      <w:szCs w:val="20"/>
    </w:rPr>
  </w:style>
  <w:style w:type="character" w:customStyle="1" w:styleId="67">
    <w:name w:val="文档结构图 Char"/>
    <w:link w:val="17"/>
    <w:qFormat/>
    <w:uiPriority w:val="0"/>
    <w:rPr>
      <w:rFonts w:hint="eastAsia" w:ascii="宋体" w:hAnsi="宋体" w:eastAsia="宋体" w:cs="宋体"/>
      <w:kern w:val="2"/>
      <w:sz w:val="18"/>
      <w:szCs w:val="18"/>
    </w:rPr>
  </w:style>
  <w:style w:type="character" w:customStyle="1" w:styleId="68">
    <w:name w:val="批注文字 Char"/>
    <w:link w:val="18"/>
    <w:qFormat/>
    <w:uiPriority w:val="0"/>
    <w:rPr>
      <w:rFonts w:ascii="Tahoma" w:hAnsi="Tahoma"/>
      <w:kern w:val="2"/>
      <w:sz w:val="21"/>
      <w:szCs w:val="24"/>
    </w:rPr>
  </w:style>
  <w:style w:type="character" w:customStyle="1" w:styleId="69">
    <w:name w:val="正文文本 3 Char"/>
    <w:link w:val="19"/>
    <w:qFormat/>
    <w:uiPriority w:val="0"/>
    <w:rPr>
      <w:rFonts w:ascii="Tahoma" w:hAnsi="Tahoma"/>
      <w:kern w:val="2"/>
      <w:sz w:val="16"/>
      <w:szCs w:val="16"/>
    </w:rPr>
  </w:style>
  <w:style w:type="character" w:customStyle="1" w:styleId="70">
    <w:name w:val="正文文本缩进 Char"/>
    <w:link w:val="22"/>
    <w:qFormat/>
    <w:uiPriority w:val="0"/>
    <w:rPr>
      <w:rFonts w:hint="eastAsia" w:ascii="宋体" w:hAnsi="Courier New" w:eastAsia="宋体" w:cs="宋体"/>
      <w:spacing w:val="-4"/>
      <w:kern w:val="2"/>
      <w:sz w:val="18"/>
      <w:szCs w:val="20"/>
    </w:rPr>
  </w:style>
  <w:style w:type="character" w:customStyle="1" w:styleId="71">
    <w:name w:val="纯文本 Char"/>
    <w:link w:val="27"/>
    <w:qFormat/>
    <w:uiPriority w:val="0"/>
    <w:rPr>
      <w:rFonts w:hint="eastAsia" w:ascii="宋体" w:hAnsi="Courier New" w:eastAsia="宋体" w:cs="Courier New"/>
      <w:kern w:val="2"/>
      <w:sz w:val="21"/>
      <w:szCs w:val="21"/>
    </w:rPr>
  </w:style>
  <w:style w:type="character" w:customStyle="1" w:styleId="72">
    <w:name w:val="日期 Char"/>
    <w:link w:val="29"/>
    <w:qFormat/>
    <w:uiPriority w:val="0"/>
    <w:rPr>
      <w:rFonts w:hint="eastAsia" w:ascii="黑体" w:hAnsi="宋体" w:eastAsia="黑体" w:cs="黑体"/>
      <w:kern w:val="44"/>
      <w:position w:val="6"/>
      <w:sz w:val="21"/>
      <w:szCs w:val="20"/>
    </w:rPr>
  </w:style>
  <w:style w:type="character" w:customStyle="1" w:styleId="73">
    <w:name w:val="正文文本缩进 2 Char"/>
    <w:link w:val="30"/>
    <w:qFormat/>
    <w:uiPriority w:val="0"/>
    <w:rPr>
      <w:rFonts w:ascii="Tahoma" w:hAnsi="Tahoma"/>
      <w:kern w:val="2"/>
      <w:sz w:val="21"/>
      <w:szCs w:val="24"/>
    </w:rPr>
  </w:style>
  <w:style w:type="character" w:customStyle="1" w:styleId="74">
    <w:name w:val="批注框文本 Char"/>
    <w:link w:val="31"/>
    <w:qFormat/>
    <w:uiPriority w:val="0"/>
    <w:rPr>
      <w:rFonts w:ascii="Tahoma" w:hAnsi="Tahoma"/>
      <w:kern w:val="2"/>
      <w:sz w:val="18"/>
      <w:szCs w:val="18"/>
    </w:rPr>
  </w:style>
  <w:style w:type="character" w:customStyle="1" w:styleId="75">
    <w:name w:val="页脚 Char"/>
    <w:link w:val="32"/>
    <w:qFormat/>
    <w:uiPriority w:val="0"/>
    <w:rPr>
      <w:rFonts w:hint="eastAsia" w:ascii="黑体" w:hAnsi="宋体" w:eastAsia="黑体" w:cs="黑体"/>
      <w:snapToGrid/>
      <w:sz w:val="18"/>
      <w:szCs w:val="18"/>
    </w:rPr>
  </w:style>
  <w:style w:type="character" w:customStyle="1" w:styleId="76">
    <w:name w:val="页眉 Char"/>
    <w:link w:val="33"/>
    <w:qFormat/>
    <w:uiPriority w:val="0"/>
    <w:rPr>
      <w:rFonts w:ascii="Tahoma" w:hAnsi="Tahoma"/>
      <w:kern w:val="2"/>
      <w:sz w:val="18"/>
      <w:szCs w:val="18"/>
    </w:rPr>
  </w:style>
  <w:style w:type="character" w:customStyle="1" w:styleId="77">
    <w:name w:val="正文文本缩进 3 Char"/>
    <w:link w:val="38"/>
    <w:qFormat/>
    <w:uiPriority w:val="0"/>
    <w:rPr>
      <w:rFonts w:ascii="Tahoma" w:hAnsi="Tahoma"/>
      <w:kern w:val="2"/>
      <w:sz w:val="16"/>
      <w:szCs w:val="16"/>
    </w:rPr>
  </w:style>
  <w:style w:type="character" w:customStyle="1" w:styleId="78">
    <w:name w:val="正文文本 2 Char"/>
    <w:link w:val="41"/>
    <w:qFormat/>
    <w:uiPriority w:val="0"/>
    <w:rPr>
      <w:rFonts w:ascii="Tahoma" w:hAnsi="Tahoma"/>
      <w:spacing w:val="20"/>
      <w:kern w:val="2"/>
      <w:sz w:val="21"/>
      <w:szCs w:val="24"/>
    </w:rPr>
  </w:style>
  <w:style w:type="character" w:customStyle="1" w:styleId="79">
    <w:name w:val="HTML 预设格式 Char"/>
    <w:link w:val="42"/>
    <w:qFormat/>
    <w:uiPriority w:val="0"/>
    <w:rPr>
      <w:rFonts w:hint="eastAsia" w:ascii="宋体" w:hAnsi="宋体" w:eastAsia="宋体" w:cs="宋体"/>
      <w:sz w:val="24"/>
      <w:szCs w:val="24"/>
    </w:rPr>
  </w:style>
  <w:style w:type="character" w:customStyle="1" w:styleId="80">
    <w:name w:val="批注主题 Char"/>
    <w:link w:val="44"/>
    <w:qFormat/>
    <w:uiPriority w:val="0"/>
    <w:rPr>
      <w:rFonts w:ascii="Tahoma" w:hAnsi="Tahoma"/>
      <w:b/>
      <w:kern w:val="2"/>
      <w:sz w:val="21"/>
      <w:szCs w:val="24"/>
    </w:rPr>
  </w:style>
  <w:style w:type="character" w:customStyle="1" w:styleId="81">
    <w:name w:val="正文首行缩进 Char"/>
    <w:link w:val="21"/>
    <w:qFormat/>
    <w:uiPriority w:val="0"/>
    <w:rPr>
      <w:rFonts w:ascii="Tahoma" w:hAnsi="Tahoma"/>
      <w:kern w:val="2"/>
      <w:sz w:val="28"/>
      <w:szCs w:val="24"/>
    </w:rPr>
  </w:style>
  <w:style w:type="character" w:customStyle="1" w:styleId="82">
    <w:name w:val="Char Char1"/>
    <w:qFormat/>
    <w:uiPriority w:val="0"/>
    <w:rPr>
      <w:rFonts w:ascii="宋体" w:hAnsi="Courier New" w:eastAsia="宋体" w:cs="Courier New"/>
      <w:kern w:val="2"/>
      <w:sz w:val="21"/>
      <w:szCs w:val="21"/>
      <w:lang w:val="en-US" w:eastAsia="zh-CN" w:bidi="ar-SA"/>
    </w:rPr>
  </w:style>
  <w:style w:type="character" w:customStyle="1" w:styleId="83">
    <w:name w:val="font21"/>
    <w:qFormat/>
    <w:uiPriority w:val="0"/>
    <w:rPr>
      <w:rFonts w:hint="default" w:ascii="Times New Roman" w:hAnsi="Times New Roman" w:cs="Times New Roman"/>
      <w:b/>
      <w:color w:val="000000"/>
      <w:sz w:val="22"/>
      <w:szCs w:val="22"/>
      <w:u w:val="single"/>
    </w:rPr>
  </w:style>
  <w:style w:type="character" w:customStyle="1" w:styleId="84">
    <w:name w:val="Char Char11"/>
    <w:link w:val="85"/>
    <w:qFormat/>
    <w:uiPriority w:val="0"/>
    <w:rPr>
      <w:rFonts w:ascii="Verdana" w:hAnsi="Verdana"/>
      <w:kern w:val="0"/>
      <w:sz w:val="24"/>
      <w:szCs w:val="20"/>
      <w:lang w:eastAsia="en-US"/>
    </w:rPr>
  </w:style>
  <w:style w:type="paragraph" w:customStyle="1" w:styleId="85">
    <w:name w:val="Char"/>
    <w:basedOn w:val="1"/>
    <w:link w:val="84"/>
    <w:qFormat/>
    <w:uiPriority w:val="0"/>
    <w:pPr>
      <w:widowControl/>
      <w:spacing w:line="400" w:lineRule="exact"/>
      <w:jc w:val="center"/>
    </w:pPr>
    <w:rPr>
      <w:rFonts w:ascii="Verdana" w:hAnsi="Verdana"/>
      <w:kern w:val="0"/>
      <w:sz w:val="24"/>
      <w:szCs w:val="20"/>
      <w:lang w:eastAsia="en-US"/>
    </w:rPr>
  </w:style>
  <w:style w:type="character" w:customStyle="1" w:styleId="86">
    <w:name w:val="标题 Char Char"/>
    <w:qFormat/>
    <w:uiPriority w:val="0"/>
    <w:rPr>
      <w:rFonts w:ascii="Tahoma" w:hAnsi="Tahoma"/>
      <w:b/>
      <w:sz w:val="24"/>
      <w:szCs w:val="20"/>
      <w:lang w:val="en-US"/>
    </w:rPr>
  </w:style>
  <w:style w:type="character" w:customStyle="1" w:styleId="87">
    <w:name w:val="标题 1 Char Char"/>
    <w:qFormat/>
    <w:uiPriority w:val="0"/>
    <w:rPr>
      <w:rFonts w:eastAsia="宋体"/>
      <w:b/>
      <w:spacing w:val="-2"/>
      <w:sz w:val="24"/>
      <w:lang w:val="en-US" w:eastAsia="zh-CN" w:bidi="ar-SA"/>
    </w:rPr>
  </w:style>
  <w:style w:type="character" w:customStyle="1" w:styleId="88">
    <w:name w:val="en"/>
    <w:qFormat/>
    <w:uiPriority w:val="0"/>
    <w:rPr>
      <w:rFonts w:hint="default" w:ascii="Tahoma" w:hAnsi="Tahoma" w:eastAsia="Tahoma" w:cs="Tahoma"/>
      <w:b/>
      <w:sz w:val="24"/>
      <w:szCs w:val="24"/>
    </w:rPr>
  </w:style>
  <w:style w:type="character" w:customStyle="1" w:styleId="89">
    <w:name w:val="纯文本 Char2"/>
    <w:qFormat/>
    <w:uiPriority w:val="0"/>
    <w:rPr>
      <w:rFonts w:hint="eastAsia" w:ascii="宋体" w:hAnsi="Courier New" w:eastAsia="宋体" w:cs="宋体"/>
      <w:kern w:val="2"/>
      <w:sz w:val="24"/>
      <w:szCs w:val="24"/>
    </w:rPr>
  </w:style>
  <w:style w:type="character" w:customStyle="1" w:styleId="90">
    <w:name w:val="标题 41"/>
    <w:basedOn w:val="48"/>
    <w:qFormat/>
    <w:uiPriority w:val="0"/>
  </w:style>
  <w:style w:type="character" w:customStyle="1" w:styleId="91">
    <w:name w:val="fontstyle01"/>
    <w:qFormat/>
    <w:uiPriority w:val="0"/>
    <w:rPr>
      <w:rFonts w:hint="eastAsia" w:ascii="宋体" w:hAnsi="宋体" w:eastAsia="宋体"/>
      <w:color w:val="000000"/>
      <w:sz w:val="24"/>
      <w:szCs w:val="24"/>
    </w:rPr>
  </w:style>
  <w:style w:type="character" w:customStyle="1" w:styleId="92">
    <w:name w:val="font12"/>
    <w:qFormat/>
    <w:uiPriority w:val="0"/>
    <w:rPr>
      <w:rFonts w:hint="eastAsia" w:ascii="宋体" w:hAnsi="宋体" w:eastAsia="宋体" w:cs="宋体"/>
      <w:color w:val="FF0000"/>
      <w:sz w:val="20"/>
      <w:szCs w:val="20"/>
      <w:u w:val="none"/>
    </w:rPr>
  </w:style>
  <w:style w:type="character" w:customStyle="1" w:styleId="93">
    <w:name w:val="Char Char Char"/>
    <w:qFormat/>
    <w:uiPriority w:val="0"/>
    <w:rPr>
      <w:rFonts w:ascii="宋体" w:hAnsi="Courier New" w:eastAsia="宋体"/>
      <w:kern w:val="2"/>
      <w:sz w:val="24"/>
      <w:szCs w:val="24"/>
      <w:lang w:val="en-US" w:eastAsia="zh-CN" w:bidi="ar-SA"/>
    </w:rPr>
  </w:style>
  <w:style w:type="character" w:customStyle="1" w:styleId="94">
    <w:name w:val="e"/>
    <w:qFormat/>
    <w:uiPriority w:val="0"/>
    <w:rPr>
      <w:rFonts w:hint="default" w:ascii="Tahoma" w:hAnsi="Tahoma" w:eastAsia="Tahoma" w:cs="Tahoma"/>
      <w:b/>
      <w:sz w:val="24"/>
      <w:szCs w:val="24"/>
    </w:rPr>
  </w:style>
  <w:style w:type="character" w:customStyle="1" w:styleId="95">
    <w:name w:val="z21"/>
    <w:qFormat/>
    <w:uiPriority w:val="0"/>
    <w:rPr>
      <w:rFonts w:ascii="Tahoma" w:hAnsi="Tahoma"/>
      <w:color w:val="000000"/>
      <w:sz w:val="18"/>
      <w:szCs w:val="18"/>
    </w:rPr>
  </w:style>
  <w:style w:type="character" w:customStyle="1" w:styleId="96">
    <w:name w:val="标题 2 Char Char"/>
    <w:qFormat/>
    <w:uiPriority w:val="0"/>
    <w:rPr>
      <w:rFonts w:ascii="Arial" w:hAnsi="Arial" w:eastAsia="黑体"/>
      <w:b/>
      <w:bCs/>
      <w:kern w:val="2"/>
      <w:sz w:val="32"/>
      <w:szCs w:val="32"/>
      <w:lang w:val="en-US" w:eastAsia="zh-CN" w:bidi="ar-SA"/>
    </w:rPr>
  </w:style>
  <w:style w:type="character" w:customStyle="1" w:styleId="97">
    <w:name w:val="批注文字 字符1"/>
    <w:qFormat/>
    <w:uiPriority w:val="0"/>
    <w:rPr>
      <w:rFonts w:ascii="Tahoma" w:hAnsi="Tahoma"/>
      <w:kern w:val="2"/>
      <w:sz w:val="21"/>
      <w:szCs w:val="24"/>
    </w:rPr>
  </w:style>
  <w:style w:type="character" w:customStyle="1" w:styleId="98">
    <w:name w:val="批注文字 Char Char"/>
    <w:qFormat/>
    <w:uiPriority w:val="0"/>
    <w:rPr>
      <w:rFonts w:ascii="Tahoma" w:hAnsi="Tahoma"/>
      <w:kern w:val="2"/>
      <w:sz w:val="21"/>
      <w:szCs w:val="20"/>
    </w:rPr>
  </w:style>
  <w:style w:type="character" w:customStyle="1" w:styleId="99">
    <w:name w:val="news1"/>
    <w:qFormat/>
    <w:uiPriority w:val="0"/>
    <w:rPr>
      <w:rFonts w:hint="default" w:ascii="Tahoma" w:hAnsi="Tahoma" w:eastAsia="Tahoma" w:cs="Tahoma"/>
      <w:b/>
      <w:sz w:val="24"/>
      <w:szCs w:val="24"/>
    </w:rPr>
  </w:style>
  <w:style w:type="character" w:customStyle="1" w:styleId="100">
    <w:name w:val="font111"/>
    <w:qFormat/>
    <w:uiPriority w:val="0"/>
    <w:rPr>
      <w:rFonts w:hint="eastAsia" w:ascii="宋体" w:hAnsi="宋体" w:eastAsia="宋体" w:cs="宋体"/>
      <w:color w:val="000000"/>
      <w:sz w:val="20"/>
      <w:szCs w:val="20"/>
      <w:u w:val="none"/>
    </w:rPr>
  </w:style>
  <w:style w:type="character" w:customStyle="1" w:styleId="101">
    <w:name w:val="文档结构图 Char Char"/>
    <w:qFormat/>
    <w:uiPriority w:val="0"/>
    <w:rPr>
      <w:rFonts w:hint="eastAsia" w:ascii="Microsoft YaHei UI" w:hAnsi="Tahoma" w:eastAsia="Microsoft YaHei UI" w:cs="Microsoft YaHei UI"/>
      <w:kern w:val="2"/>
      <w:sz w:val="18"/>
      <w:szCs w:val="18"/>
    </w:rPr>
  </w:style>
  <w:style w:type="character" w:customStyle="1" w:styleId="102">
    <w:name w:val="HTML 预设格式 Char2"/>
    <w:qFormat/>
    <w:uiPriority w:val="0"/>
    <w:rPr>
      <w:rFonts w:ascii="Courier New" w:hAnsi="Courier New" w:cs="Courier New"/>
      <w:kern w:val="2"/>
      <w:sz w:val="24"/>
      <w:szCs w:val="20"/>
    </w:rPr>
  </w:style>
  <w:style w:type="character" w:customStyle="1" w:styleId="103">
    <w:name w:val="正文文本缩进 2 Char Char"/>
    <w:qFormat/>
    <w:uiPriority w:val="0"/>
    <w:rPr>
      <w:rFonts w:ascii="Tahoma" w:hAnsi="Tahoma"/>
      <w:kern w:val="2"/>
      <w:sz w:val="21"/>
      <w:szCs w:val="20"/>
    </w:rPr>
  </w:style>
  <w:style w:type="character" w:customStyle="1" w:styleId="104">
    <w:name w:val="c_title1"/>
    <w:qFormat/>
    <w:uiPriority w:val="0"/>
    <w:rPr>
      <w:rFonts w:hint="eastAsia" w:ascii="黑体" w:hAnsi="Tahoma" w:eastAsia="黑体" w:cs="黑体"/>
      <w:b/>
      <w:color w:val="03005C"/>
      <w:sz w:val="30"/>
      <w:szCs w:val="30"/>
      <w:u w:val="none"/>
    </w:rPr>
  </w:style>
  <w:style w:type="character" w:customStyle="1" w:styleId="105">
    <w:name w:val="a41"/>
    <w:qFormat/>
    <w:uiPriority w:val="0"/>
    <w:rPr>
      <w:rFonts w:ascii="Tahoma" w:hAnsi="Tahoma"/>
      <w:color w:val="666666"/>
      <w:sz w:val="26"/>
      <w:szCs w:val="26"/>
    </w:rPr>
  </w:style>
  <w:style w:type="character" w:customStyle="1" w:styleId="106">
    <w:name w:val="正文文本缩进 Char Char"/>
    <w:qFormat/>
    <w:uiPriority w:val="0"/>
    <w:rPr>
      <w:rFonts w:ascii="Tahoma" w:hAnsi="Tahoma"/>
      <w:kern w:val="2"/>
      <w:sz w:val="21"/>
      <w:szCs w:val="24"/>
    </w:rPr>
  </w:style>
  <w:style w:type="character" w:customStyle="1" w:styleId="107">
    <w:name w:val="Table Text Char Char Char Char"/>
    <w:qFormat/>
    <w:uiPriority w:val="0"/>
    <w:rPr>
      <w:rFonts w:hint="default" w:ascii="Arial" w:hAnsi="Arial" w:eastAsia="宋体" w:cs="Arial"/>
      <w:kern w:val="2"/>
      <w:sz w:val="18"/>
      <w:szCs w:val="18"/>
      <w:lang w:val="en-US" w:eastAsia="zh-CN"/>
    </w:rPr>
  </w:style>
  <w:style w:type="character" w:customStyle="1" w:styleId="108">
    <w:name w:val="样式 标题 1合同标题卷标题H1h1Level 1 Topic HeadingH11H12H111H13H1... Char Char"/>
    <w:qFormat/>
    <w:uiPriority w:val="0"/>
    <w:rPr>
      <w:rFonts w:hint="eastAsia" w:ascii="宋体" w:hAnsi="宋体" w:eastAsia="宋体" w:cs="宋体"/>
      <w:b/>
      <w:kern w:val="44"/>
      <w:sz w:val="24"/>
      <w:szCs w:val="44"/>
      <w:lang w:val="en-US" w:eastAsia="zh-CN"/>
    </w:rPr>
  </w:style>
  <w:style w:type="character" w:customStyle="1" w:styleId="109">
    <w:name w:val="r21"/>
    <w:qFormat/>
    <w:uiPriority w:val="0"/>
    <w:rPr>
      <w:rFonts w:hint="default" w:ascii="Tahoma" w:hAnsi="Tahoma" w:eastAsia="Tahoma" w:cs="Tahoma"/>
      <w:b/>
      <w:color w:val="666666"/>
      <w:sz w:val="18"/>
      <w:szCs w:val="18"/>
      <w:u w:val="none"/>
    </w:rPr>
  </w:style>
  <w:style w:type="character" w:customStyle="1" w:styleId="110">
    <w:name w:val="文档结构图 Char1"/>
    <w:qFormat/>
    <w:uiPriority w:val="0"/>
    <w:rPr>
      <w:rFonts w:hint="eastAsia" w:ascii="宋体" w:hAnsi="宋体" w:eastAsia="宋体" w:cs="宋体"/>
      <w:kern w:val="2"/>
      <w:sz w:val="18"/>
      <w:szCs w:val="18"/>
    </w:rPr>
  </w:style>
  <w:style w:type="character" w:customStyle="1" w:styleId="111">
    <w:name w:val="Plain Text Char"/>
    <w:qFormat/>
    <w:uiPriority w:val="0"/>
    <w:rPr>
      <w:rFonts w:ascii="宋体" w:hAnsi="Courier New" w:eastAsia="宋体" w:cs="Times New Roman"/>
      <w:sz w:val="20"/>
      <w:szCs w:val="20"/>
    </w:rPr>
  </w:style>
  <w:style w:type="character" w:customStyle="1" w:styleId="112">
    <w:name w:val="font141"/>
    <w:qFormat/>
    <w:uiPriority w:val="0"/>
    <w:rPr>
      <w:rFonts w:hint="default" w:ascii="Tahoma" w:hAnsi="Tahoma" w:eastAsia="Tahoma" w:cs="Tahoma"/>
      <w:sz w:val="24"/>
      <w:szCs w:val="24"/>
    </w:rPr>
  </w:style>
  <w:style w:type="character" w:customStyle="1" w:styleId="113">
    <w:name w:val="纯文本 字符1"/>
    <w:qFormat/>
    <w:uiPriority w:val="0"/>
    <w:rPr>
      <w:rFonts w:ascii="等线" w:hAnsi="Courier New" w:eastAsia="等线" w:cs="Courier New"/>
      <w:kern w:val="2"/>
      <w:sz w:val="21"/>
      <w:szCs w:val="24"/>
    </w:rPr>
  </w:style>
  <w:style w:type="character" w:customStyle="1" w:styleId="114">
    <w:name w:val="fontheight2"/>
    <w:qFormat/>
    <w:uiPriority w:val="0"/>
    <w:rPr>
      <w:rFonts w:ascii="Tahoma" w:hAnsi="Tahoma"/>
      <w:sz w:val="20"/>
      <w:szCs w:val="20"/>
      <w:u w:val="none"/>
    </w:rPr>
  </w:style>
  <w:style w:type="character" w:customStyle="1" w:styleId="115">
    <w:name w:val="kleintab"/>
    <w:qFormat/>
    <w:uiPriority w:val="0"/>
    <w:rPr>
      <w:rFonts w:hint="default" w:ascii="Tahoma" w:hAnsi="Tahoma" w:eastAsia="Tahoma" w:cs="Tahoma"/>
      <w:b/>
      <w:sz w:val="24"/>
      <w:szCs w:val="24"/>
    </w:rPr>
  </w:style>
  <w:style w:type="character" w:customStyle="1" w:styleId="116">
    <w:name w:val="text1"/>
    <w:qFormat/>
    <w:uiPriority w:val="0"/>
    <w:rPr>
      <w:rFonts w:ascii="Tahoma" w:hAnsi="Tahoma"/>
      <w:color w:val="000000"/>
      <w:sz w:val="24"/>
      <w:szCs w:val="24"/>
    </w:rPr>
  </w:style>
  <w:style w:type="character" w:customStyle="1" w:styleId="117">
    <w:name w:val="标题 2 Char"/>
    <w:qFormat/>
    <w:uiPriority w:val="0"/>
    <w:rPr>
      <w:rFonts w:hint="default" w:ascii="Arial" w:hAnsi="Arial" w:eastAsia="黑体" w:cs="Arial"/>
      <w:b/>
      <w:kern w:val="2"/>
      <w:sz w:val="32"/>
      <w:szCs w:val="32"/>
    </w:rPr>
  </w:style>
  <w:style w:type="character" w:customStyle="1" w:styleId="118">
    <w:name w:val="页码1"/>
    <w:qFormat/>
    <w:uiPriority w:val="0"/>
    <w:rPr>
      <w:rFonts w:hint="default" w:ascii="Times New Roman" w:hAnsi="Tahoma" w:cs="Times New Roman"/>
      <w:b/>
      <w:sz w:val="24"/>
      <w:szCs w:val="24"/>
    </w:rPr>
  </w:style>
  <w:style w:type="character" w:customStyle="1" w:styleId="119">
    <w:name w:val="font71"/>
    <w:qFormat/>
    <w:uiPriority w:val="0"/>
    <w:rPr>
      <w:rFonts w:hint="eastAsia" w:ascii="宋体" w:hAnsi="宋体" w:eastAsia="宋体" w:cs="宋体"/>
      <w:b/>
      <w:color w:val="000000"/>
      <w:sz w:val="22"/>
      <w:szCs w:val="22"/>
      <w:u w:val="none"/>
    </w:rPr>
  </w:style>
  <w:style w:type="character" w:customStyle="1" w:styleId="120">
    <w:name w:val="medium_text1"/>
    <w:qFormat/>
    <w:uiPriority w:val="0"/>
    <w:rPr>
      <w:rFonts w:hint="default" w:ascii="Times New Roman" w:hAnsi="Times New Roman" w:cs="Times New Roman"/>
      <w:sz w:val="24"/>
      <w:szCs w:val="24"/>
    </w:rPr>
  </w:style>
  <w:style w:type="character" w:customStyle="1" w:styleId="121">
    <w:name w:val="md1"/>
    <w:qFormat/>
    <w:uiPriority w:val="0"/>
    <w:rPr>
      <w:rFonts w:ascii="Tahoma" w:hAnsi="Tahoma"/>
      <w:sz w:val="21"/>
      <w:szCs w:val="21"/>
    </w:rPr>
  </w:style>
  <w:style w:type="character" w:customStyle="1" w:styleId="122">
    <w:name w:val="tx_news9"/>
    <w:qFormat/>
    <w:uiPriority w:val="0"/>
    <w:rPr>
      <w:rFonts w:hint="default" w:ascii="Tahoma" w:hAnsi="Tahoma" w:eastAsia="Tahoma" w:cs="Tahoma"/>
      <w:b/>
      <w:sz w:val="24"/>
      <w:szCs w:val="24"/>
    </w:rPr>
  </w:style>
  <w:style w:type="character" w:customStyle="1" w:styleId="123">
    <w:name w:val="正文文本缩进 字符1"/>
    <w:qFormat/>
    <w:uiPriority w:val="0"/>
    <w:rPr>
      <w:rFonts w:ascii="Tahoma" w:hAnsi="Tahoma"/>
      <w:kern w:val="2"/>
      <w:sz w:val="21"/>
      <w:szCs w:val="24"/>
    </w:rPr>
  </w:style>
  <w:style w:type="character" w:customStyle="1" w:styleId="124">
    <w:name w:val="纯文本 Char Char"/>
    <w:qFormat/>
    <w:uiPriority w:val="0"/>
    <w:rPr>
      <w:rFonts w:ascii="宋体" w:hAnsi="Courier New" w:eastAsia="宋体"/>
      <w:kern w:val="2"/>
      <w:sz w:val="24"/>
      <w:szCs w:val="24"/>
      <w:lang w:val="en-US" w:eastAsia="zh-CN" w:bidi="ar-SA"/>
    </w:rPr>
  </w:style>
  <w:style w:type="character" w:customStyle="1" w:styleId="125">
    <w:name w:val="aa1"/>
    <w:qFormat/>
    <w:uiPriority w:val="0"/>
    <w:rPr>
      <w:rFonts w:hint="default" w:ascii="Tahoma" w:hAnsi="Tahoma" w:eastAsia="Tahoma" w:cs="Tahoma"/>
      <w:b/>
      <w:sz w:val="24"/>
      <w:szCs w:val="24"/>
    </w:rPr>
  </w:style>
  <w:style w:type="character" w:customStyle="1" w:styleId="126">
    <w:name w:val="font11"/>
    <w:qFormat/>
    <w:uiPriority w:val="0"/>
    <w:rPr>
      <w:rFonts w:hint="eastAsia" w:ascii="宋体" w:hAnsi="宋体" w:eastAsia="宋体"/>
      <w:color w:val="000000"/>
      <w:sz w:val="18"/>
      <w:szCs w:val="18"/>
      <w:u w:val="none"/>
    </w:rPr>
  </w:style>
  <w:style w:type="character" w:customStyle="1" w:styleId="127">
    <w:name w:val="font112"/>
    <w:qFormat/>
    <w:uiPriority w:val="0"/>
    <w:rPr>
      <w:rFonts w:hint="eastAsia" w:ascii="宋体" w:hAnsi="宋体" w:eastAsia="宋体" w:cs="宋体"/>
      <w:b/>
      <w:color w:val="000000"/>
      <w:sz w:val="22"/>
      <w:szCs w:val="22"/>
      <w:u w:val="none"/>
    </w:rPr>
  </w:style>
  <w:style w:type="character" w:customStyle="1" w:styleId="128">
    <w:name w:val="font61"/>
    <w:qFormat/>
    <w:uiPriority w:val="0"/>
    <w:rPr>
      <w:rFonts w:hint="eastAsia" w:ascii="宋体" w:hAnsi="宋体" w:eastAsia="宋体" w:cs="宋体"/>
      <w:color w:val="000000"/>
      <w:sz w:val="20"/>
      <w:szCs w:val="20"/>
      <w:u w:val="none"/>
    </w:rPr>
  </w:style>
  <w:style w:type="character" w:customStyle="1" w:styleId="129">
    <w:name w:val="msobooktitle"/>
    <w:qFormat/>
    <w:uiPriority w:val="0"/>
    <w:rPr>
      <w:rFonts w:ascii="Tahoma" w:hAnsi="Tahoma"/>
      <w:b/>
      <w:smallCaps/>
      <w:spacing w:val="5"/>
      <w:sz w:val="24"/>
      <w:szCs w:val="20"/>
    </w:rPr>
  </w:style>
  <w:style w:type="character" w:customStyle="1" w:styleId="130">
    <w:name w:val="样式 宋体"/>
    <w:qFormat/>
    <w:uiPriority w:val="0"/>
    <w:rPr>
      <w:rFonts w:ascii="宋体" w:hAnsi="宋体" w:eastAsia="宋体"/>
      <w:sz w:val="24"/>
      <w:szCs w:val="24"/>
    </w:rPr>
  </w:style>
  <w:style w:type="character" w:customStyle="1" w:styleId="131">
    <w:name w:val="font181"/>
    <w:qFormat/>
    <w:uiPriority w:val="0"/>
    <w:rPr>
      <w:rFonts w:hint="default" w:ascii="Times New Roman" w:hAnsi="Times New Roman" w:cs="Times New Roman"/>
      <w:b/>
      <w:color w:val="000000"/>
      <w:sz w:val="22"/>
      <w:szCs w:val="22"/>
      <w:u w:val="none"/>
    </w:rPr>
  </w:style>
  <w:style w:type="character" w:customStyle="1" w:styleId="132">
    <w:name w:val="页脚 字符1"/>
    <w:qFormat/>
    <w:uiPriority w:val="0"/>
    <w:rPr>
      <w:rFonts w:ascii="Tahoma" w:hAnsi="Tahoma"/>
      <w:kern w:val="2"/>
      <w:sz w:val="18"/>
      <w:szCs w:val="18"/>
    </w:rPr>
  </w:style>
  <w:style w:type="character" w:customStyle="1" w:styleId="133">
    <w:name w:val="批注主题 Char Char"/>
    <w:qFormat/>
    <w:uiPriority w:val="0"/>
    <w:rPr>
      <w:kern w:val="2"/>
      <w:sz w:val="21"/>
      <w:szCs w:val="24"/>
    </w:rPr>
  </w:style>
  <w:style w:type="character" w:customStyle="1" w:styleId="134">
    <w:name w:val="普通文字 Char Char1"/>
    <w:qFormat/>
    <w:uiPriority w:val="0"/>
    <w:rPr>
      <w:rFonts w:ascii="宋体" w:hAnsi="Courier New" w:eastAsia="宋体"/>
      <w:kern w:val="2"/>
      <w:sz w:val="24"/>
      <w:szCs w:val="24"/>
      <w:lang w:val="en-US" w:eastAsia="zh-CN" w:bidi="ar-SA"/>
    </w:rPr>
  </w:style>
  <w:style w:type="character" w:customStyle="1" w:styleId="135">
    <w:name w:val="页脚 Char Char"/>
    <w:qFormat/>
    <w:uiPriority w:val="0"/>
    <w:rPr>
      <w:rFonts w:eastAsia="黑体"/>
      <w:snapToGrid w:val="0"/>
      <w:kern w:val="2"/>
      <w:sz w:val="18"/>
      <w:szCs w:val="18"/>
    </w:rPr>
  </w:style>
  <w:style w:type="character" w:customStyle="1" w:styleId="136">
    <w:name w:val="标题 1 字符"/>
    <w:qFormat/>
    <w:uiPriority w:val="0"/>
    <w:rPr>
      <w:rFonts w:ascii="Tahoma" w:hAnsi="Tahoma"/>
      <w:b/>
      <w:kern w:val="44"/>
      <w:sz w:val="44"/>
      <w:szCs w:val="44"/>
    </w:rPr>
  </w:style>
  <w:style w:type="character" w:customStyle="1" w:styleId="137">
    <w:name w:val="纯文本 Char1"/>
    <w:qFormat/>
    <w:uiPriority w:val="0"/>
    <w:rPr>
      <w:rFonts w:ascii="宋体" w:hAnsi="Courier New" w:eastAsia="宋体" w:cs="Courier New"/>
      <w:kern w:val="2"/>
      <w:sz w:val="21"/>
      <w:szCs w:val="21"/>
      <w:lang w:val="en-US" w:eastAsia="zh-CN" w:bidi="ar-SA"/>
    </w:rPr>
  </w:style>
  <w:style w:type="character" w:customStyle="1" w:styleId="138">
    <w:name w:val="正文文本 3 Char Char"/>
    <w:qFormat/>
    <w:uiPriority w:val="0"/>
    <w:rPr>
      <w:rFonts w:ascii="Tahoma" w:hAnsi="Tahoma"/>
      <w:kern w:val="2"/>
      <w:sz w:val="16"/>
      <w:szCs w:val="16"/>
    </w:rPr>
  </w:style>
  <w:style w:type="character" w:customStyle="1" w:styleId="139">
    <w:name w:val="H5 Char"/>
    <w:qFormat/>
    <w:uiPriority w:val="0"/>
    <w:rPr>
      <w:rFonts w:ascii="Tahoma" w:hAnsi="Tahoma"/>
      <w:sz w:val="28"/>
      <w:szCs w:val="20"/>
    </w:rPr>
  </w:style>
  <w:style w:type="character" w:customStyle="1" w:styleId="140">
    <w:name w:val="HTML 预设格式 Char1"/>
    <w:qFormat/>
    <w:uiPriority w:val="0"/>
    <w:rPr>
      <w:rFonts w:hint="default" w:ascii="Courier New" w:hAnsi="Courier New" w:cs="Courier New"/>
      <w:kern w:val="2"/>
      <w:sz w:val="24"/>
      <w:szCs w:val="20"/>
    </w:rPr>
  </w:style>
  <w:style w:type="character" w:customStyle="1" w:styleId="141">
    <w:name w:val="正文文本缩进 Char2"/>
    <w:qFormat/>
    <w:uiPriority w:val="0"/>
    <w:rPr>
      <w:rFonts w:hint="eastAsia" w:ascii="宋体" w:hAnsi="Courier New" w:eastAsia="宋体" w:cs="宋体"/>
      <w:spacing w:val="-4"/>
      <w:kern w:val="2"/>
      <w:sz w:val="18"/>
      <w:szCs w:val="20"/>
    </w:rPr>
  </w:style>
  <w:style w:type="character" w:customStyle="1" w:styleId="142">
    <w:name w:val="样式 标题 1合同标题卷标题H1h1Level 1 Topic HeadingH11H12H111H13H1... Char"/>
    <w:qFormat/>
    <w:uiPriority w:val="0"/>
    <w:rPr>
      <w:rFonts w:ascii="宋体" w:hAnsi="宋体" w:eastAsia="宋体"/>
      <w:b/>
      <w:bCs/>
      <w:kern w:val="44"/>
      <w:sz w:val="24"/>
      <w:szCs w:val="44"/>
      <w:lang w:val="en-US" w:eastAsia="zh-CN" w:bidi="ar-SA"/>
    </w:rPr>
  </w:style>
  <w:style w:type="character" w:customStyle="1" w:styleId="143">
    <w:name w:val="font31"/>
    <w:basedOn w:val="48"/>
    <w:qFormat/>
    <w:uiPriority w:val="0"/>
    <w:rPr>
      <w:rFonts w:hint="eastAsia" w:ascii="Microsoft JhengHei" w:hAnsi="Microsoft JhengHei" w:eastAsia="Microsoft JhengHei" w:cs="Microsoft JhengHei"/>
      <w:b/>
      <w:color w:val="000000"/>
      <w:sz w:val="11"/>
      <w:szCs w:val="11"/>
      <w:u w:val="none"/>
    </w:rPr>
  </w:style>
  <w:style w:type="paragraph" w:customStyle="1" w:styleId="144">
    <w:name w:val="正文缩进2格"/>
    <w:basedOn w:val="1"/>
    <w:qFormat/>
    <w:uiPriority w:val="0"/>
    <w:pPr>
      <w:spacing w:line="600" w:lineRule="exact"/>
      <w:ind w:firstLine="639" w:firstLineChars="206"/>
    </w:pPr>
    <w:rPr>
      <w:rFonts w:hint="eastAsia" w:ascii="仿宋_GB2312" w:hAnsi="宋体" w:eastAsia="仿宋_GB2312"/>
      <w:sz w:val="31"/>
      <w:szCs w:val="28"/>
    </w:rPr>
  </w:style>
  <w:style w:type="paragraph" w:customStyle="1" w:styleId="145">
    <w:name w:val="Char Char Char Char Char Char Char Char Char Char Char Char1 Char"/>
    <w:basedOn w:val="17"/>
    <w:qFormat/>
    <w:uiPriority w:val="0"/>
    <w:rPr>
      <w:rFonts w:ascii="Tahoma" w:hAnsi="Tahoma"/>
      <w:sz w:val="24"/>
    </w:rPr>
  </w:style>
  <w:style w:type="paragraph" w:customStyle="1" w:styleId="146">
    <w:name w:val="表格"/>
    <w:basedOn w:val="1"/>
    <w:qFormat/>
    <w:uiPriority w:val="0"/>
    <w:pPr>
      <w:widowControl/>
      <w:jc w:val="center"/>
    </w:pPr>
    <w:rPr>
      <w:rFonts w:ascii="宋体" w:hAnsi="宋体"/>
      <w:bCs/>
      <w:color w:val="000000"/>
      <w:kern w:val="0"/>
      <w:szCs w:val="21"/>
    </w:rPr>
  </w:style>
  <w:style w:type="paragraph" w:customStyle="1" w:styleId="147">
    <w:name w:val="一级条标题"/>
    <w:basedOn w:val="1"/>
    <w:next w:val="148"/>
    <w:qFormat/>
    <w:uiPriority w:val="0"/>
    <w:pPr>
      <w:widowControl/>
      <w:numPr>
        <w:ilvl w:val="1"/>
        <w:numId w:val="2"/>
      </w:numPr>
      <w:spacing w:beforeLines="50"/>
      <w:outlineLvl w:val="2"/>
    </w:pPr>
    <w:rPr>
      <w:rFonts w:hint="eastAsia" w:ascii="黑体" w:eastAsia="黑体"/>
      <w:kern w:val="0"/>
      <w:sz w:val="20"/>
      <w:szCs w:val="21"/>
    </w:rPr>
  </w:style>
  <w:style w:type="paragraph" w:customStyle="1" w:styleId="14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9">
    <w:name w:val="Char Char Char Char Char Char"/>
    <w:basedOn w:val="1"/>
    <w:qFormat/>
    <w:uiPriority w:val="0"/>
    <w:pPr>
      <w:ind w:firstLine="200" w:firstLineChars="200"/>
    </w:pPr>
    <w:rPr>
      <w:rFonts w:ascii="Tahoma" w:hAnsi="Tahoma"/>
      <w:sz w:val="24"/>
      <w:szCs w:val="20"/>
    </w:rPr>
  </w:style>
  <w:style w:type="paragraph" w:customStyle="1" w:styleId="150">
    <w:name w:val="正文1"/>
    <w:qFormat/>
    <w:uiPriority w:val="99"/>
    <w:pPr>
      <w:widowControl w:val="0"/>
      <w:jc w:val="both"/>
    </w:pPr>
    <w:rPr>
      <w:rFonts w:ascii="Calibri" w:hAnsi="Calibri" w:eastAsia="宋体" w:cs="Calibri"/>
      <w:kern w:val="2"/>
      <w:sz w:val="21"/>
      <w:szCs w:val="21"/>
      <w:lang w:val="en-US" w:eastAsia="zh-CN" w:bidi="ar-SA"/>
    </w:rPr>
  </w:style>
  <w:style w:type="paragraph" w:customStyle="1" w:styleId="151">
    <w:name w:val="方案正文"/>
    <w:basedOn w:val="1"/>
    <w:qFormat/>
    <w:uiPriority w:val="0"/>
    <w:pPr>
      <w:spacing w:before="120" w:line="360" w:lineRule="auto"/>
      <w:ind w:firstLine="425" w:firstLineChars="177"/>
    </w:pPr>
    <w:rPr>
      <w:rFonts w:ascii="华文细黑" w:hAnsi="华文细黑" w:eastAsia="华文细黑"/>
      <w:sz w:val="24"/>
    </w:rPr>
  </w:style>
  <w:style w:type="paragraph" w:customStyle="1" w:styleId="152">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53">
    <w:name w:val="_Style 1"/>
    <w:basedOn w:val="1"/>
    <w:qFormat/>
    <w:uiPriority w:val="0"/>
    <w:pPr>
      <w:ind w:firstLine="420" w:firstLineChars="200"/>
    </w:pPr>
    <w:rPr>
      <w:rFonts w:ascii="Calibri" w:hAnsi="Calibri"/>
      <w:szCs w:val="22"/>
    </w:rPr>
  </w:style>
  <w:style w:type="paragraph" w:customStyle="1" w:styleId="154">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155">
    <w:name w:val="Char Char Char1 Char8"/>
    <w:basedOn w:val="1"/>
    <w:qFormat/>
    <w:uiPriority w:val="0"/>
    <w:pPr>
      <w:spacing w:line="360" w:lineRule="auto"/>
      <w:ind w:firstLine="200" w:firstLineChars="200"/>
    </w:pPr>
    <w:rPr>
      <w:rFonts w:hint="eastAsia" w:ascii="宋体" w:hAnsi="宋体"/>
      <w:sz w:val="24"/>
      <w:szCs w:val="20"/>
    </w:rPr>
  </w:style>
  <w:style w:type="paragraph" w:customStyle="1" w:styleId="156">
    <w:name w:val="List Paragraph1"/>
    <w:basedOn w:val="1"/>
    <w:qFormat/>
    <w:uiPriority w:val="34"/>
    <w:pPr>
      <w:ind w:firstLine="420" w:firstLineChars="200"/>
    </w:pPr>
  </w:style>
  <w:style w:type="paragraph" w:customStyle="1" w:styleId="157">
    <w:name w:val="Normal Char"/>
    <w:basedOn w:val="1"/>
    <w:qFormat/>
    <w:uiPriority w:val="0"/>
    <w:pPr>
      <w:suppressAutoHyphens/>
      <w:autoSpaceDE w:val="0"/>
      <w:jc w:val="left"/>
    </w:pPr>
    <w:rPr>
      <w:rFonts w:ascii="Thorndale" w:hAnsi="Thorndale" w:eastAsia="HG Mincho Light J"/>
      <w:color w:val="000000"/>
      <w:kern w:val="0"/>
      <w:sz w:val="20"/>
      <w:szCs w:val="20"/>
      <w:lang w:val="hu-HU"/>
    </w:rPr>
  </w:style>
  <w:style w:type="paragraph" w:customStyle="1" w:styleId="158">
    <w:name w:val="p0"/>
    <w:basedOn w:val="1"/>
    <w:qFormat/>
    <w:uiPriority w:val="0"/>
    <w:pPr>
      <w:widowControl/>
    </w:pPr>
    <w:rPr>
      <w:kern w:val="0"/>
      <w:szCs w:val="21"/>
    </w:rPr>
  </w:style>
  <w:style w:type="paragraph" w:customStyle="1" w:styleId="159">
    <w:name w:val="正文表标题"/>
    <w:next w:val="148"/>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160">
    <w:name w:val="Table Paragraph"/>
    <w:basedOn w:val="1"/>
    <w:qFormat/>
    <w:uiPriority w:val="1"/>
    <w:pPr>
      <w:spacing w:before="94"/>
      <w:jc w:val="center"/>
    </w:pPr>
    <w:rPr>
      <w:rFonts w:ascii="宋体" w:hAnsi="宋体" w:cs="宋体"/>
      <w:lang w:val="zh-CN" w:bidi="zh-CN"/>
    </w:rPr>
  </w:style>
  <w:style w:type="paragraph" w:customStyle="1" w:styleId="161">
    <w:name w:val="自由格式 A"/>
    <w:qFormat/>
    <w:uiPriority w:val="0"/>
    <w:rPr>
      <w:rFonts w:ascii="Helvetica" w:hAnsi="Helvetica" w:eastAsia="ヒラギノ角ゴ Pro W3" w:cs="Times New Roman"/>
      <w:color w:val="000000"/>
      <w:sz w:val="24"/>
      <w:lang w:val="en-US" w:eastAsia="zh-CN" w:bidi="ar-SA"/>
    </w:rPr>
  </w:style>
  <w:style w:type="paragraph" w:customStyle="1" w:styleId="16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63">
    <w:name w:val="_Style 3"/>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164">
    <w:name w:val="List Paragraph"/>
    <w:basedOn w:val="1"/>
    <w:qFormat/>
    <w:uiPriority w:val="0"/>
    <w:pPr>
      <w:ind w:firstLine="420" w:firstLineChars="200"/>
    </w:pPr>
    <w:rPr>
      <w:rFonts w:ascii="Calibri" w:hAnsi="Calibri"/>
      <w:szCs w:val="22"/>
    </w:rPr>
  </w:style>
  <w:style w:type="paragraph" w:customStyle="1" w:styleId="165">
    <w:name w:val="列出段落8"/>
    <w:basedOn w:val="1"/>
    <w:qFormat/>
    <w:uiPriority w:val="34"/>
    <w:pPr>
      <w:ind w:firstLine="420"/>
    </w:pPr>
    <w:rPr>
      <w:rFonts w:ascii="Calibri" w:hAnsi="Calibri"/>
      <w:szCs w:val="22"/>
    </w:rPr>
  </w:style>
  <w:style w:type="paragraph" w:customStyle="1" w:styleId="166">
    <w:name w:val="二级无"/>
    <w:basedOn w:val="167"/>
    <w:qFormat/>
    <w:uiPriority w:val="0"/>
    <w:pPr>
      <w:tabs>
        <w:tab w:val="left" w:pos="1260"/>
        <w:tab w:val="left" w:pos="1680"/>
      </w:tabs>
      <w:spacing w:beforeLines="0"/>
    </w:pPr>
    <w:rPr>
      <w:rFonts w:ascii="宋体" w:eastAsia="宋体"/>
      <w:sz w:val="21"/>
    </w:rPr>
  </w:style>
  <w:style w:type="paragraph" w:customStyle="1" w:styleId="167">
    <w:name w:val="二级条标题"/>
    <w:basedOn w:val="147"/>
    <w:next w:val="148"/>
    <w:qFormat/>
    <w:uiPriority w:val="0"/>
    <w:pPr>
      <w:numPr>
        <w:ilvl w:val="3"/>
        <w:numId w:val="4"/>
      </w:numPr>
      <w:tabs>
        <w:tab w:val="clear" w:pos="1080"/>
      </w:tabs>
      <w:ind w:left="2310" w:firstLine="0"/>
      <w:outlineLvl w:val="3"/>
    </w:pPr>
  </w:style>
  <w:style w:type="paragraph" w:customStyle="1" w:styleId="168">
    <w:name w:val="Char Char Char Char Char Char Char Char Char Char Char Char"/>
    <w:basedOn w:val="1"/>
    <w:qFormat/>
    <w:uiPriority w:val="0"/>
    <w:pPr>
      <w:widowControl/>
      <w:spacing w:after="160" w:line="240" w:lineRule="exact"/>
      <w:jc w:val="left"/>
    </w:pPr>
  </w:style>
  <w:style w:type="paragraph" w:customStyle="1" w:styleId="169">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0">
    <w:name w:val="_Style 0"/>
    <w:basedOn w:val="1"/>
    <w:qFormat/>
    <w:uiPriority w:val="0"/>
    <w:rPr>
      <w:szCs w:val="21"/>
    </w:rPr>
  </w:style>
  <w:style w:type="paragraph" w:customStyle="1" w:styleId="171">
    <w:name w:val="正文 New"/>
    <w:basedOn w:val="1"/>
    <w:qFormat/>
    <w:uiPriority w:val="0"/>
  </w:style>
  <w:style w:type="paragraph" w:customStyle="1" w:styleId="172">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73">
    <w:name w:val="Char Char Char Char Char Char Char Char Char Char Char Char1 Char1"/>
    <w:basedOn w:val="17"/>
    <w:qFormat/>
    <w:uiPriority w:val="0"/>
    <w:rPr>
      <w:rFonts w:ascii="Tahoma" w:hAnsi="Tahoma"/>
      <w:sz w:val="24"/>
    </w:rPr>
  </w:style>
  <w:style w:type="paragraph" w:customStyle="1" w:styleId="17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75">
    <w:name w:val="--规划正文"/>
    <w:basedOn w:val="1"/>
    <w:qFormat/>
    <w:uiPriority w:val="0"/>
    <w:pPr>
      <w:spacing w:line="360" w:lineRule="auto"/>
      <w:ind w:firstLine="200" w:firstLineChars="200"/>
    </w:pPr>
    <w:rPr>
      <w:szCs w:val="20"/>
    </w:rPr>
  </w:style>
  <w:style w:type="paragraph" w:customStyle="1" w:styleId="176">
    <w:name w:val="此正文"/>
    <w:basedOn w:val="1"/>
    <w:qFormat/>
    <w:uiPriority w:val="0"/>
    <w:pPr>
      <w:spacing w:line="360" w:lineRule="auto"/>
      <w:ind w:firstLine="200" w:firstLineChars="200"/>
    </w:pPr>
    <w:rPr>
      <w:sz w:val="24"/>
    </w:rPr>
  </w:style>
  <w:style w:type="paragraph" w:customStyle="1" w:styleId="177">
    <w:name w:val="xl82"/>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78">
    <w:name w:val="msonospacing"/>
    <w:basedOn w:val="1"/>
    <w:qFormat/>
    <w:uiPriority w:val="0"/>
    <w:rPr>
      <w:szCs w:val="21"/>
    </w:rPr>
  </w:style>
  <w:style w:type="paragraph" w:styleId="179">
    <w:name w:val="No Spacing"/>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80">
    <w:name w:val="样式5"/>
    <w:basedOn w:val="1"/>
    <w:qFormat/>
    <w:uiPriority w:val="0"/>
    <w:pPr>
      <w:spacing w:before="120" w:line="360" w:lineRule="auto"/>
      <w:ind w:firstLine="425" w:firstLineChars="177"/>
    </w:pPr>
    <w:rPr>
      <w:rFonts w:ascii="华文细黑" w:hAnsi="华文细黑" w:eastAsia="华文细黑"/>
      <w:sz w:val="24"/>
    </w:rPr>
  </w:style>
  <w:style w:type="paragraph" w:customStyle="1" w:styleId="181">
    <w:name w:val="正文文本缩进1"/>
    <w:basedOn w:val="1"/>
    <w:qFormat/>
    <w:uiPriority w:val="0"/>
    <w:pPr>
      <w:spacing w:line="200" w:lineRule="exact"/>
      <w:ind w:firstLine="301"/>
    </w:pPr>
    <w:rPr>
      <w:rFonts w:hint="eastAsia" w:ascii="宋体" w:hAnsi="Courier New"/>
      <w:spacing w:val="-4"/>
      <w:sz w:val="18"/>
    </w:rPr>
  </w:style>
  <w:style w:type="paragraph" w:customStyle="1" w:styleId="182">
    <w:name w:val="Char Char Char1"/>
    <w:basedOn w:val="1"/>
    <w:qFormat/>
    <w:uiPriority w:val="0"/>
  </w:style>
  <w:style w:type="paragraph" w:customStyle="1" w:styleId="183">
    <w:name w:val="章标题"/>
    <w:basedOn w:val="1"/>
    <w:next w:val="148"/>
    <w:qFormat/>
    <w:uiPriority w:val="0"/>
    <w:pPr>
      <w:widowControl/>
      <w:numPr>
        <w:ilvl w:val="0"/>
        <w:numId w:val="5"/>
      </w:numPr>
      <w:spacing w:beforeLines="100"/>
      <w:outlineLvl w:val="1"/>
    </w:pPr>
    <w:rPr>
      <w:rFonts w:hint="eastAsia" w:ascii="黑体" w:eastAsia="黑体"/>
      <w:kern w:val="0"/>
      <w:sz w:val="20"/>
      <w:szCs w:val="20"/>
    </w:rPr>
  </w:style>
  <w:style w:type="paragraph" w:customStyle="1" w:styleId="184">
    <w:name w:val="Char1"/>
    <w:basedOn w:val="1"/>
    <w:qFormat/>
    <w:uiPriority w:val="0"/>
  </w:style>
  <w:style w:type="paragraph" w:customStyle="1" w:styleId="185">
    <w:name w:val="默认段落字体 Para Char Char Char Char Char Char Char"/>
    <w:basedOn w:val="17"/>
    <w:qFormat/>
    <w:uiPriority w:val="0"/>
    <w:pPr>
      <w:adjustRightInd w:val="0"/>
      <w:spacing w:line="436" w:lineRule="exact"/>
      <w:ind w:left="357"/>
      <w:jc w:val="left"/>
      <w:outlineLvl w:val="3"/>
    </w:pPr>
    <w:rPr>
      <w:rFonts w:ascii="Tahoma" w:hAnsi="Tahoma"/>
      <w:b/>
      <w:sz w:val="24"/>
    </w:rPr>
  </w:style>
  <w:style w:type="paragraph" w:customStyle="1" w:styleId="186">
    <w:name w:val="Char Char Char Char Char Char Char"/>
    <w:basedOn w:val="1"/>
    <w:qFormat/>
    <w:uiPriority w:val="0"/>
    <w:rPr>
      <w:rFonts w:ascii="Tahoma" w:hAnsi="Tahoma"/>
      <w:sz w:val="24"/>
      <w:szCs w:val="20"/>
    </w:rPr>
  </w:style>
  <w:style w:type="paragraph" w:customStyle="1" w:styleId="187">
    <w:name w:val="纯文本1"/>
    <w:basedOn w:val="150"/>
    <w:qFormat/>
    <w:uiPriority w:val="99"/>
    <w:pPr>
      <w:widowControl/>
      <w:jc w:val="left"/>
    </w:pPr>
    <w:rPr>
      <w:rFonts w:ascii="宋体" w:hAnsi="Courier New" w:cs="宋体"/>
    </w:rPr>
  </w:style>
  <w:style w:type="paragraph" w:customStyle="1" w:styleId="188">
    <w:name w:val="文档正文"/>
    <w:basedOn w:val="1"/>
    <w:qFormat/>
    <w:uiPriority w:val="0"/>
    <w:pPr>
      <w:adjustRightInd w:val="0"/>
      <w:snapToGrid w:val="0"/>
      <w:spacing w:line="480" w:lineRule="atLeast"/>
      <w:ind w:firstLine="567"/>
    </w:pPr>
    <w:rPr>
      <w:rFonts w:ascii="长城仿宋" w:eastAsia="长城仿宋"/>
      <w:kern w:val="0"/>
      <w:szCs w:val="20"/>
    </w:rPr>
  </w:style>
  <w:style w:type="paragraph" w:customStyle="1" w:styleId="189">
    <w:name w:val="Char11"/>
    <w:basedOn w:val="1"/>
    <w:qFormat/>
    <w:uiPriority w:val="0"/>
    <w:rPr>
      <w:rFonts w:ascii="Tahoma" w:hAnsi="Tahoma"/>
      <w:sz w:val="24"/>
      <w:szCs w:val="20"/>
    </w:rPr>
  </w:style>
  <w:style w:type="paragraph" w:customStyle="1" w:styleId="190">
    <w:name w:val="样式1"/>
    <w:basedOn w:val="6"/>
    <w:qFormat/>
    <w:uiPriority w:val="0"/>
  </w:style>
  <w:style w:type="paragraph" w:customStyle="1" w:styleId="191">
    <w:name w:val="表格文字"/>
    <w:basedOn w:val="1"/>
    <w:next w:val="20"/>
    <w:qFormat/>
    <w:uiPriority w:val="0"/>
    <w:pPr>
      <w:jc w:val="center"/>
    </w:pPr>
    <w:rPr>
      <w:rFonts w:ascii="Arial" w:hAnsi="Arial" w:eastAsia="仿宋_GB2312" w:cs="Arial"/>
      <w:spacing w:val="10"/>
      <w:sz w:val="24"/>
      <w:szCs w:val="28"/>
    </w:rPr>
  </w:style>
  <w:style w:type="paragraph" w:customStyle="1" w:styleId="192">
    <w:name w:val="xl27"/>
    <w:basedOn w:val="1"/>
    <w:qFormat/>
    <w:uiPriority w:val="0"/>
    <w:pPr>
      <w:widowControl/>
      <w:spacing w:before="100" w:beforeAutospacing="1" w:after="100" w:afterAutospacing="1"/>
      <w:textAlignment w:val="top"/>
    </w:pPr>
    <w:rPr>
      <w:rFonts w:ascii="宋体" w:hAnsi="宋体"/>
      <w:kern w:val="0"/>
      <w:sz w:val="24"/>
    </w:rPr>
  </w:style>
  <w:style w:type="paragraph" w:customStyle="1" w:styleId="193">
    <w:name w:val="正文－恩普"/>
    <w:basedOn w:val="9"/>
    <w:qFormat/>
    <w:uiPriority w:val="0"/>
    <w:pPr>
      <w:widowControl/>
      <w:spacing w:line="360" w:lineRule="auto"/>
      <w:ind w:firstLine="480" w:firstLineChars="200"/>
      <w:jc w:val="left"/>
    </w:pPr>
    <w:rPr>
      <w:kern w:val="0"/>
      <w:sz w:val="24"/>
    </w:rPr>
  </w:style>
  <w:style w:type="paragraph" w:customStyle="1" w:styleId="194">
    <w:name w:val="正文段"/>
    <w:basedOn w:val="1"/>
    <w:qFormat/>
    <w:uiPriority w:val="0"/>
    <w:pPr>
      <w:widowControl/>
      <w:snapToGrid w:val="0"/>
      <w:spacing w:afterLines="50"/>
      <w:ind w:firstLine="200" w:firstLineChars="200"/>
    </w:pPr>
    <w:rPr>
      <w:kern w:val="0"/>
      <w:sz w:val="24"/>
      <w:szCs w:val="20"/>
    </w:rPr>
  </w:style>
  <w:style w:type="paragraph" w:customStyle="1" w:styleId="195">
    <w:name w:val="_Style 194"/>
    <w:basedOn w:val="3"/>
    <w:next w:val="1"/>
    <w:qFormat/>
    <w:uiPriority w:val="39"/>
    <w:pPr>
      <w:spacing w:line="578" w:lineRule="auto"/>
      <w:outlineLvl w:val="9"/>
    </w:pPr>
    <w:rPr>
      <w:rFonts w:ascii="Times New Roman" w:hAnsi="Times New Roman"/>
      <w:bCs/>
    </w:rPr>
  </w:style>
  <w:style w:type="paragraph" w:customStyle="1" w:styleId="196">
    <w:name w:val="默认段落字体 Para Char Char Char Char Char Char Char Char Char1 Char Char Char Char"/>
    <w:basedOn w:val="1"/>
    <w:qFormat/>
    <w:uiPriority w:val="0"/>
    <w:rPr>
      <w:rFonts w:ascii="Tahoma" w:hAnsi="Tahoma"/>
      <w:sz w:val="24"/>
      <w:szCs w:val="20"/>
    </w:rPr>
  </w:style>
  <w:style w:type="paragraph" w:customStyle="1" w:styleId="197">
    <w:name w:val="GP正文(无首行缩进)"/>
    <w:basedOn w:val="1"/>
    <w:qFormat/>
    <w:uiPriority w:val="0"/>
    <w:pPr>
      <w:spacing w:line="360" w:lineRule="auto"/>
      <w:ind w:firstLine="480" w:firstLineChars="200"/>
      <w:jc w:val="left"/>
    </w:pPr>
    <w:rPr>
      <w:rFonts w:hAnsi="宋体"/>
      <w:sz w:val="24"/>
    </w:rPr>
  </w:style>
  <w:style w:type="paragraph" w:customStyle="1" w:styleId="198">
    <w:name w:val="正文2"/>
    <w:basedOn w:val="1"/>
    <w:qFormat/>
    <w:uiPriority w:val="0"/>
    <w:pPr>
      <w:adjustRightInd w:val="0"/>
      <w:spacing w:line="318" w:lineRule="atLeast"/>
      <w:ind w:left="369" w:firstLine="369"/>
      <w:textAlignment w:val="baseline"/>
    </w:pPr>
    <w:rPr>
      <w:rFonts w:ascii="宋体"/>
      <w:szCs w:val="20"/>
    </w:rPr>
  </w:style>
  <w:style w:type="paragraph" w:customStyle="1" w:styleId="199">
    <w:name w:val="四级无"/>
    <w:basedOn w:val="1"/>
    <w:qFormat/>
    <w:uiPriority w:val="0"/>
    <w:pPr>
      <w:widowControl/>
      <w:tabs>
        <w:tab w:val="left" w:pos="2100"/>
      </w:tabs>
      <w:ind w:left="2100" w:hanging="420"/>
      <w:jc w:val="left"/>
      <w:outlineLvl w:val="5"/>
    </w:pPr>
    <w:rPr>
      <w:rFonts w:hint="eastAsia" w:ascii="宋体" w:hAnsi="Calibri"/>
      <w:kern w:val="0"/>
    </w:rPr>
  </w:style>
  <w:style w:type="paragraph" w:customStyle="1" w:styleId="200">
    <w:name w:val="Char2"/>
    <w:basedOn w:val="1"/>
    <w:qFormat/>
    <w:uiPriority w:val="0"/>
    <w:pPr>
      <w:tabs>
        <w:tab w:val="left" w:pos="1200"/>
        <w:tab w:val="left" w:pos="1800"/>
      </w:tabs>
      <w:ind w:left="1200" w:hanging="1110"/>
    </w:pPr>
    <w:rPr>
      <w:sz w:val="24"/>
    </w:rPr>
  </w:style>
  <w:style w:type="paragraph" w:customStyle="1" w:styleId="201">
    <w:name w:val="Char Char Char Char"/>
    <w:basedOn w:val="1"/>
    <w:qFormat/>
    <w:uiPriority w:val="0"/>
  </w:style>
  <w:style w:type="paragraph" w:customStyle="1" w:styleId="202">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03">
    <w:name w:val="样式3"/>
    <w:basedOn w:val="27"/>
    <w:next w:val="1"/>
    <w:qFormat/>
    <w:uiPriority w:val="99"/>
    <w:pPr>
      <w:spacing w:line="0" w:lineRule="atLeast"/>
      <w:outlineLvl w:val="0"/>
    </w:pPr>
    <w:rPr>
      <w:sz w:val="28"/>
    </w:rPr>
  </w:style>
  <w:style w:type="table" w:customStyle="1" w:styleId="204">
    <w:name w:val="Table Normal"/>
    <w:semiHidden/>
    <w:unhideWhenUsed/>
    <w:qFormat/>
    <w:uiPriority w:val="0"/>
    <w:tblPr>
      <w:tblCellMar>
        <w:top w:w="0" w:type="dxa"/>
        <w:left w:w="0" w:type="dxa"/>
        <w:bottom w:w="0" w:type="dxa"/>
        <w:right w:w="0" w:type="dxa"/>
      </w:tblCellMar>
    </w:tblPr>
  </w:style>
  <w:style w:type="paragraph" w:customStyle="1" w:styleId="205">
    <w:name w:val="正文缩进1"/>
    <w:basedOn w:val="1"/>
    <w:qFormat/>
    <w:uiPriority w:val="0"/>
    <w:pPr>
      <w:widowControl w:val="0"/>
      <w:spacing w:beforeLines="50" w:afterLines="50" w:line="300" w:lineRule="auto"/>
      <w:ind w:firstLine="480"/>
    </w:pPr>
    <w:rPr>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80</Pages>
  <Words>47244</Words>
  <Characters>49416</Characters>
  <Lines>37</Lines>
  <Paragraphs>67</Paragraphs>
  <TotalTime>98</TotalTime>
  <ScaleCrop>false</ScaleCrop>
  <LinksUpToDate>false</LinksUpToDate>
  <CharactersWithSpaces>50949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2022-08-19T01:47:00Z</dcterms:created>
  <dc:creator>黄旭明</dc:creator>
  <cp:lastModifiedBy>周旭坤</cp:lastModifiedBy>
  <cp:lastPrinted>2022-08-18T07:01:00Z</cp:lastPrinted>
  <dcterms:modified xsi:type="dcterms:W3CDTF">2022-11-10T07:07:43Z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6A54BB6FF9094A29BA332C45D9D33898</vt:lpwstr>
  </property>
</Properties>
</file>