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color w:val="auto"/>
          <w:highlight w:val="none"/>
        </w:rPr>
      </w:pPr>
    </w:p>
    <w:p>
      <w:pPr>
        <w:spacing w:line="600" w:lineRule="exact"/>
        <w:jc w:val="center"/>
        <w:rPr>
          <w:rFonts w:hint="eastAsia" w:ascii="宋体" w:hAnsi="宋体" w:eastAsia="宋体" w:cs="宋体"/>
          <w:color w:val="auto"/>
          <w:sz w:val="32"/>
          <w:szCs w:val="32"/>
          <w:highlight w:val="none"/>
        </w:rPr>
      </w:pP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政府采购</w:t>
      </w:r>
    </w:p>
    <w:p>
      <w:pPr>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公开招标文件</w:t>
      </w:r>
    </w:p>
    <w:p>
      <w:pPr>
        <w:spacing w:before="120" w:beforeLines="5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（全一册）</w:t>
      </w:r>
    </w:p>
    <w:p>
      <w:pPr>
        <w:jc w:val="center"/>
        <w:rPr>
          <w:rFonts w:hint="eastAsia" w:ascii="宋体" w:hAnsi="宋体" w:eastAsia="宋体" w:cs="宋体"/>
          <w:b/>
          <w:bCs/>
          <w:color w:val="auto"/>
          <w:sz w:val="100"/>
          <w:highlight w:val="none"/>
        </w:rPr>
      </w:pPr>
    </w:p>
    <w:p>
      <w:pPr>
        <w:pStyle w:val="5"/>
        <w:rPr>
          <w:rFonts w:hint="eastAsia" w:ascii="宋体" w:hAnsi="宋体" w:eastAsia="宋体" w:cs="宋体"/>
          <w:color w:val="auto"/>
          <w:highlight w:val="non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6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595" w:type="dxa"/>
            <w:noWrap w:val="0"/>
            <w:vAlign w:val="center"/>
          </w:tcPr>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采购项目：</w:t>
            </w:r>
          </w:p>
        </w:tc>
        <w:tc>
          <w:tcPr>
            <w:tcW w:w="6717" w:type="dxa"/>
            <w:noWrap w:val="0"/>
            <w:vAlign w:val="center"/>
          </w:tcPr>
          <w:p>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rPr>
              <w:t>象山县环境卫生指导中心道路保洁服务外包项目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595" w:type="dxa"/>
            <w:noWrap w:val="0"/>
            <w:vAlign w:val="center"/>
          </w:tcPr>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w:t>
            </w:r>
          </w:p>
        </w:tc>
        <w:tc>
          <w:tcPr>
            <w:tcW w:w="6717" w:type="dxa"/>
            <w:noWrap w:val="0"/>
            <w:vAlign w:val="center"/>
          </w:tcPr>
          <w:p>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rPr>
              <w:t>CBZJ-20226152G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595" w:type="dxa"/>
            <w:noWrap w:val="0"/>
            <w:vAlign w:val="center"/>
          </w:tcPr>
          <w:p>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w:t>
            </w:r>
          </w:p>
        </w:tc>
        <w:tc>
          <w:tcPr>
            <w:tcW w:w="6717" w:type="dxa"/>
            <w:noWrap w:val="0"/>
            <w:vAlign w:val="center"/>
          </w:tcPr>
          <w:p>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rPr>
              <w:t>象山县环境卫生指导中心</w:t>
            </w:r>
          </w:p>
        </w:tc>
      </w:tr>
    </w:tbl>
    <w:p>
      <w:pPr>
        <w:jc w:val="center"/>
        <w:rPr>
          <w:rFonts w:hint="eastAsia" w:ascii="宋体" w:hAnsi="宋体" w:eastAsia="宋体" w:cs="宋体"/>
          <w:b/>
          <w:bCs/>
          <w:color w:val="auto"/>
          <w:sz w:val="100"/>
          <w:highlight w:val="none"/>
        </w:rPr>
      </w:pPr>
    </w:p>
    <w:p>
      <w:pPr>
        <w:jc w:val="center"/>
        <w:rPr>
          <w:rFonts w:hint="eastAsia" w:ascii="宋体" w:hAnsi="宋体" w:eastAsia="宋体" w:cs="宋体"/>
          <w:b/>
          <w:bCs/>
          <w:color w:val="auto"/>
          <w:sz w:val="100"/>
          <w:highlight w:val="none"/>
        </w:rPr>
      </w:pP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浙江中基正采管理咨询有限公司</w:t>
      </w:r>
    </w:p>
    <w:p>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二〇二</w:t>
      </w:r>
      <w:r>
        <w:rPr>
          <w:rFonts w:hint="eastAsia" w:ascii="宋体" w:hAnsi="宋体" w:eastAsia="宋体" w:cs="宋体"/>
          <w:b/>
          <w:bCs/>
          <w:color w:val="auto"/>
          <w:sz w:val="44"/>
          <w:szCs w:val="44"/>
          <w:highlight w:val="none"/>
          <w:lang w:val="en-US" w:eastAsia="zh-CN"/>
        </w:rPr>
        <w:t>二</w:t>
      </w:r>
      <w:r>
        <w:rPr>
          <w:rFonts w:hint="eastAsia" w:ascii="宋体" w:hAnsi="宋体" w:eastAsia="宋体" w:cs="宋体"/>
          <w:b/>
          <w:bCs/>
          <w:color w:val="auto"/>
          <w:sz w:val="44"/>
          <w:szCs w:val="44"/>
          <w:highlight w:val="none"/>
        </w:rPr>
        <w:t>年</w:t>
      </w:r>
      <w:r>
        <w:rPr>
          <w:rFonts w:hint="eastAsia" w:ascii="宋体" w:hAnsi="宋体" w:cs="宋体"/>
          <w:b/>
          <w:bCs/>
          <w:color w:val="auto"/>
          <w:sz w:val="44"/>
          <w:szCs w:val="44"/>
          <w:highlight w:val="none"/>
          <w:lang w:val="en-US" w:eastAsia="zh-CN"/>
        </w:rPr>
        <w:t>十</w:t>
      </w:r>
      <w:r>
        <w:rPr>
          <w:rFonts w:hint="eastAsia" w:ascii="宋体" w:hAnsi="宋体" w:eastAsia="宋体" w:cs="宋体"/>
          <w:b/>
          <w:bCs/>
          <w:color w:val="auto"/>
          <w:sz w:val="44"/>
          <w:szCs w:val="44"/>
          <w:highlight w:val="none"/>
        </w:rPr>
        <w:t>月</w:t>
      </w:r>
    </w:p>
    <w:p>
      <w:pPr>
        <w:pStyle w:val="5"/>
        <w:rPr>
          <w:rFonts w:hint="eastAsia" w:ascii="宋体" w:hAnsi="宋体" w:eastAsia="宋体" w:cs="宋体"/>
          <w:b w:val="0"/>
          <w:bCs w:val="0"/>
          <w:color w:val="auto"/>
          <w:sz w:val="44"/>
          <w:szCs w:val="44"/>
          <w:highlight w:val="none"/>
        </w:rPr>
      </w:pPr>
    </w:p>
    <w:p>
      <w:pPr>
        <w:pStyle w:val="6"/>
        <w:rPr>
          <w:rFonts w:hint="eastAsia" w:ascii="宋体" w:hAnsi="宋体" w:eastAsia="宋体" w:cs="宋体"/>
          <w:color w:val="auto"/>
          <w:highlight w:val="none"/>
        </w:rPr>
        <w:sectPr>
          <w:headerReference r:id="rId3" w:type="default"/>
          <w:pgSz w:w="11906" w:h="16838"/>
          <w:pgMar w:top="1474" w:right="1797" w:bottom="1247" w:left="1797" w:header="851" w:footer="851" w:gutter="0"/>
          <w:pgNumType w:start="2"/>
          <w:cols w:space="720" w:num="1"/>
          <w:titlePg/>
          <w:docGrid w:linePitch="312" w:charSpace="0"/>
        </w:sectPr>
      </w:pPr>
    </w:p>
    <w:p>
      <w:pPr>
        <w:spacing w:line="360" w:lineRule="auto"/>
        <w:rPr>
          <w:rFonts w:hint="eastAsia" w:ascii="宋体" w:hAnsi="宋体" w:eastAsia="宋体" w:cs="宋体"/>
          <w:b/>
          <w:color w:val="auto"/>
          <w:sz w:val="52"/>
          <w:szCs w:val="52"/>
          <w:highlight w:val="none"/>
        </w:rPr>
      </w:pPr>
    </w:p>
    <w:p>
      <w:pPr>
        <w:spacing w:line="480" w:lineRule="auto"/>
        <w:jc w:val="both"/>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br w:type="page"/>
      </w:r>
    </w:p>
    <w:p>
      <w:pPr>
        <w:spacing w:line="480" w:lineRule="auto"/>
        <w:jc w:val="center"/>
        <w:rPr>
          <w:rFonts w:hint="eastAsia" w:ascii="宋体" w:hAnsi="宋体" w:eastAsia="宋体" w:cs="宋体"/>
          <w:color w:val="auto"/>
          <w:sz w:val="30"/>
          <w:szCs w:val="20"/>
          <w:highlight w:val="none"/>
        </w:rPr>
      </w:pPr>
      <w:r>
        <w:rPr>
          <w:rFonts w:hint="eastAsia" w:ascii="宋体" w:hAnsi="宋体" w:eastAsia="宋体" w:cs="宋体"/>
          <w:b/>
          <w:color w:val="auto"/>
          <w:sz w:val="52"/>
          <w:szCs w:val="52"/>
          <w:highlight w:val="none"/>
        </w:rPr>
        <w:t>目    录</w:t>
      </w:r>
    </w:p>
    <w:p>
      <w:pPr>
        <w:pStyle w:val="34"/>
        <w:tabs>
          <w:tab w:val="right" w:leader="dot" w:pos="8302"/>
        </w:tabs>
        <w:spacing w:line="480" w:lineRule="auto"/>
        <w:rPr>
          <w:rFonts w:hint="eastAsia" w:ascii="宋体" w:hAnsi="宋体" w:eastAsia="宋体" w:cs="宋体"/>
          <w:color w:val="auto"/>
          <w:sz w:val="36"/>
          <w:szCs w:val="36"/>
          <w:highlight w:val="none"/>
        </w:rPr>
      </w:pPr>
    </w:p>
    <w:p>
      <w:pPr>
        <w:pStyle w:val="34"/>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rPr>
          <w:b/>
          <w:bCs/>
          <w:color w:val="auto"/>
          <w:sz w:val="36"/>
          <w:szCs w:val="44"/>
          <w:highlight w:val="none"/>
        </w:rPr>
      </w:pPr>
      <w:r>
        <w:rPr>
          <w:rFonts w:hint="eastAsia" w:ascii="宋体" w:hAnsi="宋体" w:eastAsia="宋体" w:cs="宋体"/>
          <w:b/>
          <w:bCs/>
          <w:color w:val="auto"/>
          <w:sz w:val="52"/>
          <w:szCs w:val="52"/>
          <w:highlight w:val="none"/>
        </w:rPr>
        <w:fldChar w:fldCharType="begin"/>
      </w:r>
      <w:r>
        <w:rPr>
          <w:rFonts w:hint="eastAsia" w:ascii="宋体" w:hAnsi="宋体" w:eastAsia="宋体" w:cs="宋体"/>
          <w:b/>
          <w:bCs/>
          <w:color w:val="auto"/>
          <w:sz w:val="52"/>
          <w:szCs w:val="52"/>
          <w:highlight w:val="none"/>
        </w:rPr>
        <w:instrText xml:space="preserve">TOC \o "1-1" \h \u </w:instrText>
      </w:r>
      <w:r>
        <w:rPr>
          <w:rFonts w:hint="eastAsia" w:ascii="宋体" w:hAnsi="宋体" w:eastAsia="宋体" w:cs="宋体"/>
          <w:b/>
          <w:bCs/>
          <w:color w:val="auto"/>
          <w:sz w:val="52"/>
          <w:szCs w:val="52"/>
          <w:highlight w:val="none"/>
        </w:rPr>
        <w:fldChar w:fldCharType="separate"/>
      </w:r>
      <w:r>
        <w:rPr>
          <w:rFonts w:hint="eastAsia" w:ascii="宋体" w:hAnsi="宋体" w:eastAsia="宋体" w:cs="宋体"/>
          <w:b/>
          <w:bCs/>
          <w:color w:val="auto"/>
          <w:sz w:val="36"/>
          <w:szCs w:val="52"/>
          <w:highlight w:val="none"/>
        </w:rPr>
        <w:fldChar w:fldCharType="begin"/>
      </w:r>
      <w:r>
        <w:rPr>
          <w:rFonts w:hint="eastAsia" w:ascii="宋体" w:hAnsi="宋体" w:eastAsia="宋体" w:cs="宋体"/>
          <w:b/>
          <w:bCs/>
          <w:color w:val="auto"/>
          <w:sz w:val="36"/>
          <w:szCs w:val="52"/>
          <w:highlight w:val="none"/>
        </w:rPr>
        <w:instrText xml:space="preserve"> HYPERLINK \l _Toc14425 </w:instrText>
      </w:r>
      <w:r>
        <w:rPr>
          <w:rFonts w:hint="eastAsia" w:ascii="宋体" w:hAnsi="宋体" w:eastAsia="宋体" w:cs="宋体"/>
          <w:b/>
          <w:bCs/>
          <w:color w:val="auto"/>
          <w:sz w:val="36"/>
          <w:szCs w:val="52"/>
          <w:highlight w:val="none"/>
        </w:rPr>
        <w:fldChar w:fldCharType="separate"/>
      </w:r>
      <w:r>
        <w:rPr>
          <w:rFonts w:hint="eastAsia" w:ascii="宋体" w:hAnsi="宋体" w:eastAsia="宋体" w:cs="宋体"/>
          <w:b/>
          <w:bCs/>
          <w:color w:val="auto"/>
          <w:sz w:val="36"/>
          <w:szCs w:val="52"/>
          <w:highlight w:val="none"/>
        </w:rPr>
        <w:t>第一章  公开招标采购公告</w:t>
      </w:r>
      <w:r>
        <w:rPr>
          <w:b/>
          <w:bCs/>
          <w:color w:val="auto"/>
          <w:sz w:val="36"/>
          <w:szCs w:val="44"/>
          <w:highlight w:val="none"/>
        </w:rPr>
        <w:tab/>
      </w:r>
      <w:r>
        <w:rPr>
          <w:b/>
          <w:bCs/>
          <w:color w:val="auto"/>
          <w:sz w:val="36"/>
          <w:szCs w:val="44"/>
          <w:highlight w:val="none"/>
        </w:rPr>
        <w:fldChar w:fldCharType="begin"/>
      </w:r>
      <w:r>
        <w:rPr>
          <w:b/>
          <w:bCs/>
          <w:color w:val="auto"/>
          <w:sz w:val="36"/>
          <w:szCs w:val="44"/>
          <w:highlight w:val="none"/>
        </w:rPr>
        <w:instrText xml:space="preserve"> PAGEREF _Toc14425 \h </w:instrText>
      </w:r>
      <w:r>
        <w:rPr>
          <w:b/>
          <w:bCs/>
          <w:color w:val="auto"/>
          <w:sz w:val="36"/>
          <w:szCs w:val="44"/>
          <w:highlight w:val="none"/>
        </w:rPr>
        <w:fldChar w:fldCharType="separate"/>
      </w:r>
      <w:r>
        <w:rPr>
          <w:b/>
          <w:bCs/>
          <w:color w:val="auto"/>
          <w:sz w:val="36"/>
          <w:szCs w:val="44"/>
          <w:highlight w:val="none"/>
        </w:rPr>
        <w:t>1</w:t>
      </w:r>
      <w:r>
        <w:rPr>
          <w:b/>
          <w:bCs/>
          <w:color w:val="auto"/>
          <w:sz w:val="36"/>
          <w:szCs w:val="44"/>
          <w:highlight w:val="none"/>
        </w:rPr>
        <w:fldChar w:fldCharType="end"/>
      </w:r>
      <w:r>
        <w:rPr>
          <w:rFonts w:hint="eastAsia" w:ascii="宋体" w:hAnsi="宋体" w:eastAsia="宋体" w:cs="宋体"/>
          <w:b/>
          <w:bCs/>
          <w:color w:val="auto"/>
          <w:sz w:val="36"/>
          <w:szCs w:val="52"/>
          <w:highlight w:val="none"/>
        </w:rPr>
        <w:fldChar w:fldCharType="end"/>
      </w:r>
    </w:p>
    <w:p>
      <w:pPr>
        <w:pStyle w:val="34"/>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rPr>
          <w:b/>
          <w:bCs/>
          <w:color w:val="auto"/>
          <w:sz w:val="36"/>
          <w:szCs w:val="44"/>
          <w:highlight w:val="none"/>
        </w:rPr>
      </w:pPr>
      <w:r>
        <w:rPr>
          <w:rFonts w:hint="eastAsia" w:ascii="宋体" w:hAnsi="宋体" w:eastAsia="宋体" w:cs="宋体"/>
          <w:b/>
          <w:bCs/>
          <w:color w:val="auto"/>
          <w:sz w:val="36"/>
          <w:szCs w:val="52"/>
          <w:highlight w:val="none"/>
        </w:rPr>
        <w:fldChar w:fldCharType="begin"/>
      </w:r>
      <w:r>
        <w:rPr>
          <w:rFonts w:hint="eastAsia" w:ascii="宋体" w:hAnsi="宋体" w:eastAsia="宋体" w:cs="宋体"/>
          <w:b/>
          <w:bCs/>
          <w:color w:val="auto"/>
          <w:sz w:val="36"/>
          <w:szCs w:val="52"/>
          <w:highlight w:val="none"/>
        </w:rPr>
        <w:instrText xml:space="preserve"> HYPERLINK \l _Toc18054 </w:instrText>
      </w:r>
      <w:r>
        <w:rPr>
          <w:rFonts w:hint="eastAsia" w:ascii="宋体" w:hAnsi="宋体" w:eastAsia="宋体" w:cs="宋体"/>
          <w:b/>
          <w:bCs/>
          <w:color w:val="auto"/>
          <w:sz w:val="36"/>
          <w:szCs w:val="52"/>
          <w:highlight w:val="none"/>
        </w:rPr>
        <w:fldChar w:fldCharType="separate"/>
      </w:r>
      <w:r>
        <w:rPr>
          <w:rFonts w:hint="eastAsia" w:ascii="宋体" w:hAnsi="宋体" w:eastAsia="宋体" w:cs="宋体"/>
          <w:b/>
          <w:bCs/>
          <w:color w:val="auto"/>
          <w:sz w:val="36"/>
          <w:szCs w:val="52"/>
          <w:highlight w:val="none"/>
        </w:rPr>
        <w:t>第二章  采购需求</w:t>
      </w:r>
      <w:r>
        <w:rPr>
          <w:b/>
          <w:bCs/>
          <w:color w:val="auto"/>
          <w:sz w:val="36"/>
          <w:szCs w:val="44"/>
          <w:highlight w:val="none"/>
        </w:rPr>
        <w:tab/>
      </w:r>
      <w:r>
        <w:rPr>
          <w:b/>
          <w:bCs/>
          <w:color w:val="auto"/>
          <w:sz w:val="36"/>
          <w:szCs w:val="44"/>
          <w:highlight w:val="none"/>
        </w:rPr>
        <w:fldChar w:fldCharType="begin"/>
      </w:r>
      <w:r>
        <w:rPr>
          <w:b/>
          <w:bCs/>
          <w:color w:val="auto"/>
          <w:sz w:val="36"/>
          <w:szCs w:val="44"/>
          <w:highlight w:val="none"/>
        </w:rPr>
        <w:instrText xml:space="preserve"> PAGEREF _Toc18054 \h </w:instrText>
      </w:r>
      <w:r>
        <w:rPr>
          <w:b/>
          <w:bCs/>
          <w:color w:val="auto"/>
          <w:sz w:val="36"/>
          <w:szCs w:val="44"/>
          <w:highlight w:val="none"/>
        </w:rPr>
        <w:fldChar w:fldCharType="separate"/>
      </w:r>
      <w:r>
        <w:rPr>
          <w:b/>
          <w:bCs/>
          <w:color w:val="auto"/>
          <w:sz w:val="36"/>
          <w:szCs w:val="44"/>
          <w:highlight w:val="none"/>
        </w:rPr>
        <w:t>5</w:t>
      </w:r>
      <w:r>
        <w:rPr>
          <w:b/>
          <w:bCs/>
          <w:color w:val="auto"/>
          <w:sz w:val="36"/>
          <w:szCs w:val="44"/>
          <w:highlight w:val="none"/>
        </w:rPr>
        <w:fldChar w:fldCharType="end"/>
      </w:r>
      <w:r>
        <w:rPr>
          <w:rFonts w:hint="eastAsia" w:ascii="宋体" w:hAnsi="宋体" w:eastAsia="宋体" w:cs="宋体"/>
          <w:b/>
          <w:bCs/>
          <w:color w:val="auto"/>
          <w:sz w:val="36"/>
          <w:szCs w:val="52"/>
          <w:highlight w:val="none"/>
        </w:rPr>
        <w:fldChar w:fldCharType="end"/>
      </w:r>
    </w:p>
    <w:p>
      <w:pPr>
        <w:pStyle w:val="34"/>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rPr>
          <w:b/>
          <w:bCs/>
          <w:color w:val="auto"/>
          <w:sz w:val="36"/>
          <w:szCs w:val="44"/>
          <w:highlight w:val="none"/>
        </w:rPr>
      </w:pPr>
      <w:r>
        <w:rPr>
          <w:rFonts w:hint="eastAsia" w:ascii="宋体" w:hAnsi="宋体" w:eastAsia="宋体" w:cs="宋体"/>
          <w:b/>
          <w:bCs/>
          <w:color w:val="auto"/>
          <w:sz w:val="36"/>
          <w:szCs w:val="52"/>
          <w:highlight w:val="none"/>
        </w:rPr>
        <w:fldChar w:fldCharType="begin"/>
      </w:r>
      <w:r>
        <w:rPr>
          <w:rFonts w:hint="eastAsia" w:ascii="宋体" w:hAnsi="宋体" w:eastAsia="宋体" w:cs="宋体"/>
          <w:b/>
          <w:bCs/>
          <w:color w:val="auto"/>
          <w:sz w:val="36"/>
          <w:szCs w:val="52"/>
          <w:highlight w:val="none"/>
        </w:rPr>
        <w:instrText xml:space="preserve"> HYPERLINK \l _Toc22162 </w:instrText>
      </w:r>
      <w:r>
        <w:rPr>
          <w:rFonts w:hint="eastAsia" w:ascii="宋体" w:hAnsi="宋体" w:eastAsia="宋体" w:cs="宋体"/>
          <w:b/>
          <w:bCs/>
          <w:color w:val="auto"/>
          <w:sz w:val="36"/>
          <w:szCs w:val="52"/>
          <w:highlight w:val="none"/>
        </w:rPr>
        <w:fldChar w:fldCharType="separate"/>
      </w:r>
      <w:r>
        <w:rPr>
          <w:rFonts w:hint="eastAsia" w:ascii="宋体" w:hAnsi="宋体" w:eastAsia="宋体" w:cs="宋体"/>
          <w:b/>
          <w:bCs/>
          <w:color w:val="auto"/>
          <w:sz w:val="36"/>
          <w:szCs w:val="52"/>
          <w:highlight w:val="none"/>
        </w:rPr>
        <w:t>第三章  供应商须知</w:t>
      </w:r>
      <w:r>
        <w:rPr>
          <w:b/>
          <w:bCs/>
          <w:color w:val="auto"/>
          <w:sz w:val="36"/>
          <w:szCs w:val="44"/>
          <w:highlight w:val="none"/>
        </w:rPr>
        <w:tab/>
      </w:r>
      <w:r>
        <w:rPr>
          <w:b/>
          <w:bCs/>
          <w:color w:val="auto"/>
          <w:sz w:val="36"/>
          <w:szCs w:val="44"/>
          <w:highlight w:val="none"/>
        </w:rPr>
        <w:fldChar w:fldCharType="begin"/>
      </w:r>
      <w:r>
        <w:rPr>
          <w:b/>
          <w:bCs/>
          <w:color w:val="auto"/>
          <w:sz w:val="36"/>
          <w:szCs w:val="44"/>
          <w:highlight w:val="none"/>
        </w:rPr>
        <w:instrText xml:space="preserve"> PAGEREF _Toc22162 \h </w:instrText>
      </w:r>
      <w:r>
        <w:rPr>
          <w:b/>
          <w:bCs/>
          <w:color w:val="auto"/>
          <w:sz w:val="36"/>
          <w:szCs w:val="44"/>
          <w:highlight w:val="none"/>
        </w:rPr>
        <w:fldChar w:fldCharType="separate"/>
      </w:r>
      <w:r>
        <w:rPr>
          <w:b/>
          <w:bCs/>
          <w:color w:val="auto"/>
          <w:sz w:val="36"/>
          <w:szCs w:val="44"/>
          <w:highlight w:val="none"/>
        </w:rPr>
        <w:t>25</w:t>
      </w:r>
      <w:r>
        <w:rPr>
          <w:b/>
          <w:bCs/>
          <w:color w:val="auto"/>
          <w:sz w:val="36"/>
          <w:szCs w:val="44"/>
          <w:highlight w:val="none"/>
        </w:rPr>
        <w:fldChar w:fldCharType="end"/>
      </w:r>
      <w:r>
        <w:rPr>
          <w:rFonts w:hint="eastAsia" w:ascii="宋体" w:hAnsi="宋体" w:eastAsia="宋体" w:cs="宋体"/>
          <w:b/>
          <w:bCs/>
          <w:color w:val="auto"/>
          <w:sz w:val="36"/>
          <w:szCs w:val="52"/>
          <w:highlight w:val="none"/>
        </w:rPr>
        <w:fldChar w:fldCharType="end"/>
      </w:r>
    </w:p>
    <w:p>
      <w:pPr>
        <w:pStyle w:val="34"/>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rPr>
          <w:b/>
          <w:bCs/>
          <w:color w:val="auto"/>
          <w:sz w:val="36"/>
          <w:szCs w:val="44"/>
          <w:highlight w:val="none"/>
        </w:rPr>
      </w:pPr>
      <w:r>
        <w:rPr>
          <w:rFonts w:hint="eastAsia" w:ascii="宋体" w:hAnsi="宋体" w:eastAsia="宋体" w:cs="宋体"/>
          <w:b/>
          <w:bCs/>
          <w:color w:val="auto"/>
          <w:sz w:val="36"/>
          <w:szCs w:val="52"/>
          <w:highlight w:val="none"/>
        </w:rPr>
        <w:fldChar w:fldCharType="begin"/>
      </w:r>
      <w:r>
        <w:rPr>
          <w:rFonts w:hint="eastAsia" w:ascii="宋体" w:hAnsi="宋体" w:eastAsia="宋体" w:cs="宋体"/>
          <w:b/>
          <w:bCs/>
          <w:color w:val="auto"/>
          <w:sz w:val="36"/>
          <w:szCs w:val="52"/>
          <w:highlight w:val="none"/>
        </w:rPr>
        <w:instrText xml:space="preserve"> HYPERLINK \l _Toc14754 </w:instrText>
      </w:r>
      <w:r>
        <w:rPr>
          <w:rFonts w:hint="eastAsia" w:ascii="宋体" w:hAnsi="宋体" w:eastAsia="宋体" w:cs="宋体"/>
          <w:b/>
          <w:bCs/>
          <w:color w:val="auto"/>
          <w:sz w:val="36"/>
          <w:szCs w:val="52"/>
          <w:highlight w:val="none"/>
        </w:rPr>
        <w:fldChar w:fldCharType="separate"/>
      </w:r>
      <w:r>
        <w:rPr>
          <w:rFonts w:hint="eastAsia" w:ascii="宋体" w:hAnsi="宋体" w:eastAsia="宋体" w:cs="宋体"/>
          <w:b/>
          <w:bCs/>
          <w:color w:val="auto"/>
          <w:sz w:val="36"/>
          <w:szCs w:val="52"/>
          <w:highlight w:val="none"/>
        </w:rPr>
        <w:t>第四章  评标办法及评分标准</w:t>
      </w:r>
      <w:r>
        <w:rPr>
          <w:b/>
          <w:bCs/>
          <w:color w:val="auto"/>
          <w:sz w:val="36"/>
          <w:szCs w:val="44"/>
          <w:highlight w:val="none"/>
        </w:rPr>
        <w:tab/>
      </w:r>
      <w:r>
        <w:rPr>
          <w:b/>
          <w:bCs/>
          <w:color w:val="auto"/>
          <w:sz w:val="36"/>
          <w:szCs w:val="44"/>
          <w:highlight w:val="none"/>
        </w:rPr>
        <w:fldChar w:fldCharType="begin"/>
      </w:r>
      <w:r>
        <w:rPr>
          <w:b/>
          <w:bCs/>
          <w:color w:val="auto"/>
          <w:sz w:val="36"/>
          <w:szCs w:val="44"/>
          <w:highlight w:val="none"/>
        </w:rPr>
        <w:instrText xml:space="preserve"> PAGEREF _Toc14754 \h </w:instrText>
      </w:r>
      <w:r>
        <w:rPr>
          <w:b/>
          <w:bCs/>
          <w:color w:val="auto"/>
          <w:sz w:val="36"/>
          <w:szCs w:val="44"/>
          <w:highlight w:val="none"/>
        </w:rPr>
        <w:fldChar w:fldCharType="separate"/>
      </w:r>
      <w:r>
        <w:rPr>
          <w:b/>
          <w:bCs/>
          <w:color w:val="auto"/>
          <w:sz w:val="36"/>
          <w:szCs w:val="44"/>
          <w:highlight w:val="none"/>
        </w:rPr>
        <w:t>33</w:t>
      </w:r>
      <w:r>
        <w:rPr>
          <w:b/>
          <w:bCs/>
          <w:color w:val="auto"/>
          <w:sz w:val="36"/>
          <w:szCs w:val="44"/>
          <w:highlight w:val="none"/>
        </w:rPr>
        <w:fldChar w:fldCharType="end"/>
      </w:r>
      <w:r>
        <w:rPr>
          <w:rFonts w:hint="eastAsia" w:ascii="宋体" w:hAnsi="宋体" w:eastAsia="宋体" w:cs="宋体"/>
          <w:b/>
          <w:bCs/>
          <w:color w:val="auto"/>
          <w:sz w:val="36"/>
          <w:szCs w:val="52"/>
          <w:highlight w:val="none"/>
        </w:rPr>
        <w:fldChar w:fldCharType="end"/>
      </w:r>
    </w:p>
    <w:p>
      <w:pPr>
        <w:pStyle w:val="34"/>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rPr>
          <w:b/>
          <w:bCs/>
          <w:color w:val="auto"/>
          <w:sz w:val="36"/>
          <w:szCs w:val="44"/>
          <w:highlight w:val="none"/>
        </w:rPr>
      </w:pPr>
      <w:r>
        <w:rPr>
          <w:rFonts w:hint="eastAsia" w:ascii="宋体" w:hAnsi="宋体" w:eastAsia="宋体" w:cs="宋体"/>
          <w:b/>
          <w:bCs/>
          <w:color w:val="auto"/>
          <w:sz w:val="36"/>
          <w:szCs w:val="52"/>
          <w:highlight w:val="none"/>
        </w:rPr>
        <w:fldChar w:fldCharType="begin"/>
      </w:r>
      <w:r>
        <w:rPr>
          <w:rFonts w:hint="eastAsia" w:ascii="宋体" w:hAnsi="宋体" w:eastAsia="宋体" w:cs="宋体"/>
          <w:b/>
          <w:bCs/>
          <w:color w:val="auto"/>
          <w:sz w:val="36"/>
          <w:szCs w:val="52"/>
          <w:highlight w:val="none"/>
        </w:rPr>
        <w:instrText xml:space="preserve"> HYPERLINK \l _Toc19976 </w:instrText>
      </w:r>
      <w:r>
        <w:rPr>
          <w:rFonts w:hint="eastAsia" w:ascii="宋体" w:hAnsi="宋体" w:eastAsia="宋体" w:cs="宋体"/>
          <w:b/>
          <w:bCs/>
          <w:color w:val="auto"/>
          <w:sz w:val="36"/>
          <w:szCs w:val="52"/>
          <w:highlight w:val="none"/>
        </w:rPr>
        <w:fldChar w:fldCharType="separate"/>
      </w:r>
      <w:r>
        <w:rPr>
          <w:rFonts w:hint="eastAsia" w:ascii="宋体" w:hAnsi="宋体" w:eastAsia="宋体" w:cs="宋体"/>
          <w:b/>
          <w:bCs/>
          <w:color w:val="auto"/>
          <w:sz w:val="36"/>
          <w:szCs w:val="52"/>
          <w:highlight w:val="none"/>
        </w:rPr>
        <w:t>第五章  政府采购合同主要条款</w:t>
      </w:r>
      <w:r>
        <w:rPr>
          <w:b/>
          <w:bCs/>
          <w:color w:val="auto"/>
          <w:sz w:val="36"/>
          <w:szCs w:val="44"/>
          <w:highlight w:val="none"/>
        </w:rPr>
        <w:tab/>
      </w:r>
      <w:r>
        <w:rPr>
          <w:b/>
          <w:bCs/>
          <w:color w:val="auto"/>
          <w:sz w:val="36"/>
          <w:szCs w:val="44"/>
          <w:highlight w:val="none"/>
        </w:rPr>
        <w:fldChar w:fldCharType="begin"/>
      </w:r>
      <w:r>
        <w:rPr>
          <w:b/>
          <w:bCs/>
          <w:color w:val="auto"/>
          <w:sz w:val="36"/>
          <w:szCs w:val="44"/>
          <w:highlight w:val="none"/>
        </w:rPr>
        <w:instrText xml:space="preserve"> PAGEREF _Toc19976 \h </w:instrText>
      </w:r>
      <w:r>
        <w:rPr>
          <w:b/>
          <w:bCs/>
          <w:color w:val="auto"/>
          <w:sz w:val="36"/>
          <w:szCs w:val="44"/>
          <w:highlight w:val="none"/>
        </w:rPr>
        <w:fldChar w:fldCharType="separate"/>
      </w:r>
      <w:r>
        <w:rPr>
          <w:b/>
          <w:bCs/>
          <w:color w:val="auto"/>
          <w:sz w:val="36"/>
          <w:szCs w:val="44"/>
          <w:highlight w:val="none"/>
        </w:rPr>
        <w:t>42</w:t>
      </w:r>
      <w:r>
        <w:rPr>
          <w:b/>
          <w:bCs/>
          <w:color w:val="auto"/>
          <w:sz w:val="36"/>
          <w:szCs w:val="44"/>
          <w:highlight w:val="none"/>
        </w:rPr>
        <w:fldChar w:fldCharType="end"/>
      </w:r>
      <w:r>
        <w:rPr>
          <w:rFonts w:hint="eastAsia" w:ascii="宋体" w:hAnsi="宋体" w:eastAsia="宋体" w:cs="宋体"/>
          <w:b/>
          <w:bCs/>
          <w:color w:val="auto"/>
          <w:sz w:val="36"/>
          <w:szCs w:val="52"/>
          <w:highlight w:val="none"/>
        </w:rPr>
        <w:fldChar w:fldCharType="end"/>
      </w:r>
    </w:p>
    <w:p>
      <w:pPr>
        <w:pStyle w:val="34"/>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rPr>
          <w:b/>
          <w:bCs/>
          <w:color w:val="auto"/>
          <w:sz w:val="36"/>
          <w:szCs w:val="44"/>
          <w:highlight w:val="none"/>
        </w:rPr>
      </w:pPr>
      <w:r>
        <w:rPr>
          <w:rFonts w:hint="eastAsia" w:ascii="宋体" w:hAnsi="宋体" w:eastAsia="宋体" w:cs="宋体"/>
          <w:b/>
          <w:bCs/>
          <w:color w:val="auto"/>
          <w:sz w:val="36"/>
          <w:szCs w:val="52"/>
          <w:highlight w:val="none"/>
        </w:rPr>
        <w:fldChar w:fldCharType="begin"/>
      </w:r>
      <w:r>
        <w:rPr>
          <w:rFonts w:hint="eastAsia" w:ascii="宋体" w:hAnsi="宋体" w:eastAsia="宋体" w:cs="宋体"/>
          <w:b/>
          <w:bCs/>
          <w:color w:val="auto"/>
          <w:sz w:val="36"/>
          <w:szCs w:val="52"/>
          <w:highlight w:val="none"/>
        </w:rPr>
        <w:instrText xml:space="preserve"> HYPERLINK \l _Toc12938 </w:instrText>
      </w:r>
      <w:r>
        <w:rPr>
          <w:rFonts w:hint="eastAsia" w:ascii="宋体" w:hAnsi="宋体" w:eastAsia="宋体" w:cs="宋体"/>
          <w:b/>
          <w:bCs/>
          <w:color w:val="auto"/>
          <w:sz w:val="36"/>
          <w:szCs w:val="52"/>
          <w:highlight w:val="none"/>
        </w:rPr>
        <w:fldChar w:fldCharType="separate"/>
      </w:r>
      <w:r>
        <w:rPr>
          <w:rFonts w:hint="eastAsia" w:ascii="宋体" w:hAnsi="宋体" w:eastAsia="宋体" w:cs="宋体"/>
          <w:b/>
          <w:bCs/>
          <w:color w:val="auto"/>
          <w:sz w:val="36"/>
          <w:szCs w:val="52"/>
          <w:highlight w:val="none"/>
        </w:rPr>
        <w:t>第六章　投标文件格式</w:t>
      </w:r>
      <w:r>
        <w:rPr>
          <w:b/>
          <w:bCs/>
          <w:color w:val="auto"/>
          <w:sz w:val="36"/>
          <w:szCs w:val="44"/>
          <w:highlight w:val="none"/>
        </w:rPr>
        <w:tab/>
      </w:r>
      <w:r>
        <w:rPr>
          <w:b/>
          <w:bCs/>
          <w:color w:val="auto"/>
          <w:sz w:val="36"/>
          <w:szCs w:val="44"/>
          <w:highlight w:val="none"/>
        </w:rPr>
        <w:fldChar w:fldCharType="begin"/>
      </w:r>
      <w:r>
        <w:rPr>
          <w:b/>
          <w:bCs/>
          <w:color w:val="auto"/>
          <w:sz w:val="36"/>
          <w:szCs w:val="44"/>
          <w:highlight w:val="none"/>
        </w:rPr>
        <w:instrText xml:space="preserve"> PAGEREF _Toc12938 \h </w:instrText>
      </w:r>
      <w:r>
        <w:rPr>
          <w:b/>
          <w:bCs/>
          <w:color w:val="auto"/>
          <w:sz w:val="36"/>
          <w:szCs w:val="44"/>
          <w:highlight w:val="none"/>
        </w:rPr>
        <w:fldChar w:fldCharType="separate"/>
      </w:r>
      <w:r>
        <w:rPr>
          <w:b/>
          <w:bCs/>
          <w:color w:val="auto"/>
          <w:sz w:val="36"/>
          <w:szCs w:val="44"/>
          <w:highlight w:val="none"/>
        </w:rPr>
        <w:t>48</w:t>
      </w:r>
      <w:r>
        <w:rPr>
          <w:b/>
          <w:bCs/>
          <w:color w:val="auto"/>
          <w:sz w:val="36"/>
          <w:szCs w:val="44"/>
          <w:highlight w:val="none"/>
        </w:rPr>
        <w:fldChar w:fldCharType="end"/>
      </w:r>
      <w:r>
        <w:rPr>
          <w:rFonts w:hint="eastAsia" w:ascii="宋体" w:hAnsi="宋体" w:eastAsia="宋体" w:cs="宋体"/>
          <w:b/>
          <w:bCs/>
          <w:color w:val="auto"/>
          <w:sz w:val="36"/>
          <w:szCs w:val="52"/>
          <w:highlight w:val="none"/>
        </w:rPr>
        <w:fldChar w:fldCharType="end"/>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auto"/>
          <w:sz w:val="36"/>
          <w:szCs w:val="36"/>
          <w:highlight w:val="none"/>
        </w:rPr>
      </w:pPr>
      <w:r>
        <w:rPr>
          <w:rFonts w:hint="eastAsia" w:ascii="宋体" w:hAnsi="宋体" w:eastAsia="宋体" w:cs="宋体"/>
          <w:b/>
          <w:bCs/>
          <w:color w:val="auto"/>
          <w:sz w:val="36"/>
          <w:szCs w:val="52"/>
          <w:highlight w:val="none"/>
        </w:rPr>
        <w:fldChar w:fldCharType="end"/>
      </w:r>
    </w:p>
    <w:p>
      <w:pPr>
        <w:pStyle w:val="3"/>
        <w:spacing w:before="0" w:beforeLines="0" w:after="0" w:afterLines="0" w:line="360" w:lineRule="auto"/>
        <w:rPr>
          <w:rFonts w:hint="eastAsia" w:ascii="宋体" w:hAnsi="宋体" w:eastAsia="宋体" w:cs="宋体"/>
          <w:b/>
          <w:color w:val="auto"/>
          <w:sz w:val="30"/>
          <w:szCs w:val="30"/>
          <w:highlight w:val="none"/>
        </w:rPr>
      </w:pPr>
    </w:p>
    <w:p>
      <w:pPr>
        <w:pStyle w:val="3"/>
        <w:spacing w:before="0" w:beforeLines="0" w:after="0" w:afterLines="0" w:line="360" w:lineRule="auto"/>
        <w:rPr>
          <w:rFonts w:hint="eastAsia" w:ascii="宋体" w:hAnsi="宋体" w:eastAsia="宋体" w:cs="宋体"/>
          <w:b/>
          <w:color w:val="auto"/>
          <w:sz w:val="30"/>
          <w:szCs w:val="30"/>
          <w:highlight w:val="none"/>
        </w:rPr>
      </w:pPr>
    </w:p>
    <w:p>
      <w:pPr>
        <w:pStyle w:val="3"/>
        <w:spacing w:before="0" w:beforeLines="0" w:after="0" w:afterLines="0" w:line="360" w:lineRule="auto"/>
        <w:rPr>
          <w:rFonts w:hint="eastAsia" w:ascii="宋体" w:hAnsi="宋体" w:eastAsia="宋体" w:cs="宋体"/>
          <w:b/>
          <w:color w:val="auto"/>
          <w:sz w:val="30"/>
          <w:szCs w:val="30"/>
          <w:highlight w:val="none"/>
        </w:rPr>
        <w:sectPr>
          <w:pgSz w:w="11906" w:h="16838"/>
          <w:pgMar w:top="1474" w:right="1797" w:bottom="1247" w:left="1797" w:header="851" w:footer="851" w:gutter="0"/>
          <w:pgNumType w:start="2"/>
          <w:cols w:space="720" w:num="1"/>
          <w:titlePg/>
          <w:docGrid w:linePitch="312" w:charSpace="0"/>
        </w:sectPr>
      </w:pPr>
    </w:p>
    <w:p>
      <w:pPr>
        <w:pStyle w:val="3"/>
        <w:spacing w:before="0" w:beforeLines="0" w:after="0" w:afterLines="0" w:line="360" w:lineRule="auto"/>
        <w:jc w:val="center"/>
        <w:outlineLvl w:val="0"/>
        <w:rPr>
          <w:rFonts w:hint="eastAsia" w:ascii="宋体" w:hAnsi="宋体" w:eastAsia="宋体" w:cs="宋体"/>
          <w:b/>
          <w:color w:val="auto"/>
          <w:sz w:val="32"/>
          <w:szCs w:val="32"/>
          <w:highlight w:val="none"/>
        </w:rPr>
        <w:sectPr>
          <w:headerReference r:id="rId4" w:type="default"/>
          <w:footerReference r:id="rId5" w:type="default"/>
          <w:pgSz w:w="11906" w:h="16838"/>
          <w:pgMar w:top="1474" w:right="1797" w:bottom="1247" w:left="1797" w:header="851" w:footer="851" w:gutter="0"/>
          <w:pgNumType w:start="1"/>
          <w:cols w:space="720" w:num="1"/>
          <w:docGrid w:linePitch="312" w:charSpace="0"/>
        </w:sectPr>
      </w:pPr>
      <w:bookmarkStart w:id="0" w:name="_Toc14924"/>
    </w:p>
    <w:p>
      <w:pPr>
        <w:pStyle w:val="3"/>
        <w:spacing w:before="0" w:beforeLines="0" w:after="0" w:afterLines="0" w:line="360" w:lineRule="auto"/>
        <w:jc w:val="center"/>
        <w:outlineLvl w:val="0"/>
        <w:rPr>
          <w:rFonts w:hint="eastAsia" w:ascii="宋体" w:hAnsi="宋体" w:eastAsia="宋体" w:cs="宋体"/>
          <w:b/>
          <w:color w:val="auto"/>
          <w:sz w:val="32"/>
          <w:szCs w:val="32"/>
          <w:highlight w:val="none"/>
        </w:rPr>
      </w:pPr>
      <w:bookmarkStart w:id="1" w:name="_Toc14425"/>
      <w:r>
        <w:rPr>
          <w:rFonts w:hint="eastAsia" w:ascii="宋体" w:hAnsi="宋体" w:eastAsia="宋体" w:cs="宋体"/>
          <w:b/>
          <w:color w:val="auto"/>
          <w:sz w:val="32"/>
          <w:szCs w:val="32"/>
          <w:highlight w:val="none"/>
        </w:rPr>
        <w:t xml:space="preserve">第一章  </w:t>
      </w:r>
      <w:bookmarkEnd w:id="0"/>
      <w:r>
        <w:rPr>
          <w:rFonts w:hint="eastAsia" w:ascii="宋体" w:hAnsi="宋体" w:eastAsia="宋体" w:cs="宋体"/>
          <w:b/>
          <w:color w:val="auto"/>
          <w:sz w:val="32"/>
          <w:szCs w:val="32"/>
          <w:highlight w:val="none"/>
        </w:rPr>
        <w:t>公开招标采购公告</w:t>
      </w:r>
      <w:bookmarkEnd w:id="1"/>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象山县环境卫生指导中心道路保洁服务外包项目</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招标项目的潜在投标人应在</w:t>
            </w:r>
            <w:r>
              <w:rPr>
                <w:rFonts w:hint="eastAsia" w:ascii="宋体" w:hAnsi="宋体" w:eastAsia="宋体" w:cs="宋体"/>
                <w:color w:val="auto"/>
                <w:szCs w:val="21"/>
                <w:highlight w:val="none"/>
                <w:lang w:eastAsia="zh-CN"/>
              </w:rPr>
              <w:t>政府采购云平台</w:t>
            </w:r>
            <w:r>
              <w:rPr>
                <w:rFonts w:hint="eastAsia" w:ascii="宋体" w:hAnsi="宋体" w:eastAsia="宋体" w:cs="宋体"/>
                <w:color w:val="auto"/>
                <w:szCs w:val="21"/>
                <w:highlight w:val="none"/>
              </w:rPr>
              <w:t>（http://www.zcygov.cn/）获取（下载）</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，并于</w:t>
            </w:r>
            <w:r>
              <w:rPr>
                <w:rFonts w:hint="eastAsia" w:ascii="宋体" w:hAnsi="宋体" w:eastAsia="宋体" w:cs="宋体"/>
                <w:color w:val="auto"/>
                <w:szCs w:val="21"/>
                <w:highlight w:val="none"/>
                <w:u w:val="single"/>
                <w:lang w:val="en-US" w:eastAsia="zh-CN"/>
              </w:rPr>
              <w:t>2022</w:t>
            </w:r>
            <w:r>
              <w:rPr>
                <w:rFonts w:hint="eastAsia" w:ascii="宋体" w:hAnsi="宋体" w:eastAsia="宋体" w:cs="宋体"/>
                <w:bCs/>
                <w:color w:val="auto"/>
                <w:szCs w:val="21"/>
                <w:highlight w:val="none"/>
                <w:u w:val="single"/>
              </w:rPr>
              <w:t>年</w:t>
            </w:r>
            <w:r>
              <w:rPr>
                <w:rFonts w:hint="eastAsia" w:ascii="宋体" w:hAnsi="宋体" w:cs="宋体"/>
                <w:bCs/>
                <w:color w:val="auto"/>
                <w:szCs w:val="21"/>
                <w:highlight w:val="none"/>
                <w:u w:val="single"/>
                <w:lang w:val="en-US" w:eastAsia="zh-CN"/>
              </w:rPr>
              <w:t>11</w:t>
            </w:r>
            <w:r>
              <w:rPr>
                <w:rFonts w:hint="eastAsia" w:ascii="宋体" w:hAnsi="宋体" w:eastAsia="宋体" w:cs="宋体"/>
                <w:bCs/>
                <w:color w:val="auto"/>
                <w:szCs w:val="21"/>
                <w:highlight w:val="none"/>
                <w:u w:val="single"/>
              </w:rPr>
              <w:t>月</w:t>
            </w:r>
            <w:r>
              <w:rPr>
                <w:rFonts w:hint="eastAsia" w:ascii="宋体" w:hAnsi="宋体" w:cs="宋体"/>
                <w:bCs/>
                <w:color w:val="auto"/>
                <w:szCs w:val="21"/>
                <w:highlight w:val="none"/>
                <w:u w:val="single"/>
                <w:lang w:val="en-US" w:eastAsia="zh-CN"/>
              </w:rPr>
              <w:t>11</w:t>
            </w:r>
            <w:bookmarkStart w:id="41" w:name="_GoBack"/>
            <w:bookmarkEnd w:id="41"/>
            <w:r>
              <w:rPr>
                <w:rFonts w:hint="eastAsia" w:ascii="宋体" w:hAnsi="宋体" w:eastAsia="宋体" w:cs="宋体"/>
                <w:bCs/>
                <w:color w:val="auto"/>
                <w:szCs w:val="21"/>
                <w:highlight w:val="none"/>
                <w:u w:val="single"/>
              </w:rPr>
              <w:t>日</w:t>
            </w:r>
            <w:r>
              <w:rPr>
                <w:rFonts w:hint="eastAsia" w:ascii="宋体" w:hAnsi="宋体" w:cs="宋体"/>
                <w:color w:val="auto"/>
                <w:szCs w:val="21"/>
                <w:highlight w:val="none"/>
                <w:u w:val="single"/>
                <w:lang w:val="en-US" w:eastAsia="zh-CN"/>
              </w:rPr>
              <w:t>14:00</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北京时间）前递交（上传）投标文件</w:t>
            </w:r>
            <w:r>
              <w:rPr>
                <w:rFonts w:hint="eastAsia" w:ascii="宋体" w:hAnsi="宋体" w:eastAsia="宋体" w:cs="宋体"/>
                <w:color w:val="auto"/>
                <w:szCs w:val="21"/>
                <w:highlight w:val="none"/>
              </w:rPr>
              <w:t>。</w:t>
            </w:r>
          </w:p>
        </w:tc>
      </w:tr>
    </w:tbl>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color w:val="auto"/>
          <w:sz w:val="21"/>
          <w:szCs w:val="21"/>
          <w:highlight w:val="none"/>
        </w:rPr>
      </w:pPr>
      <w:r>
        <w:rPr>
          <w:rStyle w:val="50"/>
          <w:rFonts w:hint="eastAsia" w:asciiTheme="minorEastAsia" w:hAnsiTheme="minorEastAsia" w:eastAsiaTheme="minorEastAsia" w:cstheme="minorEastAsia"/>
          <w:color w:val="auto"/>
          <w:sz w:val="21"/>
          <w:szCs w:val="21"/>
          <w:highlight w:val="none"/>
        </w:rPr>
        <w:t>一、项目基本情况</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stheme="minorEastAsia"/>
          <w:color w:val="auto"/>
          <w:sz w:val="21"/>
          <w:szCs w:val="21"/>
          <w:highlight w:val="none"/>
          <w:lang w:eastAsia="zh-CN"/>
        </w:rPr>
        <w:t>CBZJ-20226152G</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象山县环境卫生指导中心道路保洁服务外包项目</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预算金额（元）：</w:t>
      </w:r>
      <w:r>
        <w:rPr>
          <w:rFonts w:hint="eastAsia" w:asciiTheme="minorEastAsia" w:hAnsiTheme="minorEastAsia" w:eastAsiaTheme="minorEastAsia" w:cstheme="minorEastAsia"/>
          <w:color w:val="auto"/>
          <w:sz w:val="21"/>
          <w:szCs w:val="21"/>
          <w:highlight w:val="none"/>
          <w:lang w:val="en-US" w:eastAsia="zh-CN"/>
        </w:rPr>
        <w:t>35052000</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最高限价（元）：</w:t>
      </w:r>
      <w:r>
        <w:rPr>
          <w:rFonts w:hint="eastAsia" w:asciiTheme="minorEastAsia" w:hAnsiTheme="minorEastAsia" w:eastAsiaTheme="minorEastAsia" w:cstheme="minorEastAsia"/>
          <w:color w:val="auto"/>
          <w:sz w:val="21"/>
          <w:szCs w:val="21"/>
          <w:highlight w:val="none"/>
          <w:lang w:val="en-US" w:eastAsia="zh-CN"/>
        </w:rPr>
        <w:t>35052000</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采购需求：</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标项名称:</w:t>
      </w:r>
      <w:r>
        <w:rPr>
          <w:rFonts w:hint="eastAsia" w:asciiTheme="minorEastAsia" w:hAnsiTheme="minorEastAsia" w:eastAsiaTheme="minorEastAsia" w:cstheme="minorEastAsia"/>
          <w:color w:val="auto"/>
          <w:sz w:val="21"/>
          <w:szCs w:val="21"/>
          <w:highlight w:val="none"/>
          <w:lang w:eastAsia="zh-CN"/>
        </w:rPr>
        <w:t>象山县环境卫生指导中心道路保洁服务外包项目</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数量:</w:t>
      </w:r>
      <w:r>
        <w:rPr>
          <w:rFonts w:hint="eastAsia" w:asciiTheme="minorEastAsia" w:hAnsiTheme="minorEastAsia" w:eastAsiaTheme="minorEastAsia" w:cstheme="minorEastAsia"/>
          <w:color w:val="auto"/>
          <w:sz w:val="21"/>
          <w:szCs w:val="21"/>
          <w:highlight w:val="none"/>
          <w:lang w:val="en-US" w:eastAsia="zh-CN"/>
        </w:rPr>
        <w:t>3年</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预算金额（元）:</w:t>
      </w:r>
      <w:r>
        <w:rPr>
          <w:rFonts w:hint="eastAsia" w:asciiTheme="minorEastAsia" w:hAnsiTheme="minorEastAsia" w:eastAsiaTheme="minorEastAsia" w:cstheme="minorEastAsia"/>
          <w:color w:val="auto"/>
          <w:sz w:val="21"/>
          <w:szCs w:val="21"/>
          <w:highlight w:val="none"/>
          <w:lang w:val="en-US" w:eastAsia="zh-CN"/>
        </w:rPr>
        <w:t>35052000</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Theme="minorEastAsia" w:hAnsiTheme="minorEastAsia" w:eastAsiaTheme="minorEastAsia" w:cstheme="minorEastAsia"/>
          <w:strike w:val="0"/>
          <w:dstrike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简要规格描述或项目基本概况介绍、用途：服务区域内道路的日常保洁、垃圾清运工作，以及环卫设备设施维护等事务。</w:t>
      </w:r>
      <w:r>
        <w:rPr>
          <w:rFonts w:hint="eastAsia" w:asciiTheme="minorEastAsia" w:hAnsiTheme="minorEastAsia" w:eastAsiaTheme="minorEastAsia" w:cstheme="minorEastAsia"/>
          <w:color w:val="auto"/>
          <w:sz w:val="21"/>
          <w:szCs w:val="21"/>
          <w:highlight w:val="none"/>
          <w:lang w:val="en-US" w:eastAsia="zh-CN"/>
        </w:rPr>
        <w:t>详见“第二章  采购需求”。</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30" w:firstLineChars="3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备注：</w:t>
      </w:r>
      <w:r>
        <w:rPr>
          <w:rFonts w:hint="eastAsia" w:asciiTheme="minorEastAsia" w:hAnsiTheme="minorEastAsia" w:eastAsiaTheme="minorEastAsia" w:cstheme="minorEastAsia"/>
          <w:color w:val="auto"/>
          <w:sz w:val="21"/>
          <w:szCs w:val="21"/>
          <w:highlight w:val="none"/>
          <w:lang w:val="en-US" w:eastAsia="zh-CN"/>
        </w:rPr>
        <w:t>年度预算（年度最高限价）为11684000.00元/年。</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合同履约期限：</w:t>
      </w:r>
      <w:r>
        <w:rPr>
          <w:rFonts w:hint="eastAsia" w:asciiTheme="minorEastAsia" w:hAnsiTheme="minorEastAsia" w:eastAsiaTheme="minorEastAsia" w:cstheme="minorEastAsia"/>
          <w:color w:val="auto"/>
          <w:sz w:val="21"/>
          <w:szCs w:val="21"/>
          <w:highlight w:val="none"/>
          <w:lang w:val="en-US" w:eastAsia="zh-CN"/>
        </w:rPr>
        <w:t>服务期限：</w:t>
      </w:r>
      <w:r>
        <w:rPr>
          <w:rFonts w:hint="eastAsia" w:asciiTheme="minorEastAsia" w:hAnsiTheme="minorEastAsia" w:eastAsiaTheme="minorEastAsia" w:cstheme="minorEastAsia"/>
          <w:color w:val="auto"/>
          <w:sz w:val="21"/>
          <w:szCs w:val="21"/>
          <w:highlight w:val="none"/>
        </w:rPr>
        <w:t>合同签订生效之日起三年，合同一年一签。</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lang w:val="en-US" w:eastAsia="zh-CN"/>
        </w:rPr>
        <w:t>本项目（是）接受联合体投标。组成联合体的成员数量不超过2个。</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1"/>
          <w:szCs w:val="21"/>
          <w:highlight w:val="none"/>
        </w:rPr>
      </w:pPr>
      <w:r>
        <w:rPr>
          <w:rStyle w:val="50"/>
          <w:rFonts w:hint="eastAsia" w:asciiTheme="minorEastAsia" w:hAnsiTheme="minorEastAsia" w:eastAsiaTheme="minorEastAsia" w:cstheme="minorEastAsia"/>
          <w:color w:val="auto"/>
          <w:sz w:val="21"/>
          <w:szCs w:val="21"/>
          <w:highlight w:val="none"/>
        </w:rPr>
        <w:t>二、申请人的资格要求：</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符合</w:t>
      </w:r>
      <w:r>
        <w:rPr>
          <w:rFonts w:hint="eastAsia" w:asciiTheme="minorEastAsia" w:hAnsiTheme="minorEastAsia" w:eastAsiaTheme="minorEastAsia" w:cstheme="minorEastAsia"/>
          <w:color w:val="auto"/>
          <w:sz w:val="21"/>
          <w:szCs w:val="21"/>
          <w:highlight w:val="none"/>
        </w:rPr>
        <w:t>《中华人民共和国政府采购法》第二十二条规定；未被“信用中国”（www.creditchina.gov.cn)、中国政府采购网（www.ccgp.gov.cn）列入失信被执行人、重大税收违法案件当事人名单、政府采购严重违法失信行为记录名单。</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2.落实政府采购政策需满足的资格要求：</w:t>
      </w:r>
      <w:r>
        <w:rPr>
          <w:rFonts w:hint="eastAsia" w:asciiTheme="minorEastAsia" w:hAnsiTheme="minorEastAsia" w:eastAsiaTheme="minorEastAsia" w:cstheme="minorEastAsia"/>
          <w:color w:val="auto"/>
          <w:sz w:val="21"/>
          <w:szCs w:val="21"/>
          <w:highlight w:val="none"/>
          <w:lang w:val="en-US" w:eastAsia="zh-CN"/>
        </w:rPr>
        <w:t>无</w:t>
      </w:r>
      <w:r>
        <w:rPr>
          <w:rFonts w:hint="eastAsia" w:asciiTheme="minorEastAsia" w:hAnsiTheme="minorEastAsia" w:eastAsiaTheme="minorEastAsia" w:cstheme="minorEastAsia"/>
          <w:color w:val="auto"/>
          <w:sz w:val="21"/>
          <w:szCs w:val="21"/>
          <w:highlight w:val="none"/>
        </w:rPr>
        <w:t>。</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color w:val="auto"/>
          <w:sz w:val="21"/>
          <w:szCs w:val="21"/>
          <w:highlight w:val="none"/>
          <w:lang w:eastAsia="zh-CN"/>
        </w:rPr>
      </w:pPr>
      <w:r>
        <w:rPr>
          <w:rStyle w:val="50"/>
          <w:rFonts w:hint="eastAsia" w:asciiTheme="minorEastAsia" w:hAnsiTheme="minorEastAsia" w:eastAsiaTheme="minorEastAsia" w:cstheme="minorEastAsia"/>
          <w:color w:val="auto"/>
          <w:sz w:val="21"/>
          <w:szCs w:val="21"/>
          <w:highlight w:val="none"/>
        </w:rPr>
        <w:t>三、获取</w:t>
      </w:r>
      <w:r>
        <w:rPr>
          <w:rStyle w:val="50"/>
          <w:rFonts w:hint="eastAsia" w:asciiTheme="minorEastAsia" w:hAnsiTheme="minorEastAsia" w:eastAsiaTheme="minorEastAsia" w:cstheme="minorEastAsia"/>
          <w:color w:val="auto"/>
          <w:sz w:val="21"/>
          <w:szCs w:val="21"/>
          <w:highlight w:val="none"/>
          <w:lang w:eastAsia="zh-CN"/>
        </w:rPr>
        <w:t>招标文件</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时间：</w:t>
      </w:r>
      <w:r>
        <w:rPr>
          <w:rFonts w:hint="eastAsia" w:asciiTheme="minorEastAsia" w:hAnsiTheme="minorEastAsia" w:eastAsiaTheme="minorEastAsia" w:cstheme="minorEastAsia"/>
          <w:color w:val="auto"/>
          <w:sz w:val="21"/>
          <w:szCs w:val="21"/>
          <w:highlight w:val="none"/>
          <w:lang w:val="en-US" w:eastAsia="zh-CN"/>
        </w:rPr>
        <w:t>2022</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18</w:t>
      </w:r>
      <w:r>
        <w:rPr>
          <w:rFonts w:hint="eastAsia" w:asciiTheme="minorEastAsia" w:hAnsiTheme="minorEastAsia" w:eastAsiaTheme="minorEastAsia" w:cstheme="minorEastAsia"/>
          <w:color w:val="auto"/>
          <w:sz w:val="21"/>
          <w:szCs w:val="21"/>
          <w:highlight w:val="none"/>
        </w:rPr>
        <w:t>日至</w:t>
      </w:r>
      <w:r>
        <w:rPr>
          <w:rFonts w:hint="eastAsia" w:asciiTheme="minorEastAsia" w:hAnsiTheme="minorEastAsia" w:eastAsiaTheme="minorEastAsia" w:cstheme="minorEastAsia"/>
          <w:color w:val="auto"/>
          <w:sz w:val="21"/>
          <w:szCs w:val="21"/>
          <w:highlight w:val="none"/>
          <w:lang w:val="en-US" w:eastAsia="zh-CN"/>
        </w:rPr>
        <w:t>2022</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26</w:t>
      </w:r>
      <w:r>
        <w:rPr>
          <w:rFonts w:hint="eastAsia" w:asciiTheme="minorEastAsia" w:hAnsiTheme="minorEastAsia" w:eastAsiaTheme="minorEastAsia" w:cstheme="minorEastAsia"/>
          <w:color w:val="auto"/>
          <w:sz w:val="21"/>
          <w:szCs w:val="21"/>
          <w:highlight w:val="none"/>
        </w:rPr>
        <w:t>日，每天上午00:00至12:00，下午12:00至23:59（北京时间，线上获取法定节假日均可，线下获取文件法定节假日除外）</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地点（网址）：</w:t>
      </w:r>
      <w:r>
        <w:rPr>
          <w:rFonts w:hint="eastAsia" w:asciiTheme="minorEastAsia" w:hAnsiTheme="minorEastAsia" w:eastAsiaTheme="minorEastAsia" w:cstheme="minorEastAsia"/>
          <w:color w:val="auto"/>
          <w:sz w:val="21"/>
          <w:szCs w:val="21"/>
          <w:highlight w:val="none"/>
          <w:lang w:eastAsia="zh-CN"/>
        </w:rPr>
        <w:t>政府采购云平台</w:t>
      </w:r>
      <w:r>
        <w:rPr>
          <w:rFonts w:hint="eastAsia" w:asciiTheme="minorEastAsia" w:hAnsiTheme="minorEastAsia" w:eastAsiaTheme="minorEastAsia" w:cstheme="minorEastAsia"/>
          <w:color w:val="auto"/>
          <w:sz w:val="21"/>
          <w:szCs w:val="21"/>
          <w:highlight w:val="none"/>
        </w:rPr>
        <w:t>（http://www.zcygov.cn/）。</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方式：供应商注册后直接</w:t>
      </w:r>
      <w:r>
        <w:rPr>
          <w:rFonts w:hint="eastAsia" w:asciiTheme="minorEastAsia" w:hAnsiTheme="minorEastAsia" w:eastAsiaTheme="minorEastAsia" w:cstheme="minorEastAsia"/>
          <w:color w:val="auto"/>
          <w:sz w:val="21"/>
          <w:szCs w:val="21"/>
          <w:highlight w:val="none"/>
          <w:lang w:eastAsia="zh-CN"/>
        </w:rPr>
        <w:t>登录</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政府采购云平台</w:t>
      </w:r>
      <w:r>
        <w:rPr>
          <w:rFonts w:hint="eastAsia" w:asciiTheme="minorEastAsia" w:hAnsiTheme="minorEastAsia" w:eastAsiaTheme="minorEastAsia" w:cstheme="minorEastAsia"/>
          <w:color w:val="auto"/>
          <w:sz w:val="21"/>
          <w:szCs w:val="21"/>
          <w:highlight w:val="none"/>
        </w:rPr>
        <w:t>”（http://www.zcygov.cn/）下载电子</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。供应商未在规定时间内或未按上述方式获取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的，其投标无效。本招标公告附件中的</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仅供阅览使用，供应商应在规定的获取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时间内在政采云平台登录供应商注册的账号后获取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，未按上述方式获取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的，不得对</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提起质疑投诉。</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售价（元）：0</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color w:val="auto"/>
          <w:sz w:val="21"/>
          <w:szCs w:val="21"/>
          <w:highlight w:val="none"/>
        </w:rPr>
      </w:pPr>
      <w:r>
        <w:rPr>
          <w:rStyle w:val="50"/>
          <w:rFonts w:hint="eastAsia" w:asciiTheme="minorEastAsia" w:hAnsiTheme="minorEastAsia" w:eastAsiaTheme="minorEastAsia" w:cstheme="minorEastAsia"/>
          <w:color w:val="auto"/>
          <w:sz w:val="21"/>
          <w:szCs w:val="21"/>
          <w:highlight w:val="none"/>
        </w:rPr>
        <w:t>四、提交投标文件截止时间、开标时间和地点</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提交投标文件截止时间：</w:t>
      </w:r>
      <w:r>
        <w:rPr>
          <w:rFonts w:hint="eastAsia" w:asciiTheme="minorEastAsia" w:hAnsiTheme="minorEastAsia" w:eastAsiaTheme="minorEastAsia" w:cstheme="minorEastAsia"/>
          <w:color w:val="auto"/>
          <w:sz w:val="21"/>
          <w:szCs w:val="21"/>
          <w:highlight w:val="none"/>
          <w:lang w:val="en-US" w:eastAsia="zh-CN"/>
        </w:rPr>
        <w:t>2022年11月11日14:00</w:t>
      </w:r>
      <w:r>
        <w:rPr>
          <w:rFonts w:hint="eastAsia" w:asciiTheme="minorEastAsia" w:hAnsiTheme="minorEastAsia" w:eastAsiaTheme="minorEastAsia" w:cstheme="minorEastAsia"/>
          <w:color w:val="auto"/>
          <w:sz w:val="21"/>
          <w:szCs w:val="21"/>
          <w:highlight w:val="none"/>
        </w:rPr>
        <w:t>（北京时间）</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投标地点（网址）：供应商应于上述时间前将电子投标文件上传到政府采购云平台www.zcygov.cn，未上传电子投标文件，视为供应商放弃投标。</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z w:val="21"/>
          <w:szCs w:val="21"/>
          <w:highlight w:val="none"/>
          <w:lang w:val="en-US" w:eastAsia="zh-CN"/>
        </w:rPr>
        <w:t>2022年11月11日14:00</w:t>
      </w:r>
      <w:r>
        <w:rPr>
          <w:rFonts w:hint="eastAsia" w:asciiTheme="minorEastAsia" w:hAnsiTheme="minorEastAsia" w:eastAsiaTheme="minorEastAsia" w:cstheme="minorEastAsia"/>
          <w:color w:val="auto"/>
          <w:sz w:val="21"/>
          <w:szCs w:val="21"/>
          <w:highlight w:val="none"/>
        </w:rPr>
        <w:t>（北京时间）</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地点（网址）：政府采购云平台www.zcygov.cn。供应商如提供备份投标文件的，应于提交投标文件截止时间前，将以U盘存储的电子备份投标文件密封，递交至象山县公共资源交易中心四楼开标室[象山县象山港路300号]，逾期送达或未密封将予以拒收。供应商仅提供备份投标文件（以U盘存储的电子备份投标文件）的，投标无效。采购代理机构将在</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规定的开标时间通过政府采购云平台组织开标、开启投标文件，所有供应商均应准时在线参加。开标时间后30分钟内供应商可以登录政府采购云平台www.zcygov.cn，用“项目采购-开标评标”功能进行解密投标文件。</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color w:val="auto"/>
          <w:sz w:val="21"/>
          <w:szCs w:val="21"/>
          <w:highlight w:val="none"/>
        </w:rPr>
      </w:pPr>
      <w:r>
        <w:rPr>
          <w:rStyle w:val="50"/>
          <w:rFonts w:hint="eastAsia" w:asciiTheme="minorEastAsia" w:hAnsiTheme="minorEastAsia" w:eastAsiaTheme="minorEastAsia" w:cstheme="minorEastAsia"/>
          <w:color w:val="auto"/>
          <w:sz w:val="21"/>
          <w:szCs w:val="21"/>
          <w:highlight w:val="none"/>
        </w:rPr>
        <w:t>五、公告期限</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自本公告发布之日起5个工作日。</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color w:val="auto"/>
          <w:sz w:val="21"/>
          <w:szCs w:val="21"/>
          <w:highlight w:val="none"/>
        </w:rPr>
      </w:pPr>
      <w:r>
        <w:rPr>
          <w:rStyle w:val="50"/>
          <w:rFonts w:hint="eastAsia" w:asciiTheme="minorEastAsia" w:hAnsiTheme="minorEastAsia" w:eastAsiaTheme="minorEastAsia" w:cstheme="minorEastAsia"/>
          <w:color w:val="auto"/>
          <w:sz w:val="21"/>
          <w:szCs w:val="21"/>
          <w:highlight w:val="none"/>
        </w:rPr>
        <w:t>六、其他补充事宜</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1.供应商认为</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使自己的权益受到损害的，可以自获取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之日或者</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公告期限届满之日（公告期限届满后获取</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2.其他事项：</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（一）采购代理机构将在</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规定的开标时间通过政府采购云平台组织开标、开启投标文件，所有供应商均应准时在线参加。开标时间后30分钟内供应商可以登录政府采购云平台www.zcygov.cn，用“项目采购-开标评标”功能进行解密投标文件。</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（二）落实的政策：</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对小微企业的产品给予价格优惠（监狱企业、残疾人福利性单位视同小微企业；残疾人福利性单位属于小型、微型企业的，不重复享受政策）；</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（三）投标与开标注意事项</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1.本项目实行网上投标，采用电子投标文件。若供应商参与投标，自行承担投标一切费用。</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2.标前准备：各供应商应在开标前确保成为浙江政府采购网正式注册入库供应商，并完成CA数字证书办理。因未注册入库、未办理CA数字证书等原因造成无法投标或投标失败等后果由供应商自行承担。</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3.投标文件制作：</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3.1应按照本项目</w:t>
      </w:r>
      <w:r>
        <w:rPr>
          <w:rFonts w:hint="eastAsia" w:asciiTheme="minorEastAsia" w:hAnsiTheme="minorEastAsia" w:eastAsiaTheme="minorEastAsia" w:cstheme="minorEastAsia"/>
          <w:color w:val="auto"/>
          <w:sz w:val="21"/>
          <w:szCs w:val="21"/>
          <w:highlight w:val="none"/>
          <w:lang w:eastAsia="zh-CN"/>
        </w:rPr>
        <w:t>招标文件</w:t>
      </w:r>
      <w:r>
        <w:rPr>
          <w:rFonts w:hint="eastAsia" w:asciiTheme="minorEastAsia" w:hAnsiTheme="minorEastAsia" w:eastAsiaTheme="minorEastAsia" w:cstheme="minorEastAsia"/>
          <w:color w:val="auto"/>
          <w:sz w:val="21"/>
          <w:szCs w:val="21"/>
          <w:highlight w:val="none"/>
        </w:rPr>
        <w:t>和政府采购云平台的要求编制、加密并递交投标文件。供应商在使用系统进行投标的过程中遇到涉及平台使用的任何问题，可致电政府采购云平台技术支持热线咨询，联系方式：4008817190。</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3.2供应商通过政府采购云平台电子投标工具制作投标文件，电子投标工具请供应商自行前往浙江政府采购网下载并安装，投标文件制作具体流程详见政府采购云平台。</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3.3以U盘存储的电子备份投标文件1份，按政府采购云平台要求制作的电子备份文件，以用于异常情况处理。</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4.供应商可采用邮寄（含快递）方式或现场方式递交备份投标文件。</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采用邮寄方式递交备份投标文件，需按以下要求递交：各供应商在投标截止时间前将备份投标文件邮寄至规定地点，由采购代理机构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拟在</w:t>
      </w:r>
      <w:r>
        <w:rPr>
          <w:rFonts w:hint="eastAsia" w:asciiTheme="minorEastAsia" w:hAnsiTheme="minorEastAsia" w:eastAsiaTheme="minorEastAsia" w:cstheme="minorEastAsia"/>
          <w:color w:val="auto"/>
          <w:sz w:val="21"/>
          <w:szCs w:val="21"/>
          <w:highlight w:val="none"/>
          <w:lang w:val="en-US" w:eastAsia="zh-CN"/>
        </w:rPr>
        <w:t>2022</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日16:00（含）前到件的邮寄地址为：宁波市鄞州区天童南路666号中基大厦19楼业务六部；</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收件人：周工 联系方式：0574-87426203</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请各供应商确保密封包装在邮寄过程密封包装完好，因邮寄过程的密封破损造成不符合开标要求的，本采购代理及采购人概不负责。</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4.2采用现场方式送达备份投标文件，需按以下要求递交：所有供应商安排“</w:t>
      </w:r>
      <w:r>
        <w:rPr>
          <w:rFonts w:hint="eastAsia" w:asciiTheme="minorEastAsia" w:hAnsiTheme="minorEastAsia" w:eastAsiaTheme="minorEastAsia" w:cstheme="minorEastAsia"/>
          <w:color w:val="auto"/>
          <w:sz w:val="21"/>
          <w:szCs w:val="21"/>
          <w:highlight w:val="none"/>
          <w:lang w:eastAsia="zh-CN"/>
        </w:rPr>
        <w:t>健康码</w:t>
      </w:r>
      <w:r>
        <w:rPr>
          <w:rFonts w:hint="eastAsia" w:asciiTheme="minorEastAsia" w:hAnsiTheme="minorEastAsia" w:eastAsiaTheme="minorEastAsia" w:cstheme="minorEastAsia"/>
          <w:color w:val="auto"/>
          <w:sz w:val="21"/>
          <w:szCs w:val="21"/>
          <w:highlight w:val="none"/>
        </w:rPr>
        <w:t>”为绿色的相关人员（原则上不超过一名）在投标截止时间前将备份投标文件送至：象山县公共资源交易中心四楼开标室[象山县象山港路300号]。投标文件递交时需同时递交供应商的法定代表人（或其委托代理人）联系方式，并保证开标期间联系方式的畅通。</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.投标人员须做好佩戴口罩、手套等防护措施，自觉接受体温检测、接受防疫询问，并如实报告相关情况。</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.投标人员还需配合做好疫情防控“五个一律”：一律全面消毒、一律体温检测、一律承诺登记、一律按序办事、一律服从管理。</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.疫情期间，请各供应商遵守各项防疫措施规定。</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8.本招标公告中二、申请人的资格要求：第一条中的“重大税收违法案件当事人名单”即为“重大税收违法失信主体”。</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color w:val="auto"/>
          <w:sz w:val="21"/>
          <w:szCs w:val="21"/>
          <w:highlight w:val="none"/>
        </w:rPr>
      </w:pPr>
      <w:r>
        <w:rPr>
          <w:rStyle w:val="50"/>
          <w:rFonts w:hint="eastAsia" w:asciiTheme="minorEastAsia" w:hAnsiTheme="minorEastAsia" w:eastAsiaTheme="minorEastAsia" w:cstheme="minorEastAsia"/>
          <w:color w:val="auto"/>
          <w:sz w:val="21"/>
          <w:szCs w:val="21"/>
          <w:highlight w:val="none"/>
        </w:rPr>
        <w:t>七、对本次采购提出询问、质疑、投诉，请按以下方式联系</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1.采购人信息</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lang w:eastAsia="zh-CN"/>
        </w:rPr>
        <w:t>象山县环境卫生指导中心</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地址：象山县丹东街道东塘山路29号</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项目联系人（询问）：张圣华</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项目联系方式（询问）：0574-65715991</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质疑联系人：吴茜茜</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质疑联系方式：13566641659</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2.采购代理机构信息</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名称：浙江中基正采管理咨询有限公司</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地址：宁波市鄞州区天童南路666号中基大厦19楼</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传真：0574-87425373</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项目联系人（询问）：王近娜、朱贤东</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项目联系方式（询问）：0574-87426203</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质疑联系人：王燕</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质疑联系方式：0574-87425583</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3.同级政府采购监督管理部门</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名称：象山县财政局政府采购管理办公室</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地址：象山县丹西街道丹峰西路163号</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传真：0574-65265612</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林</w:t>
      </w:r>
      <w:r>
        <w:rPr>
          <w:rFonts w:hint="eastAsia" w:asciiTheme="minorEastAsia" w:hAnsiTheme="minorEastAsia" w:eastAsiaTheme="minorEastAsia" w:cstheme="minorEastAsia"/>
          <w:color w:val="auto"/>
          <w:sz w:val="21"/>
          <w:szCs w:val="21"/>
          <w:highlight w:val="none"/>
        </w:rPr>
        <w:t>老师</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监督投诉电话：0574-65753557</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kern w:val="0"/>
          <w:szCs w:val="21"/>
          <w:highlight w:val="none"/>
          <w:lang w:bidi="ar"/>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lang w:bidi="ar"/>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kern w:val="0"/>
          <w:szCs w:val="21"/>
          <w:highlight w:val="none"/>
          <w:lang w:bidi="ar"/>
        </w:rPr>
        <w:t>CA问题联系电话（人工）：汇信CA 400-888-4636；天谷CA 400-087-8198。</w:t>
      </w:r>
    </w:p>
    <w:p>
      <w:pPr>
        <w:pStyle w:val="46"/>
        <w:ind w:firstLine="0" w:firstLineChars="0"/>
        <w:rPr>
          <w:rFonts w:hint="eastAsia" w:ascii="宋体" w:hAnsi="宋体" w:eastAsia="宋体" w:cs="宋体"/>
          <w:color w:val="auto"/>
          <w:highlight w:val="none"/>
        </w:rPr>
      </w:pPr>
    </w:p>
    <w:p>
      <w:pPr>
        <w:pStyle w:val="46"/>
        <w:ind w:firstLine="0" w:firstLineChars="0"/>
        <w:rPr>
          <w:rFonts w:hint="eastAsia" w:ascii="宋体" w:hAnsi="宋体" w:eastAsia="宋体" w:cs="宋体"/>
          <w:color w:val="auto"/>
          <w:highlight w:val="none"/>
        </w:rPr>
      </w:pPr>
    </w:p>
    <w:p>
      <w:pPr>
        <w:pStyle w:val="46"/>
        <w:ind w:firstLine="0" w:firstLineChars="0"/>
        <w:rPr>
          <w:rFonts w:hint="eastAsia" w:ascii="宋体" w:hAnsi="宋体" w:eastAsia="宋体" w:cs="宋体"/>
          <w:color w:val="auto"/>
          <w:highlight w:val="none"/>
        </w:rPr>
      </w:pPr>
    </w:p>
    <w:p>
      <w:pPr>
        <w:pStyle w:val="3"/>
        <w:spacing w:before="0" w:beforeLines="0" w:after="0" w:afterLines="0"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br w:type="page"/>
      </w:r>
      <w:bookmarkStart w:id="2" w:name="_Toc18054"/>
      <w:r>
        <w:rPr>
          <w:rFonts w:hint="eastAsia" w:ascii="宋体" w:hAnsi="宋体" w:eastAsia="宋体" w:cs="宋体"/>
          <w:b/>
          <w:color w:val="auto"/>
          <w:sz w:val="32"/>
          <w:szCs w:val="32"/>
          <w:highlight w:val="none"/>
        </w:rPr>
        <w:t>第二章  采购需求</w:t>
      </w:r>
      <w:bookmarkEnd w:id="2"/>
    </w:p>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前附表</w:t>
      </w:r>
    </w:p>
    <w:tbl>
      <w:tblPr>
        <w:tblStyle w:val="47"/>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840"/>
        <w:gridCol w:w="4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blHeader/>
          <w:jc w:val="center"/>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971"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4971"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详见第一章 《</w:t>
            </w:r>
            <w:r>
              <w:rPr>
                <w:rFonts w:hint="eastAsia" w:ascii="宋体" w:hAnsi="宋体" w:eastAsia="宋体" w:cs="宋体"/>
                <w:bCs/>
                <w:color w:val="auto"/>
                <w:sz w:val="21"/>
                <w:szCs w:val="21"/>
                <w:highlight w:val="none"/>
                <w:lang w:eastAsia="zh-CN"/>
              </w:rPr>
              <w:t>公开招标公告</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单位及数量</w:t>
            </w:r>
          </w:p>
        </w:tc>
        <w:tc>
          <w:tcPr>
            <w:tcW w:w="4971"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详见第一章 《</w:t>
            </w:r>
            <w:r>
              <w:rPr>
                <w:rFonts w:hint="eastAsia" w:ascii="宋体" w:hAnsi="宋体" w:eastAsia="宋体" w:cs="宋体"/>
                <w:bCs/>
                <w:color w:val="auto"/>
                <w:sz w:val="21"/>
                <w:szCs w:val="21"/>
                <w:highlight w:val="none"/>
                <w:lang w:eastAsia="zh-CN"/>
              </w:rPr>
              <w:t>公开招标公告</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交付或者实施的时间和地点</w:t>
            </w:r>
          </w:p>
        </w:tc>
        <w:tc>
          <w:tcPr>
            <w:tcW w:w="4971"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合同履行期限</w:t>
            </w:r>
            <w:r>
              <w:rPr>
                <w:rFonts w:hint="eastAsia" w:ascii="宋体" w:hAnsi="宋体" w:eastAsia="宋体" w:cs="宋体"/>
                <w:bCs/>
                <w:color w:val="auto"/>
                <w:sz w:val="21"/>
                <w:szCs w:val="21"/>
                <w:highlight w:val="none"/>
              </w:rPr>
              <w:t>：详见第一章 《</w:t>
            </w:r>
            <w:r>
              <w:rPr>
                <w:rFonts w:hint="eastAsia" w:ascii="宋体" w:hAnsi="宋体" w:eastAsia="宋体" w:cs="宋体"/>
                <w:bCs/>
                <w:color w:val="auto"/>
                <w:sz w:val="21"/>
                <w:szCs w:val="21"/>
                <w:highlight w:val="none"/>
                <w:lang w:eastAsia="zh-CN"/>
              </w:rPr>
              <w:t>公开招标公告</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实施地点：详见本章内容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需实现的功能或者目标</w:t>
            </w:r>
          </w:p>
        </w:tc>
        <w:tc>
          <w:tcPr>
            <w:tcW w:w="4971"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执行的国家相关标准、行业标准、地方标准或者其它标准、规范（如有）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执行的国家相关标准、行业标准、地方标准或者其它标准、规范</w:t>
            </w:r>
          </w:p>
        </w:tc>
        <w:tc>
          <w:tcPr>
            <w:tcW w:w="4971"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执行的国家相关标准、行业标准、地方标准或者其它标准、规范（如有）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技术规格要求</w:t>
            </w:r>
          </w:p>
        </w:tc>
        <w:tc>
          <w:tcPr>
            <w:tcW w:w="4971"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物理特性要求</w:t>
            </w:r>
          </w:p>
        </w:tc>
        <w:tc>
          <w:tcPr>
            <w:tcW w:w="4971"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质量、安全要求</w:t>
            </w:r>
          </w:p>
        </w:tc>
        <w:tc>
          <w:tcPr>
            <w:tcW w:w="4971"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服务标准、期限、效率(培训等）</w:t>
            </w:r>
          </w:p>
        </w:tc>
        <w:tc>
          <w:tcPr>
            <w:tcW w:w="4971"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tc>
        <w:tc>
          <w:tcPr>
            <w:tcW w:w="4971"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按照招标文件和中标人提供的投标文件及中标人和采购人签订的政府采购合同为标准进行验收。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现场踏勘</w:t>
            </w:r>
          </w:p>
        </w:tc>
        <w:tc>
          <w:tcPr>
            <w:tcW w:w="4971"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演示时间及地点</w:t>
            </w:r>
          </w:p>
        </w:tc>
        <w:tc>
          <w:tcPr>
            <w:tcW w:w="4971"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样品要求</w:t>
            </w:r>
          </w:p>
        </w:tc>
        <w:tc>
          <w:tcPr>
            <w:tcW w:w="4971"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本项目的核心产品</w:t>
            </w:r>
          </w:p>
        </w:tc>
        <w:tc>
          <w:tcPr>
            <w:tcW w:w="4971" w:type="dxa"/>
            <w:noWrap w:val="0"/>
            <w:vAlign w:val="center"/>
          </w:tcPr>
          <w:p>
            <w:pPr>
              <w:keepNext w:val="0"/>
              <w:keepLines w:val="0"/>
              <w:pageBreakBefore w:val="0"/>
              <w:widowControl w:val="0"/>
              <w:kinsoku/>
              <w:wordWrap/>
              <w:overflowPunct/>
              <w:topLinePunct w:val="0"/>
              <w:autoSpaceDE/>
              <w:autoSpaceDN/>
              <w:bidi w:val="0"/>
              <w:adjustRightInd/>
              <w:snapToGrid/>
              <w:spacing w:before="95" w:beforeLines="30" w:after="95" w:afterLines="30" w:line="36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无</w:t>
            </w:r>
          </w:p>
        </w:tc>
      </w:tr>
    </w:tbl>
    <w:p>
      <w:pPr>
        <w:keepNext w:val="0"/>
        <w:keepLines w:val="0"/>
        <w:pageBreakBefore w:val="0"/>
        <w:widowControl w:val="0"/>
        <w:kinsoku/>
        <w:wordWrap/>
        <w:overflowPunct/>
        <w:topLinePunct w:val="0"/>
        <w:autoSpaceDE/>
        <w:autoSpaceDN/>
        <w:bidi w:val="0"/>
        <w:adjustRightInd/>
        <w:snapToGrid/>
        <w:spacing w:line="360" w:lineRule="atLeast"/>
        <w:jc w:val="left"/>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yellow"/>
        </w:rPr>
        <w:br w:type="page"/>
      </w:r>
      <w:r>
        <w:rPr>
          <w:rFonts w:hint="eastAsia" w:ascii="宋体" w:hAnsi="宋体" w:eastAsia="宋体" w:cs="宋体"/>
          <w:b/>
          <w:color w:val="auto"/>
          <w:szCs w:val="21"/>
          <w:highlight w:val="none"/>
        </w:rPr>
        <w:t>★一、重要商务要求一览表</w:t>
      </w:r>
    </w:p>
    <w:tbl>
      <w:tblPr>
        <w:tblStyle w:val="47"/>
        <w:tblW w:w="89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5"/>
        <w:gridCol w:w="7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baseline"/>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类别</w:t>
            </w:r>
          </w:p>
        </w:tc>
        <w:tc>
          <w:tcPr>
            <w:tcW w:w="7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baseline"/>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具体商务要求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合同履行期限及地点</w:t>
            </w:r>
          </w:p>
        </w:tc>
        <w:tc>
          <w:tcPr>
            <w:tcW w:w="7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（1）合同履行期限</w:t>
            </w:r>
            <w:r>
              <w:rPr>
                <w:rFonts w:hint="eastAsia" w:ascii="宋体" w:hAnsi="宋体" w:cs="宋体"/>
                <w:color w:val="auto"/>
                <w:sz w:val="21"/>
                <w:szCs w:val="21"/>
                <w:highlight w:val="none"/>
                <w:lang w:val="en-US" w:eastAsia="zh-CN"/>
              </w:rPr>
              <w:t>（服务期限）</w:t>
            </w:r>
            <w:r>
              <w:rPr>
                <w:rFonts w:hint="eastAsia" w:ascii="宋体" w:hAnsi="宋体" w:eastAsia="宋体" w:cs="宋体"/>
                <w:color w:val="auto"/>
                <w:sz w:val="21"/>
                <w:szCs w:val="21"/>
                <w:highlight w:val="none"/>
                <w:lang w:val="en-US" w:eastAsia="zh-CN"/>
              </w:rPr>
              <w:t>：详见第一章 《公开招标公告》。</w:t>
            </w:r>
          </w:p>
          <w:p>
            <w:pPr>
              <w:keepNext w:val="0"/>
              <w:keepLines w:val="0"/>
              <w:pageBreakBefore w:val="0"/>
              <w:widowControl w:val="0"/>
              <w:kinsoku/>
              <w:wordWrap/>
              <w:overflowPunct/>
              <w:topLinePunct w:val="0"/>
              <w:autoSpaceDE/>
              <w:autoSpaceDN/>
              <w:bidi w:val="0"/>
              <w:adjustRightInd/>
              <w:snapToGrid/>
              <w:spacing w:line="264" w:lineRule="auto"/>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（2）实施地点：采购人指定地点。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p>
        </w:tc>
        <w:tc>
          <w:tcPr>
            <w:tcW w:w="7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highlight w:val="none"/>
                <w:lang w:val="en-US" w:eastAsia="zh-CN"/>
              </w:rPr>
              <w:t>合同生效及具备实施条件后7个工作日内</w:t>
            </w:r>
            <w:r>
              <w:rPr>
                <w:rFonts w:hint="eastAsia" w:ascii="宋体" w:hAnsi="宋体" w:eastAsia="宋体" w:cs="宋体"/>
                <w:color w:val="auto"/>
                <w:sz w:val="21"/>
                <w:szCs w:val="21"/>
                <w:highlight w:val="none"/>
                <w:lang w:val="en-US" w:eastAsia="zh-CN"/>
              </w:rPr>
              <w:t>，采购人向中标人支付合同价款的30%作为预付款（支付前，中标人需提交等额预付款保函且经采购人认可），服务开始后，采购人每月扣回预付款的20%，直至预付款全部扣清为止（全部扣清后，采购人5天内无息退回预付款保函）。</w:t>
            </w:r>
          </w:p>
          <w:p>
            <w:pPr>
              <w:keepNext w:val="0"/>
              <w:keepLines w:val="0"/>
              <w:pageBreakBefore w:val="0"/>
              <w:widowControl w:val="0"/>
              <w:kinsoku/>
              <w:wordWrap/>
              <w:overflowPunct/>
              <w:topLinePunct w:val="0"/>
              <w:autoSpaceDE/>
              <w:autoSpaceDN/>
              <w:bidi w:val="0"/>
              <w:adjustRightInd/>
              <w:snapToGrid/>
              <w:spacing w:line="264" w:lineRule="auto"/>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2、服务费按月支付，根据每月考核及奖罚情况，采购人</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个工作日内支付该月费用（如出现与投标文件中服务承诺重大偏离，可按合同和考核办法扣除相应的费用后支付）。</w:t>
            </w:r>
          </w:p>
          <w:p>
            <w:pPr>
              <w:keepNext w:val="0"/>
              <w:keepLines w:val="0"/>
              <w:pageBreakBefore w:val="0"/>
              <w:widowControl w:val="0"/>
              <w:kinsoku/>
              <w:wordWrap/>
              <w:overflowPunct/>
              <w:topLinePunct w:val="0"/>
              <w:autoSpaceDE/>
              <w:autoSpaceDN/>
              <w:bidi w:val="0"/>
              <w:adjustRightInd/>
              <w:snapToGrid/>
              <w:spacing w:line="264" w:lineRule="auto"/>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3、费用均通过县城投集团下属公司（象山县顺鸿城市运营有限公司），开增值税专用发票进行结算。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baseline"/>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3、履约保证金</w:t>
            </w:r>
          </w:p>
        </w:tc>
        <w:tc>
          <w:tcPr>
            <w:tcW w:w="7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1、履约保证金金额：</w:t>
            </w:r>
            <w:r>
              <w:rPr>
                <w:rFonts w:hint="eastAsia" w:ascii="宋体" w:hAnsi="宋体" w:cs="宋体"/>
                <w:color w:val="auto"/>
                <w:sz w:val="21"/>
                <w:szCs w:val="21"/>
                <w:highlight w:val="none"/>
                <w:lang w:val="en-US" w:eastAsia="zh-CN"/>
              </w:rPr>
              <w:t>年度</w:t>
            </w:r>
            <w:r>
              <w:rPr>
                <w:rFonts w:hint="eastAsia" w:ascii="宋体" w:hAnsi="宋体" w:eastAsia="宋体" w:cs="宋体"/>
                <w:color w:val="auto"/>
                <w:sz w:val="21"/>
                <w:szCs w:val="21"/>
                <w:highlight w:val="none"/>
              </w:rPr>
              <w:t>合同金额的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64" w:lineRule="auto"/>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2、履约保证金形式：现金、银行汇票（电汇）、银行保函、保险保单或支票（仅限于使用宁波大市区范围内的银行开具的支票）等形式；</w:t>
            </w:r>
          </w:p>
          <w:p>
            <w:pPr>
              <w:keepNext w:val="0"/>
              <w:keepLines w:val="0"/>
              <w:pageBreakBefore w:val="0"/>
              <w:widowControl w:val="0"/>
              <w:kinsoku/>
              <w:wordWrap/>
              <w:overflowPunct/>
              <w:topLinePunct w:val="0"/>
              <w:autoSpaceDE/>
              <w:autoSpaceDN/>
              <w:bidi w:val="0"/>
              <w:adjustRightInd/>
              <w:snapToGrid/>
              <w:spacing w:line="264" w:lineRule="auto"/>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履约保证金</w:t>
            </w:r>
            <w:r>
              <w:rPr>
                <w:rFonts w:hint="eastAsia" w:ascii="宋体" w:hAnsi="宋体" w:eastAsia="宋体" w:cs="宋体"/>
                <w:color w:val="auto"/>
                <w:sz w:val="21"/>
                <w:szCs w:val="21"/>
                <w:highlight w:val="none"/>
              </w:rPr>
              <w:t>收件人：采购人；</w:t>
            </w:r>
          </w:p>
          <w:p>
            <w:pPr>
              <w:keepNext w:val="0"/>
              <w:keepLines w:val="0"/>
              <w:pageBreakBefore w:val="0"/>
              <w:widowControl w:val="0"/>
              <w:kinsoku/>
              <w:wordWrap/>
              <w:overflowPunct/>
              <w:topLinePunct w:val="0"/>
              <w:autoSpaceDE/>
              <w:autoSpaceDN/>
              <w:bidi w:val="0"/>
              <w:adjustRightInd/>
              <w:snapToGrid/>
              <w:spacing w:line="264"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4、履约保证金的</w:t>
            </w:r>
            <w:r>
              <w:rPr>
                <w:rFonts w:hint="eastAsia" w:ascii="宋体" w:hAnsi="宋体" w:eastAsia="宋体" w:cs="宋体"/>
                <w:color w:val="auto"/>
                <w:sz w:val="21"/>
                <w:szCs w:val="21"/>
                <w:highlight w:val="none"/>
                <w:lang w:val="en-US" w:eastAsia="zh-CN"/>
              </w:rPr>
              <w:t>递交要求：</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须在合同签订后预付款支付前</w:t>
            </w:r>
            <w:r>
              <w:rPr>
                <w:rFonts w:hint="eastAsia" w:ascii="宋体" w:hAnsi="宋体" w:cs="宋体"/>
                <w:color w:val="auto"/>
                <w:szCs w:val="21"/>
                <w:highlight w:val="none"/>
                <w:lang w:val="en-US" w:eastAsia="zh-CN"/>
              </w:rPr>
              <w:t>递交。</w:t>
            </w:r>
          </w:p>
          <w:p>
            <w:pPr>
              <w:keepNext w:val="0"/>
              <w:keepLines w:val="0"/>
              <w:pageBreakBefore w:val="0"/>
              <w:widowControl w:val="0"/>
              <w:kinsoku/>
              <w:wordWrap/>
              <w:overflowPunct/>
              <w:topLinePunct w:val="0"/>
              <w:autoSpaceDE/>
              <w:autoSpaceDN/>
              <w:bidi w:val="0"/>
              <w:adjustRightInd/>
              <w:snapToGrid/>
              <w:spacing w:line="264" w:lineRule="auto"/>
              <w:textAlignment w:val="baseline"/>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履约保证金的退取：项目验收合格后，根据实际履约情况扣除相应违约金后无息退还履约保证金（但如供应商未能履行合同规定的任何义务，采购人有权从履约保证金中得到补偿）。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baseline"/>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4、合同终止</w:t>
            </w:r>
          </w:p>
        </w:tc>
        <w:tc>
          <w:tcPr>
            <w:tcW w:w="7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在合同有效期内，不得以任何理由终止合同，确有特殊情况的，须提前两个月向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提出书面申请，经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同意后，方可终止合同。因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不能保证工作质量的，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有权终止合同，</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承担全部责任。</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Dotum"/>
          <w:b/>
          <w:bCs/>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Dotum"/>
          <w:b/>
          <w:bCs/>
          <w:szCs w:val="21"/>
        </w:rPr>
      </w:pPr>
      <w:r>
        <w:rPr>
          <w:rFonts w:hint="eastAsia" w:ascii="宋体" w:hAnsi="宋体" w:eastAsia="宋体" w:cs="Dotum"/>
          <w:b/>
          <w:bCs/>
          <w:szCs w:val="21"/>
          <w:lang w:eastAsia="zh-CN"/>
        </w:rPr>
        <w:t>二</w:t>
      </w:r>
      <w:r>
        <w:rPr>
          <w:rFonts w:hint="eastAsia" w:ascii="宋体" w:hAnsi="宋体" w:eastAsia="宋体" w:cs="Dotum"/>
          <w:b/>
          <w:bCs/>
          <w:szCs w:val="21"/>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rPr>
      </w:pPr>
      <w:bookmarkStart w:id="3" w:name="_Toc16600"/>
      <w:bookmarkStart w:id="4" w:name="_Toc366"/>
      <w:r>
        <w:rPr>
          <w:rFonts w:hint="eastAsia" w:ascii="宋体" w:hAnsi="宋体" w:eastAsia="宋体" w:cs="Times New Roman"/>
          <w:color w:val="auto"/>
          <w:szCs w:val="21"/>
        </w:rPr>
        <w:t>1、保洁区域：</w:t>
      </w:r>
      <w:bookmarkEnd w:id="3"/>
      <w:bookmarkEnd w:id="4"/>
      <w:r>
        <w:rPr>
          <w:rFonts w:hint="eastAsia" w:ascii="宋体" w:hAnsi="宋体" w:eastAsia="宋体" w:cs="Times New Roman"/>
          <w:color w:val="auto"/>
          <w:szCs w:val="21"/>
          <w:lang w:val="en-US" w:eastAsia="zh-CN"/>
        </w:rPr>
        <w:t>南街、天安路、象山港路、巨鹰路（象山港路-松兰山）、滨海大道、政实路，共计保洁面积约160.44万平方米</w:t>
      </w:r>
      <w:r>
        <w:rPr>
          <w:rFonts w:hint="eastAsia" w:ascii="宋体" w:hAnsi="宋体"/>
          <w:color w:val="auto"/>
          <w:szCs w:val="21"/>
        </w:rPr>
        <w:t>区域内的道路、桥梁、人行道、天桥、公共广场、草坪等公共区域</w:t>
      </w:r>
      <w:r>
        <w:rPr>
          <w:rFonts w:hint="eastAsia" w:ascii="宋体" w:hAnsi="宋体"/>
          <w:color w:val="auto"/>
          <w:szCs w:val="21"/>
          <w:highlight w:val="none"/>
        </w:rPr>
        <w:t>（详见附表1）的</w:t>
      </w:r>
      <w:r>
        <w:rPr>
          <w:rFonts w:hint="eastAsia" w:ascii="宋体" w:hAnsi="宋体"/>
          <w:color w:val="auto"/>
          <w:szCs w:val="21"/>
        </w:rPr>
        <w:t>日常保洁（包括零星装潢垃圾、零星杂物、临时产生的障碍物清理）、垃圾收集清运、垃圾桶清运清洗（倾倒后即清洗、划线、归点）及果壳箱的清洗（随脏随擦）。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2、服务期限</w:t>
      </w:r>
      <w:r>
        <w:rPr>
          <w:rFonts w:hint="eastAsia" w:ascii="宋体" w:hAnsi="宋体" w:eastAsia="宋体" w:cs="Times New Roman"/>
          <w:szCs w:val="21"/>
          <w:lang w:eastAsia="zh-CN"/>
        </w:rPr>
        <w:t>：合同签订生效之日起三年，合同一年一签。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3、采购内容：服务区域内道路的日常保洁、垃圾清运工作，以及环卫设备设施维护等事务。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4、质量要求：根据《浙江省城市道路清扫保洁标准》，达到城区环卫保洁作业标准。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
          <w:bCs/>
          <w:szCs w:val="21"/>
        </w:rPr>
      </w:pPr>
      <w:r>
        <w:rPr>
          <w:rFonts w:hint="eastAsia" w:ascii="宋体" w:hAnsi="宋体" w:eastAsia="宋体" w:cs="Times New Roman"/>
          <w:szCs w:val="21"/>
        </w:rPr>
        <w:t>5、考核要求：象山县环境卫生指导中心根据《象山县环境卫生指导中心岗位责任管理考核办法</w:t>
      </w:r>
      <w:r>
        <w:rPr>
          <w:rFonts w:hint="eastAsia" w:ascii="宋体" w:hAnsi="宋体" w:eastAsia="宋体" w:cs="Times New Roman"/>
          <w:szCs w:val="21"/>
          <w:highlight w:val="none"/>
        </w:rPr>
        <w:t>》（附件1）及其他</w:t>
      </w:r>
      <w:r>
        <w:rPr>
          <w:rFonts w:hint="eastAsia" w:ascii="宋体" w:hAnsi="宋体" w:eastAsia="宋体" w:cs="Times New Roman"/>
          <w:szCs w:val="21"/>
        </w:rPr>
        <w:t>相关规定的内容进行日常考核、处罚。</w:t>
      </w:r>
      <w:r>
        <w:rPr>
          <w:rFonts w:hint="eastAsia" w:ascii="宋体" w:hAnsi="宋体" w:eastAsia="宋体" w:cs="Times New Roman"/>
          <w:b/>
          <w:bCs/>
          <w:szCs w:val="21"/>
        </w:rPr>
        <w:t>如象山县环境卫生指导中心根据实际情况对《象山县环境卫生指导中心岗位责任管理考核办法》有调整的，供应商需无条件接受新的考核办法。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Dotum"/>
          <w:b/>
          <w:bCs/>
          <w:szCs w:val="21"/>
          <w:lang w:eastAsia="zh-CN"/>
        </w:rPr>
      </w:pPr>
    </w:p>
    <w:p>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Dotum"/>
          <w:b/>
          <w:bCs/>
          <w:szCs w:val="21"/>
        </w:rPr>
      </w:pPr>
      <w:r>
        <w:rPr>
          <w:rFonts w:hint="eastAsia" w:ascii="宋体" w:hAnsi="宋体" w:eastAsia="宋体" w:cs="Dotum"/>
          <w:b/>
          <w:bCs/>
          <w:szCs w:val="21"/>
          <w:lang w:eastAsia="zh-CN"/>
        </w:rPr>
        <w:t>三</w:t>
      </w:r>
      <w:r>
        <w:rPr>
          <w:rFonts w:hint="eastAsia" w:ascii="宋体" w:hAnsi="宋体" w:eastAsia="宋体" w:cs="Dotum"/>
          <w:b/>
          <w:bCs/>
          <w:szCs w:val="21"/>
        </w:rPr>
        <w:t>、采购需求（道路保洁服务区域作业标准）</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jc w:val="left"/>
        <w:textAlignment w:val="auto"/>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eastAsia="宋体" w:cs="Times New Roman"/>
          <w:b/>
          <w:bCs/>
          <w:szCs w:val="21"/>
          <w:lang w:val="en-US" w:eastAsia="zh-CN"/>
        </w:rPr>
        <w:t>道路保洁作业</w:t>
      </w:r>
      <w:r>
        <w:rPr>
          <w:rFonts w:hint="eastAsia" w:ascii="宋体" w:hAnsi="宋体" w:eastAsia="宋体" w:cs="Times New Roman"/>
          <w:b/>
          <w:bCs/>
          <w:szCs w:val="21"/>
        </w:rPr>
        <w:t>要求：</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color w:val="auto"/>
          <w:szCs w:val="21"/>
        </w:rPr>
      </w:pPr>
      <w:r>
        <w:rPr>
          <w:rFonts w:hint="eastAsia" w:ascii="宋体" w:hAnsi="宋体" w:eastAsia="宋体" w:cs="Times New Roman"/>
          <w:color w:val="auto"/>
          <w:szCs w:val="21"/>
        </w:rPr>
        <w:t>1.1全日制保洁道路早上4:00到晚上19:00（15小时保洁），中午时间段 11:30-13:15派</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rPr>
        <w:t>人进行快速保洁，晚上时间段 19:00-22:00 派6人进行巡回保洁（</w:t>
      </w:r>
      <w:r>
        <w:rPr>
          <w:rFonts w:hint="eastAsia" w:ascii="宋体" w:hAnsi="宋体" w:eastAsia="宋体" w:cs="Times New Roman"/>
          <w:color w:val="auto"/>
          <w:szCs w:val="21"/>
          <w:lang w:val="en-US" w:eastAsia="zh-CN"/>
        </w:rPr>
        <w:t>夜班地段：1、南街天安路：县府至白象路小商品市场；2、天安路：白象路口至丹峰路口（西侧）；3、天安路：白象路口至丹峰路口（东侧）；4、天安路：丹峰路口至丹南路口；5、象山港路：史家山隧道至天安路口；6、象山港路：天安路口至巨鹰路口</w:t>
      </w:r>
      <w:r>
        <w:rPr>
          <w:rFonts w:hint="eastAsia" w:ascii="宋体" w:hAnsi="宋体" w:eastAsia="宋体" w:cs="Times New Roman"/>
          <w:color w:val="auto"/>
          <w:szCs w:val="21"/>
        </w:rPr>
        <w:t>）。</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1.2道路保洁路段全面普扫应在早上7:30之前完成，下午应在15:30前完成，普扫结束后做好巡回保洁工作。</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1.3道路路面首次普扫质量应做到五无五净：无果皮纸屑、无土石杂草、无积水积泥、无痰痕烟蒂、无堆积物，路面干净、道路绿地树圈干净、边角侧石干净、窨井沟槽畅通干净、果壳箱等环卫设施整齐干净，路面见本色。</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1.4道路清扫保洁的通用质量要求应达到路面整洁，排水口清洁，无残留污水，无残积沙土，道路收集容器等环卫设施无明显污迹的要求，大面积落叶季节可适当延长滞留时间。</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1.5道路清扫后达到无零星垃圾、瓦砾；无果皮、纸屑；无积泥、水；路面、人行道、喇叭口净；树穴、花坛周围净。</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1.6街、巷清扫后达到无零星垃圾、瓦砾、杂草。</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1.7对于道路两旁明沟应每日清理，做到沟内无垃圾、杂物，沟底无淤泥（明沟指宽度少于30厘米的屋前小沟，不包括河道）。</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1.8每日要对绿化带进行清理保洁，保持绿化区域土地平整，无杂物，无枯枝烂叶、砖石、有色垃圾、煤饼、瓦砾、纸屑、果皮等，除下的杂草、修剪的树枝应及时清理。</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1.9路面、路牙（垫板、雨水口、巷口、井盖）、便道（包括：树坑、公交车站）及隔离墩（栅）、周围的地面无污物，露出道路本色。保洁路牙时要站在牙下依次顺序作业，并带扫1米宽的路面。人工清扫保洁作业时，道路、人行道（含店前道路）不得漏扫、反扫，垃圾应归拢、归堆并清除彻底，清扫保洁时不得将垃圾扫入窨井中或向道路两侧反扫，人工清雪作业时不得向路面洒雪。垃圾应倾倒在规定地点，不得焚烧垃圾、树叶。落叶旺季做到及时清扫和转运处理。绿地和绿地内无烟头、瓜果皮核、纸屑、包装框、箱、盒、袋等污物。</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1.10道路保洁员作业时应按车行线反方向清扫，保洁车辆停放地点应适宜，不能太靠近车行线，车容应整洁。</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1.11道路保洁员应文明作业，不得将垃圾、污水扫到、溅到行人，禁止将垃圾堆放或停留在窨井盖上，禁止将垃圾扫入或倒入窨井、道路绿地等处，必须运送指定地点。</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1.12保洁作业人员和作业工具管理：</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（1）清扫保洁工作人员上岗按照规定统一着作业装，上装须有安全反光标志，头戴工作帽。</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（2）清扫保洁工作人员着装要干净整齐，无破损，不得赤膊作业。</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（3）不得利用工作之便捡卖废品、干私活等。</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（4）清扫保洁工作人员要遵纪守法、遵守社会公德。</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1.13未硬化道路、闲置地块（空地）作业标准参照上述道路保洁标准。</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textAlignment w:val="auto"/>
        <w:rPr>
          <w:rFonts w:ascii="宋体" w:hAnsi="宋体" w:cs="Times New Roman"/>
          <w:b/>
          <w:bCs/>
          <w:szCs w:val="21"/>
          <w:highlight w:val="none"/>
        </w:rPr>
      </w:pPr>
      <w:r>
        <w:rPr>
          <w:rFonts w:hint="eastAsia" w:ascii="宋体" w:hAnsi="宋体" w:eastAsia="宋体" w:cs="Times New Roman"/>
          <w:b/>
          <w:bCs/>
          <w:szCs w:val="21"/>
          <w:highlight w:val="none"/>
          <w:lang w:val="en-US" w:eastAsia="zh-CN"/>
        </w:rPr>
        <w:t>2</w:t>
      </w:r>
      <w:r>
        <w:rPr>
          <w:rFonts w:hint="eastAsia" w:ascii="宋体" w:hAnsi="宋体" w:cs="Times New Roman"/>
          <w:b/>
          <w:bCs/>
          <w:szCs w:val="21"/>
          <w:highlight w:val="none"/>
          <w:lang w:val="en-US" w:eastAsia="zh-CN"/>
        </w:rPr>
        <w:t>、</w:t>
      </w:r>
      <w:r>
        <w:rPr>
          <w:rFonts w:hint="eastAsia" w:ascii="宋体" w:hAnsi="宋体" w:cs="Times New Roman"/>
          <w:b/>
          <w:bCs/>
          <w:szCs w:val="21"/>
          <w:highlight w:val="none"/>
        </w:rPr>
        <w:t>垃圾收集清运保洁要求：</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cs="Times New Roman"/>
          <w:szCs w:val="21"/>
        </w:rPr>
      </w:pPr>
      <w:r>
        <w:rPr>
          <w:rFonts w:hint="eastAsia" w:ascii="宋体" w:hAnsi="宋体" w:cs="Times New Roman"/>
          <w:szCs w:val="21"/>
          <w:lang w:val="en-US" w:eastAsia="zh-CN"/>
        </w:rPr>
        <w:t>2</w:t>
      </w:r>
      <w:r>
        <w:rPr>
          <w:rFonts w:hint="eastAsia" w:ascii="宋体" w:hAnsi="宋体" w:cs="Times New Roman"/>
          <w:szCs w:val="21"/>
        </w:rPr>
        <w:t>.1垃圾收集清运</w:t>
      </w:r>
      <w:r>
        <w:rPr>
          <w:rFonts w:hint="eastAsia" w:ascii="宋体" w:hAnsi="宋体" w:cs="Times New Roman"/>
          <w:szCs w:val="21"/>
          <w:lang w:eastAsia="zh-CN"/>
        </w:rPr>
        <w:t>人员</w:t>
      </w:r>
      <w:r>
        <w:rPr>
          <w:rFonts w:hint="eastAsia" w:ascii="宋体" w:hAnsi="宋体" w:cs="Times New Roman"/>
          <w:szCs w:val="21"/>
        </w:rPr>
        <w:t>对垃圾收集点的垃圾一天收集保洁二次，垃圾应直接送至垃圾转运站，做到垃圾不满溢，车走地净；垃圾收集点周围应整洁，无散落、存留垃圾和污水，清运垃圾时禁止沿途抛撒垃圾和滴漏污水。</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cs="Times New Roman"/>
          <w:szCs w:val="21"/>
        </w:rPr>
      </w:pPr>
      <w:r>
        <w:rPr>
          <w:rFonts w:hint="eastAsia" w:ascii="宋体" w:hAnsi="宋体" w:cs="Times New Roman"/>
          <w:szCs w:val="21"/>
          <w:lang w:val="en-US" w:eastAsia="zh-CN"/>
        </w:rPr>
        <w:t>2</w:t>
      </w:r>
      <w:r>
        <w:rPr>
          <w:rFonts w:hint="eastAsia" w:ascii="宋体" w:hAnsi="宋体" w:cs="Times New Roman"/>
          <w:szCs w:val="21"/>
        </w:rPr>
        <w:t>.2垃圾桶应每日清洗，保持经常性清洁、完整，不得有明显的污物，每日清运后要对垃圾桶周围地面进行冲洗。</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cs="Times New Roman"/>
          <w:szCs w:val="21"/>
        </w:rPr>
      </w:pPr>
      <w:r>
        <w:rPr>
          <w:rFonts w:hint="eastAsia" w:ascii="宋体" w:hAnsi="宋体" w:cs="Times New Roman"/>
          <w:szCs w:val="21"/>
          <w:lang w:val="en-US" w:eastAsia="zh-CN"/>
        </w:rPr>
        <w:t>2</w:t>
      </w:r>
      <w:r>
        <w:rPr>
          <w:rFonts w:hint="eastAsia" w:ascii="宋体" w:hAnsi="宋体" w:cs="Times New Roman"/>
          <w:szCs w:val="21"/>
        </w:rPr>
        <w:t>.3垃圾桶周围打扫干净，不得有建筑垃圾，不得焚烧垃圾，保持垃圾桶周边干净。</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cs="Times New Roman"/>
          <w:szCs w:val="21"/>
        </w:rPr>
      </w:pPr>
      <w:r>
        <w:rPr>
          <w:rFonts w:hint="eastAsia" w:ascii="宋体" w:hAnsi="宋体" w:cs="Times New Roman"/>
          <w:szCs w:val="21"/>
          <w:lang w:val="en-US" w:eastAsia="zh-CN"/>
        </w:rPr>
        <w:t>2</w:t>
      </w:r>
      <w:r>
        <w:rPr>
          <w:rFonts w:hint="eastAsia" w:ascii="宋体" w:hAnsi="宋体" w:cs="Times New Roman"/>
          <w:szCs w:val="21"/>
        </w:rPr>
        <w:t>.4对于损坏的垃圾桶应按规定及时进行调换，并在蚊蝇孳生季节定时喷洒灭蝇药物（4、5、6、7、8、9、10月）。</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Times New Roman"/>
          <w:color w:val="auto"/>
          <w:szCs w:val="21"/>
        </w:rPr>
      </w:pPr>
      <w:r>
        <w:rPr>
          <w:rFonts w:hint="eastAsia" w:ascii="宋体" w:hAnsi="宋体" w:cs="Times New Roman"/>
          <w:color w:val="auto"/>
          <w:szCs w:val="21"/>
          <w:lang w:val="en-US" w:eastAsia="zh-CN"/>
        </w:rPr>
        <w:t>2</w:t>
      </w:r>
      <w:r>
        <w:rPr>
          <w:rFonts w:hint="eastAsia" w:ascii="宋体" w:hAnsi="宋体" w:cs="Times New Roman"/>
          <w:color w:val="auto"/>
          <w:szCs w:val="21"/>
        </w:rPr>
        <w:t>.5垃圾桶必须采取机械清运，即</w:t>
      </w:r>
      <w:r>
        <w:rPr>
          <w:rFonts w:hint="eastAsia" w:ascii="宋体" w:hAnsi="宋体" w:cs="Times New Roman"/>
          <w:color w:val="auto"/>
          <w:szCs w:val="21"/>
          <w:lang w:val="en-US" w:eastAsia="zh-CN"/>
        </w:rPr>
        <w:t>以</w:t>
      </w:r>
      <w:r>
        <w:rPr>
          <w:rFonts w:hint="eastAsia" w:ascii="宋体" w:hAnsi="宋体" w:cs="Times New Roman"/>
          <w:color w:val="auto"/>
          <w:szCs w:val="21"/>
        </w:rPr>
        <w:t>桶换桶方式清运。</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jc w:val="left"/>
        <w:textAlignment w:val="auto"/>
        <w:rPr>
          <w:rFonts w:ascii="宋体" w:hAnsi="宋体" w:cs="Times New Roman"/>
          <w:b/>
          <w:bCs/>
          <w:color w:val="auto"/>
          <w:szCs w:val="21"/>
        </w:rPr>
      </w:pPr>
      <w:r>
        <w:rPr>
          <w:rFonts w:hint="eastAsia" w:ascii="宋体" w:hAnsi="宋体" w:cs="Times New Roman"/>
          <w:b/>
          <w:bCs/>
          <w:color w:val="auto"/>
          <w:szCs w:val="21"/>
        </w:rPr>
        <w:t>3、人员配置要求：按照环卫保洁要求科学合理安排人员，共</w:t>
      </w:r>
      <w:r>
        <w:rPr>
          <w:rFonts w:hint="eastAsia" w:ascii="宋体" w:hAnsi="宋体" w:cs="Times New Roman"/>
          <w:b/>
          <w:bCs/>
          <w:color w:val="auto"/>
          <w:szCs w:val="21"/>
          <w:lang w:val="en-US" w:eastAsia="zh-CN"/>
        </w:rPr>
        <w:t>139</w:t>
      </w:r>
      <w:r>
        <w:rPr>
          <w:rFonts w:hint="eastAsia" w:ascii="宋体" w:hAnsi="宋体" w:cs="Times New Roman"/>
          <w:b/>
          <w:bCs/>
          <w:color w:val="auto"/>
          <w:szCs w:val="21"/>
        </w:rPr>
        <w:t>人：</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Times New Roman"/>
          <w:color w:val="auto"/>
          <w:szCs w:val="21"/>
        </w:rPr>
      </w:pPr>
      <w:r>
        <w:rPr>
          <w:rFonts w:hint="eastAsia" w:ascii="宋体" w:hAnsi="宋体" w:cs="Times New Roman"/>
          <w:color w:val="auto"/>
          <w:szCs w:val="21"/>
        </w:rPr>
        <w:t>3.1道路清扫地段</w:t>
      </w:r>
      <w:r>
        <w:rPr>
          <w:rFonts w:hint="eastAsia" w:ascii="宋体" w:hAnsi="宋体" w:cs="Times New Roman"/>
          <w:color w:val="auto"/>
          <w:szCs w:val="21"/>
          <w:lang w:val="en-US" w:eastAsia="zh-CN"/>
        </w:rPr>
        <w:t>156</w:t>
      </w:r>
      <w:r>
        <w:rPr>
          <w:rFonts w:hint="eastAsia" w:ascii="宋体" w:hAnsi="宋体" w:cs="Times New Roman"/>
          <w:color w:val="auto"/>
          <w:szCs w:val="21"/>
        </w:rPr>
        <w:t>个岗位，最低需配备保洁员</w:t>
      </w:r>
      <w:r>
        <w:rPr>
          <w:rFonts w:hint="eastAsia" w:ascii="宋体" w:hAnsi="宋体" w:cs="Times New Roman"/>
          <w:color w:val="auto"/>
          <w:szCs w:val="21"/>
          <w:lang w:val="en-US" w:eastAsia="zh-CN"/>
        </w:rPr>
        <w:t>95</w:t>
      </w:r>
      <w:r>
        <w:rPr>
          <w:rFonts w:hint="eastAsia" w:ascii="宋体" w:hAnsi="宋体" w:cs="Times New Roman"/>
          <w:color w:val="auto"/>
          <w:szCs w:val="21"/>
        </w:rPr>
        <w:t>人。</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default" w:ascii="宋体" w:hAnsi="宋体" w:eastAsia="宋体" w:cs="Times New Roman"/>
          <w:color w:val="auto"/>
          <w:szCs w:val="21"/>
          <w:lang w:val="en-US" w:eastAsia="zh-CN"/>
        </w:rPr>
      </w:pPr>
      <w:r>
        <w:rPr>
          <w:rFonts w:hint="eastAsia" w:ascii="宋体" w:hAnsi="宋体" w:cs="Times New Roman"/>
          <w:color w:val="auto"/>
          <w:szCs w:val="21"/>
          <w:lang w:val="en-US" w:eastAsia="zh-CN"/>
        </w:rPr>
        <w:t>3.2配备绿化保洁作业保洁员6人，果壳箱保洁作业保洁员7人。</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Times New Roman"/>
          <w:color w:val="auto"/>
          <w:szCs w:val="21"/>
        </w:rPr>
      </w:pPr>
      <w:r>
        <w:rPr>
          <w:rFonts w:hint="eastAsia" w:ascii="宋体" w:hAnsi="宋体" w:cs="Times New Roman"/>
          <w:color w:val="auto"/>
          <w:szCs w:val="21"/>
        </w:rPr>
        <w:t>3.</w:t>
      </w:r>
      <w:r>
        <w:rPr>
          <w:rFonts w:hint="eastAsia" w:ascii="宋体" w:hAnsi="宋体" w:cs="Times New Roman"/>
          <w:color w:val="auto"/>
          <w:szCs w:val="21"/>
          <w:lang w:val="en-US" w:eastAsia="zh-CN"/>
        </w:rPr>
        <w:t>3</w:t>
      </w:r>
      <w:r>
        <w:rPr>
          <w:rFonts w:hint="eastAsia" w:ascii="宋体" w:hAnsi="宋体" w:cs="Times New Roman"/>
          <w:color w:val="auto"/>
          <w:szCs w:val="21"/>
        </w:rPr>
        <w:t>桶装车驾驶员</w:t>
      </w:r>
      <w:r>
        <w:rPr>
          <w:rFonts w:hint="eastAsia" w:ascii="宋体" w:hAnsi="宋体" w:cs="Times New Roman"/>
          <w:color w:val="auto"/>
          <w:szCs w:val="21"/>
          <w:lang w:val="en-US" w:eastAsia="zh-CN"/>
        </w:rPr>
        <w:t>3</w:t>
      </w:r>
      <w:r>
        <w:rPr>
          <w:rFonts w:hint="eastAsia" w:ascii="宋体" w:hAnsi="宋体" w:cs="Times New Roman"/>
          <w:color w:val="auto"/>
          <w:szCs w:val="21"/>
        </w:rPr>
        <w:t>人、倒桶工</w:t>
      </w:r>
      <w:r>
        <w:rPr>
          <w:rFonts w:hint="eastAsia" w:ascii="宋体" w:hAnsi="宋体" w:cs="Times New Roman"/>
          <w:color w:val="auto"/>
          <w:szCs w:val="21"/>
          <w:lang w:val="en-US" w:eastAsia="zh-CN"/>
        </w:rPr>
        <w:t>3</w:t>
      </w:r>
      <w:r>
        <w:rPr>
          <w:rFonts w:hint="eastAsia" w:ascii="宋体" w:hAnsi="宋体" w:cs="Times New Roman"/>
          <w:color w:val="auto"/>
          <w:szCs w:val="21"/>
        </w:rPr>
        <w:t>人；自卸车驾驶员</w:t>
      </w:r>
      <w:r>
        <w:rPr>
          <w:rFonts w:hint="eastAsia" w:ascii="宋体" w:hAnsi="宋体" w:cs="Times New Roman"/>
          <w:color w:val="auto"/>
          <w:szCs w:val="21"/>
          <w:lang w:val="en-US" w:eastAsia="zh-CN"/>
        </w:rPr>
        <w:t>1</w:t>
      </w:r>
      <w:r>
        <w:rPr>
          <w:rFonts w:hint="eastAsia" w:ascii="宋体" w:hAnsi="宋体" w:cs="Times New Roman"/>
          <w:color w:val="auto"/>
          <w:szCs w:val="21"/>
        </w:rPr>
        <w:t>人、装卸工</w:t>
      </w:r>
      <w:r>
        <w:rPr>
          <w:rFonts w:hint="eastAsia" w:ascii="宋体" w:hAnsi="宋体" w:cs="Times New Roman"/>
          <w:color w:val="auto"/>
          <w:szCs w:val="21"/>
          <w:lang w:val="en-US" w:eastAsia="zh-CN"/>
        </w:rPr>
        <w:t>1</w:t>
      </w:r>
      <w:r>
        <w:rPr>
          <w:rFonts w:hint="eastAsia" w:ascii="宋体" w:hAnsi="宋体" w:cs="Times New Roman"/>
          <w:color w:val="auto"/>
          <w:szCs w:val="21"/>
        </w:rPr>
        <w:t>人；冲洗车驾驶员</w:t>
      </w:r>
      <w:r>
        <w:rPr>
          <w:rFonts w:hint="eastAsia" w:ascii="宋体" w:hAnsi="宋体" w:cs="Times New Roman"/>
          <w:color w:val="auto"/>
          <w:szCs w:val="21"/>
          <w:lang w:val="en-US" w:eastAsia="zh-CN"/>
        </w:rPr>
        <w:t>2</w:t>
      </w:r>
      <w:r>
        <w:rPr>
          <w:rFonts w:hint="eastAsia" w:ascii="宋体" w:hAnsi="宋体" w:cs="Times New Roman"/>
          <w:color w:val="auto"/>
          <w:szCs w:val="21"/>
        </w:rPr>
        <w:t>人、冲洗工</w:t>
      </w:r>
      <w:r>
        <w:rPr>
          <w:rFonts w:hint="eastAsia" w:ascii="宋体" w:hAnsi="宋体" w:cs="Times New Roman"/>
          <w:color w:val="auto"/>
          <w:szCs w:val="21"/>
          <w:lang w:val="en-US" w:eastAsia="zh-CN"/>
        </w:rPr>
        <w:t>2</w:t>
      </w:r>
      <w:r>
        <w:rPr>
          <w:rFonts w:hint="eastAsia" w:ascii="宋体" w:hAnsi="宋体" w:cs="Times New Roman"/>
          <w:color w:val="auto"/>
          <w:szCs w:val="21"/>
        </w:rPr>
        <w:t>人；</w:t>
      </w:r>
      <w:r>
        <w:rPr>
          <w:rFonts w:hint="eastAsia" w:ascii="宋体" w:hAnsi="宋体" w:cs="Times New Roman"/>
          <w:color w:val="auto"/>
          <w:szCs w:val="21"/>
          <w:lang w:val="en-US" w:eastAsia="zh-CN"/>
        </w:rPr>
        <w:t>冲洗车（随车配备磨地机）驾驶员2人，操作工4人；</w:t>
      </w:r>
      <w:r>
        <w:rPr>
          <w:rFonts w:hint="eastAsia" w:ascii="宋体" w:hAnsi="宋体" w:cs="Times New Roman"/>
          <w:color w:val="auto"/>
          <w:szCs w:val="21"/>
        </w:rPr>
        <w:t>机扫车驾驶员</w:t>
      </w:r>
      <w:r>
        <w:rPr>
          <w:rFonts w:hint="eastAsia" w:ascii="宋体" w:hAnsi="宋体" w:cs="Times New Roman"/>
          <w:color w:val="auto"/>
          <w:szCs w:val="21"/>
          <w:lang w:val="en-US" w:eastAsia="zh-CN"/>
        </w:rPr>
        <w:t>4</w:t>
      </w:r>
      <w:r>
        <w:rPr>
          <w:rFonts w:hint="eastAsia" w:ascii="宋体" w:hAnsi="宋体" w:cs="Times New Roman"/>
          <w:color w:val="auto"/>
          <w:szCs w:val="21"/>
        </w:rPr>
        <w:t>人；洒水车驾驶员</w:t>
      </w:r>
      <w:r>
        <w:rPr>
          <w:rFonts w:hint="eastAsia" w:ascii="宋体" w:hAnsi="宋体" w:cs="Times New Roman"/>
          <w:color w:val="auto"/>
          <w:szCs w:val="21"/>
          <w:lang w:val="en-US" w:eastAsia="zh-CN"/>
        </w:rPr>
        <w:t>2</w:t>
      </w:r>
      <w:r>
        <w:rPr>
          <w:rFonts w:hint="eastAsia" w:ascii="宋体" w:hAnsi="宋体" w:cs="Times New Roman"/>
          <w:color w:val="auto"/>
          <w:szCs w:val="21"/>
        </w:rPr>
        <w:t>人。</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Times New Roman"/>
          <w:color w:val="auto"/>
          <w:szCs w:val="21"/>
        </w:rPr>
      </w:pPr>
      <w:r>
        <w:rPr>
          <w:rFonts w:hint="eastAsia" w:ascii="宋体" w:hAnsi="宋体" w:cs="Times New Roman"/>
          <w:color w:val="auto"/>
          <w:szCs w:val="21"/>
        </w:rPr>
        <w:t>3.</w:t>
      </w:r>
      <w:r>
        <w:rPr>
          <w:rFonts w:hint="eastAsia" w:ascii="宋体" w:hAnsi="宋体" w:cs="Times New Roman"/>
          <w:color w:val="auto"/>
          <w:szCs w:val="21"/>
          <w:lang w:val="en-US" w:eastAsia="zh-CN"/>
        </w:rPr>
        <w:t>4</w:t>
      </w:r>
      <w:r>
        <w:rPr>
          <w:rFonts w:hint="eastAsia" w:ascii="宋体" w:hAnsi="宋体" w:cs="Times New Roman"/>
          <w:color w:val="auto"/>
          <w:szCs w:val="21"/>
        </w:rPr>
        <w:t>配备管理巡查人员</w:t>
      </w:r>
      <w:r>
        <w:rPr>
          <w:rFonts w:hint="eastAsia" w:ascii="宋体" w:hAnsi="宋体" w:cs="Times New Roman"/>
          <w:color w:val="auto"/>
          <w:szCs w:val="21"/>
          <w:lang w:val="en-US" w:eastAsia="zh-CN"/>
        </w:rPr>
        <w:t>6</w:t>
      </w:r>
      <w:r>
        <w:rPr>
          <w:rFonts w:hint="eastAsia" w:ascii="宋体" w:hAnsi="宋体" w:cs="Times New Roman"/>
          <w:color w:val="auto"/>
          <w:szCs w:val="21"/>
        </w:rPr>
        <w:t>人，项目经理</w:t>
      </w:r>
      <w:r>
        <w:rPr>
          <w:rFonts w:hint="eastAsia" w:ascii="宋体" w:hAnsi="宋体" w:cs="Times New Roman"/>
          <w:color w:val="auto"/>
          <w:szCs w:val="21"/>
          <w:lang w:val="en-US" w:eastAsia="zh-CN"/>
        </w:rPr>
        <w:t>1</w:t>
      </w:r>
      <w:r>
        <w:rPr>
          <w:rFonts w:hint="eastAsia" w:ascii="宋体" w:hAnsi="宋体" w:cs="Times New Roman"/>
          <w:color w:val="auto"/>
          <w:szCs w:val="21"/>
        </w:rPr>
        <w:t>人。</w:t>
      </w:r>
    </w:p>
    <w:p>
      <w:pPr>
        <w:keepNext w:val="0"/>
        <w:keepLines w:val="0"/>
        <w:pageBreakBefore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color w:val="auto"/>
          <w:szCs w:val="21"/>
        </w:rPr>
      </w:pPr>
      <w:r>
        <w:rPr>
          <w:rFonts w:hint="eastAsia" w:ascii="宋体" w:hAnsi="宋体" w:cs="Times New Roman"/>
          <w:color w:val="auto"/>
          <w:szCs w:val="21"/>
          <w:lang w:val="en-US" w:eastAsia="zh-CN"/>
        </w:rPr>
        <w:t>3</w:t>
      </w:r>
      <w:r>
        <w:rPr>
          <w:rFonts w:hint="eastAsia" w:ascii="宋体" w:hAnsi="宋体" w:eastAsia="宋体" w:cs="Times New Roman"/>
          <w:color w:val="auto"/>
          <w:szCs w:val="21"/>
        </w:rPr>
        <w:t>.</w:t>
      </w:r>
      <w:r>
        <w:rPr>
          <w:rFonts w:hint="eastAsia" w:ascii="宋体" w:hAnsi="宋体" w:cs="Times New Roman"/>
          <w:color w:val="auto"/>
          <w:szCs w:val="21"/>
          <w:lang w:val="en-US" w:eastAsia="zh-CN"/>
        </w:rPr>
        <w:t>5</w:t>
      </w:r>
      <w:r>
        <w:rPr>
          <w:rFonts w:hint="eastAsia" w:ascii="宋体" w:hAnsi="宋体" w:eastAsia="宋体" w:cs="Times New Roman"/>
          <w:color w:val="auto"/>
          <w:szCs w:val="21"/>
        </w:rPr>
        <w:t>保洁员与供应商签订的合同期限同供应商与采购人签订的合同期限一致。</w:t>
      </w:r>
    </w:p>
    <w:p>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default" w:eastAsia="宋体"/>
          <w:color w:val="auto"/>
          <w:lang w:val="en-US" w:eastAsia="zh-CN"/>
        </w:rPr>
      </w:pPr>
      <w:r>
        <w:rPr>
          <w:rFonts w:hint="eastAsia" w:ascii="宋体" w:hAnsi="宋体" w:cs="Times New Roman"/>
          <w:color w:val="auto"/>
          <w:szCs w:val="21"/>
          <w:lang w:val="en-US" w:eastAsia="zh-CN"/>
        </w:rPr>
        <w:t>3.6</w:t>
      </w:r>
      <w:r>
        <w:rPr>
          <w:rFonts w:hint="eastAsia" w:ascii="宋体" w:hAnsi="宋体"/>
          <w:color w:val="auto"/>
          <w:lang w:val="en-US" w:eastAsia="zh-CN"/>
        </w:rPr>
        <w:t>人员年龄控制在男65周岁内、女60周岁内，超龄不使用；人员未到法定退休年龄人员全部缴纳社保，男超过60周岁、女超过50周岁的全部缴纳意外险；如采购人根据上级部门要求或相关政策性文件要求对年龄范围进行调整的，供应商须满足变更要求。</w:t>
      </w:r>
    </w:p>
    <w:p>
      <w:pPr>
        <w:keepNext w:val="0"/>
        <w:keepLines w:val="0"/>
        <w:pageBreakBefore w:val="0"/>
        <w:widowControl w:val="0"/>
        <w:kinsoku/>
        <w:wordWrap/>
        <w:overflowPunct/>
        <w:topLinePunct w:val="0"/>
        <w:autoSpaceDE/>
        <w:autoSpaceDN/>
        <w:bidi w:val="0"/>
        <w:adjustRightInd/>
        <w:snapToGrid/>
        <w:spacing w:line="336" w:lineRule="auto"/>
        <w:ind w:firstLine="422" w:firstLineChars="200"/>
        <w:jc w:val="left"/>
        <w:textAlignment w:val="auto"/>
        <w:rPr>
          <w:rFonts w:ascii="宋体" w:hAnsi="宋体" w:eastAsia="宋体" w:cs="Times New Roman"/>
          <w:b/>
          <w:bCs/>
          <w:color w:val="auto"/>
          <w:szCs w:val="21"/>
        </w:rPr>
      </w:pPr>
      <w:r>
        <w:rPr>
          <w:rFonts w:hint="eastAsia" w:ascii="宋体" w:hAnsi="宋体" w:eastAsia="宋体" w:cs="Times New Roman"/>
          <w:b/>
          <w:bCs/>
          <w:color w:val="auto"/>
          <w:szCs w:val="21"/>
        </w:rPr>
        <w:t>4、公司</w:t>
      </w:r>
      <w:r>
        <w:rPr>
          <w:rFonts w:hint="eastAsia" w:ascii="宋体" w:hAnsi="宋体" w:cs="Times New Roman"/>
          <w:b/>
          <w:bCs/>
          <w:color w:val="auto"/>
          <w:szCs w:val="21"/>
          <w:lang w:eastAsia="zh-CN"/>
        </w:rPr>
        <w:t>台账</w:t>
      </w:r>
      <w:r>
        <w:rPr>
          <w:rFonts w:hint="eastAsia" w:ascii="宋体" w:hAnsi="宋体" w:eastAsia="宋体" w:cs="Times New Roman"/>
          <w:b/>
          <w:bCs/>
          <w:color w:val="auto"/>
          <w:szCs w:val="21"/>
        </w:rPr>
        <w:t>资料管理要求：</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eastAsia="宋体" w:cs="Times New Roman"/>
          <w:color w:val="auto"/>
          <w:szCs w:val="21"/>
        </w:rPr>
      </w:pPr>
      <w:r>
        <w:rPr>
          <w:rFonts w:hint="eastAsia" w:ascii="宋体" w:hAnsi="宋体" w:eastAsia="宋体" w:cs="Times New Roman"/>
          <w:color w:val="auto"/>
          <w:szCs w:val="21"/>
        </w:rPr>
        <w:t>4.1供应商应建有管理制度以及巡查、考核</w:t>
      </w:r>
      <w:r>
        <w:rPr>
          <w:rFonts w:hint="eastAsia" w:ascii="宋体" w:hAnsi="宋体" w:cs="Times New Roman"/>
          <w:color w:val="auto"/>
          <w:szCs w:val="21"/>
          <w:lang w:eastAsia="zh-CN"/>
        </w:rPr>
        <w:t>台账</w:t>
      </w:r>
      <w:r>
        <w:rPr>
          <w:rFonts w:hint="eastAsia" w:ascii="宋体" w:hAnsi="宋体" w:eastAsia="宋体" w:cs="Times New Roman"/>
          <w:color w:val="auto"/>
          <w:szCs w:val="21"/>
        </w:rPr>
        <w:t>资料。</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4.2供应商要及时完成采购人及相关部门各项指令性、突击性任务；及时处理群众各类投拆，不能因节假日拖延。</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4.3对于采购人下发的整改单，供应商要在2天内上交书面回复。</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4.4供应商所招聘人员必须身体健康、思想端正、年龄合适、服从安排等，并对新入职人员进行政治思想教育、安全教育和必要的岗位业务培训，合格者方可正式聘用上岗。</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Dotum"/>
          <w:b/>
          <w:bCs/>
          <w:szCs w:val="21"/>
          <w:highlight w:val="none"/>
          <w:lang w:eastAsia="zh-CN"/>
        </w:rPr>
      </w:pPr>
    </w:p>
    <w:p>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1"/>
        <w:rPr>
          <w:rFonts w:ascii="宋体" w:hAnsi="宋体" w:eastAsia="宋体" w:cs="Dotum"/>
          <w:b/>
          <w:bCs/>
          <w:szCs w:val="21"/>
          <w:highlight w:val="none"/>
        </w:rPr>
      </w:pPr>
      <w:r>
        <w:rPr>
          <w:rFonts w:hint="eastAsia" w:ascii="宋体" w:hAnsi="宋体" w:eastAsia="宋体" w:cs="Dotum"/>
          <w:b/>
          <w:bCs/>
          <w:szCs w:val="21"/>
          <w:highlight w:val="none"/>
          <w:lang w:eastAsia="zh-CN"/>
        </w:rPr>
        <w:t>四</w:t>
      </w:r>
      <w:r>
        <w:rPr>
          <w:rFonts w:hint="eastAsia" w:ascii="宋体" w:hAnsi="宋体" w:eastAsia="宋体" w:cs="Dotum"/>
          <w:b/>
          <w:bCs/>
          <w:szCs w:val="21"/>
          <w:highlight w:val="none"/>
        </w:rPr>
        <w:t>、其他说明事项</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cs="Times New Roman"/>
          <w:color w:val="auto"/>
          <w:szCs w:val="21"/>
          <w:highlight w:val="none"/>
        </w:rPr>
      </w:pPr>
      <w:r>
        <w:rPr>
          <w:rFonts w:hint="eastAsia" w:ascii="宋体" w:hAnsi="宋体" w:cs="Times New Roman"/>
          <w:szCs w:val="21"/>
        </w:rPr>
        <w:t>1、招标完成后，采购人将与供应商签订合同（合同一年一签），合同内容包括：工作范围、标的金额、工作要求、安全责任（由供应商承担）以及与保洁、管理工作相关的经费拨付、双方权利和义务、考核要求、</w:t>
      </w:r>
      <w:r>
        <w:rPr>
          <w:rFonts w:hint="eastAsia" w:ascii="宋体" w:hAnsi="宋体" w:cs="Times New Roman"/>
          <w:color w:val="auto"/>
          <w:szCs w:val="21"/>
          <w:highlight w:val="none"/>
        </w:rPr>
        <w:t>奖罚措施等。保洁经费按</w:t>
      </w:r>
      <w:r>
        <w:rPr>
          <w:rFonts w:hint="eastAsia" w:ascii="宋体" w:hAnsi="宋体" w:cs="Times New Roman"/>
          <w:color w:val="auto"/>
          <w:szCs w:val="21"/>
          <w:highlight w:val="none"/>
          <w:lang w:val="en-US" w:eastAsia="zh-CN"/>
        </w:rPr>
        <w:t>单年度</w:t>
      </w:r>
      <w:r>
        <w:rPr>
          <w:rFonts w:hint="eastAsia" w:ascii="宋体" w:hAnsi="宋体" w:cs="Times New Roman"/>
          <w:color w:val="auto"/>
          <w:szCs w:val="21"/>
          <w:highlight w:val="none"/>
        </w:rPr>
        <w:t>中标价分月支付。</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2、本次采购供应商需分年报价，但以三年的总价为中标价，经费内容包括：</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2.1保洁员、驾驶员、倒桶工、装卸工、冲洗工、管理员等的工资（包括工龄工资、公积金等）及各种福利补贴、社保（五金）等。其中人员工资不低于象山县最低工资标准的1.1倍(根据甬政办发﹝2014﹞70号文件精神执行)；福利补贴包括爱心早餐补贴，标准为7元/天，补贴对象为</w:t>
      </w:r>
      <w:r>
        <w:rPr>
          <w:rFonts w:hint="eastAsia" w:ascii="宋体" w:hAnsi="宋体" w:cs="Times New Roman"/>
          <w:color w:val="auto"/>
          <w:szCs w:val="21"/>
          <w:highlight w:val="none"/>
          <w:lang w:val="en-US" w:eastAsia="zh-CN"/>
        </w:rPr>
        <w:t>早上6点前上班的</w:t>
      </w:r>
      <w:r>
        <w:rPr>
          <w:rFonts w:hint="eastAsia" w:ascii="宋体" w:hAnsi="宋体" w:cs="Times New Roman"/>
          <w:color w:val="auto"/>
          <w:szCs w:val="21"/>
          <w:highlight w:val="none"/>
        </w:rPr>
        <w:t>早班一线环卫工人，按照</w:t>
      </w:r>
      <w:r>
        <w:rPr>
          <w:rFonts w:hint="eastAsia" w:ascii="宋体" w:hAnsi="宋体" w:cs="Times New Roman"/>
          <w:color w:val="auto"/>
          <w:szCs w:val="21"/>
          <w:highlight w:val="none"/>
          <w:lang w:val="en-US" w:eastAsia="zh-CN"/>
        </w:rPr>
        <w:t>实际早班出班人数</w:t>
      </w:r>
      <w:r>
        <w:rPr>
          <w:rFonts w:hint="eastAsia" w:ascii="宋体" w:hAnsi="宋体" w:cs="Times New Roman"/>
          <w:color w:val="auto"/>
          <w:szCs w:val="21"/>
          <w:highlight w:val="none"/>
        </w:rPr>
        <w:t>进行补贴；</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2.2环卫设施设备及维修维护费用、三轮车维修费用和作业工具（如扫帚、畚斗、铁锹、保洁夹子、果壳箱垃圾袋、抹布、洗衣粉</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刷子、清洁剂</w:t>
      </w:r>
      <w:r>
        <w:rPr>
          <w:rFonts w:hint="eastAsia" w:ascii="宋体" w:hAnsi="宋体" w:cs="Times New Roman"/>
          <w:color w:val="auto"/>
          <w:szCs w:val="21"/>
          <w:highlight w:val="none"/>
        </w:rPr>
        <w:t>等）；</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2.3管理费用（人员培训费和其他管理费）；</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2.4税收和其他费用。供应商在运营过程中除因道路保洁面积增加或减少造成额外费用增加或减少的，经费可作相应调整外，其他运营成本提高所造成的费用增加（包括国家政策最低工资、社保等调整、临时性活动等费用增加）均由供应商自行承担，供应商不得以其他任何理由要求增加经费。</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3、保洁及考核要求按照《象山县环境卫生指导中心岗位责任管理考核办法》及其他相关规定执行。</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eastAsia="宋体" w:cs="Times New Roman"/>
          <w:szCs w:val="21"/>
        </w:rPr>
      </w:pPr>
      <w:r>
        <w:rPr>
          <w:rFonts w:hint="eastAsia" w:ascii="宋体" w:hAnsi="宋体" w:eastAsia="宋体" w:cs="Times New Roman"/>
          <w:szCs w:val="21"/>
        </w:rPr>
        <w:t>4、本次招标预算金额已包括县里各重大活动所需的道路清扫、垃圾清运等加班费用。</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5、本项目必须按采购人要求配足</w:t>
      </w:r>
      <w:r>
        <w:rPr>
          <w:rFonts w:hint="eastAsia" w:ascii="宋体" w:hAnsi="宋体" w:cs="Times New Roman"/>
          <w:color w:val="auto"/>
          <w:szCs w:val="21"/>
          <w:highlight w:val="none"/>
          <w:lang w:eastAsia="zh-CN"/>
        </w:rPr>
        <w:t>人员</w:t>
      </w:r>
      <w:r>
        <w:rPr>
          <w:rFonts w:hint="eastAsia" w:ascii="宋体" w:hAnsi="宋体" w:cs="Times New Roman"/>
          <w:color w:val="auto"/>
          <w:szCs w:val="21"/>
          <w:highlight w:val="none"/>
        </w:rPr>
        <w:t>，不得减少</w:t>
      </w:r>
      <w:r>
        <w:rPr>
          <w:rFonts w:hint="eastAsia" w:ascii="宋体" w:hAnsi="宋体" w:cs="Times New Roman"/>
          <w:color w:val="auto"/>
          <w:szCs w:val="21"/>
          <w:highlight w:val="none"/>
          <w:lang w:eastAsia="zh-CN"/>
        </w:rPr>
        <w:t>人员</w:t>
      </w:r>
      <w:r>
        <w:rPr>
          <w:rFonts w:hint="eastAsia" w:ascii="宋体" w:hAnsi="宋体" w:cs="Times New Roman"/>
          <w:color w:val="auto"/>
          <w:szCs w:val="21"/>
          <w:highlight w:val="none"/>
        </w:rPr>
        <w:t>人数，在合同签订前配齐要求车辆:</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5.1</w:t>
      </w:r>
      <w:r>
        <w:rPr>
          <w:rFonts w:ascii="宋体" w:hAnsi="宋体" w:cs="Times New Roman"/>
          <w:color w:val="auto"/>
          <w:szCs w:val="21"/>
          <w:highlight w:val="none"/>
        </w:rPr>
        <w:t>人力三轮车</w:t>
      </w:r>
      <w:r>
        <w:rPr>
          <w:rFonts w:hint="eastAsia" w:ascii="宋体" w:hAnsi="宋体" w:cs="Times New Roman"/>
          <w:color w:val="auto"/>
          <w:szCs w:val="21"/>
          <w:highlight w:val="none"/>
          <w:lang w:val="en-US" w:eastAsia="zh-CN"/>
        </w:rPr>
        <w:t>7</w:t>
      </w:r>
      <w:r>
        <w:rPr>
          <w:rFonts w:ascii="宋体" w:hAnsi="宋体" w:cs="Times New Roman"/>
          <w:color w:val="auto"/>
          <w:szCs w:val="21"/>
          <w:highlight w:val="none"/>
        </w:rPr>
        <w:t>辆，电动三轮车</w:t>
      </w:r>
      <w:r>
        <w:rPr>
          <w:rFonts w:hint="eastAsia" w:ascii="宋体" w:hAnsi="宋体" w:cs="Times New Roman"/>
          <w:color w:val="auto"/>
          <w:szCs w:val="21"/>
          <w:highlight w:val="none"/>
          <w:lang w:val="en-US" w:eastAsia="zh-CN"/>
        </w:rPr>
        <w:t>6</w:t>
      </w:r>
      <w:r>
        <w:rPr>
          <w:rFonts w:ascii="宋体" w:hAnsi="宋体" w:cs="Times New Roman"/>
          <w:color w:val="auto"/>
          <w:szCs w:val="21"/>
          <w:highlight w:val="none"/>
        </w:rPr>
        <w:t>辆</w:t>
      </w:r>
      <w:r>
        <w:rPr>
          <w:rFonts w:hint="eastAsia" w:ascii="宋体" w:hAnsi="宋体" w:cs="Times New Roman"/>
          <w:color w:val="auto"/>
          <w:szCs w:val="21"/>
          <w:highlight w:val="none"/>
        </w:rPr>
        <w:t>（共</w:t>
      </w:r>
      <w:r>
        <w:rPr>
          <w:rFonts w:hint="eastAsia" w:ascii="宋体" w:hAnsi="宋体" w:cs="Times New Roman"/>
          <w:color w:val="auto"/>
          <w:szCs w:val="21"/>
          <w:highlight w:val="none"/>
          <w:lang w:val="en-US" w:eastAsia="zh-CN"/>
        </w:rPr>
        <w:t>13</w:t>
      </w:r>
      <w:r>
        <w:rPr>
          <w:rFonts w:hint="eastAsia" w:ascii="宋体" w:hAnsi="宋体" w:cs="Times New Roman"/>
          <w:color w:val="auto"/>
          <w:szCs w:val="21"/>
          <w:highlight w:val="none"/>
        </w:rPr>
        <w:t xml:space="preserve">辆，由采购人免费提供，其作业产生费用包括保险费、维修费等其他费用由供应商承担）； </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5.2中型</w:t>
      </w:r>
      <w:r>
        <w:rPr>
          <w:rFonts w:ascii="宋体" w:hAnsi="宋体" w:cs="Times New Roman"/>
          <w:color w:val="auto"/>
          <w:szCs w:val="21"/>
          <w:highlight w:val="none"/>
        </w:rPr>
        <w:t>机扫车</w:t>
      </w:r>
      <w:r>
        <w:rPr>
          <w:rFonts w:hint="eastAsia" w:ascii="宋体" w:hAnsi="宋体" w:cs="Times New Roman"/>
          <w:color w:val="auto"/>
          <w:szCs w:val="21"/>
          <w:highlight w:val="none"/>
        </w:rPr>
        <w:t>（中型载货专项作业车）</w:t>
      </w:r>
      <w:r>
        <w:rPr>
          <w:rFonts w:hint="eastAsia" w:ascii="宋体" w:hAnsi="宋体" w:cs="Times New Roman"/>
          <w:color w:val="auto"/>
          <w:szCs w:val="21"/>
          <w:highlight w:val="none"/>
          <w:lang w:val="en-US" w:eastAsia="zh-CN"/>
        </w:rPr>
        <w:t>3</w:t>
      </w:r>
      <w:r>
        <w:rPr>
          <w:rFonts w:ascii="宋体" w:hAnsi="宋体" w:cs="Times New Roman"/>
          <w:color w:val="auto"/>
          <w:szCs w:val="21"/>
          <w:highlight w:val="none"/>
        </w:rPr>
        <w:t>辆，</w:t>
      </w:r>
      <w:r>
        <w:rPr>
          <w:rFonts w:hint="eastAsia" w:ascii="宋体" w:hAnsi="宋体" w:cs="Times New Roman"/>
          <w:color w:val="auto"/>
          <w:szCs w:val="21"/>
          <w:highlight w:val="none"/>
        </w:rPr>
        <w:t>中型</w:t>
      </w:r>
      <w:r>
        <w:rPr>
          <w:rFonts w:ascii="宋体" w:hAnsi="宋体" w:cs="Times New Roman"/>
          <w:color w:val="auto"/>
          <w:szCs w:val="21"/>
          <w:highlight w:val="none"/>
        </w:rPr>
        <w:t>洒水车</w:t>
      </w:r>
      <w:r>
        <w:rPr>
          <w:rFonts w:hint="eastAsia" w:ascii="宋体" w:hAnsi="宋体" w:cs="Times New Roman"/>
          <w:color w:val="auto"/>
          <w:szCs w:val="21"/>
          <w:highlight w:val="none"/>
        </w:rPr>
        <w:t>（中型载货专项作业车）</w:t>
      </w:r>
      <w:r>
        <w:rPr>
          <w:rFonts w:hint="eastAsia" w:ascii="宋体" w:hAnsi="宋体" w:cs="Times New Roman"/>
          <w:color w:val="auto"/>
          <w:szCs w:val="21"/>
          <w:highlight w:val="none"/>
          <w:lang w:val="en-US" w:eastAsia="zh-CN"/>
        </w:rPr>
        <w:t>2</w:t>
      </w:r>
      <w:r>
        <w:rPr>
          <w:rFonts w:ascii="宋体" w:hAnsi="宋体" w:cs="Times New Roman"/>
          <w:color w:val="auto"/>
          <w:szCs w:val="21"/>
          <w:highlight w:val="none"/>
        </w:rPr>
        <w:t>辆，</w:t>
      </w:r>
      <w:r>
        <w:rPr>
          <w:rFonts w:hint="eastAsia" w:ascii="宋体" w:hAnsi="宋体" w:cs="Times New Roman"/>
          <w:color w:val="auto"/>
          <w:szCs w:val="21"/>
          <w:highlight w:val="none"/>
        </w:rPr>
        <w:t>轻型</w:t>
      </w:r>
      <w:r>
        <w:rPr>
          <w:rFonts w:ascii="宋体" w:hAnsi="宋体" w:cs="Times New Roman"/>
          <w:color w:val="auto"/>
          <w:szCs w:val="21"/>
          <w:highlight w:val="none"/>
        </w:rPr>
        <w:t>冲洗车</w:t>
      </w:r>
      <w:r>
        <w:rPr>
          <w:rFonts w:hint="eastAsia" w:ascii="宋体" w:hAnsi="宋体" w:cs="Times New Roman"/>
          <w:color w:val="auto"/>
          <w:szCs w:val="21"/>
          <w:highlight w:val="none"/>
        </w:rPr>
        <w:t>（轻型非载货专项作业车）</w:t>
      </w:r>
      <w:r>
        <w:rPr>
          <w:rFonts w:hint="eastAsia" w:ascii="宋体" w:hAnsi="宋体" w:cs="Times New Roman"/>
          <w:color w:val="auto"/>
          <w:szCs w:val="21"/>
          <w:highlight w:val="none"/>
          <w:lang w:val="en-US" w:eastAsia="zh-CN"/>
        </w:rPr>
        <w:t>4</w:t>
      </w:r>
      <w:r>
        <w:rPr>
          <w:rFonts w:ascii="宋体" w:hAnsi="宋体" w:cs="Times New Roman"/>
          <w:color w:val="auto"/>
          <w:szCs w:val="21"/>
          <w:highlight w:val="none"/>
        </w:rPr>
        <w:t>辆</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其中2辆有冲洗机加磨盘，参与磨地作业），</w:t>
      </w:r>
      <w:r>
        <w:rPr>
          <w:rFonts w:ascii="宋体" w:hAnsi="宋体" w:cs="Times New Roman"/>
          <w:color w:val="auto"/>
          <w:szCs w:val="21"/>
          <w:highlight w:val="none"/>
        </w:rPr>
        <w:t>生活垃圾清运车</w:t>
      </w:r>
      <w:r>
        <w:rPr>
          <w:rFonts w:hint="eastAsia" w:ascii="宋体" w:hAnsi="宋体" w:cs="Times New Roman"/>
          <w:color w:val="auto"/>
          <w:szCs w:val="21"/>
          <w:highlight w:val="none"/>
        </w:rPr>
        <w:t>（轻型特殊结构货车，装载量15桶及以上；如果使用其他最大装载桶数的清运车，总承载能力需不小于</w:t>
      </w:r>
      <w:r>
        <w:rPr>
          <w:rFonts w:hint="eastAsia" w:ascii="宋体" w:hAnsi="宋体" w:cs="Times New Roman"/>
          <w:color w:val="auto"/>
          <w:szCs w:val="21"/>
          <w:highlight w:val="none"/>
          <w:lang w:val="en-US" w:eastAsia="zh-CN"/>
        </w:rPr>
        <w:t>2</w:t>
      </w:r>
      <w:r>
        <w:rPr>
          <w:rFonts w:hint="eastAsia" w:ascii="宋体" w:hAnsi="宋体" w:cs="Times New Roman"/>
          <w:color w:val="auto"/>
          <w:szCs w:val="21"/>
          <w:highlight w:val="none"/>
        </w:rPr>
        <w:t>*15=</w:t>
      </w:r>
      <w:r>
        <w:rPr>
          <w:rFonts w:hint="eastAsia" w:ascii="宋体" w:hAnsi="宋体" w:cs="Times New Roman"/>
          <w:color w:val="auto"/>
          <w:szCs w:val="21"/>
          <w:highlight w:val="none"/>
          <w:lang w:val="en-US" w:eastAsia="zh-CN"/>
        </w:rPr>
        <w:t>30</w:t>
      </w:r>
      <w:r>
        <w:rPr>
          <w:rFonts w:hint="eastAsia" w:ascii="宋体" w:hAnsi="宋体" w:cs="Times New Roman"/>
          <w:color w:val="auto"/>
          <w:szCs w:val="21"/>
          <w:highlight w:val="none"/>
        </w:rPr>
        <w:t>桶）</w:t>
      </w:r>
      <w:r>
        <w:rPr>
          <w:rFonts w:hint="eastAsia" w:ascii="宋体" w:hAnsi="宋体" w:cs="Times New Roman"/>
          <w:color w:val="auto"/>
          <w:szCs w:val="21"/>
          <w:highlight w:val="none"/>
          <w:lang w:val="en-US" w:eastAsia="zh-CN"/>
        </w:rPr>
        <w:t>2</w:t>
      </w:r>
      <w:r>
        <w:rPr>
          <w:rFonts w:ascii="宋体" w:hAnsi="宋体" w:cs="Times New Roman"/>
          <w:color w:val="auto"/>
          <w:szCs w:val="21"/>
          <w:highlight w:val="none"/>
        </w:rPr>
        <w:t>辆</w:t>
      </w:r>
      <w:r>
        <w:rPr>
          <w:rFonts w:hint="eastAsia" w:ascii="宋体" w:hAnsi="宋体" w:cs="Times New Roman"/>
          <w:strike w:val="0"/>
          <w:dstrike w:val="0"/>
          <w:color w:val="auto"/>
          <w:szCs w:val="21"/>
          <w:highlight w:val="none"/>
        </w:rPr>
        <w:t>（其中</w:t>
      </w:r>
      <w:r>
        <w:rPr>
          <w:rFonts w:hint="eastAsia" w:ascii="宋体" w:hAnsi="宋体" w:cs="Times New Roman"/>
          <w:strike w:val="0"/>
          <w:dstrike w:val="0"/>
          <w:color w:val="auto"/>
          <w:szCs w:val="21"/>
          <w:highlight w:val="none"/>
          <w:lang w:val="en-US" w:eastAsia="zh-CN"/>
        </w:rPr>
        <w:t>必须有</w:t>
      </w:r>
      <w:r>
        <w:rPr>
          <w:rFonts w:hint="eastAsia" w:ascii="宋体" w:hAnsi="宋体" w:cs="Times New Roman"/>
          <w:strike w:val="0"/>
          <w:dstrike w:val="0"/>
          <w:color w:val="auto"/>
          <w:szCs w:val="21"/>
          <w:highlight w:val="none"/>
        </w:rPr>
        <w:t>1辆</w:t>
      </w:r>
      <w:r>
        <w:rPr>
          <w:rFonts w:hint="eastAsia" w:ascii="宋体" w:hAnsi="宋体" w:cs="Times New Roman"/>
          <w:strike w:val="0"/>
          <w:dstrike w:val="0"/>
          <w:color w:val="auto"/>
          <w:szCs w:val="21"/>
          <w:highlight w:val="none"/>
          <w:lang w:val="en-US" w:eastAsia="zh-CN"/>
        </w:rPr>
        <w:t>为</w:t>
      </w:r>
      <w:r>
        <w:rPr>
          <w:rFonts w:hint="eastAsia" w:ascii="宋体" w:hAnsi="宋体" w:cs="Times New Roman"/>
          <w:strike w:val="0"/>
          <w:dstrike w:val="0"/>
          <w:color w:val="auto"/>
          <w:szCs w:val="21"/>
          <w:highlight w:val="none"/>
        </w:rPr>
        <w:t>新能源车辆）</w:t>
      </w:r>
      <w:r>
        <w:rPr>
          <w:rFonts w:ascii="宋体" w:hAnsi="宋体" w:cs="Times New Roman"/>
          <w:color w:val="auto"/>
          <w:szCs w:val="21"/>
          <w:highlight w:val="none"/>
        </w:rPr>
        <w:t>，大件垃圾清运车</w:t>
      </w:r>
      <w:r>
        <w:rPr>
          <w:rFonts w:hint="eastAsia" w:ascii="宋体" w:hAnsi="宋体" w:cs="Times New Roman"/>
          <w:color w:val="auto"/>
          <w:szCs w:val="21"/>
          <w:highlight w:val="none"/>
        </w:rPr>
        <w:t>（轻型自卸货车）</w:t>
      </w:r>
      <w:r>
        <w:rPr>
          <w:rFonts w:hint="eastAsia" w:ascii="宋体" w:hAnsi="宋体" w:cs="Times New Roman"/>
          <w:color w:val="auto"/>
          <w:szCs w:val="21"/>
          <w:highlight w:val="none"/>
          <w:lang w:val="en-US" w:eastAsia="zh-CN"/>
        </w:rPr>
        <w:t>1</w:t>
      </w:r>
      <w:r>
        <w:rPr>
          <w:rFonts w:ascii="宋体" w:hAnsi="宋体" w:cs="Times New Roman"/>
          <w:color w:val="auto"/>
          <w:szCs w:val="21"/>
          <w:highlight w:val="none"/>
        </w:rPr>
        <w:t>辆</w:t>
      </w:r>
      <w:r>
        <w:rPr>
          <w:rFonts w:hint="eastAsia" w:ascii="宋体" w:hAnsi="宋体" w:cs="Times New Roman"/>
          <w:color w:val="auto"/>
          <w:szCs w:val="21"/>
          <w:highlight w:val="none"/>
        </w:rPr>
        <w:t>（共</w:t>
      </w:r>
      <w:r>
        <w:rPr>
          <w:rFonts w:hint="eastAsia" w:ascii="宋体" w:hAnsi="宋体" w:cs="Times New Roman"/>
          <w:color w:val="auto"/>
          <w:szCs w:val="21"/>
          <w:highlight w:val="none"/>
          <w:lang w:val="en-US" w:eastAsia="zh-CN"/>
        </w:rPr>
        <w:t>12</w:t>
      </w:r>
      <w:r>
        <w:rPr>
          <w:rFonts w:hint="eastAsia" w:ascii="宋体" w:hAnsi="宋体" w:cs="Times New Roman"/>
          <w:color w:val="auto"/>
          <w:szCs w:val="21"/>
          <w:highlight w:val="none"/>
        </w:rPr>
        <w:t>辆，以上车辆由中标供应商在合同签订前备齐并承担相关一切费用）</w:t>
      </w:r>
      <w:r>
        <w:rPr>
          <w:rFonts w:ascii="宋体" w:hAnsi="宋体" w:cs="Times New Roman"/>
          <w:color w:val="auto"/>
          <w:szCs w:val="21"/>
          <w:highlight w:val="none"/>
        </w:rPr>
        <w:t>。</w:t>
      </w:r>
      <w:r>
        <w:rPr>
          <w:rFonts w:hint="eastAsia" w:ascii="宋体" w:hAnsi="宋体" w:cs="Times New Roman"/>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default"/>
          <w:color w:val="auto"/>
          <w:highlight w:val="none"/>
          <w:lang w:val="en-US"/>
        </w:rPr>
      </w:pP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供应商在交接后</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如采购人有需求，须在收到采购人书面通知后三个月时间内</w:t>
      </w:r>
      <w:r>
        <w:rPr>
          <w:rFonts w:hint="eastAsia" w:ascii="宋体" w:hAnsi="宋体" w:cs="Times New Roman"/>
          <w:color w:val="auto"/>
          <w:szCs w:val="21"/>
          <w:highlight w:val="none"/>
        </w:rPr>
        <w:t>建成智慧环卫管理系统，包括作业车辆GPS定位系统、管理人员配备4G考核通、保洁员配备定位终端并与采购人智慧环卫系统联网</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相关费用由供应商自行承担）</w:t>
      </w:r>
      <w:r>
        <w:rPr>
          <w:rFonts w:hint="eastAsia" w:ascii="宋体" w:hAnsi="宋体" w:cs="Times New Roman"/>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eastAsia="宋体"/>
          <w:color w:val="auto"/>
          <w:highlight w:val="none"/>
          <w:u w:val="none"/>
          <w:lang w:val="en-US" w:eastAsia="zh-CN"/>
        </w:rPr>
      </w:pPr>
      <w:r>
        <w:rPr>
          <w:rFonts w:hint="eastAsia" w:ascii="宋体" w:hAnsi="宋体" w:cs="Times New Roman"/>
          <w:szCs w:val="21"/>
          <w:lang w:val="en-US" w:eastAsia="zh-CN"/>
        </w:rPr>
        <w:t>7、</w:t>
      </w:r>
      <w:r>
        <w:rPr>
          <w:rFonts w:hint="eastAsia" w:ascii="宋体" w:hAnsi="宋体" w:cs="Times New Roman"/>
          <w:szCs w:val="21"/>
        </w:rPr>
        <w:t>本次采购路段每日产生、</w:t>
      </w:r>
      <w:r>
        <w:rPr>
          <w:rFonts w:hint="eastAsia" w:ascii="宋体" w:hAnsi="宋体" w:cs="Times New Roman"/>
          <w:color w:val="auto"/>
          <w:szCs w:val="21"/>
          <w:highlight w:val="none"/>
          <w:u w:val="none"/>
        </w:rPr>
        <w:t>收集的生活垃圾必须全部由桶装车清运到</w:t>
      </w:r>
      <w:r>
        <w:rPr>
          <w:rFonts w:hint="eastAsia" w:ascii="宋体" w:hAnsi="宋体" w:cs="Times New Roman"/>
          <w:color w:val="auto"/>
          <w:szCs w:val="21"/>
          <w:highlight w:val="none"/>
          <w:u w:val="none"/>
          <w:lang w:val="en-US" w:eastAsia="zh-CN"/>
        </w:rPr>
        <w:t>采购人指定的</w:t>
      </w:r>
      <w:r>
        <w:rPr>
          <w:rFonts w:hint="eastAsia" w:ascii="宋体" w:hAnsi="宋体" w:cs="Times New Roman"/>
          <w:color w:val="auto"/>
          <w:szCs w:val="21"/>
          <w:highlight w:val="none"/>
          <w:u w:val="none"/>
        </w:rPr>
        <w:t>中转站倾倒，按实际数量清点结算。</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420" w:firstLineChars="200"/>
        <w:jc w:val="left"/>
        <w:textAlignment w:val="auto"/>
        <w:rPr>
          <w:rFonts w:hint="default" w:eastAsia="宋体"/>
          <w:color w:val="auto"/>
          <w:highlight w:val="none"/>
          <w:u w:val="none"/>
          <w:lang w:val="en-US" w:eastAsia="zh-CN"/>
        </w:rPr>
      </w:pPr>
      <w:r>
        <w:rPr>
          <w:rFonts w:hint="eastAsia" w:ascii="宋体" w:hAnsi="宋体" w:cs="Times New Roman"/>
          <w:color w:val="auto"/>
          <w:szCs w:val="21"/>
          <w:highlight w:val="none"/>
          <w:u w:val="none"/>
          <w:lang w:val="en-US" w:eastAsia="zh-CN"/>
        </w:rPr>
        <w:t>8、作业人员的环卫雨衣、工作服、帽子由采购人按照作业人数每年统一发放，如供应商还需自行采购的，必须与采购人购置同一款式的服装，费用由供应商自行承担。</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Times New Roman"/>
          <w:szCs w:val="21"/>
          <w:highlight w:val="none"/>
        </w:rPr>
      </w:pPr>
      <w:r>
        <w:rPr>
          <w:rFonts w:hint="eastAsia" w:ascii="宋体" w:hAnsi="宋体" w:cs="Times New Roman"/>
          <w:color w:val="auto"/>
          <w:szCs w:val="21"/>
          <w:highlight w:val="none"/>
          <w:u w:val="none"/>
          <w:lang w:val="en-US" w:eastAsia="zh-CN"/>
        </w:rPr>
        <w:t>9</w:t>
      </w:r>
      <w:r>
        <w:rPr>
          <w:rFonts w:hint="eastAsia" w:ascii="宋体" w:hAnsi="宋体" w:cs="Times New Roman"/>
          <w:color w:val="auto"/>
          <w:szCs w:val="21"/>
          <w:highlight w:val="none"/>
          <w:u w:val="none"/>
        </w:rPr>
        <w:t>、</w:t>
      </w:r>
      <w:r>
        <w:rPr>
          <w:rFonts w:hint="eastAsia" w:ascii="宋体" w:hAnsi="宋体" w:cs="Times New Roman"/>
          <w:color w:val="auto"/>
          <w:szCs w:val="21"/>
          <w:highlight w:val="none"/>
          <w:u w:val="none"/>
          <w:lang w:val="en-US" w:eastAsia="zh-CN"/>
        </w:rPr>
        <w:t>本项目服务范围内果壳箱数量为331只，生活垃圾桶数量为267只，采购</w:t>
      </w:r>
      <w:r>
        <w:rPr>
          <w:rFonts w:hint="eastAsia" w:ascii="宋体" w:hAnsi="宋体" w:cs="Times New Roman"/>
          <w:szCs w:val="21"/>
          <w:highlight w:val="none"/>
          <w:lang w:val="en-US" w:eastAsia="zh-CN"/>
        </w:rPr>
        <w:t>人可按实际情况调整果壳箱数量和生活垃圾桶数量，供应商须无条件接受数量的调整且保洁经费不作相应调整。</w:t>
      </w:r>
      <w:r>
        <w:rPr>
          <w:rFonts w:hint="eastAsia" w:ascii="宋体" w:hAnsi="宋体" w:cs="Times New Roman"/>
          <w:szCs w:val="21"/>
          <w:highlight w:val="none"/>
        </w:rPr>
        <w:t>供应商有义务维护果壳箱和生活垃圾桶完好，如发现损坏、缺失的，需立即上报采购人</w:t>
      </w:r>
      <w:r>
        <w:rPr>
          <w:rFonts w:hint="eastAsia" w:ascii="宋体" w:hAnsi="宋体" w:cs="Times New Roman"/>
          <w:szCs w:val="21"/>
          <w:highlight w:val="none"/>
          <w:lang w:val="en-US" w:eastAsia="zh-CN"/>
        </w:rPr>
        <w:t>并协助采购人完成</w:t>
      </w:r>
      <w:r>
        <w:rPr>
          <w:rFonts w:hint="eastAsia" w:ascii="宋体" w:hAnsi="宋体" w:cs="Times New Roman"/>
          <w:szCs w:val="21"/>
          <w:highlight w:val="none"/>
        </w:rPr>
        <w:t>果壳箱和生活垃圾桶</w:t>
      </w:r>
      <w:r>
        <w:rPr>
          <w:rFonts w:hint="eastAsia" w:ascii="宋体" w:hAnsi="宋体" w:cs="Times New Roman"/>
          <w:szCs w:val="21"/>
          <w:highlight w:val="none"/>
          <w:lang w:eastAsia="zh-CN"/>
        </w:rPr>
        <w:t>的</w:t>
      </w:r>
      <w:r>
        <w:rPr>
          <w:rFonts w:hint="eastAsia" w:ascii="宋体" w:hAnsi="宋体" w:cs="Times New Roman"/>
          <w:szCs w:val="21"/>
          <w:highlight w:val="none"/>
        </w:rPr>
        <w:t>维修或更换。</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cs="Times New Roman"/>
          <w:szCs w:val="21"/>
          <w:highlight w:val="none"/>
        </w:rPr>
      </w:pPr>
      <w:r>
        <w:rPr>
          <w:rFonts w:hint="eastAsia" w:ascii="宋体" w:hAnsi="宋体" w:cs="Times New Roman"/>
          <w:szCs w:val="21"/>
          <w:highlight w:val="none"/>
          <w:lang w:val="en-US" w:eastAsia="zh-CN"/>
        </w:rPr>
        <w:t>10、</w:t>
      </w:r>
      <w:r>
        <w:rPr>
          <w:rFonts w:hint="eastAsia" w:ascii="宋体" w:hAnsi="宋体" w:cs="Times New Roman"/>
          <w:szCs w:val="21"/>
          <w:highlight w:val="none"/>
        </w:rPr>
        <w:t>本次采购的所有承诺，在合同中体现，按考核扣分办法执行。</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cs="Times New Roman"/>
          <w:szCs w:val="21"/>
        </w:rPr>
      </w:pPr>
      <w:r>
        <w:rPr>
          <w:rFonts w:hint="eastAsia" w:ascii="宋体" w:hAnsi="宋体" w:cs="Times New Roman"/>
          <w:szCs w:val="21"/>
          <w:lang w:val="en-US" w:eastAsia="zh-CN"/>
        </w:rPr>
        <w:t>11</w:t>
      </w:r>
      <w:r>
        <w:rPr>
          <w:rFonts w:hint="eastAsia" w:ascii="宋体" w:hAnsi="宋体" w:cs="Times New Roman"/>
          <w:szCs w:val="21"/>
        </w:rPr>
        <w:t>、本次采购供应商必须依据国家的有关法律、法规合法经营。</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cs="Times New Roman"/>
          <w:szCs w:val="21"/>
        </w:rPr>
      </w:pPr>
      <w:r>
        <w:rPr>
          <w:rFonts w:hint="eastAsia" w:ascii="宋体" w:hAnsi="宋体" w:cs="Times New Roman"/>
          <w:szCs w:val="21"/>
          <w:lang w:val="en-US" w:eastAsia="zh-CN"/>
        </w:rPr>
        <w:t>12</w:t>
      </w:r>
      <w:r>
        <w:rPr>
          <w:rFonts w:hint="eastAsia" w:ascii="宋体" w:hAnsi="宋体" w:cs="Times New Roman"/>
          <w:szCs w:val="21"/>
        </w:rPr>
        <w:t>、中标供应商不得将本项目非法分包或整体转包给任何单位和个人。否则，采购人有权即刻终止合同，并要求中标供应商赔偿相应损失。</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Times New Roman"/>
          <w:szCs w:val="21"/>
        </w:rPr>
      </w:pPr>
      <w:r>
        <w:rPr>
          <w:rFonts w:hint="eastAsia" w:ascii="宋体" w:hAnsi="宋体" w:cs="Times New Roman"/>
          <w:szCs w:val="21"/>
          <w:lang w:val="en-US" w:eastAsia="zh-CN"/>
        </w:rPr>
        <w:t>13</w:t>
      </w:r>
      <w:r>
        <w:rPr>
          <w:rFonts w:hint="eastAsia" w:ascii="宋体" w:hAnsi="宋体" w:cs="Times New Roman"/>
          <w:szCs w:val="21"/>
        </w:rPr>
        <w:t>、本部分《采购需求》中的项目内容、作业标准等内容由采购人每年根据实际情况作相应调整。</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1"/>
        <w:rPr>
          <w:rFonts w:hint="eastAsia" w:ascii="宋体" w:hAnsi="宋体" w:eastAsia="宋体" w:cs="Dotum"/>
          <w:b/>
          <w:bCs/>
          <w:szCs w:val="21"/>
          <w:lang w:eastAsia="zh-CN"/>
        </w:rPr>
      </w:pPr>
    </w:p>
    <w:p>
      <w:pPr>
        <w:keepNext w:val="0"/>
        <w:keepLines w:val="0"/>
        <w:pageBreakBefore w:val="0"/>
        <w:widowControl w:val="0"/>
        <w:kinsoku/>
        <w:wordWrap/>
        <w:overflowPunct/>
        <w:topLinePunct w:val="0"/>
        <w:autoSpaceDE/>
        <w:autoSpaceDN/>
        <w:bidi w:val="0"/>
        <w:adjustRightInd/>
        <w:snapToGrid/>
        <w:spacing w:line="336" w:lineRule="auto"/>
        <w:jc w:val="left"/>
        <w:textAlignment w:val="auto"/>
        <w:outlineLvl w:val="1"/>
        <w:rPr>
          <w:rFonts w:ascii="宋体" w:hAnsi="宋体" w:eastAsia="宋体" w:cs="Dotum"/>
          <w:b/>
          <w:bCs/>
          <w:szCs w:val="21"/>
        </w:rPr>
      </w:pPr>
      <w:r>
        <w:rPr>
          <w:rFonts w:hint="eastAsia" w:ascii="宋体" w:hAnsi="宋体" w:eastAsia="宋体" w:cs="Dotum"/>
          <w:b/>
          <w:bCs/>
          <w:szCs w:val="21"/>
          <w:lang w:eastAsia="zh-CN"/>
        </w:rPr>
        <w:t>五</w:t>
      </w:r>
      <w:r>
        <w:rPr>
          <w:rFonts w:ascii="宋体" w:hAnsi="宋体" w:eastAsia="宋体" w:cs="Dotum"/>
          <w:b/>
          <w:bCs/>
          <w:szCs w:val="21"/>
        </w:rPr>
        <w:t>、违约责任</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cs="Times New Roman"/>
          <w:szCs w:val="21"/>
        </w:rPr>
      </w:pPr>
      <w:r>
        <w:rPr>
          <w:rFonts w:hint="eastAsia" w:ascii="宋体" w:hAnsi="宋体" w:cs="Times New Roman"/>
          <w:szCs w:val="21"/>
        </w:rPr>
        <w:t>1、中标供应商承包区域道路环卫保洁质量未达到《浙江省城市道路清扫保洁标准》及《象山县环境卫生指导中心岗位责任管理考核办法》有关规定的，采购人有权对中标供应商实施日常考核扣款，并每月按实际扣款额的2倍从当月下拨经费中扣除。</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cs="Times New Roman"/>
          <w:strike w:val="0"/>
          <w:dstrike w:val="0"/>
          <w:color w:val="auto"/>
          <w:szCs w:val="21"/>
        </w:rPr>
      </w:pPr>
      <w:r>
        <w:rPr>
          <w:rFonts w:ascii="宋体" w:hAnsi="宋体" w:cs="Times New Roman"/>
          <w:strike w:val="0"/>
          <w:dstrike w:val="0"/>
          <w:color w:val="auto"/>
          <w:szCs w:val="21"/>
        </w:rPr>
        <w:t>2、采购人根据《象山县环境卫生指导中心岗位责任管理考核办法》内容进行日常考核、处罚，</w:t>
      </w:r>
      <w:r>
        <w:rPr>
          <w:rFonts w:hint="eastAsia" w:ascii="宋体" w:hAnsi="宋体" w:cs="Times New Roman"/>
          <w:strike w:val="0"/>
          <w:dstrike w:val="0"/>
          <w:color w:val="auto"/>
          <w:szCs w:val="21"/>
        </w:rPr>
        <w:t>如考核过程中发现问题，</w:t>
      </w:r>
      <w:r>
        <w:rPr>
          <w:rFonts w:hint="eastAsia" w:ascii="宋体" w:hAnsi="宋体" w:cs="Times New Roman"/>
          <w:strike w:val="0"/>
          <w:dstrike w:val="0"/>
          <w:color w:val="auto"/>
          <w:szCs w:val="21"/>
          <w:lang w:val="en-US" w:eastAsia="zh-CN"/>
        </w:rPr>
        <w:t>采购人</w:t>
      </w:r>
      <w:r>
        <w:rPr>
          <w:rFonts w:hint="eastAsia" w:ascii="宋体" w:hAnsi="宋体" w:cs="Times New Roman"/>
          <w:strike w:val="0"/>
          <w:dstrike w:val="0"/>
          <w:color w:val="auto"/>
          <w:szCs w:val="21"/>
        </w:rPr>
        <w:t>下发限期整改通知单限期整改，</w:t>
      </w:r>
      <w:r>
        <w:rPr>
          <w:rFonts w:hint="eastAsia" w:ascii="宋体" w:hAnsi="宋体" w:cs="Times New Roman"/>
          <w:strike w:val="0"/>
          <w:dstrike w:val="0"/>
          <w:color w:val="auto"/>
          <w:szCs w:val="21"/>
          <w:lang w:val="en-US" w:eastAsia="zh-CN"/>
        </w:rPr>
        <w:t>供应商</w:t>
      </w:r>
      <w:r>
        <w:rPr>
          <w:rFonts w:hint="eastAsia" w:ascii="宋体" w:hAnsi="宋体" w:cs="Times New Roman"/>
          <w:strike w:val="0"/>
          <w:dstrike w:val="0"/>
          <w:color w:val="auto"/>
          <w:szCs w:val="21"/>
        </w:rPr>
        <w:t>应在规定时间内整改完毕并书面提交整改报告，未在规定时间内整改并回复的，每次扣罚500—3000元。</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cs="Times New Roman"/>
          <w:color w:val="auto"/>
          <w:szCs w:val="21"/>
        </w:rPr>
      </w:pPr>
      <w:r>
        <w:rPr>
          <w:rFonts w:ascii="宋体" w:hAnsi="宋体" w:cs="Times New Roman"/>
          <w:color w:val="auto"/>
          <w:szCs w:val="21"/>
        </w:rPr>
        <w:t>3、若未按采购人的要求足额配备</w:t>
      </w:r>
      <w:r>
        <w:rPr>
          <w:rFonts w:hint="eastAsia" w:ascii="宋体" w:hAnsi="宋体" w:cs="Times New Roman"/>
          <w:color w:val="auto"/>
          <w:szCs w:val="21"/>
          <w:lang w:eastAsia="zh-CN"/>
        </w:rPr>
        <w:t>人员</w:t>
      </w:r>
      <w:r>
        <w:rPr>
          <w:rFonts w:ascii="宋体" w:hAnsi="宋体" w:cs="Times New Roman"/>
          <w:color w:val="auto"/>
          <w:szCs w:val="21"/>
        </w:rPr>
        <w:t>，每缺一名人员，采购人可以按照相应岗位人员经费的2倍扣减中标供应商的承包经费。</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cs="Times New Roman"/>
          <w:color w:val="auto"/>
          <w:szCs w:val="21"/>
        </w:rPr>
      </w:pPr>
      <w:r>
        <w:rPr>
          <w:rFonts w:ascii="宋体" w:hAnsi="宋体" w:cs="Times New Roman"/>
          <w:color w:val="auto"/>
          <w:szCs w:val="21"/>
        </w:rPr>
        <w:t>4、供应商在承包期内如有下列情况其中之一的，采购人有权单方面解除合同，并没收履约保证金：</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.1</w:t>
      </w:r>
      <w:r>
        <w:rPr>
          <w:rFonts w:hint="eastAsia" w:ascii="宋体" w:hAnsi="宋体" w:eastAsia="宋体" w:cs="Times New Roman"/>
          <w:color w:val="auto"/>
          <w:szCs w:val="21"/>
          <w:lang w:eastAsia="zh-CN"/>
        </w:rPr>
        <w:t>中标供应商</w:t>
      </w:r>
      <w:r>
        <w:rPr>
          <w:rFonts w:hint="eastAsia" w:ascii="宋体" w:hAnsi="宋体" w:eastAsia="宋体" w:cs="Times New Roman"/>
          <w:color w:val="auto"/>
          <w:szCs w:val="21"/>
        </w:rPr>
        <w:t>未按</w:t>
      </w:r>
      <w:r>
        <w:rPr>
          <w:rFonts w:hint="eastAsia" w:ascii="宋体" w:hAnsi="宋体" w:eastAsia="宋体" w:cs="Times New Roman"/>
          <w:color w:val="auto"/>
          <w:szCs w:val="21"/>
          <w:lang w:eastAsia="zh-CN"/>
        </w:rPr>
        <w:t>采购人</w:t>
      </w:r>
      <w:r>
        <w:rPr>
          <w:rFonts w:hint="eastAsia" w:ascii="宋体" w:hAnsi="宋体" w:eastAsia="宋体" w:cs="Times New Roman"/>
          <w:color w:val="auto"/>
          <w:szCs w:val="21"/>
        </w:rPr>
        <w:t>要求足额配备</w:t>
      </w:r>
      <w:r>
        <w:rPr>
          <w:rFonts w:hint="eastAsia" w:ascii="宋体" w:hAnsi="宋体" w:cs="Times New Roman"/>
          <w:color w:val="auto"/>
          <w:szCs w:val="21"/>
          <w:lang w:eastAsia="zh-CN"/>
        </w:rPr>
        <w:t>人员</w:t>
      </w:r>
      <w:r>
        <w:rPr>
          <w:rFonts w:hint="eastAsia" w:ascii="宋体" w:hAnsi="宋体" w:eastAsia="宋体" w:cs="Times New Roman"/>
          <w:color w:val="auto"/>
          <w:szCs w:val="21"/>
        </w:rPr>
        <w:t>，经</w:t>
      </w:r>
      <w:r>
        <w:rPr>
          <w:rFonts w:hint="eastAsia" w:ascii="宋体" w:hAnsi="宋体" w:eastAsia="宋体" w:cs="Times New Roman"/>
          <w:color w:val="auto"/>
          <w:szCs w:val="21"/>
          <w:lang w:eastAsia="zh-CN"/>
        </w:rPr>
        <w:t>采购人</w:t>
      </w:r>
      <w:r>
        <w:rPr>
          <w:rFonts w:hint="eastAsia" w:ascii="宋体" w:hAnsi="宋体" w:eastAsia="宋体" w:cs="Times New Roman"/>
          <w:color w:val="auto"/>
          <w:szCs w:val="21"/>
        </w:rPr>
        <w:t>提出后15天未予改正的；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.2</w:t>
      </w:r>
      <w:r>
        <w:rPr>
          <w:rFonts w:hint="eastAsia" w:ascii="宋体" w:hAnsi="宋体" w:eastAsia="宋体" w:cs="Times New Roman"/>
          <w:color w:val="auto"/>
          <w:szCs w:val="21"/>
          <w:lang w:eastAsia="zh-CN"/>
        </w:rPr>
        <w:t>中标供应商</w:t>
      </w:r>
      <w:r>
        <w:rPr>
          <w:rFonts w:hint="eastAsia" w:ascii="宋体" w:hAnsi="宋体" w:eastAsia="宋体" w:cs="Times New Roman"/>
          <w:color w:val="auto"/>
          <w:szCs w:val="21"/>
        </w:rPr>
        <w:t>未按照</w:t>
      </w:r>
      <w:r>
        <w:rPr>
          <w:rFonts w:hint="eastAsia" w:ascii="宋体" w:hAnsi="宋体" w:eastAsia="宋体" w:cs="Times New Roman"/>
          <w:color w:val="auto"/>
          <w:szCs w:val="21"/>
          <w:lang w:eastAsia="zh-CN"/>
        </w:rPr>
        <w:t>采购人</w:t>
      </w:r>
      <w:r>
        <w:rPr>
          <w:rFonts w:hint="eastAsia" w:ascii="宋体" w:hAnsi="宋体" w:eastAsia="宋体" w:cs="Times New Roman"/>
          <w:color w:val="auto"/>
          <w:szCs w:val="21"/>
        </w:rPr>
        <w:t>规定的时间以及相关作业要求正常运行的，对</w:t>
      </w:r>
      <w:r>
        <w:rPr>
          <w:rFonts w:hint="eastAsia" w:ascii="宋体" w:hAnsi="宋体" w:eastAsia="宋体" w:cs="Times New Roman"/>
          <w:color w:val="auto"/>
          <w:szCs w:val="21"/>
          <w:lang w:eastAsia="zh-CN"/>
        </w:rPr>
        <w:t>采购人</w:t>
      </w:r>
      <w:r>
        <w:rPr>
          <w:rFonts w:hint="eastAsia" w:ascii="宋体" w:hAnsi="宋体" w:eastAsia="宋体" w:cs="Times New Roman"/>
          <w:color w:val="auto"/>
          <w:szCs w:val="21"/>
        </w:rPr>
        <w:t>造成严重影响的；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.3在县内举办重大活动期间内，因</w:t>
      </w:r>
      <w:r>
        <w:rPr>
          <w:rFonts w:hint="eastAsia" w:ascii="宋体" w:hAnsi="宋体" w:eastAsia="宋体" w:cs="Times New Roman"/>
          <w:color w:val="auto"/>
          <w:szCs w:val="21"/>
          <w:lang w:eastAsia="zh-CN"/>
        </w:rPr>
        <w:t>中标供应商</w:t>
      </w:r>
      <w:r>
        <w:rPr>
          <w:rFonts w:hint="eastAsia" w:ascii="宋体" w:hAnsi="宋体" w:eastAsia="宋体" w:cs="Times New Roman"/>
          <w:color w:val="auto"/>
          <w:szCs w:val="21"/>
        </w:rPr>
        <w:t>原因被新闻媒体曝光批评，造成负面影响且情节特别严重的；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.4</w:t>
      </w:r>
      <w:r>
        <w:rPr>
          <w:rFonts w:hint="eastAsia" w:ascii="宋体" w:hAnsi="宋体" w:eastAsia="宋体" w:cs="Times New Roman"/>
          <w:color w:val="auto"/>
          <w:szCs w:val="21"/>
          <w:lang w:eastAsia="zh-CN"/>
        </w:rPr>
        <w:t>中标供应商</w:t>
      </w:r>
      <w:r>
        <w:rPr>
          <w:rFonts w:hint="eastAsia" w:ascii="宋体" w:hAnsi="宋体" w:eastAsia="宋体" w:cs="Times New Roman"/>
          <w:color w:val="auto"/>
          <w:szCs w:val="21"/>
        </w:rPr>
        <w:t>在收到</w:t>
      </w:r>
      <w:r>
        <w:rPr>
          <w:rFonts w:hint="eastAsia" w:ascii="宋体" w:hAnsi="宋体" w:eastAsia="宋体" w:cs="Times New Roman"/>
          <w:color w:val="auto"/>
          <w:szCs w:val="21"/>
          <w:lang w:eastAsia="zh-CN"/>
        </w:rPr>
        <w:t>采购人</w:t>
      </w:r>
      <w:r>
        <w:rPr>
          <w:rFonts w:hint="eastAsia" w:ascii="宋体" w:hAnsi="宋体" w:eastAsia="宋体" w:cs="Times New Roman"/>
          <w:color w:val="auto"/>
          <w:szCs w:val="21"/>
        </w:rPr>
        <w:t>的限期整改通知单后，未在规定时间内采取积极、合理的整改措施或方案，情节特别严重的；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.5</w:t>
      </w:r>
      <w:r>
        <w:rPr>
          <w:rFonts w:hint="eastAsia" w:ascii="宋体" w:hAnsi="宋体" w:eastAsia="宋体" w:cs="Times New Roman"/>
          <w:color w:val="auto"/>
          <w:szCs w:val="21"/>
          <w:lang w:eastAsia="zh-CN"/>
        </w:rPr>
        <w:t>中标供应商</w:t>
      </w:r>
      <w:r>
        <w:rPr>
          <w:rFonts w:hint="eastAsia" w:ascii="宋体" w:hAnsi="宋体" w:eastAsia="宋体" w:cs="Times New Roman"/>
          <w:color w:val="auto"/>
          <w:szCs w:val="21"/>
        </w:rPr>
        <w:t>无故拖欠</w:t>
      </w:r>
      <w:r>
        <w:rPr>
          <w:rFonts w:hint="eastAsia" w:ascii="宋体" w:hAnsi="宋体" w:cs="Times New Roman"/>
          <w:color w:val="auto"/>
          <w:szCs w:val="21"/>
          <w:lang w:eastAsia="zh-CN"/>
        </w:rPr>
        <w:t>人员</w:t>
      </w:r>
      <w:r>
        <w:rPr>
          <w:rFonts w:hint="eastAsia" w:ascii="宋体" w:hAnsi="宋体" w:eastAsia="宋体" w:cs="Times New Roman"/>
          <w:color w:val="auto"/>
          <w:szCs w:val="21"/>
        </w:rPr>
        <w:t>工资，影响正常运行以及相应保洁区域的保洁质量的；</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.6</w:t>
      </w:r>
      <w:r>
        <w:rPr>
          <w:rFonts w:hint="eastAsia" w:ascii="宋体" w:hAnsi="宋体" w:eastAsia="宋体" w:cs="Times New Roman"/>
          <w:color w:val="auto"/>
          <w:szCs w:val="21"/>
          <w:lang w:eastAsia="zh-CN"/>
        </w:rPr>
        <w:t>中标供应商</w:t>
      </w:r>
      <w:r>
        <w:rPr>
          <w:rFonts w:hint="eastAsia" w:ascii="宋体" w:hAnsi="宋体" w:eastAsia="宋体" w:cs="Times New Roman"/>
          <w:color w:val="auto"/>
          <w:szCs w:val="21"/>
        </w:rPr>
        <w:t xml:space="preserve">因管理不力等原因造成人员（5人以上，含本数）上访且上访总次数超过3次（含本数）的； </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ascii="宋体" w:hAnsi="宋体" w:cs="Times New Roman"/>
          <w:color w:val="auto"/>
          <w:szCs w:val="21"/>
        </w:rPr>
      </w:pPr>
      <w:r>
        <w:rPr>
          <w:rFonts w:hint="eastAsia" w:ascii="宋体" w:hAnsi="宋体" w:eastAsia="宋体" w:cs="Times New Roman"/>
          <w:color w:val="auto"/>
          <w:szCs w:val="21"/>
          <w:lang w:val="en-US" w:eastAsia="zh-CN"/>
        </w:rPr>
        <w:t>4</w:t>
      </w:r>
      <w:r>
        <w:rPr>
          <w:rFonts w:hint="eastAsia" w:ascii="宋体" w:hAnsi="宋体" w:eastAsia="宋体" w:cs="Times New Roman"/>
          <w:color w:val="auto"/>
          <w:szCs w:val="21"/>
        </w:rPr>
        <w:t>.7因</w:t>
      </w:r>
      <w:r>
        <w:rPr>
          <w:rFonts w:hint="eastAsia" w:ascii="宋体" w:hAnsi="宋体" w:eastAsia="宋体" w:cs="Times New Roman"/>
          <w:color w:val="auto"/>
          <w:szCs w:val="21"/>
          <w:lang w:eastAsia="zh-CN"/>
        </w:rPr>
        <w:t>中标供应商</w:t>
      </w:r>
      <w:r>
        <w:rPr>
          <w:rFonts w:hint="eastAsia" w:ascii="宋体" w:hAnsi="宋体" w:eastAsia="宋体" w:cs="Times New Roman"/>
          <w:color w:val="auto"/>
          <w:szCs w:val="21"/>
        </w:rPr>
        <w:t>自身经营不善或</w:t>
      </w:r>
      <w:r>
        <w:rPr>
          <w:rFonts w:hint="eastAsia" w:ascii="宋体" w:hAnsi="宋体" w:eastAsia="宋体" w:cs="Times New Roman"/>
          <w:color w:val="auto"/>
          <w:szCs w:val="21"/>
          <w:lang w:eastAsia="zh-CN"/>
        </w:rPr>
        <w:t>中标供应商</w:t>
      </w:r>
      <w:r>
        <w:rPr>
          <w:rFonts w:hint="eastAsia" w:ascii="宋体" w:hAnsi="宋体" w:eastAsia="宋体" w:cs="Times New Roman"/>
          <w:color w:val="auto"/>
          <w:szCs w:val="21"/>
        </w:rPr>
        <w:t>聘用的</w:t>
      </w:r>
      <w:r>
        <w:rPr>
          <w:rFonts w:hint="eastAsia" w:ascii="宋体" w:hAnsi="宋体" w:cs="Times New Roman"/>
          <w:color w:val="auto"/>
          <w:szCs w:val="21"/>
          <w:lang w:eastAsia="zh-CN"/>
        </w:rPr>
        <w:t>人员</w:t>
      </w:r>
      <w:r>
        <w:rPr>
          <w:rFonts w:hint="eastAsia" w:ascii="宋体" w:hAnsi="宋体" w:eastAsia="宋体" w:cs="Times New Roman"/>
          <w:color w:val="auto"/>
          <w:szCs w:val="21"/>
        </w:rPr>
        <w:t>的原因，导致</w:t>
      </w:r>
      <w:r>
        <w:rPr>
          <w:rFonts w:hint="eastAsia" w:ascii="宋体" w:hAnsi="宋体" w:eastAsia="宋体" w:cs="Times New Roman"/>
          <w:color w:val="auto"/>
          <w:szCs w:val="21"/>
          <w:lang w:eastAsia="zh-CN"/>
        </w:rPr>
        <w:t>中标供应商</w:t>
      </w:r>
      <w:r>
        <w:rPr>
          <w:rFonts w:hint="eastAsia" w:ascii="宋体" w:hAnsi="宋体" w:eastAsia="宋体" w:cs="Times New Roman"/>
          <w:color w:val="auto"/>
          <w:szCs w:val="21"/>
        </w:rPr>
        <w:t>无法履行约定的工作内容的。</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b/>
          <w:bCs/>
          <w:szCs w:val="21"/>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宋体" w:hAnsi="宋体" w:eastAsia="宋体" w:cs="Times New Roman"/>
          <w:b/>
          <w:bCs/>
          <w:szCs w:val="21"/>
          <w:lang w:val="en-US" w:eastAsia="zh-CN"/>
        </w:rPr>
      </w:pPr>
      <w:r>
        <w:rPr>
          <w:rFonts w:hint="eastAsia" w:ascii="宋体" w:hAnsi="宋体" w:eastAsia="宋体" w:cs="Times New Roman"/>
          <w:b/>
          <w:bCs/>
          <w:szCs w:val="21"/>
          <w:lang w:val="en-US" w:eastAsia="zh-CN"/>
        </w:rPr>
        <w:t>六、投标要求</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eastAsia="zh-CN"/>
        </w:rPr>
        <w:t>供应商需在投标文件中提供项目理解方案（包括</w:t>
      </w:r>
      <w:r>
        <w:rPr>
          <w:rFonts w:hint="eastAsia" w:ascii="宋体" w:hAnsi="宋体" w:eastAsia="宋体" w:cs="Times New Roman"/>
          <w:szCs w:val="21"/>
          <w:lang w:val="en-US" w:eastAsia="zh-CN"/>
        </w:rPr>
        <w:t>服务内容</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难点、重点问题</w:t>
      </w:r>
      <w:r>
        <w:rPr>
          <w:rFonts w:hint="eastAsia" w:ascii="宋体" w:hAnsi="宋体" w:eastAsia="宋体" w:cs="Times New Roman"/>
          <w:szCs w:val="21"/>
          <w:lang w:eastAsia="zh-CN"/>
        </w:rPr>
        <w:t>等），</w:t>
      </w:r>
      <w:r>
        <w:rPr>
          <w:rFonts w:hint="eastAsia" w:ascii="宋体" w:hAnsi="宋体" w:eastAsia="宋体" w:cs="Times New Roman"/>
          <w:szCs w:val="21"/>
          <w:lang w:val="en-US" w:eastAsia="zh-CN"/>
        </w:rPr>
        <w:t>作业服务方案（包括作业方案、作业服务方案），环卫设施清洗方案、深度保洁措施，工作管理（包括管理体系、工作质量保障措施方案、内部工作管理制度、岗位责任制度、管理运作制度、工作操作规程等），创新方案，考核制度，安全教育（包括安全教育、安全生产责任分配、安全事故善后措施及赔偿方案措施），应急处理方案，人员配置方案，交接落实计划；履约能力相关证明（如有），安全人员证明（如有），业绩证明材料（如有）。</w:t>
      </w:r>
    </w:p>
    <w:p>
      <w:pPr>
        <w:keepNext w:val="0"/>
        <w:keepLines w:val="0"/>
        <w:pageBreakBefore w:val="0"/>
        <w:widowControl w:val="0"/>
        <w:kinsoku/>
        <w:wordWrap/>
        <w:overflowPunct/>
        <w:topLinePunct w:val="0"/>
        <w:autoSpaceDE/>
        <w:autoSpaceDN/>
        <w:bidi w:val="0"/>
        <w:adjustRightInd/>
        <w:snapToGrid/>
        <w:spacing w:line="336" w:lineRule="auto"/>
        <w:ind w:firstLine="420" w:firstLineChars="200"/>
        <w:jc w:val="left"/>
        <w:textAlignment w:val="auto"/>
        <w:rPr>
          <w:rFonts w:hint="eastAsia" w:ascii="宋体" w:hAnsi="宋体"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Cs w:val="21"/>
        </w:rPr>
      </w:pPr>
      <w:r>
        <w:rPr>
          <w:rFonts w:hint="eastAsia" w:ascii="宋体" w:hAnsi="宋体" w:eastAsia="宋体" w:cs="Times New Roman"/>
          <w:szCs w:val="21"/>
        </w:rP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bCs/>
          <w:szCs w:val="21"/>
        </w:rPr>
      </w:pPr>
      <w:r>
        <w:rPr>
          <w:rFonts w:hint="eastAsia" w:ascii="宋体" w:hAnsi="宋体" w:eastAsia="宋体" w:cs="Times New Roman"/>
          <w:b/>
          <w:bCs/>
          <w:szCs w:val="21"/>
        </w:rPr>
        <w:t>附表1：</w:t>
      </w:r>
      <w:r>
        <w:rPr>
          <w:rFonts w:hint="eastAsia" w:ascii="宋体" w:hAnsi="宋体" w:eastAsia="宋体" w:cs="Times New Roman"/>
          <w:b/>
          <w:bCs/>
          <w:szCs w:val="21"/>
          <w:lang w:val="en-US" w:eastAsia="zh-CN"/>
        </w:rPr>
        <w:t>面积统计表</w:t>
      </w:r>
    </w:p>
    <w:tbl>
      <w:tblPr>
        <w:tblStyle w:val="47"/>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4840"/>
        <w:gridCol w:w="1745"/>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4840" w:type="dxa"/>
            <w:noWrap w:val="0"/>
            <w:vAlign w:val="center"/>
          </w:tcPr>
          <w:p>
            <w:pPr>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路段</w:t>
            </w:r>
          </w:p>
        </w:tc>
        <w:tc>
          <w:tcPr>
            <w:tcW w:w="1745" w:type="dxa"/>
            <w:noWrap w:val="0"/>
            <w:vAlign w:val="center"/>
          </w:tcPr>
          <w:p>
            <w:pPr>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面积（平方米）</w:t>
            </w:r>
          </w:p>
        </w:tc>
        <w:tc>
          <w:tcPr>
            <w:tcW w:w="1151" w:type="dxa"/>
            <w:noWrap w:val="0"/>
            <w:vAlign w:val="center"/>
          </w:tcPr>
          <w:p>
            <w:pPr>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sz w:val="21"/>
                <w:szCs w:val="21"/>
                <w:lang w:val="en-US" w:eastAsia="zh-CN"/>
              </w:rPr>
            </w:pPr>
            <w:r>
              <w:rPr>
                <w:rFonts w:hint="eastAsia" w:ascii="宋体" w:hAnsi="宋体" w:eastAsia="宋体" w:cs="宋体"/>
                <w:b w:val="0"/>
                <w:bCs/>
                <w:sz w:val="21"/>
                <w:szCs w:val="21"/>
                <w:lang w:val="en-US" w:eastAsia="zh-CN"/>
              </w:rPr>
              <w:t>1</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象山港路(天安路-巨鹰路)</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119487</w:t>
            </w:r>
          </w:p>
        </w:tc>
        <w:tc>
          <w:tcPr>
            <w:tcW w:w="1151" w:type="dxa"/>
            <w:noWrap w:val="0"/>
            <w:vAlign w:val="center"/>
          </w:tcPr>
          <w:p>
            <w:pPr>
              <w:spacing w:line="32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巨鹰路(象山港路-浙江一漂)</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454040</w:t>
            </w:r>
          </w:p>
        </w:tc>
        <w:tc>
          <w:tcPr>
            <w:tcW w:w="1151" w:type="dxa"/>
            <w:noWrap w:val="0"/>
            <w:vAlign w:val="center"/>
          </w:tcPr>
          <w:p>
            <w:pPr>
              <w:spacing w:line="320" w:lineRule="exact"/>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滨海大道(巨鹰路-天安路)</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75132</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象山港路延伸段(巨鹰路-赵岙隧道口)</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60000</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象山港路(天安路-史家山隧道口)</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163906</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天安路延伸段(滨海大道-大目湾新城)</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66320</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政实路(莱薰路-巨鹰路)</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44640</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滨海大道(新丰路-天安路)</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201354</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巨鹰路</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1558</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象山港路(宁波银行南首)</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480</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宝海路 (巨鹰路-欢乐家园东首一条路 )</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1216</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宝海路 (巨鹰路-欢乐家园北首一条路 )</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3737</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13</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赵岙新隧道出口</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5760</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14</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宝海路(天安路-丹爵公路)</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8880</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15</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南河路(宝海路-滨海大道)</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11792</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16</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莱薰路(政实路-滨海大道)</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56914</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17</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欢乐路(巨鹰路-海山路)</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10302</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18</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宝海路(天安路-锦绣家园)</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4005</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19</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南街(县府-大白象)</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24000</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20</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天安路(大白象-象山港路)</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56182</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21</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天安南路(象山港路-滨海大道)</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198940</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22</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丹凤路(蒋家村后面:天安路-蒋家村安置房）</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2795</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天安路(城站路口-丹峰路)</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1775</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8"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24</w:t>
            </w:r>
          </w:p>
        </w:tc>
        <w:tc>
          <w:tcPr>
            <w:tcW w:w="4840"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滨海大道延伸段(巨鹰路交叉口-爵溪前岙隧道口)</w:t>
            </w:r>
          </w:p>
        </w:tc>
        <w:tc>
          <w:tcPr>
            <w:tcW w:w="1745" w:type="dxa"/>
            <w:noWrap w:val="0"/>
            <w:vAlign w:val="center"/>
          </w:tcPr>
          <w:p>
            <w:pPr>
              <w:spacing w:line="32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31200</w:t>
            </w:r>
          </w:p>
        </w:tc>
        <w:tc>
          <w:tcPr>
            <w:tcW w:w="1151" w:type="dxa"/>
            <w:noWrap w:val="0"/>
            <w:vAlign w:val="center"/>
          </w:tcPr>
          <w:p>
            <w:pPr>
              <w:spacing w:line="32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8" w:type="dxa"/>
            <w:gridSpan w:val="2"/>
            <w:noWrap w:val="0"/>
            <w:vAlign w:val="center"/>
          </w:tcPr>
          <w:p>
            <w:pPr>
              <w:tabs>
                <w:tab w:val="left" w:pos="3160"/>
              </w:tabs>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1745" w:type="dxa"/>
            <w:noWrap w:val="0"/>
            <w:vAlign w:val="center"/>
          </w:tcPr>
          <w:p>
            <w:pPr>
              <w:spacing w:line="320" w:lineRule="exact"/>
              <w:jc w:val="center"/>
              <w:rPr>
                <w:rFonts w:hint="eastAsia" w:ascii="宋体" w:hAnsi="宋体" w:eastAsia="宋体" w:cs="宋体"/>
                <w:sz w:val="21"/>
                <w:szCs w:val="21"/>
              </w:rPr>
            </w:pPr>
            <w:r>
              <w:rPr>
                <w:rFonts w:hint="eastAsia" w:ascii="宋体" w:hAnsi="宋体" w:eastAsia="宋体" w:cs="宋体"/>
                <w:b/>
                <w:bCs/>
                <w:sz w:val="21"/>
                <w:szCs w:val="21"/>
                <w:lang w:val="en-US" w:eastAsia="zh-CN"/>
              </w:rPr>
              <w:t>1604415</w:t>
            </w:r>
          </w:p>
        </w:tc>
        <w:tc>
          <w:tcPr>
            <w:tcW w:w="1151" w:type="dxa"/>
            <w:noWrap w:val="0"/>
            <w:vAlign w:val="center"/>
          </w:tcPr>
          <w:p>
            <w:pPr>
              <w:spacing w:line="320" w:lineRule="exact"/>
              <w:jc w:val="center"/>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象山县环境卫生指导中心道路保洁服务外包项目</w:t>
      </w:r>
      <w:r>
        <w:rPr>
          <w:rFonts w:hint="eastAsia" w:ascii="宋体" w:hAnsi="宋体" w:eastAsia="宋体" w:cs="Times New Roman"/>
          <w:szCs w:val="21"/>
          <w:highlight w:val="none"/>
          <w:lang w:val="en-US" w:eastAsia="zh-CN"/>
        </w:rPr>
        <w:t>范围机械作业高德测距图</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szCs w:val="21"/>
        </w:rPr>
      </w:pPr>
      <w:r>
        <w:rPr>
          <w:rFonts w:hint="eastAsia" w:ascii="宋体" w:hAnsi="宋体" w:eastAsia="宋体" w:cs="Times New Roman"/>
          <w:spacing w:val="14"/>
          <w:kern w:val="24"/>
          <w:sz w:val="24"/>
          <w:szCs w:val="24"/>
          <w:lang w:val="en-US" w:eastAsia="zh-CN" w:bidi="ar-SA"/>
        </w:rPr>
        <w:drawing>
          <wp:inline distT="0" distB="0" distL="114300" distR="114300">
            <wp:extent cx="5012055" cy="2661285"/>
            <wp:effectExtent l="0" t="0" r="1714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5012055" cy="2661285"/>
                    </a:xfrm>
                    <a:prstGeom prst="rect">
                      <a:avLst/>
                    </a:prstGeom>
                    <a:noFill/>
                    <a:ln>
                      <a:noFill/>
                    </a:ln>
                  </pic:spPr>
                </pic:pic>
              </a:graphicData>
            </a:graphic>
          </wp:inline>
        </w:drawing>
      </w:r>
      <w:r>
        <w:rPr>
          <w:rFonts w:ascii="宋体" w:hAnsi="宋体" w:eastAsia="宋体" w:cs="Times New Roman"/>
          <w:b/>
          <w:szCs w:val="21"/>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szCs w:val="21"/>
          <w:shd w:val="clear" w:color="auto" w:fill="FFFFFF"/>
        </w:rPr>
      </w:pPr>
      <w:r>
        <w:rPr>
          <w:rFonts w:hint="eastAsia" w:ascii="宋体" w:hAnsi="宋体" w:cs="宋体"/>
          <w:b/>
          <w:szCs w:val="21"/>
          <w:shd w:val="clear" w:color="auto" w:fill="FFFFFF"/>
        </w:rPr>
        <w:t>附件1：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sz w:val="24"/>
          <w:szCs w:val="24"/>
        </w:rPr>
      </w:pPr>
      <w:r>
        <w:rPr>
          <w:rFonts w:hint="eastAsia" w:ascii="宋体" w:hAnsi="宋体" w:cs="Times New Roman"/>
          <w:b/>
          <w:sz w:val="24"/>
          <w:szCs w:val="24"/>
        </w:rPr>
        <w:t>象山县环境卫生指导中心岗位责任管理考核办法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szCs w:val="21"/>
        </w:rPr>
      </w:pPr>
      <w:r>
        <w:rPr>
          <w:rFonts w:hint="eastAsia" w:ascii="宋体" w:hAnsi="宋体" w:cs="Times New Roman"/>
          <w:b/>
          <w:szCs w:val="21"/>
        </w:rPr>
        <w:t>一 总则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第一条 为切实加强岗位责任考核，规范内部管理，进一步增强广大职工的责任意识和服务意识，不断提升环境卫生管理水平，现结合管理工作实际，特制定本考核办法。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第二条 本办法由中心考核督导科牵头实施。考核督导科应遵循“公开、公平、公正”的原则，严格按照本办法及单位有关规章制度对各科室人员及各承包公司进行考核。各科室、承包公司及广大职工应积极配合考核督导科开展日常考核工作。终端运管科负责县静脉产业园区域的日常监管考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szCs w:val="21"/>
        </w:rPr>
      </w:pPr>
      <w:r>
        <w:rPr>
          <w:rFonts w:hint="eastAsia" w:ascii="宋体" w:hAnsi="宋体" w:cs="Times New Roman"/>
          <w:b/>
          <w:szCs w:val="21"/>
        </w:rPr>
        <w:t>二 考勤管理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第三条 对中心管理层人员实施签到考勤管理，主要采取签到考勤（部分人员人脸识别考勤）和随机抽查考勤相结合的方式进行。签到考勤以指纹考勤为主，指纹考勤未能运行情况下采取人工签到考勤。随机抽查考勤采取专项检查或结合会议、学习等集体活动随机检查的方式不定期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第四条 原则上要求按时参加签到考勤，确有特殊情况因公外出或因私请假外出无法正常签到考勤的，应在事后及时填写《考勤特殊事由说明表》或提供《工作人员请假审批表》，经逐级审批同意后，及时报中心综合科备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第五条 按规定上下班时间考勤，推迟或提前进行考勤的作迟到、早退处理，每半个工作日内无故迟到、早退超过两个小时的按旷工半天计算；每个工作日内无正当理由缺签一次按旷工半天计算，缺签两次按旷工一天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第六条 无故迟到、早退、中途擅自离岗每次扣考核奖20元，旷工半天扣考核奖50元，旷工一天扣考核奖100元。如发现有代考情况的，代考者与被代考者各作旷工半天处理。全年无故迟到、早退、擅自离岗15次以上，或旷工连续超过5天，或全年旷工累计超过10天的，直接解除劳动（劳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第七条 事业在编人员规定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1、全年无故迟到、早退、擅自离岗5次及以上的，当年考核不能评为优秀、上档等次。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2、全年无故迟到、早退、擅自离岗10次及以上的，或连续旷工超过5天、或全年旷工累计超过10天的，当年考核不能评为称职及以上等次。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3、连续旷工超过10天，或全年旷工累计超过20天的，依据上级规定给予辞退或解聘处理。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第八条 所有人员认真贯彻落实“四条禁令”、“八项规定”，严格遵守《象山县环境卫生指导中心岗位责任管理考核办法》等相关制度，全部签订《承诺书》，承诺绝不酒后驾驶（含酒后驾驶电动车），绝不参与打架斗殴、聚众闹事、赌博等行为，如有违反，按《承诺书》内容给予处罚。事业人员参照《事业单位人事管理条例》《事业单位工作人员处分暂行规定》《象山县机关人员问责办法》执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Times New Roman"/>
          <w:b/>
          <w:szCs w:val="21"/>
        </w:rPr>
      </w:pPr>
      <w:r>
        <w:rPr>
          <w:rFonts w:hint="eastAsia" w:ascii="宋体" w:hAnsi="宋体" w:cs="Times New Roman"/>
          <w:b/>
          <w:szCs w:val="21"/>
        </w:rPr>
        <w:t>三 请销假管理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_GB2312"/>
          <w:szCs w:val="21"/>
        </w:rPr>
      </w:pPr>
      <w:r>
        <w:rPr>
          <w:rFonts w:hint="eastAsia" w:ascii="宋体" w:hAnsi="宋体" w:cs="仿宋_GB2312"/>
          <w:szCs w:val="21"/>
        </w:rPr>
        <w:t>第九条 请事假、病假在3天内（含3天，下同），由科室负责人签字后报分管副主任、中心主任逐级审批；3天以上的报局分管副局长审批。经审批同意后方可休假，未经审批同意一律不得休假，否则按旷工处理。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第十条 节假日值班迟到10分钟以内扣20元，半小时以内的扣40元，半小时以上扣100元；无故不参加值班，按旷工处理，并扣值班组长50元。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第十一条 单位组织的各类学习、会议、活动，应参加无故不参加的，每次扣当月考核奖50元；当月累计达到2次，全额扣除当月考核奖。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第十二条 重大节假日、重大活动、应急任务，以及全国文明城市创建等明查暗访期间，职工不服从单位同意安排的，全额扣除当月考核奖；因个人问题被媒体或上级文件通报，严重影响单位形象的，直接解除劳动（劳务）合同，事业人员参照《事业单位人事管理条例》《事业单位工作人员处分暂行规定》《象山县机关人员问责办法》执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szCs w:val="21"/>
        </w:rPr>
      </w:pPr>
      <w:r>
        <w:rPr>
          <w:rFonts w:hint="eastAsia" w:ascii="宋体" w:hAnsi="宋体" w:cs="Times New Roman"/>
          <w:b/>
          <w:szCs w:val="21"/>
        </w:rPr>
        <w:t>四 病假管理</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宋体" w:hAnsi="宋体" w:cs="仿宋_GB2312"/>
          <w:szCs w:val="21"/>
        </w:rPr>
      </w:pPr>
      <w:r>
        <w:rPr>
          <w:rFonts w:hint="eastAsia" w:ascii="宋体" w:hAnsi="宋体" w:cs="黑体"/>
          <w:bCs/>
          <w:szCs w:val="21"/>
        </w:rPr>
        <w:t xml:space="preserve"> </w:t>
      </w:r>
      <w:r>
        <w:rPr>
          <w:rFonts w:hint="eastAsia" w:ascii="宋体" w:hAnsi="宋体" w:cs="仿宋_GB2312"/>
          <w:szCs w:val="21"/>
        </w:rPr>
        <w:t>第十三条 职工因病或非因工负伤连续休假在6个月内的，病假期间连续环卫工龄（下同）不满2年的，按本人工资的60%计发；连续工龄满2年不满4年的按本人工资的70%计发；连续工龄满4年不满6年的按本人工资80%计发；连续工龄满6年不满8年的按本人工资的90%计发；连续工龄满8年及以上的按本人工资的100%计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第十四条 职工因病或非因工负伤连续休假超过6个月的，病假期间连续工龄不满1年的按本人工资的40%计发；连续工龄满1年不满3年的按本人工资的50%计发；连续工龄满3年及以上的按本人工资的60%计发。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_GB2312"/>
          <w:szCs w:val="21"/>
        </w:rPr>
      </w:pPr>
      <w:r>
        <w:rPr>
          <w:rFonts w:hint="eastAsia" w:ascii="宋体" w:hAnsi="宋体" w:cs="仿宋_GB2312"/>
          <w:szCs w:val="21"/>
        </w:rPr>
        <w:t>第十五条 实际工作年限10年以下，在本单位工作年限5年以下的病假时间为3个月，5年以上的为6个月；实际工作年限10年以上，在本单位工作年限5年以下的为6个月，5年以上10年以下的为9个月，10年以上15年以下的为12个月，15年以上20年以下的为18个月，20年以上的为24个月，超出以上规定时间，直接解除劳动（劳务）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szCs w:val="21"/>
        </w:rPr>
      </w:pPr>
      <w:r>
        <w:rPr>
          <w:rFonts w:hint="eastAsia" w:ascii="宋体" w:hAnsi="宋体" w:cs="Times New Roman"/>
          <w:b/>
          <w:szCs w:val="21"/>
        </w:rPr>
        <w:t>五 道路保洁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第十六条 劳动纪律、文明作业、安全生产规定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1、保洁员应严格遵守上下班制度，如有迟到、早退、中途脱岗等情况之一的，每项每次扣100元,夜班路段每项每次扣200元。同一个月内迟到、早退或中途脱岗被查三次及以上的，直接解除劳动（劳务）合同。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保洁员上班时间就地休息时间超过10分钟、聚众聊天、未拿工具手插口袋闲逛站立等，做与保洁工作无关事情的，每项每次扣50元；上班时间带耳机听音乐、玩手机、就地睡觉等影响环卫工人形象的，每项每次扣100元；中午10:30-11:30，下午5:00-6:00，该时间段保洁员需动态巡回保洁，出现就地休息等做与保洁无关事项的每人每次扣200元，累计扣款500元及以上的加扣2000元，一年内同一情况被查三次及以上的，直接解除劳动（劳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_GB2312"/>
          <w:szCs w:val="21"/>
        </w:rPr>
      </w:pPr>
      <w:r>
        <w:rPr>
          <w:rFonts w:hint="eastAsia" w:ascii="宋体" w:hAnsi="宋体" w:cs="仿宋_GB2312"/>
          <w:szCs w:val="21"/>
        </w:rPr>
        <w:t>3、保洁员上班时间未按规定着环卫制服或着装不整齐、未佩戴胸牌上岗、穿拖鞋、带小孩上班等情况的，每项每次扣50元，累计扣款150元及以上的加扣2000元。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4、保洁员上班时间不带清扫工具的，每次扣50元，并在次月开始减少配给相关清扫工具3-6个月。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5、保洁员上班时间出现跨越护栏、隔离带等违反文明安全规定行为的，每项每次扣100元。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6、保洁员不得随意和他人更换保洁路段或随意找他人代班，如需调班、代班、更换路段的，需说明事由并经公司批准，公司及时报中心考核督导科备案，未备案的扣2000元。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7、保洁员雨雪天气作业，故意不带、不穿防护用具的或以拿防护用具为由擅自离岗的，每次扣100元。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8、拾金不昧者视情况应给予50—500元的物质奖励，拾金不交或有盗窃现象者，一经查实，直接解除劳动（劳务）合同，情节严重的移交公安机关处理。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_GB2312"/>
          <w:szCs w:val="21"/>
        </w:rPr>
      </w:pPr>
      <w:r>
        <w:rPr>
          <w:rFonts w:hint="eastAsia" w:ascii="宋体" w:hAnsi="宋体" w:cs="仿宋_GB2312"/>
          <w:szCs w:val="21"/>
        </w:rPr>
        <w:t>9、保洁员当日上班时间喝酒的，每次扣150元，出现酒后驾驶、打架斗殴、聚众闹事、参与赌博或其他违法行为的参照第八条执行。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10、保洁员工作懈怠，不服从管理的，每次扣50-150元；谩骂、威胁考核管理人员或以其他各种形式阻碍考核管理人员正常工作的，扣150-300元，情节严重的，直接解除劳动（劳务）合同。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11、保洁员在工作期间如有三轮保洁车乱停放影响道路交通、三轮车上挂袋或上下班途中撑伞骑三轮车、闯红灯、逆向行驶等情况的，每项每次扣100元，累计扣款200元及以上的加扣2000元。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12、三轮保洁车长期不使用停放在道路两侧的，每辆每次扣500元；造成周边环境污染的，每辆每次扣500-2000元；通知后未及时整改的，扣5000元。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13、保洁员如存在一人扫两个（含）以上路段现象或在其他单位兼职的，扣1000元并直接解除劳动（劳务）合同。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14、保洁员擅自以短信群发或其他形式散布考核动向的，一经查实，直接解除劳动（劳务）合同。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_GB2312"/>
          <w:szCs w:val="21"/>
        </w:rPr>
      </w:pPr>
      <w:r>
        <w:rPr>
          <w:rFonts w:hint="eastAsia" w:ascii="宋体" w:hAnsi="宋体" w:cs="仿宋_GB2312"/>
          <w:szCs w:val="21"/>
        </w:rPr>
        <w:t>15、保洁员对考核扣款有异议的，应向所属公司逐级反映、核实，如擅自向指导中心反映投诉的，扣2000-5000元。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第十七条 路段保洁规定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 每天上午7:30前必须完成一次普扫，如未完成或有跳扫、漏扫情况的每项每次扣50元。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2、路面不洁或垃圾停留时间一级道路超过15分钟、二级道路超过18分钟、三、四级道路超过20分钟的，每处每次扣50—100元。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3、路面有明显积沙、积泥、积水及零星垃圾的，每处每项扣50—100元。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4、将垃圾扫入窨井、河道或倒入果壳箱、树穴等，以及窨井口堵塞未及时清理的，每次扣50—100元。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5、两个保洁地段交界处要求相互跨过1米以上保洁，不按要求保洁留有卫生死角的，每处扣500元，涉及两个公司的，每个公司各扣500元。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6、道路两侧人行道、侧石有杂草的，每处扣20—50元。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7、道路两侧明沟或水渠有垃圾、杂物、树枝，或沟底积淤较厚的，每处扣20—50元。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8、墙夹缝垃圾杂物未及时清理的，每处扣20-50元。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9、公交车亭路面不洁或垃圾停留时间过长的、路面有杂草的、侧石有积沙积泥的、果壳箱不洁及垃圾袋未及时更换和垃圾未日产日清的，每项每次扣20-50元。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第十八条 绿化带保洁规定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1、绿化带内有白色垃圾、显眼处有砖石块、断树枝等杂物的，每处每次扣20-50元。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2、将泥沙、落叶及生活垃圾倒入绿化带的，每处每次扣50-100元。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3、树穴内有白色垃圾、烟蒂及有碍于视线的石块、动物粪便等杂物的，每处每次扣10-50元。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第十九条 果壳箱保洁规定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1、果壳箱箱体、入料口不洁及箱门未关闭的，每只扣20-50元；内部有隔夜垃圾、垃圾外溢、垃圾袋破损未及时更换的每项扣50元；未放置垃圾袋的每只扣100元，累计扣款150元及以上的，加扣2000元。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2、果壳箱倾斜或损坏公司未及时报修的，每只扣500元，报修后次日内未及时加固、维护、修复的，扣责任人月考核奖。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第二十条 垃圾桶设置、保洁规定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1、沿街垃圾桶应将印有“象山环卫”字样的一面朝向道路统一摆放整齐，未做到的每只扣50元。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2、实行公交站点式收运的沿街垃圾桶未做到撤桶并点的，每日每只扣50元。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_GB2312"/>
          <w:szCs w:val="21"/>
        </w:rPr>
      </w:pPr>
      <w:r>
        <w:rPr>
          <w:rFonts w:hint="eastAsia" w:ascii="宋体" w:hAnsi="宋体" w:cs="仿宋_GB2312"/>
          <w:szCs w:val="21"/>
        </w:rPr>
        <w:t>3、归集点垃圾桶摆放不整齐、不规范的，每处扣100-300元。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4、垃圾桶桶盖未盖的，每只扣10—20元。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5、垃圾桶内垃圾满溢外露的，每只扣10-20元。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6、垃圾桶周边地面有残留垃圾或杂物、垃圾桶未满周边有垃圾未入桶的，每处扣20-50元。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_GB2312"/>
          <w:szCs w:val="21"/>
        </w:rPr>
      </w:pPr>
      <w:r>
        <w:rPr>
          <w:rFonts w:hint="eastAsia" w:ascii="宋体" w:hAnsi="宋体" w:cs="仿宋_GB2312"/>
          <w:szCs w:val="21"/>
        </w:rPr>
        <w:t>7、弄堂、小巷内的垃圾桶，归集时间过早、归集时摆放不整齐影响市容的，每处每项扣500元。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第二十一条 公司对考核扣款有异议的，应向中心考核督导科核对，经查实确实处罚不当或错罚的，可以予以减少或免除处罚扣款（需中心分管主任审核批准），以欺骗、威胁、无中生有等方式处理或借机闹事的，按原扣款2倍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第二十二条 在执行处罚的同时，可按当事人平时工作表现情况和违规次数处待岗5-15天处罚，一年内被待岗两次的，直接解除劳动（劳务）合同。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szCs w:val="21"/>
        </w:rPr>
      </w:pPr>
      <w:r>
        <w:rPr>
          <w:rFonts w:hint="eastAsia" w:ascii="宋体" w:hAnsi="宋体" w:cs="Times New Roman"/>
          <w:b/>
          <w:szCs w:val="21"/>
        </w:rPr>
        <w:t>六 公厕管理保洁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第二十三条 公厕管理员不按规定着装、佩戴胸牌上岗或工作时间擅离岗位的，每项每次扣100元，累计扣款超过200元的，加扣1000元。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第二十四条 公厕实行十四小时保洁（即：上午5：20至10：20、中午11：20至16：20、晚上17：20至21：20），二十四小时开放并进行一天两次全面保洁（上午7：00前、下午4：20前）和其他时段进行循环保洁。未按规定时间保洁、迟到、早退、中途擅自离岗的，每项每次扣100元，累计扣款超过300元的加扣2000元；厕所内有蜘蛛网、积水、积灰、积粪、痰迹或臭气较重、隔板、洁具、台盆不洁、镜面不洁、制度牌不洁、墙面、地面等不洁的，每项每次扣20—50元，累计扣款超过200元的，加扣1000元；以水管直接冲洗厕内墙面隔板或开关、感应设施的，每项每次扣100元，造成设施损坏的，按实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第二十五条 爱心驿站不整洁、各类服务设施缺失、工具箱存放与保洁无关物品、第三卫生间或母婴室、残疾人专用坑位上锁或存放其他物品的，每项每次扣50元，累计扣款200元及以上的，加扣1000元。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第二十六条 在爱心驿站房内烧饭、用餐、就寝或做其他与工作无关事项的，每次扣100元，累计扣款200元及以上的，加扣2000元。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第二十七条 公厕实行长明灯制。为节约用电，夜晚可关闭部分电源，但必须确保室内明亮，发现晚间公厕内未亮灯的每次扣50元，累计扣款200元及以上的，加扣1000元。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第二十八条 公厕无障碍设施、标识、以及灯光、龙头、感应器、门锁等各类设施损坏未及时挂牌告知的每项每次扣50元；未及时修复，应报告中心维修而未报告的，每项每次扣200元，累计扣款300元及以上的，加扣2000元。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第二十九条 厕所外墙体、出入口路面、周边责任区、路面及绿化带等不洁、乱晾晒、乱吊挂、乱堆放的，每项每次扣50元，累计扣款200元及以上的，加扣1000元。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_GB2312"/>
          <w:szCs w:val="21"/>
        </w:rPr>
      </w:pPr>
      <w:r>
        <w:rPr>
          <w:rFonts w:hint="eastAsia" w:ascii="宋体" w:hAnsi="宋体" w:cs="仿宋_GB2312"/>
          <w:szCs w:val="21"/>
        </w:rPr>
        <w:t>第三十条 未按规定设置干手机、洗手液、卫生纸及保洁工具不入箱的，每项每次扣50元；下雨天、潮湿天气未设置防滑提示牌的，扣500元；造成人员伤亡所产生的一切费用自行负担。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第三十一条 如发现卫生纸、洗手液等公共用品占为己有的，每项每次扣1000元，情节严重的，直接解除劳动（劳务）合同。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szCs w:val="21"/>
        </w:rPr>
      </w:pPr>
      <w:r>
        <w:rPr>
          <w:rFonts w:hint="eastAsia" w:ascii="宋体" w:hAnsi="宋体" w:cs="Times New Roman"/>
          <w:b/>
          <w:szCs w:val="21"/>
        </w:rPr>
        <w:t>七 中转站管理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第三十二条 作业人员有迟到、早退、中途脱岗情况的，每项每次扣100元；未按规定着装的扣50元；未按规定时间运行的每次每座扣5000元。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第三十三条 作业人员未持操作证操作或交给没有操作证的人员操作压缩机的，每项每次扣500元；造成设备损坏的，按实际维修费用赔偿。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第三十四条 设备设施损坏未及时报修的，每次扣500元，如影响正常作业的，每次扣1000元。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第三十五条 未做好除臭灭蝇工作、无故不开启除臭设备的，每项每次扣1000元。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第三十六条 上午5至10时，无专人清扫场内卫生的，扣1000元；一周内被查二次及以上的，加扣2000元；下午</w:t>
      </w:r>
      <w:r>
        <w:rPr>
          <w:rFonts w:ascii="宋体" w:hAnsi="宋体" w:cs="仿宋_GB2312"/>
          <w:szCs w:val="21"/>
        </w:rPr>
        <w:t>16</w:t>
      </w:r>
      <w:r>
        <w:rPr>
          <w:rFonts w:hint="eastAsia" w:ascii="宋体" w:hAnsi="宋体" w:cs="仿宋_GB2312"/>
          <w:szCs w:val="21"/>
        </w:rPr>
        <w:t>时前未完成全面清洗场内所有设备、设施及地面、墙面、冲洗区、窨井、绿化带卫生的，扣1000元；一周内被查二次及以上的，加扣2000元。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第三十七条 中转站地面、墙面、绿化区、厕所、操作车间、洗桶区、停车位、配电房、管理房、宿舍等卫生不洁的，每项每次扣50元，累计扣款200元及以上的，加扣2000元。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第三十八条 场内有杂物堆放的、机坑内有垃圾、推板与油缸连接处垃圾未清理、设备未及时清洗的，每项扣500元。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第三十九条 未做好场内、外指定的绿化养护工作、因养护不周造成树木、花草死亡的，扣5000元，并按同款树木、花草种植，直至成活；堆放杂物及种植蔬菜的，每项扣1000元。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第四十条 场内寄养动物、家禽的，每次扣200元。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_GB2312"/>
          <w:szCs w:val="21"/>
        </w:rPr>
      </w:pPr>
      <w:r>
        <w:rPr>
          <w:rFonts w:hint="eastAsia" w:ascii="宋体" w:hAnsi="宋体" w:cs="仿宋_GB2312"/>
          <w:szCs w:val="21"/>
        </w:rPr>
        <w:t>第四十一条 站内管理房只供环卫管理、作业人员使用，不得有未成年人入内，否则一经查实，每座每次扣1000元，全年累计三次（含）以上的，直接解除劳动（劳务）合同。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szCs w:val="21"/>
        </w:rPr>
      </w:pPr>
      <w:r>
        <w:rPr>
          <w:rFonts w:hint="eastAsia" w:ascii="宋体" w:hAnsi="宋体" w:cs="Times New Roman"/>
          <w:b/>
          <w:szCs w:val="21"/>
        </w:rPr>
        <w:t>八 车辆管理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第四十二条 劳动纪律、车辆维护规定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驾驶员不按时上下班、不按规定路线和范围作业、不按规定车速行驶、未完成工作任务的，每项每次扣100元；未按规定着装的扣50元；不服从指挥调度的，视情扣发1—3个月考核奖；如有谩骂、威胁、殴打管理人员的情况，直接解除劳动（劳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2、所有车辆作业完工后应根据车辆类型、特点规定进行清洗，确保车辆功能正常、车体清洁，未做到的，每次扣驾驶员50—200元。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3、所有车辆作业完工后应按指定地点停放，未做到的，每次扣驾驶员100元。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4、驾驶员不按规定对车辆进行日常维护保养检查致使车辆损坏、部件缺失的，照价赔偿。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5、驾驶员因缺水、缺油行车或操作不当造成车辆损坏的，视情扣发1—3个月考核奖；造成直接损失2000元以上的，视情扣发4—6个月考核，情节严重的，直接解除劳动（劳务）合同。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6、驾驶员因操作不当造成车辆刮擦等事故，应及时与中心设施运维科负责人联系，如不及时上报并自行安排维修的，查实后，车辆维修费自行承担，视情扣3-6个月考核奖。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7、驾驶员无故不参加车辆安全知识学习培训及其他相关活动的，每次扣200元，并取消当年度安全驾驶员评选资格；车辆加油时抽烟的，每发现一次扣200元。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8、车辆作业时注意噪声污染，被投诉的，经核实，每次扣作业人员100元。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第四十三条 机扫车（洗扫一体机）作业规定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1、不按要求调整吸盘高度（吸盘边缘离地一公分为准）、扫帚角度，车辆零部件损坏不及时修复，作业质量未达到要求的，每项扣500元。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2、作业期间不按要求开启警示灯、喷水压尘装置的，或故障不修复的，每次每项扣100元。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3、不按规定倾倒垃圾、污水的，每项扣1000元。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第四十四条 洒水车、高压冲洗车、小型清洗车作业规定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szCs w:val="21"/>
        </w:rPr>
      </w:pPr>
      <w:r>
        <w:rPr>
          <w:rFonts w:hint="eastAsia" w:ascii="宋体" w:hAnsi="宋体" w:cs="仿宋_GB2312"/>
          <w:szCs w:val="21"/>
        </w:rPr>
        <w:t xml:space="preserve">    1、在洒水、清洗作业时应避开道路交通高峰期，不按规定开启警示灯、播放提示音乐、影响道路交通的，每项每次扣500元。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2、在洒水、清洗作业时通过十字路口、人行横道和非机动车道未减速控制水幅，未避让非机动车或行人被投诉的，每次每项扣800元。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 xml:space="preserve">3、气温在3摄氏度以下暂停路面洒水、清洗作业。不按规定作业，致使路面结冰打滑被行人或有关部门投诉的，每次扣1000元；没有根据天气变化及时调整作业方式和作业时间的，每次扣500元，造成人员伤亡的，直接解除劳动（劳务）合同并赔偿。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4、小型冲洗车作业时未设置安全警示牌的扣100元；造成事故发生的扣2000元；发生重大事故的扣5000元。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第四十五条 垃圾压缩车、垃圾清运车、桶装车、厨余垃圾车、其他垃圾车及果壳箱垃圾收集车作业规定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1、驾驶员在车辆运输途中因人为操作原因致使垃圾及污水滴、漏、洒污染路面的，每次扣100元。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2、驾驶员未经允许不及时清运垃圾造成隔夜积压的，每次扣100元。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3、驾驶员夹带超载垃圾桶或将垃圾倒入车箱清运（部分袋装无水垃圾除外）的，每次扣500元；如因此发生交通事故的，每次扣2000元。全年违规清运垃圾累计3次（含）以上的，直接解除劳动（劳务）合同。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4、垃圾桶未卸车不经清洗直接使用的，每桶扣50元，全年被查三次及以上的，直接解除劳动（劳务）合同。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_GB2312"/>
          <w:szCs w:val="21"/>
        </w:rPr>
      </w:pPr>
      <w:r>
        <w:rPr>
          <w:rFonts w:hint="eastAsia" w:ascii="宋体" w:hAnsi="宋体" w:cs="仿宋_GB2312"/>
          <w:szCs w:val="21"/>
        </w:rPr>
        <w:t>5、垃圾压缩车、垃圾转运车出站前驾驶员未下车检查车辆尾部是否夹带垃圾的每次扣500元；尾部夹带垃圾出站的每次扣100元；被投诉的每次扣300元；进焚烧厂倾倒垃圾后未关闭后厢门直接行驶的每次扣100元，如损坏场内设施的照价赔偿；不服从现场管理人员指挥的每次扣200元；致使垃圾撒落作业平台影响其他车辆通行的，扣发驾驶员当月考核奖；全年累计3次（含）以上的，属指导中心人员的，直接解除劳动（劳务）合同，属承包公司人员的，扣500-2000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6、跟车工应积极主动做好垃圾定时、定点分类投放的宣传、督导、问题收集工作。收集沿街店铺（单位）、果壳箱垃圾时，收运车不按规定时间出车；不按规定路线及时速行驶；有漏收、跳收、未收垃圾的，每次每项扣50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_GB2312"/>
          <w:szCs w:val="21"/>
        </w:rPr>
      </w:pPr>
      <w:r>
        <w:rPr>
          <w:rFonts w:hint="eastAsia" w:ascii="宋体" w:hAnsi="宋体" w:cs="仿宋_GB2312"/>
          <w:szCs w:val="21"/>
        </w:rPr>
        <w:t>7、作业时未开启提示喇叭的，扣100元。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_GB2312"/>
          <w:szCs w:val="21"/>
        </w:rPr>
      </w:pPr>
      <w:r>
        <w:rPr>
          <w:rFonts w:hint="eastAsia" w:ascii="宋体" w:hAnsi="宋体" w:cs="仿宋_GB2312"/>
          <w:szCs w:val="21"/>
        </w:rPr>
        <w:t>以上条款作业人员属中心的从本人考核奖中扣款。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第四十六条 吸粪车（吸污车）、餐厨垃圾车规定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1、驾驶员操作不当致使车辆清运途中滴、漏、洒污染路面的，每次扣100元。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2、驾驶员不按规定倾倒处理垃圾的，每次扣100元。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3、驾驶员未按时完成粪便抽运或餐厨垃圾清运任务的，每次扣100元。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4、对外开展有偿服务态度恶劣、作业完工后未及时密闭各类管盖或未及时对作业场地周边进行清洗被投诉一经核实的，每人每次扣100元。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5、对外开展有偿服务乱收费或收费未开具收据被投诉的，视情节轻重扣发当事人1—6个月考核奖、解除劳动合同或移交有关部门处理。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szCs w:val="21"/>
        </w:rPr>
      </w:pPr>
      <w:r>
        <w:rPr>
          <w:rFonts w:hint="eastAsia" w:ascii="宋体" w:hAnsi="宋体" w:cs="Times New Roman"/>
          <w:b/>
          <w:szCs w:val="21"/>
        </w:rPr>
        <w:t>九 辅助工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第四十七条 不按规定时间上下班或未完成作业任务的，每次扣100元；未按规定着装（包括未穿防滑雨鞋、戴橡胶手套）的，每次扣50元；不服从指挥管理的，每次扣200元，全年累计三次（含）以上的，直接解除劳动（劳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第四十八条 倒桶工在作业时因噪声污染被投诉的，每次扣100元；不按规定操作致使车辆或垃圾桶受损的，每次扣100—200元；受损情况严重的，责令单位（承包公司）与辅助工直接解除劳动（劳务）合同，如涉及桶装车驾驶员责任的，也作相应处罚；空桶归位不规范、不整齐的每处扣50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第四十九条 洗桶工不按规定操作，存在漏洗或清洗质量不达标情况以及作业完工后垃圾桶未分类摆放或摆放不整齐、相关设备设施未及时维护、场地未及时清理的，每项每人扣50元；洗桶区完工后集砂井未及时清理的，每人扣100元；造成堵塞的，每人扣200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szCs w:val="21"/>
        </w:rPr>
      </w:pPr>
      <w:r>
        <w:rPr>
          <w:rFonts w:hint="eastAsia" w:ascii="宋体" w:hAnsi="宋体" w:cs="Times New Roman"/>
          <w:b/>
          <w:szCs w:val="21"/>
        </w:rPr>
        <w:t>十 智慧环卫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第五十条 车辆GPS、油耗检测规定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通过监测系统显示车辆油耗异常，经查实系驾驶员偷油造成的，责令单位（承包公司）与驾驶员直接解除劳动（劳务）合同，情节严重的移交公安机关处理，未安装油耗检测系统的车辆驾驶员如存在偷油行为，作相同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2、驾驶员故意损坏车辆GPS定位及油耗检测系统，一经查实的，直接解除劳动（劳务）合同。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第五十一条 人员定位终端规定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定位终端不及时开机或不按时充电造成关机或不随身携带的，每次扣100元；一个月内被查实二次或一年内被查实三次的，责令单位（承包公司）与保洁员直接解除劳动（劳务）合同；考核检查时开机，检查结束后关机的，一经查实，直接解除劳动（劳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2、管理平台显示定位终端异常违规，经查实按考核办法相应条款规定进行处罚。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3、定位终端损坏未及时报修的，第一次扣50元，第二次扣100元，第三次直接解除劳动（劳务）合同；人为损坏定位终端的，直接解除劳动（劳务）合同。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4、定位终端遗失的，第一次扣100元，第二次按价赔偿，第三次直接解除劳动（劳务）合同。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5、因终端故障发生误报、错报造成相应处罚，经技术部门核实确认，可以免予处罚；借机纠缠、闹事的，直接解除劳动（劳务）合同。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第五十二条 监控设施规定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1、监控设施显示人员、车辆违规，按前面所涉及的相应条款进行处罚。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2、故意损坏监控设施的，直接解除劳动（劳务）合同。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第五十三条 考核通规定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1、不按规定使用考核通、当月未完成绩效考核任务（每组指标暂定为220张/月，以后根据实际再作调整）、每组每月未检查出保洁员迟到、早退5人次及以上的，出现其中一项扣考核人员当月量化考核奖100元。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 未完成临时下达的考核任务，每次扣考核人员当月量化考核奖50—100元，扣完为止。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黑体"/>
          <w:bCs/>
          <w:szCs w:val="21"/>
        </w:rPr>
      </w:pPr>
      <w:r>
        <w:rPr>
          <w:rFonts w:hint="eastAsia" w:ascii="宋体" w:hAnsi="宋体" w:cs="仿宋_GB2312"/>
          <w:szCs w:val="21"/>
        </w:rPr>
        <w:t>3、考核通损坏后未及时报修的，扣当月量化考核奖50元；人为损坏考核通的，编外职工直接解除劳动（劳务）合同，在编人员扣1-3个月考核奖。</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szCs w:val="21"/>
        </w:rPr>
      </w:pPr>
      <w:r>
        <w:rPr>
          <w:rFonts w:hint="eastAsia" w:ascii="宋体" w:hAnsi="宋体" w:cs="Times New Roman"/>
          <w:b/>
          <w:szCs w:val="21"/>
        </w:rPr>
        <w:t>十一 对填埋场、焚烧发电厂、沼气综合利用项目的考核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_GB2312"/>
          <w:szCs w:val="21"/>
        </w:rPr>
      </w:pPr>
      <w:r>
        <w:rPr>
          <w:rFonts w:hint="eastAsia" w:ascii="宋体" w:hAnsi="宋体" w:cs="仿宋_GB2312"/>
          <w:szCs w:val="21"/>
        </w:rPr>
        <w:t>第五十四条 内部管理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1、工作人员应严格遵守岗位职责，如有不在岗情况的，每次扣100元。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2、应保持整个厂区内整洁有序，厂内道路、厕所、操作间、设备间、中控室及厂区周边有零星垃圾、蜘蛛网、异味的，每次每项扣100元；有乱杂物堆放或影响设备操作的，每次扣200元。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3、未做好厂内绿化养护，绿化带杂乱的，视情扣50－300元。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4、库区作业人员未按要求穿工作服、安全帽、佩戴工作证的，每项每次扣50元。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5、场区及场区周边有白色垃圾及杂物的，视情扣20－100元；办公场所卫生不整洁，每次扣50元。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6、在各项检查过程中发现相关问题，在整改期限内未完成整改的，每次扣3000元。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7、进场道路未按规定及时进行冲洗的，每次扣100元；路面不整洁的，视情扣200－500元。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8、截洪沟有垃圾、杂物导致排水不畅的，视情扣200－500元。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9、同一问题在规定整改期限内未及时整改到位的，加倍处罚。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第五十五条 工艺操作控制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szCs w:val="21"/>
        </w:rPr>
        <w:t>1、计量和在线监测设备应保持正常运行，定期进行校对，</w:t>
      </w:r>
      <w:r>
        <w:rPr>
          <w:rFonts w:hint="eastAsia" w:ascii="宋体" w:hAnsi="宋体" w:cs="仿宋_GB2312"/>
          <w:color w:val="auto"/>
          <w:szCs w:val="21"/>
        </w:rPr>
        <w:t>建立相应</w:t>
      </w:r>
      <w:r>
        <w:rPr>
          <w:rFonts w:hint="eastAsia" w:ascii="宋体" w:hAnsi="宋体" w:cs="仿宋_GB2312"/>
          <w:color w:val="auto"/>
          <w:szCs w:val="21"/>
          <w:lang w:eastAsia="zh-CN"/>
        </w:rPr>
        <w:t>台账</w:t>
      </w:r>
      <w:r>
        <w:rPr>
          <w:rFonts w:hint="eastAsia" w:ascii="宋体" w:hAnsi="宋体" w:cs="仿宋_GB2312"/>
          <w:color w:val="auto"/>
          <w:szCs w:val="21"/>
        </w:rPr>
        <w:t>。发生故障时，立即给予修复，如遇较大故障暂不能排除的，应及时汇报，采用人工记录；若发现计量和在线监测设备数据异常且无汇报的，每次视情扣500－2000元；不能提供校对检验报告的，每次扣1000元。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2、加强设备运行工况监测，发生故障立即排除，并做好</w:t>
      </w:r>
      <w:r>
        <w:rPr>
          <w:rFonts w:hint="eastAsia" w:ascii="宋体" w:hAnsi="宋体" w:cs="仿宋_GB2312"/>
          <w:color w:val="auto"/>
          <w:szCs w:val="21"/>
          <w:lang w:eastAsia="zh-CN"/>
        </w:rPr>
        <w:t>台账</w:t>
      </w:r>
      <w:r>
        <w:rPr>
          <w:rFonts w:hint="eastAsia" w:ascii="宋体" w:hAnsi="宋体" w:cs="仿宋_GB2312"/>
          <w:color w:val="auto"/>
          <w:szCs w:val="21"/>
        </w:rPr>
        <w:t>。设备设施无故不开启或未按规定正常运行的，每次扣500－1000元；明知发生故障未排除的，每次扣500元；</w:t>
      </w:r>
      <w:r>
        <w:rPr>
          <w:rFonts w:hint="eastAsia" w:ascii="宋体" w:hAnsi="宋体" w:cs="仿宋_GB2312"/>
          <w:color w:val="auto"/>
          <w:szCs w:val="21"/>
          <w:lang w:eastAsia="zh-CN"/>
        </w:rPr>
        <w:t>台账</w:t>
      </w:r>
      <w:r>
        <w:rPr>
          <w:rFonts w:hint="eastAsia" w:ascii="宋体" w:hAnsi="宋体" w:cs="仿宋_GB2312"/>
          <w:color w:val="auto"/>
          <w:szCs w:val="21"/>
        </w:rPr>
        <w:t>不全的视情扣50－100元；无检查</w:t>
      </w:r>
      <w:r>
        <w:rPr>
          <w:rFonts w:hint="eastAsia" w:ascii="宋体" w:hAnsi="宋体" w:cs="仿宋_GB2312"/>
          <w:color w:val="auto"/>
          <w:szCs w:val="21"/>
          <w:lang w:eastAsia="zh-CN"/>
        </w:rPr>
        <w:t>台账</w:t>
      </w:r>
      <w:r>
        <w:rPr>
          <w:rFonts w:hint="eastAsia" w:ascii="宋体" w:hAnsi="宋体" w:cs="仿宋_GB2312"/>
          <w:color w:val="auto"/>
          <w:szCs w:val="21"/>
        </w:rPr>
        <w:t>的扣200元。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3、污水按规定每日对进出水水质进行检测和定期委托第三方进行检测，并建立相应</w:t>
      </w:r>
      <w:r>
        <w:rPr>
          <w:rFonts w:hint="eastAsia" w:ascii="宋体" w:hAnsi="宋体" w:cs="仿宋_GB2312"/>
          <w:color w:val="auto"/>
          <w:szCs w:val="21"/>
          <w:lang w:eastAsia="zh-CN"/>
        </w:rPr>
        <w:t>台账</w:t>
      </w:r>
      <w:r>
        <w:rPr>
          <w:rFonts w:hint="eastAsia" w:ascii="宋体" w:hAnsi="宋体" w:cs="仿宋_GB2312"/>
          <w:color w:val="auto"/>
          <w:szCs w:val="21"/>
        </w:rPr>
        <w:t>；如有漏测情况的，每次扣500元，三次及以上的，加倍处罚；检测数据超标且无情况说明的，每次每项扣3000元。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第五十六条 设施设备管理维护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1、地磅故障未在整改期限内修复的，每次扣5000元。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2、闲置作业车辆未停放在规定位置，停放不整齐的，每辆次扣500元；材料堆放凌乱的，视情扣200－1000元。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3、保持所有监控设施设备正常运作，如有损坏应及时修复，未及时修复的，每次扣3000元。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4、除臭设备无故不开启或未按要求正常运行的，每次扣5000元；对库区及周边道路除臭每日未达到8次的，每少一次扣2000元。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5、未进行除臭作业的，每次扣1000元；未按规定对场区及办公场所进行灭蝇消杀的，苍蝇密度过大、因除臭消杀不到位被投诉的每次扣5000元。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6、人员、设施设备未按合同要求配备到位的，每项次扣5000元。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7、污水处理的设施设备应保持整洁完好、功能正常、管路无锈蚀、生产车间内无积水、设施设备表面无灰尘，如有上述情况的，每次每项扣100元。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8、未按规定进行环境监测的，每次扣5000元；监测</w:t>
      </w:r>
      <w:r>
        <w:rPr>
          <w:rFonts w:hint="eastAsia" w:ascii="宋体" w:hAnsi="宋体" w:cs="仿宋_GB2312"/>
          <w:color w:val="auto"/>
          <w:szCs w:val="21"/>
          <w:lang w:eastAsia="zh-CN"/>
        </w:rPr>
        <w:t>台账</w:t>
      </w:r>
      <w:r>
        <w:rPr>
          <w:rFonts w:hint="eastAsia" w:ascii="宋体" w:hAnsi="宋体" w:cs="仿宋_GB2312"/>
          <w:color w:val="auto"/>
          <w:szCs w:val="21"/>
        </w:rPr>
        <w:t>资料不全的，每项扣500元。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9、各项工艺（技术）参数按国家相关标准执行，被检测不符合工艺标准的（按招标文件、特许经营协议、相关合同等）予以处罚。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10、定期对处理设备进行维护保养，并建立相应</w:t>
      </w:r>
      <w:r>
        <w:rPr>
          <w:rFonts w:hint="eastAsia" w:ascii="宋体" w:hAnsi="宋体" w:cs="仿宋_GB2312"/>
          <w:color w:val="auto"/>
          <w:szCs w:val="21"/>
          <w:lang w:eastAsia="zh-CN"/>
        </w:rPr>
        <w:t>台账</w:t>
      </w:r>
      <w:r>
        <w:rPr>
          <w:rFonts w:hint="eastAsia" w:ascii="宋体" w:hAnsi="宋体" w:cs="仿宋_GB2312"/>
          <w:color w:val="auto"/>
          <w:szCs w:val="21"/>
        </w:rPr>
        <w:t>。无维护保养</w:t>
      </w:r>
      <w:r>
        <w:rPr>
          <w:rFonts w:hint="eastAsia" w:ascii="宋体" w:hAnsi="宋体" w:cs="仿宋_GB2312"/>
          <w:color w:val="auto"/>
          <w:szCs w:val="21"/>
          <w:lang w:eastAsia="zh-CN"/>
        </w:rPr>
        <w:t>台账</w:t>
      </w:r>
      <w:r>
        <w:rPr>
          <w:rFonts w:hint="eastAsia" w:ascii="宋体" w:hAnsi="宋体" w:cs="仿宋_GB2312"/>
          <w:color w:val="auto"/>
          <w:szCs w:val="21"/>
        </w:rPr>
        <w:t>的，每次扣200元；记录不全的，每次扣100元；对故障设备应及时维修，如维修不及时且无情况说明的，每次每项扣500元。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第五十七条 厂区安全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1、厂内危险化学品应按危险化学品管理规定单独存放，在存放和使用位置设置警示标识标牌、操作使用规定、应急处置预案和应急处置设施，如未按规定存放的，每次扣1000元；未设置警示标识标牌或标识标牌不清楚的，每次扣100元；无应急处置设施或应急处置设施不全的每次扣1000元；违反危险化学品使用操作规定的，每次扣5000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2、厂区操作间、中控室、危险化学品存储点等重点区域内应严禁烟火，设置警示标牌，如发现在上述区域抽烟、使用明火等影响厂区安全的，每次扣2000元。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3、各类</w:t>
      </w:r>
      <w:r>
        <w:rPr>
          <w:rFonts w:hint="eastAsia" w:ascii="宋体" w:hAnsi="宋体" w:cs="仿宋_GB2312"/>
          <w:color w:val="auto"/>
          <w:szCs w:val="21"/>
          <w:lang w:eastAsia="zh-CN"/>
        </w:rPr>
        <w:t>台账</w:t>
      </w:r>
      <w:r>
        <w:rPr>
          <w:rFonts w:hint="eastAsia" w:ascii="宋体" w:hAnsi="宋体" w:cs="仿宋_GB2312"/>
          <w:color w:val="auto"/>
          <w:szCs w:val="21"/>
        </w:rPr>
        <w:t>资料应如实记录，记录不全的，每次扣100元；弄虚作假的，每次扣3000元。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4、在整改限期内未完成整改的每次扣3000元，无情况说明且拒不整改的，对整改项加倍处罚。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color w:val="auto"/>
          <w:szCs w:val="21"/>
        </w:rPr>
      </w:pPr>
      <w:r>
        <w:rPr>
          <w:rFonts w:hint="eastAsia" w:ascii="宋体" w:hAnsi="宋体" w:cs="Times New Roman"/>
          <w:b/>
          <w:color w:val="auto"/>
          <w:szCs w:val="21"/>
        </w:rPr>
        <w:t>十二 日常考核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第五十八条 目标考核规定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1、根据不同季节、不同的时间，合理安排人员班次，对各项目按考核内容要求进行日常考核，并根据实际情况及时调整考核方式、方法。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当年扣款累计达到1000元或处罚次数达到30次的，责令单位（承包公司）与人员直接解除劳动（劳务）合同，并扣直接负责的管理人员每人1个月考核奖，加扣承包公司2000元。事业在编人员按照本办法第七条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第五十九条 任务考核规定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1、根据实际情况及时下发各项考核任务，未完成的，每次扣考核人员当月考核奖50—100元，扣完300元为止。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2、根据各项创建活动和各类检查、测评、调研活动及时下发各项临时性考核任务，未完成的，每次扣考核人员当月考核奖50-100元，扣完300元为止。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szCs w:val="21"/>
        </w:rPr>
      </w:pPr>
      <w:r>
        <w:rPr>
          <w:rFonts w:hint="eastAsia" w:ascii="宋体" w:hAnsi="宋体" w:cs="Times New Roman"/>
          <w:b/>
          <w:szCs w:val="21"/>
        </w:rPr>
        <w:t>十三 量化考核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第六十条 量化考核对象规定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 环卫指导中心各科室，包括填埋场、污水厂、净化中心、机修车间、停车场。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 承担道路保洁、垃圾中转压缩、公厕管理及其他项目的承包公司。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第六十一条 量化考核有关规定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1、将承包公司，按照保洁难易程度及保洁面积划分为若干个网格，量化考核小组采取车巡、步行相结合的方式，随机抽取一个网格进行考核，原则上只扣分不扣款，每月2次取平均值。同时，</w:t>
      </w:r>
      <w:r>
        <w:rPr>
          <w:rFonts w:hint="eastAsia" w:ascii="宋体" w:hAnsi="宋体" w:cs="Times New Roman"/>
          <w:szCs w:val="21"/>
        </w:rPr>
        <w:t>对</w:t>
      </w:r>
      <w:r>
        <w:rPr>
          <w:rFonts w:hint="eastAsia" w:ascii="宋体" w:hAnsi="宋体" w:cs="宋体"/>
          <w:kern w:val="0"/>
          <w:szCs w:val="21"/>
        </w:rPr>
        <w:t>机修车间、停车场、净化中心、填埋场、污水厂、内部卫生管理</w:t>
      </w:r>
      <w:r>
        <w:rPr>
          <w:rFonts w:hint="eastAsia" w:ascii="宋体" w:hAnsi="宋体" w:cs="Times New Roman"/>
          <w:szCs w:val="21"/>
        </w:rPr>
        <w:t>进行量化考核。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2、量化考核小组采取车巡、步行相结合的方式对上述所有责任区域进行全面量化考核，每月1次，并结合实际酌情扣分，然后根据保洁难易程度得出月量化考核分。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3、班子成员分组参与量化考核，原则上一个星期不少于2次。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4、如有必要，通过公开招标或委托具有相关资质的第三方进行考核。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第六十二条 量化评分标准规定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szCs w:val="21"/>
        </w:rPr>
      </w:pPr>
      <w:r>
        <w:rPr>
          <w:rFonts w:hint="eastAsia" w:ascii="宋体" w:hAnsi="宋体" w:cs="仿宋_GB2312"/>
          <w:szCs w:val="21"/>
        </w:rPr>
        <w:t xml:space="preserve">    1、保洁质量（80分）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（1）根据考核内容及保洁质量每项扣0.1—0.5分，原则上一个路段每次检查扣分不超过2分。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（2）根据道路、公厕等保洁难易程度不等，设置一定的保洁难度系数分（另行制定）。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szCs w:val="21"/>
        </w:rPr>
      </w:pPr>
      <w:r>
        <w:rPr>
          <w:rFonts w:hint="eastAsia" w:ascii="宋体" w:hAnsi="宋体" w:cs="仿宋_GB2312"/>
          <w:szCs w:val="21"/>
        </w:rPr>
        <w:t xml:space="preserve">    2、劳动纪律（18分）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（1）按照劳动纪律有关规定每项扣0.1—0.5分，原则上一个路段每次检查扣分不超过1分。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（2）在每一次检查考核中，每个网格保洁员脱岗率达到10%的，扣该网格负责单位0.5分；脱岗率达到20%的，扣1分；脱岗率在30%（含）以上的，扣1.5—3分。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szCs w:val="21"/>
        </w:rPr>
      </w:pPr>
      <w:r>
        <w:rPr>
          <w:rFonts w:hint="eastAsia" w:ascii="宋体" w:hAnsi="宋体" w:cs="仿宋_GB2312"/>
          <w:szCs w:val="21"/>
        </w:rPr>
        <w:t xml:space="preserve">    3、日常考核（2分）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（1）日常考核扣款1—1000元的扣0.2分；1001—2000元的扣0.4分；2001—3000元的扣0.6分；3001—4000元的扣0.8分；4001—5000元的扣1分；5001—10000元的扣1.5分；10000元以上的扣2分。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（2）通过“智慧环卫”系统进行检查考核，原则上只扣款不扣分。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第六十三条 奖罚措施规定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1、月量化考核得分在95分（含）以上的为优秀，90（含）—95分为合格，90分以下为不合格。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2、月量化考核得分均在97分（含）以上的前三名给予一定的物质奖励，第一名1500元，第二名1000元，第三名500元。各承包公司在3年承包期内，年终量化考核分每年在95分（含）以上且三次排名在前二名的，发给保洁质量优胜单位荣誉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3、各承包公司在承包期内月量化考核得分不合格的，第一次扣2000元，第二次扣5000元，第三次扣10000元，第四次县环卫指导中心有权单方面终止协议。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4.污水厂、净化中心、机修车间、停车场的考核参照执行。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Times New Roman"/>
          <w:b/>
          <w:szCs w:val="21"/>
        </w:rPr>
      </w:pPr>
      <w:r>
        <w:rPr>
          <w:rFonts w:hint="eastAsia" w:ascii="宋体" w:hAnsi="宋体" w:cs="Times New Roman"/>
          <w:b/>
          <w:szCs w:val="21"/>
        </w:rPr>
        <w:t>十四 对承包公司的考核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第六十四条 对各承包公司的日常考核扣款，全部由承包公司承担，扣款在当月下拨的保洁经费中扣除。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第六十五条 在每一次检查考核中，各承包公司每个网格保洁员脱岗率达到10%的，除扣量化考核分外，加扣该承包公司当月保洁经费3000元；脱岗率达到20%的，除扣量化考核分外，加扣该承包公司当月保洁经费5000元；脱岗率在30%（含）以上的，除扣量化考核分外，加扣该承包公司当月保洁经费10000—20000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第六十六条 各承包公司应建立职工信誉登记制度，作业人员必须持证上岗，接受社会监管；聘用职工必须到环卫指导中心备案，未备案的每人次扣1000元；聘用因违反本考核办法被其他承包公司或指导中心解除劳动合同的人员的，每人次扣10000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_GB2312"/>
          <w:szCs w:val="21"/>
        </w:rPr>
      </w:pPr>
      <w:r>
        <w:rPr>
          <w:rFonts w:hint="eastAsia" w:ascii="宋体" w:hAnsi="宋体" w:cs="仿宋_GB2312"/>
          <w:szCs w:val="21"/>
        </w:rPr>
        <w:t>第六十七条 各保洁公司应提供每个保洁路段的范围界址，考核员姓名及联系电话；如有调整及时报指导中心考核督导科备案；所有作业车辆行驶证报信息管理科备案，以上三点未及时提供备案的每项每次扣5000元，次月还未提供备案的每项每次扣10000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第六十八条 各承包公司应建立安全管理台账，安全检查时未提供安全管理台账的每项扣1000元。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_GB2312"/>
          <w:color w:val="auto"/>
          <w:szCs w:val="21"/>
        </w:rPr>
      </w:pPr>
      <w:r>
        <w:rPr>
          <w:rFonts w:hint="eastAsia" w:ascii="宋体" w:hAnsi="宋体" w:cs="仿宋_GB2312"/>
          <w:szCs w:val="21"/>
        </w:rPr>
        <w:t>第六十九条 条承包公司未按规定对车辆作业情况进行记录、未完成月度车辆作业台账的扣2000元，</w:t>
      </w:r>
      <w:r>
        <w:rPr>
          <w:rFonts w:hint="eastAsia" w:ascii="宋体" w:hAnsi="宋体" w:cs="仿宋_GB2312"/>
          <w:color w:val="auto"/>
          <w:szCs w:val="21"/>
        </w:rPr>
        <w:t>未完成全年车辆作业</w:t>
      </w:r>
      <w:r>
        <w:rPr>
          <w:rFonts w:hint="eastAsia" w:ascii="宋体" w:hAnsi="宋体" w:cs="仿宋_GB2312"/>
          <w:color w:val="auto"/>
          <w:szCs w:val="21"/>
          <w:lang w:eastAsia="zh-CN"/>
        </w:rPr>
        <w:t>台账</w:t>
      </w:r>
      <w:r>
        <w:rPr>
          <w:rFonts w:hint="eastAsia" w:ascii="宋体" w:hAnsi="宋体" w:cs="仿宋_GB2312"/>
          <w:color w:val="auto"/>
          <w:szCs w:val="21"/>
        </w:rPr>
        <w:t>的，扣5000元。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第七十条 各承包公司未按中标文件或承包合同要求配备车辆的，按当月下拨经费的10%罚款；情节严重的，县环卫指导中心可单方面终止协议。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color w:val="auto"/>
          <w:szCs w:val="21"/>
        </w:rPr>
      </w:pPr>
      <w:r>
        <w:rPr>
          <w:rFonts w:hint="eastAsia" w:ascii="宋体" w:hAnsi="宋体" w:cs="仿宋_GB2312"/>
          <w:color w:val="auto"/>
          <w:szCs w:val="21"/>
        </w:rPr>
        <w:t>第七十一条 各承包公司未建立二级考核制度、奖罚措施和重大事故、突发事件、极端天气应急预案的，</w:t>
      </w:r>
      <w:r>
        <w:rPr>
          <w:rFonts w:hint="eastAsia" w:ascii="宋体" w:hAnsi="宋体" w:cs="仿宋_GB2312"/>
          <w:color w:val="auto"/>
          <w:szCs w:val="21"/>
          <w:lang w:val="en-US" w:eastAsia="zh-CN"/>
        </w:rPr>
        <w:t>每缺少一项</w:t>
      </w:r>
      <w:r>
        <w:rPr>
          <w:rFonts w:hint="eastAsia" w:ascii="宋体" w:hAnsi="宋体" w:cs="仿宋_GB2312"/>
          <w:color w:val="auto"/>
          <w:szCs w:val="21"/>
        </w:rPr>
        <w:t>扣保洁经费10000元；工作不得力造成负面影响的，按当月下拨经费的10%进行处罚；情节严重的，县环卫指导中心可单方面终止协议。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仿宋_GB2312"/>
          <w:color w:val="auto"/>
          <w:szCs w:val="21"/>
        </w:rPr>
      </w:pPr>
      <w:r>
        <w:rPr>
          <w:rFonts w:hint="eastAsia" w:ascii="宋体" w:hAnsi="宋体" w:cs="仿宋_GB2312"/>
          <w:color w:val="auto"/>
          <w:szCs w:val="21"/>
        </w:rPr>
        <w:t>第七十二条 各公司的二级考核制度、奖罚实施台账资料应在次月10日前报中心分管副主任签字确认并备案，未及时上报的扣10000元。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仿宋_GB2312"/>
          <w:color w:val="auto"/>
          <w:szCs w:val="21"/>
        </w:rPr>
      </w:pPr>
      <w:r>
        <w:rPr>
          <w:rFonts w:hint="eastAsia" w:ascii="宋体" w:hAnsi="宋体" w:cs="仿宋_GB2312"/>
          <w:color w:val="auto"/>
          <w:szCs w:val="21"/>
        </w:rPr>
        <w:t>第七十三条 各承包公司</w:t>
      </w:r>
      <w:r>
        <w:rPr>
          <w:rFonts w:hint="eastAsia" w:ascii="宋体" w:hAnsi="宋体" w:eastAsia="宋体" w:cs="仿宋_GB2312"/>
          <w:color w:val="auto"/>
          <w:szCs w:val="21"/>
        </w:rPr>
        <w:t>未按</w:t>
      </w:r>
      <w:r>
        <w:rPr>
          <w:rFonts w:hint="eastAsia" w:ascii="宋体" w:hAnsi="宋体" w:eastAsia="宋体" w:cs="仿宋_GB2312"/>
          <w:color w:val="auto"/>
          <w:szCs w:val="21"/>
          <w:lang w:eastAsia="zh-CN"/>
        </w:rPr>
        <w:t>要求</w:t>
      </w:r>
      <w:r>
        <w:rPr>
          <w:rFonts w:hint="eastAsia" w:ascii="宋体" w:hAnsi="宋体" w:eastAsia="宋体" w:cs="仿宋_GB2312"/>
          <w:color w:val="auto"/>
          <w:szCs w:val="21"/>
        </w:rPr>
        <w:t>支付职工工资、缴纳各种保险</w:t>
      </w:r>
      <w:r>
        <w:rPr>
          <w:rFonts w:hint="eastAsia" w:ascii="宋体" w:hAnsi="宋体" w:eastAsia="宋体" w:cs="仿宋_GB2312"/>
          <w:color w:val="auto"/>
          <w:szCs w:val="21"/>
          <w:lang w:val="en-US" w:eastAsia="zh-CN"/>
        </w:rPr>
        <w:t>的扣5000元</w:t>
      </w:r>
      <w:r>
        <w:rPr>
          <w:rFonts w:hint="eastAsia" w:ascii="宋体" w:hAnsi="宋体" w:eastAsia="宋体" w:cs="仿宋_GB2312"/>
          <w:color w:val="auto"/>
          <w:szCs w:val="21"/>
          <w:lang w:eastAsia="zh-CN"/>
        </w:rPr>
        <w:t>；</w:t>
      </w:r>
      <w:r>
        <w:rPr>
          <w:rFonts w:hint="eastAsia" w:ascii="宋体" w:hAnsi="宋体" w:cs="仿宋_GB2312"/>
          <w:color w:val="auto"/>
          <w:szCs w:val="21"/>
        </w:rPr>
        <w:t>各承包公司</w:t>
      </w:r>
      <w:r>
        <w:rPr>
          <w:rFonts w:hint="eastAsia" w:ascii="宋体" w:hAnsi="宋体" w:eastAsia="宋体" w:cs="仿宋_GB2312"/>
          <w:color w:val="auto"/>
          <w:szCs w:val="21"/>
          <w:lang w:eastAsia="zh-CN"/>
        </w:rPr>
        <w:t>因管理不力造成职工集体（</w:t>
      </w:r>
      <w:r>
        <w:rPr>
          <w:rFonts w:hint="eastAsia" w:ascii="宋体" w:hAnsi="宋体" w:eastAsia="宋体" w:cs="仿宋_GB2312"/>
          <w:color w:val="auto"/>
          <w:szCs w:val="21"/>
          <w:lang w:val="en-US" w:eastAsia="zh-CN"/>
        </w:rPr>
        <w:t>5人及以上</w:t>
      </w:r>
      <w:r>
        <w:rPr>
          <w:rFonts w:hint="eastAsia" w:ascii="宋体" w:hAnsi="宋体" w:eastAsia="宋体" w:cs="仿宋_GB2312"/>
          <w:color w:val="auto"/>
          <w:szCs w:val="21"/>
          <w:lang w:eastAsia="zh-CN"/>
        </w:rPr>
        <w:t>）上访、涉诉等情况的，扣减当月保洁经费</w:t>
      </w:r>
      <w:r>
        <w:rPr>
          <w:rFonts w:hint="eastAsia" w:ascii="宋体" w:hAnsi="宋体" w:eastAsia="宋体" w:cs="仿宋_GB2312"/>
          <w:color w:val="auto"/>
          <w:szCs w:val="21"/>
          <w:lang w:val="en-US" w:eastAsia="zh-CN"/>
        </w:rPr>
        <w:t>20000元；因上述原因，致使职工集体上访造成严重负面影响或集体上访累计3次（含）以上的</w:t>
      </w:r>
      <w:r>
        <w:rPr>
          <w:rFonts w:hint="eastAsia" w:ascii="宋体" w:hAnsi="宋体" w:eastAsia="宋体" w:cs="仿宋_GB2312"/>
          <w:color w:val="auto"/>
          <w:szCs w:val="21"/>
        </w:rPr>
        <w:t>，</w:t>
      </w:r>
      <w:r>
        <w:rPr>
          <w:rFonts w:hint="eastAsia" w:ascii="宋体" w:hAnsi="宋体" w:cs="仿宋_GB2312"/>
          <w:color w:val="auto"/>
          <w:szCs w:val="21"/>
        </w:rPr>
        <w:t>县环卫指导中心</w:t>
      </w:r>
      <w:r>
        <w:rPr>
          <w:rFonts w:hint="eastAsia" w:ascii="宋体" w:hAnsi="宋体" w:eastAsia="宋体" w:cs="仿宋_GB2312"/>
          <w:color w:val="auto"/>
          <w:szCs w:val="21"/>
        </w:rPr>
        <w:t>可单方面终止</w:t>
      </w:r>
      <w:r>
        <w:rPr>
          <w:rFonts w:hint="eastAsia" w:ascii="宋体" w:hAnsi="宋体" w:eastAsia="宋体" w:cs="仿宋_GB2312"/>
          <w:color w:val="auto"/>
          <w:szCs w:val="21"/>
          <w:lang w:eastAsia="zh-CN"/>
        </w:rPr>
        <w:t>协议</w:t>
      </w:r>
      <w:r>
        <w:rPr>
          <w:rFonts w:hint="eastAsia" w:ascii="宋体" w:hAnsi="宋体" w:eastAsia="宋体" w:cs="仿宋_GB2312"/>
          <w:color w:val="auto"/>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第七十四条 各承包公司必须对自己所管辖的设施设备完好情况进行督查检查，包括果壳箱、垃圾中转站压缩机、公厕便池感应器、智慧环卫保洁员定位终端手环等相关设施设备，发现缺失破损或未能正常使用的，必须做到及时维修或上报。如被县环卫督导科督办到并且在下达整改通知书期限内仍未修复的，扣罚该承包公司2000-10000元，情节严重的县环卫指导中心可单方面终止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第七十五条 各承包公司被县长值班电话、县双联中心、县创建办、县环卫督办以及被各级新闻媒体曝光或市民投诉的，扣当月保洁经费10000元，在整改期限内未完成的，扣当月保洁经费20000元；造成严重负面影响的，县环卫指导中心可单方面终止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第七十六条 各承包公司在县重大活动和各类创建活动、检查、测评、调研活动期间应无条件配合做好相关保障工作，因工作开展不力被扣考核分1分以上的，扣当月下拨保洁经费10000—20000元；造成严重负面影响的，县环卫指导中心可单方面终止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仿宋_GB2312"/>
          <w:szCs w:val="21"/>
        </w:rPr>
      </w:pPr>
      <w:r>
        <w:rPr>
          <w:rFonts w:hint="eastAsia" w:ascii="宋体" w:hAnsi="宋体" w:cs="仿宋_GB2312"/>
          <w:szCs w:val="21"/>
        </w:rPr>
        <w:t>本办法由考核督导科负责解释，自正式发文之日起施行。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p>
    <w:p>
      <w:pPr>
        <w:pStyle w:val="212"/>
        <w:ind w:left="0" w:leftChars="0" w:firstLine="0" w:firstLineChars="0"/>
        <w:rPr>
          <w:rFonts w:hint="eastAsia" w:ascii="宋体" w:hAnsi="宋体" w:eastAsia="宋体" w:cs="宋体"/>
          <w:color w:val="auto"/>
          <w:highlight w:val="none"/>
        </w:rPr>
      </w:pPr>
    </w:p>
    <w:p>
      <w:pPr>
        <w:pStyle w:val="212"/>
        <w:rPr>
          <w:rFonts w:hint="eastAsia" w:ascii="宋体" w:hAnsi="宋体" w:eastAsia="宋体" w:cs="宋体"/>
          <w:color w:val="auto"/>
          <w:highlight w:val="none"/>
        </w:rPr>
      </w:pPr>
    </w:p>
    <w:p>
      <w:pPr>
        <w:pStyle w:val="212"/>
        <w:rPr>
          <w:rFonts w:hint="eastAsia" w:ascii="宋体" w:hAnsi="宋体" w:eastAsia="宋体" w:cs="宋体"/>
          <w:color w:val="auto"/>
          <w:highlight w:val="none"/>
        </w:rPr>
        <w:sectPr>
          <w:headerReference r:id="rId6" w:type="default"/>
          <w:footerReference r:id="rId7" w:type="default"/>
          <w:pgSz w:w="11906" w:h="16838"/>
          <w:pgMar w:top="1474" w:right="1797" w:bottom="1247" w:left="1797" w:header="851" w:footer="851" w:gutter="0"/>
          <w:pgNumType w:fmt="decimal" w:start="1"/>
          <w:cols w:space="720" w:num="1"/>
          <w:docGrid w:linePitch="312" w:charSpace="0"/>
        </w:sectPr>
      </w:pPr>
    </w:p>
    <w:p>
      <w:pPr>
        <w:autoSpaceDE w:val="0"/>
        <w:autoSpaceDN w:val="0"/>
        <w:spacing w:line="336" w:lineRule="auto"/>
        <w:jc w:val="center"/>
        <w:outlineLvl w:val="0"/>
        <w:rPr>
          <w:rFonts w:hint="eastAsia" w:ascii="宋体" w:hAnsi="宋体" w:eastAsia="宋体" w:cs="宋体"/>
          <w:b/>
          <w:bCs/>
          <w:color w:val="auto"/>
          <w:sz w:val="32"/>
          <w:szCs w:val="32"/>
          <w:highlight w:val="none"/>
        </w:rPr>
      </w:pPr>
      <w:bookmarkStart w:id="5" w:name="_Toc22162"/>
      <w:r>
        <w:rPr>
          <w:rFonts w:hint="eastAsia" w:ascii="宋体" w:hAnsi="宋体" w:eastAsia="宋体" w:cs="宋体"/>
          <w:b/>
          <w:color w:val="auto"/>
          <w:sz w:val="32"/>
          <w:szCs w:val="32"/>
          <w:highlight w:val="none"/>
        </w:rPr>
        <w:t>第三章  供应商须知</w:t>
      </w:r>
      <w:bookmarkEnd w:id="5"/>
    </w:p>
    <w:p>
      <w:pPr>
        <w:spacing w:line="336" w:lineRule="auto"/>
        <w:jc w:val="center"/>
        <w:rPr>
          <w:rFonts w:hint="eastAsia" w:ascii="宋体" w:hAnsi="宋体" w:eastAsia="宋体" w:cs="宋体"/>
          <w:b/>
          <w:bCs/>
          <w:color w:val="auto"/>
          <w:sz w:val="44"/>
          <w:szCs w:val="32"/>
          <w:highlight w:val="none"/>
        </w:rPr>
      </w:pPr>
      <w:bookmarkStart w:id="6" w:name="_Toc1665"/>
      <w:r>
        <w:rPr>
          <w:rFonts w:hint="eastAsia" w:ascii="宋体" w:hAnsi="宋体" w:eastAsia="宋体" w:cs="宋体"/>
          <w:b/>
          <w:color w:val="auto"/>
          <w:sz w:val="28"/>
          <w:szCs w:val="28"/>
          <w:highlight w:val="none"/>
        </w:rPr>
        <w:t>前 附 表</w:t>
      </w:r>
      <w:bookmarkEnd w:id="6"/>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7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投标报价及费用：</w:t>
            </w:r>
          </w:p>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1）本项目投标应以人民币报价</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2）本项目采购预算：详见第一章《公开招标采购公告》；投标总价超过采购预算（最高限价）</w:t>
            </w:r>
            <w:r>
              <w:rPr>
                <w:rFonts w:hint="eastAsia" w:ascii="宋体" w:hAnsi="宋体" w:cs="宋体"/>
                <w:color w:val="auto"/>
                <w:szCs w:val="21"/>
                <w:highlight w:val="none"/>
                <w:lang w:eastAsia="zh-CN"/>
              </w:rPr>
              <w:t>和年度最高限价的</w:t>
            </w:r>
            <w:r>
              <w:rPr>
                <w:rFonts w:hint="eastAsia" w:ascii="宋体" w:hAnsi="宋体" w:eastAsia="宋体" w:cs="宋体"/>
                <w:color w:val="auto"/>
                <w:szCs w:val="21"/>
                <w:highlight w:val="none"/>
              </w:rPr>
              <w:t>，作无效标处理。</w:t>
            </w:r>
          </w:p>
          <w:p>
            <w:pPr>
              <w:pStyle w:val="1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供应商须报出一年报价及三年的投标总价，包含但不限于完成本项目服务内容可能发生的各项费用，应包含人工费用【包含人员基本工资、各类福利和补贴（如高温补贴、加班补贴等）、社保（五金）、各种保险】、安全文明生产装备费（环卫工人手套、</w:t>
            </w:r>
            <w:r>
              <w:rPr>
                <w:rFonts w:hint="eastAsia" w:ascii="宋体" w:hAnsi="宋体" w:cs="宋体"/>
                <w:color w:val="auto"/>
                <w:szCs w:val="21"/>
                <w:highlight w:val="none"/>
                <w:lang w:val="en-US" w:eastAsia="zh-CN"/>
              </w:rPr>
              <w:t>雨鞋</w:t>
            </w:r>
            <w:r>
              <w:rPr>
                <w:rFonts w:hint="eastAsia" w:ascii="宋体" w:hAnsi="宋体" w:eastAsia="宋体" w:cs="宋体"/>
                <w:color w:val="auto"/>
                <w:szCs w:val="21"/>
                <w:highlight w:val="none"/>
                <w:lang w:val="en-US" w:eastAsia="zh-CN"/>
              </w:rPr>
              <w:t>等劳保品）、人员所用作业工具等各类耗材费、车辆运行费用（含车辆租赁或购置费、保险费、年审、路桥费、停车场租赁费、水电费、油料费、维修及配件更换等费用）、管理费（包括管理人员工资、人员培训费、安全生产专项管理经费、其他管理费）、突击检查等特殊时期的应急保障费用等保洁服务范围内的所有费用。</w:t>
            </w:r>
          </w:p>
          <w:p>
            <w:pPr>
              <w:pStyle w:val="1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4）不论投标结果如何，供应商均应自行承担所有与投标有关的全部费用。</w:t>
            </w:r>
          </w:p>
          <w:p>
            <w:pPr>
              <w:pStyle w:val="19"/>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Cs w:val="21"/>
                <w:highlight w:val="none"/>
                <w:lang w:val="en-US" w:eastAsia="zh-CN"/>
              </w:rPr>
              <w:t>5）招标代理服务费的收取标准：</w:t>
            </w:r>
            <w:r>
              <w:rPr>
                <w:rFonts w:hint="eastAsia" w:ascii="宋体" w:hAnsi="宋体" w:eastAsia="宋体" w:cs="宋体"/>
                <w:color w:val="auto"/>
                <w:sz w:val="21"/>
                <w:szCs w:val="21"/>
                <w:highlight w:val="none"/>
                <w:lang w:bidi="ar"/>
              </w:rPr>
              <w:t>采购代理机构按下表中</w:t>
            </w:r>
            <w:r>
              <w:rPr>
                <w:rFonts w:hint="eastAsia" w:ascii="宋体" w:hAnsi="宋体" w:cs="宋体"/>
                <w:color w:val="auto"/>
                <w:sz w:val="21"/>
                <w:szCs w:val="21"/>
                <w:highlight w:val="none"/>
                <w:lang w:val="en-US" w:eastAsia="zh-CN" w:bidi="ar"/>
              </w:rPr>
              <w:t>服务</w:t>
            </w:r>
            <w:r>
              <w:rPr>
                <w:rFonts w:hint="eastAsia" w:ascii="宋体" w:hAnsi="宋体" w:eastAsia="宋体" w:cs="宋体"/>
                <w:color w:val="auto"/>
                <w:sz w:val="21"/>
                <w:szCs w:val="21"/>
                <w:highlight w:val="none"/>
                <w:lang w:bidi="ar"/>
              </w:rPr>
              <w:t>招标的标准</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以中标通知书确定的</w:t>
            </w:r>
            <w:r>
              <w:rPr>
                <w:rFonts w:hint="eastAsia" w:ascii="宋体" w:hAnsi="宋体" w:cs="宋体"/>
                <w:color w:val="auto"/>
                <w:sz w:val="21"/>
                <w:szCs w:val="21"/>
                <w:highlight w:val="none"/>
                <w:lang w:val="en-US" w:eastAsia="zh-CN" w:bidi="ar"/>
              </w:rPr>
              <w:t>三年</w:t>
            </w:r>
            <w:r>
              <w:rPr>
                <w:rFonts w:hint="eastAsia" w:ascii="宋体" w:hAnsi="宋体" w:eastAsia="宋体" w:cs="宋体"/>
                <w:color w:val="auto"/>
                <w:sz w:val="21"/>
                <w:szCs w:val="21"/>
                <w:highlight w:val="none"/>
                <w:lang w:val="en-US" w:eastAsia="zh-CN" w:bidi="ar"/>
              </w:rPr>
              <w:t>中标总金额为基准</w:t>
            </w:r>
            <w:r>
              <w:rPr>
                <w:rFonts w:hint="eastAsia" w:ascii="宋体" w:hAnsi="宋体" w:eastAsia="宋体" w:cs="宋体"/>
                <w:color w:val="auto"/>
                <w:sz w:val="21"/>
                <w:szCs w:val="21"/>
                <w:highlight w:val="none"/>
                <w:lang w:bidi="ar"/>
              </w:rPr>
              <w:t>，向中标</w:t>
            </w:r>
            <w:r>
              <w:rPr>
                <w:rFonts w:hint="eastAsia" w:ascii="宋体" w:hAnsi="宋体" w:eastAsia="宋体" w:cs="宋体"/>
                <w:color w:val="auto"/>
                <w:sz w:val="21"/>
                <w:szCs w:val="21"/>
                <w:highlight w:val="none"/>
                <w:lang w:val="en-US" w:eastAsia="zh-CN" w:bidi="ar"/>
              </w:rPr>
              <w:t>人</w:t>
            </w:r>
            <w:r>
              <w:rPr>
                <w:rFonts w:hint="eastAsia" w:ascii="宋体" w:hAnsi="宋体" w:eastAsia="宋体" w:cs="宋体"/>
                <w:color w:val="auto"/>
                <w:sz w:val="21"/>
                <w:szCs w:val="21"/>
                <w:highlight w:val="none"/>
                <w:lang w:bidi="ar"/>
              </w:rPr>
              <w:t>收取</w:t>
            </w:r>
            <w:r>
              <w:rPr>
                <w:rFonts w:hint="eastAsia" w:ascii="宋体" w:hAnsi="宋体" w:eastAsia="宋体" w:cs="宋体"/>
                <w:color w:val="auto"/>
                <w:sz w:val="21"/>
                <w:szCs w:val="21"/>
                <w:highlight w:val="none"/>
                <w:lang w:eastAsia="zh-CN" w:bidi="ar"/>
              </w:rPr>
              <w:t>招标代理服务费</w:t>
            </w:r>
            <w:r>
              <w:rPr>
                <w:rFonts w:hint="eastAsia" w:ascii="宋体" w:hAnsi="宋体" w:eastAsia="宋体" w:cs="宋体"/>
                <w:color w:val="auto"/>
                <w:sz w:val="21"/>
                <w:szCs w:val="21"/>
                <w:highlight w:val="none"/>
                <w:lang w:bidi="ar"/>
              </w:rPr>
              <w:t>。</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753"/>
              <w:gridCol w:w="1241"/>
              <w:gridCol w:w="1241"/>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9" w:hRule="atLeast"/>
                <w:jc w:val="center"/>
              </w:trPr>
              <w:tc>
                <w:tcPr>
                  <w:tcW w:w="3753"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15300" to="30000">
                          <wpsCustomData:border w:val="single" w:color="auto" w:sz="4" w:space="0"/>
                        </wpsCustomData:diagonal>
                        <wpsCustomData:diagonal from="10000" to="30000">
                          <wpsCustomData:border w:val="single" w:color="auto" w:sz="4" w:space="0"/>
                        </wpsCustomData:diagonal>
                      </wpsCustomData:diagonals>
                    </mc:Choice>
                  </mc:AlternateContent>
                </w:tcPr>
                <w:p>
                  <w:pPr>
                    <w:pStyle w:val="19"/>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宋体" w:hAnsi="宋体" w:eastAsia="宋体" w:cs="宋体"/>
                      <w:color w:val="auto"/>
                      <w:sz w:val="21"/>
                      <w:szCs w:val="21"/>
                      <w:highlight w:val="none"/>
                      <w:lang w:bidi="ar"/>
                    </w:rPr>
                  </w:pPr>
                </w:p>
                <w:p>
                  <w:pPr>
                    <w:pStyle w:val="19"/>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mc:AlternateContent>
                      <mc:Choice Requires="wpsCustomData">
                        <wpsCustomData:diagonalParaType/>
                      </mc:Choice>
                    </mc:AlternateConten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金额（万元）</w:t>
                  </w:r>
                </w:p>
                <w:p>
                  <w:pPr>
                    <w:pStyle w:val="19"/>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mc:AlternateContent>
                      <mc:Choice Requires="wpsCustomData">
                        <wpsCustomData:diagonalParaType/>
                      </mc:Choice>
                    </mc:AlternateConten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bidi="ar"/>
                    </w:rPr>
                    <w:t>费率</w:t>
                  </w:r>
                </w:p>
                <w:p>
                  <w:pPr>
                    <w:pStyle w:val="19"/>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服务类</w:t>
                  </w:r>
                  <w:r>
                    <w:rPr>
                      <w:rFonts w:hint="eastAsia" w:ascii="宋体" w:hAnsi="宋体" w:eastAsia="宋体" w:cs="宋体"/>
                      <w:color w:val="auto"/>
                      <w:sz w:val="21"/>
                      <w:szCs w:val="21"/>
                      <w:highlight w:val="none"/>
                      <w:lang w:val="en-US" w:eastAsia="zh-CN" w:bidi="ar"/>
                    </w:rPr>
                    <w:t>型</w:t>
                  </w:r>
                </w:p>
              </w:tc>
              <w:tc>
                <w:tcPr>
                  <w:tcW w:w="1241"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货物招标</w:t>
                  </w:r>
                </w:p>
              </w:tc>
              <w:tc>
                <w:tcPr>
                  <w:tcW w:w="1241"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服务招标</w:t>
                  </w:r>
                </w:p>
              </w:tc>
              <w:tc>
                <w:tcPr>
                  <w:tcW w:w="1243"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753"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100以下</w:t>
                  </w:r>
                </w:p>
              </w:tc>
              <w:tc>
                <w:tcPr>
                  <w:tcW w:w="1241"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1.5%</w:t>
                  </w:r>
                </w:p>
              </w:tc>
              <w:tc>
                <w:tcPr>
                  <w:tcW w:w="1241"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1.5%</w:t>
                  </w:r>
                </w:p>
              </w:tc>
              <w:tc>
                <w:tcPr>
                  <w:tcW w:w="1243"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753"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100-500</w:t>
                  </w:r>
                </w:p>
              </w:tc>
              <w:tc>
                <w:tcPr>
                  <w:tcW w:w="1241"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1.1%</w:t>
                  </w:r>
                </w:p>
              </w:tc>
              <w:tc>
                <w:tcPr>
                  <w:tcW w:w="1241"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0.8%</w:t>
                  </w:r>
                </w:p>
              </w:tc>
              <w:tc>
                <w:tcPr>
                  <w:tcW w:w="1243"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753"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500-1000</w:t>
                  </w:r>
                </w:p>
              </w:tc>
              <w:tc>
                <w:tcPr>
                  <w:tcW w:w="1241"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0.8%</w:t>
                  </w:r>
                </w:p>
              </w:tc>
              <w:tc>
                <w:tcPr>
                  <w:tcW w:w="1241"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0.45%</w:t>
                  </w:r>
                </w:p>
              </w:tc>
              <w:tc>
                <w:tcPr>
                  <w:tcW w:w="1243"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753"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1000-5000</w:t>
                  </w:r>
                </w:p>
              </w:tc>
              <w:tc>
                <w:tcPr>
                  <w:tcW w:w="1241"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0.5%</w:t>
                  </w:r>
                </w:p>
              </w:tc>
              <w:tc>
                <w:tcPr>
                  <w:tcW w:w="1241"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0.25%</w:t>
                  </w:r>
                </w:p>
              </w:tc>
              <w:tc>
                <w:tcPr>
                  <w:tcW w:w="1243"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753"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5000-10000</w:t>
                  </w:r>
                </w:p>
              </w:tc>
              <w:tc>
                <w:tcPr>
                  <w:tcW w:w="1241"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0.25%</w:t>
                  </w:r>
                </w:p>
              </w:tc>
              <w:tc>
                <w:tcPr>
                  <w:tcW w:w="1241"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0.1%</w:t>
                  </w:r>
                </w:p>
              </w:tc>
              <w:tc>
                <w:tcPr>
                  <w:tcW w:w="1243"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3753"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1亿～5亿</w:t>
                  </w:r>
                </w:p>
              </w:tc>
              <w:tc>
                <w:tcPr>
                  <w:tcW w:w="1241"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0.05%</w:t>
                  </w:r>
                </w:p>
              </w:tc>
              <w:tc>
                <w:tcPr>
                  <w:tcW w:w="1241"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0.05%</w:t>
                  </w:r>
                </w:p>
              </w:tc>
              <w:tc>
                <w:tcPr>
                  <w:tcW w:w="1243" w:type="dxa"/>
                  <w:noWrap w:val="0"/>
                  <w:tcMar>
                    <w:top w:w="30" w:type="dxa"/>
                    <w:left w:w="150" w:type="dxa"/>
                    <w:bottom w:w="30" w:type="dxa"/>
                    <w:right w:w="150" w:type="dxa"/>
                  </w:tcMar>
                  <w:vAlign w:val="center"/>
                </w:tcPr>
                <w:p>
                  <w:pPr>
                    <w:pStyle w:val="19"/>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0.05%</w:t>
                  </w:r>
                </w:p>
              </w:tc>
            </w:tr>
          </w:tbl>
          <w:p>
            <w:pPr>
              <w:pStyle w:val="19"/>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备注：（1）中标服务费只收现金、银行票汇款、电汇款。（2）中标人接到本公司通知后5个工作日内向本采购代理机构领取中标通知书（根据中标人需求可采用邮寄或到采购代理机构现场领取）。</w:t>
            </w:r>
          </w:p>
          <w:p>
            <w:pPr>
              <w:pStyle w:val="1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开户银行：宁波银行股份有限公司鄞州中心区支行</w:t>
            </w:r>
          </w:p>
          <w:p>
            <w:pPr>
              <w:pStyle w:val="1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账号：30010122001229488</w:t>
            </w:r>
          </w:p>
          <w:p>
            <w:pPr>
              <w:pStyle w:val="1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户名：浙江中基正采管理咨询有限公司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24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投标文件组成与份数：</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24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（1）上传到政府采购云平台的电子投标文件（含资格文件、商务技术文件、报价文件）1份。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24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（2）以U盘存储的电子备份投标文件（含资格文件、商务技术文件、报价文件）1份。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4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评标结果公示</w:t>
            </w:r>
            <w:r>
              <w:rPr>
                <w:rFonts w:hint="eastAsia" w:ascii="宋体" w:hAnsi="宋体" w:eastAsia="宋体" w:cs="宋体"/>
                <w:color w:val="auto"/>
                <w:szCs w:val="21"/>
                <w:highlight w:val="none"/>
                <w:lang w:val="en-US" w:eastAsia="zh-CN"/>
              </w:rPr>
              <w:t>媒体</w:t>
            </w:r>
            <w:r>
              <w:rPr>
                <w:rFonts w:hint="eastAsia" w:ascii="宋体" w:hAnsi="宋体" w:eastAsia="宋体" w:cs="宋体"/>
                <w:color w:val="auto"/>
                <w:szCs w:val="21"/>
                <w:highlight w:val="none"/>
              </w:rPr>
              <w:t>：浙江政府采购网、宁波市政府采购网、宁波市公共资源交易网</w:t>
            </w:r>
            <w:r>
              <w:rPr>
                <w:rFonts w:hint="eastAsia" w:ascii="宋体" w:hAnsi="宋体" w:eastAsia="宋体" w:cs="宋体"/>
                <w:color w:val="auto"/>
                <w:szCs w:val="21"/>
                <w:highlight w:val="none"/>
                <w:lang w:val="en-US" w:eastAsia="zh-CN"/>
              </w:rPr>
              <w:t>象山</w:t>
            </w:r>
            <w:r>
              <w:rPr>
                <w:rFonts w:hint="eastAsia" w:ascii="宋体" w:hAnsi="宋体" w:eastAsia="宋体" w:cs="宋体"/>
                <w:color w:val="auto"/>
                <w:szCs w:val="21"/>
                <w:highlight w:val="none"/>
              </w:rPr>
              <w:t>县分网、浙江中基正采管理咨询有限公司网等网站。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4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签订合同时间：中标通知书发出后</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4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采购资金来源：财政资金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5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beforeLines="0" w:afterLines="0"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4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Lines="0" w:afterLines="0" w:line="240" w:lineRule="auto"/>
              <w:jc w:val="left"/>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解释：本</w:t>
            </w:r>
            <w:r>
              <w:rPr>
                <w:rFonts w:hint="eastAsia" w:ascii="宋体" w:hAnsi="宋体" w:cs="宋体"/>
                <w:b/>
                <w:bCs/>
                <w:color w:val="auto"/>
                <w:szCs w:val="21"/>
                <w:highlight w:val="none"/>
                <w:lang w:eastAsia="zh-CN"/>
              </w:rPr>
              <w:t>招标文件</w:t>
            </w:r>
            <w:r>
              <w:rPr>
                <w:rFonts w:hint="eastAsia" w:ascii="宋体" w:hAnsi="宋体" w:eastAsia="宋体" w:cs="宋体"/>
                <w:b/>
                <w:bCs/>
                <w:color w:val="auto"/>
                <w:szCs w:val="21"/>
                <w:highlight w:val="none"/>
              </w:rPr>
              <w:t>的解释权属于招标采购单位。</w:t>
            </w:r>
          </w:p>
        </w:tc>
      </w:tr>
    </w:tbl>
    <w:p>
      <w:pPr>
        <w:pStyle w:val="3"/>
        <w:spacing w:before="0" w:beforeLines="0" w:after="0" w:afterLines="0" w:line="240" w:lineRule="auto"/>
        <w:rPr>
          <w:rFonts w:hint="eastAsia" w:ascii="宋体" w:hAnsi="宋体" w:eastAsia="宋体" w:cs="宋体"/>
          <w:color w:val="auto"/>
          <w:highlight w:val="none"/>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13" w:firstLineChars="196"/>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一、总  则</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bookmarkStart w:id="7" w:name="_Toc1476"/>
      <w:r>
        <w:rPr>
          <w:rFonts w:hint="eastAsia" w:ascii="宋体" w:hAnsi="宋体" w:eastAsia="宋体" w:cs="宋体"/>
          <w:b/>
          <w:color w:val="auto"/>
          <w:szCs w:val="21"/>
          <w:highlight w:val="none"/>
        </w:rPr>
        <w:t>（一） 适用范围</w:t>
      </w:r>
      <w:bookmarkEnd w:id="7"/>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适用于本项目的招标、投标、评标、定标、验收、合同履约、付款等行为（法律、法规另有规定的，从其规定）。</w:t>
      </w:r>
    </w:p>
    <w:p>
      <w:pPr>
        <w:keepNext w:val="0"/>
        <w:keepLines w:val="0"/>
        <w:pageBreakBefore w:val="0"/>
        <w:widowControl w:val="0"/>
        <w:kinsoku/>
        <w:wordWrap/>
        <w:overflowPunct/>
        <w:topLinePunct w:val="0"/>
        <w:autoSpaceDE/>
        <w:autoSpaceDN/>
        <w:bidi w:val="0"/>
        <w:adjustRightInd/>
        <w:snapToGrid/>
        <w:spacing w:line="348" w:lineRule="auto"/>
        <w:ind w:left="0" w:leftChars="0" w:firstLine="310" w:firstLineChars="147"/>
        <w:jc w:val="left"/>
        <w:textAlignment w:val="auto"/>
        <w:rPr>
          <w:rFonts w:hint="eastAsia" w:ascii="宋体" w:hAnsi="宋体" w:eastAsia="宋体" w:cs="宋体"/>
          <w:b/>
          <w:color w:val="auto"/>
          <w:szCs w:val="21"/>
          <w:highlight w:val="none"/>
        </w:rPr>
      </w:pPr>
      <w:bookmarkStart w:id="8" w:name="_Toc7571"/>
      <w:r>
        <w:rPr>
          <w:rFonts w:hint="eastAsia" w:ascii="宋体" w:hAnsi="宋体" w:eastAsia="宋体" w:cs="宋体"/>
          <w:b/>
          <w:color w:val="auto"/>
          <w:szCs w:val="21"/>
          <w:highlight w:val="none"/>
        </w:rPr>
        <w:t>（二）定义</w:t>
      </w:r>
      <w:bookmarkEnd w:id="8"/>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1.“招标采购单位”系指组织本次招标的采购代理机构和采购人。</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2.“供应商”系指向采购人提交投标文件的单位或个人。</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3.“产品”系指供应商按</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规定，须向采购人提供的一切设备、保险、税金、备品备件、工具、手册及其它有关技术资料和材料。</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4.“服务”系指</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规定供应商须承担的安装、调试、技术协助、校准、培训、技术指导以及其他类似的义务。</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5.“项目”系指供应商按</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规定向采购人提供的产品和服务。</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bookmarkStart w:id="9" w:name="_Toc20685"/>
      <w:r>
        <w:rPr>
          <w:rFonts w:hint="eastAsia" w:ascii="宋体" w:hAnsi="宋体" w:eastAsia="宋体" w:cs="宋体"/>
          <w:color w:val="auto"/>
          <w:szCs w:val="21"/>
          <w:highlight w:val="none"/>
        </w:rPr>
        <w:t>6、“书面形式”包括信函、传真、电函等。</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7、“★”系指实质性要求条款，供应商的投标对任何带“★”号的重要商务和技术条款的偏离和未作实质性响应都将直接导致投标无效。</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（三）招标方式</w:t>
      </w:r>
      <w:bookmarkEnd w:id="9"/>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本次招标采用公开招标方式进行。</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bookmarkStart w:id="10" w:name="_Toc21721"/>
      <w:bookmarkStart w:id="11" w:name="_Toc1659"/>
      <w:r>
        <w:rPr>
          <w:rFonts w:hint="eastAsia" w:ascii="宋体" w:hAnsi="宋体" w:eastAsia="宋体" w:cs="宋体"/>
          <w:b/>
          <w:color w:val="auto"/>
          <w:szCs w:val="21"/>
          <w:highlight w:val="none"/>
        </w:rPr>
        <w:t>（四）投标委托</w:t>
      </w:r>
      <w:bookmarkEnd w:id="10"/>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如供应派授权代表出席开标会议，授权代表须携带有效身份证件。如供应商代表不是法定代表人，须有法定代表人出具的授权委托书（正本用原件，副本用复印件，格式见第六章）。</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（五）投标费用</w:t>
      </w:r>
      <w:bookmarkEnd w:id="11"/>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不论投标结果如何，供应商均应自行承担所有与投标有关的全部费用（</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有其他规定除外）。</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（六）联合体投标</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本项目允许联合体投标。</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（七）</w:t>
      </w:r>
      <w:r>
        <w:rPr>
          <w:rFonts w:hint="eastAsia" w:ascii="宋体" w:hAnsi="宋体" w:eastAsia="宋体" w:cs="宋体"/>
          <w:b/>
          <w:color w:val="auto"/>
          <w:kern w:val="0"/>
          <w:szCs w:val="21"/>
          <w:highlight w:val="none"/>
        </w:rPr>
        <w:t>转包与分包</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11" w:firstLineChars="196"/>
        <w:textAlignment w:val="auto"/>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本项目不允许转包</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未经采购人允许，不得分包</w:t>
      </w:r>
      <w:r>
        <w:rPr>
          <w:rFonts w:hint="eastAsia" w:ascii="宋体" w:hAnsi="宋体" w:eastAsia="宋体" w:cs="宋体"/>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bookmarkStart w:id="12" w:name="_Toc13174"/>
      <w:r>
        <w:rPr>
          <w:rFonts w:hint="eastAsia" w:ascii="宋体" w:hAnsi="宋体" w:eastAsia="宋体" w:cs="宋体"/>
          <w:b/>
          <w:color w:val="auto"/>
          <w:szCs w:val="21"/>
          <w:highlight w:val="none"/>
        </w:rPr>
        <w:t>（八）特别说明：</w:t>
      </w:r>
      <w:bookmarkEnd w:id="12"/>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1、提供相同品牌产品且通过资格审查、符合性审查的不同供应商参加同一合同项下投标的，按一家供应商计算。(如适用)</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若采用综合评分法进行评审的，评审后得分最高的同品牌供应商获得中标人推荐资格；评审得分相同的，由评标委员会按照</w:t>
      </w:r>
      <w:r>
        <w:rPr>
          <w:rFonts w:hint="eastAsia" w:hAnsi="宋体" w:cs="宋体"/>
          <w:bCs/>
          <w:color w:val="auto"/>
          <w:highlight w:val="none"/>
          <w:lang w:eastAsia="zh-CN"/>
        </w:rPr>
        <w:t>招标文件</w:t>
      </w:r>
      <w:r>
        <w:rPr>
          <w:rFonts w:hint="eastAsia" w:ascii="宋体" w:hAnsi="宋体" w:eastAsia="宋体" w:cs="宋体"/>
          <w:bCs/>
          <w:color w:val="auto"/>
          <w:highlight w:val="none"/>
        </w:rPr>
        <w:t>规定的方式确定一个供应商获得中标人的推荐资格，</w:t>
      </w:r>
      <w:r>
        <w:rPr>
          <w:rFonts w:hint="eastAsia" w:hAnsi="宋体" w:cs="宋体"/>
          <w:bCs/>
          <w:color w:val="auto"/>
          <w:highlight w:val="none"/>
          <w:lang w:eastAsia="zh-CN"/>
        </w:rPr>
        <w:t>招标文件</w:t>
      </w:r>
      <w:r>
        <w:rPr>
          <w:rFonts w:hint="eastAsia" w:ascii="宋体" w:hAnsi="宋体" w:eastAsia="宋体" w:cs="宋体"/>
          <w:bCs/>
          <w:color w:val="auto"/>
          <w:highlight w:val="none"/>
        </w:rPr>
        <w:t>未规定的采取随机抽取的方式确定，其他同品牌供应商不作为中标候选人。</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若采用最低评标价法进行评审的，以报价最低的供应商参加评审，报价相同的，由评标委员会按照</w:t>
      </w:r>
      <w:r>
        <w:rPr>
          <w:rFonts w:hint="eastAsia" w:hAnsi="宋体" w:cs="宋体"/>
          <w:bCs/>
          <w:color w:val="auto"/>
          <w:highlight w:val="none"/>
          <w:lang w:eastAsia="zh-CN"/>
        </w:rPr>
        <w:t>招标文件</w:t>
      </w:r>
      <w:r>
        <w:rPr>
          <w:rFonts w:hint="eastAsia" w:ascii="宋体" w:hAnsi="宋体" w:eastAsia="宋体" w:cs="宋体"/>
          <w:bCs/>
          <w:color w:val="auto"/>
          <w:highlight w:val="none"/>
        </w:rPr>
        <w:t>规定的方式确定一个供应商获得中标人的推荐资格，</w:t>
      </w:r>
      <w:r>
        <w:rPr>
          <w:rFonts w:hint="eastAsia" w:hAnsi="宋体" w:cs="宋体"/>
          <w:bCs/>
          <w:color w:val="auto"/>
          <w:highlight w:val="none"/>
          <w:lang w:eastAsia="zh-CN"/>
        </w:rPr>
        <w:t>招标文件</w:t>
      </w:r>
      <w:r>
        <w:rPr>
          <w:rFonts w:hint="eastAsia" w:ascii="宋体" w:hAnsi="宋体" w:eastAsia="宋体" w:cs="宋体"/>
          <w:bCs/>
          <w:color w:val="auto"/>
          <w:highlight w:val="none"/>
        </w:rPr>
        <w:t>未规定的采取随机抽取的方式确定，其他投标无效。</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非单一产品采购项目，供应商使用相同制造产品（相同制造产品是指</w:t>
      </w:r>
      <w:r>
        <w:rPr>
          <w:rFonts w:hint="eastAsia" w:hAnsi="宋体" w:cs="宋体"/>
          <w:bCs/>
          <w:color w:val="auto"/>
          <w:highlight w:val="none"/>
          <w:lang w:eastAsia="zh-CN"/>
        </w:rPr>
        <w:t>招标文件</w:t>
      </w:r>
      <w:r>
        <w:rPr>
          <w:rFonts w:hint="eastAsia" w:ascii="宋体" w:hAnsi="宋体" w:eastAsia="宋体" w:cs="宋体"/>
          <w:bCs/>
          <w:color w:val="auto"/>
          <w:highlight w:val="none"/>
        </w:rPr>
        <w:t>中指定的“核心产品”）作为其项目的一部分，按一家供应商认定。</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2、供应商在投标活动中提供任何虚假材料,其投标无效，并报监管部门查处；中标后发现的,中标人须依照相关规定赔偿采购人，且民事赔偿并不免除违法供应商的行政与刑事责任。</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hAnsi="宋体" w:cs="宋体"/>
          <w:bCs/>
          <w:color w:val="auto"/>
          <w:highlight w:val="none"/>
          <w:lang w:eastAsia="zh-CN"/>
        </w:rPr>
        <w:t>招标文件</w:t>
      </w:r>
      <w:r>
        <w:rPr>
          <w:rFonts w:hint="eastAsia" w:ascii="宋体" w:hAnsi="宋体" w:eastAsia="宋体" w:cs="宋体"/>
          <w:bCs/>
          <w:color w:val="auto"/>
          <w:highlight w:val="none"/>
        </w:rPr>
        <w:t xml:space="preserve">的澄清与修改 </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（1）采购人或者采购代理机构对</w:t>
      </w:r>
      <w:r>
        <w:rPr>
          <w:rFonts w:hint="eastAsia" w:hAnsi="宋体" w:cs="宋体"/>
          <w:bCs/>
          <w:color w:val="auto"/>
          <w:highlight w:val="none"/>
          <w:lang w:eastAsia="zh-CN"/>
        </w:rPr>
        <w:t>招标文件</w:t>
      </w:r>
      <w:r>
        <w:rPr>
          <w:rFonts w:hint="eastAsia" w:ascii="宋体" w:hAnsi="宋体" w:eastAsia="宋体" w:cs="宋体"/>
          <w:bCs/>
          <w:color w:val="auto"/>
          <w:highlight w:val="none"/>
        </w:rPr>
        <w:t>进行必要的澄清或者修改的，澄清或者修改在原公告发布媒体上发布澄清公告。澄清或者修改的内容可能影响投标文件编制的，澄清公告</w:t>
      </w:r>
      <w:r>
        <w:rPr>
          <w:rFonts w:hint="eastAsia" w:ascii="宋体" w:hAnsi="宋体" w:eastAsia="宋体" w:cs="宋体"/>
          <w:color w:val="auto"/>
          <w:kern w:val="1"/>
          <w:highlight w:val="none"/>
        </w:rPr>
        <w:t>在投标截止时间至少15日前发出；</w:t>
      </w:r>
      <w:r>
        <w:rPr>
          <w:rFonts w:hint="eastAsia" w:ascii="宋体" w:hAnsi="宋体" w:eastAsia="宋体" w:cs="宋体"/>
          <w:bCs/>
          <w:color w:val="auto"/>
          <w:highlight w:val="none"/>
        </w:rPr>
        <w:t>不足15日的，顺延提交投标文件的截止时间。</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（2）澄清公告为</w:t>
      </w:r>
      <w:r>
        <w:rPr>
          <w:rFonts w:hint="eastAsia" w:hAnsi="宋体" w:cs="宋体"/>
          <w:bCs/>
          <w:color w:val="auto"/>
          <w:highlight w:val="none"/>
          <w:lang w:eastAsia="zh-CN"/>
        </w:rPr>
        <w:t>招标文件</w:t>
      </w:r>
      <w:r>
        <w:rPr>
          <w:rFonts w:hint="eastAsia" w:ascii="宋体" w:hAnsi="宋体" w:eastAsia="宋体" w:cs="宋体"/>
          <w:bCs/>
          <w:color w:val="auto"/>
          <w:highlight w:val="none"/>
        </w:rPr>
        <w:t>的组成部分，一经在网站发布，视同已通知所有</w:t>
      </w:r>
      <w:r>
        <w:rPr>
          <w:rFonts w:hint="eastAsia" w:hAnsi="宋体" w:cs="宋体"/>
          <w:bCs/>
          <w:color w:val="auto"/>
          <w:highlight w:val="none"/>
          <w:lang w:eastAsia="zh-CN"/>
        </w:rPr>
        <w:t>招标文件</w:t>
      </w:r>
      <w:r>
        <w:rPr>
          <w:rFonts w:hint="eastAsia" w:ascii="宋体" w:hAnsi="宋体" w:eastAsia="宋体" w:cs="宋体"/>
          <w:bCs/>
          <w:color w:val="auto"/>
          <w:highlight w:val="none"/>
        </w:rPr>
        <w:t>的收受人，不再采用其它方式传达相关信息, 若因未能及时了解到上述网站上发布的相关信息而导致的一切后果自行承担。</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hAnsi="宋体" w:cs="宋体"/>
          <w:bCs/>
          <w:color w:val="auto"/>
          <w:highlight w:val="none"/>
          <w:lang w:eastAsia="zh-CN"/>
        </w:rPr>
        <w:t>招标文件</w:t>
      </w:r>
      <w:r>
        <w:rPr>
          <w:rFonts w:hint="eastAsia" w:ascii="宋体" w:hAnsi="宋体" w:eastAsia="宋体" w:cs="宋体"/>
          <w:bCs/>
          <w:color w:val="auto"/>
          <w:highlight w:val="none"/>
        </w:rPr>
        <w:t>澄清、答复、修改、补充的内容为</w:t>
      </w:r>
      <w:r>
        <w:rPr>
          <w:rFonts w:hint="eastAsia" w:hAnsi="宋体" w:cs="宋体"/>
          <w:bCs/>
          <w:color w:val="auto"/>
          <w:highlight w:val="none"/>
          <w:lang w:eastAsia="zh-CN"/>
        </w:rPr>
        <w:t>招标文件</w:t>
      </w:r>
      <w:r>
        <w:rPr>
          <w:rFonts w:hint="eastAsia" w:ascii="宋体" w:hAnsi="宋体" w:eastAsia="宋体" w:cs="宋体"/>
          <w:bCs/>
          <w:color w:val="auto"/>
          <w:highlight w:val="none"/>
        </w:rPr>
        <w:t>的组成部分。当</w:t>
      </w:r>
      <w:r>
        <w:rPr>
          <w:rFonts w:hint="eastAsia" w:hAnsi="宋体" w:cs="宋体"/>
          <w:bCs/>
          <w:color w:val="auto"/>
          <w:highlight w:val="none"/>
          <w:lang w:eastAsia="zh-CN"/>
        </w:rPr>
        <w:t>招标文件</w:t>
      </w:r>
      <w:r>
        <w:rPr>
          <w:rFonts w:hint="eastAsia" w:ascii="宋体" w:hAnsi="宋体" w:eastAsia="宋体" w:cs="宋体"/>
          <w:bCs/>
          <w:color w:val="auto"/>
          <w:highlight w:val="none"/>
        </w:rPr>
        <w:t>与</w:t>
      </w:r>
      <w:r>
        <w:rPr>
          <w:rFonts w:hint="eastAsia" w:hAnsi="宋体" w:cs="宋体"/>
          <w:bCs/>
          <w:color w:val="auto"/>
          <w:highlight w:val="none"/>
          <w:lang w:eastAsia="zh-CN"/>
        </w:rPr>
        <w:t>招标文件</w:t>
      </w:r>
      <w:r>
        <w:rPr>
          <w:rFonts w:hint="eastAsia" w:ascii="宋体" w:hAnsi="宋体" w:eastAsia="宋体" w:cs="宋体"/>
          <w:bCs/>
          <w:color w:val="auto"/>
          <w:highlight w:val="none"/>
        </w:rPr>
        <w:t>的答复、澄清、修改、补充通知就同一内容的表述不一致时，以最后发出的澄清公告为准。</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（4）</w:t>
      </w:r>
      <w:r>
        <w:rPr>
          <w:rFonts w:hint="eastAsia" w:hAnsi="宋体" w:cs="宋体"/>
          <w:bCs/>
          <w:color w:val="auto"/>
          <w:highlight w:val="none"/>
          <w:lang w:eastAsia="zh-CN"/>
        </w:rPr>
        <w:t>招标文件</w:t>
      </w:r>
      <w:r>
        <w:rPr>
          <w:rFonts w:hint="eastAsia" w:ascii="宋体" w:hAnsi="宋体" w:eastAsia="宋体" w:cs="宋体"/>
          <w:bCs/>
          <w:color w:val="auto"/>
          <w:highlight w:val="none"/>
        </w:rPr>
        <w:t>的澄清、答复、修改或补充都应该通过本代理机构以法定形式发布，采购人非通过本机构，不得擅自澄清、答复、修改或补充</w:t>
      </w:r>
      <w:r>
        <w:rPr>
          <w:rFonts w:hint="eastAsia" w:hAnsi="宋体" w:cs="宋体"/>
          <w:bCs/>
          <w:color w:val="auto"/>
          <w:highlight w:val="none"/>
          <w:lang w:eastAsia="zh-CN"/>
        </w:rPr>
        <w:t>招标文件</w:t>
      </w:r>
      <w:r>
        <w:rPr>
          <w:rFonts w:hint="eastAsia" w:ascii="宋体" w:hAnsi="宋体" w:eastAsia="宋体" w:cs="宋体"/>
          <w:bCs/>
          <w:color w:val="auto"/>
          <w:highlight w:val="none"/>
        </w:rPr>
        <w:t>。</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4、关于分公司投标</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5、关于知识产权</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（2）投标报价应包含所有应向所有权人支付的专利权、商标权或其它知识产权的一切相关费用。</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（3）系统软件、通用软件必须是具有在中国境内的合法使用权或版权的正版软件，涉及到第三方提出侵权或知识产权的起诉及支付版税等费用由供应商承担所有责任及费用。</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6、供应商的风险</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（1）供应商应详细阅读</w:t>
      </w:r>
      <w:r>
        <w:rPr>
          <w:rFonts w:hint="eastAsia" w:hAnsi="宋体" w:cs="宋体"/>
          <w:bCs/>
          <w:color w:val="auto"/>
          <w:highlight w:val="none"/>
          <w:lang w:eastAsia="zh-CN"/>
        </w:rPr>
        <w:t>招标文件</w:t>
      </w:r>
      <w:r>
        <w:rPr>
          <w:rFonts w:hint="eastAsia" w:ascii="宋体" w:hAnsi="宋体" w:eastAsia="宋体" w:cs="宋体"/>
          <w:bCs/>
          <w:color w:val="auto"/>
          <w:highlight w:val="none"/>
        </w:rPr>
        <w:t>中的全部内容和要求，按照</w:t>
      </w:r>
      <w:r>
        <w:rPr>
          <w:rFonts w:hint="eastAsia" w:hAnsi="宋体" w:cs="宋体"/>
          <w:bCs/>
          <w:color w:val="auto"/>
          <w:highlight w:val="none"/>
          <w:lang w:eastAsia="zh-CN"/>
        </w:rPr>
        <w:t>招标文件</w:t>
      </w:r>
      <w:r>
        <w:rPr>
          <w:rFonts w:hint="eastAsia" w:ascii="宋体" w:hAnsi="宋体" w:eastAsia="宋体" w:cs="宋体"/>
          <w:bCs/>
          <w:color w:val="auto"/>
          <w:highlight w:val="none"/>
        </w:rPr>
        <w:t>的要求提交投标文件，没有按照</w:t>
      </w:r>
      <w:r>
        <w:rPr>
          <w:rFonts w:hint="eastAsia" w:hAnsi="宋体" w:cs="宋体"/>
          <w:bCs/>
          <w:color w:val="auto"/>
          <w:highlight w:val="none"/>
          <w:lang w:eastAsia="zh-CN"/>
        </w:rPr>
        <w:t>招标文件</w:t>
      </w:r>
      <w:r>
        <w:rPr>
          <w:rFonts w:hint="eastAsia" w:ascii="宋体" w:hAnsi="宋体" w:eastAsia="宋体" w:cs="宋体"/>
          <w:bCs/>
          <w:color w:val="auto"/>
          <w:highlight w:val="none"/>
        </w:rPr>
        <w:t>要求提供投标文件和资料导致的风险由供应商承担,并对所提供的全部资料的真实性承担法律责任。</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（2）无论因何种原因导致本次采购活动终止致供应商损失的，相关责任人均不承担任何责任。</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textAlignment w:val="auto"/>
        <w:rPr>
          <w:rFonts w:hint="eastAsia" w:ascii="宋体" w:hAnsi="宋体" w:eastAsia="宋体" w:cs="宋体"/>
          <w:b/>
          <w:color w:val="auto"/>
          <w:highlight w:val="none"/>
        </w:rPr>
      </w:pPr>
      <w:r>
        <w:rPr>
          <w:rFonts w:hint="eastAsia" w:ascii="宋体" w:hAnsi="宋体" w:eastAsia="宋体" w:cs="宋体"/>
          <w:bCs/>
          <w:color w:val="auto"/>
          <w:highlight w:val="none"/>
        </w:rPr>
        <w:t>7、解释：本</w:t>
      </w:r>
      <w:r>
        <w:rPr>
          <w:rFonts w:hint="eastAsia" w:hAnsi="宋体" w:cs="宋体"/>
          <w:bCs/>
          <w:color w:val="auto"/>
          <w:highlight w:val="none"/>
          <w:lang w:eastAsia="zh-CN"/>
        </w:rPr>
        <w:t>招标文件</w:t>
      </w:r>
      <w:r>
        <w:rPr>
          <w:rFonts w:hint="eastAsia" w:ascii="宋体" w:hAnsi="宋体" w:eastAsia="宋体" w:cs="宋体"/>
          <w:bCs/>
          <w:color w:val="auto"/>
          <w:highlight w:val="none"/>
        </w:rPr>
        <w:t>的解释权属于采购人。</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13" w:firstLineChars="196"/>
        <w:textAlignment w:val="auto"/>
        <w:rPr>
          <w:rFonts w:hint="eastAsia" w:ascii="宋体" w:hAnsi="宋体" w:eastAsia="宋体" w:cs="宋体"/>
          <w:b/>
          <w:bCs/>
          <w:color w:val="auto"/>
          <w:highlight w:val="none"/>
        </w:rPr>
      </w:pPr>
      <w:bookmarkStart w:id="13" w:name="_Toc13650"/>
      <w:r>
        <w:rPr>
          <w:rFonts w:hint="eastAsia" w:ascii="宋体" w:hAnsi="宋体" w:eastAsia="宋体" w:cs="宋体"/>
          <w:b/>
          <w:bCs/>
          <w:color w:val="auto"/>
          <w:highlight w:val="none"/>
        </w:rPr>
        <w:t>（九）质疑和投诉</w:t>
      </w:r>
      <w:bookmarkEnd w:id="13"/>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color w:val="auto"/>
          <w:highlight w:val="none"/>
        </w:rPr>
      </w:pPr>
      <w:bookmarkStart w:id="14" w:name="_Toc27142"/>
      <w:r>
        <w:rPr>
          <w:rFonts w:hint="eastAsia" w:ascii="宋体" w:hAnsi="宋体" w:eastAsia="宋体" w:cs="宋体"/>
          <w:color w:val="auto"/>
          <w:highlight w:val="none"/>
        </w:rPr>
        <w:t>1. 供应商认为</w:t>
      </w:r>
      <w:r>
        <w:rPr>
          <w:rFonts w:hint="eastAsia" w:ascii="宋体" w:hAnsi="宋体" w:cs="宋体"/>
          <w:color w:val="auto"/>
          <w:highlight w:val="none"/>
          <w:lang w:eastAsia="zh-CN"/>
        </w:rPr>
        <w:t>招标文件</w:t>
      </w:r>
      <w:r>
        <w:rPr>
          <w:rFonts w:hint="eastAsia" w:ascii="宋体" w:hAnsi="宋体" w:eastAsia="宋体" w:cs="宋体"/>
          <w:color w:val="auto"/>
          <w:highlight w:val="none"/>
        </w:rPr>
        <w:t>、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 提出质疑的供应商应当是参与所质疑项目采购活动的供应商。未依法获取</w:t>
      </w:r>
      <w:r>
        <w:rPr>
          <w:rFonts w:hint="eastAsia" w:ascii="宋体" w:hAnsi="宋体" w:cs="宋体"/>
          <w:color w:val="auto"/>
          <w:highlight w:val="none"/>
          <w:lang w:eastAsia="zh-CN"/>
        </w:rPr>
        <w:t>招标文件</w:t>
      </w:r>
      <w:r>
        <w:rPr>
          <w:rFonts w:hint="eastAsia" w:ascii="宋体" w:hAnsi="宋体" w:eastAsia="宋体" w:cs="宋体"/>
          <w:color w:val="auto"/>
          <w:highlight w:val="none"/>
        </w:rPr>
        <w:t>的，不得就</w:t>
      </w:r>
      <w:r>
        <w:rPr>
          <w:rFonts w:hint="eastAsia" w:ascii="宋体" w:hAnsi="宋体" w:cs="宋体"/>
          <w:color w:val="auto"/>
          <w:highlight w:val="none"/>
          <w:lang w:eastAsia="zh-CN"/>
        </w:rPr>
        <w:t>招标文件</w:t>
      </w:r>
      <w:r>
        <w:rPr>
          <w:rFonts w:hint="eastAsia" w:ascii="宋体" w:hAnsi="宋体" w:eastAsia="宋体" w:cs="宋体"/>
          <w:color w:val="auto"/>
          <w:highlight w:val="none"/>
        </w:rPr>
        <w:t>提出质疑；未提交投标文件的供应商，视为与采购结果没有利害关系，不得就采购响应截止时间后的采购过程、采购结果提出质疑。</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3.供应商提出质疑应当提交质疑函和必要的证明材料，质疑函应当面以书面形式提出，质疑函格式和内容须符合财政部《质疑函范本》要求，供应商可到浙江政府采购网自行下载财政部《质疑函范本》。</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w:t>
      </w:r>
      <w:r>
        <w:rPr>
          <w:rFonts w:hint="eastAsia" w:ascii="宋体" w:hAnsi="宋体" w:cs="宋体"/>
          <w:color w:val="auto"/>
          <w:highlight w:val="none"/>
          <w:lang w:eastAsia="zh-CN"/>
        </w:rPr>
        <w:t>招标文件</w:t>
      </w:r>
      <w:r>
        <w:rPr>
          <w:rFonts w:hint="eastAsia" w:ascii="宋体" w:hAnsi="宋体" w:eastAsia="宋体" w:cs="宋体"/>
          <w:color w:val="auto"/>
          <w:highlight w:val="none"/>
        </w:rPr>
        <w:t>第一章有关联系方式。</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 供应商对采购人或采购代理机构的质疑答复不满意或者采购人或采购代理机构未在规定时间内作出答复的，可以在答复期满后十五个工作日内向同级采购监管部门投诉。</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13" w:firstLineChars="196"/>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二</w:t>
      </w:r>
      <w:bookmarkEnd w:id="14"/>
      <w:r>
        <w:rPr>
          <w:rFonts w:hint="eastAsia" w:ascii="宋体" w:hAnsi="宋体" w:eastAsia="宋体" w:cs="宋体"/>
          <w:b/>
          <w:color w:val="auto"/>
          <w:highlight w:val="none"/>
        </w:rPr>
        <w:t>、</w:t>
      </w:r>
      <w:r>
        <w:rPr>
          <w:rFonts w:hint="eastAsia" w:hAnsi="宋体" w:cs="宋体"/>
          <w:b/>
          <w:color w:val="auto"/>
          <w:highlight w:val="none"/>
          <w:lang w:eastAsia="zh-CN"/>
        </w:rPr>
        <w:t>招标文件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w:t>
      </w:r>
      <w:r>
        <w:rPr>
          <w:rFonts w:hint="eastAsia" w:ascii="宋体" w:hAnsi="宋体" w:cs="宋体"/>
          <w:b/>
          <w:color w:val="auto"/>
          <w:szCs w:val="21"/>
          <w:highlight w:val="none"/>
          <w:lang w:eastAsia="zh-CN"/>
        </w:rPr>
        <w:t>招标文件</w:t>
      </w:r>
      <w:r>
        <w:rPr>
          <w:rFonts w:hint="eastAsia" w:ascii="宋体" w:hAnsi="宋体" w:eastAsia="宋体" w:cs="宋体"/>
          <w:b/>
          <w:color w:val="auto"/>
          <w:szCs w:val="21"/>
          <w:highlight w:val="none"/>
        </w:rPr>
        <w:t>的构成。本</w:t>
      </w:r>
      <w:r>
        <w:rPr>
          <w:rFonts w:hint="eastAsia" w:ascii="宋体" w:hAnsi="宋体" w:cs="宋体"/>
          <w:b/>
          <w:color w:val="auto"/>
          <w:szCs w:val="21"/>
          <w:highlight w:val="none"/>
          <w:lang w:eastAsia="zh-CN"/>
        </w:rPr>
        <w:t>招标文件</w:t>
      </w:r>
      <w:r>
        <w:rPr>
          <w:rFonts w:hint="eastAsia" w:ascii="宋体" w:hAnsi="宋体" w:eastAsia="宋体" w:cs="宋体"/>
          <w:b/>
          <w:color w:val="auto"/>
          <w:szCs w:val="21"/>
          <w:highlight w:val="none"/>
        </w:rPr>
        <w:t>由以下部分组成：</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1.公开招标采购公告</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2.采购需求</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3.供应商须知</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4.评标办法及评分标准</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5.政府采购合同主要条款</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7.本项目</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的澄清、答复、修改、补充的内容</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（二）供应商的风险</w:t>
      </w:r>
    </w:p>
    <w:p>
      <w:pPr>
        <w:pStyle w:val="39"/>
        <w:keepNext w:val="0"/>
        <w:keepLines w:val="0"/>
        <w:pageBreakBefore w:val="0"/>
        <w:widowControl w:val="0"/>
        <w:kinsoku/>
        <w:wordWrap/>
        <w:overflowPunct/>
        <w:topLinePunct w:val="0"/>
        <w:autoSpaceDE/>
        <w:autoSpaceDN/>
        <w:bidi w:val="0"/>
        <w:adjustRightInd/>
        <w:snapToGrid/>
        <w:spacing w:line="348" w:lineRule="auto"/>
        <w:ind w:left="0" w:leftChars="0"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供应商没有按照</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要求提供全部资料，或者供应商没有对</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在各方面作出实质性响应是供应商的风险，并可能导致其投标被拒绝。</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13" w:firstLineChars="196"/>
        <w:textAlignment w:val="auto"/>
        <w:rPr>
          <w:rFonts w:hint="eastAsia" w:ascii="宋体" w:hAnsi="宋体" w:eastAsia="宋体" w:cs="宋体"/>
          <w:b/>
          <w:color w:val="auto"/>
          <w:highlight w:val="none"/>
        </w:rPr>
      </w:pPr>
      <w:bookmarkStart w:id="15" w:name="_Toc24324"/>
      <w:r>
        <w:rPr>
          <w:rFonts w:hint="eastAsia" w:ascii="宋体" w:hAnsi="宋体" w:eastAsia="宋体" w:cs="宋体"/>
          <w:b/>
          <w:color w:val="auto"/>
          <w:highlight w:val="none"/>
        </w:rPr>
        <w:t>三、投标文件的编制</w:t>
      </w:r>
      <w:bookmarkEnd w:id="15"/>
    </w:p>
    <w:p>
      <w:pPr>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jc w:val="left"/>
        <w:textAlignment w:val="auto"/>
        <w:rPr>
          <w:rFonts w:hint="eastAsia" w:ascii="宋体" w:hAnsi="宋体" w:eastAsia="宋体" w:cs="宋体"/>
          <w:b/>
          <w:color w:val="auto"/>
          <w:szCs w:val="21"/>
          <w:highlight w:val="none"/>
        </w:rPr>
      </w:pPr>
      <w:bookmarkStart w:id="16" w:name="_Toc16622"/>
      <w:r>
        <w:rPr>
          <w:rFonts w:hint="eastAsia" w:ascii="宋体" w:hAnsi="宋体" w:eastAsia="宋体" w:cs="宋体"/>
          <w:b/>
          <w:color w:val="auto"/>
          <w:szCs w:val="21"/>
          <w:highlight w:val="none"/>
        </w:rPr>
        <w:t>（一）投标文件的组成</w:t>
      </w:r>
      <w:bookmarkEnd w:id="16"/>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投标文件由资格文件、商务技术文件和报价文件三部分组成。</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1、资格文件：</w:t>
      </w:r>
    </w:p>
    <w:p>
      <w:pPr>
        <w:keepNext w:val="0"/>
        <w:keepLines w:val="0"/>
        <w:pageBreakBefore w:val="0"/>
        <w:widowControl w:val="0"/>
        <w:numPr>
          <w:ilvl w:val="0"/>
          <w:numId w:val="6"/>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供应商资格声明函（格式见附件）；</w:t>
      </w:r>
    </w:p>
    <w:p>
      <w:pPr>
        <w:keepNext w:val="0"/>
        <w:keepLines w:val="0"/>
        <w:pageBreakBefore w:val="0"/>
        <w:widowControl w:val="0"/>
        <w:numPr>
          <w:ilvl w:val="0"/>
          <w:numId w:val="6"/>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keepNext w:val="0"/>
        <w:keepLines w:val="0"/>
        <w:pageBreakBefore w:val="0"/>
        <w:widowControl w:val="0"/>
        <w:numPr>
          <w:ilvl w:val="0"/>
          <w:numId w:val="6"/>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供应商特定资格条件的证明文件：详见“第一章  公开招标公告 二、申请人的资格要求：3.本项目的特定资格要求”；</w:t>
      </w:r>
    </w:p>
    <w:p>
      <w:pPr>
        <w:keepNext w:val="0"/>
        <w:keepLines w:val="0"/>
        <w:pageBreakBefore w:val="0"/>
        <w:widowControl w:val="0"/>
        <w:numPr>
          <w:ilvl w:val="0"/>
          <w:numId w:val="6"/>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联合体协议（格式详见第六章 响应文件格式）；</w:t>
      </w:r>
    </w:p>
    <w:p>
      <w:pPr>
        <w:keepNext w:val="0"/>
        <w:keepLines w:val="0"/>
        <w:pageBreakBefore w:val="0"/>
        <w:widowControl w:val="0"/>
        <w:numPr>
          <w:ilvl w:val="0"/>
          <w:numId w:val="6"/>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cs="宋体"/>
          <w:color w:val="auto"/>
          <w:szCs w:val="22"/>
          <w:highlight w:val="none"/>
          <w:lang w:eastAsia="zh-CN"/>
        </w:rPr>
        <w:t>招标文件</w:t>
      </w:r>
      <w:r>
        <w:rPr>
          <w:rFonts w:hint="eastAsia" w:ascii="宋体" w:hAnsi="宋体" w:eastAsia="宋体" w:cs="宋体"/>
          <w:color w:val="auto"/>
          <w:szCs w:val="21"/>
          <w:highlight w:val="none"/>
        </w:rPr>
        <w:t>要求的其他资格条件证明材料（如有）；</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商务技术文件内容包括：</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（1）符合性自查表（格式见附件）；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（2）供应商响应表（格式见附件）；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（3）商务条款偏离表（格式见附件）；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（4）投标函（格式见附件）；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（5）法定代表人身份证明或法定代表人授权委托书（格式见附件）；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（6）技术（服务）条款偏离表（格式见附件）；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（7）供应商基本情况表（格式见附件）；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（8）本项目负责人简历表（格式见附件）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（9）本项目组人员配备情况表（格式见附件）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（10）同类业绩情况一览表（格式见附件）；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（11）技术部分：针对本项目第二章采购需求和第四章评分标准中的条款拟</w:t>
      </w:r>
      <w:r>
        <w:rPr>
          <w:rFonts w:hint="eastAsia" w:ascii="宋体" w:hAnsi="宋体" w:eastAsia="宋体" w:cs="宋体"/>
          <w:bCs/>
          <w:color w:val="auto"/>
          <w:highlight w:val="none"/>
        </w:rPr>
        <w:t>定</w:t>
      </w:r>
      <w:r>
        <w:rPr>
          <w:rFonts w:hint="eastAsia" w:ascii="宋体" w:hAnsi="宋体" w:eastAsia="宋体" w:cs="宋体"/>
          <w:color w:val="auto"/>
          <w:highlight w:val="none"/>
        </w:rPr>
        <w:t>完整方案，格式自拟；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（12）第四章评标办法及评分标准中需提供的其他相关证书及合同复印件等并加盖公章；</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13</w:t>
      </w:r>
      <w:r>
        <w:rPr>
          <w:rFonts w:hint="eastAsia" w:ascii="宋体" w:hAnsi="宋体" w:eastAsia="宋体" w:cs="宋体"/>
          <w:color w:val="auto"/>
          <w:highlight w:val="none"/>
        </w:rPr>
        <w:t>）供应商认为有需要提供的其它有关证明资料。</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jc w:val="lef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、报价文件内容包括：</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（1）开标一览表（格式见附件）；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（2）投标报价明细表（格式见附件）；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）中小企业声明函</w:t>
      </w:r>
      <w:r>
        <w:rPr>
          <w:rFonts w:hint="eastAsia" w:ascii="宋体" w:hAnsi="宋体" w:eastAsia="宋体" w:cs="宋体"/>
          <w:color w:val="auto"/>
          <w:kern w:val="0"/>
          <w:szCs w:val="21"/>
          <w:highlight w:val="none"/>
          <w:lang w:val="en-US" w:eastAsia="zh-CN"/>
        </w:rPr>
        <w:t>[提供中小企业声明函或残疾人福利性单位声明函（非残疾人福利性单位无需提供本函)，格式见附件或提供由省级以上监狱管理局、戒毒管理局（含新疆生产建设兵团）出具的属于监狱企业的证明文件]</w:t>
      </w:r>
      <w:r>
        <w:rPr>
          <w:rFonts w:hint="eastAsia" w:ascii="宋体" w:hAnsi="宋体" w:eastAsia="宋体" w:cs="宋体"/>
          <w:color w:val="auto"/>
          <w:kern w:val="0"/>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w:t>
      </w:r>
      <w:r>
        <w:rPr>
          <w:rFonts w:hint="eastAsia" w:ascii="宋体" w:hAnsi="宋体" w:eastAsia="宋体" w:cs="宋体"/>
          <w:color w:val="auto"/>
          <w:highlight w:val="none"/>
        </w:rPr>
        <w:t>供应商针对报价需要说明的其他文件和说明（格式自拟）；</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★注：法定代表人授权委托书必须由法定代表人签署（签名或印章）并加盖单位公章；供应商资格声明函、投标函、开标一览表必须由法定代表人或授权代表签署（签名或印章）并加盖单位公章。</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bookmarkStart w:id="17" w:name="_Toc10734"/>
      <w:r>
        <w:rPr>
          <w:rFonts w:hint="eastAsia" w:ascii="宋体" w:hAnsi="宋体" w:eastAsia="宋体" w:cs="宋体"/>
          <w:b/>
          <w:color w:val="auto"/>
          <w:szCs w:val="21"/>
          <w:highlight w:val="none"/>
        </w:rPr>
        <w:t>★（二）投标文件的语言及计量</w:t>
      </w:r>
      <w:bookmarkEnd w:id="17"/>
    </w:p>
    <w:p>
      <w:pPr>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1.投标文件以及供应商与采购人就有关投标事宜的所有来往函电，均应以中文汉语书写。除签名、盖章、专用名称等特殊情形外，以中文汉语以外的文字表述的投标文件视同未提供。</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2.投标计量单位，</w:t>
      </w:r>
      <w:r>
        <w:rPr>
          <w:rFonts w:hint="eastAsia" w:ascii="宋体" w:hAnsi="宋体" w:cs="宋体"/>
          <w:b/>
          <w:color w:val="auto"/>
          <w:szCs w:val="21"/>
          <w:highlight w:val="none"/>
          <w:lang w:eastAsia="zh-CN"/>
        </w:rPr>
        <w:t>招标文件</w:t>
      </w:r>
      <w:r>
        <w:rPr>
          <w:rFonts w:hint="eastAsia" w:ascii="宋体" w:hAnsi="宋体" w:eastAsia="宋体" w:cs="宋体"/>
          <w:b/>
          <w:color w:val="auto"/>
          <w:szCs w:val="21"/>
          <w:highlight w:val="none"/>
        </w:rPr>
        <w:t>已有明确规定的，使用</w:t>
      </w:r>
      <w:r>
        <w:rPr>
          <w:rFonts w:hint="eastAsia" w:ascii="宋体" w:hAnsi="宋体" w:cs="宋体"/>
          <w:b/>
          <w:color w:val="auto"/>
          <w:szCs w:val="21"/>
          <w:highlight w:val="none"/>
          <w:lang w:eastAsia="zh-CN"/>
        </w:rPr>
        <w:t>招标文件</w:t>
      </w:r>
      <w:r>
        <w:rPr>
          <w:rFonts w:hint="eastAsia" w:ascii="宋体" w:hAnsi="宋体" w:eastAsia="宋体" w:cs="宋体"/>
          <w:b/>
          <w:color w:val="auto"/>
          <w:szCs w:val="21"/>
          <w:highlight w:val="none"/>
        </w:rPr>
        <w:t>规定的计量单位；</w:t>
      </w:r>
      <w:r>
        <w:rPr>
          <w:rFonts w:hint="eastAsia" w:ascii="宋体" w:hAnsi="宋体" w:cs="宋体"/>
          <w:b/>
          <w:color w:val="auto"/>
          <w:szCs w:val="21"/>
          <w:highlight w:val="none"/>
          <w:lang w:eastAsia="zh-CN"/>
        </w:rPr>
        <w:t>招标文件</w:t>
      </w:r>
      <w:r>
        <w:rPr>
          <w:rFonts w:hint="eastAsia" w:ascii="宋体" w:hAnsi="宋体" w:eastAsia="宋体" w:cs="宋体"/>
          <w:b/>
          <w:color w:val="auto"/>
          <w:szCs w:val="21"/>
          <w:highlight w:val="none"/>
        </w:rPr>
        <w:t>没有规定的，应采用中华人民共和国法定计量单位（货币单位：人民币元），否则视同未响应。</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bookmarkStart w:id="18" w:name="_Toc3681"/>
      <w:r>
        <w:rPr>
          <w:rFonts w:hint="eastAsia" w:ascii="宋体" w:hAnsi="宋体" w:eastAsia="宋体" w:cs="宋体"/>
          <w:b/>
          <w:color w:val="auto"/>
          <w:szCs w:val="21"/>
          <w:highlight w:val="none"/>
        </w:rPr>
        <w:t>（三）投标报价</w:t>
      </w:r>
      <w:bookmarkEnd w:id="18"/>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1.投标报价应按</w:t>
      </w:r>
      <w:r>
        <w:rPr>
          <w:rFonts w:hint="eastAsia" w:hAnsi="宋体" w:cs="宋体"/>
          <w:color w:val="auto"/>
          <w:highlight w:val="none"/>
          <w:lang w:eastAsia="zh-CN"/>
        </w:rPr>
        <w:t>招标文件</w:t>
      </w:r>
      <w:r>
        <w:rPr>
          <w:rFonts w:hint="eastAsia" w:ascii="宋体" w:hAnsi="宋体" w:eastAsia="宋体" w:cs="宋体"/>
          <w:color w:val="auto"/>
          <w:highlight w:val="none"/>
        </w:rPr>
        <w:t>中相关附表格式填写。</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jc w:val="left"/>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 xml:space="preserve">★2.投标报价是履行合同的最终价格，具体详见第三章《供应商须知》。 </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★3.投标文件只允许有一个报价，有选择的或有条件的报价将不予接受。</w:t>
      </w:r>
    </w:p>
    <w:p>
      <w:pPr>
        <w:pStyle w:val="16"/>
        <w:keepNext w:val="0"/>
        <w:keepLines w:val="0"/>
        <w:pageBreakBefore w:val="0"/>
        <w:widowControl w:val="0"/>
        <w:tabs>
          <w:tab w:val="clear" w:pos="454"/>
        </w:tabs>
        <w:kinsoku/>
        <w:wordWrap/>
        <w:overflowPunct/>
        <w:topLinePunct w:val="0"/>
        <w:autoSpaceDE/>
        <w:autoSpaceDN/>
        <w:bidi w:val="0"/>
        <w:adjustRightInd/>
        <w:snapToGrid/>
        <w:spacing w:after="0" w:afterLines="0" w:line="348" w:lineRule="auto"/>
        <w:ind w:left="0" w:leftChars="0"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（四）投标文件的有效期</w:t>
      </w:r>
    </w:p>
    <w:p>
      <w:pPr>
        <w:pStyle w:val="16"/>
        <w:keepNext w:val="0"/>
        <w:keepLines w:val="0"/>
        <w:pageBreakBefore w:val="0"/>
        <w:widowControl w:val="0"/>
        <w:tabs>
          <w:tab w:val="clear" w:pos="454"/>
        </w:tabs>
        <w:kinsoku/>
        <w:wordWrap/>
        <w:overflowPunct/>
        <w:topLinePunct w:val="0"/>
        <w:autoSpaceDE/>
        <w:autoSpaceDN/>
        <w:bidi w:val="0"/>
        <w:adjustRightInd/>
        <w:snapToGrid/>
        <w:spacing w:after="0" w:afterLines="0" w:line="348"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★1.自投标截止日起</w:t>
      </w:r>
      <w:r>
        <w:rPr>
          <w:rFonts w:hint="eastAsia" w:ascii="宋体" w:hAnsi="宋体" w:eastAsia="宋体" w:cs="宋体"/>
          <w:b/>
          <w:color w:val="auto"/>
          <w:sz w:val="21"/>
          <w:szCs w:val="21"/>
          <w:highlight w:val="none"/>
          <w:u w:val="single"/>
        </w:rPr>
        <w:t>90</w:t>
      </w:r>
      <w:r>
        <w:rPr>
          <w:rFonts w:hint="eastAsia" w:ascii="宋体" w:hAnsi="宋体" w:eastAsia="宋体" w:cs="宋体"/>
          <w:b/>
          <w:color w:val="auto"/>
          <w:sz w:val="21"/>
          <w:szCs w:val="21"/>
          <w:highlight w:val="none"/>
        </w:rPr>
        <w:t>天投标文件应保持有效。</w:t>
      </w:r>
    </w:p>
    <w:p>
      <w:pPr>
        <w:pStyle w:val="16"/>
        <w:keepNext w:val="0"/>
        <w:keepLines w:val="0"/>
        <w:pageBreakBefore w:val="0"/>
        <w:widowControl w:val="0"/>
        <w:tabs>
          <w:tab w:val="clear" w:pos="454"/>
        </w:tabs>
        <w:kinsoku/>
        <w:wordWrap/>
        <w:overflowPunct/>
        <w:topLinePunct w:val="0"/>
        <w:autoSpaceDE/>
        <w:autoSpaceDN/>
        <w:bidi w:val="0"/>
        <w:adjustRightInd/>
        <w:snapToGrid/>
        <w:spacing w:after="0" w:afterLines="0" w:line="348"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2.在特殊情况下，采购人可与供应商协商延长投标书的有效期，这种要求和答复均以书面形式进行。</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b/>
          <w:color w:val="auto"/>
          <w:szCs w:val="21"/>
          <w:highlight w:val="none"/>
        </w:rPr>
      </w:pPr>
      <w:bookmarkStart w:id="19" w:name="_Toc24481"/>
      <w:r>
        <w:rPr>
          <w:rFonts w:hint="eastAsia" w:ascii="宋体" w:hAnsi="宋体" w:eastAsia="宋体" w:cs="宋体"/>
          <w:color w:val="auto"/>
          <w:szCs w:val="21"/>
          <w:highlight w:val="none"/>
        </w:rPr>
        <w:t>3.同意延长有效期的供应商不能修改投标文件。</w:t>
      </w:r>
      <w:bookmarkEnd w:id="19"/>
      <w:r>
        <w:rPr>
          <w:rFonts w:hint="eastAsia" w:ascii="宋体" w:hAnsi="宋体" w:eastAsia="宋体" w:cs="宋体"/>
          <w:b/>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b/>
          <w:color w:val="auto"/>
          <w:szCs w:val="21"/>
          <w:highlight w:val="none"/>
        </w:rPr>
      </w:pPr>
      <w:bookmarkStart w:id="20" w:name="_Toc6471"/>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的投标文件自开标之日起至合同履行完毕止均应保持有效。</w:t>
      </w:r>
      <w:bookmarkEnd w:id="20"/>
    </w:p>
    <w:p>
      <w:pPr>
        <w:keepNext w:val="0"/>
        <w:keepLines w:val="0"/>
        <w:pageBreakBefore w:val="0"/>
        <w:widowControl w:val="0"/>
        <w:kinsoku/>
        <w:wordWrap/>
        <w:overflowPunct/>
        <w:topLinePunct w:val="0"/>
        <w:autoSpaceDE/>
        <w:autoSpaceDN/>
        <w:bidi w:val="0"/>
        <w:adjustRightInd/>
        <w:snapToGrid/>
        <w:spacing w:line="348" w:lineRule="auto"/>
        <w:ind w:left="0" w:leftChars="0" w:firstLine="413" w:firstLineChars="196"/>
        <w:jc w:val="left"/>
        <w:textAlignment w:val="auto"/>
        <w:rPr>
          <w:rFonts w:hint="eastAsia" w:ascii="宋体" w:hAnsi="宋体" w:eastAsia="宋体" w:cs="宋体"/>
          <w:b/>
          <w:color w:val="auto"/>
          <w:szCs w:val="21"/>
          <w:highlight w:val="none"/>
        </w:rPr>
      </w:pPr>
      <w:bookmarkStart w:id="21" w:name="_Toc14508"/>
      <w:r>
        <w:rPr>
          <w:rFonts w:hint="eastAsia" w:ascii="宋体" w:hAnsi="宋体" w:eastAsia="宋体" w:cs="宋体"/>
          <w:b/>
          <w:color w:val="auto"/>
          <w:szCs w:val="21"/>
          <w:highlight w:val="none"/>
        </w:rPr>
        <w:t>（五）投标文件的签署和份数</w:t>
      </w:r>
      <w:bookmarkEnd w:id="21"/>
    </w:p>
    <w:p>
      <w:pPr>
        <w:keepNext w:val="0"/>
        <w:keepLines w:val="0"/>
        <w:pageBreakBefore w:val="0"/>
        <w:widowControl w:val="0"/>
        <w:kinsoku/>
        <w:wordWrap/>
        <w:overflowPunct/>
        <w:topLinePunct w:val="0"/>
        <w:autoSpaceDE/>
        <w:autoSpaceDN/>
        <w:bidi w:val="0"/>
        <w:adjustRightInd/>
        <w:snapToGrid/>
        <w:spacing w:line="348"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w:t>
      </w:r>
      <w:r>
        <w:rPr>
          <w:rFonts w:hint="eastAsia" w:ascii="宋体" w:hAnsi="宋体" w:eastAsia="宋体" w:cs="宋体"/>
          <w:color w:val="auto"/>
          <w:highlight w:val="none"/>
        </w:rPr>
        <w:t>供应商应按本</w:t>
      </w:r>
      <w:r>
        <w:rPr>
          <w:rFonts w:hint="eastAsia" w:ascii="宋体" w:hAnsi="宋体" w:cs="宋体"/>
          <w:color w:val="auto"/>
          <w:highlight w:val="none"/>
          <w:lang w:eastAsia="zh-CN"/>
        </w:rPr>
        <w:t>招标文件</w:t>
      </w:r>
      <w:r>
        <w:rPr>
          <w:rFonts w:hint="eastAsia" w:ascii="宋体" w:hAnsi="宋体" w:eastAsia="宋体" w:cs="宋体"/>
          <w:color w:val="auto"/>
          <w:highlight w:val="none"/>
        </w:rPr>
        <w:t>规定的格式和顺序编制、装订投标文件</w:t>
      </w:r>
      <w:r>
        <w:rPr>
          <w:rFonts w:hint="eastAsia" w:ascii="宋体" w:hAnsi="宋体" w:eastAsia="宋体" w:cs="宋体"/>
          <w:color w:val="auto"/>
          <w:szCs w:val="21"/>
          <w:highlight w:val="none"/>
        </w:rPr>
        <w:t>，投标文件要求有目录并标注页码</w:t>
      </w:r>
      <w:r>
        <w:rPr>
          <w:rFonts w:hint="eastAsia" w:ascii="宋体" w:hAnsi="宋体" w:eastAsia="宋体" w:cs="宋体"/>
          <w:color w:val="auto"/>
          <w:highlight w:val="none"/>
        </w:rPr>
        <w:t>，投标文件内容不完整、编排混乱导致投标文件被误读、漏读或者查找不到相关内容的，是供应商的责任。</w:t>
      </w:r>
    </w:p>
    <w:p>
      <w:pPr>
        <w:keepNext w:val="0"/>
        <w:keepLines w:val="0"/>
        <w:pageBreakBefore w:val="0"/>
        <w:widowControl w:val="0"/>
        <w:kinsoku/>
        <w:wordWrap/>
        <w:overflowPunct/>
        <w:topLinePunct w:val="0"/>
        <w:autoSpaceDE/>
        <w:autoSpaceDN/>
        <w:bidi w:val="0"/>
        <w:adjustRightInd/>
        <w:snapToGrid/>
        <w:spacing w:line="348"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2、投标文件的份数：</w:t>
      </w:r>
    </w:p>
    <w:p>
      <w:pPr>
        <w:keepNext w:val="0"/>
        <w:keepLines w:val="0"/>
        <w:pageBreakBefore w:val="0"/>
        <w:widowControl w:val="0"/>
        <w:kinsoku/>
        <w:wordWrap/>
        <w:overflowPunct/>
        <w:topLinePunct w:val="0"/>
        <w:autoSpaceDE/>
        <w:autoSpaceDN/>
        <w:bidi w:val="0"/>
        <w:adjustRightInd/>
        <w:snapToGrid/>
        <w:spacing w:line="348"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本项目实行网上投标，供应商应准备以下投标文件：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（1）上传到政府采购云平台的电子投标文件（含资格文件、商务技术文件、报价文件）1份。</w:t>
      </w:r>
    </w:p>
    <w:p>
      <w:pPr>
        <w:keepNext w:val="0"/>
        <w:keepLines w:val="0"/>
        <w:pageBreakBefore w:val="0"/>
        <w:widowControl w:val="0"/>
        <w:kinsoku/>
        <w:wordWrap/>
        <w:overflowPunct/>
        <w:topLinePunct w:val="0"/>
        <w:autoSpaceDE/>
        <w:autoSpaceDN/>
        <w:bidi w:val="0"/>
        <w:adjustRightInd/>
        <w:snapToGrid/>
        <w:spacing w:line="348"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（2）以U盘存储的电子备份投标文件（含资格文件、商务技术文件、报价文件）1份。</w:t>
      </w:r>
    </w:p>
    <w:p>
      <w:pPr>
        <w:keepNext w:val="0"/>
        <w:keepLines w:val="0"/>
        <w:pageBreakBefore w:val="0"/>
        <w:widowControl w:val="0"/>
        <w:kinsoku/>
        <w:wordWrap/>
        <w:overflowPunct/>
        <w:topLinePunct w:val="0"/>
        <w:autoSpaceDE/>
        <w:autoSpaceDN/>
        <w:bidi w:val="0"/>
        <w:adjustRightInd/>
        <w:snapToGrid/>
        <w:spacing w:line="348"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3、电子投标文件：供应商应根据</w:t>
      </w:r>
      <w:r>
        <w:rPr>
          <w:rFonts w:hint="eastAsia" w:ascii="宋体" w:hAnsi="宋体" w:eastAsia="宋体" w:cs="宋体"/>
          <w:color w:val="auto"/>
          <w:kern w:val="0"/>
          <w:szCs w:val="21"/>
          <w:highlight w:val="none"/>
        </w:rPr>
        <w:t>政府采购云平台的要求</w:t>
      </w:r>
      <w:r>
        <w:rPr>
          <w:rFonts w:hint="eastAsia" w:ascii="宋体" w:hAnsi="宋体" w:eastAsia="宋体" w:cs="宋体"/>
          <w:color w:val="auto"/>
          <w:highlight w:val="none"/>
        </w:rPr>
        <w:t>及本</w:t>
      </w:r>
      <w:r>
        <w:rPr>
          <w:rFonts w:hint="eastAsia" w:ascii="宋体" w:hAnsi="宋体" w:cs="宋体"/>
          <w:color w:val="auto"/>
          <w:highlight w:val="none"/>
          <w:lang w:eastAsia="zh-CN"/>
        </w:rPr>
        <w:t>招标文件</w:t>
      </w:r>
      <w:r>
        <w:rPr>
          <w:rFonts w:hint="eastAsia" w:ascii="宋体" w:hAnsi="宋体" w:eastAsia="宋体" w:cs="宋体"/>
          <w:color w:val="auto"/>
          <w:highlight w:val="none"/>
        </w:rPr>
        <w:t>规定的格式和顺序编制电子投标文件并进行关联定位。</w:t>
      </w:r>
    </w:p>
    <w:p>
      <w:pPr>
        <w:keepNext w:val="0"/>
        <w:keepLines w:val="0"/>
        <w:pageBreakBefore w:val="0"/>
        <w:widowControl w:val="0"/>
        <w:kinsoku/>
        <w:wordWrap/>
        <w:overflowPunct/>
        <w:topLinePunct w:val="0"/>
        <w:autoSpaceDE/>
        <w:autoSpaceDN/>
        <w:bidi w:val="0"/>
        <w:adjustRightInd/>
        <w:snapToGrid/>
        <w:spacing w:line="348"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投标文件不得涂改，若有修改错漏处，须加盖单位公章或者法定代表人或授权委托人签名或盖章。投标文件因字迹潦草或表达不清所引起的后果由供应商负责。</w:t>
      </w:r>
    </w:p>
    <w:p>
      <w:pPr>
        <w:keepNext w:val="0"/>
        <w:keepLines w:val="0"/>
        <w:pageBreakBefore w:val="0"/>
        <w:widowControl w:val="0"/>
        <w:kinsoku/>
        <w:wordWrap/>
        <w:overflowPunct/>
        <w:topLinePunct w:val="0"/>
        <w:autoSpaceDE/>
        <w:autoSpaceDN/>
        <w:bidi w:val="0"/>
        <w:adjustRightInd/>
        <w:snapToGrid/>
        <w:spacing w:line="348" w:lineRule="auto"/>
        <w:ind w:left="0" w:leftChars="0" w:firstLine="525"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.投标文件须由供应商在规定位置盖章并由法定代表人或法定代表人的授权委托人签署，供应商应写全称。</w:t>
      </w:r>
    </w:p>
    <w:p>
      <w:pPr>
        <w:keepNext w:val="0"/>
        <w:keepLines w:val="0"/>
        <w:pageBreakBefore w:val="0"/>
        <w:widowControl w:val="0"/>
        <w:kinsoku/>
        <w:wordWrap/>
        <w:overflowPunct/>
        <w:topLinePunct w:val="0"/>
        <w:autoSpaceDE/>
        <w:autoSpaceDN/>
        <w:bidi w:val="0"/>
        <w:adjustRightInd/>
        <w:snapToGrid/>
        <w:spacing w:line="348" w:lineRule="auto"/>
        <w:ind w:left="0" w:leftChars="0" w:firstLine="310" w:firstLineChars="147"/>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（六）投标文件的包装、递交、修改和撤回</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以U盘存储的电子备份投标文件</w:t>
      </w:r>
      <w:r>
        <w:rPr>
          <w:rFonts w:hint="eastAsia" w:ascii="宋体" w:hAnsi="宋体" w:eastAsia="宋体" w:cs="宋体"/>
          <w:color w:val="auto"/>
          <w:szCs w:val="21"/>
          <w:highlight w:val="none"/>
        </w:rPr>
        <w:t>用封袋密封后递交。</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color w:val="auto"/>
          <w:szCs w:val="21"/>
          <w:highlight w:val="none"/>
        </w:rPr>
        <w:t>电子备份投标文件的包装封面上应注明供应商名称、供应商地址、投标文件名称(</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资格文件/商务技术文件/报价文件/资格、商务技术文件)、投标项目名称、项目编号，并加盖供应商公章。</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、未按规定密封或标记的投标文件将被拒绝，由此造成投标文件被误投或提前拆封的风险由供应商承担。</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、供应商在投标截止时间之前，可以对已提交的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进行修改或撤回，并书面通知招标采购单位；投标截止时间后，供应商不得撤回、修改投标文件。修改后重新递交的</w:t>
      </w:r>
      <w:r>
        <w:rPr>
          <w:rFonts w:hint="eastAsia" w:ascii="宋体" w:hAnsi="宋体" w:eastAsia="宋体" w:cs="宋体"/>
          <w:color w:val="auto"/>
          <w:kern w:val="0"/>
          <w:szCs w:val="21"/>
          <w:highlight w:val="none"/>
        </w:rPr>
        <w:t>电子备份投标文件</w:t>
      </w:r>
      <w:r>
        <w:rPr>
          <w:rFonts w:hint="eastAsia" w:ascii="宋体" w:hAnsi="宋体" w:eastAsia="宋体" w:cs="宋体"/>
          <w:color w:val="auto"/>
          <w:szCs w:val="21"/>
          <w:highlight w:val="none"/>
        </w:rPr>
        <w:t>应当按本</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的要求签署、盖章和密封。</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keepNext w:val="0"/>
        <w:keepLines w:val="0"/>
        <w:pageBreakBefore w:val="0"/>
        <w:widowControl w:val="0"/>
        <w:kinsoku/>
        <w:wordWrap/>
        <w:overflowPunct/>
        <w:topLinePunct w:val="0"/>
        <w:autoSpaceDE/>
        <w:autoSpaceDN/>
        <w:bidi w:val="0"/>
        <w:adjustRightInd/>
        <w:snapToGrid/>
        <w:spacing w:line="348" w:lineRule="auto"/>
        <w:ind w:left="211" w:leftChars="0" w:hanging="211" w:hangingChars="100"/>
        <w:jc w:val="both"/>
        <w:textAlignment w:val="auto"/>
        <w:rPr>
          <w:rFonts w:hint="eastAsia" w:ascii="宋体" w:hAnsi="宋体" w:eastAsia="宋体" w:cs="宋体"/>
          <w:b/>
          <w:color w:val="auto"/>
          <w:kern w:val="2"/>
          <w:sz w:val="21"/>
          <w:szCs w:val="21"/>
          <w:highlight w:val="none"/>
          <w:lang w:val="en-US" w:eastAsia="zh-CN" w:bidi="ar-SA"/>
        </w:rPr>
      </w:pPr>
      <w:bookmarkStart w:id="22" w:name="_Toc2054"/>
      <w:r>
        <w:rPr>
          <w:rFonts w:hint="eastAsia" w:ascii="宋体" w:hAnsi="宋体" w:eastAsia="宋体" w:cs="宋体"/>
          <w:b/>
          <w:color w:val="auto"/>
          <w:kern w:val="2"/>
          <w:sz w:val="21"/>
          <w:szCs w:val="21"/>
          <w:highlight w:val="none"/>
          <w:lang w:val="en-US" w:eastAsia="zh-CN" w:bidi="ar-SA"/>
        </w:rPr>
        <w:t>（七）投标文件的形式和效力</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1、投标文件分为：“电子投标文件”和“电子备份投标文件”。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2、“电子投标文件”是指通过“政采云电子交易客户端”完成投标文件编制后生成并加密的数据电文形式的投标文件（文件后缀为：jmbs）。</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lang w:val="en-US" w:eastAsia="zh-CN"/>
        </w:rPr>
        <w:t>3、“电子备份投标文件”是指与“电子投标文件”同时生成的数据电文形式的电子文件文件后缀为：bfbs（备份标书），其他方式编制的备份投标文件视为无效备份投标文件。</w:t>
      </w:r>
    </w:p>
    <w:p>
      <w:pPr>
        <w:keepNext w:val="0"/>
        <w:keepLines w:val="0"/>
        <w:pageBreakBefore w:val="0"/>
        <w:widowControl w:val="0"/>
        <w:kinsoku/>
        <w:wordWrap/>
        <w:overflowPunct/>
        <w:topLinePunct w:val="0"/>
        <w:autoSpaceDE/>
        <w:autoSpaceDN/>
        <w:bidi w:val="0"/>
        <w:adjustRightInd/>
        <w:snapToGrid/>
        <w:spacing w:line="348" w:lineRule="auto"/>
        <w:ind w:left="0" w:leftChars="0" w:firstLine="420"/>
        <w:jc w:val="left"/>
        <w:textAlignment w:val="auto"/>
        <w:rPr>
          <w:rFonts w:hint="eastAsia" w:ascii="宋体" w:hAnsi="宋体" w:eastAsia="宋体" w:cs="宋体"/>
          <w:b w:val="0"/>
          <w:color w:val="auto"/>
          <w:szCs w:val="21"/>
          <w:highlight w:val="none"/>
        </w:rPr>
      </w:pPr>
      <w:r>
        <w:rPr>
          <w:rFonts w:hint="eastAsia" w:ascii="宋体" w:hAnsi="宋体" w:eastAsia="宋体" w:cs="宋体"/>
          <w:color w:val="auto"/>
          <w:kern w:val="2"/>
          <w:szCs w:val="21"/>
          <w:highlight w:val="none"/>
          <w:lang w:val="en-US" w:eastAsia="zh-CN"/>
        </w:rPr>
        <w:t>4、投标文件的效力：投标文件的启用，按先后顺位分别为“电子投标文件”、“电子备份投标文件”。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政府采购云平台”上传递交的已按时解密的“电子投标文件”继续有效，其“电子备份投标文件”自动失效。</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211" w:leftChars="0" w:hanging="211" w:hangingChars="100"/>
        <w:textAlignment w:val="auto"/>
        <w:rPr>
          <w:rFonts w:hint="eastAsia" w:ascii="宋体" w:hAnsi="宋体" w:eastAsia="宋体" w:cs="宋体"/>
          <w:b/>
          <w:color w:val="auto"/>
          <w:highlight w:val="none"/>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left="211" w:leftChars="0" w:hanging="211" w:hanging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四、特别说明</w:t>
      </w:r>
      <w:bookmarkEnd w:id="22"/>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1、本项目</w:t>
      </w:r>
      <w:r>
        <w:rPr>
          <w:rFonts w:hint="eastAsia" w:ascii="宋体" w:hAnsi="宋体" w:eastAsia="宋体" w:cs="宋体"/>
          <w:b/>
          <w:bCs/>
          <w:color w:val="auto"/>
          <w:kern w:val="2"/>
          <w:sz w:val="21"/>
          <w:szCs w:val="21"/>
          <w:highlight w:val="none"/>
          <w:u w:val="single"/>
          <w:lang w:bidi="ar"/>
        </w:rPr>
        <w:t xml:space="preserve"> </w:t>
      </w:r>
      <w:r>
        <w:rPr>
          <w:rFonts w:hint="eastAsia" w:ascii="宋体" w:hAnsi="宋体" w:cs="宋体"/>
          <w:b/>
          <w:bCs/>
          <w:color w:val="auto"/>
          <w:kern w:val="2"/>
          <w:sz w:val="21"/>
          <w:szCs w:val="21"/>
          <w:highlight w:val="none"/>
          <w:u w:val="single"/>
          <w:lang w:val="en-US" w:eastAsia="zh-CN" w:bidi="ar"/>
        </w:rPr>
        <w:t>非</w:t>
      </w:r>
      <w:r>
        <w:rPr>
          <w:rFonts w:hint="eastAsia" w:ascii="宋体" w:hAnsi="宋体" w:eastAsia="宋体" w:cs="宋体"/>
          <w:b/>
          <w:bCs/>
          <w:color w:val="auto"/>
          <w:kern w:val="2"/>
          <w:sz w:val="21"/>
          <w:szCs w:val="21"/>
          <w:highlight w:val="none"/>
          <w:u w:val="single"/>
          <w:lang w:bidi="ar"/>
        </w:rPr>
        <w:t xml:space="preserve"> </w:t>
      </w:r>
      <w:r>
        <w:rPr>
          <w:rFonts w:hint="eastAsia" w:ascii="宋体" w:hAnsi="宋体" w:eastAsia="宋体" w:cs="宋体"/>
          <w:color w:val="auto"/>
          <w:kern w:val="2"/>
          <w:sz w:val="21"/>
          <w:szCs w:val="21"/>
          <w:highlight w:val="none"/>
          <w:lang w:bidi="ar"/>
        </w:rPr>
        <w:t>专门面向中小企业采购。</w:t>
      </w:r>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2、本项目对应的中小企业划分标准所属行业：</w:t>
      </w:r>
      <w:r>
        <w:rPr>
          <w:rFonts w:hint="eastAsia" w:ascii="宋体" w:hAnsi="宋体" w:eastAsia="宋体" w:cs="宋体"/>
          <w:b/>
          <w:bCs/>
          <w:color w:val="auto"/>
          <w:kern w:val="2"/>
          <w:sz w:val="21"/>
          <w:szCs w:val="21"/>
          <w:highlight w:val="none"/>
          <w:u w:val="single"/>
          <w:lang w:val="en-US" w:eastAsia="zh-CN" w:bidi="ar"/>
        </w:rPr>
        <w:t>其他未列明行业</w:t>
      </w:r>
      <w:r>
        <w:rPr>
          <w:rFonts w:hint="eastAsia" w:ascii="宋体" w:hAnsi="宋体" w:eastAsia="宋体" w:cs="宋体"/>
          <w:color w:val="auto"/>
          <w:kern w:val="2"/>
          <w:sz w:val="21"/>
          <w:szCs w:val="21"/>
          <w:highlight w:val="none"/>
          <w:lang w:bidi="ar"/>
        </w:rPr>
        <w:t xml:space="preserve">。 </w:t>
      </w:r>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3、小微企业是指中华人民共和国境内依法设立，依据国务院批准的中小企业划分标准确定的小型企业和微型企业，但与大企业的负责人为同一人，或者与大企业存在直接控股、管理关系的除外。</w:t>
      </w:r>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符合中小企业划分标准的个体工商户，在政府采购活动中视同中小企业。</w:t>
      </w:r>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国务院批准的中小企业划分标准：具体见工信部联企业[2011]300号。</w:t>
      </w:r>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4、在政府采购活动中，供应商提供的货物、工程或者服务符合下列情形的，可享受小型、微型企业（以下简称小微企业）的价格扣除：</w:t>
      </w:r>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（1）在货物采购项目中，货物由小微企业制造，即货物由小微企业生产且使用该小微企业商号或者注册商标；</w:t>
      </w:r>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（2）在工程采购项目中，工程由小微企业承建，即工程施工单位为小微企业；</w:t>
      </w:r>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（3）在服务采购项目中，服务由小微企业承接，即提供服务的人员为小微企业依照《中华人民共和国劳动合同法》订立劳动合同的从业人员。</w:t>
      </w:r>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以联合体形式参加政府采购活动，联合体各方均为小微企业的，联合体视同小微企业。</w:t>
      </w:r>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5、在货物采购项目中，供应商提供的货物既有中小企业制造货物，也有大型企业制造货物的，不享受的小微企业价格扣除。</w:t>
      </w:r>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6、本项目对符合《政府采购促进中小企业发展管理办法》（财库﹝2020﹞46号）规定的小微企业报价给予</w:t>
      </w:r>
      <w:r>
        <w:rPr>
          <w:rFonts w:hint="eastAsia" w:ascii="宋体" w:hAnsi="宋体" w:eastAsia="宋体" w:cs="宋体"/>
          <w:b/>
          <w:bCs/>
          <w:color w:val="auto"/>
          <w:kern w:val="2"/>
          <w:sz w:val="21"/>
          <w:szCs w:val="21"/>
          <w:highlight w:val="none"/>
          <w:lang w:val="en-US" w:eastAsia="zh-CN" w:bidi="ar"/>
        </w:rPr>
        <w:t>20</w:t>
      </w:r>
      <w:r>
        <w:rPr>
          <w:rFonts w:hint="eastAsia" w:ascii="宋体" w:hAnsi="宋体" w:eastAsia="宋体" w:cs="宋体"/>
          <w:b/>
          <w:bCs/>
          <w:color w:val="auto"/>
          <w:kern w:val="2"/>
          <w:sz w:val="21"/>
          <w:szCs w:val="21"/>
          <w:highlight w:val="none"/>
          <w:lang w:bidi="ar"/>
        </w:rPr>
        <w:t>%（工程项目为</w:t>
      </w:r>
      <w:r>
        <w:rPr>
          <w:rFonts w:hint="eastAsia" w:ascii="宋体" w:hAnsi="宋体" w:eastAsia="宋体" w:cs="宋体"/>
          <w:b/>
          <w:bCs/>
          <w:color w:val="auto"/>
          <w:kern w:val="2"/>
          <w:sz w:val="21"/>
          <w:szCs w:val="21"/>
          <w:highlight w:val="none"/>
          <w:lang w:val="en-US" w:eastAsia="zh-CN" w:bidi="ar"/>
        </w:rPr>
        <w:t>5</w:t>
      </w:r>
      <w:r>
        <w:rPr>
          <w:rFonts w:hint="eastAsia" w:ascii="宋体" w:hAnsi="宋体" w:eastAsia="宋体" w:cs="宋体"/>
          <w:b/>
          <w:bCs/>
          <w:color w:val="auto"/>
          <w:kern w:val="2"/>
          <w:sz w:val="21"/>
          <w:szCs w:val="21"/>
          <w:highlight w:val="none"/>
          <w:lang w:bidi="ar"/>
        </w:rPr>
        <w:t>%）</w:t>
      </w:r>
      <w:r>
        <w:rPr>
          <w:rFonts w:hint="eastAsia" w:ascii="宋体" w:hAnsi="宋体" w:eastAsia="宋体" w:cs="宋体"/>
          <w:color w:val="auto"/>
          <w:kern w:val="2"/>
          <w:sz w:val="21"/>
          <w:szCs w:val="21"/>
          <w:highlight w:val="none"/>
          <w:lang w:bidi="ar"/>
        </w:rPr>
        <w:t>的扣除，用扣除后的价格参加评审。</w:t>
      </w:r>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宋体"/>
          <w:b/>
          <w:bCs/>
          <w:color w:val="auto"/>
          <w:kern w:val="2"/>
          <w:sz w:val="21"/>
          <w:szCs w:val="21"/>
          <w:highlight w:val="none"/>
          <w:lang w:val="en-US" w:eastAsia="zh-CN" w:bidi="ar"/>
        </w:rPr>
        <w:t>6</w:t>
      </w:r>
      <w:r>
        <w:rPr>
          <w:rFonts w:hint="eastAsia" w:ascii="宋体" w:hAnsi="宋体" w:eastAsia="宋体" w:cs="宋体"/>
          <w:b/>
          <w:bCs/>
          <w:color w:val="auto"/>
          <w:kern w:val="2"/>
          <w:sz w:val="21"/>
          <w:szCs w:val="21"/>
          <w:highlight w:val="none"/>
          <w:lang w:bidi="ar"/>
        </w:rPr>
        <w:t>%（工程项目为</w:t>
      </w:r>
      <w:r>
        <w:rPr>
          <w:rFonts w:hint="eastAsia" w:ascii="宋体" w:hAnsi="宋体" w:eastAsia="宋体" w:cs="宋体"/>
          <w:b/>
          <w:bCs/>
          <w:color w:val="auto"/>
          <w:kern w:val="2"/>
          <w:sz w:val="21"/>
          <w:szCs w:val="21"/>
          <w:highlight w:val="none"/>
          <w:lang w:val="en-US" w:eastAsia="zh-CN" w:bidi="ar"/>
        </w:rPr>
        <w:t>2</w:t>
      </w:r>
      <w:r>
        <w:rPr>
          <w:rFonts w:hint="eastAsia" w:ascii="宋体" w:hAnsi="宋体" w:eastAsia="宋体" w:cs="宋体"/>
          <w:b/>
          <w:bCs/>
          <w:color w:val="auto"/>
          <w:kern w:val="2"/>
          <w:sz w:val="21"/>
          <w:szCs w:val="21"/>
          <w:highlight w:val="none"/>
          <w:lang w:bidi="ar"/>
        </w:rPr>
        <w:t>%）</w:t>
      </w:r>
      <w:r>
        <w:rPr>
          <w:rFonts w:hint="eastAsia" w:ascii="宋体" w:hAnsi="宋体" w:eastAsia="宋体" w:cs="宋体"/>
          <w:color w:val="auto"/>
          <w:kern w:val="2"/>
          <w:sz w:val="21"/>
          <w:szCs w:val="21"/>
          <w:highlight w:val="none"/>
          <w:lang w:bidi="ar"/>
        </w:rPr>
        <w:t>的扣除，用扣除后的价格参加评审。组成联合体或者接受分包的小微企业与联合体内其他企业、分包企业之间存在直接控股、管理关系的，不享受价格扣除优惠政策。</w:t>
      </w:r>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7、小微企业应按照</w:t>
      </w:r>
      <w:r>
        <w:rPr>
          <w:rFonts w:hint="eastAsia" w:ascii="宋体" w:hAnsi="宋体" w:cs="宋体"/>
          <w:color w:val="auto"/>
          <w:kern w:val="2"/>
          <w:sz w:val="21"/>
          <w:szCs w:val="21"/>
          <w:highlight w:val="none"/>
          <w:lang w:eastAsia="zh-CN" w:bidi="ar"/>
        </w:rPr>
        <w:t>招标文件</w:t>
      </w:r>
      <w:r>
        <w:rPr>
          <w:rFonts w:hint="eastAsia" w:ascii="宋体" w:hAnsi="宋体" w:eastAsia="宋体" w:cs="宋体"/>
          <w:color w:val="auto"/>
          <w:kern w:val="2"/>
          <w:sz w:val="21"/>
          <w:szCs w:val="21"/>
          <w:highlight w:val="none"/>
          <w:lang w:bidi="ar"/>
        </w:rPr>
        <w:t>格式要求提供《中小企业声明函》。</w:t>
      </w:r>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9、根据《关于促进残疾人就业政府采购政策的通知》（财库[2017]141号）规定，在政府采购活动中，残疾人福利性单位视同小型、微型企业。残疾人福利性单位参加政府采购活动时，提供《残疾人福利性单位声明函》。</w:t>
      </w:r>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10、按规定享受扶持政策获得政府采购合同的，小微企业不得将合同分包给大中型企业，中型企业不得将合同分包给大型企业。</w:t>
      </w:r>
    </w:p>
    <w:p>
      <w:pPr>
        <w:pStyle w:val="4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48" w:lineRule="auto"/>
        <w:ind w:left="0" w:leftChars="0" w:firstLine="420" w:firstLineChars="200"/>
        <w:textAlignment w:val="auto"/>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11、供应商按照《政府采购促进中小企业发展管理办法》（财库﹝2020﹞46号）规定提供声明函内容不实的，属于提供虚假材料谋取中标、成交，依照《中华人民共和国政府采购法》等国家有关规定追究相应责任。</w:t>
      </w:r>
    </w:p>
    <w:p>
      <w:pPr>
        <w:pStyle w:val="44"/>
        <w:widowControl w:val="0"/>
        <w:spacing w:before="0" w:beforeAutospacing="0" w:after="0" w:afterAutospacing="0" w:line="360" w:lineRule="auto"/>
        <w:jc w:val="center"/>
        <w:outlineLvl w:val="0"/>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bidi="ar"/>
        </w:rPr>
        <w:br w:type="page"/>
      </w:r>
      <w:bookmarkStart w:id="23" w:name="_Toc14754"/>
      <w:r>
        <w:rPr>
          <w:rFonts w:hint="eastAsia" w:ascii="宋体" w:hAnsi="宋体" w:eastAsia="宋体" w:cs="宋体"/>
          <w:b/>
          <w:bCs/>
          <w:color w:val="auto"/>
          <w:sz w:val="32"/>
          <w:szCs w:val="32"/>
          <w:highlight w:val="none"/>
        </w:rPr>
        <w:t>第四章  评标办法及评分标准</w:t>
      </w:r>
      <w:bookmarkEnd w:id="23"/>
    </w:p>
    <w:p>
      <w:pPr>
        <w:pStyle w:val="30"/>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本办法严格遵照《中华人民共和国政府采购法》、《政府采购货物和服务招标投标管理办法》，结合项目所在地政府有关政府采购规定和项目的实际情况制定。</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一、开标准备</w:t>
      </w:r>
    </w:p>
    <w:p>
      <w:pPr>
        <w:pStyle w:val="30"/>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采购代理机构将在规定的时间和地点进行开标，供应商的法定代表人或其授权代表可参加开标会。供应商的法定代表人或其授权代表未参加开标会的，视同放弃开标监督权利、认可开标结果。</w:t>
      </w:r>
    </w:p>
    <w:p>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二、开标程序：</w:t>
      </w:r>
    </w:p>
    <w:p>
      <w:pPr>
        <w:spacing w:line="360" w:lineRule="auto"/>
        <w:ind w:firstLine="420" w:firstLineChars="200"/>
        <w:jc w:val="left"/>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1、电子招投标开标程序：</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第一阶段：</w:t>
      </w:r>
    </w:p>
    <w:p>
      <w:pPr>
        <w:numPr>
          <w:ilvl w:val="0"/>
          <w:numId w:val="7"/>
        </w:num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投标截止时间后，供应商登录政府采购云平台，用“项目采购-开标评标”功能对电子投标文件进行在线解密，在线解密电子投标文件时间为开标时间后30分钟内。</w:t>
      </w:r>
    </w:p>
    <w:p>
      <w:pPr>
        <w:numPr>
          <w:ilvl w:val="0"/>
          <w:numId w:val="7"/>
        </w:num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在政府采购云平台开启已解密供应商的“资格文件、商务技术文件”，并做开标记录；</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第二阶段：</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宣告第一阶段评审无效供应商名单及理由；</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（2）公布经第一阶段评审符合</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要求的供应商的商务技术得分情况；</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开启除第一阶段无效标外的供应商的“报价文件”，并做开标记录；</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公布评审结果。</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（5）开标会议结束。</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、特别说明：</w:t>
      </w:r>
      <w:r>
        <w:rPr>
          <w:rFonts w:hint="eastAsia" w:ascii="宋体" w:hAnsi="宋体" w:eastAsia="宋体" w:cs="宋体"/>
          <w:color w:val="auto"/>
          <w:kern w:val="0"/>
          <w:szCs w:val="21"/>
          <w:highlight w:val="none"/>
        </w:rPr>
        <w:t>政府采购云平台</w:t>
      </w:r>
      <w:r>
        <w:rPr>
          <w:rFonts w:hint="eastAsia" w:ascii="宋体" w:hAnsi="宋体" w:eastAsia="宋体" w:cs="宋体"/>
          <w:color w:val="auto"/>
          <w:szCs w:val="21"/>
          <w:highlight w:val="none"/>
        </w:rPr>
        <w:t>如对电子化开标及评审程序有调整的，按调整后的程序操作。</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本项目原则上采用政采云</w:t>
      </w:r>
      <w:r>
        <w:rPr>
          <w:rFonts w:hint="eastAsia" w:ascii="宋体" w:hAnsi="宋体" w:eastAsia="宋体" w:cs="宋体"/>
          <w:bCs/>
          <w:color w:val="auto"/>
          <w:szCs w:val="21"/>
          <w:highlight w:val="none"/>
          <w:lang w:bidi="ar"/>
        </w:rPr>
        <w:t>电子招投标开标程序</w:t>
      </w:r>
      <w:r>
        <w:rPr>
          <w:rFonts w:hint="eastAsia" w:ascii="宋体" w:hAnsi="宋体" w:eastAsia="宋体" w:cs="宋体"/>
          <w:color w:val="auto"/>
          <w:szCs w:val="21"/>
          <w:highlight w:val="none"/>
        </w:rPr>
        <w:t>，但有下情形之一的，按以下情况处理：</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（1）若有供应商在规定时间内无法解密或解密失败，代理机构将开启该供应商递交的</w:t>
      </w:r>
      <w:r>
        <w:rPr>
          <w:rFonts w:hint="eastAsia" w:ascii="宋体" w:hAnsi="宋体" w:eastAsia="宋体" w:cs="宋体"/>
          <w:color w:val="auto"/>
          <w:kern w:val="0"/>
          <w:szCs w:val="21"/>
          <w:highlight w:val="none"/>
        </w:rPr>
        <w:t>以U盘存储的电子备份投标文件</w:t>
      </w:r>
      <w:r>
        <w:rPr>
          <w:rFonts w:hint="eastAsia" w:ascii="宋体" w:hAnsi="宋体" w:eastAsia="宋体" w:cs="宋体"/>
          <w:color w:val="auto"/>
          <w:szCs w:val="21"/>
          <w:highlight w:val="none"/>
        </w:rPr>
        <w:t>，上传至政采云平台项目采购模块，以完成开标，电子投标文件自动失效。</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（2）采购过程中出现以下情形，导致电子交易平台无法正常运行，或者无法保证电子交易的公平、公正和安全时，采购人（或代理机构）可中止电子交易活动：</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.1电子交易平台发生故障而无法登录访问的； </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.2电子交易平台应用或数据库出现错误，不能进行正常操作的；</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.3电子交易平台发现严重安全漏洞，有潜在泄密危险的；</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.4病毒发作导致不能进行正常操作的； </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.5其他无法保证电子交易的公平、公正和安全的情况。</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出现前款规定情形，不影响采购公平、公正性的，采购人（或代理机构）可以待上述情形消除后继续组织电子交易活动。</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三、评标委员会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（一）本次招标依法组建评标委员会。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（二）评标原则。评标委员会必须遵循公平、公正、客观、科学的原则和规定的程序进行评标；评标的依据为</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（三）评审专家有下列情形之一的，受到邀请应主动提出回避，采购当事人也可以要求该评审专家回避：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1、参加采购活动前三年内，与供应商存在劳动关系，或者担任过供应商的董事、监事，或者是供应商的控股股东或实际控制人；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2、与供应商的法定代表人或者负责人有夫妻、直系血亲、三代以内旁系血亲或者近姻亲关系；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3、与供应商有其他可能影响政府采购活动公平、公正进行的关系；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4、参与过采购项目进口产品论证的专家应当回避；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5、通过随机抽到本单位的评审专家，采购人已经指定了采购人代表，该评审专家应当回避，采购人自行选定相应专业领域评审专家情形除外；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6、法律、法规、规章规定应当回避以及其他可能影响公正评审的。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（四）评标委员会判断投标文件的有效性、合格性和响应情况，仅依据供应商所递交一切文件的真实表述，不受与本项目无直接关联的外部信息、传言而影响自身的专业判断。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评委依法独立评审，并对评审意见承担个人责任。对明显畸高、畸低的评分（评审小组成员个人主观总评分偏离所有评审小组成员主观总评分平均值30%以上），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四、评标方法</w:t>
      </w:r>
    </w:p>
    <w:p>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（一）本次采购项目的评标方法为：综合评分法。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（二）采用综合评分法的，评标结果按评审后得分由高到低顺序推荐3名中标候选人。得分相同的，按投标报价由低到高顺序排列。得分且投标报价相同的并列，则抽签决定。投标文件满足</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全部实质性要求，且按照评审因素的量化指标评审得分最高的供应商为排名第一的中标候选人，以此类推。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（三）投标文件的澄清</w:t>
      </w:r>
    </w:p>
    <w:p>
      <w:pPr>
        <w:pStyle w:val="30"/>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1、对于投标文件中含义不明确、同类问题表述不一致或者有明显文字和计算错误的内容，评标委员会应当以书面形式要求供应商作出必要的澄清、说明或者补正。</w:t>
      </w:r>
    </w:p>
    <w:p>
      <w:pPr>
        <w:pStyle w:val="30"/>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澄清、说明或者补正应当采用书面形式（或扫描件上传政采云平台），并加盖公章，或者由法定代表人或其授权的代表签字。供应商的澄清、说明或者补正不得超出投标文件的范围或者改变投标文件的实质性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（四）投标文件错误修正原则</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投标文件如果出现计算或表达上的错误，修正错误的原则如下：</w:t>
      </w:r>
    </w:p>
    <w:p>
      <w:pPr>
        <w:pStyle w:val="30"/>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p>
    <w:p>
      <w:pPr>
        <w:pStyle w:val="30"/>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pStyle w:val="30"/>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pPr>
        <w:pStyle w:val="30"/>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pStyle w:val="30"/>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5、政采云平台填报的开标一览表中的价格与上传的报价文件中开标一览表的报价不一致的，以上传的报价文件为准。</w:t>
      </w:r>
    </w:p>
    <w:p>
      <w:pPr>
        <w:pStyle w:val="30"/>
        <w:snapToGrid/>
        <w:spacing w:line="360" w:lineRule="auto"/>
        <w:ind w:firstLine="417" w:firstLineChars="19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同时出现两种以上不一致的，按照前款规定的顺序修正。修正后的报价按照投标文件澄清第二款的规定经供应商确认后产生约束力，供应商不确认的，其投标无效。</w:t>
      </w:r>
    </w:p>
    <w:p>
      <w:pPr>
        <w:numPr>
          <w:ilvl w:val="0"/>
          <w:numId w:val="8"/>
        </w:numPr>
        <w:spacing w:line="360" w:lineRule="auto"/>
        <w:rPr>
          <w:rFonts w:hint="eastAsia" w:ascii="宋体" w:hAnsi="宋体" w:eastAsia="宋体" w:cs="宋体"/>
          <w:b/>
          <w:bCs/>
          <w:color w:val="auto"/>
          <w:szCs w:val="21"/>
          <w:highlight w:val="none"/>
        </w:rPr>
      </w:pPr>
      <w:bookmarkStart w:id="24" w:name="_Toc481567077"/>
      <w:bookmarkStart w:id="25" w:name="_Toc493058318"/>
      <w:r>
        <w:rPr>
          <w:rFonts w:hint="eastAsia" w:ascii="宋体" w:hAnsi="宋体" w:eastAsia="宋体" w:cs="宋体"/>
          <w:b/>
          <w:bCs/>
          <w:color w:val="auto"/>
          <w:szCs w:val="21"/>
          <w:highlight w:val="none"/>
        </w:rPr>
        <w:t>评标</w:t>
      </w:r>
      <w:bookmarkEnd w:id="24"/>
      <w:r>
        <w:rPr>
          <w:rFonts w:hint="eastAsia" w:ascii="宋体" w:hAnsi="宋体" w:eastAsia="宋体" w:cs="宋体"/>
          <w:b/>
          <w:bCs/>
          <w:color w:val="auto"/>
          <w:szCs w:val="21"/>
          <w:highlight w:val="none"/>
        </w:rPr>
        <w:t>程序</w:t>
      </w:r>
      <w:bookmarkEnd w:id="25"/>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（一）资格条件审查</w:t>
      </w:r>
    </w:p>
    <w:p>
      <w:pPr>
        <w:spacing w:line="360" w:lineRule="auto"/>
        <w:ind w:firstLine="522" w:firstLineChars="24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由采购人或采购代理机构对供应商的资格进行审查。</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审查类别</w:t>
            </w: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资格条件审查</w:t>
            </w:r>
          </w:p>
        </w:tc>
        <w:tc>
          <w:tcPr>
            <w:tcW w:w="6794" w:type="dxa"/>
            <w:noWrap w:val="0"/>
            <w:vAlign w:val="top"/>
          </w:tcPr>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i w:val="0"/>
                <w:iCs w:val="0"/>
                <w:color w:val="auto"/>
                <w:sz w:val="21"/>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Cs w:val="21"/>
                <w:highlight w:val="none"/>
              </w:rPr>
            </w:pPr>
          </w:p>
        </w:tc>
        <w:tc>
          <w:tcPr>
            <w:tcW w:w="6794" w:type="dxa"/>
            <w:noWrap w:val="0"/>
            <w:vAlign w:val="top"/>
          </w:tcPr>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highlight w:val="none"/>
                <w:lang w:eastAsia="zh-CN"/>
              </w:rPr>
            </w:pPr>
            <w:r>
              <w:rPr>
                <w:rFonts w:hint="eastAsia" w:ascii="宋体" w:hAnsi="宋体" w:cs="宋体"/>
                <w:i w:val="0"/>
                <w:iCs w:val="0"/>
                <w:color w:val="auto"/>
                <w:sz w:val="21"/>
                <w:szCs w:val="21"/>
                <w:highlight w:val="none"/>
                <w:lang w:eastAsia="zh-CN"/>
              </w:rPr>
              <w:t>（二）</w:t>
            </w:r>
            <w:r>
              <w:rPr>
                <w:rFonts w:hint="eastAsia" w:ascii="宋体" w:hAnsi="宋体" w:eastAsia="宋体" w:cs="宋体"/>
                <w:i w:val="0"/>
                <w:iCs w:val="0"/>
                <w:color w:val="auto"/>
                <w:sz w:val="21"/>
                <w:szCs w:val="21"/>
                <w:highlight w:val="none"/>
              </w:rPr>
              <w:t>落实政府采购政策需满足的资格要求：</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）特定资格条件：</w:t>
            </w:r>
            <w:r>
              <w:rPr>
                <w:rFonts w:hint="eastAsia" w:ascii="宋体" w:hAnsi="宋体" w:eastAsia="宋体" w:cs="宋体"/>
                <w:color w:val="auto"/>
                <w:highlight w:val="none"/>
                <w:lang w:eastAsia="zh-CN"/>
              </w:rPr>
              <w:t>详见“第一章  公开招标公告 二、申请人的资格要求：3.本项目的特定资格要求”</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w:t>
            </w:r>
            <w:r>
              <w:rPr>
                <w:rFonts w:hint="eastAsia" w:ascii="宋体" w:hAnsi="宋体" w:eastAsia="宋体" w:cs="宋体"/>
                <w:color w:val="auto"/>
                <w:highlight w:val="none"/>
              </w:rPr>
              <w:t>本项目接受联合体投标；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p>
        </w:tc>
        <w:tc>
          <w:tcPr>
            <w:tcW w:w="679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要求的其他资格条件（如有）。</w:t>
            </w:r>
          </w:p>
        </w:tc>
      </w:tr>
    </w:tbl>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（二）符合性审查</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评标委员会应当对符合资格的供应商的投标文件进行符合性审查，以确定其是否满足</w:t>
      </w:r>
      <w:r>
        <w:rPr>
          <w:rFonts w:hint="eastAsia" w:ascii="宋体" w:hAnsi="宋体" w:cs="宋体"/>
          <w:color w:val="auto"/>
          <w:kern w:val="0"/>
          <w:szCs w:val="21"/>
          <w:highlight w:val="none"/>
          <w:lang w:eastAsia="zh-CN"/>
        </w:rPr>
        <w:t>招标文件</w:t>
      </w:r>
      <w:r>
        <w:rPr>
          <w:rFonts w:hint="eastAsia" w:ascii="宋体" w:hAnsi="宋体" w:eastAsia="宋体" w:cs="宋体"/>
          <w:color w:val="auto"/>
          <w:kern w:val="0"/>
          <w:szCs w:val="21"/>
          <w:highlight w:val="none"/>
        </w:rPr>
        <w:t>的实质性要求。</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noWrap w:val="0"/>
            <w:vAlign w:val="top"/>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审查类别</w:t>
            </w:r>
          </w:p>
        </w:tc>
        <w:tc>
          <w:tcPr>
            <w:tcW w:w="6525" w:type="dxa"/>
            <w:noWrap w:val="0"/>
            <w:vAlign w:val="top"/>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（商务技术文件）</w:t>
            </w:r>
          </w:p>
        </w:tc>
        <w:tc>
          <w:tcPr>
            <w:tcW w:w="6525" w:type="dxa"/>
            <w:noWrap w:val="0"/>
            <w:vAlign w:val="center"/>
          </w:tcPr>
          <w:p>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（一）</w:t>
            </w:r>
            <w:r>
              <w:rPr>
                <w:rFonts w:hint="eastAsia" w:ascii="宋体" w:hAnsi="宋体" w:eastAsia="宋体" w:cs="宋体"/>
                <w:color w:val="auto"/>
                <w:highlight w:val="none"/>
              </w:rPr>
              <w:t>投标函已提交并符合</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（二）</w:t>
            </w:r>
            <w:r>
              <w:rPr>
                <w:rFonts w:hint="eastAsia" w:ascii="宋体" w:hAnsi="宋体" w:eastAsia="宋体" w:cs="宋体"/>
                <w:color w:val="auto"/>
                <w:highlight w:val="none"/>
              </w:rPr>
              <w:t>按照</w:t>
            </w:r>
            <w:r>
              <w:rPr>
                <w:rFonts w:hint="eastAsia" w:ascii="宋体" w:hAnsi="宋体" w:cs="宋体"/>
                <w:color w:val="auto"/>
                <w:highlight w:val="none"/>
                <w:lang w:eastAsia="zh-CN"/>
              </w:rPr>
              <w:t>招标文件</w:t>
            </w:r>
            <w:r>
              <w:rPr>
                <w:rFonts w:hint="eastAsia" w:ascii="宋体" w:hAnsi="宋体" w:eastAsia="宋体" w:cs="宋体"/>
                <w:color w:val="auto"/>
                <w:highlight w:val="none"/>
              </w:rPr>
              <w:t>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（三）</w:t>
            </w:r>
            <w:r>
              <w:rPr>
                <w:rFonts w:hint="eastAsia" w:ascii="宋体" w:hAnsi="宋体" w:eastAsia="宋体" w:cs="宋体"/>
                <w:color w:val="auto"/>
                <w:highlight w:val="none"/>
              </w:rPr>
              <w:t>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（四）</w:t>
            </w:r>
            <w:r>
              <w:rPr>
                <w:rFonts w:hint="eastAsia" w:ascii="宋体" w:hAnsi="宋体" w:eastAsia="宋体" w:cs="宋体"/>
                <w:color w:val="auto"/>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eastAsia="宋体" w:cs="宋体"/>
                <w:color w:val="auto"/>
                <w:kern w:val="0"/>
                <w:highlight w:val="none"/>
              </w:rPr>
            </w:pPr>
            <w:r>
              <w:rPr>
                <w:rFonts w:hint="eastAsia" w:ascii="宋体" w:hAnsi="宋体" w:eastAsia="宋体" w:cs="宋体"/>
                <w:color w:val="auto"/>
                <w:szCs w:val="21"/>
                <w:highlight w:val="none"/>
              </w:rPr>
              <w:t>（五）</w:t>
            </w:r>
            <w:r>
              <w:rPr>
                <w:rFonts w:hint="eastAsia" w:ascii="宋体" w:hAnsi="宋体" w:eastAsia="宋体" w:cs="宋体"/>
                <w:color w:val="auto"/>
                <w:highlight w:val="none"/>
              </w:rPr>
              <w:t>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（六）</w:t>
            </w:r>
            <w:r>
              <w:rPr>
                <w:rFonts w:hint="eastAsia" w:ascii="宋体" w:hAnsi="宋体" w:eastAsia="宋体" w:cs="宋体"/>
                <w:color w:val="auto"/>
                <w:highlight w:val="none"/>
              </w:rPr>
              <w:t>投标文件的实质性内容使用中文表述且意思表述明确，前后无矛盾且使用计量单位符合</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（七）</w:t>
            </w:r>
            <w:r>
              <w:rPr>
                <w:rFonts w:hint="eastAsia" w:ascii="宋体" w:hAnsi="宋体" w:eastAsia="宋体" w:cs="宋体"/>
                <w:color w:val="auto"/>
                <w:highlight w:val="none"/>
              </w:rPr>
              <w:t>带“★”的条款满足</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要求、已实质性响应</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（八）</w:t>
            </w:r>
            <w:r>
              <w:rPr>
                <w:rFonts w:hint="eastAsia" w:ascii="宋体" w:hAnsi="宋体" w:eastAsia="宋体" w:cs="宋体"/>
                <w:color w:val="auto"/>
                <w:highlight w:val="none"/>
              </w:rPr>
              <w:t>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（九）</w:t>
            </w:r>
            <w:r>
              <w:rPr>
                <w:rFonts w:hint="eastAsia" w:ascii="宋体" w:hAnsi="宋体" w:eastAsia="宋体" w:cs="宋体"/>
                <w:color w:val="auto"/>
                <w:highlight w:val="none"/>
              </w:rPr>
              <w:t>商务技术文件中未出现报价或单价的；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（十）</w:t>
            </w:r>
            <w:r>
              <w:rPr>
                <w:rFonts w:hint="eastAsia" w:ascii="宋体" w:hAnsi="宋体" w:eastAsia="宋体" w:cs="宋体"/>
                <w:color w:val="auto"/>
                <w:highlight w:val="none"/>
              </w:rPr>
              <w:t>不存在法律、法规和</w:t>
            </w:r>
            <w:r>
              <w:rPr>
                <w:rFonts w:hint="eastAsia" w:ascii="宋体" w:hAnsi="宋体" w:cs="宋体"/>
                <w:color w:val="auto"/>
                <w:highlight w:val="none"/>
                <w:lang w:eastAsia="zh-CN"/>
              </w:rPr>
              <w:t>招标文件</w:t>
            </w:r>
            <w:r>
              <w:rPr>
                <w:rFonts w:hint="eastAsia" w:ascii="宋体" w:hAnsi="宋体" w:eastAsia="宋体" w:cs="宋体"/>
                <w:color w:val="auto"/>
                <w:highlight w:val="none"/>
              </w:rPr>
              <w:t>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6525" w:type="dxa"/>
            <w:noWrap w:val="0"/>
            <w:vAlign w:val="center"/>
          </w:tcPr>
          <w:p>
            <w:pPr>
              <w:tabs>
                <w:tab w:val="left" w:pos="612"/>
              </w:tabs>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（十一）</w:t>
            </w:r>
            <w:r>
              <w:rPr>
                <w:rFonts w:hint="eastAsia" w:ascii="宋体" w:hAnsi="宋体" w:eastAsia="宋体" w:cs="宋体"/>
                <w:color w:val="auto"/>
                <w:highlight w:val="none"/>
              </w:rPr>
              <w:t>不存在投标文件的有效期不满足</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w:t>
            </w:r>
          </w:p>
          <w:p>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w:t>
            </w:r>
          </w:p>
        </w:tc>
        <w:tc>
          <w:tcPr>
            <w:tcW w:w="6525" w:type="dxa"/>
            <w:noWrap w:val="0"/>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（一）</w:t>
            </w:r>
            <w:r>
              <w:rPr>
                <w:rFonts w:hint="eastAsia" w:ascii="宋体" w:hAnsi="宋体" w:eastAsia="宋体" w:cs="宋体"/>
                <w:color w:val="auto"/>
                <w:highlight w:val="none"/>
              </w:rPr>
              <w:t>按照</w:t>
            </w:r>
            <w:r>
              <w:rPr>
                <w:rFonts w:hint="eastAsia" w:ascii="宋体" w:hAnsi="宋体" w:cs="宋体"/>
                <w:color w:val="auto"/>
                <w:highlight w:val="none"/>
                <w:lang w:eastAsia="zh-CN"/>
              </w:rPr>
              <w:t>招标文件</w:t>
            </w:r>
            <w:r>
              <w:rPr>
                <w:rFonts w:hint="eastAsia" w:ascii="宋体" w:hAnsi="宋体" w:eastAsia="宋体" w:cs="宋体"/>
                <w:color w:val="auto"/>
                <w:highlight w:val="none"/>
              </w:rPr>
              <w:t>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pPr>
              <w:spacing w:line="360" w:lineRule="auto"/>
              <w:ind w:firstLine="210" w:firstLineChars="100"/>
              <w:rPr>
                <w:rFonts w:hint="eastAsia" w:ascii="宋体" w:hAnsi="宋体" w:eastAsia="宋体" w:cs="宋体"/>
                <w:color w:val="auto"/>
                <w:szCs w:val="21"/>
                <w:highlight w:val="none"/>
              </w:rPr>
            </w:pPr>
          </w:p>
        </w:tc>
        <w:tc>
          <w:tcPr>
            <w:tcW w:w="6525"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r>
              <w:rPr>
                <w:rFonts w:hint="eastAsia" w:ascii="宋体" w:hAnsi="宋体" w:eastAsia="宋体" w:cs="宋体"/>
                <w:color w:val="auto"/>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pPr>
              <w:spacing w:line="360" w:lineRule="auto"/>
              <w:ind w:firstLine="210" w:firstLineChars="100"/>
              <w:rPr>
                <w:rFonts w:hint="eastAsia" w:ascii="宋体" w:hAnsi="宋体" w:eastAsia="宋体" w:cs="宋体"/>
                <w:color w:val="auto"/>
                <w:szCs w:val="21"/>
                <w:highlight w:val="none"/>
              </w:rPr>
            </w:pPr>
          </w:p>
        </w:tc>
        <w:tc>
          <w:tcPr>
            <w:tcW w:w="6525"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r>
              <w:rPr>
                <w:rFonts w:hint="eastAsia" w:ascii="宋体" w:hAnsi="宋体" w:eastAsia="宋体" w:cs="宋体"/>
                <w:color w:val="auto"/>
                <w:highlight w:val="none"/>
              </w:rPr>
              <w:t>采用人民币报价或者按照</w:t>
            </w:r>
            <w:r>
              <w:rPr>
                <w:rFonts w:hint="eastAsia" w:ascii="宋体" w:hAnsi="宋体" w:cs="宋体"/>
                <w:color w:val="auto"/>
                <w:highlight w:val="none"/>
                <w:lang w:eastAsia="zh-CN"/>
              </w:rPr>
              <w:t>招标文件</w:t>
            </w:r>
            <w:r>
              <w:rPr>
                <w:rFonts w:hint="eastAsia" w:ascii="宋体" w:hAnsi="宋体" w:eastAsia="宋体" w:cs="宋体"/>
                <w:color w:val="auto"/>
                <w:highlight w:val="none"/>
              </w:rPr>
              <w:t>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pPr>
              <w:spacing w:line="360" w:lineRule="auto"/>
              <w:ind w:firstLine="210" w:firstLineChars="100"/>
              <w:rPr>
                <w:rFonts w:hint="eastAsia" w:ascii="宋体" w:hAnsi="宋体" w:eastAsia="宋体" w:cs="宋体"/>
                <w:color w:val="auto"/>
                <w:szCs w:val="21"/>
                <w:highlight w:val="none"/>
              </w:rPr>
            </w:pPr>
          </w:p>
        </w:tc>
        <w:tc>
          <w:tcPr>
            <w:tcW w:w="6525"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（四）不存在报价超出最高限价，或者超出采购预算金额，采购人不能支付</w:t>
            </w:r>
            <w:r>
              <w:rPr>
                <w:rFonts w:hint="eastAsia" w:ascii="宋体" w:hAnsi="宋体" w:eastAsia="宋体" w:cs="宋体"/>
                <w:color w:val="auto"/>
                <w:highlight w:val="none"/>
              </w:rPr>
              <w:t>的情形</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pPr>
              <w:spacing w:line="360" w:lineRule="auto"/>
              <w:ind w:firstLine="210" w:firstLineChars="100"/>
              <w:rPr>
                <w:rFonts w:hint="eastAsia" w:ascii="宋体" w:hAnsi="宋体" w:eastAsia="宋体" w:cs="宋体"/>
                <w:color w:val="auto"/>
                <w:szCs w:val="21"/>
                <w:highlight w:val="none"/>
              </w:rPr>
            </w:pPr>
          </w:p>
        </w:tc>
        <w:tc>
          <w:tcPr>
            <w:tcW w:w="6525"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（五）不存在</w:t>
            </w:r>
            <w:r>
              <w:rPr>
                <w:rFonts w:hint="eastAsia" w:ascii="宋体" w:hAnsi="宋体" w:eastAsia="宋体" w:cs="宋体"/>
                <w:color w:val="auto"/>
                <w:highlight w:val="none"/>
              </w:rPr>
              <w:t>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pPr>
              <w:spacing w:line="360" w:lineRule="auto"/>
              <w:ind w:firstLine="210" w:firstLineChars="100"/>
              <w:rPr>
                <w:rFonts w:hint="eastAsia" w:ascii="宋体" w:hAnsi="宋体" w:eastAsia="宋体" w:cs="宋体"/>
                <w:color w:val="auto"/>
                <w:szCs w:val="21"/>
                <w:highlight w:val="none"/>
              </w:rPr>
            </w:pPr>
          </w:p>
        </w:tc>
        <w:tc>
          <w:tcPr>
            <w:tcW w:w="6525"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r>
              <w:rPr>
                <w:rFonts w:hint="eastAsia" w:ascii="宋体" w:hAnsi="宋体" w:eastAsia="宋体" w:cs="宋体"/>
                <w:color w:val="auto"/>
                <w:highlight w:val="none"/>
              </w:rPr>
              <w:t>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pPr>
              <w:spacing w:line="360" w:lineRule="auto"/>
              <w:ind w:firstLine="210" w:firstLineChars="100"/>
              <w:rPr>
                <w:rFonts w:hint="eastAsia" w:ascii="宋体" w:hAnsi="宋体" w:eastAsia="宋体" w:cs="宋体"/>
                <w:color w:val="auto"/>
                <w:szCs w:val="21"/>
                <w:highlight w:val="none"/>
              </w:rPr>
            </w:pPr>
          </w:p>
        </w:tc>
        <w:tc>
          <w:tcPr>
            <w:tcW w:w="6525"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（七）不存在</w:t>
            </w:r>
            <w:r>
              <w:rPr>
                <w:rFonts w:hint="eastAsia" w:ascii="宋体" w:hAnsi="宋体" w:eastAsia="宋体" w:cs="宋体"/>
                <w:color w:val="auto"/>
                <w:highlight w:val="none"/>
              </w:rPr>
              <w:t>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pPr>
              <w:spacing w:line="360" w:lineRule="auto"/>
              <w:ind w:firstLine="210" w:firstLineChars="100"/>
              <w:rPr>
                <w:rFonts w:hint="eastAsia" w:ascii="宋体" w:hAnsi="宋体" w:eastAsia="宋体" w:cs="宋体"/>
                <w:color w:val="auto"/>
                <w:szCs w:val="21"/>
                <w:highlight w:val="none"/>
              </w:rPr>
            </w:pPr>
          </w:p>
        </w:tc>
        <w:tc>
          <w:tcPr>
            <w:tcW w:w="6525"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w:t>
            </w:r>
            <w:r>
              <w:rPr>
                <w:rFonts w:hint="eastAsia" w:ascii="宋体" w:hAnsi="宋体" w:eastAsia="宋体" w:cs="宋体"/>
                <w:color w:val="auto"/>
                <w:highlight w:val="none"/>
              </w:rPr>
              <w:t>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90" w:type="dxa"/>
            <w:vMerge w:val="continue"/>
            <w:noWrap w:val="0"/>
            <w:vAlign w:val="top"/>
          </w:tcPr>
          <w:p>
            <w:pPr>
              <w:spacing w:line="360" w:lineRule="auto"/>
              <w:ind w:firstLine="210" w:firstLineChars="100"/>
              <w:rPr>
                <w:rFonts w:hint="eastAsia" w:ascii="宋体" w:hAnsi="宋体" w:eastAsia="宋体" w:cs="宋体"/>
                <w:color w:val="auto"/>
                <w:szCs w:val="21"/>
                <w:highlight w:val="none"/>
              </w:rPr>
            </w:pPr>
          </w:p>
        </w:tc>
        <w:tc>
          <w:tcPr>
            <w:tcW w:w="6525"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r>
              <w:rPr>
                <w:rFonts w:hint="eastAsia" w:ascii="宋体" w:hAnsi="宋体" w:eastAsia="宋体" w:cs="宋体"/>
                <w:color w:val="auto"/>
                <w:highlight w:val="none"/>
              </w:rPr>
              <w:t>不存在法律、法规和</w:t>
            </w:r>
            <w:r>
              <w:rPr>
                <w:rFonts w:hint="eastAsia" w:ascii="宋体" w:hAnsi="宋体" w:cs="宋体"/>
                <w:color w:val="auto"/>
                <w:highlight w:val="none"/>
                <w:lang w:eastAsia="zh-CN"/>
              </w:rPr>
              <w:t>招标文件</w:t>
            </w:r>
            <w:r>
              <w:rPr>
                <w:rFonts w:hint="eastAsia" w:ascii="宋体" w:hAnsi="宋体" w:eastAsia="宋体" w:cs="宋体"/>
                <w:color w:val="auto"/>
                <w:highlight w:val="none"/>
              </w:rPr>
              <w:t>规定的其他无效情形；</w:t>
            </w:r>
          </w:p>
        </w:tc>
      </w:tr>
    </w:tbl>
    <w:p>
      <w:pPr>
        <w:spacing w:line="360" w:lineRule="auto"/>
        <w:ind w:firstLine="422" w:firstLineChars="200"/>
        <w:rPr>
          <w:rFonts w:hint="eastAsia" w:ascii="宋体" w:hAnsi="宋体" w:eastAsia="宋体" w:cs="宋体"/>
          <w:b/>
          <w:color w:val="auto"/>
          <w:highlight w:val="none"/>
        </w:rPr>
      </w:pPr>
      <w:bookmarkStart w:id="26" w:name="_Toc249866767"/>
      <w:bookmarkStart w:id="27" w:name="_Toc259108323"/>
      <w:r>
        <w:rPr>
          <w:rFonts w:hint="eastAsia" w:ascii="宋体" w:hAnsi="宋体" w:eastAsia="宋体" w:cs="宋体"/>
          <w:b/>
          <w:color w:val="auto"/>
          <w:highlight w:val="none"/>
        </w:rPr>
        <w:t>（三）投标无效的情形</w:t>
      </w:r>
      <w:bookmarkEnd w:id="26"/>
      <w:bookmarkEnd w:id="2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没有响应</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实质性要求的投标将被视为无效投标。供应商不得通过修正或</w:t>
      </w:r>
      <w:r>
        <w:rPr>
          <w:rFonts w:hint="eastAsia" w:ascii="宋体" w:hAnsi="宋体" w:eastAsia="宋体" w:cs="宋体"/>
          <w:color w:val="auto"/>
          <w:szCs w:val="21"/>
          <w:highlight w:val="none"/>
          <w:lang w:eastAsia="zh-CN"/>
        </w:rPr>
        <w:t>撤销</w:t>
      </w:r>
      <w:r>
        <w:rPr>
          <w:rFonts w:hint="eastAsia" w:ascii="宋体" w:hAnsi="宋体" w:eastAsia="宋体" w:cs="宋体"/>
          <w:color w:val="auto"/>
          <w:szCs w:val="21"/>
          <w:highlight w:val="none"/>
        </w:rPr>
        <w:t>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要求的，应认定其投标无效。供应商修改、补正投标文件后，不影响评标委员会对其投标文件所作的评价和评分结果。</w:t>
      </w:r>
    </w:p>
    <w:p>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Cs w:val="21"/>
          <w:highlight w:val="none"/>
        </w:rPr>
        <w:t>★上传投标文件同一网卡地址、同一IP地址的为无效标。</w:t>
      </w:r>
    </w:p>
    <w:p>
      <w:pPr>
        <w:numPr>
          <w:ilvl w:val="0"/>
          <w:numId w:val="10"/>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在资格审查时，如发现下列情形之一的，将被视为无效投标文件：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1、资格证明文件不全的或者不符合</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标明的资格要求的；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2、供应商资格声明函无法定代表人或授权代表签名；</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B、在符合性审查（商务技术文件）时，如发现下列情形之一的，将被视为无效投标文件：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w:t>
      </w:r>
      <w:r>
        <w:rPr>
          <w:rFonts w:hint="eastAsia" w:ascii="宋体" w:hAnsi="宋体" w:eastAsia="宋体" w:cs="宋体"/>
          <w:color w:val="auto"/>
          <w:highlight w:val="none"/>
        </w:rPr>
        <w:t>提交投标函或投标函内容不符合</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2、未按照</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规定要求签署或盖章；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3、投标文件无法定代表人签署本人姓名（或印盖本人姓名章），或签署人未提供有效的法定代表人授权委托书或授权委托书填写项目不齐全的；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4、投标文件项目不齐全；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5、投标文件标明的响应或偏离与事实不符或虚假投标的；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6、投标文件的实质性内容未使用中文表述、意思表述不明确、前后矛盾或者使用计量单位不符合</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要求的（经评标委员会认定并允许其当场更正的笔误除外）；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7、带“★”的条款不能满足</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要求、未实质性响应</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要求或者投标文件有采购人不能接受的附加条件的；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t>8、</w:t>
      </w:r>
      <w:r>
        <w:rPr>
          <w:rFonts w:hint="eastAsia" w:ascii="宋体" w:hAnsi="宋体" w:eastAsia="宋体" w:cs="宋体"/>
          <w:color w:val="auto"/>
          <w:szCs w:val="21"/>
          <w:highlight w:val="none"/>
        </w:rPr>
        <w:t>投标技术方案不明确，存在一个或一个以上备选（替代）投标方案的；</w:t>
      </w:r>
    </w:p>
    <w:p>
      <w:pPr>
        <w:spacing w:line="336" w:lineRule="auto"/>
        <w:ind w:firstLine="420"/>
        <w:rPr>
          <w:rFonts w:hint="eastAsia" w:ascii="宋体" w:hAnsi="宋体" w:eastAsia="宋体" w:cs="宋体"/>
          <w:color w:val="auto"/>
          <w:kern w:val="1"/>
          <w:szCs w:val="21"/>
          <w:highlight w:val="none"/>
        </w:rPr>
      </w:pPr>
      <w:r>
        <w:rPr>
          <w:rFonts w:hint="eastAsia" w:ascii="宋体" w:hAnsi="宋体" w:cs="宋体"/>
          <w:color w:val="auto"/>
          <w:kern w:val="1"/>
          <w:szCs w:val="21"/>
          <w:highlight w:val="none"/>
          <w:lang w:val="en-US" w:eastAsia="zh-CN"/>
        </w:rPr>
        <w:t>9</w:t>
      </w:r>
      <w:r>
        <w:rPr>
          <w:rFonts w:hint="eastAsia" w:ascii="宋体" w:hAnsi="宋体" w:eastAsia="宋体" w:cs="宋体"/>
          <w:color w:val="auto"/>
          <w:kern w:val="1"/>
          <w:szCs w:val="21"/>
          <w:highlight w:val="none"/>
        </w:rPr>
        <w:t>、商务技术文件中出现报价或单价的；</w:t>
      </w:r>
    </w:p>
    <w:p>
      <w:pPr>
        <w:spacing w:line="336" w:lineRule="auto"/>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1</w:t>
      </w:r>
      <w:r>
        <w:rPr>
          <w:rFonts w:hint="eastAsia" w:ascii="宋体" w:hAnsi="宋体" w:cs="宋体"/>
          <w:color w:val="auto"/>
          <w:kern w:val="1"/>
          <w:szCs w:val="21"/>
          <w:highlight w:val="none"/>
          <w:lang w:val="en-US" w:eastAsia="zh-CN"/>
        </w:rPr>
        <w:t>0</w:t>
      </w:r>
      <w:r>
        <w:rPr>
          <w:rFonts w:hint="eastAsia" w:ascii="宋体" w:hAnsi="宋体" w:eastAsia="宋体" w:cs="宋体"/>
          <w:color w:val="auto"/>
          <w:kern w:val="1"/>
          <w:szCs w:val="21"/>
          <w:highlight w:val="none"/>
        </w:rPr>
        <w:t>、法律、法规和</w:t>
      </w:r>
      <w:r>
        <w:rPr>
          <w:rFonts w:hint="eastAsia" w:ascii="宋体" w:hAnsi="宋体" w:cs="宋体"/>
          <w:color w:val="auto"/>
          <w:kern w:val="1"/>
          <w:szCs w:val="21"/>
          <w:highlight w:val="none"/>
          <w:lang w:eastAsia="zh-CN"/>
        </w:rPr>
        <w:t>招标文件</w:t>
      </w:r>
      <w:r>
        <w:rPr>
          <w:rFonts w:hint="eastAsia" w:ascii="宋体" w:hAnsi="宋体" w:eastAsia="宋体" w:cs="宋体"/>
          <w:color w:val="auto"/>
          <w:kern w:val="1"/>
          <w:szCs w:val="21"/>
          <w:highlight w:val="none"/>
        </w:rPr>
        <w:t>规定的其他无效情形；</w:t>
      </w:r>
    </w:p>
    <w:p>
      <w:pPr>
        <w:spacing w:line="336" w:lineRule="auto"/>
        <w:ind w:firstLine="420"/>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1</w:t>
      </w:r>
      <w:r>
        <w:rPr>
          <w:rFonts w:hint="eastAsia" w:ascii="宋体" w:hAnsi="宋体" w:cs="宋体"/>
          <w:color w:val="auto"/>
          <w:kern w:val="1"/>
          <w:szCs w:val="21"/>
          <w:highlight w:val="none"/>
          <w:lang w:val="en-US" w:eastAsia="zh-CN"/>
        </w:rPr>
        <w:t>1</w:t>
      </w:r>
      <w:r>
        <w:rPr>
          <w:rFonts w:hint="eastAsia" w:ascii="宋体" w:hAnsi="宋体" w:eastAsia="宋体" w:cs="宋体"/>
          <w:color w:val="auto"/>
          <w:kern w:val="1"/>
          <w:szCs w:val="21"/>
          <w:highlight w:val="none"/>
        </w:rPr>
        <w:t>、投标文件的有效期不满足</w:t>
      </w:r>
      <w:r>
        <w:rPr>
          <w:rFonts w:hint="eastAsia" w:ascii="宋体" w:hAnsi="宋体" w:cs="宋体"/>
          <w:color w:val="auto"/>
          <w:kern w:val="1"/>
          <w:szCs w:val="21"/>
          <w:highlight w:val="none"/>
          <w:lang w:eastAsia="zh-CN"/>
        </w:rPr>
        <w:t>招标文件</w:t>
      </w:r>
      <w:r>
        <w:rPr>
          <w:rFonts w:hint="eastAsia" w:ascii="宋体" w:hAnsi="宋体" w:eastAsia="宋体" w:cs="宋体"/>
          <w:color w:val="auto"/>
          <w:kern w:val="1"/>
          <w:szCs w:val="21"/>
          <w:highlight w:val="none"/>
        </w:rPr>
        <w:t>要求；</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C、在符合性审查（报价文件）时，如发现下列情形之一的，将被视为无效投标文件：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1、未按照</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规定要求签署或盖章；</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2、投标文件项目不齐全；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3、未采用人民币报价或者未按照</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标明的币种报价的；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4、报价超出最高限价，或者超出采购预算金额，采购人不能支付的；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5、投标报价具有选择性的；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6、投标报价中出现重大缺项、漏项；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8、投标文件（报价文件）内容与投标文件（商务技术文件）内容有重大差异的；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9、法律、法规和</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规定的其他无效情形；</w:t>
      </w:r>
    </w:p>
    <w:p>
      <w:pPr>
        <w:numPr>
          <w:ilvl w:val="0"/>
          <w:numId w:val="11"/>
        </w:num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评分标准（兼评委打分表）</w:t>
      </w: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72"/>
        <w:gridCol w:w="6675"/>
        <w:gridCol w:w="711"/>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500" w:leftChars="0" w:hanging="500" w:hangingChars="237"/>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宋体" w:eastAsia="宋体" w:cs="宋体"/>
                <w:color w:val="auto"/>
                <w:sz w:val="21"/>
                <w:szCs w:val="21"/>
                <w:highlight w:val="none"/>
              </w:rPr>
            </w:pPr>
            <w:r>
              <w:rPr>
                <w:rFonts w:hint="eastAsia" w:ascii="宋体" w:hAnsi="Times New Roman" w:eastAsia="宋体" w:cs="Times New Roman"/>
                <w:color w:val="auto"/>
                <w:szCs w:val="21"/>
                <w:highlight w:val="none"/>
              </w:rPr>
              <w:t>商务技术分</w:t>
            </w:r>
            <w:r>
              <w:rPr>
                <w:rFonts w:hint="eastAsia" w:ascii="宋体" w:cs="Times New Roman"/>
                <w:color w:val="auto"/>
                <w:szCs w:val="21"/>
                <w:highlight w:val="none"/>
                <w:lang w:val="en-US" w:eastAsia="zh-CN"/>
              </w:rPr>
              <w:t>90</w:t>
            </w:r>
            <w:r>
              <w:rPr>
                <w:rFonts w:hint="eastAsia" w:ascii="宋体" w:hAnsi="Times New Roman" w:eastAsia="宋体" w:cs="Times New Roman"/>
                <w:color w:val="auto"/>
                <w:szCs w:val="21"/>
                <w:highlight w:val="none"/>
              </w:rPr>
              <w:t>分</w:t>
            </w:r>
          </w:p>
        </w:tc>
        <w:tc>
          <w:tcPr>
            <w:tcW w:w="12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项目理解（10分）</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评委根据供应商针对本项目的服务内容是否熟悉了解、理解程度是否具有深度、现状调查是否透彻、问题剖析是否全面、是否精准的情况进行评议。内容欠合理的每项扣0.5分，内容不合理的每项扣1分，无相关内容的不得分，扣完为止，本项最高得5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color w:val="auto"/>
                <w:highlight w:val="none"/>
              </w:rPr>
            </w:pPr>
          </w:p>
        </w:tc>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color w:val="auto"/>
                <w:highlight w:val="none"/>
              </w:rPr>
            </w:pP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评委根据供应商针对本项目的难点、重点问题的调查剖析是否准确、是否全面，提出克服解决措施建议是否有针对性、是否合理及是否可行等情况进行评议。内容欠合理的每项扣0.5分，内容不合理的每项扣1分，无相关内容的不得分，扣完为止，本项最高得5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2、作业</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宋体" w:hAnsi="宋体" w:eastAsia="宋体" w:cs="宋体"/>
                <w:color w:val="auto"/>
                <w:sz w:val="21"/>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）评委根据供应商针对本项目的作业方案进行评议，包括但不限于道路保洁方案、垃圾清运方案、垃圾分类方案等是否全面、是否</w:t>
            </w:r>
            <w:r>
              <w:rPr>
                <w:rFonts w:hint="eastAsia" w:ascii="宋体" w:hAnsi="宋体"/>
                <w:color w:val="auto"/>
                <w:szCs w:val="21"/>
                <w:highlight w:val="none"/>
                <w:lang w:val="en-US" w:eastAsia="zh-CN"/>
              </w:rPr>
              <w:t>具有</w:t>
            </w:r>
            <w:r>
              <w:rPr>
                <w:rFonts w:hint="eastAsia" w:ascii="宋体" w:hAnsi="宋体"/>
                <w:color w:val="auto"/>
                <w:szCs w:val="21"/>
                <w:highlight w:val="none"/>
                <w:lang w:eastAsia="zh-CN"/>
              </w:rPr>
              <w:t>可实施</w:t>
            </w:r>
            <w:r>
              <w:rPr>
                <w:rFonts w:hint="eastAsia" w:ascii="宋体" w:hAnsi="宋体"/>
                <w:color w:val="auto"/>
                <w:szCs w:val="21"/>
                <w:highlight w:val="none"/>
                <w:lang w:val="en-US" w:eastAsia="zh-CN"/>
              </w:rPr>
              <w:t>性</w:t>
            </w:r>
            <w:r>
              <w:rPr>
                <w:rFonts w:hint="eastAsia" w:ascii="宋体" w:hAnsi="宋体"/>
                <w:color w:val="auto"/>
                <w:szCs w:val="21"/>
                <w:highlight w:val="none"/>
                <w:lang w:eastAsia="zh-CN"/>
              </w:rPr>
              <w:t>等情况。内容欠合理的每项扣0.5分，内容不合理的每项扣1分，无相关内容的不得分，扣完为止，本项最高得</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sz w:val="21"/>
                <w:szCs w:val="21"/>
                <w:highlight w:val="none"/>
                <w:lang w:val="en-US" w:eastAsia="zh-CN"/>
              </w:rPr>
            </w:pP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）评委根据供应商针对本项目的</w:t>
            </w:r>
            <w:r>
              <w:rPr>
                <w:rFonts w:hint="eastAsia" w:ascii="宋体" w:hAnsi="宋体"/>
                <w:color w:val="auto"/>
                <w:szCs w:val="21"/>
                <w:highlight w:val="none"/>
                <w:lang w:val="en-US" w:eastAsia="zh-CN"/>
              </w:rPr>
              <w:t>作业</w:t>
            </w:r>
            <w:r>
              <w:rPr>
                <w:rFonts w:hint="eastAsia" w:ascii="宋体" w:hAnsi="宋体"/>
                <w:color w:val="auto"/>
                <w:szCs w:val="21"/>
                <w:highlight w:val="none"/>
                <w:lang w:eastAsia="zh-CN"/>
              </w:rPr>
              <w:t>服务方案是否针对性强，总体思路、技术方法是否</w:t>
            </w:r>
            <w:r>
              <w:rPr>
                <w:rFonts w:hint="eastAsia" w:ascii="宋体" w:hAnsi="宋体"/>
                <w:color w:val="auto"/>
                <w:szCs w:val="21"/>
                <w:highlight w:val="none"/>
                <w:lang w:val="en-US" w:eastAsia="zh-CN"/>
              </w:rPr>
              <w:t>能够</w:t>
            </w:r>
            <w:r>
              <w:rPr>
                <w:rFonts w:hint="eastAsia" w:ascii="宋体" w:hAnsi="宋体"/>
                <w:color w:val="auto"/>
                <w:szCs w:val="21"/>
                <w:highlight w:val="none"/>
                <w:lang w:eastAsia="zh-CN"/>
              </w:rPr>
              <w:t>满足本项目需求，工作内容是否</w:t>
            </w:r>
            <w:r>
              <w:rPr>
                <w:rFonts w:hint="eastAsia" w:ascii="宋体" w:hAnsi="宋体"/>
                <w:color w:val="auto"/>
                <w:szCs w:val="21"/>
                <w:highlight w:val="none"/>
                <w:lang w:val="en-US" w:eastAsia="zh-CN"/>
              </w:rPr>
              <w:t>完善且</w:t>
            </w:r>
            <w:r>
              <w:rPr>
                <w:rFonts w:hint="eastAsia" w:ascii="宋体" w:hAnsi="宋体"/>
                <w:color w:val="auto"/>
                <w:szCs w:val="21"/>
                <w:highlight w:val="none"/>
                <w:lang w:eastAsia="zh-CN"/>
              </w:rPr>
              <w:t>全面，实施方案是否</w:t>
            </w:r>
            <w:r>
              <w:rPr>
                <w:rFonts w:hint="eastAsia" w:ascii="宋体" w:hAnsi="宋体"/>
                <w:color w:val="auto"/>
                <w:szCs w:val="21"/>
                <w:highlight w:val="none"/>
                <w:lang w:val="en-US" w:eastAsia="zh-CN"/>
              </w:rPr>
              <w:t>具备</w:t>
            </w:r>
            <w:r>
              <w:rPr>
                <w:rFonts w:hint="eastAsia" w:ascii="宋体" w:hAnsi="宋体"/>
                <w:color w:val="auto"/>
                <w:szCs w:val="21"/>
                <w:highlight w:val="none"/>
                <w:lang w:eastAsia="zh-CN"/>
              </w:rPr>
              <w:t>可操作</w:t>
            </w:r>
            <w:r>
              <w:rPr>
                <w:rFonts w:hint="eastAsia" w:ascii="宋体" w:hAnsi="宋体"/>
                <w:color w:val="auto"/>
                <w:szCs w:val="21"/>
                <w:highlight w:val="none"/>
                <w:lang w:val="en-US" w:eastAsia="zh-CN"/>
              </w:rPr>
              <w:t>性</w:t>
            </w:r>
            <w:r>
              <w:rPr>
                <w:rFonts w:hint="eastAsia" w:ascii="宋体" w:hAnsi="宋体"/>
                <w:color w:val="auto"/>
                <w:szCs w:val="21"/>
                <w:highlight w:val="none"/>
                <w:lang w:eastAsia="zh-CN"/>
              </w:rPr>
              <w:t>等</w:t>
            </w:r>
            <w:r>
              <w:rPr>
                <w:rFonts w:hint="eastAsia" w:ascii="宋体" w:hAnsi="宋体"/>
                <w:color w:val="auto"/>
                <w:szCs w:val="21"/>
                <w:highlight w:val="none"/>
                <w:lang w:val="en-US" w:eastAsia="zh-CN"/>
              </w:rPr>
              <w:t>情况</w:t>
            </w:r>
            <w:r>
              <w:rPr>
                <w:rFonts w:hint="eastAsia" w:ascii="宋体" w:hAnsi="宋体"/>
                <w:color w:val="auto"/>
                <w:szCs w:val="21"/>
                <w:highlight w:val="none"/>
                <w:lang w:eastAsia="zh-CN"/>
              </w:rPr>
              <w:t>进行评议。内容欠合理的每项扣0.5分，内容不合理的每项扣1分，无相关内容的不得分，扣完为止，本项最高得</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color w:val="auto"/>
                <w:highlight w:val="none"/>
              </w:rPr>
              <w:t>环卫设施清洗方案</w:t>
            </w:r>
            <w:r>
              <w:rPr>
                <w:rFonts w:hint="eastAsia" w:ascii="宋体" w:hAnsi="宋体"/>
                <w:color w:val="auto"/>
                <w:highlight w:val="none"/>
                <w:lang w:eastAsia="zh-CN"/>
              </w:rPr>
              <w:t>（</w:t>
            </w:r>
            <w:r>
              <w:rPr>
                <w:rFonts w:hint="eastAsia" w:ascii="宋体" w:hAnsi="宋体"/>
                <w:color w:val="auto"/>
                <w:highlight w:val="none"/>
                <w:lang w:val="en-US" w:eastAsia="zh-CN"/>
              </w:rPr>
              <w:t>10分</w:t>
            </w:r>
            <w:r>
              <w:rPr>
                <w:rFonts w:hint="eastAsia" w:ascii="宋体" w:hAnsi="宋体"/>
                <w:color w:val="auto"/>
                <w:highlight w:val="none"/>
                <w:lang w:eastAsia="zh-CN"/>
              </w:rPr>
              <w:t>）</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评委根据供应商针对本项目的环卫设施清洗方案</w:t>
            </w:r>
            <w:r>
              <w:rPr>
                <w:rFonts w:hint="eastAsia" w:ascii="宋体" w:hAnsi="宋体" w:cs="宋体"/>
                <w:color w:val="auto"/>
                <w:sz w:val="21"/>
                <w:szCs w:val="21"/>
                <w:highlight w:val="none"/>
                <w:lang w:val="en-US" w:eastAsia="zh-CN"/>
              </w:rPr>
              <w:t>是否</w:t>
            </w:r>
            <w:r>
              <w:rPr>
                <w:rFonts w:hint="default" w:ascii="宋体" w:hAnsi="宋体" w:eastAsia="宋体" w:cs="宋体"/>
                <w:color w:val="auto"/>
                <w:sz w:val="21"/>
                <w:szCs w:val="21"/>
                <w:highlight w:val="none"/>
                <w:lang w:val="en-US" w:eastAsia="zh-CN"/>
              </w:rPr>
              <w:t>针对性</w:t>
            </w:r>
            <w:r>
              <w:rPr>
                <w:rFonts w:hint="eastAsia" w:ascii="宋体" w:hAnsi="宋体" w:cs="宋体"/>
                <w:color w:val="auto"/>
                <w:sz w:val="21"/>
                <w:szCs w:val="21"/>
                <w:highlight w:val="none"/>
                <w:lang w:val="en-US" w:eastAsia="zh-CN"/>
              </w:rPr>
              <w:t>强，是否</w:t>
            </w:r>
            <w:r>
              <w:rPr>
                <w:rFonts w:hint="default" w:ascii="宋体" w:hAnsi="宋体" w:eastAsia="宋体" w:cs="宋体"/>
                <w:color w:val="auto"/>
                <w:sz w:val="21"/>
                <w:szCs w:val="21"/>
                <w:highlight w:val="none"/>
                <w:lang w:val="en-US" w:eastAsia="zh-CN"/>
              </w:rPr>
              <w:t>可操作</w:t>
            </w:r>
            <w:r>
              <w:rPr>
                <w:rFonts w:hint="eastAsia" w:ascii="宋体" w:hAnsi="宋体" w:cs="宋体"/>
                <w:color w:val="auto"/>
                <w:sz w:val="21"/>
                <w:szCs w:val="21"/>
                <w:highlight w:val="none"/>
                <w:lang w:val="en-US" w:eastAsia="zh-CN"/>
              </w:rPr>
              <w:t>，总体思路、技术方法是否完善、合理、可行，是否能够满足本项目需求等情况</w:t>
            </w:r>
            <w:r>
              <w:rPr>
                <w:rFonts w:hint="default" w:ascii="宋体" w:hAnsi="宋体" w:eastAsia="宋体" w:cs="宋体"/>
                <w:color w:val="auto"/>
                <w:sz w:val="21"/>
                <w:szCs w:val="21"/>
                <w:highlight w:val="none"/>
                <w:lang w:val="en-US" w:eastAsia="zh-CN"/>
              </w:rPr>
              <w:t>进行评议</w:t>
            </w:r>
            <w:r>
              <w:rPr>
                <w:rFonts w:hint="eastAsia" w:ascii="宋体" w:hAnsi="宋体" w:cs="宋体"/>
                <w:color w:val="auto"/>
                <w:sz w:val="21"/>
                <w:szCs w:val="21"/>
                <w:highlight w:val="none"/>
                <w:lang w:val="en-US" w:eastAsia="zh-CN"/>
              </w:rPr>
              <w:t>。内容欠合理的每项扣0.5分，内容不合理的每项扣1分，无相关内容的不得分，扣完为止，本项最高得5分。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2"/>
                <w:sz w:val="21"/>
                <w:szCs w:val="21"/>
                <w:highlight w:val="none"/>
                <w:lang w:val="en-US" w:eastAsia="zh-CN" w:bidi="ar-SA"/>
              </w:rPr>
            </w:pP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评委根据供应商针对本项目的</w:t>
            </w:r>
            <w:r>
              <w:rPr>
                <w:rFonts w:hint="eastAsia" w:ascii="宋体" w:hAnsi="宋体" w:cs="宋体"/>
                <w:color w:val="auto"/>
                <w:sz w:val="21"/>
                <w:szCs w:val="21"/>
                <w:highlight w:val="none"/>
                <w:lang w:val="en-US" w:eastAsia="zh-CN"/>
              </w:rPr>
              <w:t>深度保洁措施是否</w:t>
            </w:r>
            <w:r>
              <w:rPr>
                <w:rFonts w:hint="default" w:ascii="宋体" w:hAnsi="宋体" w:eastAsia="宋体" w:cs="宋体"/>
                <w:color w:val="auto"/>
                <w:sz w:val="21"/>
                <w:szCs w:val="21"/>
                <w:highlight w:val="none"/>
                <w:lang w:val="en-US" w:eastAsia="zh-CN"/>
              </w:rPr>
              <w:t>针对性</w:t>
            </w:r>
            <w:r>
              <w:rPr>
                <w:rFonts w:hint="eastAsia" w:ascii="宋体" w:hAnsi="宋体" w:cs="宋体"/>
                <w:color w:val="auto"/>
                <w:sz w:val="21"/>
                <w:szCs w:val="21"/>
                <w:highlight w:val="none"/>
                <w:lang w:val="en-US" w:eastAsia="zh-CN"/>
              </w:rPr>
              <w:t>强，是否</w:t>
            </w:r>
            <w:r>
              <w:rPr>
                <w:rFonts w:hint="default" w:ascii="宋体" w:hAnsi="宋体" w:eastAsia="宋体" w:cs="宋体"/>
                <w:color w:val="auto"/>
                <w:sz w:val="21"/>
                <w:szCs w:val="21"/>
                <w:highlight w:val="none"/>
                <w:lang w:val="en-US" w:eastAsia="zh-CN"/>
              </w:rPr>
              <w:t>可操作</w:t>
            </w:r>
            <w:r>
              <w:rPr>
                <w:rFonts w:hint="eastAsia" w:ascii="宋体" w:hAnsi="宋体" w:cs="宋体"/>
                <w:color w:val="auto"/>
                <w:sz w:val="21"/>
                <w:szCs w:val="21"/>
                <w:highlight w:val="none"/>
                <w:lang w:val="en-US" w:eastAsia="zh-CN"/>
              </w:rPr>
              <w:t>，总体思路、技术方法是否完善、合理、可行，是否能够满足本项目需求等情况</w:t>
            </w:r>
            <w:r>
              <w:rPr>
                <w:rFonts w:hint="default" w:ascii="宋体" w:hAnsi="宋体" w:eastAsia="宋体" w:cs="宋体"/>
                <w:color w:val="auto"/>
                <w:sz w:val="21"/>
                <w:szCs w:val="21"/>
                <w:highlight w:val="none"/>
                <w:lang w:val="en-US" w:eastAsia="zh-CN"/>
              </w:rPr>
              <w:t>进行评议</w:t>
            </w:r>
            <w:r>
              <w:rPr>
                <w:rFonts w:hint="eastAsia" w:ascii="宋体" w:hAnsi="宋体" w:cs="宋体"/>
                <w:color w:val="auto"/>
                <w:sz w:val="21"/>
                <w:szCs w:val="21"/>
                <w:highlight w:val="none"/>
                <w:lang w:val="en-US" w:eastAsia="zh-CN"/>
              </w:rPr>
              <w:t>。内容欠合理的每项扣0.5分，内容不合理的每项扣1分，无相关内容的不得分，扣完为止，本项最高得5分。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color w:val="auto"/>
                <w:highlight w:val="none"/>
              </w:rPr>
              <w:t>工作管理</w:t>
            </w:r>
            <w:r>
              <w:rPr>
                <w:rFonts w:hint="eastAsia" w:ascii="宋体" w:hAnsi="宋体"/>
                <w:color w:val="auto"/>
                <w:highlight w:val="none"/>
                <w:lang w:eastAsia="zh-CN"/>
              </w:rPr>
              <w:t>（</w:t>
            </w:r>
            <w:r>
              <w:rPr>
                <w:rFonts w:hint="eastAsia" w:ascii="宋体" w:hAnsi="宋体"/>
                <w:color w:val="auto"/>
                <w:highlight w:val="none"/>
                <w:lang w:val="en-US" w:eastAsia="zh-CN"/>
              </w:rPr>
              <w:t>10分</w:t>
            </w:r>
            <w:r>
              <w:rPr>
                <w:rFonts w:hint="eastAsia" w:ascii="宋体" w:hAnsi="宋体"/>
                <w:color w:val="auto"/>
                <w:highlight w:val="none"/>
                <w:lang w:eastAsia="zh-CN"/>
              </w:rPr>
              <w:t>）</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宋体" w:hAnsi="宋体" w:eastAsia="宋体" w:cs="宋体"/>
                <w:color w:val="auto"/>
                <w:sz w:val="21"/>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）评委根据供应商针对本项目的工作管理体系的是否</w:t>
            </w:r>
            <w:r>
              <w:rPr>
                <w:rFonts w:hint="eastAsia" w:ascii="宋体" w:hAnsi="宋体"/>
                <w:color w:val="auto"/>
                <w:szCs w:val="21"/>
                <w:highlight w:val="none"/>
                <w:lang w:val="en-US" w:eastAsia="zh-CN"/>
              </w:rPr>
              <w:t>完善、是否合理</w:t>
            </w:r>
            <w:r>
              <w:rPr>
                <w:rFonts w:hint="eastAsia" w:ascii="宋体" w:hAnsi="宋体"/>
                <w:color w:val="auto"/>
                <w:szCs w:val="21"/>
                <w:highlight w:val="none"/>
                <w:lang w:eastAsia="zh-CN"/>
              </w:rPr>
              <w:t>，工作质量保障措施方案</w:t>
            </w:r>
            <w:r>
              <w:rPr>
                <w:rFonts w:hint="eastAsia" w:ascii="宋体" w:hAnsi="宋体"/>
                <w:color w:val="auto"/>
                <w:szCs w:val="21"/>
                <w:highlight w:val="none"/>
                <w:lang w:val="en-US" w:eastAsia="zh-CN"/>
              </w:rPr>
              <w:t>是否详细、</w:t>
            </w:r>
            <w:r>
              <w:rPr>
                <w:rFonts w:hint="eastAsia" w:ascii="宋体" w:hAnsi="宋体"/>
                <w:color w:val="auto"/>
                <w:szCs w:val="21"/>
                <w:highlight w:val="none"/>
                <w:lang w:eastAsia="zh-CN"/>
              </w:rPr>
              <w:t>是否符合要求以及是否充实等</w:t>
            </w:r>
            <w:r>
              <w:rPr>
                <w:rFonts w:hint="eastAsia" w:ascii="宋体" w:hAnsi="宋体"/>
                <w:color w:val="auto"/>
                <w:szCs w:val="21"/>
                <w:highlight w:val="none"/>
                <w:lang w:val="en-US" w:eastAsia="zh-CN"/>
              </w:rPr>
              <w:t>情况</w:t>
            </w:r>
            <w:r>
              <w:rPr>
                <w:rFonts w:hint="eastAsia" w:ascii="宋体" w:hAnsi="宋体"/>
                <w:color w:val="auto"/>
                <w:szCs w:val="21"/>
                <w:highlight w:val="none"/>
                <w:lang w:eastAsia="zh-CN"/>
              </w:rPr>
              <w:t>进行评议。内容欠合理的每项扣0.5分，内容不合理的每项扣1分，无相关内容的不得分，扣完为止，本项最高得</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2"/>
                <w:sz w:val="21"/>
                <w:szCs w:val="21"/>
                <w:highlight w:val="none"/>
                <w:lang w:val="en-US" w:eastAsia="zh-CN" w:bidi="ar-SA"/>
              </w:rPr>
            </w:pP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评委根据供应商针对本项目各项内部工作管理制度、岗位责任制度、管理运作制度、工作操作规程是否完整、是否详细、是否切合本项目的实际情况等进行评议。内容欠合理的每项扣0.5分，内容不合理的每项扣1分，无相关内容的不得分，扣完为止，本项最高得5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5、创新方案（5分）</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宋体" w:hAnsi="宋体" w:eastAsia="宋体"/>
                <w:color w:val="auto"/>
                <w:highlight w:val="none"/>
                <w:lang w:val="en-US" w:eastAsia="zh-CN"/>
              </w:rPr>
            </w:pPr>
            <w:r>
              <w:rPr>
                <w:rFonts w:hint="eastAsia" w:ascii="宋体" w:hAnsi="宋体" w:eastAsia="宋体"/>
                <w:color w:val="auto"/>
                <w:highlight w:val="none"/>
                <w:lang w:eastAsia="zh-CN"/>
              </w:rPr>
              <w:t>评委根据供应商针对本项目实际制定的保洁管理、作业措施、使用的设施设备等是否</w:t>
            </w:r>
            <w:r>
              <w:rPr>
                <w:rFonts w:hint="eastAsia" w:ascii="宋体" w:hAnsi="宋体"/>
                <w:color w:val="auto"/>
                <w:highlight w:val="none"/>
                <w:lang w:val="en-US" w:eastAsia="zh-CN"/>
              </w:rPr>
              <w:t>具有</w:t>
            </w:r>
            <w:r>
              <w:rPr>
                <w:rFonts w:hint="eastAsia" w:ascii="宋体" w:hAnsi="宋体" w:eastAsia="宋体"/>
                <w:color w:val="auto"/>
                <w:highlight w:val="none"/>
                <w:lang w:eastAsia="zh-CN"/>
              </w:rPr>
              <w:t>突破传统运作模式的创新方案（如在新能源</w:t>
            </w:r>
            <w:r>
              <w:rPr>
                <w:rFonts w:hint="eastAsia" w:ascii="宋体" w:hAnsi="宋体"/>
                <w:color w:val="auto"/>
                <w:highlight w:val="none"/>
                <w:lang w:val="en-US" w:eastAsia="zh-CN"/>
              </w:rPr>
              <w:t>车、深度保洁车等</w:t>
            </w:r>
            <w:r>
              <w:rPr>
                <w:rFonts w:hint="eastAsia" w:ascii="宋体" w:hAnsi="宋体" w:eastAsia="宋体"/>
                <w:color w:val="auto"/>
                <w:highlight w:val="none"/>
                <w:lang w:eastAsia="zh-CN"/>
              </w:rPr>
              <w:t>应用</w:t>
            </w:r>
            <w:r>
              <w:rPr>
                <w:rFonts w:hint="eastAsia" w:ascii="宋体" w:hAnsi="宋体"/>
                <w:color w:val="auto"/>
                <w:highlight w:val="none"/>
                <w:lang w:val="en-US" w:eastAsia="zh-CN"/>
              </w:rPr>
              <w:t>上</w:t>
            </w:r>
            <w:r>
              <w:rPr>
                <w:rFonts w:hint="eastAsia" w:ascii="宋体" w:hAnsi="宋体"/>
                <w:color w:val="auto"/>
                <w:highlight w:val="none"/>
                <w:lang w:eastAsia="zh-CN"/>
              </w:rPr>
              <w:t>是否有</w:t>
            </w:r>
            <w:r>
              <w:rPr>
                <w:rFonts w:hint="eastAsia" w:ascii="宋体" w:hAnsi="宋体"/>
                <w:color w:val="auto"/>
                <w:highlight w:val="none"/>
                <w:lang w:val="en-US" w:eastAsia="zh-CN"/>
              </w:rPr>
              <w:t>创新</w:t>
            </w:r>
            <w:r>
              <w:rPr>
                <w:rFonts w:hint="eastAsia" w:ascii="宋体" w:hAnsi="宋体"/>
                <w:color w:val="auto"/>
                <w:highlight w:val="none"/>
                <w:lang w:eastAsia="zh-CN"/>
              </w:rPr>
              <w:t>、是否</w:t>
            </w:r>
            <w:r>
              <w:rPr>
                <w:rFonts w:hint="eastAsia" w:ascii="宋体" w:hAnsi="宋体"/>
                <w:color w:val="auto"/>
                <w:highlight w:val="none"/>
                <w:lang w:val="en-US" w:eastAsia="zh-CN"/>
              </w:rPr>
              <w:t>可行且是否</w:t>
            </w:r>
            <w:r>
              <w:rPr>
                <w:rFonts w:hint="eastAsia" w:ascii="宋体" w:hAnsi="宋体"/>
                <w:color w:val="auto"/>
                <w:highlight w:val="none"/>
                <w:lang w:eastAsia="zh-CN"/>
              </w:rPr>
              <w:t>合理</w:t>
            </w:r>
            <w:r>
              <w:rPr>
                <w:rFonts w:hint="eastAsia" w:ascii="宋体" w:hAnsi="宋体" w:eastAsia="宋体"/>
                <w:color w:val="auto"/>
                <w:highlight w:val="none"/>
                <w:lang w:eastAsia="zh-CN"/>
              </w:rPr>
              <w:t>）进行评议</w:t>
            </w:r>
            <w:r>
              <w:rPr>
                <w:rFonts w:hint="eastAsia" w:ascii="宋体" w:hAnsi="宋体"/>
                <w:color w:val="auto"/>
                <w:highlight w:val="none"/>
                <w:lang w:val="en-US" w:eastAsia="zh-CN"/>
              </w:rPr>
              <w:t>。内容欠合理的每项扣0.5分，内容不合理的每项扣1分，无相关内容的不得分，扣完为止，本项最高得5分。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6、考核制度（5分）</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olor w:val="auto"/>
                <w:highlight w:val="none"/>
                <w:lang w:eastAsia="zh-CN"/>
              </w:rPr>
            </w:pPr>
            <w:r>
              <w:rPr>
                <w:rFonts w:hint="eastAsia" w:ascii="宋体" w:hAnsi="宋体"/>
                <w:color w:val="auto"/>
                <w:highlight w:val="none"/>
                <w:lang w:eastAsia="zh-CN"/>
              </w:rPr>
              <w:t>评委根据供应商针对本项目考核制度及标准、激励机制、针对考核结果的补救措施和奖罚办法是否详细、是否完整、是否切合本项目的实际情况等进行评议。</w:t>
            </w:r>
            <w:r>
              <w:rPr>
                <w:rFonts w:hint="eastAsia" w:ascii="宋体" w:hAnsi="宋体"/>
                <w:color w:val="auto"/>
                <w:highlight w:val="none"/>
                <w:lang w:val="en-US" w:eastAsia="zh-CN"/>
              </w:rPr>
              <w:t>内容欠合理的每项扣0.5分，内容不合理的每项扣1分，无相关内容的不得分，扣完为止，本项最高得5分。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7、安全教育（10分）</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1）评委根据供应商针对本项目制定的安全教育、安全生产责任分配是否符合要求、内容是否详细、是否完整等情况进行评议。内容欠合理的每项扣0.5分，内容不合理的每项扣1分，无相关内容的不得分，扣完为止，本项最高得5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cs="宋体"/>
                <w:color w:val="auto"/>
                <w:kern w:val="2"/>
                <w:sz w:val="21"/>
                <w:szCs w:val="21"/>
                <w:highlight w:val="none"/>
                <w:lang w:val="en-US" w:eastAsia="zh-CN" w:bidi="ar-SA"/>
              </w:rPr>
            </w:pP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评委根据供应商针对本项目制定的安全事故善后措施及赔偿方案措施是否符合要求、内容是否详细、是否完整且是否可行等情况进行评议。内容欠合理的每项扣0.5分，内容不合理的每项扣1分，无相关内容的不得分，扣完为止，本项最高得5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8、应急处理方案（8分）</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评委根据供应商针对本项目的大型活动、节庆假日、创优评优和突击检查等特殊时期的响应是否及时、服务是否到位及保障措施方案是否详细、是否完整且是否合理可行的情况进行评议。内容欠合理的每项扣0.5分，内容不合理的每项扣1分，无相关内容的不得分，扣完为止，本项最高得4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cs="宋体"/>
                <w:color w:val="auto"/>
                <w:kern w:val="2"/>
                <w:sz w:val="21"/>
                <w:szCs w:val="21"/>
                <w:highlight w:val="none"/>
                <w:lang w:val="en-US" w:eastAsia="zh-CN" w:bidi="ar-SA"/>
              </w:rPr>
            </w:pP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lang w:val="en-US" w:eastAsia="zh-CN"/>
              </w:rPr>
              <w:t>（2）评委根据供应商针对本项目的防台防汛期间、雨雪冰冻极端天气的应急保障措施的响应是否及时、服务是否到位及保障措施方案是否详细、是否完整且是否合理可行的情况进行评议。内容欠合理的每项扣0.5分，内容不合理的每项扣1分，无相关内容的不得分，扣完为止，本项最高得4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9、人员配置（10分）</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评委根据供应商针对本项目员工待遇福利方案和人员稳定保障措施是否完整、是否详细且是否合理可行的情况进行评议。内容欠合理的每项扣0.5分，内容不合理的每项扣1分，无相关内容的不得分，扣完为止，本项最高得5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cs="宋体"/>
                <w:color w:val="auto"/>
                <w:kern w:val="2"/>
                <w:sz w:val="21"/>
                <w:szCs w:val="21"/>
                <w:highlight w:val="none"/>
                <w:lang w:val="en-US" w:eastAsia="zh-CN" w:bidi="ar-SA"/>
              </w:rPr>
            </w:pP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评委根据供应商针对本项目拟派项目经理的工作经验是否丰富及项目管理团队的环卫专业素养、学历水平、公司整体环卫专业能力是否符合项目要求且是否专业的情况进行评议。内容欠合理的每项扣0.5分，内容不合理的每项扣1分，无相关内容的不得分，扣完为止，本项最高得5分。</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olor w:val="auto"/>
                <w:highlight w:val="none"/>
                <w:lang w:val="en-US" w:eastAsia="zh-CN"/>
              </w:rPr>
            </w:pPr>
            <w:r>
              <w:rPr>
                <w:rFonts w:hint="eastAsia" w:ascii="宋体" w:hAnsi="宋体"/>
                <w:b w:val="0"/>
                <w:bCs w:val="0"/>
                <w:color w:val="auto"/>
                <w:highlight w:val="none"/>
                <w:lang w:val="en-US" w:eastAsia="zh-CN"/>
              </w:rPr>
              <w:t>注：投标文件中需提供供应商为本项目的项目经理及管理团队人员缴纳的近三个月（其中一个月即可）社保证明、人员专业类证书、学历证书、企业专业能力证书、文件等复印件加盖供应商公章；各类证书须由政府主管部门颁发、大专及以上学历可在中国高等教育学生信息网查询到。</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10、交接落实计划（5分）</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评委根据供应商针对本项目实际，为保障项目顺利交接和及时进场所制定的交接落实计划是否详细、是否完整且是否合理可行并是否符合项目要求等情况进行评议。内容欠合理的每项扣0.5分，内容不合理的每项扣1分，无相关内容的不得分，扣完为止，本项最高得5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SA"/>
              </w:rPr>
              <w:t>、履约能力（</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color w:val="auto"/>
                <w:kern w:val="0"/>
                <w:szCs w:val="21"/>
                <w:highlight w:val="none"/>
                <w:lang w:val="en-US" w:eastAsia="zh-CN" w:bidi="ar"/>
              </w:rPr>
            </w:pPr>
            <w:r>
              <w:rPr>
                <w:rFonts w:hint="eastAsia" w:ascii="宋体" w:hAnsi="宋体" w:eastAsia="宋体" w:cs="宋体"/>
                <w:color w:val="auto"/>
                <w:sz w:val="21"/>
                <w:szCs w:val="21"/>
                <w:highlight w:val="none"/>
                <w:lang w:val="en-US" w:eastAsia="zh-CN"/>
              </w:rPr>
              <w:t>（1）供应商具有有效期内</w:t>
            </w:r>
            <w:r>
              <w:rPr>
                <w:rFonts w:hint="eastAsia" w:ascii="宋体" w:hAnsi="宋体" w:cs="宋体"/>
                <w:color w:val="auto"/>
                <w:kern w:val="0"/>
                <w:szCs w:val="21"/>
                <w:highlight w:val="none"/>
                <w:lang w:bidi="ar"/>
              </w:rPr>
              <w:t>质量管理体系认证证书</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val="en-US" w:eastAsia="zh-CN" w:bidi="ar"/>
              </w:rPr>
              <w:t>得1分。</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lang w:val="en-US" w:eastAsia="zh-CN" w:bidi="ar"/>
              </w:rPr>
              <w:t>注：投标文件中须提供证书复印件加盖公章，未提供不得分。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2"/>
                <w:sz w:val="21"/>
                <w:szCs w:val="21"/>
                <w:highlight w:val="none"/>
                <w:lang w:val="en-US" w:eastAsia="zh-CN" w:bidi="ar-SA"/>
              </w:rPr>
            </w:pP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color w:val="auto"/>
                <w:kern w:val="0"/>
                <w:szCs w:val="21"/>
                <w:highlight w:val="none"/>
                <w:lang w:val="en-US" w:eastAsia="zh-CN" w:bidi="ar"/>
              </w:rPr>
            </w:pPr>
            <w:r>
              <w:rPr>
                <w:rFonts w:hint="eastAsia" w:ascii="宋体" w:hAnsi="宋体" w:eastAsia="宋体" w:cs="宋体"/>
                <w:color w:val="auto"/>
                <w:sz w:val="21"/>
                <w:szCs w:val="21"/>
                <w:highlight w:val="none"/>
                <w:lang w:val="en-US" w:eastAsia="zh-CN"/>
              </w:rPr>
              <w:t>（2）供应商具有有效期内</w:t>
            </w:r>
            <w:r>
              <w:rPr>
                <w:rFonts w:ascii="宋体" w:hAnsi="宋体" w:cs="宋体"/>
                <w:color w:val="auto"/>
                <w:kern w:val="0"/>
                <w:szCs w:val="21"/>
                <w:highlight w:val="none"/>
                <w:lang w:bidi="ar"/>
              </w:rPr>
              <w:t>环境管理体系认证</w:t>
            </w:r>
            <w:r>
              <w:rPr>
                <w:rFonts w:hint="eastAsia" w:ascii="宋体" w:hAnsi="宋体" w:cs="宋体"/>
                <w:color w:val="auto"/>
                <w:kern w:val="0"/>
                <w:szCs w:val="21"/>
                <w:highlight w:val="none"/>
                <w:lang w:bidi="ar"/>
              </w:rPr>
              <w:t>证书</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val="en-US" w:eastAsia="zh-CN" w:bidi="ar"/>
              </w:rPr>
              <w:t>得1分。</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bidi="ar"/>
              </w:rPr>
              <w:t>注：投标文件中须提供证书复印件加盖公章，未提供不得分。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2"/>
                <w:sz w:val="21"/>
                <w:szCs w:val="21"/>
                <w:highlight w:val="none"/>
                <w:lang w:val="en-US" w:eastAsia="zh-CN" w:bidi="ar-SA"/>
              </w:rPr>
            </w:pP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color w:val="auto"/>
                <w:kern w:val="0"/>
                <w:szCs w:val="21"/>
                <w:highlight w:val="none"/>
                <w:lang w:val="en-US" w:eastAsia="zh-CN" w:bidi="ar"/>
              </w:rPr>
            </w:pPr>
            <w:r>
              <w:rPr>
                <w:rFonts w:hint="eastAsia" w:ascii="宋体" w:hAnsi="宋体" w:eastAsia="宋体" w:cs="宋体"/>
                <w:color w:val="auto"/>
                <w:sz w:val="21"/>
                <w:szCs w:val="21"/>
                <w:highlight w:val="none"/>
                <w:lang w:val="en-US" w:eastAsia="zh-CN"/>
              </w:rPr>
              <w:t>（3）供应商具有有效期内</w:t>
            </w:r>
            <w:r>
              <w:rPr>
                <w:rFonts w:ascii="宋体" w:hAnsi="宋体" w:cs="宋体"/>
                <w:color w:val="auto"/>
                <w:kern w:val="0"/>
                <w:szCs w:val="21"/>
                <w:highlight w:val="none"/>
                <w:lang w:bidi="ar"/>
              </w:rPr>
              <w:t>职业健康安全管理</w:t>
            </w:r>
            <w:r>
              <w:rPr>
                <w:rFonts w:hint="eastAsia" w:ascii="宋体" w:hAnsi="宋体" w:cs="宋体"/>
                <w:color w:val="auto"/>
                <w:kern w:val="0"/>
                <w:szCs w:val="21"/>
                <w:highlight w:val="none"/>
                <w:lang w:val="en-US" w:eastAsia="zh-CN" w:bidi="ar"/>
              </w:rPr>
              <w:t>体系</w:t>
            </w:r>
            <w:r>
              <w:rPr>
                <w:rFonts w:ascii="宋体" w:hAnsi="宋体" w:cs="宋体"/>
                <w:color w:val="auto"/>
                <w:kern w:val="0"/>
                <w:szCs w:val="21"/>
                <w:highlight w:val="none"/>
                <w:lang w:bidi="ar"/>
              </w:rPr>
              <w:t>认证证书</w:t>
            </w:r>
            <w:r>
              <w:rPr>
                <w:rFonts w:hint="eastAsia" w:ascii="宋体" w:hAnsi="宋体" w:cs="宋体"/>
                <w:color w:val="auto"/>
                <w:kern w:val="0"/>
                <w:szCs w:val="21"/>
                <w:highlight w:val="none"/>
                <w:lang w:eastAsia="zh-CN" w:bidi="ar"/>
              </w:rPr>
              <w:t>的</w:t>
            </w:r>
            <w:r>
              <w:rPr>
                <w:rFonts w:hint="eastAsia" w:ascii="宋体" w:hAnsi="宋体" w:cs="宋体"/>
                <w:color w:val="auto"/>
                <w:kern w:val="0"/>
                <w:szCs w:val="21"/>
                <w:highlight w:val="none"/>
                <w:lang w:val="en-US" w:eastAsia="zh-CN" w:bidi="ar"/>
              </w:rPr>
              <w:t>得1分。</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en-US" w:eastAsia="zh-CN" w:bidi="ar"/>
              </w:rPr>
              <w:t>注：投标文件中须提供证书复印件加盖公章，未提供不得分。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、安全人员（</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供应商拟投入本项目人员中，具有应急管理部门或由其委托的培训机构颁发的安全生产培训证书的，每</w:t>
            </w:r>
            <w:r>
              <w:rPr>
                <w:rFonts w:hint="eastAsia" w:ascii="宋体" w:hAnsi="宋体"/>
                <w:color w:val="auto"/>
                <w:szCs w:val="21"/>
                <w:highlight w:val="none"/>
                <w:lang w:val="en-US" w:eastAsia="zh-CN"/>
              </w:rPr>
              <w:t>具有</w:t>
            </w:r>
            <w:r>
              <w:rPr>
                <w:rFonts w:hint="eastAsia" w:ascii="宋体" w:hAnsi="宋体"/>
                <w:color w:val="auto"/>
                <w:szCs w:val="21"/>
                <w:highlight w:val="none"/>
              </w:rPr>
              <w:t>1人得1分，满分3分</w:t>
            </w:r>
            <w:r>
              <w:rPr>
                <w:rFonts w:hint="eastAsia" w:ascii="宋体" w:hAnsi="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Cs w:val="21"/>
                <w:highlight w:val="none"/>
                <w:lang w:val="en-US" w:eastAsia="zh-CN" w:bidi="ar"/>
              </w:rPr>
            </w:pPr>
            <w:r>
              <w:rPr>
                <w:rFonts w:hint="eastAsia" w:ascii="宋体" w:hAnsi="宋体"/>
                <w:color w:val="auto"/>
                <w:szCs w:val="21"/>
                <w:highlight w:val="none"/>
                <w:lang w:val="en-US" w:eastAsia="zh-CN"/>
              </w:rPr>
              <w:t>注：</w:t>
            </w:r>
            <w:r>
              <w:rPr>
                <w:rFonts w:hint="eastAsia" w:ascii="宋体" w:hAnsi="宋体"/>
                <w:color w:val="auto"/>
                <w:szCs w:val="21"/>
                <w:highlight w:val="none"/>
              </w:rPr>
              <w:t>投标文件中</w:t>
            </w:r>
            <w:r>
              <w:rPr>
                <w:rFonts w:hint="eastAsia" w:ascii="宋体" w:hAnsi="宋体"/>
                <w:color w:val="auto"/>
                <w:szCs w:val="21"/>
                <w:highlight w:val="none"/>
                <w:lang w:val="en-US" w:eastAsia="zh-CN"/>
              </w:rPr>
              <w:t>须</w:t>
            </w:r>
            <w:r>
              <w:rPr>
                <w:rFonts w:hint="eastAsia" w:ascii="宋体" w:hAnsi="宋体"/>
                <w:color w:val="auto"/>
                <w:szCs w:val="21"/>
                <w:highlight w:val="none"/>
              </w:rPr>
              <w:t>同时提供证书、社保部门出具的近三个月</w:t>
            </w:r>
            <w:r>
              <w:rPr>
                <w:rFonts w:hint="eastAsia" w:ascii="宋体" w:hAnsi="宋体"/>
                <w:color w:val="auto"/>
                <w:szCs w:val="21"/>
                <w:highlight w:val="none"/>
                <w:lang w:eastAsia="zh-CN"/>
              </w:rPr>
              <w:t>（</w:t>
            </w:r>
            <w:r>
              <w:rPr>
                <w:rFonts w:hint="eastAsia" w:ascii="宋体" w:hAnsi="宋体"/>
                <w:b w:val="0"/>
                <w:bCs w:val="0"/>
                <w:color w:val="auto"/>
                <w:highlight w:val="none"/>
                <w:lang w:val="en-US" w:eastAsia="zh-CN"/>
              </w:rPr>
              <w:t>其中一个月即可</w:t>
            </w:r>
            <w:r>
              <w:rPr>
                <w:rFonts w:hint="eastAsia" w:ascii="宋体" w:hAnsi="宋体"/>
                <w:color w:val="auto"/>
                <w:szCs w:val="21"/>
                <w:highlight w:val="none"/>
                <w:lang w:eastAsia="zh-CN"/>
              </w:rPr>
              <w:t>）</w:t>
            </w:r>
            <w:r>
              <w:rPr>
                <w:rFonts w:hint="eastAsia" w:ascii="宋体" w:hAnsi="宋体"/>
                <w:color w:val="auto"/>
                <w:szCs w:val="21"/>
                <w:highlight w:val="none"/>
              </w:rPr>
              <w:t>社保证明复印件加盖供应商公章；证书上未体现应急管理部门信息的，还需提供应急管理部门与出具证书的培训机构的委托协议复印件</w:t>
            </w:r>
            <w:r>
              <w:rPr>
                <w:rFonts w:hint="eastAsia" w:ascii="宋体" w:hAnsi="宋体"/>
                <w:color w:val="auto"/>
                <w:szCs w:val="21"/>
                <w:highlight w:val="none"/>
                <w:lang w:eastAsia="zh-CN"/>
              </w:rPr>
              <w:t>。</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宋体" w:hAnsi="Times New Roman" w:eastAsia="宋体" w:cs="Times New Roman"/>
                <w:color w:val="auto"/>
                <w:szCs w:val="21"/>
                <w:highlight w:val="none"/>
              </w:rPr>
            </w:pPr>
          </w:p>
        </w:tc>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val="en-US" w:eastAsia="zh-CN"/>
              </w:rPr>
              <w:t>、业绩（</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供应商2019年1月1日以来（以合同签订之日为准），具有</w:t>
            </w:r>
            <w:r>
              <w:rPr>
                <w:rFonts w:hint="eastAsia" w:ascii="宋体" w:hAnsi="宋体" w:cs="宋体"/>
                <w:strike w:val="0"/>
                <w:dstrike w:val="0"/>
                <w:color w:val="auto"/>
                <w:kern w:val="0"/>
                <w:szCs w:val="21"/>
                <w:highlight w:val="none"/>
                <w:lang w:val="en-US" w:eastAsia="zh-CN" w:bidi="ar"/>
              </w:rPr>
              <w:t>道路保洁服务项目</w:t>
            </w:r>
            <w:r>
              <w:rPr>
                <w:rFonts w:hint="eastAsia" w:ascii="宋体" w:hAnsi="宋体" w:cs="宋体"/>
                <w:strike w:val="0"/>
                <w:color w:val="auto"/>
                <w:kern w:val="0"/>
                <w:szCs w:val="21"/>
                <w:highlight w:val="none"/>
                <w:lang w:val="en-US" w:eastAsia="zh-CN" w:bidi="ar"/>
              </w:rPr>
              <w:t>业绩的</w:t>
            </w:r>
            <w:r>
              <w:rPr>
                <w:rFonts w:hint="eastAsia" w:ascii="宋体" w:hAnsi="宋体" w:cs="宋体"/>
                <w:color w:val="auto"/>
                <w:kern w:val="0"/>
                <w:szCs w:val="21"/>
                <w:highlight w:val="none"/>
                <w:lang w:val="en-US" w:eastAsia="zh-CN" w:bidi="ar"/>
              </w:rPr>
              <w:t>，每提供1个业绩得0.5分，满分1分</w:t>
            </w:r>
            <w:r>
              <w:rPr>
                <w:rFonts w:hint="eastAsia" w:ascii="宋体" w:hAnsi="宋体" w:cs="宋体"/>
                <w:color w:val="auto"/>
                <w:kern w:val="0"/>
                <w:szCs w:val="21"/>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lang w:val="en-US" w:eastAsia="zh-CN" w:bidi="ar"/>
              </w:rPr>
              <w:t>注：</w:t>
            </w:r>
            <w:r>
              <w:rPr>
                <w:rFonts w:hint="eastAsia" w:ascii="宋体" w:hAnsi="宋体" w:cs="宋体"/>
                <w:color w:val="auto"/>
                <w:kern w:val="0"/>
                <w:szCs w:val="21"/>
                <w:highlight w:val="none"/>
                <w:lang w:bidi="ar"/>
              </w:rPr>
              <w:t>投标文件中</w:t>
            </w:r>
            <w:r>
              <w:rPr>
                <w:rFonts w:hint="eastAsia" w:ascii="宋体" w:hAnsi="宋体" w:cs="宋体"/>
                <w:color w:val="auto"/>
                <w:kern w:val="0"/>
                <w:szCs w:val="21"/>
                <w:highlight w:val="none"/>
                <w:lang w:val="en-US" w:eastAsia="zh-CN" w:bidi="ar"/>
              </w:rPr>
              <w:t>须</w:t>
            </w:r>
            <w:r>
              <w:rPr>
                <w:rFonts w:hint="eastAsia" w:ascii="宋体" w:hAnsi="宋体" w:cs="宋体"/>
                <w:color w:val="auto"/>
                <w:kern w:val="0"/>
                <w:szCs w:val="21"/>
                <w:highlight w:val="none"/>
                <w:lang w:bidi="ar"/>
              </w:rPr>
              <w:t>同时提供中标通知书</w:t>
            </w:r>
            <w:r>
              <w:rPr>
                <w:rFonts w:hint="eastAsia" w:ascii="宋体" w:hAnsi="宋体" w:cs="宋体"/>
                <w:color w:val="auto"/>
                <w:kern w:val="0"/>
                <w:szCs w:val="21"/>
                <w:highlight w:val="none"/>
                <w:lang w:val="en-US" w:eastAsia="zh-CN" w:bidi="ar"/>
              </w:rPr>
              <w:t>复印件和</w:t>
            </w:r>
            <w:r>
              <w:rPr>
                <w:rFonts w:hint="eastAsia" w:ascii="宋体" w:hAnsi="宋体" w:cs="宋体"/>
                <w:color w:val="auto"/>
                <w:kern w:val="0"/>
                <w:szCs w:val="21"/>
                <w:highlight w:val="none"/>
                <w:lang w:bidi="ar"/>
              </w:rPr>
              <w:t>合同复印件加盖公章，</w:t>
            </w:r>
            <w:r>
              <w:rPr>
                <w:rFonts w:hint="eastAsia" w:ascii="宋体" w:hAnsi="宋体" w:cs="宋体"/>
                <w:color w:val="auto"/>
                <w:kern w:val="0"/>
                <w:szCs w:val="21"/>
                <w:highlight w:val="none"/>
                <w:lang w:val="en-US" w:eastAsia="zh-CN" w:bidi="ar"/>
              </w:rPr>
              <w:t>未提供不得分。</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参与评审的价格=投标报价</w:t>
            </w:r>
            <w:r>
              <w:rPr>
                <w:rFonts w:hint="eastAsia"/>
                <w:color w:val="auto"/>
                <w:highlight w:val="none"/>
              </w:rPr>
              <w:t>-小微企业</w:t>
            </w:r>
            <w:r>
              <w:rPr>
                <w:rFonts w:hint="eastAsia"/>
                <w:color w:val="auto"/>
                <w:highlight w:val="none"/>
                <w:lang w:val="en-US" w:eastAsia="zh-CN"/>
              </w:rPr>
              <w:t>政策</w:t>
            </w:r>
            <w:r>
              <w:rPr>
                <w:rFonts w:hint="eastAsia"/>
                <w:color w:val="auto"/>
                <w:highlight w:val="none"/>
              </w:rPr>
              <w:t>优惠（如有）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基准价=满足</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要求且最低的参与评审的价格，基准价</w:t>
            </w:r>
            <w:r>
              <w:rPr>
                <w:rFonts w:hint="eastAsia" w:ascii="宋体" w:hAnsi="宋体" w:cs="宋体"/>
                <w:color w:val="auto"/>
                <w:sz w:val="21"/>
                <w:szCs w:val="21"/>
                <w:highlight w:val="none"/>
                <w:lang w:val="en-US" w:eastAsia="zh-CN"/>
              </w:rPr>
              <w:t>得10</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其余供应商得分为：报价得分=（基准价/参与评审的价格）×</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%×100。</w:t>
            </w:r>
          </w:p>
        </w:tc>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客观评审</w:t>
            </w:r>
          </w:p>
        </w:tc>
      </w:tr>
    </w:tbl>
    <w:p>
      <w:pPr>
        <w:spacing w:line="336" w:lineRule="auto"/>
        <w:ind w:firstLine="420" w:firstLineChars="200"/>
        <w:rPr>
          <w:rFonts w:hint="eastAsia" w:ascii="宋体" w:hAnsi="宋体" w:eastAsia="宋体" w:cs="宋体"/>
          <w:color w:val="auto"/>
          <w:szCs w:val="21"/>
          <w:highlight w:val="none"/>
          <w:lang w:val="en-US" w:eastAsia="zh-CN"/>
        </w:rPr>
      </w:pPr>
      <w:bookmarkStart w:id="28" w:name="_Toc9029"/>
      <w:bookmarkStart w:id="29" w:name="_Toc14242"/>
      <w:r>
        <w:rPr>
          <w:rFonts w:hint="eastAsia" w:ascii="宋体" w:hAnsi="宋体" w:eastAsia="宋体" w:cs="宋体"/>
          <w:color w:val="auto"/>
          <w:szCs w:val="21"/>
          <w:highlight w:val="none"/>
        </w:rPr>
        <w:t>注：1、小数点后保留一位数。2、各评标委员会成员自行按以上参考分值评分。3、重大事件由评标委员会集体讨论，应当按照少数服从多数的原则作出结论。4、联合体中任意一方具有上述证明材料的均予以认可。</w:t>
      </w:r>
    </w:p>
    <w:p>
      <w:pPr>
        <w:pStyle w:val="84"/>
        <w:ind w:left="0" w:leftChars="0" w:firstLine="0" w:firstLineChars="0"/>
        <w:rPr>
          <w:rFonts w:hint="eastAsia"/>
        </w:rPr>
      </w:pP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348" w:lineRule="auto"/>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六、定标</w:t>
      </w:r>
      <w:bookmarkEnd w:id="28"/>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firstLine="413" w:firstLineChars="196"/>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（一）确定</w:t>
      </w:r>
      <w:r>
        <w:rPr>
          <w:rFonts w:hint="eastAsia" w:hAnsi="宋体" w:cs="宋体"/>
          <w:b/>
          <w:bCs/>
          <w:color w:val="auto"/>
          <w:highlight w:val="none"/>
          <w:lang w:eastAsia="zh-CN"/>
        </w:rPr>
        <w:t>中标人</w:t>
      </w:r>
      <w:r>
        <w:rPr>
          <w:rFonts w:hint="eastAsia" w:ascii="宋体" w:hAnsi="宋体" w:eastAsia="宋体" w:cs="宋体"/>
          <w:b/>
          <w:bCs/>
          <w:color w:val="auto"/>
          <w:highlight w:val="none"/>
        </w:rPr>
        <w:t>。本项目由采购人（或采购人事先授权评标委员会）确定</w:t>
      </w:r>
      <w:r>
        <w:rPr>
          <w:rFonts w:hint="eastAsia" w:hAnsi="宋体" w:cs="宋体"/>
          <w:b/>
          <w:bCs/>
          <w:color w:val="auto"/>
          <w:highlight w:val="none"/>
          <w:lang w:eastAsia="zh-CN"/>
        </w:rPr>
        <w:t>中标人</w:t>
      </w:r>
      <w:r>
        <w:rPr>
          <w:rFonts w:hint="eastAsia" w:ascii="宋体" w:hAnsi="宋体" w:eastAsia="宋体" w:cs="宋体"/>
          <w:b/>
          <w:bCs/>
          <w:color w:val="auto"/>
          <w:highlight w:val="none"/>
        </w:rPr>
        <w:t>。</w:t>
      </w:r>
    </w:p>
    <w:p>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1.采购代理机构在评标结束后将评标报告交采购人确认。</w:t>
      </w:r>
    </w:p>
    <w:p>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2.供应商对评标结果无异议的，采购人应在收到评标报告后5个工作日内对评标结果进行确认</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确认</w:t>
      </w:r>
      <w:r>
        <w:rPr>
          <w:rFonts w:hint="eastAsia" w:ascii="宋体" w:hAnsi="宋体" w:eastAsia="宋体" w:cs="宋体"/>
          <w:color w:val="auto"/>
          <w:szCs w:val="21"/>
          <w:highlight w:val="none"/>
          <w:lang w:bidi="ar"/>
        </w:rPr>
        <w:t>排名第</w:t>
      </w:r>
      <w:r>
        <w:rPr>
          <w:rFonts w:hint="eastAsia" w:ascii="宋体" w:hAnsi="宋体" w:eastAsia="宋体" w:cs="宋体"/>
          <w:color w:val="auto"/>
          <w:szCs w:val="21"/>
          <w:highlight w:val="none"/>
          <w:lang w:val="en-US" w:eastAsia="zh-CN" w:bidi="ar"/>
        </w:rPr>
        <w:t>一</w:t>
      </w:r>
      <w:r>
        <w:rPr>
          <w:rFonts w:hint="eastAsia" w:ascii="宋体" w:hAnsi="宋体" w:eastAsia="宋体" w:cs="宋体"/>
          <w:color w:val="auto"/>
          <w:szCs w:val="21"/>
          <w:highlight w:val="none"/>
          <w:lang w:bidi="ar"/>
        </w:rPr>
        <w:t>的中标候选人为中标人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。如有供应商对评标结果提出质疑的，采购人可在质疑处理完毕后确定</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3.采购人依法确定</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后2个工作日内，采购代理机构以书面形式发出《中标通知书》,并同时在相关网站上发布中标公告。</w:t>
      </w:r>
    </w:p>
    <w:p>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bidi="ar"/>
        </w:rPr>
        <w:t>若</w:t>
      </w:r>
      <w:r>
        <w:rPr>
          <w:rFonts w:hint="eastAsia" w:ascii="宋体" w:hAnsi="宋体" w:cs="宋体"/>
          <w:color w:val="auto"/>
          <w:szCs w:val="21"/>
          <w:highlight w:val="none"/>
          <w:lang w:eastAsia="zh-CN" w:bidi="ar"/>
        </w:rPr>
        <w:t>中标人</w:t>
      </w:r>
      <w:r>
        <w:rPr>
          <w:rFonts w:hint="eastAsia" w:ascii="宋体" w:hAnsi="宋体" w:eastAsia="宋体" w:cs="宋体"/>
          <w:color w:val="auto"/>
          <w:szCs w:val="21"/>
          <w:highlight w:val="none"/>
          <w:lang w:bidi="ar"/>
        </w:rPr>
        <w:t>放弃中标，或因不可抗力提出不能履行合同，或不按</w:t>
      </w:r>
      <w:r>
        <w:rPr>
          <w:rFonts w:hint="eastAsia" w:ascii="宋体" w:hAnsi="宋体" w:cs="宋体"/>
          <w:color w:val="auto"/>
          <w:szCs w:val="21"/>
          <w:highlight w:val="none"/>
          <w:lang w:eastAsia="zh-CN" w:bidi="ar"/>
        </w:rPr>
        <w:t>招标文件</w:t>
      </w:r>
      <w:r>
        <w:rPr>
          <w:rFonts w:hint="eastAsia" w:ascii="宋体" w:hAnsi="宋体" w:eastAsia="宋体" w:cs="宋体"/>
          <w:color w:val="auto"/>
          <w:szCs w:val="21"/>
          <w:highlight w:val="none"/>
          <w:lang w:bidi="ar"/>
        </w:rPr>
        <w:t>规定提交履约担保，或其它原因被依法撤销中标资格，则采购人可确定排名第二的中标候选人为中标人或重新组织招标。</w:t>
      </w:r>
    </w:p>
    <w:p>
      <w:pPr>
        <w:keepNext w:val="0"/>
        <w:keepLines w:val="0"/>
        <w:pageBreakBefore w:val="0"/>
        <w:widowControl w:val="0"/>
        <w:kinsoku/>
        <w:wordWrap/>
        <w:overflowPunct/>
        <w:topLinePunct w:val="0"/>
        <w:autoSpaceDE/>
        <w:autoSpaceDN/>
        <w:bidi w:val="0"/>
        <w:adjustRightInd/>
        <w:snapToGrid/>
        <w:spacing w:line="348" w:lineRule="auto"/>
        <w:ind w:firstLine="422" w:firstLineChars="200"/>
        <w:textAlignment w:val="auto"/>
        <w:rPr>
          <w:rFonts w:hint="eastAsia" w:ascii="宋体" w:hAnsi="宋体" w:eastAsia="宋体" w:cs="宋体"/>
          <w:b/>
          <w:bCs/>
          <w:color w:val="auto"/>
          <w:szCs w:val="21"/>
          <w:highlight w:val="none"/>
          <w:lang w:bidi="ar"/>
        </w:rPr>
      </w:pPr>
      <w:r>
        <w:rPr>
          <w:rFonts w:hint="eastAsia" w:ascii="宋体" w:hAnsi="宋体" w:eastAsia="宋体" w:cs="宋体"/>
          <w:b/>
          <w:bCs/>
          <w:color w:val="auto"/>
          <w:szCs w:val="21"/>
          <w:highlight w:val="none"/>
          <w:lang w:bidi="ar"/>
        </w:rPr>
        <w:t>七、评标过程的监控与保密</w:t>
      </w:r>
    </w:p>
    <w:p>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1、本项目评标过程实行全程录音、录像监控，供应商在评标过程中所进行的试图影响评标结果的不公正活动，可能导致其投标被拒绝。</w:t>
      </w:r>
    </w:p>
    <w:p>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keepNext w:val="0"/>
        <w:keepLines w:val="0"/>
        <w:pageBreakBefore w:val="0"/>
        <w:widowControl w:val="0"/>
        <w:kinsoku/>
        <w:wordWrap/>
        <w:overflowPunct/>
        <w:topLinePunct w:val="0"/>
        <w:autoSpaceDE/>
        <w:autoSpaceDN/>
        <w:bidi w:val="0"/>
        <w:adjustRightInd/>
        <w:snapToGrid/>
        <w:spacing w:line="348" w:lineRule="auto"/>
        <w:ind w:firstLine="413" w:firstLineChars="196"/>
        <w:textAlignment w:val="auto"/>
        <w:rPr>
          <w:rFonts w:hint="eastAsia" w:ascii="宋体" w:hAnsi="宋体" w:eastAsia="宋体" w:cs="宋体"/>
          <w:b/>
          <w:bCs/>
          <w:color w:val="auto"/>
          <w:szCs w:val="21"/>
          <w:highlight w:val="none"/>
        </w:rPr>
      </w:pPr>
      <w:bookmarkStart w:id="30" w:name="_Toc17747"/>
      <w:r>
        <w:rPr>
          <w:rFonts w:hint="eastAsia" w:ascii="宋体" w:hAnsi="宋体" w:eastAsia="宋体" w:cs="宋体"/>
          <w:b/>
          <w:color w:val="auto"/>
          <w:szCs w:val="21"/>
          <w:highlight w:val="none"/>
        </w:rPr>
        <w:t>八、合同授予</w:t>
      </w:r>
      <w:bookmarkEnd w:id="30"/>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签订合同</w:t>
      </w:r>
    </w:p>
    <w:p>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采购人应当自中标通知书发出之日起30日内，按照</w:t>
      </w:r>
      <w:r>
        <w:rPr>
          <w:rFonts w:hint="eastAsia" w:ascii="宋体" w:hAnsi="宋体" w:cs="宋体"/>
          <w:color w:val="auto"/>
          <w:kern w:val="0"/>
          <w:szCs w:val="21"/>
          <w:highlight w:val="none"/>
          <w:lang w:eastAsia="zh-CN"/>
        </w:rPr>
        <w:t>招标文件</w:t>
      </w:r>
      <w:r>
        <w:rPr>
          <w:rFonts w:hint="eastAsia" w:ascii="宋体" w:hAnsi="宋体" w:eastAsia="宋体" w:cs="宋体"/>
          <w:color w:val="auto"/>
          <w:kern w:val="0"/>
          <w:szCs w:val="21"/>
          <w:highlight w:val="none"/>
        </w:rPr>
        <w:t>和中标人投标文件的规定，与中标人签订书面合同。所签订的合同不得对</w:t>
      </w:r>
      <w:r>
        <w:rPr>
          <w:rFonts w:hint="eastAsia" w:ascii="宋体" w:hAnsi="宋体" w:cs="宋体"/>
          <w:color w:val="auto"/>
          <w:kern w:val="0"/>
          <w:szCs w:val="21"/>
          <w:highlight w:val="none"/>
          <w:lang w:eastAsia="zh-CN"/>
        </w:rPr>
        <w:t>招标文件</w:t>
      </w:r>
      <w:r>
        <w:rPr>
          <w:rFonts w:hint="eastAsia" w:ascii="宋体" w:hAnsi="宋体" w:eastAsia="宋体" w:cs="宋体"/>
          <w:color w:val="auto"/>
          <w:kern w:val="0"/>
          <w:szCs w:val="21"/>
          <w:highlight w:val="none"/>
        </w:rPr>
        <w:t>确定的事项和中标人投标文件作实质性修改。</w:t>
      </w:r>
    </w:p>
    <w:p>
      <w:pPr>
        <w:keepNext w:val="0"/>
        <w:keepLines w:val="0"/>
        <w:pageBreakBefore w:val="0"/>
        <w:widowControl w:val="0"/>
        <w:kinsoku/>
        <w:wordWrap/>
        <w:overflowPunct/>
        <w:topLinePunct w:val="0"/>
        <w:autoSpaceDE/>
        <w:autoSpaceDN/>
        <w:bidi w:val="0"/>
        <w:adjustRightInd/>
        <w:snapToGrid/>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采购人不得向中标人提出任何不合理的要求作为签订合同的条件。</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firstLine="411" w:firstLineChars="196"/>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2</w:t>
      </w:r>
      <w:r>
        <w:rPr>
          <w:rFonts w:hint="eastAsia" w:ascii="宋体" w:hAnsi="宋体" w:eastAsia="宋体" w:cs="宋体"/>
          <w:color w:val="auto"/>
          <w:highlight w:val="none"/>
        </w:rPr>
        <w:t>.</w:t>
      </w:r>
      <w:r>
        <w:rPr>
          <w:rFonts w:hint="eastAsia" w:ascii="宋体" w:hAnsi="宋体" w:eastAsia="宋体" w:cs="宋体"/>
          <w:bCs/>
          <w:color w:val="auto"/>
          <w:highlight w:val="none"/>
        </w:rPr>
        <w:t>采购人在签订合同时，在合同金额变更范围内，如需审批的办理相关审批手续。有权变更采购项目的数量和服务内容，但不能对单价或其他条款和条件作任何改变。</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firstLine="411" w:firstLineChars="196"/>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3</w:t>
      </w:r>
      <w:r>
        <w:rPr>
          <w:rFonts w:hint="eastAsia" w:ascii="宋体" w:hAnsi="宋体" w:eastAsia="宋体" w:cs="宋体"/>
          <w:color w:val="auto"/>
          <w:highlight w:val="none"/>
        </w:rPr>
        <w:t>.</w:t>
      </w:r>
      <w:r>
        <w:rPr>
          <w:rFonts w:hint="eastAsia" w:hAnsi="宋体" w:cs="宋体"/>
          <w:bCs/>
          <w:color w:val="auto"/>
          <w:highlight w:val="none"/>
          <w:lang w:eastAsia="zh-CN"/>
        </w:rPr>
        <w:t>招标文件</w:t>
      </w:r>
      <w:r>
        <w:rPr>
          <w:rFonts w:hint="eastAsia" w:ascii="宋体" w:hAnsi="宋体" w:eastAsia="宋体" w:cs="宋体"/>
          <w:bCs/>
          <w:color w:val="auto"/>
          <w:highlight w:val="none"/>
        </w:rPr>
        <w:t>、</w:t>
      </w:r>
      <w:r>
        <w:rPr>
          <w:rFonts w:hint="eastAsia" w:hAnsi="宋体" w:cs="宋体"/>
          <w:bCs/>
          <w:color w:val="auto"/>
          <w:highlight w:val="none"/>
          <w:lang w:eastAsia="zh-CN"/>
        </w:rPr>
        <w:t>中标人</w:t>
      </w:r>
      <w:r>
        <w:rPr>
          <w:rFonts w:hint="eastAsia" w:ascii="宋体" w:hAnsi="宋体" w:eastAsia="宋体" w:cs="宋体"/>
          <w:bCs/>
          <w:color w:val="auto"/>
          <w:highlight w:val="none"/>
        </w:rPr>
        <w:t>的投标文件及评标过程中有关的澄清文件均应作为合同签订的附件。</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firstLine="411" w:firstLineChars="196"/>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4</w:t>
      </w:r>
      <w:r>
        <w:rPr>
          <w:rFonts w:hint="eastAsia" w:ascii="宋体" w:hAnsi="宋体" w:eastAsia="宋体" w:cs="宋体"/>
          <w:color w:val="auto"/>
          <w:highlight w:val="none"/>
        </w:rPr>
        <w:t>.</w:t>
      </w:r>
      <w:r>
        <w:rPr>
          <w:rFonts w:hint="eastAsia" w:ascii="宋体" w:hAnsi="宋体" w:eastAsia="宋体" w:cs="宋体"/>
          <w:bCs/>
          <w:color w:val="auto"/>
          <w:highlight w:val="none"/>
        </w:rPr>
        <w:t>中标或者成交供应商拒绝与采购人签订合同的，采购人应重新招标。</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48" w:lineRule="auto"/>
        <w:ind w:firstLine="411" w:firstLineChars="196"/>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5.中标人如不遵守</w:t>
      </w:r>
      <w:r>
        <w:rPr>
          <w:rFonts w:hint="eastAsia" w:hAnsi="宋体" w:cs="宋体"/>
          <w:bCs/>
          <w:color w:val="auto"/>
          <w:highlight w:val="none"/>
          <w:lang w:eastAsia="zh-CN"/>
        </w:rPr>
        <w:t>招标文件</w:t>
      </w:r>
      <w:r>
        <w:rPr>
          <w:rFonts w:hint="eastAsia" w:ascii="宋体" w:hAnsi="宋体" w:eastAsia="宋体" w:cs="宋体"/>
          <w:bCs/>
          <w:color w:val="auto"/>
          <w:highlight w:val="none"/>
        </w:rPr>
        <w:t>或投标文件各项条款的邀约与要约，或在接到中标通知书后借故拖延，拒签合同的，采购人将按《浙江省政府采购供应商注册及诚信管理暂行办法》的规定上报诚信状况。给采购人造成的损失的还应当予以赔偿。</w:t>
      </w:r>
    </w:p>
    <w:p>
      <w:pPr>
        <w:keepNext w:val="0"/>
        <w:keepLines w:val="0"/>
        <w:pageBreakBefore w:val="0"/>
        <w:widowControl w:val="0"/>
        <w:kinsoku/>
        <w:wordWrap/>
        <w:overflowPunct/>
        <w:topLinePunct w:val="0"/>
        <w:autoSpaceDE/>
        <w:autoSpaceDN/>
        <w:bidi w:val="0"/>
        <w:adjustRightInd/>
        <w:snapToGrid/>
        <w:spacing w:line="348" w:lineRule="auto"/>
        <w:ind w:firstLine="413" w:firstLineChars="196"/>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九、履约验收：</w:t>
      </w:r>
    </w:p>
    <w:p>
      <w:pPr>
        <w:keepNext w:val="0"/>
        <w:keepLines w:val="0"/>
        <w:pageBreakBefore w:val="0"/>
        <w:widowControl w:val="0"/>
        <w:kinsoku/>
        <w:wordWrap/>
        <w:overflowPunct/>
        <w:topLinePunct w:val="0"/>
        <w:autoSpaceDE/>
        <w:autoSpaceDN/>
        <w:bidi w:val="0"/>
        <w:adjustRightInd/>
        <w:snapToGrid/>
        <w:spacing w:line="348" w:lineRule="auto"/>
        <w:ind w:firstLine="411" w:firstLineChars="196"/>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采购人负责对</w:t>
      </w:r>
      <w:r>
        <w:rPr>
          <w:rFonts w:hint="eastAsia" w:ascii="宋体" w:hAnsi="宋体" w:cs="宋体"/>
          <w:bCs/>
          <w:color w:val="auto"/>
          <w:szCs w:val="21"/>
          <w:highlight w:val="none"/>
          <w:lang w:eastAsia="zh-CN"/>
        </w:rPr>
        <w:t>中标人</w:t>
      </w:r>
      <w:r>
        <w:rPr>
          <w:rFonts w:hint="eastAsia" w:ascii="宋体" w:hAnsi="宋体" w:eastAsia="宋体" w:cs="宋体"/>
          <w:bCs/>
          <w:color w:val="auto"/>
          <w:szCs w:val="21"/>
          <w:highlight w:val="none"/>
        </w:rPr>
        <w:t>的履约行为进行验收。政府向社会公众提供的公共服务项目，验收时应当邀请服务对象参与并出具意见，验收结果应当向社会公告。</w:t>
      </w:r>
    </w:p>
    <w:p>
      <w:pPr>
        <w:pStyle w:val="175"/>
        <w:spacing w:line="700" w:lineRule="exact"/>
        <w:ind w:firstLine="0" w:firstLineChars="0"/>
        <w:jc w:val="center"/>
        <w:outlineLvl w:val="0"/>
        <w:rPr>
          <w:rFonts w:hint="eastAsia" w:ascii="宋体" w:hAnsi="宋体" w:eastAsia="宋体" w:cs="宋体"/>
          <w:b/>
          <w:bCs/>
          <w:color w:val="auto"/>
          <w:sz w:val="32"/>
          <w:szCs w:val="32"/>
          <w:highlight w:val="none"/>
        </w:rPr>
      </w:pPr>
      <w:r>
        <w:rPr>
          <w:rFonts w:hint="eastAsia" w:ascii="宋体" w:hAnsi="宋体" w:eastAsia="宋体" w:cs="宋体"/>
          <w:bCs/>
          <w:color w:val="auto"/>
          <w:highlight w:val="none"/>
        </w:rPr>
        <w:br w:type="page"/>
      </w:r>
      <w:bookmarkStart w:id="31" w:name="_Toc19976"/>
      <w:r>
        <w:rPr>
          <w:rFonts w:hint="eastAsia" w:ascii="宋体" w:hAnsi="宋体" w:eastAsia="宋体" w:cs="宋体"/>
          <w:b/>
          <w:color w:val="auto"/>
          <w:sz w:val="32"/>
          <w:szCs w:val="32"/>
          <w:highlight w:val="none"/>
        </w:rPr>
        <w:t>第五章  政府采购合同主要条款</w:t>
      </w:r>
      <w:bookmarkEnd w:id="29"/>
      <w:bookmarkEnd w:id="31"/>
    </w:p>
    <w:p>
      <w:pPr>
        <w:spacing w:before="120" w:beforeLines="50" w:after="120" w:afterLines="50"/>
        <w:jc w:val="center"/>
        <w:rPr>
          <w:rFonts w:hint="eastAsia" w:ascii="宋体" w:hAnsi="宋体" w:eastAsia="宋体" w:cs="宋体"/>
          <w:b/>
          <w:bCs/>
          <w:color w:val="auto"/>
          <w:sz w:val="30"/>
          <w:szCs w:val="32"/>
          <w:highlight w:val="none"/>
        </w:rPr>
      </w:pPr>
      <w:r>
        <w:rPr>
          <w:rFonts w:hint="eastAsia" w:ascii="宋体" w:hAnsi="宋体" w:eastAsia="宋体" w:cs="宋体"/>
          <w:b/>
          <w:color w:val="auto"/>
          <w:sz w:val="30"/>
          <w:szCs w:val="32"/>
          <w:highlight w:val="none"/>
        </w:rPr>
        <w:t>采购合同</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（以下简称甲方）</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根据《中华人民共和国政府采购法》、《中华人民共和国政府采购法实施条例》、《政府采购货物和服务招标投标管理办法》等法律法规，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（项目编号：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日，在宁波市</w:t>
      </w:r>
      <w:r>
        <w:rPr>
          <w:rFonts w:hint="eastAsia" w:ascii="宋体" w:hAnsi="宋体" w:eastAsia="宋体" w:cs="宋体"/>
          <w:color w:val="auto"/>
          <w:szCs w:val="21"/>
          <w:highlight w:val="none"/>
          <w:lang w:eastAsia="zh-CN"/>
        </w:rPr>
        <w:t>象山</w:t>
      </w:r>
      <w:r>
        <w:rPr>
          <w:rFonts w:hint="eastAsia" w:ascii="宋体" w:hAnsi="宋体" w:eastAsia="宋体" w:cs="宋体"/>
          <w:color w:val="auto"/>
          <w:szCs w:val="21"/>
          <w:highlight w:val="none"/>
        </w:rPr>
        <w:t>县公共资源交易中心进行公开招标，经结果公告确定由乙方中标。按照《中华人民共和国民法典》的有关规定，在自愿、平等、公平、诚信的基础上，经双方协商一致，签订本合同。</w:t>
      </w:r>
    </w:p>
    <w:p>
      <w:pPr>
        <w:keepNext w:val="0"/>
        <w:keepLines w:val="0"/>
        <w:pageBreakBefore w:val="0"/>
        <w:widowControl w:val="0"/>
        <w:kinsoku/>
        <w:wordWrap/>
        <w:overflowPunct/>
        <w:topLinePunct w:val="0"/>
        <w:autoSpaceDE/>
        <w:autoSpaceDN/>
        <w:bidi w:val="0"/>
        <w:adjustRightInd/>
        <w:spacing w:before="0" w:after="0"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下述文件作为附件，是合同的一部分，并与本合同一起阅读和解释：</w:t>
      </w:r>
    </w:p>
    <w:p>
      <w:pPr>
        <w:keepNext w:val="0"/>
        <w:keepLines w:val="0"/>
        <w:pageBreakBefore w:val="0"/>
        <w:widowControl w:val="0"/>
        <w:kinsoku/>
        <w:wordWrap/>
        <w:overflowPunct/>
        <w:topLinePunct w:val="0"/>
        <w:autoSpaceDE/>
        <w:autoSpaceDN/>
        <w:bidi w:val="0"/>
        <w:adjustRightInd/>
        <w:spacing w:before="0" w:after="0"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a.招标文件；</w:t>
      </w:r>
    </w:p>
    <w:p>
      <w:pPr>
        <w:keepNext w:val="0"/>
        <w:keepLines w:val="0"/>
        <w:pageBreakBefore w:val="0"/>
        <w:widowControl w:val="0"/>
        <w:kinsoku/>
        <w:wordWrap/>
        <w:overflowPunct/>
        <w:topLinePunct w:val="0"/>
        <w:autoSpaceDE/>
        <w:autoSpaceDN/>
        <w:bidi w:val="0"/>
        <w:adjustRightInd/>
        <w:spacing w:before="0" w:after="0"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b.投标文件及澄清文件；</w:t>
      </w:r>
    </w:p>
    <w:p>
      <w:pPr>
        <w:keepNext w:val="0"/>
        <w:keepLines w:val="0"/>
        <w:pageBreakBefore w:val="0"/>
        <w:widowControl w:val="0"/>
        <w:kinsoku/>
        <w:wordWrap/>
        <w:overflowPunct/>
        <w:topLinePunct w:val="0"/>
        <w:autoSpaceDE/>
        <w:autoSpaceDN/>
        <w:bidi w:val="0"/>
        <w:adjustRightInd/>
        <w:spacing w:before="0" w:after="0"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c.中标通知书；</w:t>
      </w:r>
    </w:p>
    <w:p>
      <w:pPr>
        <w:keepNext w:val="0"/>
        <w:keepLines w:val="0"/>
        <w:pageBreakBefore w:val="0"/>
        <w:widowControl w:val="0"/>
        <w:kinsoku/>
        <w:wordWrap/>
        <w:overflowPunct/>
        <w:topLinePunct w:val="0"/>
        <w:autoSpaceDE/>
        <w:autoSpaceDN/>
        <w:bidi w:val="0"/>
        <w:adjustRightInd/>
        <w:spacing w:before="0" w:after="0"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上述文件与合同若有不一致之处，优先次序第一应为合同、第二应为附件(附件的优先次序为 c,b,a)。</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甲、乙双方</w:t>
      </w:r>
      <w:r>
        <w:rPr>
          <w:rFonts w:hint="eastAsia" w:ascii="宋体" w:hAnsi="宋体" w:eastAsia="宋体" w:cs="宋体"/>
          <w:color w:val="auto"/>
          <w:sz w:val="21"/>
          <w:szCs w:val="21"/>
          <w:highlight w:val="none"/>
        </w:rPr>
        <w:t>就</w:t>
      </w:r>
      <w:r>
        <w:rPr>
          <w:rFonts w:hint="eastAsia" w:ascii="宋体" w:hAnsi="宋体" w:cs="宋体"/>
          <w:color w:val="auto"/>
          <w:sz w:val="21"/>
          <w:szCs w:val="21"/>
          <w:highlight w:val="none"/>
          <w:lang w:eastAsia="zh-CN"/>
        </w:rPr>
        <w:t>象山县环境卫生指导中心道路保洁服务外包项目</w:t>
      </w:r>
      <w:r>
        <w:rPr>
          <w:rFonts w:hint="eastAsia" w:ascii="宋体" w:hAnsi="宋体" w:eastAsia="宋体" w:cs="宋体"/>
          <w:color w:val="auto"/>
          <w:sz w:val="21"/>
          <w:szCs w:val="21"/>
          <w:highlight w:val="none"/>
        </w:rPr>
        <w:t>的承包运营及双方的权利和</w:t>
      </w:r>
      <w:r>
        <w:rPr>
          <w:rFonts w:hint="eastAsia" w:ascii="宋体" w:hAnsi="宋体" w:eastAsia="宋体" w:cs="宋体"/>
          <w:color w:val="auto"/>
          <w:sz w:val="21"/>
          <w:szCs w:val="21"/>
          <w:highlight w:val="none"/>
          <w:lang w:eastAsia="zh-CN"/>
        </w:rPr>
        <w:t>义务</w:t>
      </w:r>
      <w:r>
        <w:rPr>
          <w:rFonts w:hint="eastAsia" w:ascii="宋体" w:hAnsi="宋体" w:eastAsia="宋体" w:cs="宋体"/>
          <w:color w:val="auto"/>
          <w:sz w:val="21"/>
          <w:szCs w:val="21"/>
          <w:highlight w:val="none"/>
        </w:rPr>
        <w:t>等事项达成如下协议：</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一、承包项目</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1、承包范围：</w:t>
      </w:r>
      <w:r>
        <w:rPr>
          <w:rFonts w:hint="eastAsia" w:ascii="宋体" w:hAnsi="宋体" w:eastAsia="宋体" w:cs="宋体"/>
          <w:color w:val="auto"/>
          <w:sz w:val="21"/>
          <w:szCs w:val="21"/>
          <w:highlight w:val="none"/>
          <w:lang w:val="en-US" w:eastAsia="zh-CN"/>
        </w:rPr>
        <w:t>南街、天安路、象山港路、巨鹰路（象山港路-松兰山）、滨海大道、政实路，</w:t>
      </w:r>
      <w:r>
        <w:rPr>
          <w:rFonts w:hint="eastAsia" w:ascii="宋体" w:hAnsi="宋体" w:eastAsia="宋体" w:cs="宋体"/>
          <w:color w:val="auto"/>
          <w:sz w:val="21"/>
          <w:szCs w:val="21"/>
          <w:highlight w:val="none"/>
        </w:rPr>
        <w:t>共计保洁面积</w:t>
      </w:r>
      <w:r>
        <w:rPr>
          <w:rFonts w:hint="eastAsia" w:ascii="宋体" w:hAnsi="宋体" w:eastAsia="宋体" w:cs="宋体"/>
          <w:color w:val="auto"/>
          <w:sz w:val="21"/>
          <w:szCs w:val="21"/>
          <w:highlight w:val="none"/>
          <w:u w:val="single"/>
          <w:lang w:val="en-US" w:eastAsia="zh-CN"/>
        </w:rPr>
        <w:t>160.44</w:t>
      </w:r>
      <w:r>
        <w:rPr>
          <w:rFonts w:hint="eastAsia" w:ascii="宋体" w:hAnsi="宋体" w:eastAsia="宋体" w:cs="宋体"/>
          <w:color w:val="auto"/>
          <w:sz w:val="21"/>
          <w:szCs w:val="21"/>
          <w:highlight w:val="none"/>
        </w:rPr>
        <w:t>万平方米，全部实行15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18小时保洁</w:t>
      </w:r>
      <w:r>
        <w:rPr>
          <w:rFonts w:hint="eastAsia" w:ascii="宋体" w:hAnsi="宋体" w:eastAsia="宋体" w:cs="宋体"/>
          <w:color w:val="auto"/>
          <w:sz w:val="21"/>
          <w:szCs w:val="21"/>
          <w:highlight w:val="none"/>
          <w:lang w:eastAsia="zh-CN"/>
        </w:rPr>
        <w:t>（夜班路段</w:t>
      </w: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内容：承包区域内道路、桥梁、人行道、天桥、公共广场、草坪等公共区域的日常保洁（包括零星装潢垃圾、零星杂物、临时产生的障碍物的清理）、垃圾收集清运、垃圾桶清运清洗（倾倒后即清洗、划线、归点）及果壳箱的清洗（随脏随擦）。</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3、承包要求：根据《浙江省城市道路清扫保洁标准》，达到城区环卫保洁作业标准（详见编号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招标文件），并做到“四无五净”（“四无”即路面无堆积物、无果皮纸屑、无明显灰沙带、垃圾收集容器内无暴露垃圾；“五净”即路面净、沟眼净、人行道净、墙根净、绿化带花坛净）。</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二、交接事项</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1、甲方免费提供人力三轮车</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辆、电动三轮车</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辆，给乙方使用，其作业产生费用包括保险费、维修费等其他费用由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val="en-US" w:eastAsia="zh-CN"/>
        </w:rPr>
        <w:t>乙方需自行投入15桶及以上规格的</w:t>
      </w:r>
      <w:r>
        <w:rPr>
          <w:rFonts w:hint="eastAsia" w:ascii="宋体" w:hAnsi="宋体" w:eastAsia="宋体" w:cs="宋体"/>
          <w:color w:val="auto"/>
          <w:sz w:val="21"/>
          <w:szCs w:val="21"/>
          <w:highlight w:val="none"/>
        </w:rPr>
        <w:t>桶装车</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其中</w:t>
      </w:r>
      <w:r>
        <w:rPr>
          <w:rFonts w:hint="eastAsia" w:ascii="宋体" w:hAnsi="宋体" w:eastAsia="宋体" w:cs="宋体"/>
          <w:color w:val="auto"/>
          <w:sz w:val="21"/>
          <w:szCs w:val="21"/>
          <w:highlight w:val="none"/>
          <w:lang w:val="en-US" w:eastAsia="zh-CN"/>
        </w:rPr>
        <w:t xml:space="preserve">    辆为</w:t>
      </w:r>
      <w:r>
        <w:rPr>
          <w:rFonts w:hint="eastAsia" w:ascii="宋体" w:hAnsi="宋体" w:eastAsia="宋体" w:cs="宋体"/>
          <w:color w:val="auto"/>
          <w:sz w:val="21"/>
          <w:szCs w:val="21"/>
          <w:highlight w:val="none"/>
        </w:rPr>
        <w:t>新能源</w:t>
      </w:r>
      <w:r>
        <w:rPr>
          <w:rFonts w:hint="eastAsia" w:ascii="宋体" w:hAnsi="宋体" w:eastAsia="宋体" w:cs="宋体"/>
          <w:color w:val="auto"/>
          <w:sz w:val="21"/>
          <w:szCs w:val="21"/>
          <w:highlight w:val="none"/>
          <w:lang w:eastAsia="zh-CN"/>
        </w:rPr>
        <w:t>车辆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机械自卸车</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辆、机扫车</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辆、洒水车</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辆、冲洗车</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其中    辆有冲洗机加磨盘，参与磨地作业）</w:t>
      </w:r>
      <w:r>
        <w:rPr>
          <w:rFonts w:hint="eastAsia" w:ascii="宋体" w:hAnsi="宋体" w:eastAsia="宋体" w:cs="宋体"/>
          <w:color w:val="auto"/>
          <w:sz w:val="21"/>
          <w:szCs w:val="21"/>
          <w:highlight w:val="none"/>
        </w:rPr>
        <w:t>，并在签订本协议前向甲方出具租用象山城区办公用房的有效证明（如租房</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原件等）。</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必须在</w:t>
      </w:r>
      <w:r>
        <w:rPr>
          <w:rFonts w:hint="eastAsia" w:ascii="宋体" w:hAnsi="宋体" w:cs="宋体"/>
          <w:color w:val="auto"/>
          <w:sz w:val="21"/>
          <w:szCs w:val="21"/>
          <w:highlight w:val="none"/>
          <w:lang w:val="en-US" w:eastAsia="zh-CN"/>
        </w:rPr>
        <w:t>接到甲方书面通知</w:t>
      </w:r>
      <w:r>
        <w:rPr>
          <w:rFonts w:hint="eastAsia" w:ascii="宋体" w:hAnsi="宋体" w:eastAsia="宋体" w:cs="宋体"/>
          <w:color w:val="auto"/>
          <w:sz w:val="21"/>
          <w:szCs w:val="21"/>
          <w:highlight w:val="none"/>
        </w:rPr>
        <w:t>后</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个月内建成智慧环卫管理系统，包括作业车辆GPS定位系统、管理人员配备4G考核通、保洁员配备定位终端并与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智慧环卫系统联网。</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2、本协议终止后，乙方即时完好归还甲方的所有车辆，协议期间发生的车辆维护、维修、油耗、保险、安全事故处理等一切费用均由乙方自行承担，与甲方无涉。</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3、甲方在乙方承包区域内设置可移动</w:t>
      </w:r>
      <w:r>
        <w:rPr>
          <w:rFonts w:hint="eastAsia" w:ascii="宋体" w:hAnsi="宋体" w:eastAsia="宋体" w:cs="宋体"/>
          <w:color w:val="auto"/>
          <w:sz w:val="21"/>
          <w:szCs w:val="21"/>
          <w:highlight w:val="none"/>
          <w:lang w:val="en-US" w:eastAsia="zh-CN"/>
        </w:rPr>
        <w:t>240升</w:t>
      </w:r>
      <w:r>
        <w:rPr>
          <w:rFonts w:hint="eastAsia" w:ascii="宋体" w:hAnsi="宋体" w:eastAsia="宋体" w:cs="宋体"/>
          <w:color w:val="auto"/>
          <w:sz w:val="21"/>
          <w:szCs w:val="21"/>
          <w:highlight w:val="none"/>
        </w:rPr>
        <w:t>垃圾桶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果壳箱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只</w:t>
      </w:r>
      <w:r>
        <w:rPr>
          <w:rFonts w:hint="eastAsia" w:ascii="宋体" w:hAnsi="宋体" w:eastAsia="宋体" w:cs="宋体"/>
          <w:color w:val="auto"/>
          <w:sz w:val="21"/>
          <w:szCs w:val="21"/>
          <w:highlight w:val="none"/>
        </w:rPr>
        <w:t>，乙方应妥善保管维护，如有</w:t>
      </w:r>
      <w:r>
        <w:rPr>
          <w:rFonts w:hint="eastAsia" w:ascii="宋体" w:hAnsi="宋体" w:eastAsia="宋体" w:cs="宋体"/>
          <w:color w:val="auto"/>
          <w:sz w:val="21"/>
          <w:szCs w:val="21"/>
          <w:highlight w:val="none"/>
          <w:lang w:eastAsia="zh-CN"/>
        </w:rPr>
        <w:t>损失</w:t>
      </w:r>
      <w:r>
        <w:rPr>
          <w:rFonts w:hint="eastAsia" w:ascii="宋体" w:hAnsi="宋体" w:eastAsia="宋体" w:cs="宋体"/>
          <w:color w:val="auto"/>
          <w:sz w:val="21"/>
          <w:szCs w:val="21"/>
          <w:highlight w:val="none"/>
        </w:rPr>
        <w:t>应及时报甲方更换备案。</w:t>
      </w:r>
      <w:r>
        <w:rPr>
          <w:rFonts w:hint="eastAsia" w:ascii="宋体" w:hAnsi="宋体" w:eastAsia="宋体" w:cs="宋体"/>
          <w:color w:val="auto"/>
          <w:sz w:val="21"/>
          <w:szCs w:val="21"/>
          <w:highlight w:val="none"/>
          <w:lang w:val="en-US" w:eastAsia="zh-CN"/>
        </w:rPr>
        <w:t>甲方可按实际情况调整果壳箱数量和生活垃圾桶数量，乙方须无条件接受数量的调整且保洁经费不作相应调整。</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三、经费拨付</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1、乙方的承包经费为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万元（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元整</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万</w:t>
      </w:r>
      <w:r>
        <w:rPr>
          <w:rFonts w:hint="eastAsia" w:ascii="宋体" w:hAnsi="宋体" w:eastAsia="宋体" w:cs="宋体"/>
          <w:color w:val="auto"/>
          <w:sz w:val="21"/>
          <w:szCs w:val="21"/>
          <w:highlight w:val="none"/>
        </w:rPr>
        <w:t>元整）单独列为考核奖金。承包经费包括</w:t>
      </w:r>
      <w:r>
        <w:rPr>
          <w:rFonts w:hint="eastAsia" w:ascii="宋体" w:hAnsi="宋体" w:eastAsia="宋体" w:cs="宋体"/>
          <w:color w:val="auto"/>
          <w:sz w:val="21"/>
          <w:szCs w:val="21"/>
          <w:highlight w:val="none"/>
          <w:lang w:eastAsia="zh-CN"/>
        </w:rPr>
        <w:t>乙方应付的</w:t>
      </w:r>
      <w:r>
        <w:rPr>
          <w:rFonts w:hint="eastAsia" w:ascii="宋体" w:hAnsi="宋体" w:eastAsia="宋体" w:cs="宋体"/>
          <w:color w:val="auto"/>
          <w:sz w:val="21"/>
          <w:szCs w:val="21"/>
          <w:highlight w:val="none"/>
        </w:rPr>
        <w:t>职工工资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w:t>
      </w:r>
      <w:r>
        <w:rPr>
          <w:rFonts w:hint="eastAsia" w:ascii="宋体" w:hAnsi="宋体" w:eastAsia="宋体" w:cs="宋体"/>
          <w:color w:val="auto"/>
          <w:sz w:val="21"/>
          <w:szCs w:val="21"/>
          <w:highlight w:val="none"/>
        </w:rPr>
        <w:t>工龄工资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社会保险、</w:t>
      </w:r>
      <w:r>
        <w:rPr>
          <w:rFonts w:hint="eastAsia" w:ascii="宋体" w:hAnsi="宋体" w:eastAsia="宋体" w:cs="宋体"/>
          <w:color w:val="auto"/>
          <w:sz w:val="21"/>
          <w:szCs w:val="21"/>
          <w:highlight w:val="none"/>
        </w:rPr>
        <w:t>公积金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福利、节假日及县里各重大活动所需的道路清扫和垃圾清运等加班费用、缴纳各种保险及税金、购置生产工具、维修更</w:t>
      </w:r>
      <w:r>
        <w:rPr>
          <w:rFonts w:hint="eastAsia" w:ascii="宋体" w:hAnsi="宋体" w:eastAsia="宋体" w:cs="宋体"/>
          <w:color w:val="auto"/>
          <w:sz w:val="21"/>
          <w:szCs w:val="21"/>
          <w:highlight w:val="none"/>
          <w:lang w:eastAsia="zh-CN"/>
        </w:rPr>
        <w:t>新</w:t>
      </w:r>
      <w:r>
        <w:rPr>
          <w:rFonts w:hint="eastAsia" w:ascii="宋体" w:hAnsi="宋体" w:eastAsia="宋体" w:cs="宋体"/>
          <w:color w:val="auto"/>
          <w:sz w:val="21"/>
          <w:szCs w:val="21"/>
          <w:highlight w:val="none"/>
        </w:rPr>
        <w:t>设备设施、处理事故、管理费用等</w:t>
      </w:r>
      <w:r>
        <w:rPr>
          <w:rFonts w:hint="eastAsia" w:ascii="宋体" w:hAnsi="宋体" w:eastAsia="宋体" w:cs="宋体"/>
          <w:color w:val="auto"/>
          <w:sz w:val="21"/>
          <w:szCs w:val="21"/>
          <w:highlight w:val="none"/>
          <w:lang w:eastAsia="zh-CN"/>
        </w:rPr>
        <w:t>一切</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甲方根据考核情况，按月拨款，年终结算。</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乙方在承包期内除因道路保洁面积增减造成额外费用增加或减少的，承包经费可作相应地增补或扣回外，其他情形造成的经费增加（包括国家政策最低工资、社保等调整、临时性活动等费用增加）均由乙方自行承担，乙方不得以其他任何理由要求增加经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合同生效及具备实施条件后7个工作日内</w:t>
      </w:r>
      <w:r>
        <w:rPr>
          <w:rFonts w:hint="eastAsia" w:ascii="宋体" w:hAnsi="宋体" w:eastAsia="宋体" w:cs="宋体"/>
          <w:color w:val="auto"/>
          <w:sz w:val="21"/>
          <w:szCs w:val="21"/>
          <w:highlight w:val="none"/>
          <w:lang w:eastAsia="zh-CN"/>
        </w:rPr>
        <w:t>，甲方向乙方支付承包经费总额的</w:t>
      </w:r>
      <w:r>
        <w:rPr>
          <w:rFonts w:hint="eastAsia" w:ascii="宋体" w:hAnsi="宋体" w:eastAsia="宋体" w:cs="宋体"/>
          <w:color w:val="auto"/>
          <w:sz w:val="21"/>
          <w:szCs w:val="21"/>
          <w:highlight w:val="none"/>
          <w:lang w:val="en-US" w:eastAsia="zh-CN"/>
        </w:rPr>
        <w:t>30%即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万元作为预付款（支付前乙方需提交甲方认可的等额预付款保函）。</w:t>
      </w:r>
      <w:r>
        <w:rPr>
          <w:rFonts w:hint="eastAsia" w:ascii="宋体" w:hAnsi="宋体" w:eastAsia="宋体" w:cs="宋体"/>
          <w:color w:val="auto"/>
          <w:sz w:val="21"/>
          <w:szCs w:val="21"/>
          <w:highlight w:val="none"/>
        </w:rPr>
        <w:t>承包经费和考核奖金按月拨付</w:t>
      </w:r>
      <w:r>
        <w:rPr>
          <w:rFonts w:hint="eastAsia" w:ascii="宋体" w:hAnsi="宋体" w:eastAsia="宋体" w:cs="宋体"/>
          <w:color w:val="auto"/>
          <w:sz w:val="21"/>
          <w:szCs w:val="21"/>
          <w:highlight w:val="none"/>
          <w:lang w:eastAsia="zh-CN"/>
        </w:rPr>
        <w:t>（其中预付款的</w:t>
      </w:r>
      <w:r>
        <w:rPr>
          <w:rFonts w:hint="eastAsia" w:ascii="宋体" w:hAnsi="宋体" w:eastAsia="宋体" w:cs="宋体"/>
          <w:color w:val="auto"/>
          <w:sz w:val="21"/>
          <w:szCs w:val="21"/>
          <w:highlight w:val="none"/>
          <w:lang w:val="en-US" w:eastAsia="zh-CN"/>
        </w:rPr>
        <w:t>20%在每月应付款项中予以抵扣，直至扣完为止）,</w:t>
      </w:r>
      <w:r>
        <w:rPr>
          <w:rFonts w:hint="eastAsia" w:ascii="宋体" w:hAnsi="宋体" w:eastAsia="宋体" w:cs="宋体"/>
          <w:color w:val="auto"/>
          <w:sz w:val="21"/>
          <w:szCs w:val="21"/>
          <w:highlight w:val="none"/>
        </w:rPr>
        <w:t>月承包经费计算基数为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万元，月考核奖金计算基数为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万元。本协议开始履行后，甲方每月扣回预付款的20%</w:t>
      </w:r>
      <w:r>
        <w:rPr>
          <w:rFonts w:hint="eastAsia" w:ascii="宋体" w:hAnsi="宋体" w:eastAsia="宋体" w:cs="宋体"/>
          <w:color w:val="auto"/>
          <w:sz w:val="21"/>
          <w:szCs w:val="21"/>
          <w:highlight w:val="none"/>
          <w:lang w:val="en-US" w:eastAsia="zh-CN"/>
        </w:rPr>
        <w:t>(全部扣清后，甲方5天内退回预付款保函)。</w:t>
      </w:r>
      <w:r>
        <w:rPr>
          <w:rFonts w:hint="eastAsia" w:ascii="宋体" w:hAnsi="宋体" w:eastAsia="宋体" w:cs="宋体"/>
          <w:color w:val="auto"/>
          <w:sz w:val="21"/>
          <w:szCs w:val="21"/>
          <w:highlight w:val="none"/>
        </w:rPr>
        <w:t>甲方将根据</w:t>
      </w:r>
      <w:r>
        <w:rPr>
          <w:rFonts w:hint="eastAsia" w:ascii="宋体" w:hAnsi="宋体" w:eastAsia="宋体" w:cs="宋体"/>
          <w:strike w:val="0"/>
          <w:dstrike w:val="0"/>
          <w:color w:val="auto"/>
          <w:sz w:val="21"/>
          <w:szCs w:val="21"/>
          <w:highlight w:val="none"/>
        </w:rPr>
        <w:t>本协议</w:t>
      </w:r>
      <w:r>
        <w:rPr>
          <w:rFonts w:hint="eastAsia" w:ascii="宋体" w:hAnsi="宋体" w:eastAsia="宋体" w:cs="宋体"/>
          <w:color w:val="auto"/>
          <w:sz w:val="21"/>
          <w:szCs w:val="21"/>
          <w:highlight w:val="none"/>
        </w:rPr>
        <w:t>考核措施的规定，对月承包经费和月考核奖金作相应</w:t>
      </w:r>
      <w:r>
        <w:rPr>
          <w:rFonts w:hint="eastAsia" w:ascii="宋体" w:hAnsi="宋体" w:eastAsia="宋体" w:cs="宋体"/>
          <w:color w:val="auto"/>
          <w:sz w:val="21"/>
          <w:szCs w:val="21"/>
          <w:highlight w:val="none"/>
          <w:lang w:eastAsia="zh-CN"/>
        </w:rPr>
        <w:t>核算</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支付给</w:t>
      </w:r>
      <w:r>
        <w:rPr>
          <w:rFonts w:hint="eastAsia" w:ascii="宋体" w:hAnsi="宋体" w:eastAsia="宋体" w:cs="宋体"/>
          <w:color w:val="auto"/>
          <w:sz w:val="21"/>
          <w:szCs w:val="21"/>
          <w:highlight w:val="none"/>
        </w:rPr>
        <w:t>乙方。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shd w:val="clear" w:color="FFFFFF" w:fill="D9D9D9"/>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月承包经费和月考核奖金均通过县城投集团下属公司（象山县顺鸿城市运营有限公司），开增值税专用发票进行结算</w:t>
      </w:r>
      <w:r>
        <w:rPr>
          <w:rFonts w:hint="eastAsia" w:ascii="宋体" w:hAnsi="宋体" w:eastAsia="宋体" w:cs="宋体"/>
          <w:color w:val="auto"/>
          <w:sz w:val="21"/>
          <w:szCs w:val="21"/>
          <w:highlight w:val="none"/>
          <w:lang w:eastAsia="zh-CN"/>
        </w:rPr>
        <w:t>。甲方在收到</w:t>
      </w:r>
      <w:r>
        <w:rPr>
          <w:rFonts w:hint="eastAsia" w:ascii="宋体" w:hAnsi="宋体" w:eastAsia="宋体" w:cs="宋体"/>
          <w:color w:val="auto"/>
          <w:sz w:val="21"/>
          <w:szCs w:val="21"/>
          <w:highlight w:val="none"/>
        </w:rPr>
        <w:t>象山县顺鸿城市运营有限公司</w:t>
      </w:r>
      <w:r>
        <w:rPr>
          <w:rFonts w:hint="eastAsia" w:ascii="宋体" w:hAnsi="宋体" w:eastAsia="宋体" w:cs="宋体"/>
          <w:color w:val="auto"/>
          <w:sz w:val="21"/>
          <w:szCs w:val="21"/>
          <w:highlight w:val="none"/>
          <w:lang w:eastAsia="zh-CN"/>
        </w:rPr>
        <w:t>开具的发票后</w:t>
      </w:r>
      <w:r>
        <w:rPr>
          <w:rFonts w:hint="eastAsia" w:ascii="宋体" w:hAnsi="宋体" w:cs="宋体"/>
          <w:color w:val="auto"/>
          <w:sz w:val="21"/>
          <w:szCs w:val="21"/>
          <w:highlight w:val="none"/>
          <w:lang w:eastAsia="zh-CN"/>
        </w:rPr>
        <w:t>七</w:t>
      </w:r>
      <w:r>
        <w:rPr>
          <w:rFonts w:hint="eastAsia" w:ascii="宋体" w:hAnsi="宋体" w:eastAsia="宋体" w:cs="宋体"/>
          <w:color w:val="auto"/>
          <w:sz w:val="21"/>
          <w:szCs w:val="21"/>
          <w:highlight w:val="none"/>
          <w:lang w:eastAsia="zh-CN"/>
        </w:rPr>
        <w:t>个工作日之内拨付经费。</w:t>
      </w:r>
      <w:r>
        <w:rPr>
          <w:rFonts w:hint="eastAsia" w:ascii="宋体" w:hAnsi="宋体" w:eastAsia="宋体" w:cs="宋体"/>
          <w:color w:val="auto"/>
          <w:sz w:val="21"/>
          <w:szCs w:val="21"/>
          <w:highlight w:val="none"/>
        </w:rPr>
        <w:t>下拨数额中应扣除当月考核扣款、乙方从甲方仓库领用的材料物品款、垃圾桶清运不足部分以及其他应扣除的费用等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须</w:t>
      </w:r>
      <w:r>
        <w:rPr>
          <w:rFonts w:hint="eastAsia" w:ascii="宋体" w:hAnsi="宋体" w:eastAsia="宋体" w:cs="宋体"/>
          <w:color w:val="auto"/>
          <w:sz w:val="21"/>
          <w:szCs w:val="21"/>
          <w:highlight w:val="none"/>
        </w:rPr>
        <w:t>在每月15日前</w:t>
      </w:r>
      <w:r>
        <w:rPr>
          <w:rFonts w:hint="eastAsia" w:ascii="宋体" w:hAnsi="宋体" w:eastAsia="宋体" w:cs="宋体"/>
          <w:color w:val="auto"/>
          <w:sz w:val="21"/>
          <w:szCs w:val="21"/>
          <w:highlight w:val="none"/>
          <w:lang w:eastAsia="zh-CN"/>
        </w:rPr>
        <w:t>足额发放上月职工工资（</w:t>
      </w:r>
      <w:r>
        <w:rPr>
          <w:rFonts w:hint="eastAsia" w:ascii="宋体" w:hAnsi="宋体" w:eastAsia="宋体" w:cs="宋体"/>
          <w:color w:val="auto"/>
          <w:sz w:val="21"/>
          <w:szCs w:val="21"/>
          <w:highlight w:val="none"/>
        </w:rPr>
        <w:t>包括工龄工资、社保、公积金及规定的福利等必须得到保障）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如未按时发放的，甲方将暂停拨付下个月的月承包经费和月考核奖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乙方在</w:t>
      </w:r>
      <w:r>
        <w:rPr>
          <w:rFonts w:hint="eastAsia" w:ascii="宋体" w:hAnsi="宋体" w:eastAsia="宋体" w:cs="宋体"/>
          <w:color w:val="auto"/>
          <w:sz w:val="21"/>
          <w:szCs w:val="21"/>
          <w:highlight w:val="none"/>
          <w:lang w:eastAsia="zh-CN"/>
        </w:rPr>
        <w:t>本协议</w:t>
      </w:r>
      <w:r>
        <w:rPr>
          <w:rFonts w:hint="eastAsia" w:ascii="宋体" w:hAnsi="宋体" w:eastAsia="宋体" w:cs="宋体"/>
          <w:color w:val="auto"/>
          <w:sz w:val="21"/>
          <w:szCs w:val="21"/>
          <w:highlight w:val="none"/>
        </w:rPr>
        <w:t>期内</w:t>
      </w:r>
      <w:r>
        <w:rPr>
          <w:rFonts w:hint="eastAsia" w:ascii="宋体" w:hAnsi="宋体" w:eastAsia="宋体" w:cs="宋体"/>
          <w:color w:val="auto"/>
          <w:sz w:val="21"/>
          <w:szCs w:val="21"/>
          <w:highlight w:val="none"/>
          <w:lang w:eastAsia="zh-CN"/>
        </w:rPr>
        <w:t>如</w:t>
      </w:r>
      <w:r>
        <w:rPr>
          <w:rFonts w:hint="eastAsia" w:ascii="宋体" w:hAnsi="宋体" w:eastAsia="宋体" w:cs="宋体"/>
          <w:color w:val="auto"/>
          <w:sz w:val="21"/>
          <w:szCs w:val="21"/>
          <w:highlight w:val="none"/>
        </w:rPr>
        <w:t>有三个月延迟发放工资的，甲方可无条件解除</w:t>
      </w:r>
      <w:r>
        <w:rPr>
          <w:rFonts w:hint="eastAsia" w:ascii="宋体" w:hAnsi="宋体" w:eastAsia="宋体" w:cs="宋体"/>
          <w:color w:val="auto"/>
          <w:sz w:val="21"/>
          <w:szCs w:val="21"/>
          <w:highlight w:val="none"/>
          <w:lang w:eastAsia="zh-CN"/>
        </w:rPr>
        <w:t>本</w:t>
      </w:r>
      <w:r>
        <w:rPr>
          <w:rFonts w:hint="eastAsia" w:ascii="宋体" w:hAnsi="宋体" w:eastAsia="宋体" w:cs="宋体"/>
          <w:color w:val="auto"/>
          <w:sz w:val="21"/>
          <w:szCs w:val="21"/>
          <w:highlight w:val="none"/>
        </w:rPr>
        <w:t>承包协议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最后一笔承包经费在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日前全部结清。</w:t>
      </w:r>
      <w:r>
        <w:rPr>
          <w:rFonts w:hint="eastAsia" w:ascii="宋体" w:hAnsi="宋体" w:eastAsia="宋体" w:cs="宋体"/>
          <w:color w:val="auto"/>
          <w:sz w:val="21"/>
          <w:szCs w:val="21"/>
          <w:highlight w:val="none"/>
          <w:lang w:eastAsia="zh-CN"/>
        </w:rPr>
        <w:t>如果协议提前解除，甲方尚未扣回全部预付款的，</w:t>
      </w:r>
      <w:r>
        <w:rPr>
          <w:rFonts w:hint="eastAsia" w:ascii="宋体" w:hAnsi="宋体" w:eastAsia="宋体" w:cs="宋体"/>
          <w:color w:val="auto"/>
          <w:sz w:val="21"/>
          <w:szCs w:val="21"/>
          <w:highlight w:val="none"/>
        </w:rPr>
        <w:t>乙方应返还甲方</w:t>
      </w:r>
      <w:r>
        <w:rPr>
          <w:rFonts w:hint="eastAsia" w:ascii="宋体" w:hAnsi="宋体" w:eastAsia="宋体" w:cs="宋体"/>
          <w:color w:val="auto"/>
          <w:sz w:val="21"/>
          <w:szCs w:val="21"/>
          <w:highlight w:val="none"/>
          <w:lang w:eastAsia="zh-CN"/>
        </w:rPr>
        <w:t>剩余</w:t>
      </w:r>
      <w:r>
        <w:rPr>
          <w:rFonts w:hint="eastAsia" w:ascii="宋体" w:hAnsi="宋体" w:eastAsia="宋体" w:cs="宋体"/>
          <w:color w:val="auto"/>
          <w:sz w:val="21"/>
          <w:szCs w:val="21"/>
          <w:highlight w:val="none"/>
        </w:rPr>
        <w:t>的预付款，</w:t>
      </w:r>
      <w:r>
        <w:rPr>
          <w:rFonts w:hint="eastAsia" w:ascii="宋体" w:hAnsi="宋体" w:eastAsia="宋体" w:cs="宋体"/>
          <w:color w:val="auto"/>
          <w:sz w:val="21"/>
          <w:szCs w:val="21"/>
          <w:highlight w:val="none"/>
          <w:lang w:eastAsia="zh-CN"/>
        </w:rPr>
        <w:t>并且</w:t>
      </w:r>
      <w:r>
        <w:rPr>
          <w:rFonts w:hint="eastAsia" w:ascii="宋体" w:hAnsi="宋体" w:eastAsia="宋体" w:cs="宋体"/>
          <w:color w:val="auto"/>
          <w:sz w:val="21"/>
          <w:szCs w:val="21"/>
          <w:highlight w:val="none"/>
        </w:rPr>
        <w:t>甲方有权在应付承包经费和考核奖金中先行扣除。</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、由于保洁区域扩大，根据联系单确定的工作量另行支付（保洁路段岗位数的增减由甲方根据补单情况另行决定）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遇不可抗力的重大自然灾害确需增加工作量而产生的费用，均由乙方自行承担。</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四、甲乙双方的权利和义务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（一）甲方的权利和义务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1、对乙方承包的保洁区域进行日常检查考核，督促乙方提高保洁质量。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2、乙方在承包期限内如有下列情况之一的，甲方有权单方面解除本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，并没收履约保证金：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2.1乙方未按甲方要求足额配备</w:t>
      </w:r>
      <w:r>
        <w:rPr>
          <w:rFonts w:hint="eastAsia" w:ascii="宋体" w:hAnsi="宋体" w:cs="宋体"/>
          <w:color w:val="auto"/>
          <w:sz w:val="21"/>
          <w:szCs w:val="21"/>
          <w:highlight w:val="none"/>
          <w:lang w:eastAsia="zh-CN"/>
        </w:rPr>
        <w:t>人员</w:t>
      </w:r>
      <w:r>
        <w:rPr>
          <w:rFonts w:hint="eastAsia" w:ascii="宋体" w:hAnsi="宋体" w:eastAsia="宋体" w:cs="宋体"/>
          <w:color w:val="auto"/>
          <w:sz w:val="21"/>
          <w:szCs w:val="21"/>
          <w:highlight w:val="none"/>
        </w:rPr>
        <w:t>，经甲方提出后15天未予改正的；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2.2乙方未按照甲方规定的时间以及相关作业要求正常运行的，对甲方造成严重影响的；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2.3在县内举办重大活动期间内，因乙方原因被新闻媒体曝光批评，造成负面影响且情节特别严重的；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2.4乙方在收到甲方的限期整改通知单后，未在规定时间内采取积极、合理的整改措施或方案，情节特别严重的；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2.5乙方无故拖欠</w:t>
      </w:r>
      <w:r>
        <w:rPr>
          <w:rFonts w:hint="eastAsia" w:ascii="宋体" w:hAnsi="宋体" w:cs="宋体"/>
          <w:color w:val="auto"/>
          <w:sz w:val="21"/>
          <w:szCs w:val="21"/>
          <w:highlight w:val="none"/>
          <w:lang w:eastAsia="zh-CN"/>
        </w:rPr>
        <w:t>人员</w:t>
      </w:r>
      <w:r>
        <w:rPr>
          <w:rFonts w:hint="eastAsia" w:ascii="宋体" w:hAnsi="宋体" w:eastAsia="宋体" w:cs="宋体"/>
          <w:color w:val="auto"/>
          <w:sz w:val="21"/>
          <w:szCs w:val="21"/>
          <w:highlight w:val="none"/>
        </w:rPr>
        <w:t>工资，影响正常运行以及相应保洁区域的保洁质量的；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2.6乙方因管理不力等原因造成人员（5人以上，含本数）上访且上访总次数超过3次（含本数）的；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2.7因乙方自身经营不善或乙方聘用的</w:t>
      </w:r>
      <w:r>
        <w:rPr>
          <w:rFonts w:hint="eastAsia" w:ascii="宋体" w:hAnsi="宋体" w:cs="宋体"/>
          <w:color w:val="auto"/>
          <w:sz w:val="21"/>
          <w:szCs w:val="21"/>
          <w:highlight w:val="none"/>
          <w:lang w:eastAsia="zh-CN"/>
        </w:rPr>
        <w:t>人员</w:t>
      </w:r>
      <w:r>
        <w:rPr>
          <w:rFonts w:hint="eastAsia" w:ascii="宋体" w:hAnsi="宋体" w:eastAsia="宋体" w:cs="宋体"/>
          <w:color w:val="auto"/>
          <w:sz w:val="21"/>
          <w:szCs w:val="21"/>
          <w:highlight w:val="none"/>
        </w:rPr>
        <w:t>的原因，导致乙方无法履行本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约定的工作内容的。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3、乙方未经甲方同意单方面解除本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，甲方有权没收履约保证金作为损失赔偿。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4、上级部门对我县城区环境卫生管理状况进行明查暗访，甲方应及时通知乙方，并尽可能地指导、帮助乙方开展好工作。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5、甲方应按本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约定及时拨付费用。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期满，乙方在履约期间没有违约行为的，甲方应无息退还履约保证金。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（二）乙方的权利和义务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要求向甲方提交履约保证金</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万元</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2、乙方应建立二级考核巡查制度和激励奖罚措施，并报甲方备案。</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3、乙方必须依据有关法律、法规合法经营，同时按甲方规定执行承包区域内的道路保洁工作。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4、乙方每日必须严格按照《象山县环境卫生指导中心岗位责任管理考核办法》对责任范围内所有路段实行规范化的清扫保洁、垃圾清运，确保道路保洁质量。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5、乙方不得将所承包路段非法分包或整体转包给其他单位或个人。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6、乙方自行招聘或雇佣本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涉及的管理、保洁等工作人员，且按照甲方核定的年龄、人数、岗位足额配备相关</w:t>
      </w:r>
      <w:r>
        <w:rPr>
          <w:rFonts w:hint="eastAsia" w:ascii="宋体" w:hAnsi="宋体" w:cs="宋体"/>
          <w:color w:val="auto"/>
          <w:sz w:val="21"/>
          <w:szCs w:val="21"/>
          <w:highlight w:val="none"/>
          <w:lang w:eastAsia="zh-CN"/>
        </w:rPr>
        <w:t>人员</w:t>
      </w:r>
      <w:r>
        <w:rPr>
          <w:rFonts w:hint="eastAsia" w:ascii="宋体" w:hAnsi="宋体" w:eastAsia="宋体" w:cs="宋体"/>
          <w:color w:val="auto"/>
          <w:sz w:val="21"/>
          <w:szCs w:val="21"/>
          <w:highlight w:val="none"/>
        </w:rPr>
        <w:t>，并为上述人员依法办理养老、生育、医疗、工伤、失业及住房公积金等社会保险。乙方自行购置保洁车辆、作业工具，并承担由此产生的相关费用。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7、因乙方的经营管理活动及乙方人员所发生的劳动纠纷、雇佣纠纷、安全事故等，均由乙方自行处理，并自行承担一切法律责任，与甲方无涉。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8、乙方的工作人员必须遵纪守法，敬业爱岗，承包区域内发生的与保洁服务项目相关的一切事务，均由乙方负责。</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9、乙方应自觉接受、配合甲方的工作指导、检查考核，并自觉做好县内各项大型活动期间的环境保障和其他临时性、突击性工作。</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五、考核要求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甲方根据《象山县环境卫生指导中心岗位责任管理考核办法》</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对乙方承包范围内的道路保洁状况采取每日随机检查的方式进行考核，考核成绩作为拨付承包经费的依据。如考核过程中发现问题，</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下发限期整改通知单限期整改，乙方应在规定时间内整改完毕并书面提交整改报告，未在规定时间内整改并回复的，每次扣罚500—3000元。</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考核采取百分制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月量化考核得分在95分（含）以上的为优秀，90（含）—95分为合格，90分以下为不合格。</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在承包期内月量化考核得分不合格的，第一次扣2000元，第二次扣5000元，第三次扣10000元，第四次</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有权单方面终止协议。</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如考核要求、奖罚措施与《象山县环境卫生指导中心岗位责任管理考核办法》不符的，以《象山县环境卫生指导中心岗位责任管理考核办法》为准。</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六、奖罚措施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1、乙方承包区域道路环卫保洁质量未达到《浙江省城市道路清扫保洁标准》及《象山县环境卫生指导中心岗位责任管理考核办法》有关规定的，甲方有权对乙方实施日常考核扣款，并每月按实际扣款额的</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rPr>
        <w:t>倍从当月下拨经费中扣除。</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2、全年考核分剔除难度系数附加分值后，年终量化考核分每年在95分（含）以上且三次排名在前二名的，颁发荣誉证书，甲方将以此作为下次招标选任的优先条件之一予以酌情评定。</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3、在检查考核中，乙方每个网格保洁员脱岗率达到10%的，除扣量化考核分外，加扣乙方当月保洁经费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元；脱岗率达到20%的，除扣量化考核分外，加扣乙方当月保洁经费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元；脱岗率在30%以上的，除扣量化考核分外，加扣乙方当月保洁经费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4、乙方应建立职工信誉登记制度，作业人员必须持证上岗，接受社会</w:t>
      </w:r>
      <w:r>
        <w:rPr>
          <w:rFonts w:hint="eastAsia" w:ascii="宋体" w:hAnsi="宋体" w:eastAsia="宋体" w:cs="宋体"/>
          <w:color w:val="auto"/>
          <w:sz w:val="21"/>
          <w:szCs w:val="21"/>
          <w:highlight w:val="none"/>
          <w:lang w:eastAsia="zh-CN"/>
        </w:rPr>
        <w:t>监督</w:t>
      </w:r>
      <w:r>
        <w:rPr>
          <w:rFonts w:hint="eastAsia" w:ascii="宋体" w:hAnsi="宋体" w:eastAsia="宋体" w:cs="宋体"/>
          <w:color w:val="auto"/>
          <w:sz w:val="21"/>
          <w:szCs w:val="21"/>
          <w:highlight w:val="none"/>
        </w:rPr>
        <w:t>；聘用职工必须到甲方备案，未备案的每人次扣</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元；聘用因违反考核办法被解除劳动</w:t>
      </w:r>
      <w:r>
        <w:rPr>
          <w:rFonts w:hint="eastAsia" w:ascii="宋体" w:hAnsi="宋体" w:eastAsia="宋体" w:cs="宋体"/>
          <w:color w:val="auto"/>
          <w:sz w:val="21"/>
          <w:szCs w:val="21"/>
          <w:highlight w:val="none"/>
          <w:lang w:val="en-US" w:eastAsia="zh-CN"/>
        </w:rPr>
        <w:t>合同</w:t>
      </w:r>
      <w:r>
        <w:rPr>
          <w:rFonts w:hint="eastAsia" w:ascii="宋体" w:hAnsi="宋体" w:eastAsia="宋体" w:cs="宋体"/>
          <w:color w:val="auto"/>
          <w:sz w:val="21"/>
          <w:szCs w:val="21"/>
          <w:highlight w:val="none"/>
        </w:rPr>
        <w:t>的其他</w:t>
      </w:r>
      <w:r>
        <w:rPr>
          <w:rFonts w:hint="eastAsia" w:ascii="宋体" w:hAnsi="宋体" w:eastAsia="宋体" w:cs="宋体"/>
          <w:color w:val="auto"/>
          <w:sz w:val="21"/>
          <w:szCs w:val="21"/>
          <w:highlight w:val="none"/>
          <w:lang w:val="en-US" w:eastAsia="zh-CN"/>
        </w:rPr>
        <w:t>承包</w:t>
      </w:r>
      <w:r>
        <w:rPr>
          <w:rFonts w:hint="eastAsia" w:ascii="宋体" w:hAnsi="宋体" w:eastAsia="宋体" w:cs="宋体"/>
          <w:color w:val="auto"/>
          <w:sz w:val="21"/>
          <w:szCs w:val="21"/>
          <w:highlight w:val="none"/>
        </w:rPr>
        <w:t>公司</w:t>
      </w:r>
      <w:r>
        <w:rPr>
          <w:rFonts w:hint="eastAsia" w:ascii="宋体" w:hAnsi="宋体" w:eastAsia="宋体" w:cs="宋体"/>
          <w:color w:val="auto"/>
          <w:sz w:val="21"/>
          <w:szCs w:val="21"/>
          <w:highlight w:val="none"/>
          <w:lang w:val="en-US" w:eastAsia="zh-CN"/>
        </w:rPr>
        <w:t>或甲方</w:t>
      </w:r>
      <w:r>
        <w:rPr>
          <w:rFonts w:hint="eastAsia" w:ascii="宋体" w:hAnsi="宋体" w:eastAsia="宋体" w:cs="宋体"/>
          <w:color w:val="auto"/>
          <w:sz w:val="21"/>
          <w:szCs w:val="21"/>
          <w:highlight w:val="none"/>
        </w:rPr>
        <w:t>人员的，每人次扣</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5、乙方应建立安全</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rPr>
        <w:t>台账，安全检查时未提供安全</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rPr>
        <w:t>台账的每项扣</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6、乙方未建立二级考核制度、奖罚措施和重大事故、突发事故、极端天气应急预案的，每缺少一项扣保洁经费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元；工作不得力造成负面影响的，按当月下拨经费的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％进行处罚；情节严重的，甲方可单方面终止</w:t>
      </w:r>
      <w:r>
        <w:rPr>
          <w:rFonts w:hint="eastAsia" w:ascii="宋体" w:hAnsi="宋体" w:eastAsia="宋体" w:cs="宋体"/>
          <w:color w:val="auto"/>
          <w:sz w:val="21"/>
          <w:szCs w:val="21"/>
          <w:highlight w:val="none"/>
          <w:lang w:eastAsia="zh-CN"/>
        </w:rPr>
        <w:t>本协议</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7、乙方未按</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rPr>
        <w:t>支付职工工资、缴纳各种保险</w:t>
      </w:r>
      <w:r>
        <w:rPr>
          <w:rFonts w:hint="eastAsia" w:ascii="宋体" w:hAnsi="宋体" w:eastAsia="宋体" w:cs="宋体"/>
          <w:color w:val="auto"/>
          <w:sz w:val="21"/>
          <w:szCs w:val="21"/>
          <w:highlight w:val="none"/>
          <w:lang w:val="en-US" w:eastAsia="zh-CN"/>
        </w:rPr>
        <w:t>的扣</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lang w:eastAsia="zh-CN"/>
        </w:rPr>
        <w:t>；乙方因管理不力造成职工集体（</w:t>
      </w:r>
      <w:r>
        <w:rPr>
          <w:rFonts w:hint="eastAsia" w:ascii="宋体" w:hAnsi="宋体" w:eastAsia="宋体" w:cs="宋体"/>
          <w:color w:val="auto"/>
          <w:sz w:val="21"/>
          <w:szCs w:val="21"/>
          <w:highlight w:val="none"/>
          <w:lang w:val="en-US" w:eastAsia="zh-CN"/>
        </w:rPr>
        <w:t>5人及以上</w:t>
      </w:r>
      <w:r>
        <w:rPr>
          <w:rFonts w:hint="eastAsia" w:ascii="宋体" w:hAnsi="宋体" w:eastAsia="宋体" w:cs="宋体"/>
          <w:color w:val="auto"/>
          <w:sz w:val="21"/>
          <w:szCs w:val="21"/>
          <w:highlight w:val="none"/>
          <w:lang w:eastAsia="zh-CN"/>
        </w:rPr>
        <w:t>）上访、涉诉等情况的，扣减当月保洁经费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元；因上述原因，致使职工集体上访造成严重负面影响或集体上访累计3次（含）以上的</w:t>
      </w:r>
      <w:r>
        <w:rPr>
          <w:rFonts w:hint="eastAsia" w:ascii="宋体" w:hAnsi="宋体" w:eastAsia="宋体" w:cs="宋体"/>
          <w:color w:val="auto"/>
          <w:sz w:val="21"/>
          <w:szCs w:val="21"/>
          <w:highlight w:val="none"/>
        </w:rPr>
        <w:t>，甲方可单方面终止</w:t>
      </w:r>
      <w:r>
        <w:rPr>
          <w:rFonts w:hint="eastAsia" w:ascii="宋体" w:hAnsi="宋体" w:eastAsia="宋体" w:cs="宋体"/>
          <w:color w:val="auto"/>
          <w:sz w:val="21"/>
          <w:szCs w:val="21"/>
          <w:highlight w:val="none"/>
          <w:lang w:eastAsia="zh-CN"/>
        </w:rPr>
        <w:t>本协议</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8、乙方对自己所管辖的设施设备完好情况进行督查检查，包括果壳箱、智慧环卫</w:t>
      </w:r>
      <w:r>
        <w:rPr>
          <w:rFonts w:hint="eastAsia" w:ascii="宋体" w:hAnsi="宋体" w:eastAsia="宋体" w:cs="宋体"/>
          <w:color w:val="auto"/>
          <w:sz w:val="21"/>
          <w:szCs w:val="21"/>
          <w:highlight w:val="none"/>
          <w:lang w:val="en-US" w:eastAsia="zh-CN"/>
        </w:rPr>
        <w:t>保洁员</w:t>
      </w:r>
      <w:r>
        <w:rPr>
          <w:rFonts w:hint="eastAsia" w:ascii="宋体" w:hAnsi="宋体" w:eastAsia="宋体" w:cs="宋体"/>
          <w:color w:val="auto"/>
          <w:sz w:val="21"/>
          <w:szCs w:val="21"/>
          <w:highlight w:val="none"/>
        </w:rPr>
        <w:t>定位终端手环等相关设备设施，发现缺失破损或未能正常使用的，必须做到及时维修或上报。如被甲方督查</w:t>
      </w:r>
      <w:r>
        <w:rPr>
          <w:rFonts w:hint="eastAsia" w:ascii="宋体" w:hAnsi="宋体" w:eastAsia="宋体" w:cs="宋体"/>
          <w:color w:val="auto"/>
          <w:sz w:val="21"/>
          <w:szCs w:val="21"/>
          <w:highlight w:val="none"/>
          <w:lang w:eastAsia="zh-CN"/>
        </w:rPr>
        <w:t>发现</w:t>
      </w:r>
      <w:r>
        <w:rPr>
          <w:rFonts w:hint="eastAsia" w:ascii="宋体" w:hAnsi="宋体" w:eastAsia="宋体" w:cs="宋体"/>
          <w:color w:val="auto"/>
          <w:sz w:val="21"/>
          <w:szCs w:val="21"/>
          <w:highlight w:val="none"/>
        </w:rPr>
        <w:t>并且在下达整改通知书规定的期限内仍未修复的，扣罚乙方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元，情节严重的甲方可单方面终止</w:t>
      </w:r>
      <w:r>
        <w:rPr>
          <w:rFonts w:hint="eastAsia" w:ascii="宋体" w:hAnsi="宋体" w:eastAsia="宋体" w:cs="宋体"/>
          <w:color w:val="auto"/>
          <w:sz w:val="21"/>
          <w:szCs w:val="21"/>
          <w:highlight w:val="none"/>
          <w:lang w:eastAsia="zh-CN"/>
        </w:rPr>
        <w:t>本协议</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9、乙方被县长值班电话、县双联中心、县创建办、甲方督办以及被各级新闻媒体曝光或市民投诉的，扣当月保洁经费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元，在整改期限内未完成整改的，扣当月保洁经费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元；造成严重负面影响的，甲方可单方面终止</w:t>
      </w:r>
      <w:r>
        <w:rPr>
          <w:rFonts w:hint="eastAsia" w:ascii="宋体" w:hAnsi="宋体" w:eastAsia="宋体" w:cs="宋体"/>
          <w:color w:val="auto"/>
          <w:sz w:val="21"/>
          <w:szCs w:val="21"/>
          <w:highlight w:val="none"/>
          <w:lang w:eastAsia="zh-CN"/>
        </w:rPr>
        <w:t>本协议</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10、乙方在县重大活动和各类创建活动、检查、测评、调研活动期间应无条件配合做好相关保障工作，因工作开展不力被扣考核分1分以上的，扣减</w:t>
      </w:r>
      <w:r>
        <w:rPr>
          <w:rFonts w:hint="eastAsia" w:ascii="宋体" w:hAnsi="宋体" w:eastAsia="宋体" w:cs="宋体"/>
          <w:color w:val="auto"/>
          <w:sz w:val="21"/>
          <w:szCs w:val="21"/>
          <w:highlight w:val="none"/>
          <w:lang w:val="en-US" w:eastAsia="zh-CN"/>
        </w:rPr>
        <w:t>当月</w:t>
      </w:r>
      <w:r>
        <w:rPr>
          <w:rFonts w:hint="eastAsia" w:ascii="宋体" w:hAnsi="宋体" w:eastAsia="宋体" w:cs="宋体"/>
          <w:color w:val="auto"/>
          <w:sz w:val="21"/>
          <w:szCs w:val="21"/>
          <w:highlight w:val="none"/>
        </w:rPr>
        <w:t>下拨保洁经费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元；造成严重负面影响的，甲方可单方面终止</w:t>
      </w:r>
      <w:r>
        <w:rPr>
          <w:rFonts w:hint="eastAsia" w:ascii="宋体" w:hAnsi="宋体" w:eastAsia="宋体" w:cs="宋体"/>
          <w:color w:val="auto"/>
          <w:sz w:val="21"/>
          <w:szCs w:val="21"/>
          <w:highlight w:val="none"/>
          <w:lang w:eastAsia="zh-CN"/>
        </w:rPr>
        <w:t>本协议</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11、甲方按照招标文件要求设置人员共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人，其中项目经理</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名、管理人员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名、保洁员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名</w:t>
      </w:r>
      <w:r>
        <w:rPr>
          <w:rFonts w:hint="eastAsia" w:ascii="宋体" w:hAnsi="宋体" w:eastAsia="宋体" w:cs="宋体"/>
          <w:color w:val="auto"/>
          <w:sz w:val="21"/>
          <w:szCs w:val="21"/>
          <w:highlight w:val="none"/>
        </w:rPr>
        <w:t>（一人一班</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人，一人两班</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绿化作业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人，果壳箱保洁作业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人</w:t>
      </w:r>
      <w:r>
        <w:rPr>
          <w:rFonts w:hint="eastAsia" w:ascii="宋体" w:hAnsi="宋体" w:eastAsia="宋体" w:cs="宋体"/>
          <w:color w:val="auto"/>
          <w:sz w:val="21"/>
          <w:szCs w:val="21"/>
          <w:highlight w:val="none"/>
        </w:rPr>
        <w:t>）、桶装车驾驶员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名、洒水车驾驶员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名、机扫车驾驶员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名、机械自卸车驾驶员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名、冲洗车驾驶员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名、倒桶工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名</w:t>
      </w:r>
      <w:r>
        <w:rPr>
          <w:rFonts w:hint="eastAsia" w:ascii="宋体" w:hAnsi="宋体" w:eastAsia="宋体" w:cs="宋体"/>
          <w:color w:val="auto"/>
          <w:sz w:val="21"/>
          <w:szCs w:val="21"/>
          <w:highlight w:val="none"/>
        </w:rPr>
        <w:t>、冲洗工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名、磨地机操作工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名、装卸工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名</w:t>
      </w:r>
      <w:r>
        <w:rPr>
          <w:rFonts w:hint="eastAsia" w:ascii="宋体" w:hAnsi="宋体" w:eastAsia="宋体" w:cs="宋体"/>
          <w:color w:val="auto"/>
          <w:sz w:val="21"/>
          <w:szCs w:val="21"/>
          <w:highlight w:val="none"/>
        </w:rPr>
        <w:t>（倒桶工可根据实际情况增减），核算乙方的人工工资、社保等经费，乙方应按上述方案配足人数，其中保洁员、驾驶员未按要求配足的，甲方可无条件解除本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，并没收履约保证金；管理人员、倒桶工未按要求配足的，在作业质量没有保证的前提下，每缺一名人员,甲方可以按照相应性质人员经费的2倍对乙方的月承</w:t>
      </w:r>
      <w:r>
        <w:rPr>
          <w:rFonts w:hint="eastAsia" w:ascii="宋体" w:hAnsi="宋体" w:eastAsia="宋体" w:cs="宋体"/>
          <w:color w:val="auto"/>
          <w:sz w:val="21"/>
          <w:szCs w:val="21"/>
          <w:highlight w:val="none"/>
          <w:lang w:val="en-US" w:eastAsia="zh-CN"/>
        </w:rPr>
        <w:t>包</w:t>
      </w:r>
      <w:r>
        <w:rPr>
          <w:rFonts w:hint="eastAsia" w:ascii="宋体" w:hAnsi="宋体" w:eastAsia="宋体" w:cs="宋体"/>
          <w:color w:val="auto"/>
          <w:sz w:val="21"/>
          <w:szCs w:val="21"/>
          <w:highlight w:val="none"/>
        </w:rPr>
        <w:t>经费进行扣减。</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12、乙方在承包期内必须始终保持投入</w:t>
      </w:r>
      <w:r>
        <w:rPr>
          <w:rFonts w:hint="eastAsia" w:ascii="宋体" w:hAnsi="宋体" w:eastAsia="宋体" w:cs="宋体"/>
          <w:color w:val="auto"/>
          <w:sz w:val="21"/>
          <w:szCs w:val="21"/>
          <w:highlight w:val="none"/>
          <w:lang w:val="en-US" w:eastAsia="zh-CN"/>
        </w:rPr>
        <w:t>15桶及以上规格的</w:t>
      </w:r>
      <w:r>
        <w:rPr>
          <w:rFonts w:hint="eastAsia" w:ascii="宋体" w:hAnsi="宋体" w:eastAsia="宋体" w:cs="宋体"/>
          <w:color w:val="auto"/>
          <w:sz w:val="21"/>
          <w:szCs w:val="21"/>
          <w:highlight w:val="none"/>
        </w:rPr>
        <w:t>桶装车</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其中</w:t>
      </w:r>
      <w:r>
        <w:rPr>
          <w:rFonts w:hint="eastAsia" w:ascii="宋体" w:hAnsi="宋体" w:eastAsia="宋体" w:cs="宋体"/>
          <w:color w:val="auto"/>
          <w:sz w:val="21"/>
          <w:szCs w:val="21"/>
          <w:highlight w:val="none"/>
          <w:lang w:val="en-US" w:eastAsia="zh-CN"/>
        </w:rPr>
        <w:t xml:space="preserve">    辆为</w:t>
      </w:r>
      <w:r>
        <w:rPr>
          <w:rFonts w:hint="eastAsia" w:ascii="宋体" w:hAnsi="宋体" w:eastAsia="宋体" w:cs="宋体"/>
          <w:color w:val="auto"/>
          <w:sz w:val="21"/>
          <w:szCs w:val="21"/>
          <w:highlight w:val="none"/>
        </w:rPr>
        <w:t>新能源</w:t>
      </w:r>
      <w:r>
        <w:rPr>
          <w:rFonts w:hint="eastAsia" w:ascii="宋体" w:hAnsi="宋体" w:eastAsia="宋体" w:cs="宋体"/>
          <w:color w:val="auto"/>
          <w:sz w:val="21"/>
          <w:szCs w:val="21"/>
          <w:highlight w:val="none"/>
          <w:lang w:eastAsia="zh-CN"/>
        </w:rPr>
        <w:t>车辆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机械自卸车</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辆、机扫车</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辆、洒水车</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辆、冲洗车</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其中    辆有冲洗机加磨盘，参与磨地作业）。</w:t>
      </w:r>
      <w:r>
        <w:rPr>
          <w:rFonts w:hint="eastAsia" w:ascii="宋体" w:hAnsi="宋体" w:eastAsia="宋体" w:cs="宋体"/>
          <w:color w:val="auto"/>
          <w:sz w:val="21"/>
          <w:szCs w:val="21"/>
          <w:highlight w:val="none"/>
        </w:rPr>
        <w:t>不得自行减少车辆。如减少任一辆作业车，则甲方可无条件解除本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，并没收履约保证金。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13、乙方必须保证所提供的在象山城区租用办公用房的证明真实有效，且租期在一年以上，如证明资料有虚假或在一年承包期内退租且不租用其他场所作为固定办公用房的，则甲方可无条件解除本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，并没收履约保证金。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七、协议履行期限</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1、本协议履行期限自</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日止，甲方招标书、乙方投标书亦构成本协议的组成部分。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2、协议期满后，乙方全部完成协议约定管理目标，同等条件下享有优先承包权，甲方应在本协议期限届满前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日内</w:t>
      </w:r>
      <w:r>
        <w:rPr>
          <w:rFonts w:hint="eastAsia" w:ascii="宋体" w:hAnsi="宋体" w:eastAsia="宋体" w:cs="宋体"/>
          <w:color w:val="auto"/>
          <w:sz w:val="21"/>
          <w:szCs w:val="21"/>
          <w:highlight w:val="none"/>
          <w:lang w:eastAsia="zh-CN"/>
        </w:rPr>
        <w:t>与</w:t>
      </w:r>
      <w:r>
        <w:rPr>
          <w:rFonts w:hint="eastAsia" w:ascii="宋体" w:hAnsi="宋体" w:eastAsia="宋体" w:cs="宋体"/>
          <w:color w:val="auto"/>
          <w:sz w:val="21"/>
          <w:szCs w:val="21"/>
          <w:highlight w:val="none"/>
        </w:rPr>
        <w:t>乙方续约</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选任新的承包方。</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八、协议生效及其他</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1、本协议自签订之日起生效，在本协议期限内，双方不得擅自变更或解除，本协议未尽事宜，经甲乙双方协商一致后，可以</w:t>
      </w:r>
      <w:r>
        <w:rPr>
          <w:rFonts w:hint="eastAsia" w:ascii="宋体" w:hAnsi="宋体" w:eastAsia="宋体" w:cs="宋体"/>
          <w:color w:val="auto"/>
          <w:sz w:val="21"/>
          <w:szCs w:val="21"/>
          <w:highlight w:val="none"/>
          <w:lang w:eastAsia="zh-CN"/>
        </w:rPr>
        <w:t>签订</w:t>
      </w:r>
      <w:r>
        <w:rPr>
          <w:rFonts w:hint="eastAsia" w:ascii="宋体" w:hAnsi="宋体" w:eastAsia="宋体" w:cs="宋体"/>
          <w:color w:val="auto"/>
          <w:sz w:val="21"/>
          <w:szCs w:val="21"/>
          <w:highlight w:val="none"/>
        </w:rPr>
        <w:t>补充协议，补充协议与本协议有同等法律效力。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2、本协议一式肆份，甲乙双方各执贰份，经甲、乙双方</w:t>
      </w:r>
      <w:r>
        <w:rPr>
          <w:rFonts w:hint="eastAsia" w:ascii="宋体" w:hAnsi="宋体" w:eastAsia="宋体" w:cs="宋体"/>
          <w:color w:val="auto"/>
          <w:sz w:val="21"/>
          <w:szCs w:val="21"/>
          <w:highlight w:val="none"/>
          <w:lang w:eastAsia="zh-CN"/>
        </w:rPr>
        <w:t>签字并</w:t>
      </w:r>
      <w:r>
        <w:rPr>
          <w:rFonts w:hint="eastAsia" w:ascii="宋体" w:hAnsi="宋体" w:eastAsia="宋体" w:cs="宋体"/>
          <w:color w:val="auto"/>
          <w:sz w:val="21"/>
          <w:szCs w:val="21"/>
          <w:highlight w:val="none"/>
        </w:rPr>
        <w:t>盖章后生效。</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法人代表或授权人                 法人代表或授权人</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                           签字：                                                                    </w:t>
      </w:r>
    </w:p>
    <w:p>
      <w:pPr>
        <w:keepNext w:val="0"/>
        <w:keepLines w:val="0"/>
        <w:pageBreakBefore w:val="0"/>
        <w:widowControl w:val="0"/>
        <w:kinsoku/>
        <w:wordWrap/>
        <w:overflowPunct/>
        <w:topLinePunct w:val="0"/>
        <w:autoSpaceDE/>
        <w:autoSpaceDN/>
        <w:bidi w:val="0"/>
        <w:adjustRightInd/>
        <w:snapToGrid w:val="0"/>
        <w:spacing w:line="360" w:lineRule="auto"/>
        <w:ind w:firstLine="3150" w:firstLineChars="15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3150" w:firstLineChars="1500"/>
        <w:textAlignment w:val="auto"/>
        <w:rPr>
          <w:rStyle w:val="214"/>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w:t>
      </w:r>
    </w:p>
    <w:p>
      <w:pPr>
        <w:pageBreakBefore w:val="0"/>
        <w:widowControl w:val="0"/>
        <w:kinsoku/>
        <w:overflowPunct/>
        <w:topLinePunct w:val="0"/>
        <w:autoSpaceDE w:val="0"/>
        <w:bidi w:val="0"/>
        <w:spacing w:before="0" w:beforeLines="0" w:beforeAutospacing="0" w:after="0" w:afterLines="0" w:afterAutospacing="0" w:line="360" w:lineRule="auto"/>
        <w:jc w:val="left"/>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p>
    <w:p>
      <w:pPr>
        <w:pageBreakBefore w:val="0"/>
        <w:widowControl w:val="0"/>
        <w:kinsoku/>
        <w:overflowPunct/>
        <w:topLinePunct w:val="0"/>
        <w:autoSpaceDE w:val="0"/>
        <w:bidi w:val="0"/>
        <w:spacing w:before="0" w:beforeLines="0" w:beforeAutospacing="0" w:after="0" w:afterLines="0" w:afterAutospacing="0" w:line="360" w:lineRule="auto"/>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p>
    <w:p>
      <w:pPr>
        <w:pStyle w:val="44"/>
        <w:widowControl w:val="0"/>
        <w:autoSpaceDE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rPr>
        <w:t xml:space="preserve">  </w:t>
      </w:r>
    </w:p>
    <w:p>
      <w:pPr>
        <w:spacing w:line="360" w:lineRule="auto"/>
        <w:ind w:firstLine="413" w:firstLineChars="196"/>
        <w:rPr>
          <w:rFonts w:hint="eastAsia" w:ascii="宋体" w:hAnsi="宋体" w:eastAsia="宋体" w:cs="宋体"/>
          <w:b/>
          <w:color w:val="auto"/>
          <w:highlight w:val="none"/>
        </w:rPr>
      </w:pPr>
    </w:p>
    <w:p>
      <w:pPr>
        <w:rPr>
          <w:rFonts w:hint="eastAsia" w:ascii="宋体" w:hAnsi="宋体" w:eastAsia="宋体" w:cs="宋体"/>
          <w:b/>
          <w:color w:val="auto"/>
          <w:sz w:val="32"/>
          <w:szCs w:val="32"/>
          <w:highlight w:val="none"/>
        </w:rPr>
      </w:pPr>
      <w:bookmarkStart w:id="32" w:name="_Toc32283"/>
      <w:bookmarkStart w:id="33" w:name="_Toc12938"/>
      <w:r>
        <w:rPr>
          <w:rFonts w:hint="eastAsia" w:ascii="宋体" w:hAnsi="宋体" w:eastAsia="宋体" w:cs="宋体"/>
          <w:b/>
          <w:color w:val="auto"/>
          <w:sz w:val="32"/>
          <w:szCs w:val="32"/>
          <w:highlight w:val="none"/>
        </w:rPr>
        <w:br w:type="page"/>
      </w:r>
    </w:p>
    <w:p>
      <w:pPr>
        <w:pStyle w:val="3"/>
        <w:spacing w:before="0" w:beforeLines="0" w:after="0" w:afterLines="0"/>
        <w:jc w:val="center"/>
        <w:outlineLvl w:val="0"/>
        <w:rPr>
          <w:rFonts w:hint="eastAsia" w:ascii="宋体" w:hAnsi="宋体" w:eastAsia="宋体" w:cs="宋体"/>
          <w:b/>
          <w:color w:val="auto"/>
          <w:highlight w:val="none"/>
        </w:rPr>
      </w:pPr>
      <w:r>
        <w:rPr>
          <w:rFonts w:hint="eastAsia" w:ascii="宋体" w:hAnsi="宋体" w:eastAsia="宋体" w:cs="宋体"/>
          <w:b/>
          <w:color w:val="auto"/>
          <w:sz w:val="32"/>
          <w:szCs w:val="32"/>
          <w:highlight w:val="none"/>
        </w:rPr>
        <w:t>第六章　投标文件格式</w:t>
      </w:r>
      <w:bookmarkEnd w:id="32"/>
      <w:bookmarkEnd w:id="33"/>
    </w:p>
    <w:p>
      <w:pPr>
        <w:spacing w:line="360" w:lineRule="auto"/>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一、资格文件、商务技术文件格式</w:t>
      </w:r>
    </w:p>
    <w:p>
      <w:pPr>
        <w:spacing w:line="360" w:lineRule="auto"/>
        <w:jc w:val="left"/>
        <w:rPr>
          <w:rFonts w:hint="eastAsia" w:ascii="宋体" w:hAnsi="宋体" w:eastAsia="宋体" w:cs="宋体"/>
          <w:color w:val="auto"/>
          <w:highlight w:val="none"/>
        </w:rPr>
      </w:pPr>
    </w:p>
    <w:p>
      <w:pPr>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color w:val="auto"/>
          <w:highlight w:val="none"/>
        </w:rPr>
        <w:t>（一）资格、商务技术文件封面格式：</w:t>
      </w:r>
    </w:p>
    <w:p>
      <w:pPr>
        <w:spacing w:line="360" w:lineRule="auto"/>
        <w:ind w:firstLine="275" w:firstLineChars="98"/>
        <w:rPr>
          <w:rFonts w:hint="eastAsia" w:ascii="宋体" w:hAnsi="宋体" w:eastAsia="宋体" w:cs="宋体"/>
          <w:b/>
          <w:color w:val="auto"/>
          <w:sz w:val="28"/>
          <w:szCs w:val="28"/>
          <w:highlight w:val="none"/>
          <w:lang w:bidi="ar"/>
        </w:rPr>
      </w:pPr>
    </w:p>
    <w:p>
      <w:pPr>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封面格式：</w:t>
      </w:r>
    </w:p>
    <w:p>
      <w:pPr>
        <w:spacing w:line="360" w:lineRule="auto"/>
        <w:jc w:val="center"/>
        <w:rPr>
          <w:rFonts w:hint="eastAsia" w:ascii="宋体" w:hAnsi="宋体" w:eastAsia="宋体" w:cs="宋体"/>
          <w:bCs/>
          <w:color w:val="auto"/>
          <w:sz w:val="28"/>
          <w:szCs w:val="28"/>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资格、商务技术文件</w:t>
      </w:r>
    </w:p>
    <w:p>
      <w:pPr>
        <w:spacing w:line="360" w:lineRule="auto"/>
        <w:ind w:firstLine="6919" w:firstLineChars="2883"/>
        <w:rPr>
          <w:rFonts w:hint="eastAsia" w:ascii="宋体" w:hAnsi="宋体" w:eastAsia="宋体" w:cs="宋体"/>
          <w:bCs/>
          <w:color w:val="auto"/>
          <w:sz w:val="24"/>
          <w:highlight w:val="none"/>
        </w:rPr>
      </w:pPr>
    </w:p>
    <w:p>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项目名称：</w:t>
      </w:r>
    </w:p>
    <w:p>
      <w:pPr>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pPr>
        <w:spacing w:line="360" w:lineRule="auto"/>
        <w:rPr>
          <w:rFonts w:hint="eastAsia" w:ascii="宋体" w:hAnsi="宋体" w:eastAsia="宋体" w:cs="宋体"/>
          <w:color w:val="auto"/>
          <w:sz w:val="20"/>
          <w:szCs w:val="20"/>
          <w:highlight w:val="none"/>
        </w:rPr>
      </w:pPr>
      <w:r>
        <w:rPr>
          <w:rFonts w:hint="eastAsia" w:ascii="宋体" w:hAnsi="宋体" w:eastAsia="宋体" w:cs="宋体"/>
          <w:bCs/>
          <w:color w:val="auto"/>
          <w:sz w:val="24"/>
          <w:highlight w:val="none"/>
          <w:lang w:bidi="ar"/>
        </w:rPr>
        <w:t xml:space="preserve">                                      </w:t>
      </w:r>
      <w:bookmarkStart w:id="34" w:name="_Toc9414"/>
      <w:r>
        <w:rPr>
          <w:rFonts w:hint="eastAsia" w:ascii="宋体" w:hAnsi="宋体" w:eastAsia="宋体" w:cs="宋体"/>
          <w:bCs/>
          <w:color w:val="auto"/>
          <w:sz w:val="24"/>
          <w:highlight w:val="none"/>
          <w:lang w:bidi="ar"/>
        </w:rPr>
        <w:t>年  月  日</w:t>
      </w:r>
      <w:bookmarkEnd w:id="34"/>
    </w:p>
    <w:p>
      <w:pPr>
        <w:pStyle w:val="3"/>
        <w:spacing w:before="0" w:beforeLines="0" w:after="0" w:afterLines="0" w:line="240" w:lineRule="auto"/>
        <w:rPr>
          <w:rFonts w:hint="eastAsia" w:ascii="宋体" w:hAnsi="宋体" w:eastAsia="宋体" w:cs="宋体"/>
          <w:color w:val="auto"/>
          <w:highlight w:val="none"/>
        </w:rPr>
      </w:pPr>
    </w:p>
    <w:p>
      <w:pPr>
        <w:spacing w:line="360" w:lineRule="auto"/>
        <w:jc w:val="left"/>
        <w:rPr>
          <w:rFonts w:hint="eastAsia" w:ascii="宋体" w:hAnsi="宋体" w:eastAsia="宋体" w:cs="宋体"/>
          <w:b/>
          <w:bCs/>
          <w:color w:val="auto"/>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w:t>
      </w:r>
      <w:r>
        <w:rPr>
          <w:rFonts w:hint="eastAsia" w:ascii="宋体" w:hAnsi="宋体" w:eastAsia="宋体" w:cs="宋体"/>
          <w:b/>
          <w:bCs/>
          <w:color w:val="auto"/>
          <w:highlight w:val="none"/>
        </w:rPr>
        <w:t>资格文件：</w:t>
      </w:r>
    </w:p>
    <w:p>
      <w:pPr>
        <w:keepNext w:val="0"/>
        <w:keepLines w:val="0"/>
        <w:pageBreakBefore w:val="0"/>
        <w:widowControl w:val="0"/>
        <w:numPr>
          <w:ilvl w:val="0"/>
          <w:numId w:val="12"/>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供应商资格声明函（格式见附件）；</w:t>
      </w:r>
    </w:p>
    <w:p>
      <w:pPr>
        <w:keepNext w:val="0"/>
        <w:keepLines w:val="0"/>
        <w:pageBreakBefore w:val="0"/>
        <w:widowControl w:val="0"/>
        <w:numPr>
          <w:ilvl w:val="0"/>
          <w:numId w:val="12"/>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keepNext w:val="0"/>
        <w:keepLines w:val="0"/>
        <w:pageBreakBefore w:val="0"/>
        <w:widowControl w:val="0"/>
        <w:numPr>
          <w:ilvl w:val="0"/>
          <w:numId w:val="12"/>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供应商特定资格条件的证明文件：详见“第一章  公开招标公告 二、申请人的资格要求：3.本项目的特定资格要求”；</w:t>
      </w:r>
    </w:p>
    <w:p>
      <w:pPr>
        <w:keepNext w:val="0"/>
        <w:keepLines w:val="0"/>
        <w:pageBreakBefore w:val="0"/>
        <w:widowControl w:val="0"/>
        <w:numPr>
          <w:ilvl w:val="0"/>
          <w:numId w:val="12"/>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联合体协议（格式详见第六章 响应文件格式）；</w:t>
      </w:r>
    </w:p>
    <w:p>
      <w:pPr>
        <w:keepNext w:val="0"/>
        <w:keepLines w:val="0"/>
        <w:pageBreakBefore w:val="0"/>
        <w:widowControl w:val="0"/>
        <w:numPr>
          <w:ilvl w:val="0"/>
          <w:numId w:val="12"/>
        </w:numPr>
        <w:kinsoku/>
        <w:wordWrap/>
        <w:overflowPunct/>
        <w:topLinePunct w:val="0"/>
        <w:autoSpaceDE/>
        <w:autoSpaceDN/>
        <w:bidi w:val="0"/>
        <w:adjustRightInd/>
        <w:snapToGrid/>
        <w:spacing w:line="348"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2"/>
          <w:highlight w:val="none"/>
          <w:lang w:eastAsia="zh-CN"/>
        </w:rPr>
        <w:t>招标文件</w:t>
      </w:r>
      <w:r>
        <w:rPr>
          <w:rFonts w:hint="eastAsia" w:ascii="宋体" w:hAnsi="宋体" w:eastAsia="宋体" w:cs="宋体"/>
          <w:color w:val="auto"/>
          <w:szCs w:val="21"/>
          <w:highlight w:val="none"/>
        </w:rPr>
        <w:t>要求的其他资格条件证明材料（如有）；</w:t>
      </w:r>
    </w:p>
    <w:p>
      <w:pPr>
        <w:spacing w:line="480" w:lineRule="auto"/>
        <w:jc w:val="left"/>
        <w:rPr>
          <w:rFonts w:hint="eastAsia" w:ascii="宋体" w:hAnsi="宋体" w:eastAsia="宋体" w:cs="宋体"/>
          <w:color w:val="auto"/>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Cs w:val="21"/>
          <w:highlight w:val="none"/>
        </w:rPr>
        <w:t>（1）供应商资格声明函</w:t>
      </w:r>
    </w:p>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供应商资格声明函</w:t>
      </w: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t>浙江中基正采管理咨询有限公司：</w:t>
      </w:r>
    </w:p>
    <w:p>
      <w:pPr>
        <w:snapToGrid w:val="0"/>
        <w:spacing w:before="120" w:beforeLines="50"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kern w:val="28"/>
          <w:highlight w:val="none"/>
          <w:u w:val="single"/>
        </w:rPr>
        <w:t>XXXXXXXXXXXXXXXXXXXXXXXXXXXX</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　　　）的公开招标公告，本公司（企业）愿意参加投标，并声明：</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1.1、具有独立承担民事责任的能力；</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1.2、具有良好的商业信誉和健全的财务会计制度；</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1.3、具有履行合同所必需的设备和专业技术能力；</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1.4、有依法缴纳税收和社会保障资金的良好记录；</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1.5、参加政府采购活动前三年内，在经营活动中没有重大违法记录；</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1.6、法律、行政法规规定的其他条件。</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2、本公司（企业）的法定代表人或单位负责人与所参投的本项目的其他供应商的法定代表人或单位负责人不为同一人且与其他供应商之间不存在直接控股、管理关系。</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3、根据《中华人民共和国政府采购法实施条例》的规定，本公司（企业）如为本项目提供整体设计、规范编制或者项目管理、监理、检测等服务的供应商，不得再参加该项目的其他采购活动。否则，由此所造成的损失、不良后果及法律责任，一律由我公司（企业）承担。</w:t>
      </w:r>
    </w:p>
    <w:p>
      <w:pPr>
        <w:snapToGrid w:val="0"/>
        <w:spacing w:line="360" w:lineRule="auto"/>
        <w:ind w:firstLine="424" w:firstLineChars="202"/>
        <w:rPr>
          <w:rFonts w:hint="eastAsia" w:ascii="宋体" w:hAnsi="宋体" w:eastAsia="宋体" w:cs="宋体"/>
          <w:color w:val="auto"/>
          <w:highlight w:val="none"/>
        </w:rPr>
      </w:pPr>
      <w:r>
        <w:rPr>
          <w:rFonts w:hint="eastAsia" w:ascii="宋体" w:hAnsi="宋体" w:eastAsia="宋体" w:cs="宋体"/>
          <w:color w:val="auto"/>
          <w:highlight w:val="none"/>
        </w:rPr>
        <w:t>4、本公司（企业）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我公司已清楚</w:t>
      </w:r>
      <w:r>
        <w:rPr>
          <w:rFonts w:hint="eastAsia" w:ascii="宋体" w:hAnsi="宋体" w:cs="宋体"/>
          <w:color w:val="auto"/>
          <w:highlight w:val="none"/>
          <w:lang w:eastAsia="zh-CN"/>
        </w:rPr>
        <w:t>招标文件</w:t>
      </w:r>
      <w:r>
        <w:rPr>
          <w:rFonts w:hint="eastAsia" w:ascii="宋体" w:hAnsi="宋体" w:eastAsia="宋体" w:cs="宋体"/>
          <w:color w:val="auto"/>
          <w:highlight w:val="none"/>
        </w:rPr>
        <w:t>的要求及有关文件规定。本次招标采购活动中，如有违法、违规、弄虚作假行为，所造成的损失、不良后果及法律责任，一律由我公司（企业）承担。</w:t>
      </w:r>
    </w:p>
    <w:p>
      <w:pPr>
        <w:spacing w:line="360" w:lineRule="auto"/>
        <w:ind w:firstLine="420"/>
        <w:rPr>
          <w:rFonts w:hint="eastAsia" w:ascii="宋体" w:hAnsi="宋体" w:eastAsia="宋体" w:cs="宋体"/>
          <w:b/>
          <w:color w:val="auto"/>
          <w:highlight w:val="none"/>
        </w:rPr>
      </w:pPr>
      <w:r>
        <w:rPr>
          <w:rFonts w:hint="eastAsia" w:ascii="宋体" w:hAnsi="宋体" w:eastAsia="宋体" w:cs="宋体"/>
          <w:b/>
          <w:color w:val="auto"/>
          <w:highlight w:val="none"/>
        </w:rPr>
        <w:t>特此声明！</w:t>
      </w:r>
    </w:p>
    <w:p>
      <w:pPr>
        <w:adjustRightInd w:val="0"/>
        <w:snapToGrid w:val="0"/>
        <w:spacing w:line="360" w:lineRule="auto"/>
        <w:ind w:left="425"/>
        <w:rPr>
          <w:rFonts w:hint="eastAsia" w:ascii="宋体" w:hAnsi="宋体" w:eastAsia="宋体" w:cs="宋体"/>
          <w:color w:val="auto"/>
          <w:spacing w:val="4"/>
          <w:highlight w:val="none"/>
        </w:rPr>
      </w:pP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法定代表人或授权代表（签名或盖章）：     </w:t>
      </w:r>
    </w:p>
    <w:p>
      <w:pPr>
        <w:spacing w:line="360" w:lineRule="auto"/>
        <w:ind w:right="420" w:firstLine="3150" w:firstLineChars="1500"/>
        <w:rPr>
          <w:rFonts w:hint="eastAsia" w:ascii="宋体" w:hAnsi="宋体" w:eastAsia="宋体" w:cs="宋体"/>
          <w:color w:val="auto"/>
          <w:highlight w:val="none"/>
        </w:rPr>
      </w:pPr>
      <w:r>
        <w:rPr>
          <w:rFonts w:hint="eastAsia" w:ascii="宋体" w:hAnsi="宋体" w:eastAsia="宋体" w:cs="宋体"/>
          <w:color w:val="auto"/>
          <w:highlight w:val="none"/>
        </w:rPr>
        <w:t xml:space="preserve">供应商公章：                               </w:t>
      </w:r>
    </w:p>
    <w:p>
      <w:pPr>
        <w:spacing w:line="360" w:lineRule="auto"/>
        <w:ind w:right="420" w:firstLine="3045" w:firstLineChars="1450"/>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注：联合体投标的，可只由联合体牵头人签章。</w:t>
      </w:r>
    </w:p>
    <w:p>
      <w:pP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（2）有效的企业法人营业执照（或事业法人登记证）、其他组织（个体工商户）的营业执照</w:t>
      </w:r>
      <w:r>
        <w:rPr>
          <w:rFonts w:hint="eastAsia" w:ascii="宋体" w:hAnsi="宋体" w:eastAsia="宋体" w:cs="宋体"/>
          <w:color w:val="auto"/>
          <w:szCs w:val="21"/>
          <w:highlight w:val="none"/>
        </w:rPr>
        <w:t>或者</w:t>
      </w:r>
      <w:r>
        <w:rPr>
          <w:rFonts w:hint="eastAsia" w:ascii="宋体" w:hAnsi="宋体" w:eastAsia="宋体" w:cs="宋体"/>
          <w:color w:val="auto"/>
          <w:highlight w:val="none"/>
        </w:rPr>
        <w:t>民办非企业单位登记证书复印件；</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pageBreakBefore w:val="0"/>
        <w:kinsoku/>
        <w:overflowPunct/>
        <w:topLinePunct w:val="0"/>
        <w:bidi w:val="0"/>
        <w:snapToGrid w:val="0"/>
        <w:outlineLvl w:val="9"/>
        <w:rPr>
          <w:rFonts w:hint="eastAsia" w:ascii="宋体" w:hAnsi="宋体" w:eastAsia="宋体" w:cs="宋体"/>
          <w:color w:val="auto"/>
          <w:szCs w:val="21"/>
          <w:highlight w:val="none"/>
        </w:rPr>
      </w:pPr>
      <w:r>
        <w:rPr>
          <w:rFonts w:hint="eastAsia" w:ascii="Times New Roman" w:hAnsi="宋体" w:eastAsia="宋体" w:cs="宋体"/>
          <w:b/>
          <w:sz w:val="21"/>
        </w:rPr>
        <w:t>注：联合体投标的，联合体各方均须提供。</w:t>
      </w:r>
    </w:p>
    <w:p>
      <w:pPr>
        <w:spacing w:line="360" w:lineRule="auto"/>
        <w:rPr>
          <w:rFonts w:hint="eastAsia" w:ascii="宋体" w:hAnsi="宋体" w:eastAsia="宋体" w:cs="宋体"/>
          <w:color w:val="auto"/>
          <w:highlight w:val="none"/>
        </w:rPr>
      </w:pPr>
    </w:p>
    <w:p>
      <w:pPr>
        <w:pStyle w:val="46"/>
        <w:spacing w:line="360" w:lineRule="auto"/>
        <w:ind w:firstLine="0" w:firstLineChars="0"/>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（3）供应商特定资格条件的证明文件：详见“第一章  公开招标公告 二、申请人的资格要求：3.本项目的特定资格要求”；</w:t>
      </w:r>
    </w:p>
    <w:p>
      <w:pPr>
        <w:widowControl/>
        <w:topLinePunct w:val="0"/>
        <w:adjustRightInd/>
        <w:spacing w:line="240" w:lineRule="auto"/>
        <w:ind w:firstLine="0" w:firstLineChars="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Cs w:val="21"/>
          <w:highlight w:val="none"/>
          <w:lang w:bidi="ar"/>
        </w:rPr>
        <w:t>（</w:t>
      </w:r>
      <w:r>
        <w:rPr>
          <w:rFonts w:hint="eastAsia" w:ascii="宋体" w:hAnsi="宋体" w:eastAsia="宋体" w:cs="宋体"/>
          <w:b/>
          <w:bCs/>
          <w:color w:val="auto"/>
          <w:szCs w:val="21"/>
          <w:highlight w:val="none"/>
          <w:lang w:val="en-US" w:eastAsia="zh-CN" w:bidi="ar"/>
        </w:rPr>
        <w:t>4</w:t>
      </w:r>
      <w:r>
        <w:rPr>
          <w:rFonts w:hint="eastAsia" w:ascii="宋体" w:hAnsi="宋体" w:eastAsia="宋体" w:cs="宋体"/>
          <w:b/>
          <w:bCs/>
          <w:color w:val="auto"/>
          <w:szCs w:val="21"/>
          <w:highlight w:val="none"/>
          <w:lang w:bidi="ar"/>
        </w:rPr>
        <w:t>）</w:t>
      </w:r>
      <w:r>
        <w:rPr>
          <w:rFonts w:hint="eastAsia" w:ascii="宋体" w:hAnsi="宋体" w:eastAsia="宋体" w:cs="宋体"/>
          <w:color w:val="auto"/>
          <w:kern w:val="2"/>
          <w:sz w:val="21"/>
          <w:szCs w:val="21"/>
          <w:highlight w:val="none"/>
        </w:rPr>
        <w:t>联合体协议书格式</w:t>
      </w:r>
    </w:p>
    <w:p>
      <w:pPr>
        <w:widowControl w:val="0"/>
        <w:adjustRightInd/>
        <w:snapToGrid w:val="0"/>
        <w:spacing w:before="120" w:beforeLines="50" w:after="50" w:line="240" w:lineRule="auto"/>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联合体协议书</w:t>
      </w:r>
    </w:p>
    <w:p>
      <w:pPr>
        <w:widowControl w:val="0"/>
        <w:adjustRightInd/>
        <w:spacing w:line="240" w:lineRule="auto"/>
        <w:jc w:val="both"/>
        <w:textAlignment w:val="auto"/>
        <w:rPr>
          <w:rFonts w:ascii="宋体" w:hAnsi="Courier New" w:eastAsia="宋体" w:cs="Times New Roman"/>
          <w:color w:val="auto"/>
          <w:kern w:val="2"/>
          <w:sz w:val="21"/>
          <w:szCs w:val="20"/>
          <w:highlight w:val="none"/>
          <w:lang w:val="en-US" w:eastAsia="zh-CN" w:bidi="ar-SA"/>
        </w:rPr>
      </w:pPr>
    </w:p>
    <w:p>
      <w:pPr>
        <w:widowControl w:val="0"/>
        <w:topLinePunct/>
        <w:adjustRightInd/>
        <w:spacing w:line="440" w:lineRule="exact"/>
        <w:ind w:firstLine="420" w:firstLineChars="200"/>
        <w:jc w:val="both"/>
        <w:textAlignment w:val="auto"/>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u w:val="single"/>
        </w:rPr>
        <w:t xml:space="preserve">   </w:t>
      </w:r>
      <w:r>
        <w:rPr>
          <w:rFonts w:hint="eastAsia"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rPr>
        <w:t>（所有成员单位名称）自愿组成</w:t>
      </w:r>
      <w:r>
        <w:rPr>
          <w:rFonts w:hint="eastAsia" w:ascii="Times New Roman" w:hAnsi="Times New Roman" w:eastAsia="宋体" w:cs="Times New Roman"/>
          <w:color w:val="auto"/>
          <w:kern w:val="2"/>
          <w:sz w:val="21"/>
          <w:szCs w:val="21"/>
          <w:highlight w:val="none"/>
          <w:u w:val="single"/>
        </w:rPr>
        <w:t xml:space="preserve">                 </w:t>
      </w:r>
      <w:r>
        <w:rPr>
          <w:rFonts w:hint="eastAsia" w:ascii="Times New Roman" w:hAnsi="Times New Roman" w:eastAsia="宋体" w:cs="Times New Roman"/>
          <w:color w:val="auto"/>
          <w:kern w:val="2"/>
          <w:sz w:val="21"/>
          <w:szCs w:val="21"/>
          <w:highlight w:val="none"/>
        </w:rPr>
        <w:t>（联合体名称）</w:t>
      </w:r>
      <w:r>
        <w:rPr>
          <w:rFonts w:ascii="Times New Roman" w:hAnsi="Times New Roman" w:eastAsia="宋体" w:cs="Times New Roman"/>
          <w:color w:val="auto"/>
          <w:kern w:val="2"/>
          <w:sz w:val="21"/>
          <w:szCs w:val="21"/>
          <w:highlight w:val="none"/>
        </w:rPr>
        <w:t>，共同参加</w:t>
      </w:r>
      <w:r>
        <w:rPr>
          <w:rFonts w:ascii="Times New Roman" w:hAnsi="Times New Roman" w:eastAsia="宋体" w:cs="Times New Roman"/>
          <w:color w:val="auto"/>
          <w:kern w:val="2"/>
          <w:sz w:val="21"/>
          <w:szCs w:val="21"/>
          <w:highlight w:val="none"/>
          <w:u w:val="single"/>
        </w:rPr>
        <w:t xml:space="preserve"> </w:t>
      </w:r>
      <w:r>
        <w:rPr>
          <w:rFonts w:hint="eastAsia"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rPr>
        <w:t>（项目名称）。现就联合体投标事宜订立如下协议。</w:t>
      </w:r>
    </w:p>
    <w:p>
      <w:pPr>
        <w:widowControl w:val="0"/>
        <w:topLinePunct/>
        <w:adjustRightInd/>
        <w:spacing w:line="440" w:lineRule="exact"/>
        <w:ind w:firstLine="420" w:firstLineChars="200"/>
        <w:jc w:val="both"/>
        <w:textAlignment w:val="auto"/>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1</w:t>
      </w:r>
      <w:r>
        <w:rPr>
          <w:rFonts w:hint="eastAsia" w:ascii="Times New Roman" w:hAnsi="Times New Roman" w:eastAsia="宋体" w:cs="Times New Roman"/>
          <w:color w:val="auto"/>
          <w:kern w:val="2"/>
          <w:sz w:val="21"/>
          <w:szCs w:val="21"/>
          <w:highlight w:val="none"/>
        </w:rPr>
        <w:t>．</w:t>
      </w:r>
      <w:r>
        <w:rPr>
          <w:rFonts w:ascii="Times New Roman" w:hAnsi="Times New Roman" w:eastAsia="宋体" w:cs="Times New Roman"/>
          <w:color w:val="auto"/>
          <w:kern w:val="2"/>
          <w:sz w:val="21"/>
          <w:szCs w:val="21"/>
          <w:highlight w:val="none"/>
          <w:u w:val="single"/>
        </w:rPr>
        <w:t xml:space="preserve">    </w:t>
      </w:r>
      <w:r>
        <w:rPr>
          <w:rFonts w:hint="eastAsia"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rPr>
        <w:t>（某成员单位名称）为</w:t>
      </w:r>
      <w:r>
        <w:rPr>
          <w:rFonts w:hint="eastAsia" w:ascii="Times New Roman" w:hAnsi="Times New Roman" w:eastAsia="宋体" w:cs="Times New Roman"/>
          <w:color w:val="auto"/>
          <w:kern w:val="2"/>
          <w:sz w:val="21"/>
          <w:szCs w:val="21"/>
          <w:highlight w:val="none"/>
          <w:u w:val="single"/>
        </w:rPr>
        <w:t xml:space="preserve">                 </w:t>
      </w:r>
      <w:r>
        <w:rPr>
          <w:rFonts w:hint="eastAsia" w:ascii="Times New Roman" w:hAnsi="Times New Roman" w:eastAsia="宋体" w:cs="Times New Roman"/>
          <w:color w:val="auto"/>
          <w:kern w:val="2"/>
          <w:sz w:val="21"/>
          <w:szCs w:val="21"/>
          <w:highlight w:val="none"/>
        </w:rPr>
        <w:t>（联合体名称）</w:t>
      </w:r>
      <w:r>
        <w:rPr>
          <w:rFonts w:ascii="Times New Roman" w:hAnsi="Times New Roman" w:eastAsia="宋体" w:cs="Times New Roman"/>
          <w:color w:val="auto"/>
          <w:kern w:val="2"/>
          <w:sz w:val="21"/>
          <w:szCs w:val="21"/>
          <w:highlight w:val="none"/>
        </w:rPr>
        <w:t>牵头人。</w:t>
      </w:r>
    </w:p>
    <w:p>
      <w:pPr>
        <w:widowControl w:val="0"/>
        <w:topLinePunct/>
        <w:adjustRightInd/>
        <w:spacing w:line="440" w:lineRule="exact"/>
        <w:ind w:firstLine="420" w:firstLineChars="200"/>
        <w:jc w:val="both"/>
        <w:textAlignment w:val="auto"/>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2</w:t>
      </w:r>
      <w:r>
        <w:rPr>
          <w:rFonts w:hint="eastAsia" w:ascii="Times New Roman" w:hAnsi="Times New Roman" w:eastAsia="宋体" w:cs="Times New Roman"/>
          <w:color w:val="auto"/>
          <w:kern w:val="2"/>
          <w:sz w:val="21"/>
          <w:szCs w:val="21"/>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r>
        <w:rPr>
          <w:rFonts w:ascii="Times New Roman" w:hAnsi="Times New Roman" w:eastAsia="宋体" w:cs="Times New Roman"/>
          <w:color w:val="auto"/>
          <w:kern w:val="2"/>
          <w:sz w:val="21"/>
          <w:szCs w:val="21"/>
          <w:highlight w:val="none"/>
        </w:rPr>
        <w:t>。</w:t>
      </w:r>
    </w:p>
    <w:p>
      <w:pPr>
        <w:widowControl w:val="0"/>
        <w:topLinePunct/>
        <w:adjustRightInd/>
        <w:spacing w:line="440" w:lineRule="exact"/>
        <w:ind w:firstLine="420" w:firstLineChars="200"/>
        <w:jc w:val="both"/>
        <w:textAlignment w:val="auto"/>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3</w:t>
      </w:r>
      <w:r>
        <w:rPr>
          <w:rFonts w:hint="eastAsia" w:ascii="Times New Roman" w:hAnsi="Times New Roman" w:eastAsia="宋体" w:cs="Times New Roman"/>
          <w:color w:val="auto"/>
          <w:kern w:val="2"/>
          <w:sz w:val="21"/>
          <w:szCs w:val="21"/>
          <w:highlight w:val="none"/>
        </w:rPr>
        <w:t>．联合体牵头人在本项目中签署的一切文件和处理的一切事宜，联合体各成员均予以承认。联合体各成员将严格按照</w:t>
      </w:r>
      <w:r>
        <w:rPr>
          <w:rFonts w:hint="eastAsia" w:ascii="Times New Roman" w:hAnsi="Times New Roman" w:eastAsia="宋体" w:cs="Times New Roman"/>
          <w:color w:val="auto"/>
          <w:kern w:val="2"/>
          <w:sz w:val="21"/>
          <w:szCs w:val="21"/>
          <w:highlight w:val="none"/>
          <w:lang w:eastAsia="zh-CN"/>
        </w:rPr>
        <w:t>磋商文件</w:t>
      </w:r>
      <w:r>
        <w:rPr>
          <w:rFonts w:hint="eastAsia" w:ascii="Times New Roman" w:hAnsi="Times New Roman" w:eastAsia="宋体" w:cs="Times New Roman"/>
          <w:color w:val="auto"/>
          <w:kern w:val="2"/>
          <w:sz w:val="21"/>
          <w:szCs w:val="21"/>
          <w:highlight w:val="none"/>
        </w:rPr>
        <w:t>、</w:t>
      </w:r>
      <w:r>
        <w:rPr>
          <w:rFonts w:hint="eastAsia" w:ascii="Times New Roman" w:hAnsi="Times New Roman" w:eastAsia="宋体" w:cs="Times New Roman"/>
          <w:color w:val="auto"/>
          <w:kern w:val="2"/>
          <w:sz w:val="21"/>
          <w:szCs w:val="21"/>
          <w:highlight w:val="none"/>
          <w:lang w:eastAsia="zh-CN"/>
        </w:rPr>
        <w:t>响应</w:t>
      </w:r>
      <w:r>
        <w:rPr>
          <w:rFonts w:hint="eastAsia" w:ascii="Times New Roman" w:hAnsi="Times New Roman" w:eastAsia="宋体" w:cs="Times New Roman"/>
          <w:color w:val="auto"/>
          <w:kern w:val="2"/>
          <w:sz w:val="21"/>
          <w:szCs w:val="21"/>
          <w:highlight w:val="none"/>
        </w:rPr>
        <w:t>文件和合同的要求全面履行义务，并向</w:t>
      </w:r>
      <w:r>
        <w:rPr>
          <w:rFonts w:hint="eastAsia" w:ascii="Times New Roman" w:hAnsi="Times New Roman" w:eastAsia="宋体" w:cs="Times New Roman"/>
          <w:color w:val="auto"/>
          <w:kern w:val="2"/>
          <w:sz w:val="21"/>
          <w:szCs w:val="21"/>
          <w:highlight w:val="none"/>
          <w:lang w:eastAsia="zh-CN"/>
        </w:rPr>
        <w:t>采购人</w:t>
      </w:r>
      <w:r>
        <w:rPr>
          <w:rFonts w:hint="eastAsia" w:ascii="Times New Roman" w:hAnsi="Times New Roman" w:eastAsia="宋体" w:cs="Times New Roman"/>
          <w:color w:val="auto"/>
          <w:kern w:val="2"/>
          <w:sz w:val="21"/>
          <w:szCs w:val="21"/>
          <w:highlight w:val="none"/>
        </w:rPr>
        <w:t>承担连带责任</w:t>
      </w:r>
      <w:r>
        <w:rPr>
          <w:rFonts w:ascii="Times New Roman" w:hAnsi="Times New Roman" w:eastAsia="宋体" w:cs="Times New Roman"/>
          <w:color w:val="auto"/>
          <w:kern w:val="2"/>
          <w:sz w:val="21"/>
          <w:szCs w:val="21"/>
          <w:highlight w:val="none"/>
        </w:rPr>
        <w:t>。</w:t>
      </w:r>
    </w:p>
    <w:p>
      <w:pPr>
        <w:widowControl w:val="0"/>
        <w:topLinePunct/>
        <w:adjustRightInd/>
        <w:spacing w:line="440" w:lineRule="exact"/>
        <w:ind w:firstLine="420" w:firstLineChars="200"/>
        <w:jc w:val="both"/>
        <w:textAlignment w:val="auto"/>
        <w:rPr>
          <w:rFonts w:hint="eastAsia"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4</w:t>
      </w:r>
      <w:r>
        <w:rPr>
          <w:rFonts w:hint="eastAsia" w:ascii="Times New Roman" w:hAnsi="Times New Roman" w:eastAsia="宋体" w:cs="Times New Roman"/>
          <w:color w:val="auto"/>
          <w:kern w:val="2"/>
          <w:sz w:val="21"/>
          <w:szCs w:val="21"/>
          <w:highlight w:val="none"/>
        </w:rPr>
        <w:t>．联合体各成员单位内部的职责分工如下：</w:t>
      </w:r>
    </w:p>
    <w:p>
      <w:pPr>
        <w:widowControl w:val="0"/>
        <w:topLinePunct/>
        <w:adjustRightInd/>
        <w:spacing w:line="440" w:lineRule="exact"/>
        <w:ind w:firstLine="420" w:firstLineChars="200"/>
        <w:jc w:val="both"/>
        <w:textAlignment w:val="auto"/>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（1）由联合体牵头人承担</w:t>
      </w:r>
      <w:r>
        <w:rPr>
          <w:rFonts w:hint="eastAsia" w:ascii="Times New Roman" w:hAnsi="Times New Roman" w:eastAsia="宋体" w:cs="Times New Roman"/>
          <w:color w:val="auto"/>
          <w:kern w:val="2"/>
          <w:sz w:val="21"/>
          <w:szCs w:val="21"/>
          <w:highlight w:val="none"/>
          <w:u w:val="single"/>
        </w:rPr>
        <w:t xml:space="preserve">               </w:t>
      </w:r>
      <w:r>
        <w:rPr>
          <w:rFonts w:hint="eastAsia" w:ascii="Times New Roman" w:hAnsi="Times New Roman" w:eastAsia="宋体" w:cs="Times New Roman"/>
          <w:color w:val="auto"/>
          <w:kern w:val="2"/>
          <w:sz w:val="21"/>
          <w:szCs w:val="21"/>
          <w:highlight w:val="none"/>
          <w:u w:val="single"/>
          <w:lang w:val="en-US" w:eastAsia="zh-CN"/>
        </w:rPr>
        <w:t>工作</w:t>
      </w:r>
      <w:r>
        <w:rPr>
          <w:rFonts w:hint="eastAsia" w:ascii="Times New Roman" w:hAnsi="Times New Roman" w:eastAsia="宋体" w:cs="Times New Roman"/>
          <w:color w:val="auto"/>
          <w:kern w:val="2"/>
          <w:sz w:val="21"/>
          <w:szCs w:val="21"/>
          <w:highlight w:val="none"/>
          <w:u w:val="single"/>
          <w:lang w:eastAsia="zh-CN"/>
        </w:rPr>
        <w:t>（占合同总金额</w:t>
      </w:r>
      <w:r>
        <w:rPr>
          <w:rFonts w:hint="eastAsia" w:ascii="Times New Roman" w:hAnsi="Times New Roman" w:eastAsia="宋体" w:cs="Times New Roman"/>
          <w:color w:val="auto"/>
          <w:kern w:val="2"/>
          <w:sz w:val="21"/>
          <w:szCs w:val="21"/>
          <w:highlight w:val="none"/>
          <w:u w:val="single"/>
        </w:rPr>
        <w:t xml:space="preserve">     </w:t>
      </w:r>
      <w:r>
        <w:rPr>
          <w:rFonts w:hint="eastAsia" w:ascii="Times New Roman" w:hAnsi="Times New Roman" w:eastAsia="宋体" w:cs="Times New Roman"/>
          <w:color w:val="auto"/>
          <w:kern w:val="2"/>
          <w:sz w:val="21"/>
          <w:szCs w:val="21"/>
          <w:highlight w:val="none"/>
          <w:u w:val="single"/>
          <w:lang w:val="en-US" w:eastAsia="zh-CN"/>
        </w:rPr>
        <w:t>%</w:t>
      </w:r>
      <w:r>
        <w:rPr>
          <w:rFonts w:hint="eastAsia" w:ascii="Times New Roman" w:hAnsi="Times New Roman" w:eastAsia="宋体" w:cs="Times New Roman"/>
          <w:color w:val="auto"/>
          <w:kern w:val="2"/>
          <w:sz w:val="21"/>
          <w:szCs w:val="21"/>
          <w:highlight w:val="none"/>
          <w:u w:val="single"/>
          <w:lang w:eastAsia="zh-CN"/>
        </w:rPr>
        <w:t>）</w:t>
      </w:r>
      <w:r>
        <w:rPr>
          <w:rFonts w:hint="eastAsia" w:ascii="Times New Roman" w:hAnsi="Times New Roman" w:eastAsia="宋体" w:cs="Times New Roman"/>
          <w:color w:val="auto"/>
          <w:kern w:val="2"/>
          <w:sz w:val="21"/>
          <w:szCs w:val="21"/>
          <w:highlight w:val="none"/>
        </w:rPr>
        <w:t>；</w:t>
      </w:r>
    </w:p>
    <w:p>
      <w:pPr>
        <w:widowControl w:val="0"/>
        <w:topLinePunct/>
        <w:adjustRightInd/>
        <w:spacing w:line="440" w:lineRule="exact"/>
        <w:ind w:firstLine="420" w:firstLineChars="200"/>
        <w:jc w:val="both"/>
        <w:textAlignment w:val="auto"/>
        <w:rPr>
          <w:rFonts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（2）由联合体成员承担</w:t>
      </w:r>
      <w:r>
        <w:rPr>
          <w:rFonts w:hint="eastAsia" w:ascii="Times New Roman" w:hAnsi="Times New Roman" w:eastAsia="宋体" w:cs="Times New Roman"/>
          <w:color w:val="auto"/>
          <w:kern w:val="2"/>
          <w:sz w:val="21"/>
          <w:szCs w:val="21"/>
          <w:highlight w:val="none"/>
          <w:u w:val="single"/>
        </w:rPr>
        <w:t xml:space="preserve">              </w:t>
      </w:r>
      <w:r>
        <w:rPr>
          <w:rFonts w:hint="eastAsia" w:ascii="Times New Roman" w:hAnsi="Times New Roman" w:eastAsia="宋体" w:cs="Times New Roman"/>
          <w:color w:val="auto"/>
          <w:kern w:val="2"/>
          <w:sz w:val="21"/>
          <w:szCs w:val="21"/>
          <w:highlight w:val="none"/>
          <w:u w:val="single"/>
          <w:lang w:val="en-US" w:eastAsia="zh-CN"/>
        </w:rPr>
        <w:t xml:space="preserve">  </w:t>
      </w:r>
      <w:r>
        <w:rPr>
          <w:rFonts w:hint="eastAsia" w:ascii="Times New Roman" w:hAnsi="Times New Roman" w:eastAsia="宋体" w:cs="Times New Roman"/>
          <w:color w:val="auto"/>
          <w:kern w:val="2"/>
          <w:sz w:val="21"/>
          <w:szCs w:val="21"/>
          <w:highlight w:val="none"/>
          <w:u w:val="single"/>
        </w:rPr>
        <w:t xml:space="preserve"> </w:t>
      </w:r>
      <w:r>
        <w:rPr>
          <w:rFonts w:hint="eastAsia" w:ascii="Times New Roman" w:hAnsi="Times New Roman" w:eastAsia="宋体" w:cs="Times New Roman"/>
          <w:color w:val="auto"/>
          <w:kern w:val="2"/>
          <w:sz w:val="21"/>
          <w:szCs w:val="21"/>
          <w:highlight w:val="none"/>
          <w:u w:val="single"/>
          <w:lang w:val="en-US" w:eastAsia="zh-CN"/>
        </w:rPr>
        <w:t>工作</w:t>
      </w:r>
      <w:r>
        <w:rPr>
          <w:rFonts w:hint="eastAsia" w:ascii="Times New Roman" w:hAnsi="Times New Roman" w:eastAsia="宋体" w:cs="Times New Roman"/>
          <w:color w:val="auto"/>
          <w:kern w:val="2"/>
          <w:sz w:val="21"/>
          <w:szCs w:val="21"/>
          <w:highlight w:val="none"/>
          <w:u w:val="single"/>
          <w:lang w:eastAsia="zh-CN"/>
        </w:rPr>
        <w:t>（占合同总金额</w:t>
      </w:r>
      <w:r>
        <w:rPr>
          <w:rFonts w:hint="eastAsia" w:ascii="Times New Roman" w:hAnsi="Times New Roman" w:eastAsia="宋体" w:cs="Times New Roman"/>
          <w:color w:val="auto"/>
          <w:kern w:val="2"/>
          <w:sz w:val="21"/>
          <w:szCs w:val="21"/>
          <w:highlight w:val="none"/>
          <w:u w:val="single"/>
        </w:rPr>
        <w:t xml:space="preserve">     </w:t>
      </w:r>
      <w:r>
        <w:rPr>
          <w:rFonts w:hint="eastAsia" w:ascii="Times New Roman" w:hAnsi="Times New Roman" w:eastAsia="宋体" w:cs="Times New Roman"/>
          <w:color w:val="auto"/>
          <w:kern w:val="2"/>
          <w:sz w:val="21"/>
          <w:szCs w:val="21"/>
          <w:highlight w:val="none"/>
          <w:u w:val="single"/>
          <w:lang w:val="en-US" w:eastAsia="zh-CN"/>
        </w:rPr>
        <w:t>%</w:t>
      </w:r>
      <w:r>
        <w:rPr>
          <w:rFonts w:hint="eastAsia" w:ascii="Times New Roman" w:hAnsi="Times New Roman" w:eastAsia="宋体" w:cs="Times New Roman"/>
          <w:color w:val="auto"/>
          <w:kern w:val="2"/>
          <w:sz w:val="21"/>
          <w:szCs w:val="21"/>
          <w:highlight w:val="none"/>
          <w:u w:val="single"/>
          <w:lang w:eastAsia="zh-CN"/>
        </w:rPr>
        <w:t>）</w:t>
      </w:r>
      <w:r>
        <w:rPr>
          <w:rFonts w:hint="eastAsia" w:ascii="Times New Roman" w:hAnsi="Times New Roman" w:eastAsia="宋体" w:cs="Times New Roman"/>
          <w:color w:val="auto"/>
          <w:kern w:val="2"/>
          <w:sz w:val="21"/>
          <w:szCs w:val="21"/>
          <w:highlight w:val="none"/>
        </w:rPr>
        <w:t>。</w:t>
      </w:r>
    </w:p>
    <w:p>
      <w:pPr>
        <w:widowControl w:val="0"/>
        <w:topLinePunct/>
        <w:adjustRightInd/>
        <w:spacing w:line="440" w:lineRule="exact"/>
        <w:ind w:firstLine="420" w:firstLineChars="200"/>
        <w:jc w:val="both"/>
        <w:textAlignment w:val="auto"/>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5</w:t>
      </w:r>
      <w:r>
        <w:rPr>
          <w:rFonts w:hint="eastAsia" w:ascii="Times New Roman" w:hAnsi="Times New Roman" w:eastAsia="宋体" w:cs="Times New Roman"/>
          <w:color w:val="auto"/>
          <w:kern w:val="2"/>
          <w:sz w:val="21"/>
          <w:szCs w:val="21"/>
          <w:highlight w:val="none"/>
        </w:rPr>
        <w:t>．投标工作和联合体在中标后实施过程中的有关费用按各自承担的工作量分摊。</w:t>
      </w:r>
    </w:p>
    <w:p>
      <w:pPr>
        <w:widowControl w:val="0"/>
        <w:topLinePunct/>
        <w:adjustRightInd/>
        <w:spacing w:line="440" w:lineRule="exact"/>
        <w:ind w:firstLine="420" w:firstLineChars="200"/>
        <w:jc w:val="both"/>
        <w:textAlignment w:val="auto"/>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6</w:t>
      </w:r>
      <w:r>
        <w:rPr>
          <w:rFonts w:hint="eastAsia" w:ascii="Times New Roman" w:hAnsi="Times New Roman" w:eastAsia="宋体" w:cs="Times New Roman"/>
          <w:color w:val="auto"/>
          <w:kern w:val="2"/>
          <w:sz w:val="21"/>
          <w:szCs w:val="21"/>
          <w:highlight w:val="none"/>
        </w:rPr>
        <w:t>．本协议书自所有成员单位法定代表人签字或盖章并加盖单位章之日起生效，合同履行完毕后自动失效</w:t>
      </w:r>
      <w:r>
        <w:rPr>
          <w:rFonts w:ascii="Times New Roman" w:hAnsi="Times New Roman" w:eastAsia="宋体" w:cs="Times New Roman"/>
          <w:color w:val="auto"/>
          <w:kern w:val="2"/>
          <w:sz w:val="21"/>
          <w:szCs w:val="21"/>
          <w:highlight w:val="none"/>
        </w:rPr>
        <w:t xml:space="preserve">。 </w:t>
      </w:r>
    </w:p>
    <w:p>
      <w:pPr>
        <w:widowControl w:val="0"/>
        <w:topLinePunct/>
        <w:adjustRightInd/>
        <w:spacing w:line="440" w:lineRule="exact"/>
        <w:ind w:firstLine="420" w:firstLineChars="200"/>
        <w:jc w:val="both"/>
        <w:textAlignment w:val="auto"/>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7</w:t>
      </w:r>
      <w:r>
        <w:rPr>
          <w:rFonts w:hint="eastAsia" w:ascii="Times New Roman" w:hAnsi="Times New Roman" w:eastAsia="宋体" w:cs="Times New Roman"/>
          <w:color w:val="auto"/>
          <w:kern w:val="2"/>
          <w:sz w:val="21"/>
          <w:szCs w:val="21"/>
          <w:highlight w:val="none"/>
        </w:rPr>
        <w:t>．</w:t>
      </w:r>
      <w:r>
        <w:rPr>
          <w:rFonts w:ascii="Times New Roman" w:hAnsi="Times New Roman" w:eastAsia="宋体" w:cs="Times New Roman"/>
          <w:color w:val="auto"/>
          <w:kern w:val="2"/>
          <w:sz w:val="21"/>
          <w:szCs w:val="21"/>
          <w:highlight w:val="none"/>
        </w:rPr>
        <w:t>本协议书一式</w:t>
      </w:r>
      <w:r>
        <w:rPr>
          <w:rFonts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rPr>
        <w:t>份，联合体成员和</w:t>
      </w:r>
      <w:r>
        <w:rPr>
          <w:rFonts w:hint="eastAsia" w:ascii="Times New Roman" w:hAnsi="Times New Roman" w:eastAsia="宋体" w:cs="Times New Roman"/>
          <w:color w:val="auto"/>
          <w:kern w:val="2"/>
          <w:sz w:val="21"/>
          <w:szCs w:val="21"/>
          <w:highlight w:val="none"/>
          <w:lang w:eastAsia="zh-CN"/>
        </w:rPr>
        <w:t>采购人</w:t>
      </w:r>
      <w:r>
        <w:rPr>
          <w:rFonts w:ascii="Times New Roman" w:hAnsi="Times New Roman" w:eastAsia="宋体" w:cs="Times New Roman"/>
          <w:color w:val="auto"/>
          <w:kern w:val="2"/>
          <w:sz w:val="21"/>
          <w:szCs w:val="21"/>
          <w:highlight w:val="none"/>
        </w:rPr>
        <w:t>各执一份。</w:t>
      </w:r>
    </w:p>
    <w:p>
      <w:pPr>
        <w:widowControl w:val="0"/>
        <w:topLinePunct/>
        <w:adjustRightInd/>
        <w:spacing w:line="440" w:lineRule="exact"/>
        <w:jc w:val="both"/>
        <w:textAlignment w:val="auto"/>
        <w:rPr>
          <w:rFonts w:ascii="Times New Roman" w:hAnsi="Times New Roman" w:eastAsia="宋体" w:cs="Times New Roman"/>
          <w:color w:val="auto"/>
          <w:kern w:val="2"/>
          <w:sz w:val="21"/>
          <w:szCs w:val="21"/>
          <w:highlight w:val="none"/>
        </w:rPr>
      </w:pPr>
    </w:p>
    <w:p>
      <w:pPr>
        <w:widowControl w:val="0"/>
        <w:topLinePunct/>
        <w:adjustRightInd/>
        <w:spacing w:line="440" w:lineRule="exact"/>
        <w:ind w:firstLine="420" w:firstLineChars="200"/>
        <w:jc w:val="both"/>
        <w:textAlignment w:val="auto"/>
        <w:rPr>
          <w:rFonts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联合体</w:t>
      </w:r>
      <w:r>
        <w:rPr>
          <w:rFonts w:ascii="Times New Roman" w:hAnsi="Times New Roman" w:eastAsia="宋体" w:cs="Times New Roman"/>
          <w:color w:val="auto"/>
          <w:kern w:val="2"/>
          <w:sz w:val="21"/>
          <w:szCs w:val="21"/>
          <w:highlight w:val="none"/>
        </w:rPr>
        <w:t>牵头人名称：</w:t>
      </w:r>
      <w:r>
        <w:rPr>
          <w:rFonts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rPr>
        <w:t>（盖单位章）</w:t>
      </w:r>
    </w:p>
    <w:p>
      <w:pPr>
        <w:widowControl w:val="0"/>
        <w:topLinePunct/>
        <w:adjustRightInd/>
        <w:spacing w:line="440" w:lineRule="exact"/>
        <w:ind w:firstLine="420" w:firstLineChars="200"/>
        <w:jc w:val="both"/>
        <w:textAlignment w:val="auto"/>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法定代表人：</w:t>
      </w:r>
      <w:r>
        <w:rPr>
          <w:rFonts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rPr>
        <w:t>（签字</w:t>
      </w:r>
      <w:r>
        <w:rPr>
          <w:rFonts w:hint="eastAsia" w:ascii="Times New Roman" w:hAnsi="Times New Roman" w:eastAsia="宋体" w:cs="Times New Roman"/>
          <w:color w:val="auto"/>
          <w:kern w:val="2"/>
          <w:sz w:val="21"/>
          <w:szCs w:val="21"/>
          <w:highlight w:val="none"/>
        </w:rPr>
        <w:t>或盖章</w:t>
      </w:r>
      <w:r>
        <w:rPr>
          <w:rFonts w:ascii="Times New Roman" w:hAnsi="Times New Roman" w:eastAsia="宋体" w:cs="Times New Roman"/>
          <w:color w:val="auto"/>
          <w:kern w:val="2"/>
          <w:sz w:val="21"/>
          <w:szCs w:val="21"/>
          <w:highlight w:val="none"/>
        </w:rPr>
        <w:t>）</w:t>
      </w:r>
    </w:p>
    <w:p>
      <w:pPr>
        <w:widowControl w:val="0"/>
        <w:topLinePunct/>
        <w:adjustRightInd/>
        <w:spacing w:line="440" w:lineRule="exact"/>
        <w:jc w:val="both"/>
        <w:textAlignment w:val="auto"/>
        <w:rPr>
          <w:rFonts w:ascii="Times New Roman" w:hAnsi="Times New Roman" w:eastAsia="宋体" w:cs="Times New Roman"/>
          <w:color w:val="auto"/>
          <w:kern w:val="2"/>
          <w:sz w:val="21"/>
          <w:szCs w:val="21"/>
          <w:highlight w:val="none"/>
        </w:rPr>
      </w:pPr>
    </w:p>
    <w:p>
      <w:pPr>
        <w:widowControl w:val="0"/>
        <w:topLinePunct/>
        <w:adjustRightInd/>
        <w:spacing w:line="440" w:lineRule="exact"/>
        <w:ind w:firstLine="420" w:firstLineChars="200"/>
        <w:jc w:val="both"/>
        <w:textAlignment w:val="auto"/>
        <w:rPr>
          <w:rFonts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联合体</w:t>
      </w:r>
      <w:r>
        <w:rPr>
          <w:rFonts w:ascii="Times New Roman" w:hAnsi="Times New Roman" w:eastAsia="宋体" w:cs="Times New Roman"/>
          <w:color w:val="auto"/>
          <w:kern w:val="2"/>
          <w:sz w:val="21"/>
          <w:szCs w:val="21"/>
          <w:highlight w:val="none"/>
        </w:rPr>
        <w:t>成员名称：</w:t>
      </w:r>
      <w:r>
        <w:rPr>
          <w:rFonts w:ascii="Times New Roman" w:hAnsi="Times New Roman" w:eastAsia="宋体" w:cs="Times New Roman"/>
          <w:color w:val="auto"/>
          <w:kern w:val="2"/>
          <w:sz w:val="21"/>
          <w:szCs w:val="21"/>
          <w:highlight w:val="none"/>
          <w:u w:val="single"/>
        </w:rPr>
        <w:t xml:space="preserve">      </w:t>
      </w:r>
      <w:r>
        <w:rPr>
          <w:rFonts w:hint="eastAsia"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rPr>
        <w:t>（盖单位章）</w:t>
      </w:r>
    </w:p>
    <w:p>
      <w:pPr>
        <w:widowControl w:val="0"/>
        <w:topLinePunct/>
        <w:adjustRightInd/>
        <w:spacing w:line="440" w:lineRule="exact"/>
        <w:ind w:firstLine="420" w:firstLineChars="200"/>
        <w:jc w:val="both"/>
        <w:textAlignment w:val="auto"/>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法定代表人：</w:t>
      </w:r>
      <w:r>
        <w:rPr>
          <w:rFonts w:ascii="Times New Roman" w:hAnsi="Times New Roman" w:eastAsia="宋体" w:cs="Times New Roman"/>
          <w:color w:val="auto"/>
          <w:kern w:val="2"/>
          <w:sz w:val="21"/>
          <w:szCs w:val="21"/>
          <w:highlight w:val="none"/>
          <w:u w:val="single"/>
        </w:rPr>
        <w:t xml:space="preserve">                 </w:t>
      </w:r>
      <w:r>
        <w:rPr>
          <w:rFonts w:ascii="Times New Roman" w:hAnsi="Times New Roman" w:eastAsia="宋体" w:cs="Times New Roman"/>
          <w:color w:val="auto"/>
          <w:kern w:val="2"/>
          <w:sz w:val="21"/>
          <w:szCs w:val="21"/>
          <w:highlight w:val="none"/>
        </w:rPr>
        <w:t>（签字</w:t>
      </w:r>
      <w:r>
        <w:rPr>
          <w:rFonts w:hint="eastAsia" w:ascii="Times New Roman" w:hAnsi="Times New Roman" w:eastAsia="宋体" w:cs="Times New Roman"/>
          <w:color w:val="auto"/>
          <w:kern w:val="2"/>
          <w:sz w:val="21"/>
          <w:szCs w:val="21"/>
          <w:highlight w:val="none"/>
        </w:rPr>
        <w:t>或盖章</w:t>
      </w:r>
      <w:r>
        <w:rPr>
          <w:rFonts w:ascii="Times New Roman" w:hAnsi="Times New Roman" w:eastAsia="宋体" w:cs="Times New Roman"/>
          <w:color w:val="auto"/>
          <w:kern w:val="2"/>
          <w:sz w:val="21"/>
          <w:szCs w:val="21"/>
          <w:highlight w:val="none"/>
        </w:rPr>
        <w:t>）</w:t>
      </w:r>
    </w:p>
    <w:p>
      <w:pPr>
        <w:widowControl w:val="0"/>
        <w:topLinePunct/>
        <w:adjustRightInd/>
        <w:spacing w:line="440" w:lineRule="exact"/>
        <w:jc w:val="both"/>
        <w:textAlignment w:val="auto"/>
        <w:rPr>
          <w:rFonts w:ascii="Times New Roman" w:hAnsi="Times New Roman" w:eastAsia="宋体" w:cs="Times New Roman"/>
          <w:color w:val="auto"/>
          <w:kern w:val="2"/>
          <w:sz w:val="21"/>
          <w:szCs w:val="21"/>
          <w:highlight w:val="none"/>
        </w:rPr>
      </w:pPr>
      <w:r>
        <w:rPr>
          <w:rFonts w:ascii="Times New Roman" w:hAnsi="Times New Roman" w:eastAsia="宋体" w:cs="Times New Roman"/>
          <w:color w:val="auto"/>
          <w:kern w:val="2"/>
          <w:sz w:val="21"/>
          <w:szCs w:val="21"/>
          <w:highlight w:val="none"/>
        </w:rPr>
        <w:t xml:space="preserve"> </w:t>
      </w:r>
    </w:p>
    <w:p>
      <w:pPr>
        <w:widowControl/>
        <w:adjustRightInd/>
        <w:spacing w:line="360" w:lineRule="auto"/>
        <w:jc w:val="left"/>
        <w:textAlignment w:val="auto"/>
        <w:rPr>
          <w:rFonts w:ascii="Times New Roman" w:hAnsi="Times New Roman" w:eastAsia="宋体" w:cs="Times New Roman"/>
          <w:color w:val="auto"/>
          <w:kern w:val="2"/>
          <w:sz w:val="21"/>
          <w:szCs w:val="24"/>
          <w:highlight w:val="none"/>
        </w:rPr>
      </w:pPr>
      <w:r>
        <w:rPr>
          <w:rFonts w:ascii="Times New Roman" w:hAnsi="Times New Roman" w:eastAsia="宋体" w:cs="Times New Roman"/>
          <w:color w:val="auto"/>
          <w:kern w:val="2"/>
          <w:sz w:val="21"/>
          <w:szCs w:val="24"/>
          <w:highlight w:val="none"/>
          <w:u w:val="single"/>
        </w:rPr>
        <w:t xml:space="preserve">        </w:t>
      </w:r>
      <w:r>
        <w:rPr>
          <w:rFonts w:ascii="Times New Roman" w:hAnsi="Times New Roman" w:eastAsia="宋体" w:cs="Times New Roman"/>
          <w:color w:val="auto"/>
          <w:kern w:val="2"/>
          <w:sz w:val="21"/>
          <w:szCs w:val="24"/>
          <w:highlight w:val="none"/>
        </w:rPr>
        <w:t>年</w:t>
      </w:r>
      <w:r>
        <w:rPr>
          <w:rFonts w:ascii="Times New Roman" w:hAnsi="Times New Roman" w:eastAsia="宋体" w:cs="Times New Roman"/>
          <w:color w:val="auto"/>
          <w:kern w:val="2"/>
          <w:sz w:val="21"/>
          <w:szCs w:val="24"/>
          <w:highlight w:val="none"/>
          <w:u w:val="single"/>
        </w:rPr>
        <w:t xml:space="preserve">   </w:t>
      </w:r>
      <w:r>
        <w:rPr>
          <w:rFonts w:hint="eastAsia" w:ascii="Times New Roman" w:hAnsi="Times New Roman" w:eastAsia="宋体" w:cs="Times New Roman"/>
          <w:color w:val="auto"/>
          <w:kern w:val="2"/>
          <w:sz w:val="21"/>
          <w:szCs w:val="24"/>
          <w:highlight w:val="none"/>
          <w:u w:val="single"/>
        </w:rPr>
        <w:t xml:space="preserve">  </w:t>
      </w:r>
      <w:r>
        <w:rPr>
          <w:rFonts w:ascii="Times New Roman" w:hAnsi="Times New Roman" w:eastAsia="宋体" w:cs="Times New Roman"/>
          <w:color w:val="auto"/>
          <w:kern w:val="2"/>
          <w:sz w:val="21"/>
          <w:szCs w:val="24"/>
          <w:highlight w:val="none"/>
        </w:rPr>
        <w:t>月</w:t>
      </w:r>
      <w:r>
        <w:rPr>
          <w:rFonts w:ascii="Times New Roman" w:hAnsi="Times New Roman" w:eastAsia="宋体" w:cs="Times New Roman"/>
          <w:color w:val="auto"/>
          <w:kern w:val="2"/>
          <w:sz w:val="21"/>
          <w:szCs w:val="24"/>
          <w:highlight w:val="none"/>
          <w:u w:val="single"/>
        </w:rPr>
        <w:t xml:space="preserve"> </w:t>
      </w:r>
      <w:r>
        <w:rPr>
          <w:rFonts w:hint="eastAsia" w:ascii="Times New Roman" w:hAnsi="Times New Roman" w:eastAsia="宋体" w:cs="Times New Roman"/>
          <w:color w:val="auto"/>
          <w:kern w:val="2"/>
          <w:sz w:val="21"/>
          <w:szCs w:val="24"/>
          <w:highlight w:val="none"/>
          <w:u w:val="single"/>
        </w:rPr>
        <w:t xml:space="preserve">   </w:t>
      </w:r>
      <w:r>
        <w:rPr>
          <w:rFonts w:ascii="Times New Roman" w:hAnsi="Times New Roman" w:eastAsia="宋体" w:cs="Times New Roman"/>
          <w:color w:val="auto"/>
          <w:kern w:val="2"/>
          <w:sz w:val="21"/>
          <w:szCs w:val="24"/>
          <w:highlight w:val="none"/>
        </w:rPr>
        <w:t>日</w:t>
      </w:r>
    </w:p>
    <w:p>
      <w:pPr>
        <w:spacing w:line="360" w:lineRule="auto"/>
        <w:rPr>
          <w:rFonts w:hint="eastAsia" w:ascii="宋体" w:hAnsi="宋体" w:eastAsia="宋体" w:cs="宋体"/>
          <w:color w:val="auto"/>
          <w:highlight w:val="none"/>
          <w:lang w:eastAsia="zh-CN"/>
        </w:rPr>
      </w:pPr>
      <w:r>
        <w:rPr>
          <w:rFonts w:hint="eastAsia" w:ascii="宋体" w:hAnsi="宋体" w:eastAsia="宋体" w:cs="宋体"/>
          <w:b/>
          <w:bCs/>
          <w:kern w:val="2"/>
          <w:sz w:val="21"/>
          <w:szCs w:val="24"/>
        </w:rPr>
        <w:t>注：采用联合体形式投标的供应商必须提供联合体协议；如单独投标无须提供“联合体协议”。</w:t>
      </w:r>
    </w:p>
    <w:p>
      <w:pPr>
        <w:numPr>
          <w:ilvl w:val="0"/>
          <w:numId w:val="0"/>
        </w:numPr>
        <w:spacing w:line="360" w:lineRule="auto"/>
        <w:rPr>
          <w:rFonts w:hint="eastAsia" w:ascii="宋体" w:hAnsi="宋体" w:eastAsia="宋体" w:cs="宋体"/>
          <w:color w:val="auto"/>
          <w:highlight w:val="none"/>
          <w:lang w:eastAsia="zh-CN"/>
        </w:rPr>
      </w:pPr>
    </w:p>
    <w:p>
      <w:pPr>
        <w:numPr>
          <w:ilvl w:val="0"/>
          <w:numId w:val="0"/>
        </w:numPr>
        <w:spacing w:line="360" w:lineRule="auto"/>
        <w:rPr>
          <w:rFonts w:hint="eastAsia" w:ascii="宋体" w:hAnsi="宋体" w:eastAsia="宋体" w:cs="宋体"/>
          <w:bCs/>
          <w:color w:val="auto"/>
          <w:sz w:val="24"/>
          <w:highlight w:val="none"/>
          <w:lang w:bidi="ar"/>
        </w:rPr>
      </w:pP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招标文件</w:t>
      </w:r>
      <w:r>
        <w:rPr>
          <w:rFonts w:hint="eastAsia" w:ascii="宋体" w:hAnsi="宋体" w:eastAsia="宋体" w:cs="宋体"/>
          <w:color w:val="auto"/>
          <w:highlight w:val="none"/>
        </w:rPr>
        <w:t>要求的其他资格条件证明材料（如有）；</w:t>
      </w:r>
    </w:p>
    <w:p>
      <w:pPr>
        <w:spacing w:line="360" w:lineRule="auto"/>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br w:type="page"/>
      </w:r>
      <w:r>
        <w:rPr>
          <w:rFonts w:hint="eastAsia" w:ascii="宋体" w:hAnsi="宋体" w:eastAsia="宋体" w:cs="宋体"/>
          <w:bCs/>
          <w:color w:val="auto"/>
          <w:sz w:val="24"/>
          <w:highlight w:val="none"/>
          <w:lang w:bidi="ar"/>
        </w:rPr>
        <w:t>（三）</w:t>
      </w:r>
      <w:r>
        <w:rPr>
          <w:rFonts w:hint="eastAsia" w:ascii="宋体" w:hAnsi="宋体" w:eastAsia="宋体" w:cs="宋体"/>
          <w:b/>
          <w:bCs/>
          <w:color w:val="auto"/>
          <w:highlight w:val="none"/>
        </w:rPr>
        <w:t>商务技术文件内容包括</w:t>
      </w:r>
    </w:p>
    <w:p>
      <w:pPr>
        <w:numPr>
          <w:ilvl w:val="0"/>
          <w:numId w:val="13"/>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符合性自查表（格式见附件）；</w:t>
      </w:r>
    </w:p>
    <w:p>
      <w:pPr>
        <w:numPr>
          <w:ilvl w:val="0"/>
          <w:numId w:val="13"/>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供应商响应表（格式见附件）；</w:t>
      </w:r>
    </w:p>
    <w:p>
      <w:pPr>
        <w:numPr>
          <w:ilvl w:val="0"/>
          <w:numId w:val="13"/>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商务条款偏离表（格式见附件）；</w:t>
      </w:r>
    </w:p>
    <w:p>
      <w:pPr>
        <w:numPr>
          <w:ilvl w:val="0"/>
          <w:numId w:val="13"/>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投标函（格式见附件）；</w:t>
      </w:r>
    </w:p>
    <w:p>
      <w:pPr>
        <w:numPr>
          <w:ilvl w:val="0"/>
          <w:numId w:val="13"/>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法定代表人身份证明或法定代表人授权委托书（格式见附件）；</w:t>
      </w:r>
    </w:p>
    <w:p>
      <w:pPr>
        <w:numPr>
          <w:ilvl w:val="0"/>
          <w:numId w:val="13"/>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技术（服务）条款偏离表（格式见附件）；</w:t>
      </w:r>
    </w:p>
    <w:p>
      <w:pPr>
        <w:numPr>
          <w:ilvl w:val="0"/>
          <w:numId w:val="13"/>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供应商基本情况表（格式见附件）；</w:t>
      </w:r>
    </w:p>
    <w:p>
      <w:pPr>
        <w:numPr>
          <w:ilvl w:val="0"/>
          <w:numId w:val="13"/>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本项目负责人简历表（格式见附件）</w:t>
      </w:r>
    </w:p>
    <w:p>
      <w:pPr>
        <w:numPr>
          <w:ilvl w:val="0"/>
          <w:numId w:val="13"/>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本项目组人员配备情况表（格式见附件）</w:t>
      </w:r>
    </w:p>
    <w:p>
      <w:pPr>
        <w:numPr>
          <w:ilvl w:val="0"/>
          <w:numId w:val="13"/>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同类业绩情况一览表（格式见附件）；</w:t>
      </w:r>
    </w:p>
    <w:p>
      <w:pPr>
        <w:numPr>
          <w:ilvl w:val="0"/>
          <w:numId w:val="13"/>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技术部分：针对本项目第二章采购需求和第四章评分标准中的条款拟定完整方案，格式自拟；</w:t>
      </w:r>
    </w:p>
    <w:p>
      <w:pPr>
        <w:numPr>
          <w:ilvl w:val="0"/>
          <w:numId w:val="13"/>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第四章评标办法及评分标准中需提供的其他相关证书及合同复印件等并加盖公章；</w:t>
      </w:r>
    </w:p>
    <w:p>
      <w:pPr>
        <w:numPr>
          <w:ilvl w:val="0"/>
          <w:numId w:val="13"/>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供应商认为有需要提供的其它有关证明资料。</w:t>
      </w:r>
    </w:p>
    <w:p>
      <w:pPr>
        <w:rPr>
          <w:rFonts w:hint="eastAsia" w:ascii="宋体" w:hAnsi="宋体" w:eastAsia="宋体" w:cs="宋体"/>
          <w:bCs/>
          <w:color w:val="auto"/>
          <w:sz w:val="24"/>
          <w:highlight w:val="none"/>
          <w:lang w:bidi="ar"/>
        </w:rPr>
      </w:pPr>
    </w:p>
    <w:p>
      <w:pPr>
        <w:rPr>
          <w:rFonts w:hint="eastAsia" w:ascii="宋体" w:hAnsi="宋体" w:eastAsia="宋体" w:cs="宋体"/>
          <w:bCs/>
          <w:color w:val="auto"/>
          <w:sz w:val="24"/>
          <w:highlight w:val="none"/>
          <w:lang w:bidi="ar"/>
        </w:rPr>
      </w:pPr>
    </w:p>
    <w:p>
      <w:pPr>
        <w:numPr>
          <w:ilvl w:val="0"/>
          <w:numId w:val="14"/>
        </w:numP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br w:type="page"/>
      </w:r>
      <w:r>
        <w:rPr>
          <w:rFonts w:hint="eastAsia" w:ascii="宋体" w:hAnsi="宋体" w:eastAsia="宋体" w:cs="宋体"/>
          <w:b/>
          <w:color w:val="auto"/>
          <w:szCs w:val="21"/>
          <w:highlight w:val="none"/>
          <w:lang w:bidi="ar"/>
        </w:rPr>
        <w:t>符合性自查表格式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符合性自查表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99"/>
        <w:gridCol w:w="124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noWrap w:val="0"/>
            <w:vAlign w:val="center"/>
          </w:tcPr>
          <w:p>
            <w:pPr>
              <w:jc w:val="cente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评审内容</w:t>
            </w:r>
          </w:p>
        </w:tc>
        <w:tc>
          <w:tcPr>
            <w:tcW w:w="3499" w:type="dxa"/>
            <w:noWrap w:val="0"/>
            <w:vAlign w:val="center"/>
          </w:tcPr>
          <w:p>
            <w:pPr>
              <w:jc w:val="center"/>
              <w:rPr>
                <w:rFonts w:hint="eastAsia" w:ascii="宋体" w:hAnsi="宋体" w:eastAsia="宋体" w:cs="宋体"/>
                <w:color w:val="auto"/>
                <w:sz w:val="20"/>
                <w:szCs w:val="22"/>
                <w:highlight w:val="none"/>
              </w:rPr>
            </w:pPr>
            <w:r>
              <w:rPr>
                <w:rFonts w:hint="eastAsia" w:ascii="宋体" w:hAnsi="宋体" w:cs="宋体"/>
                <w:color w:val="auto"/>
                <w:sz w:val="20"/>
                <w:szCs w:val="22"/>
                <w:highlight w:val="none"/>
                <w:lang w:eastAsia="zh-CN"/>
              </w:rPr>
              <w:t>招标文件</w:t>
            </w:r>
            <w:r>
              <w:rPr>
                <w:rFonts w:hint="eastAsia" w:ascii="宋体" w:hAnsi="宋体" w:eastAsia="宋体" w:cs="宋体"/>
                <w:color w:val="auto"/>
                <w:sz w:val="20"/>
                <w:szCs w:val="22"/>
                <w:highlight w:val="none"/>
              </w:rPr>
              <w:t>要求</w:t>
            </w:r>
          </w:p>
        </w:tc>
        <w:tc>
          <w:tcPr>
            <w:tcW w:w="1240" w:type="dxa"/>
            <w:noWrap w:val="0"/>
            <w:vAlign w:val="center"/>
          </w:tcPr>
          <w:p>
            <w:pPr>
              <w:jc w:val="cente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自查结论</w:t>
            </w:r>
          </w:p>
        </w:tc>
        <w:tc>
          <w:tcPr>
            <w:tcW w:w="2550" w:type="dxa"/>
            <w:noWrap w:val="0"/>
            <w:vAlign w:val="center"/>
          </w:tcPr>
          <w:p>
            <w:pPr>
              <w:jc w:val="cente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restart"/>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符合性审</w:t>
            </w:r>
          </w:p>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查（商务技术文件）</w:t>
            </w:r>
          </w:p>
        </w:tc>
        <w:tc>
          <w:tcPr>
            <w:tcW w:w="3499" w:type="dxa"/>
            <w:noWrap w:val="0"/>
            <w:vAlign w:val="center"/>
          </w:tcPr>
          <w:p>
            <w:pPr>
              <w:tabs>
                <w:tab w:val="left" w:pos="612"/>
              </w:tabs>
              <w:rPr>
                <w:rFonts w:hint="eastAsia" w:ascii="宋体" w:hAnsi="宋体" w:eastAsia="宋体" w:cs="宋体"/>
                <w:color w:val="auto"/>
                <w:sz w:val="20"/>
                <w:szCs w:val="22"/>
                <w:highlight w:val="none"/>
              </w:rPr>
            </w:pPr>
            <w:r>
              <w:rPr>
                <w:rFonts w:hint="eastAsia" w:ascii="宋体" w:hAnsi="宋体" w:eastAsia="宋体" w:cs="宋体"/>
                <w:color w:val="auto"/>
                <w:sz w:val="20"/>
                <w:szCs w:val="20"/>
                <w:highlight w:val="none"/>
              </w:rPr>
              <w:t>（一）</w:t>
            </w:r>
            <w:r>
              <w:rPr>
                <w:rFonts w:hint="eastAsia" w:ascii="宋体" w:hAnsi="宋体" w:eastAsia="宋体" w:cs="宋体"/>
                <w:color w:val="auto"/>
                <w:sz w:val="20"/>
                <w:szCs w:val="22"/>
                <w:highlight w:val="none"/>
              </w:rPr>
              <w:t>投标函已提交并符合</w:t>
            </w:r>
            <w:r>
              <w:rPr>
                <w:rFonts w:hint="eastAsia" w:ascii="宋体" w:hAnsi="宋体" w:cs="宋体"/>
                <w:color w:val="auto"/>
                <w:sz w:val="20"/>
                <w:szCs w:val="22"/>
                <w:highlight w:val="none"/>
                <w:lang w:eastAsia="zh-CN"/>
              </w:rPr>
              <w:t>招标文件</w:t>
            </w:r>
            <w:r>
              <w:rPr>
                <w:rFonts w:hint="eastAsia" w:ascii="宋体" w:hAnsi="宋体" w:eastAsia="宋体" w:cs="宋体"/>
                <w:color w:val="auto"/>
                <w:sz w:val="20"/>
                <w:szCs w:val="22"/>
                <w:highlight w:val="none"/>
              </w:rPr>
              <w:t>要求；</w:t>
            </w:r>
          </w:p>
        </w:tc>
        <w:tc>
          <w:tcPr>
            <w:tcW w:w="124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3499" w:type="dxa"/>
            <w:noWrap w:val="0"/>
            <w:vAlign w:val="center"/>
          </w:tcPr>
          <w:p>
            <w:pPr>
              <w:tabs>
                <w:tab w:val="left" w:pos="612"/>
              </w:tabs>
              <w:rPr>
                <w:rFonts w:hint="eastAsia" w:ascii="宋体" w:hAnsi="宋体" w:eastAsia="宋体" w:cs="宋体"/>
                <w:color w:val="auto"/>
                <w:sz w:val="20"/>
                <w:szCs w:val="22"/>
                <w:highlight w:val="none"/>
              </w:rPr>
            </w:pPr>
            <w:r>
              <w:rPr>
                <w:rFonts w:hint="eastAsia" w:ascii="宋体" w:hAnsi="宋体" w:eastAsia="宋体" w:cs="宋体"/>
                <w:color w:val="auto"/>
                <w:sz w:val="20"/>
                <w:szCs w:val="20"/>
                <w:highlight w:val="none"/>
              </w:rPr>
              <w:t>（二）</w:t>
            </w:r>
            <w:r>
              <w:rPr>
                <w:rFonts w:hint="eastAsia" w:ascii="宋体" w:hAnsi="宋体" w:eastAsia="宋体" w:cs="宋体"/>
                <w:color w:val="auto"/>
                <w:sz w:val="20"/>
                <w:szCs w:val="22"/>
                <w:highlight w:val="none"/>
              </w:rPr>
              <w:t>按照</w:t>
            </w:r>
            <w:r>
              <w:rPr>
                <w:rFonts w:hint="eastAsia" w:ascii="宋体" w:hAnsi="宋体" w:cs="宋体"/>
                <w:color w:val="auto"/>
                <w:sz w:val="20"/>
                <w:szCs w:val="22"/>
                <w:highlight w:val="none"/>
                <w:lang w:eastAsia="zh-CN"/>
              </w:rPr>
              <w:t>招标文件</w:t>
            </w:r>
            <w:r>
              <w:rPr>
                <w:rFonts w:hint="eastAsia" w:ascii="宋体" w:hAnsi="宋体" w:eastAsia="宋体" w:cs="宋体"/>
                <w:color w:val="auto"/>
                <w:sz w:val="20"/>
                <w:szCs w:val="22"/>
                <w:highlight w:val="none"/>
              </w:rPr>
              <w:t>规定要求签署或盖章；</w:t>
            </w:r>
          </w:p>
        </w:tc>
        <w:tc>
          <w:tcPr>
            <w:tcW w:w="124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3499" w:type="dxa"/>
            <w:noWrap w:val="0"/>
            <w:vAlign w:val="center"/>
          </w:tcPr>
          <w:p>
            <w:pPr>
              <w:tabs>
                <w:tab w:val="left" w:pos="612"/>
              </w:tabs>
              <w:rPr>
                <w:rFonts w:hint="eastAsia" w:ascii="宋体" w:hAnsi="宋体" w:eastAsia="宋体" w:cs="宋体"/>
                <w:color w:val="auto"/>
                <w:sz w:val="20"/>
                <w:szCs w:val="22"/>
                <w:highlight w:val="none"/>
              </w:rPr>
            </w:pPr>
            <w:r>
              <w:rPr>
                <w:rFonts w:hint="eastAsia" w:ascii="宋体" w:hAnsi="宋体" w:eastAsia="宋体" w:cs="宋体"/>
                <w:color w:val="auto"/>
                <w:sz w:val="20"/>
                <w:szCs w:val="20"/>
                <w:highlight w:val="none"/>
              </w:rPr>
              <w:t>（三）</w:t>
            </w:r>
            <w:r>
              <w:rPr>
                <w:rFonts w:hint="eastAsia" w:ascii="宋体" w:hAnsi="宋体" w:eastAsia="宋体" w:cs="宋体"/>
                <w:color w:val="auto"/>
                <w:sz w:val="20"/>
                <w:szCs w:val="22"/>
                <w:highlight w:val="none"/>
              </w:rPr>
              <w:t>投标文件有法定代表人签署本人姓名（或印盖本人姓名章），或签署人提供有效的法定代表人授权委托书且授权委托书填写项目齐全的；</w:t>
            </w:r>
          </w:p>
        </w:tc>
        <w:tc>
          <w:tcPr>
            <w:tcW w:w="124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3499" w:type="dxa"/>
            <w:noWrap w:val="0"/>
            <w:vAlign w:val="center"/>
          </w:tcPr>
          <w:p>
            <w:pPr>
              <w:tabs>
                <w:tab w:val="left" w:pos="612"/>
              </w:tabs>
              <w:rPr>
                <w:rFonts w:hint="eastAsia" w:ascii="宋体" w:hAnsi="宋体" w:eastAsia="宋体" w:cs="宋体"/>
                <w:color w:val="auto"/>
                <w:sz w:val="20"/>
                <w:szCs w:val="22"/>
                <w:highlight w:val="none"/>
              </w:rPr>
            </w:pPr>
            <w:r>
              <w:rPr>
                <w:rFonts w:hint="eastAsia" w:ascii="宋体" w:hAnsi="宋体" w:eastAsia="宋体" w:cs="宋体"/>
                <w:color w:val="auto"/>
                <w:sz w:val="20"/>
                <w:szCs w:val="20"/>
                <w:highlight w:val="none"/>
              </w:rPr>
              <w:t>（四）</w:t>
            </w:r>
            <w:r>
              <w:rPr>
                <w:rFonts w:hint="eastAsia" w:ascii="宋体" w:hAnsi="宋体" w:eastAsia="宋体" w:cs="宋体"/>
                <w:color w:val="auto"/>
                <w:sz w:val="20"/>
                <w:szCs w:val="22"/>
                <w:highlight w:val="none"/>
              </w:rPr>
              <w:t>投标文件项目齐全；</w:t>
            </w:r>
          </w:p>
        </w:tc>
        <w:tc>
          <w:tcPr>
            <w:tcW w:w="124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3499" w:type="dxa"/>
            <w:noWrap w:val="0"/>
            <w:vAlign w:val="center"/>
          </w:tcPr>
          <w:p>
            <w:pPr>
              <w:tabs>
                <w:tab w:val="left" w:pos="612"/>
              </w:tabs>
              <w:rPr>
                <w:rFonts w:hint="eastAsia" w:ascii="宋体" w:hAnsi="宋体" w:eastAsia="宋体" w:cs="宋体"/>
                <w:color w:val="auto"/>
                <w:kern w:val="0"/>
                <w:sz w:val="20"/>
                <w:szCs w:val="22"/>
                <w:highlight w:val="none"/>
              </w:rPr>
            </w:pPr>
            <w:r>
              <w:rPr>
                <w:rFonts w:hint="eastAsia" w:ascii="宋体" w:hAnsi="宋体" w:eastAsia="宋体" w:cs="宋体"/>
                <w:color w:val="auto"/>
                <w:sz w:val="20"/>
                <w:szCs w:val="20"/>
                <w:highlight w:val="none"/>
              </w:rPr>
              <w:t>（五）</w:t>
            </w:r>
            <w:r>
              <w:rPr>
                <w:rFonts w:hint="eastAsia" w:ascii="宋体" w:hAnsi="宋体" w:eastAsia="宋体" w:cs="宋体"/>
                <w:color w:val="auto"/>
                <w:sz w:val="20"/>
                <w:szCs w:val="22"/>
                <w:highlight w:val="none"/>
              </w:rPr>
              <w:t>投标文件标明的响应或偏离与事实相符且无虚假投标的；</w:t>
            </w:r>
          </w:p>
        </w:tc>
        <w:tc>
          <w:tcPr>
            <w:tcW w:w="124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3499" w:type="dxa"/>
            <w:noWrap w:val="0"/>
            <w:vAlign w:val="center"/>
          </w:tcPr>
          <w:p>
            <w:pPr>
              <w:tabs>
                <w:tab w:val="left" w:pos="612"/>
              </w:tabs>
              <w:rPr>
                <w:rFonts w:hint="eastAsia" w:ascii="宋体" w:hAnsi="宋体" w:eastAsia="宋体" w:cs="宋体"/>
                <w:color w:val="auto"/>
                <w:sz w:val="20"/>
                <w:szCs w:val="22"/>
                <w:highlight w:val="none"/>
              </w:rPr>
            </w:pPr>
            <w:r>
              <w:rPr>
                <w:rFonts w:hint="eastAsia" w:ascii="宋体" w:hAnsi="宋体" w:eastAsia="宋体" w:cs="宋体"/>
                <w:color w:val="auto"/>
                <w:sz w:val="20"/>
                <w:szCs w:val="20"/>
                <w:highlight w:val="none"/>
              </w:rPr>
              <w:t>（六）</w:t>
            </w:r>
            <w:r>
              <w:rPr>
                <w:rFonts w:hint="eastAsia" w:ascii="宋体" w:hAnsi="宋体" w:eastAsia="宋体" w:cs="宋体"/>
                <w:color w:val="auto"/>
                <w:sz w:val="20"/>
                <w:szCs w:val="22"/>
                <w:highlight w:val="none"/>
              </w:rPr>
              <w:t>投标文件的实质性内容使用中文表述且意思表述明确，前后无矛盾且使用计量单位符合</w:t>
            </w:r>
            <w:r>
              <w:rPr>
                <w:rFonts w:hint="eastAsia" w:ascii="宋体" w:hAnsi="宋体" w:cs="宋体"/>
                <w:color w:val="auto"/>
                <w:sz w:val="20"/>
                <w:szCs w:val="22"/>
                <w:highlight w:val="none"/>
                <w:lang w:eastAsia="zh-CN"/>
              </w:rPr>
              <w:t>招标文件</w:t>
            </w:r>
            <w:r>
              <w:rPr>
                <w:rFonts w:hint="eastAsia" w:ascii="宋体" w:hAnsi="宋体" w:eastAsia="宋体" w:cs="宋体"/>
                <w:color w:val="auto"/>
                <w:sz w:val="20"/>
                <w:szCs w:val="22"/>
                <w:highlight w:val="none"/>
              </w:rPr>
              <w:t>要求的；</w:t>
            </w:r>
          </w:p>
        </w:tc>
        <w:tc>
          <w:tcPr>
            <w:tcW w:w="124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3499" w:type="dxa"/>
            <w:noWrap w:val="0"/>
            <w:vAlign w:val="center"/>
          </w:tcPr>
          <w:p>
            <w:pPr>
              <w:tabs>
                <w:tab w:val="left" w:pos="612"/>
              </w:tabs>
              <w:rPr>
                <w:rFonts w:hint="eastAsia" w:ascii="宋体" w:hAnsi="宋体" w:eastAsia="宋体" w:cs="宋体"/>
                <w:color w:val="auto"/>
                <w:sz w:val="20"/>
                <w:szCs w:val="22"/>
                <w:highlight w:val="none"/>
              </w:rPr>
            </w:pPr>
            <w:r>
              <w:rPr>
                <w:rFonts w:hint="eastAsia" w:ascii="宋体" w:hAnsi="宋体" w:eastAsia="宋体" w:cs="宋体"/>
                <w:color w:val="auto"/>
                <w:sz w:val="20"/>
                <w:szCs w:val="20"/>
                <w:highlight w:val="none"/>
              </w:rPr>
              <w:t>（七）</w:t>
            </w:r>
            <w:r>
              <w:rPr>
                <w:rFonts w:hint="eastAsia" w:ascii="宋体" w:hAnsi="宋体" w:eastAsia="宋体" w:cs="宋体"/>
                <w:color w:val="auto"/>
                <w:sz w:val="20"/>
                <w:szCs w:val="22"/>
                <w:highlight w:val="none"/>
              </w:rPr>
              <w:t>带“★”的条款满足</w:t>
            </w:r>
            <w:r>
              <w:rPr>
                <w:rFonts w:hint="eastAsia" w:ascii="宋体" w:hAnsi="宋体" w:cs="宋体"/>
                <w:color w:val="auto"/>
                <w:sz w:val="20"/>
                <w:szCs w:val="22"/>
                <w:highlight w:val="none"/>
                <w:lang w:eastAsia="zh-CN"/>
              </w:rPr>
              <w:t>招标文件</w:t>
            </w:r>
            <w:r>
              <w:rPr>
                <w:rFonts w:hint="eastAsia" w:ascii="宋体" w:hAnsi="宋体" w:eastAsia="宋体" w:cs="宋体"/>
                <w:color w:val="auto"/>
                <w:sz w:val="20"/>
                <w:szCs w:val="22"/>
                <w:highlight w:val="none"/>
              </w:rPr>
              <w:t>要求、已实质性响应</w:t>
            </w:r>
            <w:r>
              <w:rPr>
                <w:rFonts w:hint="eastAsia" w:ascii="宋体" w:hAnsi="宋体" w:cs="宋体"/>
                <w:color w:val="auto"/>
                <w:sz w:val="20"/>
                <w:szCs w:val="22"/>
                <w:highlight w:val="none"/>
                <w:lang w:eastAsia="zh-CN"/>
              </w:rPr>
              <w:t>招标文件</w:t>
            </w:r>
            <w:r>
              <w:rPr>
                <w:rFonts w:hint="eastAsia" w:ascii="宋体" w:hAnsi="宋体" w:eastAsia="宋体" w:cs="宋体"/>
                <w:color w:val="auto"/>
                <w:sz w:val="20"/>
                <w:szCs w:val="22"/>
                <w:highlight w:val="none"/>
              </w:rPr>
              <w:t>要求且投标文件无采购人不能接受的附加条件的；</w:t>
            </w:r>
          </w:p>
        </w:tc>
        <w:tc>
          <w:tcPr>
            <w:tcW w:w="124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3499" w:type="dxa"/>
            <w:noWrap w:val="0"/>
            <w:vAlign w:val="center"/>
          </w:tcPr>
          <w:p>
            <w:pPr>
              <w:tabs>
                <w:tab w:val="left" w:pos="612"/>
              </w:tabs>
              <w:rPr>
                <w:rFonts w:hint="eastAsia" w:ascii="宋体" w:hAnsi="宋体" w:eastAsia="宋体" w:cs="宋体"/>
                <w:color w:val="auto"/>
                <w:kern w:val="2"/>
                <w:sz w:val="20"/>
                <w:szCs w:val="22"/>
                <w:highlight w:val="none"/>
                <w:lang w:val="en-US" w:eastAsia="zh-CN" w:bidi="ar-SA"/>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八</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2"/>
                <w:highlight w:val="none"/>
              </w:rPr>
              <w:t>投标技术方案明确，不存在一个或一个以上备选（替代）投标方案的；</w:t>
            </w:r>
          </w:p>
        </w:tc>
        <w:tc>
          <w:tcPr>
            <w:tcW w:w="124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3499" w:type="dxa"/>
            <w:noWrap w:val="0"/>
            <w:vAlign w:val="center"/>
          </w:tcPr>
          <w:p>
            <w:pPr>
              <w:tabs>
                <w:tab w:val="left" w:pos="612"/>
              </w:tabs>
              <w:rPr>
                <w:rFonts w:hint="eastAsia" w:ascii="宋体" w:hAnsi="宋体" w:eastAsia="宋体" w:cs="宋体"/>
                <w:color w:val="auto"/>
                <w:kern w:val="2"/>
                <w:sz w:val="20"/>
                <w:szCs w:val="22"/>
                <w:highlight w:val="none"/>
                <w:lang w:val="en-US" w:eastAsia="zh-CN" w:bidi="ar-SA"/>
              </w:rPr>
            </w:pP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九</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2"/>
                <w:highlight w:val="none"/>
              </w:rPr>
              <w:t>商务技术文件中未出现报价或单价的；</w:t>
            </w:r>
          </w:p>
        </w:tc>
        <w:tc>
          <w:tcPr>
            <w:tcW w:w="124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3499" w:type="dxa"/>
            <w:noWrap w:val="0"/>
            <w:vAlign w:val="center"/>
          </w:tcPr>
          <w:p>
            <w:pPr>
              <w:tabs>
                <w:tab w:val="left" w:pos="612"/>
              </w:tabs>
              <w:rPr>
                <w:rFonts w:hint="eastAsia" w:ascii="宋体" w:hAnsi="宋体" w:eastAsia="宋体" w:cs="宋体"/>
                <w:color w:val="auto"/>
                <w:kern w:val="2"/>
                <w:sz w:val="20"/>
                <w:szCs w:val="22"/>
                <w:highlight w:val="none"/>
                <w:lang w:val="en-US" w:eastAsia="zh-CN" w:bidi="ar-SA"/>
              </w:rPr>
            </w:pPr>
            <w:r>
              <w:rPr>
                <w:rFonts w:hint="eastAsia" w:ascii="宋体" w:hAnsi="宋体" w:eastAsia="宋体" w:cs="宋体"/>
                <w:color w:val="auto"/>
                <w:sz w:val="20"/>
                <w:szCs w:val="20"/>
                <w:highlight w:val="none"/>
              </w:rPr>
              <w:t>（十）</w:t>
            </w:r>
            <w:r>
              <w:rPr>
                <w:rFonts w:hint="eastAsia" w:ascii="宋体" w:hAnsi="宋体" w:eastAsia="宋体" w:cs="宋体"/>
                <w:color w:val="auto"/>
                <w:sz w:val="20"/>
                <w:szCs w:val="22"/>
                <w:highlight w:val="none"/>
              </w:rPr>
              <w:t>不存在法律、法规和</w:t>
            </w:r>
            <w:r>
              <w:rPr>
                <w:rFonts w:hint="eastAsia" w:ascii="宋体" w:hAnsi="宋体" w:cs="宋体"/>
                <w:color w:val="auto"/>
                <w:sz w:val="20"/>
                <w:szCs w:val="22"/>
                <w:highlight w:val="none"/>
                <w:lang w:eastAsia="zh-CN"/>
              </w:rPr>
              <w:t>招标文件</w:t>
            </w:r>
            <w:r>
              <w:rPr>
                <w:rFonts w:hint="eastAsia" w:ascii="宋体" w:hAnsi="宋体" w:eastAsia="宋体" w:cs="宋体"/>
                <w:color w:val="auto"/>
                <w:sz w:val="20"/>
                <w:szCs w:val="22"/>
                <w:highlight w:val="none"/>
              </w:rPr>
              <w:t>规定的其他无效情形；</w:t>
            </w:r>
          </w:p>
        </w:tc>
        <w:tc>
          <w:tcPr>
            <w:tcW w:w="124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noWrap w:val="0"/>
            <w:vAlign w:val="center"/>
          </w:tcPr>
          <w:p>
            <w:pPr>
              <w:rPr>
                <w:rFonts w:hint="eastAsia" w:ascii="宋体" w:hAnsi="宋体" w:eastAsia="宋体" w:cs="宋体"/>
                <w:color w:val="auto"/>
                <w:sz w:val="20"/>
                <w:szCs w:val="22"/>
                <w:highlight w:val="none"/>
              </w:rPr>
            </w:pPr>
          </w:p>
        </w:tc>
        <w:tc>
          <w:tcPr>
            <w:tcW w:w="3499" w:type="dxa"/>
            <w:noWrap w:val="0"/>
            <w:vAlign w:val="center"/>
          </w:tcPr>
          <w:p>
            <w:pPr>
              <w:tabs>
                <w:tab w:val="left" w:pos="612"/>
              </w:tabs>
              <w:rPr>
                <w:rFonts w:hint="eastAsia" w:ascii="宋体" w:hAnsi="宋体" w:eastAsia="宋体" w:cs="宋体"/>
                <w:color w:val="auto"/>
                <w:kern w:val="2"/>
                <w:sz w:val="20"/>
                <w:szCs w:val="22"/>
                <w:highlight w:val="none"/>
                <w:lang w:val="en-US" w:eastAsia="zh-CN" w:bidi="ar-SA"/>
              </w:rPr>
            </w:pPr>
            <w:r>
              <w:rPr>
                <w:rFonts w:hint="eastAsia" w:ascii="宋体" w:hAnsi="宋体" w:eastAsia="宋体" w:cs="宋体"/>
                <w:color w:val="auto"/>
                <w:sz w:val="20"/>
                <w:szCs w:val="20"/>
                <w:highlight w:val="none"/>
              </w:rPr>
              <w:t>（十</w:t>
            </w:r>
            <w:r>
              <w:rPr>
                <w:rFonts w:hint="eastAsia" w:ascii="宋体" w:hAnsi="宋体" w:eastAsia="宋体" w:cs="宋体"/>
                <w:color w:val="auto"/>
                <w:sz w:val="20"/>
                <w:szCs w:val="20"/>
                <w:highlight w:val="none"/>
                <w:lang w:eastAsia="zh-CN"/>
              </w:rPr>
              <w:t>一</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2"/>
                <w:highlight w:val="none"/>
              </w:rPr>
              <w:t>不存在投标文件的有效期不满足</w:t>
            </w:r>
            <w:r>
              <w:rPr>
                <w:rFonts w:hint="eastAsia" w:ascii="宋体" w:hAnsi="宋体" w:cs="宋体"/>
                <w:color w:val="auto"/>
                <w:sz w:val="20"/>
                <w:szCs w:val="22"/>
                <w:highlight w:val="none"/>
                <w:lang w:eastAsia="zh-CN"/>
              </w:rPr>
              <w:t>招标文件</w:t>
            </w:r>
            <w:r>
              <w:rPr>
                <w:rFonts w:hint="eastAsia" w:ascii="宋体" w:hAnsi="宋体" w:eastAsia="宋体" w:cs="宋体"/>
                <w:color w:val="auto"/>
                <w:sz w:val="20"/>
                <w:szCs w:val="22"/>
                <w:highlight w:val="none"/>
              </w:rPr>
              <w:t>要求情形；</w:t>
            </w:r>
          </w:p>
        </w:tc>
        <w:tc>
          <w:tcPr>
            <w:tcW w:w="124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 xml:space="preserve">□通过 </w:t>
            </w:r>
          </w:p>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□不通过</w:t>
            </w:r>
          </w:p>
        </w:tc>
        <w:tc>
          <w:tcPr>
            <w:tcW w:w="2550" w:type="dxa"/>
            <w:noWrap w:val="0"/>
            <w:vAlign w:val="center"/>
          </w:tcPr>
          <w:p>
            <w:pP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rPr>
              <w:t>第（ ）页</w:t>
            </w:r>
          </w:p>
        </w:tc>
      </w:tr>
    </w:tbl>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备注：符合性自查表将作为投标供应商有效性审查的重要内容之一，投标供应商必须严格按照其内容及序列要求在投标文件中对应如实提供，对证明文件的任何缺漏和不符合项将会直接导致投标无效！ </w:t>
      </w:r>
    </w:p>
    <w:p>
      <w:pPr>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2</w:t>
      </w:r>
      <w:r>
        <w:rPr>
          <w:rFonts w:hint="eastAsia" w:ascii="宋体" w:hAnsi="宋体" w:eastAsia="宋体" w:cs="宋体"/>
          <w:b/>
          <w:color w:val="auto"/>
          <w:szCs w:val="21"/>
          <w:highlight w:val="none"/>
          <w:lang w:bidi="ar"/>
        </w:rPr>
        <w:t>）供应商响应表格式</w:t>
      </w: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供应商响应表</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项目</w:t>
      </w:r>
      <w:r>
        <w:rPr>
          <w:rFonts w:hint="eastAsia" w:ascii="宋体" w:hAnsi="宋体" w:cs="宋体"/>
          <w:color w:val="auto"/>
          <w:highlight w:val="none"/>
          <w:lang w:eastAsia="zh-CN"/>
        </w:rPr>
        <w:t>名称</w:t>
      </w:r>
      <w:r>
        <w:rPr>
          <w:rFonts w:hint="eastAsia" w:ascii="宋体" w:hAnsi="宋体" w:eastAsia="宋体" w:cs="宋体"/>
          <w:color w:val="auto"/>
          <w:highlight w:val="none"/>
        </w:rPr>
        <w:t>：</w:t>
      </w:r>
    </w:p>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lang w:val="en-US" w:eastAsia="zh-CN"/>
        </w:rPr>
        <w:t xml:space="preserve">                                                  </w:t>
      </w:r>
    </w:p>
    <w:tbl>
      <w:tblPr>
        <w:tblStyle w:val="47"/>
        <w:tblW w:w="0" w:type="auto"/>
        <w:tblInd w:w="93" w:type="dxa"/>
        <w:tblLayout w:type="fixed"/>
        <w:tblCellMar>
          <w:top w:w="0" w:type="dxa"/>
          <w:left w:w="108" w:type="dxa"/>
          <w:bottom w:w="0" w:type="dxa"/>
          <w:right w:w="108" w:type="dxa"/>
        </w:tblCellMar>
      </w:tblPr>
      <w:tblGrid>
        <w:gridCol w:w="574"/>
        <w:gridCol w:w="4942"/>
        <w:gridCol w:w="1460"/>
        <w:gridCol w:w="1460"/>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评审内容</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自评分</w:t>
            </w: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证明文件</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4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见（  ）页</w:t>
            </w:r>
          </w:p>
        </w:tc>
      </w:tr>
    </w:tbl>
    <w:p>
      <w:pPr>
        <w:rPr>
          <w:rFonts w:hint="eastAsia" w:ascii="宋体" w:hAnsi="宋体" w:eastAsia="宋体" w:cs="宋体"/>
          <w:b/>
          <w:color w:val="auto"/>
          <w:highlight w:val="none"/>
        </w:rPr>
      </w:pPr>
      <w:r>
        <w:rPr>
          <w:rFonts w:hint="eastAsia" w:ascii="宋体" w:hAnsi="宋体" w:eastAsia="宋体" w:cs="宋体"/>
          <w:b/>
          <w:color w:val="auto"/>
          <w:highlight w:val="none"/>
        </w:rPr>
        <w:t>注：根据评分标准内容逐条填写并自行评分</w:t>
      </w:r>
      <w:r>
        <w:rPr>
          <w:rFonts w:hint="eastAsia" w:ascii="宋体" w:hAnsi="宋体" w:eastAsia="宋体" w:cs="宋体"/>
          <w:b/>
          <w:color w:val="auto"/>
          <w:szCs w:val="21"/>
          <w:highlight w:val="none"/>
          <w:lang w:bidi="ar"/>
        </w:rPr>
        <w:t>（价格分部分除外）</w:t>
      </w:r>
      <w:r>
        <w:rPr>
          <w:rFonts w:hint="eastAsia" w:ascii="宋体" w:hAnsi="宋体" w:eastAsia="宋体" w:cs="宋体"/>
          <w:b/>
          <w:color w:val="auto"/>
          <w:highlight w:val="none"/>
        </w:rPr>
        <w:t>。</w:t>
      </w:r>
    </w:p>
    <w:p>
      <w:pPr>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ind w:firstLine="6090" w:firstLineChars="2900"/>
        <w:rPr>
          <w:rFonts w:hint="eastAsia" w:ascii="宋体" w:hAnsi="宋体" w:eastAsia="宋体" w:cs="宋体"/>
          <w:color w:val="auto"/>
          <w:highlight w:val="none"/>
        </w:rPr>
      </w:pPr>
      <w:r>
        <w:rPr>
          <w:rFonts w:hint="eastAsia" w:ascii="宋体" w:hAnsi="宋体" w:eastAsia="宋体" w:cs="宋体"/>
          <w:color w:val="auto"/>
          <w:highlight w:val="none"/>
        </w:rPr>
        <w:t>供应商名称：</w:t>
      </w:r>
    </w:p>
    <w:p>
      <w:pPr>
        <w:rPr>
          <w:rFonts w:hint="eastAsia" w:ascii="宋体" w:hAnsi="宋体" w:eastAsia="宋体" w:cs="宋体"/>
          <w:color w:val="auto"/>
          <w:highlight w:val="none"/>
        </w:rPr>
      </w:pPr>
    </w:p>
    <w:p>
      <w:pPr>
        <w:ind w:firstLine="6090" w:firstLineChars="2900"/>
        <w:rPr>
          <w:rFonts w:hint="eastAsia" w:ascii="宋体" w:hAnsi="宋体" w:eastAsia="宋体" w:cs="宋体"/>
          <w:color w:val="auto"/>
          <w:highlight w:val="none"/>
        </w:rPr>
      </w:pPr>
      <w:r>
        <w:rPr>
          <w:rFonts w:hint="eastAsia" w:ascii="宋体" w:hAnsi="宋体" w:eastAsia="宋体" w:cs="宋体"/>
          <w:color w:val="auto"/>
          <w:highlight w:val="none"/>
        </w:rPr>
        <w:t>年  月  日</w:t>
      </w: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3</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商务条款偏离表格式</w:t>
      </w:r>
    </w:p>
    <w:p>
      <w:pPr>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商务条款偏离表</w:t>
      </w:r>
    </w:p>
    <w:p>
      <w:pPr>
        <w:rPr>
          <w:rFonts w:hint="eastAsia" w:ascii="宋体" w:hAnsi="宋体" w:eastAsia="宋体" w:cs="宋体"/>
          <w:color w:val="auto"/>
          <w:highlight w:val="none"/>
        </w:rPr>
      </w:pPr>
      <w:r>
        <w:rPr>
          <w:rFonts w:hint="eastAsia" w:ascii="宋体" w:hAnsi="宋体" w:eastAsia="宋体" w:cs="宋体"/>
          <w:color w:val="auto"/>
          <w:highlight w:val="none"/>
        </w:rPr>
        <w:t>项目</w:t>
      </w:r>
      <w:r>
        <w:rPr>
          <w:rFonts w:hint="eastAsia" w:ascii="宋体" w:hAnsi="宋体" w:cs="宋体"/>
          <w:color w:val="auto"/>
          <w:highlight w:val="none"/>
          <w:lang w:eastAsia="zh-CN"/>
        </w:rPr>
        <w:t>名称</w:t>
      </w:r>
      <w:r>
        <w:rPr>
          <w:rFonts w:hint="eastAsia" w:ascii="宋体" w:hAnsi="宋体" w:eastAsia="宋体" w:cs="宋体"/>
          <w:color w:val="auto"/>
          <w:highlight w:val="none"/>
        </w:rPr>
        <w:t>：</w:t>
      </w:r>
    </w:p>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lang w:val="en-US" w:eastAsia="zh-CN"/>
        </w:rPr>
        <w:t xml:space="preserve">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4647"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cs="宋体"/>
                <w:color w:val="auto"/>
                <w:highlight w:val="none"/>
                <w:lang w:eastAsia="zh-CN"/>
              </w:rPr>
              <w:t>招标文件</w:t>
            </w:r>
            <w:r>
              <w:rPr>
                <w:rFonts w:hint="eastAsia" w:ascii="宋体" w:hAnsi="宋体" w:eastAsia="宋体" w:cs="宋体"/>
                <w:color w:val="auto"/>
                <w:highlight w:val="none"/>
              </w:rPr>
              <w:t>的商务条款</w:t>
            </w:r>
          </w:p>
        </w:tc>
        <w:tc>
          <w:tcPr>
            <w:tcW w:w="157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w:t>
            </w: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响应情况</w:t>
            </w:r>
          </w:p>
        </w:tc>
        <w:tc>
          <w:tcPr>
            <w:tcW w:w="118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bl>
    <w:p>
      <w:pPr>
        <w:rPr>
          <w:rFonts w:hint="eastAsia" w:ascii="宋体" w:hAnsi="宋体" w:eastAsia="宋体" w:cs="宋体"/>
          <w:color w:val="auto"/>
          <w:highlight w:val="none"/>
        </w:rPr>
      </w:pPr>
      <w:r>
        <w:rPr>
          <w:rFonts w:hint="eastAsia" w:ascii="宋体" w:hAnsi="宋体" w:eastAsia="宋体" w:cs="宋体"/>
          <w:color w:val="auto"/>
          <w:highlight w:val="none"/>
        </w:rPr>
        <w:t>供应商须按第二章《采购需求》</w:t>
      </w:r>
      <w:r>
        <w:rPr>
          <w:rFonts w:hint="eastAsia" w:ascii="宋体" w:hAnsi="宋体" w:eastAsia="宋体" w:cs="宋体"/>
          <w:color w:val="auto"/>
          <w:szCs w:val="21"/>
          <w:highlight w:val="none"/>
        </w:rPr>
        <w:t>“</w:t>
      </w:r>
      <w:r>
        <w:rPr>
          <w:rFonts w:hint="eastAsia" w:ascii="宋体" w:hAnsi="宋体" w:eastAsia="宋体" w:cs="宋体"/>
          <w:color w:val="auto"/>
          <w:highlight w:val="none"/>
        </w:rPr>
        <w:t>一、重要商务要求一览表”逐项填写，并根据“第五章 政府采购合同主要条款”内容自行补充。</w:t>
      </w:r>
    </w:p>
    <w:p>
      <w:pPr>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firstLine="4095" w:firstLineChars="1950"/>
        <w:rPr>
          <w:rFonts w:hint="eastAsia" w:ascii="宋体" w:hAnsi="宋体" w:eastAsia="宋体" w:cs="宋体"/>
          <w:color w:val="auto"/>
          <w:highlight w:val="none"/>
        </w:rPr>
      </w:pPr>
      <w:r>
        <w:rPr>
          <w:rFonts w:hint="eastAsia" w:ascii="宋体" w:hAnsi="宋体" w:eastAsia="宋体" w:cs="宋体"/>
          <w:color w:val="auto"/>
          <w:highlight w:val="none"/>
        </w:rPr>
        <w:t xml:space="preserve">法定代表人或授权代表（签名或印章）：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供应商盖章：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日  期：        </w:t>
      </w:r>
    </w:p>
    <w:p>
      <w:pPr>
        <w:pageBreakBefore w:val="0"/>
        <w:kinsoku/>
        <w:overflowPunct/>
        <w:topLinePunct w:val="0"/>
        <w:bidi w:val="0"/>
        <w:snapToGrid w:val="0"/>
        <w:spacing w:before="120" w:beforeLines="50" w:after="50"/>
        <w:outlineLvl w:val="9"/>
        <w:rPr>
          <w:rFonts w:hint="eastAsia" w:ascii="Times New Roman" w:hAnsi="宋体" w:eastAsia="宋体" w:cs="宋体"/>
          <w:b/>
          <w:bCs/>
          <w:sz w:val="21"/>
        </w:rPr>
      </w:pPr>
      <w:r>
        <w:rPr>
          <w:rFonts w:hint="eastAsia" w:ascii="Times New Roman" w:hAnsi="宋体" w:eastAsia="宋体" w:cs="宋体"/>
          <w:b/>
          <w:bCs/>
          <w:sz w:val="21"/>
        </w:rPr>
        <w:t>注：联合体投标的，可只由联合体牵头人签章。</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before="120" w:beforeLines="50" w:after="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4</w:t>
      </w:r>
      <w:r>
        <w:rPr>
          <w:rFonts w:hint="eastAsia" w:ascii="宋体" w:hAnsi="宋体" w:eastAsia="宋体" w:cs="宋体"/>
          <w:b/>
          <w:color w:val="auto"/>
          <w:szCs w:val="21"/>
          <w:highlight w:val="none"/>
          <w:lang w:bidi="ar"/>
        </w:rPr>
        <w:t>）</w:t>
      </w:r>
      <w:r>
        <w:rPr>
          <w:rFonts w:hint="eastAsia" w:ascii="宋体" w:hAnsi="宋体" w:eastAsia="宋体" w:cs="宋体"/>
          <w:b/>
          <w:bCs/>
          <w:color w:val="auto"/>
          <w:szCs w:val="21"/>
          <w:highlight w:val="none"/>
        </w:rPr>
        <w:t>投标函格式</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 标 函</w:t>
      </w:r>
    </w:p>
    <w:p>
      <w:pPr>
        <w:spacing w:before="120" w:beforeLines="50" w:after="50"/>
        <w:jc w:val="center"/>
        <w:rPr>
          <w:rFonts w:hint="eastAsia" w:ascii="宋体" w:hAnsi="宋体" w:eastAsia="宋体" w:cs="宋体"/>
          <w:b/>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（招标采购单位名称）：</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项目的采购公告/投标邀请书（项目编号：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（全名）经正式授权并代表供应商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（供应商名称）提交投标文件。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据此函，授权代表宣布同意如下：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1.供应商已详细审查全部“</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”，包括修改文件（如有的话）以及全部参考资料和有关附件，已经了解我方对于</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、采购过程、采购结果有依法进行询问、质疑、投诉的权利及相关渠道和要求。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2.供应商在投标之前已经与贵方进行了充分的沟通，完全理解并接受</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的各项规定和要求，对</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的合理性、合法性不再有异议。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3.本投标有效期自开标日起90个日历日。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4.如中标，本投标文件至本项目合同履行完毕止均保持有效，本供应商将按“</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rPr>
        <w:t>”及政府采购法律、法规的规定履行合同责任和义务。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5.供应商同意按照贵方要求提供与投标有关的一切数据或资料。</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我们郑重声明：本投标文件提供的情况和文件完全是真实的。</w:t>
      </w:r>
    </w:p>
    <w:p>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按照</w:t>
      </w:r>
      <w:r>
        <w:rPr>
          <w:rFonts w:hint="eastAsia" w:ascii="宋体" w:hAnsi="宋体" w:cs="宋体"/>
          <w:color w:val="auto"/>
          <w:szCs w:val="21"/>
          <w:highlight w:val="none"/>
          <w:lang w:eastAsia="zh-CN"/>
        </w:rPr>
        <w:t>招标文件</w:t>
      </w:r>
      <w:r>
        <w:rPr>
          <w:rFonts w:hint="eastAsia" w:ascii="宋体" w:hAnsi="宋体" w:eastAsia="宋体" w:cs="宋体"/>
          <w:color w:val="auto"/>
          <w:szCs w:val="21"/>
          <w:highlight w:val="none"/>
          <w:lang w:val="zh-CN"/>
        </w:rPr>
        <w:t>的规定，在中标后向</w:t>
      </w:r>
      <w:r>
        <w:rPr>
          <w:rFonts w:hint="eastAsia" w:ascii="宋体" w:hAnsi="宋体" w:eastAsia="宋体" w:cs="宋体"/>
          <w:color w:val="auto"/>
          <w:szCs w:val="21"/>
          <w:highlight w:val="none"/>
        </w:rPr>
        <w:t>采购代理机构</w:t>
      </w:r>
      <w:r>
        <w:rPr>
          <w:rFonts w:hint="eastAsia" w:ascii="宋体" w:hAnsi="宋体" w:eastAsia="宋体" w:cs="宋体"/>
          <w:color w:val="auto"/>
          <w:szCs w:val="21"/>
          <w:highlight w:val="none"/>
          <w:lang w:val="zh-CN"/>
        </w:rPr>
        <w:t>一次性支付招标代理费。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8.与本投标有关的一切正式往来信函请寄：</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邮编：__________   电话：______________</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传真：______________供应商代表姓名 ___________  职务：______</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_______</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供应商名称(公章):___________________</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before="50" w:after="120" w:afterLine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:___________          日期:_____年___月___日</w:t>
      </w:r>
    </w:p>
    <w:p>
      <w:pPr>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pageBreakBefore w:val="0"/>
        <w:kinsoku/>
        <w:overflowPunct/>
        <w:topLinePunct w:val="0"/>
        <w:bidi w:val="0"/>
        <w:snapToGrid w:val="0"/>
        <w:outlineLvl w:val="9"/>
        <w:rPr>
          <w:rFonts w:hint="eastAsia" w:ascii="宋体" w:hAnsi="宋体" w:eastAsia="宋体" w:cs="宋体"/>
          <w:color w:val="auto"/>
          <w:szCs w:val="21"/>
          <w:highlight w:val="none"/>
        </w:rPr>
      </w:pPr>
      <w:r>
        <w:rPr>
          <w:rFonts w:hint="eastAsia" w:ascii="Times New Roman" w:hAnsi="宋体" w:eastAsia="宋体" w:cs="宋体"/>
          <w:b/>
          <w:bCs/>
          <w:sz w:val="21"/>
        </w:rPr>
        <w:t>注：联合体投标的，可只由联合体牵头人签章。</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5</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法定代表人身份证明或法定代表人授权委托书格式</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法定代表人身份证明</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周岁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_</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w:t>
      </w:r>
    </w:p>
    <w:p>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wordWrap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（盖单位公章）</w:t>
      </w:r>
    </w:p>
    <w:p>
      <w:pPr>
        <w:spacing w:line="360" w:lineRule="auto"/>
        <w:ind w:firstLine="4515" w:firstLineChars="2150"/>
        <w:rPr>
          <w:rFonts w:hint="eastAsia" w:ascii="宋体" w:hAnsi="宋体" w:eastAsia="宋体" w:cs="宋体"/>
          <w:color w:val="auto"/>
          <w:szCs w:val="21"/>
          <w:highlight w:val="none"/>
          <w:u w:val="single"/>
        </w:rPr>
      </w:pPr>
    </w:p>
    <w:p>
      <w:pPr>
        <w:spacing w:line="360" w:lineRule="auto"/>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附法定代表人身份证复印件（正反面）：</w:t>
      </w:r>
    </w:p>
    <w:p>
      <w:pPr>
        <w:jc w:val="center"/>
        <w:rPr>
          <w:rFonts w:hint="eastAsia" w:ascii="宋体" w:hAnsi="宋体" w:eastAsia="宋体" w:cs="宋体"/>
          <w:b/>
          <w:color w:val="auto"/>
          <w:szCs w:val="21"/>
          <w:highlight w:val="none"/>
        </w:rPr>
      </w:pPr>
    </w:p>
    <w:p>
      <w:pPr>
        <w:jc w:val="center"/>
        <w:rPr>
          <w:rFonts w:hint="eastAsia" w:ascii="宋体" w:hAnsi="宋体" w:eastAsia="宋体" w:cs="宋体"/>
          <w:b/>
          <w:color w:val="auto"/>
          <w:szCs w:val="21"/>
          <w:highlight w:val="none"/>
        </w:rPr>
      </w:pPr>
    </w:p>
    <w:p>
      <w:pPr>
        <w:jc w:val="center"/>
        <w:rPr>
          <w:rFonts w:hint="eastAsia" w:ascii="宋体" w:hAnsi="宋体" w:eastAsia="宋体" w:cs="宋体"/>
          <w:b/>
          <w:color w:val="auto"/>
          <w:szCs w:val="21"/>
          <w:highlight w:val="none"/>
        </w:rPr>
      </w:pPr>
    </w:p>
    <w:p>
      <w:pPr>
        <w:jc w:val="center"/>
        <w:rPr>
          <w:rFonts w:hint="eastAsia" w:ascii="宋体" w:hAnsi="宋体" w:eastAsia="宋体" w:cs="宋体"/>
          <w:b/>
          <w:color w:val="auto"/>
          <w:szCs w:val="21"/>
          <w:highlight w:val="none"/>
        </w:rPr>
      </w:pPr>
    </w:p>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注：联合体投标的，可只由联合体牵头人签章。</w:t>
      </w:r>
    </w:p>
    <w:p>
      <w:pPr>
        <w:jc w:val="center"/>
        <w:rPr>
          <w:rFonts w:hint="eastAsia" w:ascii="宋体" w:hAnsi="宋体" w:eastAsia="宋体" w:cs="宋体"/>
          <w:b/>
          <w:color w:val="auto"/>
          <w:szCs w:val="21"/>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32"/>
          <w:szCs w:val="32"/>
          <w:highlight w:val="none"/>
        </w:rPr>
        <w:t>法定代表人授权委托书</w:t>
      </w:r>
    </w:p>
    <w:p>
      <w:pPr>
        <w:jc w:val="center"/>
        <w:rPr>
          <w:rFonts w:hint="eastAsia" w:ascii="宋体" w:hAnsi="宋体" w:eastAsia="宋体" w:cs="宋体"/>
          <w:b/>
          <w:color w:val="auto"/>
          <w:sz w:val="32"/>
          <w:szCs w:val="32"/>
          <w:highlight w:val="none"/>
        </w:rPr>
      </w:pPr>
      <w:r>
        <w:rPr>
          <w:rFonts w:hint="eastAsia" w:ascii="宋体" w:hAnsi="宋体" w:eastAsia="宋体" w:cs="宋体"/>
          <w:bCs/>
          <w:color w:val="auto"/>
          <w:sz w:val="24"/>
          <w:highlight w:val="none"/>
        </w:rPr>
        <w:t>（法定代表人来投标的，此表不用）</w:t>
      </w: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（采购人名称）</w:t>
      </w:r>
      <w:r>
        <w:rPr>
          <w:rFonts w:hint="eastAsia" w:ascii="宋体" w:hAnsi="宋体" w:eastAsia="宋体" w:cs="宋体"/>
          <w:b/>
          <w:bCs/>
          <w:color w:val="auto"/>
          <w:szCs w:val="21"/>
          <w:highlight w:val="non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（供应商名称）的法定代表人，现授权委托本单位在职职工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（姓名）以我方的名义参加</w:t>
      </w:r>
      <w:r>
        <w:rPr>
          <w:rFonts w:hint="eastAsia" w:ascii="宋体" w:hAnsi="宋体" w:eastAsia="宋体" w:cs="宋体"/>
          <w:color w:val="auto"/>
          <w:szCs w:val="21"/>
          <w:highlight w:val="none"/>
          <w:u w:val="single"/>
        </w:rPr>
        <w:t xml:space="preserve">                       政府采购 </w:t>
      </w:r>
      <w:r>
        <w:rPr>
          <w:rFonts w:hint="eastAsia" w:ascii="宋体" w:hAnsi="宋体" w:eastAsia="宋体" w:cs="宋体"/>
          <w:color w:val="auto"/>
          <w:szCs w:val="21"/>
          <w:highlight w:val="none"/>
        </w:rPr>
        <w:t>项目的投标活动，并代表我方全权办理针对上述项目的投标、开标、评标、签约等具体事务和签署相关文件。</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我方对授权代表的签名事项负全部责任。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在撤销授权的书面通知以前，本授权书一直有效。授权代表在授权书有效期内签署的所有文件不因授权的撤销而失效。</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授权代表无转委托权，特此委托。</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授权代表</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highlight w:val="none"/>
        </w:rPr>
        <w:t>（签名或印章）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p>
    <w:p>
      <w:pPr>
        <w:spacing w:line="360" w:lineRule="auto"/>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供应商公章：</w:t>
      </w:r>
    </w:p>
    <w:p>
      <w:pPr>
        <w:spacing w:line="360" w:lineRule="auto"/>
        <w:ind w:firstLine="4830" w:firstLineChars="2300"/>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Cs w:val="21"/>
          <w:highlight w:val="none"/>
        </w:rPr>
      </w:pPr>
    </w:p>
    <w:p>
      <w:pPr>
        <w:spacing w:before="50" w:after="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附：授权代表身份证复印件（正反面）及开标日前近三个月内</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其中一月即可</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当地相关部门出具的社保证明。</w:t>
      </w:r>
    </w:p>
    <w:p>
      <w:pPr>
        <w:spacing w:line="360" w:lineRule="auto"/>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注：联合体投标的，可只由联合体牵头人签章。</w:t>
      </w: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6</w:t>
      </w:r>
      <w:r>
        <w:rPr>
          <w:rFonts w:hint="eastAsia" w:ascii="宋体" w:hAnsi="宋体" w:eastAsia="宋体" w:cs="宋体"/>
          <w:b/>
          <w:color w:val="auto"/>
          <w:szCs w:val="21"/>
          <w:highlight w:val="none"/>
          <w:lang w:bidi="ar"/>
        </w:rPr>
        <w:t>）技术（服务）条款偏离表</w:t>
      </w:r>
      <w:r>
        <w:rPr>
          <w:rFonts w:hint="eastAsia" w:ascii="宋体" w:hAnsi="宋体" w:eastAsia="宋体" w:cs="宋体"/>
          <w:b/>
          <w:color w:val="auto"/>
          <w:szCs w:val="21"/>
          <w:highlight w:val="none"/>
        </w:rPr>
        <w:t>格式</w:t>
      </w:r>
    </w:p>
    <w:p>
      <w:pPr>
        <w:rPr>
          <w:rFonts w:hint="eastAsia" w:ascii="宋体" w:hAnsi="宋体" w:eastAsia="宋体" w:cs="宋体"/>
          <w:color w:val="auto"/>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技术（服务）条款偏离表</w:t>
      </w:r>
    </w:p>
    <w:p>
      <w:pPr>
        <w:spacing w:before="50"/>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项目</w:t>
      </w:r>
      <w:r>
        <w:rPr>
          <w:rFonts w:hint="eastAsia" w:ascii="宋体" w:hAnsi="宋体" w:eastAsia="宋体" w:cs="宋体"/>
          <w:color w:val="auto"/>
          <w:szCs w:val="21"/>
          <w:highlight w:val="none"/>
        </w:rPr>
        <w:t xml:space="preserve">编号：                   项目名称：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1026"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4647"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cs="宋体"/>
                <w:color w:val="auto"/>
                <w:highlight w:val="none"/>
                <w:lang w:eastAsia="zh-CN"/>
              </w:rPr>
              <w:t>招标文件</w:t>
            </w:r>
            <w:r>
              <w:rPr>
                <w:rFonts w:hint="eastAsia" w:ascii="宋体" w:hAnsi="宋体" w:eastAsia="宋体" w:cs="宋体"/>
                <w:color w:val="auto"/>
                <w:highlight w:val="none"/>
              </w:rPr>
              <w:t>的技术（服务）条款</w:t>
            </w:r>
          </w:p>
        </w:tc>
        <w:tc>
          <w:tcPr>
            <w:tcW w:w="157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w:t>
            </w: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响应情况</w:t>
            </w:r>
          </w:p>
        </w:tc>
        <w:tc>
          <w:tcPr>
            <w:tcW w:w="1185"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b/>
                <w:bCs/>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spacing w:line="360" w:lineRule="auto"/>
              <w:jc w:val="center"/>
              <w:rPr>
                <w:rFonts w:hint="eastAsia" w:ascii="宋体" w:hAnsi="宋体" w:eastAsia="宋体" w:cs="宋体"/>
                <w:color w:val="auto"/>
                <w:highlight w:val="none"/>
              </w:rPr>
            </w:pPr>
          </w:p>
        </w:tc>
        <w:tc>
          <w:tcPr>
            <w:tcW w:w="4647" w:type="dxa"/>
            <w:noWrap w:val="0"/>
            <w:vAlign w:val="center"/>
          </w:tcPr>
          <w:p>
            <w:pPr>
              <w:spacing w:line="360" w:lineRule="auto"/>
              <w:rPr>
                <w:rFonts w:hint="eastAsia" w:ascii="宋体" w:hAnsi="宋体" w:eastAsia="宋体" w:cs="宋体"/>
                <w:color w:val="auto"/>
                <w:highlight w:val="none"/>
              </w:rPr>
            </w:pPr>
          </w:p>
        </w:tc>
        <w:tc>
          <w:tcPr>
            <w:tcW w:w="1575" w:type="dxa"/>
            <w:noWrap w:val="0"/>
            <w:vAlign w:val="center"/>
          </w:tcPr>
          <w:p>
            <w:pPr>
              <w:spacing w:line="360" w:lineRule="auto"/>
              <w:jc w:val="center"/>
              <w:rPr>
                <w:rFonts w:hint="eastAsia" w:ascii="宋体" w:hAnsi="宋体" w:eastAsia="宋体" w:cs="宋体"/>
                <w:color w:val="auto"/>
                <w:sz w:val="24"/>
                <w:highlight w:val="none"/>
              </w:rPr>
            </w:pPr>
          </w:p>
        </w:tc>
        <w:tc>
          <w:tcPr>
            <w:tcW w:w="1185" w:type="dxa"/>
            <w:noWrap w:val="0"/>
            <w:vAlign w:val="center"/>
          </w:tcPr>
          <w:p>
            <w:pPr>
              <w:spacing w:line="360" w:lineRule="auto"/>
              <w:jc w:val="center"/>
              <w:rPr>
                <w:rFonts w:hint="eastAsia" w:ascii="宋体" w:hAnsi="宋体" w:eastAsia="宋体" w:cs="宋体"/>
                <w:color w:val="auto"/>
                <w:sz w:val="24"/>
                <w:highlight w:val="none"/>
              </w:rPr>
            </w:pPr>
          </w:p>
        </w:tc>
      </w:tr>
    </w:tbl>
    <w:p>
      <w:pPr>
        <w:spacing w:before="50"/>
        <w:rPr>
          <w:rFonts w:hint="eastAsia" w:ascii="宋体" w:hAnsi="宋体" w:eastAsia="宋体" w:cs="宋体"/>
          <w:color w:val="auto"/>
          <w:szCs w:val="21"/>
          <w:highlight w:val="none"/>
        </w:rPr>
      </w:pPr>
    </w:p>
    <w:p>
      <w:pPr>
        <w:spacing w:line="360" w:lineRule="auto"/>
        <w:ind w:firstLine="3675" w:firstLineChars="1750"/>
        <w:rPr>
          <w:rFonts w:hint="eastAsia" w:ascii="宋体" w:hAnsi="宋体" w:eastAsia="宋体" w:cs="宋体"/>
          <w:color w:val="auto"/>
          <w:highlight w:val="none"/>
        </w:rPr>
      </w:pPr>
      <w:r>
        <w:rPr>
          <w:rFonts w:hint="eastAsia" w:ascii="宋体" w:hAnsi="宋体" w:eastAsia="宋体" w:cs="宋体"/>
          <w:color w:val="auto"/>
          <w:highlight w:val="none"/>
        </w:rPr>
        <w:t>供应商（盖章）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法定代表人或授权代表（签名或印章）：</w:t>
      </w:r>
    </w:p>
    <w:p>
      <w:pPr>
        <w:rPr>
          <w:rFonts w:hint="eastAsia" w:ascii="宋体" w:hAnsi="宋体" w:eastAsia="宋体" w:cs="宋体"/>
          <w:b/>
          <w:color w:val="auto"/>
          <w:szCs w:val="21"/>
          <w:highlight w:val="none"/>
        </w:rPr>
      </w:pPr>
      <w:r>
        <w:rPr>
          <w:rFonts w:hint="eastAsia" w:ascii="宋体" w:hAnsi="宋体" w:eastAsia="宋体" w:cs="宋体"/>
          <w:color w:val="auto"/>
          <w:highlight w:val="none"/>
        </w:rPr>
        <w:t xml:space="preserve">                                    日    期：</w:t>
      </w: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注：联合体投标的，可只由联合体牵头人签章。</w:t>
      </w: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7</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供应商基本情况表格式</w:t>
      </w:r>
    </w:p>
    <w:p>
      <w:pPr>
        <w:jc w:val="center"/>
        <w:rPr>
          <w:rFonts w:hint="eastAsia" w:ascii="宋体" w:hAnsi="宋体" w:eastAsia="宋体" w:cs="宋体"/>
          <w:b/>
          <w:color w:val="auto"/>
          <w:sz w:val="32"/>
          <w:szCs w:val="32"/>
          <w:highlight w:val="none"/>
        </w:rPr>
      </w:pPr>
      <w:bookmarkStart w:id="35" w:name="_Toc14746861"/>
      <w:bookmarkStart w:id="36" w:name="_Toc479927873"/>
      <w:bookmarkStart w:id="37" w:name="_Toc225223761"/>
      <w:bookmarkStart w:id="38" w:name="_Toc488936100"/>
      <w:bookmarkStart w:id="39" w:name="_Toc110393361"/>
      <w:bookmarkStart w:id="40" w:name="_Toc483379796"/>
      <w:r>
        <w:rPr>
          <w:rFonts w:hint="eastAsia" w:ascii="宋体" w:hAnsi="宋体" w:eastAsia="宋体" w:cs="宋体"/>
          <w:b/>
          <w:color w:val="auto"/>
          <w:sz w:val="32"/>
          <w:szCs w:val="32"/>
          <w:highlight w:val="none"/>
        </w:rPr>
        <w:t>供应商基本情况</w:t>
      </w:r>
      <w:bookmarkEnd w:id="35"/>
      <w:bookmarkEnd w:id="36"/>
      <w:bookmarkEnd w:id="37"/>
      <w:bookmarkEnd w:id="38"/>
      <w:bookmarkEnd w:id="39"/>
      <w:bookmarkEnd w:id="40"/>
      <w:r>
        <w:rPr>
          <w:rFonts w:hint="eastAsia" w:ascii="宋体" w:hAnsi="宋体" w:eastAsia="宋体" w:cs="宋体"/>
          <w:b/>
          <w:color w:val="auto"/>
          <w:sz w:val="32"/>
          <w:szCs w:val="32"/>
          <w:highlight w:val="none"/>
        </w:rPr>
        <w:t>表</w:t>
      </w:r>
    </w:p>
    <w:tbl>
      <w:tblPr>
        <w:tblStyle w:val="47"/>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835"/>
        <w:gridCol w:w="969"/>
        <w:gridCol w:w="695"/>
        <w:gridCol w:w="2141"/>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注册登记号</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经营地址</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pacing w:val="30"/>
                <w:szCs w:val="21"/>
                <w:highlight w:val="none"/>
              </w:rPr>
            </w:pPr>
            <w:r>
              <w:rPr>
                <w:rFonts w:hint="eastAsia" w:ascii="宋体" w:hAnsi="宋体" w:eastAsia="宋体" w:cs="宋体"/>
                <w:color w:val="auto"/>
                <w:szCs w:val="21"/>
                <w:highlight w:val="none"/>
              </w:rPr>
              <w:t>税务登记证号</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p>
        </w:tc>
        <w:tc>
          <w:tcPr>
            <w:tcW w:w="2499" w:type="dxa"/>
            <w:gridSpan w:val="3"/>
            <w:noWrap w:val="0"/>
            <w:vAlign w:val="center"/>
          </w:tcPr>
          <w:p>
            <w:pPr>
              <w:pStyle w:val="169"/>
              <w:widowControl w:val="0"/>
              <w:spacing w:before="0" w:beforeAutospacing="0" w:after="0" w:afterAutospacing="0" w:line="360" w:lineRule="auto"/>
              <w:ind w:left="2160" w:hanging="480"/>
              <w:rPr>
                <w:rFonts w:hint="eastAsia" w:ascii="宋体" w:hAnsi="宋体" w:eastAsia="宋体" w:cs="宋体"/>
                <w:color w:val="auto"/>
                <w:kern w:val="2"/>
                <w:sz w:val="21"/>
                <w:szCs w:val="21"/>
                <w:highlight w:val="none"/>
              </w:rPr>
            </w:pPr>
          </w:p>
        </w:tc>
        <w:tc>
          <w:tcPr>
            <w:tcW w:w="2141" w:type="dxa"/>
            <w:noWrap w:val="0"/>
            <w:vAlign w:val="center"/>
          </w:tcPr>
          <w:p>
            <w:pPr>
              <w:spacing w:line="360" w:lineRule="auto"/>
              <w:jc w:val="center"/>
              <w:rPr>
                <w:rFonts w:hint="eastAsia" w:ascii="宋体" w:hAnsi="宋体" w:eastAsia="宋体" w:cs="宋体"/>
                <w:color w:val="auto"/>
                <w:spacing w:val="34"/>
                <w:szCs w:val="21"/>
                <w:highlight w:val="none"/>
              </w:rPr>
            </w:pPr>
            <w:r>
              <w:rPr>
                <w:rFonts w:hint="eastAsia" w:ascii="宋体" w:hAnsi="宋体" w:eastAsia="宋体" w:cs="宋体"/>
                <w:color w:val="auto"/>
                <w:spacing w:val="34"/>
                <w:szCs w:val="21"/>
                <w:highlight w:val="none"/>
              </w:rPr>
              <w:t>注册资本</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营业期限</w:t>
            </w:r>
          </w:p>
        </w:tc>
        <w:tc>
          <w:tcPr>
            <w:tcW w:w="210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资质情况</w:t>
            </w:r>
          </w:p>
        </w:tc>
        <w:tc>
          <w:tcPr>
            <w:tcW w:w="6740" w:type="dxa"/>
            <w:gridSpan w:val="5"/>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员工数量</w:t>
            </w:r>
          </w:p>
        </w:tc>
        <w:tc>
          <w:tcPr>
            <w:tcW w:w="6740" w:type="dxa"/>
            <w:gridSpan w:val="5"/>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人，其中，高级职称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人，中级职称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主要业绩</w:t>
            </w:r>
          </w:p>
        </w:tc>
        <w:tc>
          <w:tcPr>
            <w:tcW w:w="6740" w:type="dxa"/>
            <w:gridSpan w:val="5"/>
            <w:noWrap w:val="0"/>
            <w:vAlign w:val="center"/>
          </w:tcPr>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0" w:type="dxa"/>
            <w:gridSpan w:val="6"/>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2499" w:type="dxa"/>
            <w:gridSpan w:val="3"/>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835" w:type="dxa"/>
            <w:noWrap w:val="0"/>
            <w:vAlign w:val="center"/>
          </w:tcPr>
          <w:p>
            <w:pPr>
              <w:spacing w:line="360" w:lineRule="auto"/>
              <w:jc w:val="center"/>
              <w:rPr>
                <w:rFonts w:hint="eastAsia" w:ascii="宋体" w:hAnsi="宋体" w:eastAsia="宋体" w:cs="宋体"/>
                <w:color w:val="auto"/>
                <w:szCs w:val="21"/>
                <w:highlight w:val="none"/>
              </w:rPr>
            </w:pPr>
          </w:p>
        </w:tc>
        <w:tc>
          <w:tcPr>
            <w:tcW w:w="96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695" w:type="dxa"/>
            <w:noWrap w:val="0"/>
            <w:vAlign w:val="center"/>
          </w:tcPr>
          <w:p>
            <w:pPr>
              <w:spacing w:line="360" w:lineRule="auto"/>
              <w:jc w:val="center"/>
              <w:rPr>
                <w:rFonts w:hint="eastAsia" w:ascii="宋体" w:hAnsi="宋体" w:eastAsia="宋体" w:cs="宋体"/>
                <w:color w:val="auto"/>
                <w:szCs w:val="21"/>
                <w:highlight w:val="none"/>
              </w:rPr>
            </w:pPr>
          </w:p>
        </w:tc>
        <w:tc>
          <w:tcPr>
            <w:tcW w:w="214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00"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210" w:type="dxa"/>
            <w:gridSpan w:val="6"/>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bl>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兹证明上述声明是真实、正确的，并提供了全部能提供的资料和数据，我们同意遵照贵方要求出示有关证明文件。</w:t>
      </w:r>
    </w:p>
    <w:p>
      <w:pPr>
        <w:spacing w:line="360" w:lineRule="auto"/>
        <w:rPr>
          <w:rFonts w:hint="eastAsia" w:ascii="宋体" w:hAnsi="宋体" w:eastAsia="宋体" w:cs="宋体"/>
          <w:b/>
          <w:color w:val="auto"/>
          <w:highlight w:val="none"/>
        </w:rPr>
      </w:pPr>
    </w:p>
    <w:p>
      <w:pPr>
        <w:rPr>
          <w:rFonts w:hint="eastAsia" w:ascii="宋体" w:hAnsi="宋体" w:eastAsia="宋体" w:cs="宋体"/>
          <w:color w:val="auto"/>
          <w:highlight w:val="none"/>
        </w:rPr>
      </w:pPr>
    </w:p>
    <w:p>
      <w:pPr>
        <w:spacing w:line="360" w:lineRule="auto"/>
        <w:ind w:firstLine="3675" w:firstLineChars="1750"/>
        <w:rPr>
          <w:rFonts w:hint="eastAsia" w:ascii="宋体" w:hAnsi="宋体" w:eastAsia="宋体" w:cs="宋体"/>
          <w:color w:val="auto"/>
          <w:highlight w:val="none"/>
        </w:rPr>
      </w:pPr>
      <w:r>
        <w:rPr>
          <w:rFonts w:hint="eastAsia" w:ascii="宋体" w:hAnsi="宋体" w:eastAsia="宋体" w:cs="宋体"/>
          <w:color w:val="auto"/>
          <w:highlight w:val="none"/>
        </w:rPr>
        <w:t>供应商（盖章）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法定代表人或授权代表（签名或印章）：</w:t>
      </w:r>
    </w:p>
    <w:p>
      <w:pPr>
        <w:rPr>
          <w:rFonts w:hint="eastAsia" w:ascii="宋体" w:hAnsi="宋体" w:eastAsia="宋体" w:cs="宋体"/>
          <w:b/>
          <w:color w:val="auto"/>
          <w:szCs w:val="21"/>
          <w:highlight w:val="none"/>
        </w:rPr>
      </w:pPr>
      <w:r>
        <w:rPr>
          <w:rFonts w:hint="eastAsia" w:ascii="宋体" w:hAnsi="宋体" w:eastAsia="宋体" w:cs="宋体"/>
          <w:color w:val="auto"/>
          <w:highlight w:val="none"/>
        </w:rPr>
        <w:t xml:space="preserve">                                    日    期：</w:t>
      </w: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注：联合体投标的，联合体各方均须提供。</w:t>
      </w: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rPr>
          <w:rFonts w:hint="eastAsia" w:ascii="宋体" w:hAnsi="宋体" w:eastAsia="宋体" w:cs="宋体"/>
          <w:color w:val="auto"/>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8</w:t>
      </w:r>
      <w:r>
        <w:rPr>
          <w:rFonts w:hint="eastAsia" w:ascii="宋体" w:hAnsi="宋体" w:eastAsia="宋体" w:cs="宋体"/>
          <w:b/>
          <w:color w:val="auto"/>
          <w:szCs w:val="21"/>
          <w:highlight w:val="none"/>
          <w:lang w:bidi="ar"/>
        </w:rPr>
        <w:t>)本项目负责人简历表格式</w:t>
      </w:r>
    </w:p>
    <w:p>
      <w:pPr>
        <w:spacing w:line="360" w:lineRule="auto"/>
        <w:ind w:right="25" w:rightChars="12"/>
        <w:jc w:val="cente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bidi="ar"/>
        </w:rPr>
        <w:t>本项目负责人简历表</w:t>
      </w:r>
    </w:p>
    <w:p>
      <w:pPr>
        <w:rPr>
          <w:rFonts w:hint="eastAsia" w:ascii="宋体" w:hAnsi="宋体" w:eastAsia="宋体" w:cs="宋体"/>
          <w:color w:val="auto"/>
          <w:highlight w:val="none"/>
        </w:rPr>
      </w:pPr>
      <w:r>
        <w:rPr>
          <w:rFonts w:hint="eastAsia" w:ascii="宋体" w:hAnsi="宋体" w:eastAsia="宋体" w:cs="宋体"/>
          <w:color w:val="auto"/>
          <w:highlight w:val="none"/>
        </w:rPr>
        <w:t>项目</w:t>
      </w:r>
      <w:r>
        <w:rPr>
          <w:rFonts w:hint="eastAsia" w:ascii="宋体" w:hAnsi="宋体" w:cs="宋体"/>
          <w:color w:val="auto"/>
          <w:highlight w:val="none"/>
          <w:lang w:eastAsia="zh-CN"/>
        </w:rPr>
        <w:t>名称</w:t>
      </w:r>
      <w:r>
        <w:rPr>
          <w:rFonts w:hint="eastAsia" w:ascii="宋体" w:hAnsi="宋体" w:eastAsia="宋体" w:cs="宋体"/>
          <w:color w:val="auto"/>
          <w:highlight w:val="none"/>
        </w:rPr>
        <w:t>：</w:t>
      </w:r>
    </w:p>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lang w:val="en-US" w:eastAsia="zh-CN"/>
        </w:rPr>
        <w:t xml:space="preserve">                                               </w:t>
      </w:r>
    </w:p>
    <w:tbl>
      <w:tblPr>
        <w:tblStyle w:val="47"/>
        <w:tblW w:w="0" w:type="auto"/>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785"/>
        <w:gridCol w:w="1575"/>
        <w:gridCol w:w="630"/>
        <w:gridCol w:w="1184"/>
        <w:gridCol w:w="1021"/>
        <w:gridCol w:w="404"/>
        <w:gridCol w:w="2326"/>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    名</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性    别</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资质等级</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职    称</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学    历</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年    龄</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参加工作时间</w:t>
            </w: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20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从事项目经理年限</w:t>
            </w:r>
          </w:p>
        </w:tc>
        <w:tc>
          <w:tcPr>
            <w:tcW w:w="27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460" w:hRule="atLeast"/>
          <w:jc w:val="center"/>
        </w:trPr>
        <w:tc>
          <w:tcPr>
            <w:tcW w:w="8925"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已完成及正在实施类似项目情况</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业主单位</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项目名称</w:t>
            </w: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合同金额（万元）</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服务期限</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承接项目质量</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500" w:hRule="atLeast"/>
          <w:jc w:val="center"/>
        </w:trPr>
        <w:tc>
          <w:tcPr>
            <w:tcW w:w="178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1215" w:hRule="atLeast"/>
          <w:jc w:val="center"/>
        </w:trPr>
        <w:tc>
          <w:tcPr>
            <w:tcW w:w="1785" w:type="dxa"/>
            <w:tcBorders>
              <w:top w:val="single" w:color="000000" w:sz="4" w:space="0"/>
              <w:left w:val="single" w:color="000000" w:sz="4" w:space="0"/>
              <w:bottom w:val="single" w:color="000000" w:sz="4" w:space="0"/>
              <w:right w:val="nil"/>
            </w:tcBorders>
            <w:noWrap w:val="0"/>
            <w:vAlign w:val="center"/>
          </w:tcPr>
          <w:p>
            <w:pPr>
              <w:autoSpaceDN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c>
          <w:tcPr>
            <w:tcW w:w="7140"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spacing w:line="360" w:lineRule="auto"/>
              <w:jc w:val="center"/>
              <w:rPr>
                <w:rFonts w:hint="eastAsia" w:ascii="宋体" w:hAnsi="宋体" w:eastAsia="宋体" w:cs="宋体"/>
                <w:color w:val="auto"/>
                <w:szCs w:val="21"/>
                <w:highlight w:val="none"/>
              </w:rPr>
            </w:pPr>
          </w:p>
        </w:tc>
      </w:tr>
    </w:tbl>
    <w:p>
      <w:pPr>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pPr>
        <w:rPr>
          <w:rFonts w:hint="eastAsia" w:ascii="宋体" w:hAnsi="宋体" w:eastAsia="宋体" w:cs="宋体"/>
          <w:color w:val="auto"/>
          <w:highlight w:val="none"/>
        </w:rPr>
      </w:pPr>
      <w:r>
        <w:rPr>
          <w:rFonts w:hint="eastAsia" w:ascii="宋体" w:hAnsi="宋体" w:eastAsia="宋体" w:cs="宋体"/>
          <w:color w:val="auto"/>
          <w:highlight w:val="none"/>
        </w:rPr>
        <w:t>日    期：</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ageBreakBefore w:val="0"/>
        <w:kinsoku/>
        <w:overflowPunct/>
        <w:topLinePunct w:val="0"/>
        <w:bidi w:val="0"/>
        <w:snapToGrid w:val="0"/>
        <w:outlineLvl w:val="9"/>
        <w:rPr>
          <w:rFonts w:hint="eastAsia" w:ascii="宋体" w:hAnsi="宋体" w:eastAsia="宋体" w:cs="宋体"/>
          <w:color w:val="auto"/>
          <w:highlight w:val="none"/>
        </w:rPr>
      </w:pPr>
      <w:r>
        <w:rPr>
          <w:rFonts w:hint="eastAsia" w:ascii="Times New Roman" w:hAnsi="宋体" w:eastAsia="宋体" w:cs="宋体"/>
          <w:b/>
          <w:bCs/>
          <w:sz w:val="21"/>
        </w:rPr>
        <w:t>注：联合体投标的，可只由联合体牵头人签章。</w:t>
      </w:r>
    </w:p>
    <w:p>
      <w:pPr>
        <w:rPr>
          <w:rFonts w:hint="eastAsia" w:ascii="宋体" w:hAnsi="宋体" w:eastAsia="宋体" w:cs="宋体"/>
          <w:b/>
          <w:color w:val="auto"/>
          <w:szCs w:val="21"/>
          <w:highlight w:val="none"/>
          <w:lang w:bidi="ar"/>
        </w:rPr>
      </w:pPr>
      <w:r>
        <w:rPr>
          <w:rFonts w:hint="eastAsia" w:ascii="宋体" w:hAnsi="宋体" w:eastAsia="宋体" w:cs="宋体"/>
          <w:color w:val="auto"/>
          <w:highlight w:val="none"/>
        </w:rPr>
        <w:br w:type="page"/>
      </w:r>
      <w:r>
        <w:rPr>
          <w:rFonts w:hint="eastAsia" w:ascii="宋体" w:hAnsi="宋体" w:eastAsia="宋体" w:cs="宋体"/>
          <w:b/>
          <w:color w:val="auto"/>
          <w:szCs w:val="21"/>
          <w:highlight w:val="none"/>
          <w:lang w:bidi="ar"/>
        </w:rPr>
        <w:t xml:space="preserve"> (</w:t>
      </w:r>
      <w:r>
        <w:rPr>
          <w:rFonts w:hint="eastAsia" w:ascii="宋体" w:hAnsi="宋体" w:eastAsia="宋体" w:cs="宋体"/>
          <w:b/>
          <w:color w:val="auto"/>
          <w:szCs w:val="21"/>
          <w:highlight w:val="none"/>
          <w:lang w:val="en-US" w:eastAsia="zh-CN" w:bidi="ar"/>
        </w:rPr>
        <w:t>9</w:t>
      </w:r>
      <w:r>
        <w:rPr>
          <w:rFonts w:hint="eastAsia" w:ascii="宋体" w:hAnsi="宋体" w:eastAsia="宋体" w:cs="宋体"/>
          <w:b/>
          <w:color w:val="auto"/>
          <w:szCs w:val="21"/>
          <w:highlight w:val="none"/>
          <w:lang w:bidi="ar"/>
        </w:rPr>
        <w:t>)本项目组人员配备情况表格式</w:t>
      </w:r>
    </w:p>
    <w:p>
      <w:pPr>
        <w:spacing w:line="360" w:lineRule="auto"/>
        <w:ind w:right="25" w:rightChars="1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本项目组人员配备情况表</w:t>
      </w:r>
    </w:p>
    <w:p>
      <w:pPr>
        <w:rPr>
          <w:rFonts w:hint="eastAsia" w:ascii="宋体" w:hAnsi="宋体" w:eastAsia="宋体" w:cs="宋体"/>
          <w:color w:val="auto"/>
          <w:highlight w:val="none"/>
        </w:rPr>
      </w:pPr>
      <w:r>
        <w:rPr>
          <w:rFonts w:hint="eastAsia" w:ascii="宋体" w:hAnsi="宋体" w:eastAsia="宋体" w:cs="宋体"/>
          <w:color w:val="auto"/>
          <w:highlight w:val="none"/>
        </w:rPr>
        <w:t>项目</w:t>
      </w:r>
      <w:r>
        <w:rPr>
          <w:rFonts w:hint="eastAsia" w:ascii="宋体" w:hAnsi="宋体" w:cs="宋体"/>
          <w:color w:val="auto"/>
          <w:highlight w:val="none"/>
          <w:lang w:eastAsia="zh-CN"/>
        </w:rPr>
        <w:t>名称</w:t>
      </w:r>
      <w:r>
        <w:rPr>
          <w:rFonts w:hint="eastAsia" w:ascii="宋体" w:hAnsi="宋体" w:eastAsia="宋体" w:cs="宋体"/>
          <w:color w:val="auto"/>
          <w:highlight w:val="none"/>
        </w:rPr>
        <w:t>：</w:t>
      </w:r>
    </w:p>
    <w:p>
      <w:pP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lang w:val="en-US" w:eastAsia="zh-CN"/>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34"/>
        <w:gridCol w:w="1134"/>
        <w:gridCol w:w="1966"/>
        <w:gridCol w:w="1861"/>
        <w:gridCol w:w="1389"/>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性别</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出生年月</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所处岗位</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default"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资质证书</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25" w:rightChars="1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96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86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right="25" w:rightChars="12"/>
              <w:rPr>
                <w:rFonts w:hint="eastAsia" w:ascii="宋体" w:hAnsi="宋体" w:eastAsia="宋体" w:cs="宋体"/>
                <w:color w:val="auto"/>
                <w:szCs w:val="21"/>
                <w:highlight w:val="none"/>
              </w:rPr>
            </w:pPr>
          </w:p>
        </w:tc>
      </w:tr>
    </w:tbl>
    <w:p>
      <w:pPr>
        <w:spacing w:line="360" w:lineRule="auto"/>
        <w:ind w:right="25" w:rightChars="12"/>
        <w:rPr>
          <w:rFonts w:hint="eastAsia" w:ascii="宋体" w:hAnsi="宋体" w:eastAsia="宋体" w:cs="宋体"/>
          <w:color w:val="auto"/>
          <w:szCs w:val="21"/>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供应商（盖章）</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pPr>
        <w:rPr>
          <w:rFonts w:hint="eastAsia" w:ascii="宋体" w:hAnsi="宋体" w:eastAsia="宋体" w:cs="宋体"/>
          <w:color w:val="auto"/>
          <w:highlight w:val="none"/>
        </w:rPr>
      </w:pPr>
      <w:r>
        <w:rPr>
          <w:rFonts w:hint="eastAsia" w:ascii="宋体" w:hAnsi="宋体" w:eastAsia="宋体" w:cs="宋体"/>
          <w:color w:val="auto"/>
          <w:highlight w:val="none"/>
        </w:rPr>
        <w:t>日    期：</w:t>
      </w:r>
    </w:p>
    <w:p>
      <w:pPr>
        <w:rPr>
          <w:rFonts w:hint="eastAsia" w:ascii="宋体" w:hAnsi="宋体" w:eastAsia="宋体" w:cs="宋体"/>
          <w:b/>
          <w:color w:val="auto"/>
          <w:szCs w:val="21"/>
          <w:highlight w:val="none"/>
        </w:rPr>
      </w:pPr>
    </w:p>
    <w:p>
      <w:pPr>
        <w:pageBreakBefore w:val="0"/>
        <w:kinsoku/>
        <w:overflowPunct/>
        <w:topLinePunct w:val="0"/>
        <w:bidi w:val="0"/>
        <w:snapToGrid w:val="0"/>
        <w:outlineLvl w:val="9"/>
        <w:rPr>
          <w:rFonts w:hint="eastAsia" w:ascii="Times New Roman" w:hAnsi="宋体" w:eastAsia="宋体" w:cs="宋体"/>
          <w:b/>
          <w:bCs/>
          <w:sz w:val="21"/>
        </w:rPr>
      </w:pPr>
      <w:r>
        <w:rPr>
          <w:rFonts w:hint="eastAsia" w:ascii="Times New Roman" w:hAnsi="宋体" w:eastAsia="宋体" w:cs="宋体"/>
          <w:b/>
          <w:bCs/>
          <w:sz w:val="21"/>
        </w:rPr>
        <w:t>注：联合体投标的，可只由联合体牵头人签章。</w:t>
      </w:r>
    </w:p>
    <w:p>
      <w:pPr>
        <w:spacing w:line="360" w:lineRule="auto"/>
        <w:rPr>
          <w:rFonts w:hint="eastAsia" w:ascii="宋体" w:hAnsi="宋体" w:eastAsia="宋体" w:cs="宋体"/>
          <w:color w:val="auto"/>
          <w:highlight w:val="none"/>
        </w:rPr>
      </w:pP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lang w:val="en-US" w:eastAsia="zh-CN" w:bidi="ar"/>
        </w:rPr>
        <w:t>10</w:t>
      </w:r>
      <w:r>
        <w:rPr>
          <w:rFonts w:hint="eastAsia" w:ascii="宋体" w:hAnsi="宋体" w:eastAsia="宋体" w:cs="宋体"/>
          <w:b/>
          <w:color w:val="auto"/>
          <w:szCs w:val="21"/>
          <w:highlight w:val="none"/>
          <w:lang w:bidi="ar"/>
        </w:rPr>
        <w:t>）</w:t>
      </w:r>
      <w:r>
        <w:rPr>
          <w:rFonts w:hint="eastAsia" w:ascii="宋体" w:hAnsi="宋体" w:eastAsia="宋体" w:cs="宋体"/>
          <w:b/>
          <w:color w:val="auto"/>
          <w:szCs w:val="21"/>
          <w:highlight w:val="none"/>
        </w:rPr>
        <w:t>同类业绩情况一览表格式</w:t>
      </w:r>
    </w:p>
    <w:p>
      <w:pPr>
        <w:jc w:val="center"/>
        <w:rPr>
          <w:rFonts w:hint="eastAsia" w:ascii="宋体" w:hAnsi="宋体" w:eastAsia="宋体" w:cs="宋体"/>
          <w:b/>
          <w:color w:val="auto"/>
          <w:szCs w:val="21"/>
          <w:highlight w:val="none"/>
        </w:rPr>
      </w:pPr>
    </w:p>
    <w:p>
      <w:pPr>
        <w:spacing w:line="360" w:lineRule="auto"/>
        <w:ind w:right="25" w:rightChars="12"/>
        <w:jc w:val="center"/>
        <w:rPr>
          <w:rFonts w:hint="eastAsia" w:ascii="宋体" w:hAnsi="宋体" w:eastAsia="宋体" w:cs="宋体"/>
          <w:b/>
          <w:color w:val="auto"/>
          <w:sz w:val="28"/>
          <w:szCs w:val="28"/>
          <w:highlight w:val="none"/>
          <w:lang w:val="zh-CN" w:bidi="ar"/>
        </w:rPr>
      </w:pPr>
      <w:r>
        <w:rPr>
          <w:rFonts w:hint="eastAsia" w:ascii="宋体" w:hAnsi="宋体" w:eastAsia="宋体" w:cs="宋体"/>
          <w:b/>
          <w:color w:val="auto"/>
          <w:sz w:val="28"/>
          <w:szCs w:val="28"/>
          <w:highlight w:val="none"/>
          <w:lang w:bidi="ar"/>
        </w:rPr>
        <w:t>同类业绩情况一览表</w:t>
      </w:r>
    </w:p>
    <w:p>
      <w:pPr>
        <w:ind w:right="25" w:rightChars="12"/>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zh-CN"/>
        </w:rPr>
        <w:t>项目</w:t>
      </w:r>
      <w:r>
        <w:rPr>
          <w:rFonts w:hint="eastAsia" w:ascii="宋体" w:hAnsi="宋体" w:cs="宋体"/>
          <w:color w:val="auto"/>
          <w:highlight w:val="none"/>
          <w:lang w:val="zh-CN"/>
        </w:rPr>
        <w:t>名称</w:t>
      </w:r>
      <w:r>
        <w:rPr>
          <w:rFonts w:hint="eastAsia" w:ascii="宋体" w:hAnsi="宋体" w:eastAsia="宋体" w:cs="宋体"/>
          <w:color w:val="auto"/>
          <w:highlight w:val="none"/>
          <w:lang w:val="zh-CN"/>
        </w:rPr>
        <w:t>：</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项目编号</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w:t>
      </w:r>
    </w:p>
    <w:tbl>
      <w:tblPr>
        <w:tblStyle w:val="47"/>
        <w:tblW w:w="0" w:type="auto"/>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607"/>
        <w:gridCol w:w="1291"/>
        <w:gridCol w:w="1216"/>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46"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业主单位</w:t>
            </w:r>
          </w:p>
        </w:tc>
        <w:tc>
          <w:tcPr>
            <w:tcW w:w="1607"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291"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服务地点</w:t>
            </w:r>
          </w:p>
        </w:tc>
        <w:tc>
          <w:tcPr>
            <w:tcW w:w="1216"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服务期限</w:t>
            </w:r>
          </w:p>
        </w:tc>
        <w:tc>
          <w:tcPr>
            <w:tcW w:w="1216"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合同价格（元）</w:t>
            </w:r>
          </w:p>
        </w:tc>
        <w:tc>
          <w:tcPr>
            <w:tcW w:w="1697" w:type="dxa"/>
            <w:noWrap w:val="0"/>
            <w:vAlign w:val="center"/>
          </w:tcPr>
          <w:p>
            <w:pPr>
              <w:spacing w:line="400" w:lineRule="exact"/>
              <w:ind w:right="23" w:rightChars="11"/>
              <w:jc w:val="center"/>
              <w:rPr>
                <w:rFonts w:hint="eastAsia" w:ascii="宋体" w:hAnsi="宋体" w:eastAsia="宋体" w:cs="宋体"/>
                <w:color w:val="auto"/>
                <w:highlight w:val="none"/>
              </w:rPr>
            </w:pPr>
            <w:r>
              <w:rPr>
                <w:rFonts w:hint="eastAsia" w:ascii="宋体" w:hAnsi="宋体" w:eastAsia="宋体" w:cs="宋体"/>
                <w:color w:val="auto"/>
                <w:highlight w:val="none"/>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noWrap w:val="0"/>
            <w:vAlign w:val="center"/>
          </w:tcPr>
          <w:p>
            <w:pPr>
              <w:spacing w:line="400" w:lineRule="exact"/>
              <w:ind w:right="25" w:rightChars="12"/>
              <w:jc w:val="center"/>
              <w:rPr>
                <w:rFonts w:hint="eastAsia" w:ascii="宋体" w:hAnsi="宋体" w:eastAsia="宋体" w:cs="宋体"/>
                <w:color w:val="auto"/>
                <w:highlight w:val="none"/>
              </w:rPr>
            </w:pPr>
          </w:p>
        </w:tc>
        <w:tc>
          <w:tcPr>
            <w:tcW w:w="124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07"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91"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216" w:type="dxa"/>
            <w:noWrap w:val="0"/>
            <w:vAlign w:val="top"/>
          </w:tcPr>
          <w:p>
            <w:pPr>
              <w:spacing w:line="400" w:lineRule="exact"/>
              <w:ind w:right="25" w:rightChars="12"/>
              <w:jc w:val="center"/>
              <w:rPr>
                <w:rFonts w:hint="eastAsia" w:ascii="宋体" w:hAnsi="宋体" w:eastAsia="宋体" w:cs="宋体"/>
                <w:b/>
                <w:color w:val="auto"/>
                <w:highlight w:val="none"/>
              </w:rPr>
            </w:pPr>
          </w:p>
        </w:tc>
        <w:tc>
          <w:tcPr>
            <w:tcW w:w="1697" w:type="dxa"/>
            <w:noWrap w:val="0"/>
            <w:vAlign w:val="top"/>
          </w:tcPr>
          <w:p>
            <w:pPr>
              <w:spacing w:line="400" w:lineRule="exact"/>
              <w:ind w:right="25" w:rightChars="12"/>
              <w:jc w:val="center"/>
              <w:rPr>
                <w:rFonts w:hint="eastAsia" w:ascii="宋体" w:hAnsi="宋体" w:eastAsia="宋体" w:cs="宋体"/>
                <w:b/>
                <w:color w:val="auto"/>
                <w:highlight w:val="none"/>
              </w:rPr>
            </w:pPr>
          </w:p>
        </w:tc>
      </w:tr>
    </w:tbl>
    <w:p>
      <w:pPr>
        <w:rPr>
          <w:rFonts w:hint="eastAsia" w:ascii="宋体" w:hAnsi="宋体" w:eastAsia="宋体" w:cs="宋体"/>
          <w:b/>
          <w:bCs w:val="0"/>
          <w:color w:val="auto"/>
          <w:kern w:val="36"/>
          <w:highlight w:val="none"/>
        </w:rPr>
      </w:pPr>
      <w:r>
        <w:rPr>
          <w:rFonts w:hint="eastAsia" w:ascii="宋体" w:hAnsi="宋体" w:eastAsia="宋体" w:cs="宋体"/>
          <w:b/>
          <w:bCs w:val="0"/>
          <w:color w:val="auto"/>
          <w:kern w:val="36"/>
          <w:highlight w:val="none"/>
        </w:rPr>
        <w:t>注：联合体投标的，可只由联合体牵头人签章。</w:t>
      </w:r>
    </w:p>
    <w:p>
      <w:pPr>
        <w:spacing w:line="360" w:lineRule="auto"/>
        <w:jc w:val="left"/>
        <w:rPr>
          <w:rFonts w:hint="eastAsia" w:ascii="宋体" w:hAnsi="宋体" w:eastAsia="宋体" w:cs="宋体"/>
          <w:color w:val="auto"/>
          <w:highlight w:val="none"/>
        </w:rPr>
      </w:pPr>
    </w:p>
    <w:p>
      <w:pPr>
        <w:numPr>
          <w:ilvl w:val="0"/>
          <w:numId w:val="0"/>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技术部分：针对本项目第二章采购需求和第四章评分标准中的条款拟定完整方案，格式自拟；</w:t>
      </w:r>
    </w:p>
    <w:p>
      <w:pPr>
        <w:spacing w:line="360" w:lineRule="auto"/>
        <w:jc w:val="left"/>
        <w:rPr>
          <w:rFonts w:hint="eastAsia" w:ascii="宋体" w:hAnsi="宋体" w:eastAsia="宋体" w:cs="宋体"/>
          <w:color w:val="auto"/>
          <w:highlight w:val="none"/>
        </w:rPr>
      </w:pPr>
    </w:p>
    <w:p>
      <w:pPr>
        <w:spacing w:line="360" w:lineRule="auto"/>
        <w:jc w:val="left"/>
        <w:rPr>
          <w:rFonts w:hint="eastAsia" w:ascii="宋体" w:hAnsi="宋体" w:eastAsia="宋体" w:cs="宋体"/>
          <w:color w:val="auto"/>
          <w:highlight w:val="none"/>
        </w:rPr>
      </w:pPr>
    </w:p>
    <w:p>
      <w:pPr>
        <w:numPr>
          <w:ilvl w:val="0"/>
          <w:numId w:val="0"/>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第四章评标办法及评分标准中需提供的其他相关证书及合同复印件等并加盖公章；</w:t>
      </w:r>
    </w:p>
    <w:p>
      <w:pPr>
        <w:spacing w:line="360" w:lineRule="auto"/>
        <w:jc w:val="left"/>
        <w:rPr>
          <w:rFonts w:hint="eastAsia" w:ascii="宋体" w:hAnsi="宋体" w:eastAsia="宋体" w:cs="宋体"/>
          <w:color w:val="auto"/>
          <w:highlight w:val="none"/>
        </w:rPr>
      </w:pPr>
    </w:p>
    <w:p>
      <w:pPr>
        <w:spacing w:line="360" w:lineRule="auto"/>
        <w:jc w:val="left"/>
        <w:rPr>
          <w:rFonts w:hint="eastAsia" w:ascii="宋体" w:hAnsi="宋体" w:eastAsia="宋体" w:cs="宋体"/>
          <w:color w:val="auto"/>
          <w:highlight w:val="none"/>
        </w:rPr>
      </w:pPr>
    </w:p>
    <w:p>
      <w:pPr>
        <w:rPr>
          <w:rFonts w:hint="eastAsia" w:ascii="宋体" w:hAnsi="宋体" w:eastAsia="宋体" w:cs="宋体"/>
          <w:color w:val="auto"/>
          <w:highlight w:val="none"/>
          <w:lang w:eastAsia="zh-CN"/>
        </w:rPr>
      </w:pPr>
    </w:p>
    <w:p>
      <w:pPr>
        <w:numPr>
          <w:ilvl w:val="0"/>
          <w:numId w:val="0"/>
        </w:numPr>
        <w:spacing w:line="360" w:lineRule="auto"/>
        <w:jc w:val="left"/>
        <w:rPr>
          <w:rFonts w:hint="eastAsia" w:ascii="宋体" w:hAnsi="宋体" w:eastAsia="宋体" w:cs="宋体"/>
          <w:color w:val="auto"/>
          <w:highlight w:val="none"/>
        </w:rPr>
      </w:pPr>
      <w:r>
        <w:rPr>
          <w:rFonts w:hint="eastAsia" w:ascii="宋体" w:hAnsi="宋体" w:eastAsia="宋体" w:cs="宋体"/>
          <w:color w:val="auto"/>
          <w:kern w:val="2"/>
          <w:sz w:val="21"/>
          <w:szCs w:val="20"/>
          <w:highlight w:val="none"/>
          <w:lang w:val="en-US" w:eastAsia="zh-CN" w:bidi="ar-SA"/>
        </w:rPr>
        <w:t>（13）</w:t>
      </w:r>
      <w:r>
        <w:rPr>
          <w:rFonts w:hint="eastAsia" w:ascii="宋体" w:hAnsi="宋体" w:eastAsia="宋体" w:cs="宋体"/>
          <w:color w:val="auto"/>
          <w:highlight w:val="none"/>
        </w:rPr>
        <w:t>供应商认为有需要提供的其它有关证明资料。</w:t>
      </w:r>
    </w:p>
    <w:p>
      <w:pPr>
        <w:spacing w:line="360" w:lineRule="auto"/>
        <w:jc w:val="left"/>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28"/>
          <w:szCs w:val="28"/>
          <w:highlight w:val="none"/>
        </w:rPr>
      </w:pPr>
    </w:p>
    <w:p>
      <w:pPr>
        <w:pStyle w:val="84"/>
        <w:rPr>
          <w:rFonts w:hint="eastAsia"/>
        </w:rPr>
        <w:sectPr>
          <w:pgSz w:w="11906" w:h="16838"/>
          <w:pgMar w:top="1474" w:right="1797" w:bottom="1247" w:left="1797" w:header="851" w:footer="851" w:gutter="0"/>
          <w:pgNumType w:fmt="decimal"/>
          <w:cols w:space="720" w:num="1"/>
          <w:docGrid w:linePitch="312" w:charSpace="0"/>
        </w:sect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二、报价文件</w:t>
      </w:r>
    </w:p>
    <w:p>
      <w:pPr>
        <w:spacing w:line="360" w:lineRule="auto"/>
        <w:jc w:val="both"/>
        <w:rPr>
          <w:rFonts w:hint="eastAsia" w:ascii="宋体" w:hAnsi="宋体" w:eastAsia="宋体" w:cs="宋体"/>
          <w:color w:val="auto"/>
          <w:highlight w:val="none"/>
        </w:rPr>
      </w:pPr>
    </w:p>
    <w:p>
      <w:pPr>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color w:val="auto"/>
          <w:highlight w:val="none"/>
        </w:rPr>
        <w:t>（一）</w:t>
      </w:r>
      <w:r>
        <w:rPr>
          <w:rFonts w:hint="eastAsia" w:ascii="宋体" w:hAnsi="宋体" w:eastAsia="宋体" w:cs="宋体"/>
          <w:color w:val="auto"/>
          <w:szCs w:val="21"/>
          <w:highlight w:val="none"/>
        </w:rPr>
        <w:t>报价文件</w:t>
      </w:r>
      <w:r>
        <w:rPr>
          <w:rFonts w:hint="eastAsia" w:ascii="宋体" w:hAnsi="宋体" w:eastAsia="宋体" w:cs="宋体"/>
          <w:color w:val="auto"/>
          <w:highlight w:val="none"/>
        </w:rPr>
        <w:t>封面格式：</w:t>
      </w:r>
    </w:p>
    <w:p>
      <w:pPr>
        <w:spacing w:line="360" w:lineRule="auto"/>
        <w:ind w:firstLine="275" w:firstLineChars="98"/>
        <w:rPr>
          <w:rFonts w:hint="eastAsia" w:ascii="宋体" w:hAnsi="宋体" w:eastAsia="宋体" w:cs="宋体"/>
          <w:b/>
          <w:color w:val="auto"/>
          <w:sz w:val="28"/>
          <w:szCs w:val="28"/>
          <w:highlight w:val="none"/>
          <w:lang w:bidi="ar"/>
        </w:rPr>
      </w:pPr>
    </w:p>
    <w:p>
      <w:pPr>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封面格式：</w:t>
      </w:r>
    </w:p>
    <w:p>
      <w:pPr>
        <w:spacing w:line="360" w:lineRule="auto"/>
        <w:jc w:val="center"/>
        <w:rPr>
          <w:rFonts w:hint="eastAsia" w:ascii="宋体" w:hAnsi="宋体" w:eastAsia="宋体" w:cs="宋体"/>
          <w:color w:val="auto"/>
          <w:sz w:val="40"/>
          <w:szCs w:val="40"/>
          <w:highlight w:val="none"/>
        </w:rPr>
      </w:pPr>
    </w:p>
    <w:p>
      <w:pPr>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报价文件</w:t>
      </w:r>
    </w:p>
    <w:p>
      <w:pPr>
        <w:spacing w:line="360" w:lineRule="auto"/>
        <w:ind w:firstLine="6919" w:firstLineChars="2883"/>
        <w:rPr>
          <w:rFonts w:hint="eastAsia" w:ascii="宋体" w:hAnsi="宋体" w:eastAsia="宋体" w:cs="宋体"/>
          <w:bCs/>
          <w:color w:val="auto"/>
          <w:sz w:val="24"/>
          <w:highlight w:val="none"/>
        </w:rPr>
      </w:pPr>
    </w:p>
    <w:p>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项目名称：</w:t>
      </w:r>
    </w:p>
    <w:p>
      <w:pPr>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pPr>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 xml:space="preserve">                                      年  月  日</w:t>
      </w:r>
    </w:p>
    <w:p>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）报价文件内容包括：</w:t>
      </w:r>
    </w:p>
    <w:p>
      <w:pPr>
        <w:numPr>
          <w:ilvl w:val="0"/>
          <w:numId w:val="15"/>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开标一览表（格式见附件）；</w:t>
      </w:r>
    </w:p>
    <w:p>
      <w:pPr>
        <w:numPr>
          <w:ilvl w:val="0"/>
          <w:numId w:val="15"/>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投标报价明细表（格式见附件）；</w:t>
      </w:r>
    </w:p>
    <w:p>
      <w:pPr>
        <w:numPr>
          <w:ilvl w:val="0"/>
          <w:numId w:val="15"/>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中小企业声明函</w:t>
      </w:r>
      <w:r>
        <w:rPr>
          <w:rFonts w:hint="eastAsia" w:ascii="宋体" w:hAnsi="宋体" w:eastAsia="宋体" w:cs="宋体"/>
          <w:color w:val="auto"/>
          <w:highlight w:val="none"/>
          <w:lang w:val="en-US" w:eastAsia="zh-CN"/>
        </w:rPr>
        <w:t>[提供中小企业声明函或残疾人福利性单位声明函（非残疾人福利性单位无需提供本函)，格式见附件或提供由省级以上监狱管理局、戒毒管理局（含新疆生产建设兵团）出具的属于监狱企业的证明文件]</w:t>
      </w:r>
      <w:r>
        <w:rPr>
          <w:rFonts w:hint="eastAsia" w:ascii="宋体" w:hAnsi="宋体" w:eastAsia="宋体" w:cs="宋体"/>
          <w:color w:val="auto"/>
          <w:highlight w:val="none"/>
        </w:rPr>
        <w:t>；</w:t>
      </w:r>
    </w:p>
    <w:p>
      <w:pPr>
        <w:numPr>
          <w:ilvl w:val="0"/>
          <w:numId w:val="15"/>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供应商针对报价需要说明的其他文件和说明（格式自拟）。</w:t>
      </w:r>
    </w:p>
    <w:p>
      <w:pPr>
        <w:spacing w:line="360" w:lineRule="auto"/>
        <w:jc w:val="left"/>
        <w:rPr>
          <w:rFonts w:hint="eastAsia" w:ascii="宋体" w:hAnsi="宋体" w:eastAsia="宋体" w:cs="宋体"/>
          <w:color w:val="auto"/>
          <w:highlight w:val="none"/>
        </w:rPr>
      </w:pPr>
    </w:p>
    <w:p>
      <w:pPr>
        <w:spacing w:line="360" w:lineRule="auto"/>
        <w:jc w:val="left"/>
        <w:rPr>
          <w:rFonts w:hint="eastAsia" w:ascii="宋体" w:hAnsi="宋体" w:eastAsia="宋体" w:cs="宋体"/>
          <w:b/>
          <w:bCs/>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Cs w:val="21"/>
          <w:highlight w:val="none"/>
        </w:rPr>
        <w:t>（1）开标一览表</w:t>
      </w:r>
    </w:p>
    <w:p>
      <w:pPr>
        <w:pStyle w:val="44"/>
        <w:widowControl w:val="0"/>
        <w:tabs>
          <w:tab w:val="left" w:pos="4841"/>
        </w:tabs>
        <w:spacing w:before="0" w:beforeAutospacing="0" w:after="0" w:afterAutospacing="0" w:line="360" w:lineRule="auto"/>
        <w:ind w:firstLine="301"/>
        <w:jc w:val="center"/>
        <w:rPr>
          <w:rFonts w:hint="eastAsia" w:ascii="宋体" w:hAnsi="宋体" w:eastAsia="宋体" w:cs="宋体"/>
          <w:b/>
          <w:color w:val="auto"/>
          <w:szCs w:val="20"/>
          <w:highlight w:val="none"/>
        </w:rPr>
      </w:pPr>
      <w:r>
        <w:rPr>
          <w:rFonts w:hint="eastAsia" w:ascii="宋体" w:hAnsi="宋体" w:eastAsia="宋体" w:cs="宋体"/>
          <w:b/>
          <w:color w:val="auto"/>
          <w:spacing w:val="-4"/>
          <w:kern w:val="2"/>
          <w:szCs w:val="20"/>
          <w:highlight w:val="none"/>
          <w:lang w:bidi="ar"/>
        </w:rPr>
        <w:t>开标一览表</w:t>
      </w:r>
    </w:p>
    <w:p>
      <w:pPr>
        <w:pStyle w:val="44"/>
        <w:widowControl w:val="0"/>
        <w:spacing w:before="0" w:beforeAutospacing="0" w:after="0" w:afterAutospacing="0" w:line="360" w:lineRule="auto"/>
        <w:rPr>
          <w:rFonts w:hint="default" w:ascii="宋体" w:hAnsi="宋体" w:eastAsia="宋体" w:cs="宋体"/>
          <w:color w:val="auto"/>
          <w:spacing w:val="-4"/>
          <w:kern w:val="2"/>
          <w:sz w:val="21"/>
          <w:szCs w:val="21"/>
          <w:highlight w:val="none"/>
          <w:lang w:val="en-US" w:eastAsia="zh-CN" w:bidi="ar"/>
        </w:rPr>
      </w:pPr>
      <w:r>
        <w:rPr>
          <w:rFonts w:hint="eastAsia" w:ascii="宋体" w:hAnsi="宋体" w:eastAsia="宋体" w:cs="宋体"/>
          <w:color w:val="auto"/>
          <w:spacing w:val="-4"/>
          <w:kern w:val="2"/>
          <w:sz w:val="21"/>
          <w:szCs w:val="21"/>
          <w:highlight w:val="none"/>
          <w:lang w:bidi="ar"/>
        </w:rPr>
        <w:t>项目</w:t>
      </w:r>
      <w:r>
        <w:rPr>
          <w:rFonts w:hint="eastAsia" w:ascii="宋体" w:hAnsi="宋体" w:cs="宋体"/>
          <w:color w:val="auto"/>
          <w:spacing w:val="-4"/>
          <w:kern w:val="2"/>
          <w:sz w:val="21"/>
          <w:szCs w:val="21"/>
          <w:highlight w:val="none"/>
          <w:lang w:eastAsia="zh-CN" w:bidi="ar"/>
        </w:rPr>
        <w:t>名称</w:t>
      </w:r>
      <w:r>
        <w:rPr>
          <w:rFonts w:hint="eastAsia" w:ascii="宋体" w:hAnsi="宋体" w:eastAsia="宋体" w:cs="宋体"/>
          <w:color w:val="auto"/>
          <w:spacing w:val="-4"/>
          <w:kern w:val="2"/>
          <w:sz w:val="21"/>
          <w:szCs w:val="21"/>
          <w:highlight w:val="none"/>
          <w:lang w:bidi="ar"/>
        </w:rPr>
        <w:t>：                             项目编号：</w:t>
      </w:r>
      <w:r>
        <w:rPr>
          <w:rFonts w:hint="eastAsia" w:ascii="宋体" w:hAnsi="宋体" w:eastAsia="宋体" w:cs="宋体"/>
          <w:color w:val="auto"/>
          <w:spacing w:val="-4"/>
          <w:kern w:val="2"/>
          <w:sz w:val="21"/>
          <w:szCs w:val="21"/>
          <w:highlight w:val="none"/>
          <w:u w:val="single"/>
          <w:lang w:bidi="ar"/>
        </w:rPr>
        <w:t xml:space="preserve">  </w:t>
      </w:r>
      <w:r>
        <w:rPr>
          <w:rFonts w:hint="eastAsia" w:ascii="宋体" w:hAnsi="宋体" w:eastAsia="宋体" w:cs="宋体"/>
          <w:color w:val="auto"/>
          <w:spacing w:val="-4"/>
          <w:kern w:val="2"/>
          <w:sz w:val="21"/>
          <w:szCs w:val="21"/>
          <w:highlight w:val="none"/>
          <w:u w:val="single"/>
          <w:lang w:val="en-US" w:eastAsia="zh-CN" w:bidi="ar"/>
        </w:rPr>
        <w:t xml:space="preserve">                   </w:t>
      </w:r>
    </w:p>
    <w:tbl>
      <w:tblPr>
        <w:tblStyle w:val="4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648"/>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49" w:type="dxa"/>
            <w:noWrap w:val="0"/>
            <w:vAlign w:val="center"/>
          </w:tcPr>
          <w:p>
            <w:pPr>
              <w:spacing w:line="360" w:lineRule="auto"/>
              <w:jc w:val="center"/>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序号</w:t>
            </w:r>
          </w:p>
        </w:tc>
        <w:tc>
          <w:tcPr>
            <w:tcW w:w="2648" w:type="dxa"/>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采购内容</w:t>
            </w:r>
          </w:p>
        </w:tc>
        <w:tc>
          <w:tcPr>
            <w:tcW w:w="4729" w:type="dxa"/>
            <w:noWrap w:val="0"/>
            <w:vAlign w:val="center"/>
          </w:tcPr>
          <w:p>
            <w:pPr>
              <w:spacing w:line="360"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合同履行期限（服务期限）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549" w:type="dxa"/>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2648" w:type="dxa"/>
            <w:noWrap w:val="0"/>
            <w:vAlign w:val="center"/>
          </w:tcPr>
          <w:p>
            <w:pPr>
              <w:spacing w:line="360" w:lineRule="auto"/>
              <w:jc w:val="center"/>
              <w:rPr>
                <w:rFonts w:hint="eastAsia" w:ascii="宋体" w:hAnsi="宋体" w:eastAsia="宋体" w:cs="宋体"/>
                <w:color w:val="auto"/>
                <w:szCs w:val="21"/>
                <w:highlight w:val="none"/>
                <w:lang w:eastAsia="zh-CN"/>
              </w:rPr>
            </w:pPr>
          </w:p>
        </w:tc>
        <w:tc>
          <w:tcPr>
            <w:tcW w:w="4729" w:type="dxa"/>
            <w:noWrap w:val="0"/>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549" w:type="dxa"/>
            <w:noWrap w:val="0"/>
            <w:vAlign w:val="center"/>
          </w:tcPr>
          <w:p>
            <w:pPr>
              <w:spacing w:line="360" w:lineRule="auto"/>
              <w:ind w:firstLine="0"/>
              <w:jc w:val="center"/>
              <w:rPr>
                <w:rFonts w:hint="default" w:ascii="宋体" w:hAnsi="宋体" w:eastAsia="宋体" w:cs="宋体"/>
                <w:color w:val="auto"/>
                <w:szCs w:val="21"/>
                <w:highlight w:val="none"/>
                <w:lang w:val="en-US" w:eastAsia="zh-CN"/>
              </w:rPr>
            </w:pPr>
            <w:r>
              <w:rPr>
                <w:rFonts w:hint="eastAsia" w:ascii="宋体" w:hAnsi="宋体" w:eastAsia="宋体" w:cs="宋体"/>
                <w:b/>
                <w:bCs/>
                <w:color w:val="auto"/>
                <w:spacing w:val="-4"/>
                <w:szCs w:val="21"/>
                <w:highlight w:val="none"/>
                <w:lang w:val="en-US" w:eastAsia="zh-CN" w:bidi="ar"/>
              </w:rPr>
              <w:t>单年投标总价（人民币：元）</w:t>
            </w:r>
          </w:p>
        </w:tc>
        <w:tc>
          <w:tcPr>
            <w:tcW w:w="7377" w:type="dxa"/>
            <w:gridSpan w:val="2"/>
            <w:noWrap w:val="0"/>
            <w:vAlign w:val="center"/>
          </w:tcPr>
          <w:p>
            <w:pPr>
              <w:spacing w:line="360" w:lineRule="auto"/>
              <w:jc w:val="both"/>
              <w:rPr>
                <w:rFonts w:hint="eastAsia" w:ascii="宋体" w:hAnsi="宋体" w:eastAsia="宋体" w:cs="宋体"/>
                <w:color w:val="auto"/>
                <w:szCs w:val="21"/>
                <w:highlight w:val="none"/>
              </w:rPr>
            </w:pPr>
          </w:p>
          <w:p>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p>
            <w:pPr>
              <w:spacing w:line="360" w:lineRule="auto"/>
              <w:jc w:val="both"/>
              <w:rPr>
                <w:rFonts w:hint="eastAsia" w:ascii="宋体" w:hAnsi="宋体" w:eastAsia="宋体" w:cs="宋体"/>
                <w:color w:val="auto"/>
                <w:szCs w:val="21"/>
                <w:highlight w:val="none"/>
              </w:rPr>
            </w:pPr>
          </w:p>
          <w:p>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pPr>
              <w:spacing w:line="360" w:lineRule="auto"/>
              <w:jc w:val="center"/>
              <w:rPr>
                <w:rFonts w:hint="default"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549" w:type="dxa"/>
            <w:noWrap w:val="0"/>
            <w:vAlign w:val="center"/>
          </w:tcPr>
          <w:p>
            <w:pPr>
              <w:spacing w:line="360" w:lineRule="auto"/>
              <w:ind w:firstLine="0"/>
              <w:jc w:val="center"/>
              <w:rPr>
                <w:rFonts w:hint="eastAsia" w:ascii="宋体" w:hAnsi="宋体" w:eastAsia="宋体" w:cs="宋体"/>
                <w:b/>
                <w:bCs/>
                <w:color w:val="auto"/>
                <w:spacing w:val="-4"/>
                <w:szCs w:val="21"/>
                <w:highlight w:val="none"/>
                <w:lang w:val="en-US" w:eastAsia="zh-CN" w:bidi="ar"/>
              </w:rPr>
            </w:pPr>
            <w:r>
              <w:rPr>
                <w:rFonts w:hint="eastAsia" w:ascii="宋体" w:hAnsi="宋体" w:eastAsia="宋体" w:cs="宋体"/>
                <w:b/>
                <w:bCs/>
                <w:color w:val="auto"/>
                <w:spacing w:val="-4"/>
                <w:szCs w:val="21"/>
                <w:highlight w:val="none"/>
                <w:lang w:val="en-US" w:eastAsia="zh-CN" w:bidi="ar"/>
              </w:rPr>
              <w:t>三年投标总价（人民币：元）</w:t>
            </w:r>
          </w:p>
        </w:tc>
        <w:tc>
          <w:tcPr>
            <w:tcW w:w="7377" w:type="dxa"/>
            <w:gridSpan w:val="2"/>
            <w:noWrap w:val="0"/>
            <w:vAlign w:val="center"/>
          </w:tcPr>
          <w:p>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p>
            <w:pPr>
              <w:spacing w:line="360" w:lineRule="auto"/>
              <w:jc w:val="both"/>
              <w:rPr>
                <w:rFonts w:hint="eastAsia" w:ascii="宋体" w:hAnsi="宋体" w:eastAsia="宋体" w:cs="宋体"/>
                <w:color w:val="auto"/>
                <w:szCs w:val="21"/>
                <w:highlight w:val="none"/>
              </w:rPr>
            </w:pPr>
          </w:p>
          <w:p>
            <w:pPr>
              <w:spacing w:line="360" w:lineRule="auto"/>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54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投标声明</w:t>
            </w:r>
          </w:p>
        </w:tc>
        <w:tc>
          <w:tcPr>
            <w:tcW w:w="7377" w:type="dxa"/>
            <w:gridSpan w:val="2"/>
            <w:noWrap w:val="0"/>
            <w:vAlign w:val="center"/>
          </w:tcPr>
          <w:p>
            <w:pPr>
              <w:spacing w:line="360" w:lineRule="auto"/>
              <w:jc w:val="center"/>
              <w:rPr>
                <w:rFonts w:hint="eastAsia" w:ascii="宋体" w:hAnsi="宋体" w:eastAsia="宋体" w:cs="宋体"/>
                <w:color w:val="auto"/>
                <w:szCs w:val="21"/>
                <w:highlight w:val="none"/>
              </w:rPr>
            </w:pPr>
          </w:p>
        </w:tc>
      </w:tr>
    </w:tbl>
    <w:p>
      <w:pPr>
        <w:pStyle w:val="44"/>
        <w:widowControl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注：1、若供应商尚有其它内容需明列的，请按此表格式扩展。</w:t>
      </w:r>
    </w:p>
    <w:p>
      <w:pPr>
        <w:pStyle w:val="44"/>
        <w:widowControl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val="en-US" w:eastAsia="zh-CN" w:bidi="ar"/>
        </w:rPr>
        <w:t>2、</w:t>
      </w:r>
      <w:r>
        <w:rPr>
          <w:rFonts w:hint="eastAsia" w:ascii="宋体" w:hAnsi="宋体" w:eastAsia="宋体" w:cs="宋体"/>
          <w:color w:val="auto"/>
          <w:spacing w:val="-4"/>
          <w:kern w:val="2"/>
          <w:sz w:val="21"/>
          <w:szCs w:val="21"/>
          <w:highlight w:val="none"/>
          <w:lang w:bidi="ar"/>
        </w:rPr>
        <w:t>以上</w:t>
      </w:r>
      <w:r>
        <w:rPr>
          <w:rFonts w:hint="eastAsia" w:ascii="宋体" w:hAnsi="宋体" w:eastAsia="宋体" w:cs="宋体"/>
          <w:color w:val="auto"/>
          <w:spacing w:val="-4"/>
          <w:kern w:val="2"/>
          <w:sz w:val="21"/>
          <w:szCs w:val="21"/>
          <w:highlight w:val="none"/>
          <w:lang w:eastAsia="zh-CN" w:bidi="ar"/>
        </w:rPr>
        <w:t>“单年投标总价”</w:t>
      </w:r>
      <w:r>
        <w:rPr>
          <w:rFonts w:hint="eastAsia" w:ascii="宋体" w:hAnsi="宋体" w:cs="宋体"/>
          <w:color w:val="auto"/>
          <w:spacing w:val="-4"/>
          <w:kern w:val="2"/>
          <w:sz w:val="21"/>
          <w:szCs w:val="21"/>
          <w:highlight w:val="none"/>
          <w:lang w:val="en-US" w:eastAsia="zh-CN" w:bidi="ar"/>
        </w:rPr>
        <w:t>和“三年投标总价”</w:t>
      </w:r>
      <w:r>
        <w:rPr>
          <w:rFonts w:hint="eastAsia" w:ascii="宋体" w:hAnsi="宋体" w:eastAsia="宋体" w:cs="宋体"/>
          <w:color w:val="auto"/>
          <w:spacing w:val="-4"/>
          <w:kern w:val="2"/>
          <w:sz w:val="21"/>
          <w:szCs w:val="21"/>
          <w:highlight w:val="none"/>
          <w:lang w:bidi="ar"/>
        </w:rPr>
        <w:t>应与“投标报价明细表”中的“单年投标总价”和“三年投标总价”相一致。</w:t>
      </w:r>
    </w:p>
    <w:p>
      <w:pPr>
        <w:pStyle w:val="44"/>
        <w:widowControl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p>
    <w:p>
      <w:pPr>
        <w:pStyle w:val="44"/>
        <w:widowControl w:val="0"/>
        <w:spacing w:before="0" w:beforeAutospacing="0" w:after="0" w:afterAutospacing="0" w:line="360" w:lineRule="auto"/>
        <w:ind w:left="-178" w:leftChars="-85" w:firstLine="301"/>
        <w:jc w:val="both"/>
        <w:rPr>
          <w:rFonts w:hint="eastAsia" w:ascii="宋体" w:hAnsi="宋体" w:eastAsia="宋体" w:cs="宋体"/>
          <w:color w:val="auto"/>
          <w:spacing w:val="-4"/>
          <w:kern w:val="2"/>
          <w:sz w:val="21"/>
          <w:szCs w:val="21"/>
          <w:highlight w:val="none"/>
          <w:lang w:bidi="ar"/>
        </w:rPr>
      </w:pPr>
    </w:p>
    <w:p>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lang w:bidi="ar"/>
        </w:rPr>
        <w:t>供 应 商 （盖章）：</w:t>
      </w:r>
    </w:p>
    <w:p>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kern w:val="2"/>
          <w:sz w:val="21"/>
          <w:szCs w:val="21"/>
          <w:highlight w:val="none"/>
          <w:lang w:bidi="ar"/>
        </w:rPr>
        <w:t>法定代表人或授权代表（签名或印章）：</w:t>
      </w:r>
    </w:p>
    <w:p>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300"/>
        <w:jc w:val="both"/>
        <w:textAlignment w:val="auto"/>
        <w:rPr>
          <w:rFonts w:hint="eastAsia" w:ascii="宋体" w:hAnsi="宋体" w:eastAsia="宋体" w:cs="宋体"/>
          <w:b/>
          <w:bCs/>
          <w:color w:val="auto"/>
          <w:szCs w:val="21"/>
          <w:highlight w:val="none"/>
        </w:rPr>
      </w:pPr>
      <w:r>
        <w:rPr>
          <w:rFonts w:hint="eastAsia" w:ascii="宋体" w:hAnsi="宋体" w:eastAsia="宋体" w:cs="宋体"/>
          <w:color w:val="auto"/>
          <w:spacing w:val="-4"/>
          <w:kern w:val="2"/>
          <w:sz w:val="21"/>
          <w:szCs w:val="21"/>
          <w:highlight w:val="none"/>
          <w:lang w:bidi="ar"/>
        </w:rPr>
        <w:t xml:space="preserve">日     </w:t>
      </w:r>
      <w:r>
        <w:rPr>
          <w:rFonts w:hint="eastAsia" w:ascii="宋体" w:hAnsi="宋体" w:eastAsia="宋体" w:cs="宋体"/>
          <w:color w:val="auto"/>
          <w:szCs w:val="21"/>
          <w:highlight w:val="none"/>
          <w:lang w:bidi="ar"/>
        </w:rPr>
        <w:t>期：</w:t>
      </w:r>
    </w:p>
    <w:p>
      <w:pPr>
        <w:pageBreakBefore w:val="0"/>
        <w:widowControl w:val="0"/>
        <w:kinsoku/>
        <w:overflowPunct/>
        <w:topLinePunct w:val="0"/>
        <w:bidi w:val="0"/>
        <w:spacing w:after="120" w:afterLines="0"/>
        <w:jc w:val="both"/>
        <w:outlineLvl w:val="9"/>
        <w:rPr>
          <w:rFonts w:hint="eastAsia" w:ascii="Tahoma" w:hAnsi="宋体" w:eastAsia="宋体" w:cs="宋体"/>
          <w:b/>
          <w:bCs/>
          <w:kern w:val="2"/>
          <w:sz w:val="21"/>
          <w:szCs w:val="24"/>
          <w:lang w:val="en-US" w:eastAsia="zh-CN" w:bidi="ar-SA"/>
        </w:rPr>
      </w:pPr>
      <w:r>
        <w:rPr>
          <w:rFonts w:hint="eastAsia" w:ascii="Tahoma" w:hAnsi="宋体" w:eastAsia="宋体" w:cs="宋体"/>
          <w:b/>
          <w:bCs/>
          <w:kern w:val="2"/>
          <w:sz w:val="21"/>
          <w:szCs w:val="24"/>
          <w:lang w:val="en-US" w:eastAsia="zh-CN" w:bidi="ar-SA"/>
        </w:rPr>
        <w:t>注：联合体投标的，可只由联合体牵头人签章。</w:t>
      </w:r>
    </w:p>
    <w:p>
      <w:pPr>
        <w:ind w:right="840"/>
        <w:rPr>
          <w:rFonts w:hint="eastAsia" w:ascii="宋体" w:hAnsi="宋体" w:eastAsia="宋体" w:cs="宋体"/>
          <w:b/>
          <w:bCs/>
          <w:color w:val="auto"/>
          <w:szCs w:val="21"/>
          <w:highlight w:val="yellow"/>
        </w:rPr>
      </w:pPr>
    </w:p>
    <w:p>
      <w:pPr>
        <w:ind w:right="840"/>
        <w:rPr>
          <w:rFonts w:hint="eastAsia" w:ascii="宋体" w:hAnsi="宋体" w:eastAsia="宋体" w:cs="宋体"/>
          <w:b/>
          <w:bCs/>
          <w:color w:val="auto"/>
          <w:szCs w:val="21"/>
          <w:highlight w:val="yellow"/>
        </w:rPr>
      </w:pPr>
    </w:p>
    <w:p>
      <w:pPr>
        <w:ind w:right="840"/>
        <w:rPr>
          <w:rFonts w:hint="eastAsia" w:ascii="宋体" w:hAnsi="宋体" w:eastAsia="宋体" w:cs="宋体"/>
          <w:color w:val="auto"/>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highlight w:val="none"/>
          <w:lang w:bidi="ar"/>
        </w:rPr>
        <w:t>（2）投标报价明细表</w:t>
      </w:r>
    </w:p>
    <w:p>
      <w:pPr>
        <w:pStyle w:val="23"/>
        <w:spacing w:line="400" w:lineRule="exact"/>
        <w:ind w:left="420" w:leftChars="200"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投标报价明细表</w:t>
      </w:r>
    </w:p>
    <w:p>
      <w:pPr>
        <w:keepNext w:val="0"/>
        <w:keepLines w:val="0"/>
        <w:pageBreakBefore w:val="0"/>
        <w:kinsoku/>
        <w:overflowPunct/>
        <w:topLinePunct w:val="0"/>
        <w:bidi w:val="0"/>
        <w:adjustRightInd/>
        <w:snapToGrid/>
        <w:outlineLvl w:val="9"/>
        <w:rPr>
          <w:rFonts w:hint="eastAsia" w:ascii="宋体" w:hAnsi="宋体" w:eastAsia="宋体" w:cs="宋体"/>
          <w:color w:val="auto"/>
          <w:spacing w:val="-4"/>
          <w:szCs w:val="21"/>
          <w:highlight w:val="none"/>
          <w:lang w:bidi="ar"/>
        </w:rPr>
      </w:pPr>
      <w:r>
        <w:rPr>
          <w:rFonts w:hint="eastAsia" w:ascii="宋体" w:hAnsi="宋体" w:eastAsia="宋体" w:cs="宋体"/>
          <w:color w:val="auto"/>
          <w:spacing w:val="-4"/>
          <w:szCs w:val="21"/>
          <w:highlight w:val="none"/>
          <w:lang w:bidi="ar"/>
        </w:rPr>
        <w:t>项目</w:t>
      </w:r>
      <w:r>
        <w:rPr>
          <w:rFonts w:hint="eastAsia" w:ascii="宋体" w:hAnsi="宋体" w:cs="宋体"/>
          <w:color w:val="auto"/>
          <w:spacing w:val="-4"/>
          <w:szCs w:val="21"/>
          <w:highlight w:val="none"/>
          <w:lang w:eastAsia="zh-CN" w:bidi="ar"/>
        </w:rPr>
        <w:t>名称</w:t>
      </w:r>
      <w:r>
        <w:rPr>
          <w:rFonts w:hint="eastAsia" w:ascii="宋体" w:hAnsi="宋体" w:eastAsia="宋体" w:cs="宋体"/>
          <w:color w:val="auto"/>
          <w:spacing w:val="-4"/>
          <w:szCs w:val="21"/>
          <w:highlight w:val="none"/>
          <w:lang w:bidi="ar"/>
        </w:rPr>
        <w:t>：</w:t>
      </w:r>
    </w:p>
    <w:p>
      <w:pPr>
        <w:keepNext w:val="0"/>
        <w:keepLines w:val="0"/>
        <w:pageBreakBefore w:val="0"/>
        <w:kinsoku/>
        <w:overflowPunct/>
        <w:topLinePunct w:val="0"/>
        <w:bidi w:val="0"/>
        <w:adjustRightInd/>
        <w:snapToGrid/>
        <w:outlineLvl w:val="9"/>
        <w:rPr>
          <w:rFonts w:hint="default" w:ascii="宋体" w:hAnsi="宋体" w:eastAsia="宋体" w:cs="宋体"/>
          <w:color w:val="auto"/>
          <w:spacing w:val="-4"/>
          <w:szCs w:val="21"/>
          <w:highlight w:val="none"/>
          <w:lang w:val="en-US" w:eastAsia="zh-CN" w:bidi="ar"/>
        </w:rPr>
      </w:pPr>
      <w:r>
        <w:rPr>
          <w:rFonts w:hint="eastAsia" w:ascii="宋体" w:hAnsi="宋体" w:eastAsia="宋体" w:cs="宋体"/>
          <w:color w:val="auto"/>
          <w:spacing w:val="-4"/>
          <w:szCs w:val="21"/>
          <w:highlight w:val="none"/>
          <w:lang w:bidi="ar"/>
        </w:rPr>
        <w:t>项目编号：</w:t>
      </w:r>
      <w:r>
        <w:rPr>
          <w:rFonts w:hint="eastAsia" w:ascii="宋体" w:hAnsi="宋体" w:eastAsia="宋体" w:cs="宋体"/>
          <w:color w:val="auto"/>
          <w:spacing w:val="-4"/>
          <w:szCs w:val="21"/>
          <w:highlight w:val="none"/>
          <w:lang w:val="en-US" w:eastAsia="zh-CN" w:bidi="ar"/>
        </w:rPr>
        <w:t xml:space="preserve">                                                     </w:t>
      </w:r>
    </w:p>
    <w:tbl>
      <w:tblPr>
        <w:tblStyle w:val="47"/>
        <w:tblW w:w="946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165"/>
        <w:gridCol w:w="1155"/>
        <w:gridCol w:w="1785"/>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50" w:type="dxa"/>
            <w:tcBorders>
              <w:top w:val="single" w:color="auto" w:sz="4" w:space="0"/>
              <w:left w:val="single" w:color="auto" w:sz="4" w:space="0"/>
              <w:bottom w:val="single" w:color="auto" w:sz="4" w:space="0"/>
            </w:tcBorders>
            <w:noWrap w:val="0"/>
            <w:vAlign w:val="center"/>
          </w:tcPr>
          <w:p>
            <w:pPr>
              <w:spacing w:line="420" w:lineRule="exact"/>
              <w:jc w:val="center"/>
              <w:rPr>
                <w:rFonts w:hint="eastAsia" w:ascii="宋体" w:hAnsi="宋体" w:eastAsia="宋体" w:cs="Arial"/>
                <w:b/>
                <w:szCs w:val="21"/>
              </w:rPr>
            </w:pPr>
            <w:r>
              <w:rPr>
                <w:rFonts w:hint="eastAsia" w:ascii="宋体" w:hAnsi="宋体" w:eastAsia="宋体" w:cs="Arial"/>
                <w:b/>
                <w:szCs w:val="21"/>
              </w:rPr>
              <w:t>序号</w:t>
            </w:r>
          </w:p>
        </w:tc>
        <w:tc>
          <w:tcPr>
            <w:tcW w:w="3165"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Arial"/>
                <w:b/>
                <w:szCs w:val="21"/>
              </w:rPr>
            </w:pPr>
            <w:r>
              <w:rPr>
                <w:rFonts w:hint="eastAsia" w:ascii="宋体" w:hAnsi="宋体" w:eastAsia="宋体" w:cs="Arial"/>
                <w:b/>
                <w:szCs w:val="21"/>
              </w:rPr>
              <w:t>内容</w:t>
            </w:r>
          </w:p>
        </w:tc>
        <w:tc>
          <w:tcPr>
            <w:tcW w:w="1155"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b/>
                <w:szCs w:val="21"/>
              </w:rPr>
            </w:pPr>
            <w:r>
              <w:rPr>
                <w:rFonts w:hint="eastAsia" w:ascii="宋体" w:hAnsi="宋体" w:eastAsia="宋体" w:cs="Arial"/>
                <w:b/>
                <w:szCs w:val="21"/>
              </w:rPr>
              <w:t>数量</w:t>
            </w:r>
          </w:p>
        </w:tc>
        <w:tc>
          <w:tcPr>
            <w:tcW w:w="1785" w:type="dxa"/>
            <w:tcBorders>
              <w:top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b/>
                <w:szCs w:val="21"/>
              </w:rPr>
            </w:pPr>
            <w:r>
              <w:rPr>
                <w:rFonts w:hint="eastAsia" w:ascii="宋体" w:hAnsi="宋体" w:eastAsia="宋体" w:cs="Arial"/>
                <w:b/>
                <w:szCs w:val="21"/>
              </w:rPr>
              <w:t>综合单价</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b/>
                <w:szCs w:val="21"/>
              </w:rPr>
            </w:pPr>
            <w:r>
              <w:rPr>
                <w:rFonts w:hint="eastAsia" w:ascii="宋体" w:hAnsi="宋体" w:eastAsia="宋体" w:cs="Arial"/>
                <w:b/>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50" w:type="dxa"/>
            <w:tcBorders>
              <w:top w:val="single" w:color="auto" w:sz="4" w:space="0"/>
              <w:left w:val="single" w:color="auto" w:sz="4" w:space="0"/>
            </w:tcBorders>
            <w:noWrap w:val="0"/>
            <w:vAlign w:val="center"/>
          </w:tcPr>
          <w:p>
            <w:pPr>
              <w:spacing w:line="320" w:lineRule="exact"/>
              <w:ind w:firstLine="71" w:firstLineChars="34"/>
              <w:jc w:val="center"/>
              <w:rPr>
                <w:rFonts w:hint="eastAsia" w:ascii="宋体" w:hAnsi="宋体" w:eastAsia="宋体" w:cs="Arial"/>
                <w:szCs w:val="21"/>
              </w:rPr>
            </w:pPr>
            <w:r>
              <w:rPr>
                <w:rFonts w:hint="eastAsia" w:ascii="宋体" w:hAnsi="宋体" w:eastAsia="宋体" w:cs="Arial"/>
                <w:szCs w:val="21"/>
              </w:rPr>
              <w:t>1</w:t>
            </w:r>
          </w:p>
        </w:tc>
        <w:tc>
          <w:tcPr>
            <w:tcW w:w="3165" w:type="dxa"/>
            <w:tcBorders>
              <w:top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1155" w:type="dxa"/>
            <w:tcBorders>
              <w:top w:val="single" w:color="auto" w:sz="4" w:space="0"/>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1785" w:type="dxa"/>
            <w:tcBorders>
              <w:top w:val="single" w:color="auto" w:sz="4" w:space="0"/>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50" w:type="dxa"/>
            <w:tcBorders>
              <w:left w:val="single" w:color="auto" w:sz="4" w:space="0"/>
            </w:tcBorders>
            <w:noWrap w:val="0"/>
            <w:vAlign w:val="center"/>
          </w:tcPr>
          <w:p>
            <w:pPr>
              <w:spacing w:line="320" w:lineRule="exact"/>
              <w:ind w:firstLine="71" w:firstLineChars="34"/>
              <w:jc w:val="center"/>
              <w:rPr>
                <w:rFonts w:hint="eastAsia" w:ascii="宋体" w:hAnsi="宋体" w:eastAsia="宋体" w:cs="Arial"/>
                <w:szCs w:val="21"/>
              </w:rPr>
            </w:pPr>
            <w:r>
              <w:rPr>
                <w:rFonts w:hint="eastAsia" w:ascii="宋体" w:hAnsi="宋体" w:eastAsia="宋体" w:cs="Arial"/>
                <w:szCs w:val="21"/>
              </w:rPr>
              <w:t>2</w:t>
            </w:r>
          </w:p>
        </w:tc>
        <w:tc>
          <w:tcPr>
            <w:tcW w:w="3165" w:type="dxa"/>
            <w:noWrap w:val="0"/>
            <w:vAlign w:val="center"/>
          </w:tcPr>
          <w:p>
            <w:pPr>
              <w:widowControl/>
              <w:spacing w:line="320" w:lineRule="exact"/>
              <w:ind w:firstLine="71" w:firstLineChars="34"/>
              <w:jc w:val="center"/>
              <w:rPr>
                <w:rFonts w:hint="eastAsia" w:ascii="宋体" w:hAnsi="宋体" w:eastAsia="宋体" w:cs="Arial"/>
                <w:szCs w:val="21"/>
              </w:rPr>
            </w:pPr>
          </w:p>
        </w:tc>
        <w:tc>
          <w:tcPr>
            <w:tcW w:w="115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178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2310" w:type="dxa"/>
            <w:tcBorders>
              <w:left w:val="single" w:color="auto" w:sz="4" w:space="0"/>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50" w:type="dxa"/>
            <w:tcBorders>
              <w:left w:val="single" w:color="auto" w:sz="4" w:space="0"/>
            </w:tcBorders>
            <w:noWrap w:val="0"/>
            <w:vAlign w:val="center"/>
          </w:tcPr>
          <w:p>
            <w:pPr>
              <w:spacing w:line="320" w:lineRule="exact"/>
              <w:ind w:firstLine="71" w:firstLineChars="34"/>
              <w:jc w:val="center"/>
              <w:rPr>
                <w:rFonts w:hint="eastAsia" w:ascii="宋体" w:hAnsi="宋体" w:eastAsia="宋体" w:cs="Arial"/>
                <w:szCs w:val="21"/>
              </w:rPr>
            </w:pPr>
            <w:r>
              <w:rPr>
                <w:rFonts w:hint="eastAsia" w:ascii="宋体" w:hAnsi="宋体" w:eastAsia="宋体" w:cs="Arial"/>
                <w:szCs w:val="21"/>
              </w:rPr>
              <w:t>3</w:t>
            </w:r>
          </w:p>
        </w:tc>
        <w:tc>
          <w:tcPr>
            <w:tcW w:w="3165" w:type="dxa"/>
            <w:noWrap w:val="0"/>
            <w:vAlign w:val="center"/>
          </w:tcPr>
          <w:p>
            <w:pPr>
              <w:widowControl/>
              <w:spacing w:line="320" w:lineRule="exact"/>
              <w:ind w:firstLine="71" w:firstLineChars="34"/>
              <w:jc w:val="center"/>
              <w:rPr>
                <w:rFonts w:hint="eastAsia" w:ascii="宋体" w:hAnsi="宋体" w:eastAsia="宋体" w:cs="Arial"/>
                <w:szCs w:val="21"/>
              </w:rPr>
            </w:pPr>
          </w:p>
        </w:tc>
        <w:tc>
          <w:tcPr>
            <w:tcW w:w="115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178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2310" w:type="dxa"/>
            <w:tcBorders>
              <w:left w:val="single" w:color="auto" w:sz="4" w:space="0"/>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50" w:type="dxa"/>
            <w:tcBorders>
              <w:left w:val="single" w:color="auto" w:sz="4" w:space="0"/>
            </w:tcBorders>
            <w:noWrap w:val="0"/>
            <w:vAlign w:val="center"/>
          </w:tcPr>
          <w:p>
            <w:pPr>
              <w:spacing w:line="320" w:lineRule="exact"/>
              <w:ind w:firstLine="71" w:firstLineChars="34"/>
              <w:jc w:val="center"/>
              <w:rPr>
                <w:rFonts w:hint="eastAsia" w:ascii="宋体" w:hAnsi="宋体" w:eastAsia="宋体" w:cs="Arial"/>
                <w:szCs w:val="21"/>
              </w:rPr>
            </w:pPr>
            <w:r>
              <w:rPr>
                <w:rFonts w:hint="eastAsia" w:ascii="宋体" w:hAnsi="宋体" w:eastAsia="宋体" w:cs="Arial"/>
                <w:szCs w:val="21"/>
              </w:rPr>
              <w:t>4</w:t>
            </w:r>
          </w:p>
        </w:tc>
        <w:tc>
          <w:tcPr>
            <w:tcW w:w="3165" w:type="dxa"/>
            <w:noWrap w:val="0"/>
            <w:vAlign w:val="center"/>
          </w:tcPr>
          <w:p>
            <w:pPr>
              <w:widowControl/>
              <w:spacing w:line="320" w:lineRule="exact"/>
              <w:ind w:firstLine="71" w:firstLineChars="34"/>
              <w:jc w:val="center"/>
              <w:rPr>
                <w:rFonts w:hint="eastAsia" w:ascii="宋体" w:hAnsi="宋体" w:eastAsia="宋体" w:cs="Arial"/>
                <w:szCs w:val="21"/>
              </w:rPr>
            </w:pPr>
          </w:p>
        </w:tc>
        <w:tc>
          <w:tcPr>
            <w:tcW w:w="115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178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2310" w:type="dxa"/>
            <w:tcBorders>
              <w:left w:val="single" w:color="auto" w:sz="4" w:space="0"/>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50" w:type="dxa"/>
            <w:tcBorders>
              <w:left w:val="single" w:color="auto" w:sz="4" w:space="0"/>
            </w:tcBorders>
            <w:noWrap w:val="0"/>
            <w:vAlign w:val="center"/>
          </w:tcPr>
          <w:p>
            <w:pPr>
              <w:spacing w:line="320" w:lineRule="exact"/>
              <w:ind w:firstLine="71" w:firstLineChars="34"/>
              <w:jc w:val="center"/>
              <w:rPr>
                <w:rFonts w:hint="eastAsia" w:ascii="宋体" w:hAnsi="宋体" w:eastAsia="宋体" w:cs="Arial"/>
                <w:szCs w:val="21"/>
              </w:rPr>
            </w:pPr>
            <w:r>
              <w:rPr>
                <w:rFonts w:hint="eastAsia" w:ascii="宋体" w:hAnsi="宋体" w:eastAsia="宋体" w:cs="Arial"/>
                <w:szCs w:val="21"/>
              </w:rPr>
              <w:t>5</w:t>
            </w:r>
          </w:p>
        </w:tc>
        <w:tc>
          <w:tcPr>
            <w:tcW w:w="3165" w:type="dxa"/>
            <w:noWrap w:val="0"/>
            <w:vAlign w:val="center"/>
          </w:tcPr>
          <w:p>
            <w:pPr>
              <w:widowControl/>
              <w:spacing w:line="320" w:lineRule="exact"/>
              <w:ind w:firstLine="71" w:firstLineChars="34"/>
              <w:jc w:val="center"/>
              <w:rPr>
                <w:rFonts w:hint="eastAsia" w:ascii="宋体" w:hAnsi="宋体" w:eastAsia="宋体" w:cs="Arial"/>
                <w:szCs w:val="21"/>
              </w:rPr>
            </w:pPr>
          </w:p>
        </w:tc>
        <w:tc>
          <w:tcPr>
            <w:tcW w:w="115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178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2310" w:type="dxa"/>
            <w:tcBorders>
              <w:left w:val="single" w:color="auto" w:sz="4" w:space="0"/>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50" w:type="dxa"/>
            <w:tcBorders>
              <w:left w:val="single" w:color="auto" w:sz="4" w:space="0"/>
            </w:tcBorders>
            <w:noWrap w:val="0"/>
            <w:vAlign w:val="center"/>
          </w:tcPr>
          <w:p>
            <w:pPr>
              <w:spacing w:line="320" w:lineRule="exact"/>
              <w:ind w:firstLine="71" w:firstLineChars="34"/>
              <w:jc w:val="center"/>
              <w:rPr>
                <w:rFonts w:hint="eastAsia" w:ascii="宋体" w:hAnsi="宋体" w:eastAsia="宋体" w:cs="Arial"/>
                <w:szCs w:val="21"/>
              </w:rPr>
            </w:pPr>
            <w:r>
              <w:rPr>
                <w:rFonts w:hint="eastAsia" w:ascii="宋体" w:hAnsi="宋体" w:eastAsia="宋体" w:cs="Arial"/>
                <w:szCs w:val="21"/>
              </w:rPr>
              <w:t>……</w:t>
            </w:r>
          </w:p>
        </w:tc>
        <w:tc>
          <w:tcPr>
            <w:tcW w:w="3165" w:type="dxa"/>
            <w:noWrap w:val="0"/>
            <w:vAlign w:val="center"/>
          </w:tcPr>
          <w:p>
            <w:pPr>
              <w:widowControl/>
              <w:spacing w:line="320" w:lineRule="exact"/>
              <w:ind w:firstLine="71" w:firstLineChars="34"/>
              <w:jc w:val="center"/>
              <w:rPr>
                <w:rFonts w:hint="eastAsia" w:ascii="宋体" w:hAnsi="宋体" w:eastAsia="宋体" w:cs="Arial"/>
                <w:szCs w:val="21"/>
              </w:rPr>
            </w:pPr>
          </w:p>
        </w:tc>
        <w:tc>
          <w:tcPr>
            <w:tcW w:w="115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1785" w:type="dxa"/>
            <w:tcBorders>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c>
          <w:tcPr>
            <w:tcW w:w="2310" w:type="dxa"/>
            <w:tcBorders>
              <w:left w:val="single" w:color="auto" w:sz="4" w:space="0"/>
              <w:bottom w:val="single" w:color="auto" w:sz="4" w:space="0"/>
              <w:right w:val="single" w:color="auto" w:sz="4" w:space="0"/>
            </w:tcBorders>
            <w:noWrap w:val="0"/>
            <w:vAlign w:val="center"/>
          </w:tcPr>
          <w:p>
            <w:pPr>
              <w:widowControl/>
              <w:spacing w:line="320" w:lineRule="exact"/>
              <w:ind w:firstLine="71" w:firstLineChars="34"/>
              <w:jc w:val="center"/>
              <w:rPr>
                <w:rFonts w:hint="eastAsia"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15" w:type="dxa"/>
            <w:gridSpan w:val="2"/>
            <w:tcBorders>
              <w:left w:val="single" w:color="auto" w:sz="4" w:space="0"/>
              <w:right w:val="single" w:color="auto" w:sz="4" w:space="0"/>
            </w:tcBorders>
            <w:noWrap w:val="0"/>
            <w:vAlign w:val="center"/>
          </w:tcPr>
          <w:p>
            <w:pPr>
              <w:pageBreakBefore w:val="0"/>
              <w:widowControl w:val="0"/>
              <w:kinsoku/>
              <w:overflowPunct/>
              <w:topLinePunct w:val="0"/>
              <w:bidi w:val="0"/>
              <w:jc w:val="center"/>
              <w:outlineLvl w:val="9"/>
              <w:rPr>
                <w:rFonts w:hint="eastAsia" w:ascii="宋体" w:hAnsi="宋体" w:eastAsia="宋体" w:cs="Arial"/>
                <w:szCs w:val="21"/>
              </w:rPr>
            </w:pPr>
            <w:r>
              <w:rPr>
                <w:rFonts w:hint="eastAsia" w:ascii="Times New Roman" w:hAnsi="Times New Roman" w:eastAsia="宋体" w:cs="Times New Roman"/>
                <w:b/>
                <w:bCs/>
                <w:color w:val="auto"/>
                <w:kern w:val="2"/>
                <w:sz w:val="21"/>
                <w:szCs w:val="24"/>
                <w:lang w:val="en-US" w:eastAsia="zh-CN" w:bidi="ar-SA"/>
              </w:rPr>
              <w:t>单年投标总价（元）</w:t>
            </w:r>
          </w:p>
        </w:tc>
        <w:tc>
          <w:tcPr>
            <w:tcW w:w="5250" w:type="dxa"/>
            <w:gridSpan w:val="3"/>
            <w:tcBorders>
              <w:left w:val="single" w:color="auto" w:sz="4" w:space="0"/>
              <w:right w:val="single" w:color="auto" w:sz="4" w:space="0"/>
            </w:tcBorders>
            <w:noWrap w:val="0"/>
            <w:vAlign w:val="center"/>
          </w:tcPr>
          <w:p>
            <w:pPr>
              <w:widowControl/>
              <w:jc w:val="center"/>
              <w:rPr>
                <w:rFonts w:hint="eastAsia"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15" w:type="dxa"/>
            <w:gridSpan w:val="2"/>
            <w:tcBorders>
              <w:left w:val="single" w:color="auto" w:sz="4" w:space="0"/>
              <w:bottom w:val="single" w:color="auto" w:sz="4" w:space="0"/>
              <w:right w:val="single" w:color="auto" w:sz="4" w:space="0"/>
            </w:tcBorders>
            <w:noWrap w:val="0"/>
            <w:vAlign w:val="center"/>
          </w:tcPr>
          <w:p>
            <w:pPr>
              <w:pageBreakBefore w:val="0"/>
              <w:widowControl w:val="0"/>
              <w:kinsoku/>
              <w:overflowPunct/>
              <w:topLinePunct w:val="0"/>
              <w:bidi w:val="0"/>
              <w:jc w:val="center"/>
              <w:outlineLvl w:val="9"/>
              <w:rPr>
                <w:rFonts w:hint="eastAsia" w:ascii="宋体" w:hAnsi="宋体" w:eastAsia="宋体" w:cs="Arial"/>
                <w:b/>
                <w:szCs w:val="21"/>
              </w:rPr>
            </w:pPr>
            <w:r>
              <w:rPr>
                <w:rFonts w:hint="eastAsia" w:ascii="Times New Roman" w:hAnsi="Times New Roman" w:eastAsia="宋体" w:cs="Times New Roman"/>
                <w:b/>
                <w:bCs/>
                <w:color w:val="auto"/>
                <w:kern w:val="2"/>
                <w:sz w:val="21"/>
                <w:szCs w:val="24"/>
                <w:lang w:val="en-US" w:eastAsia="zh-CN" w:bidi="ar-SA"/>
              </w:rPr>
              <w:t>三年投标总价（元）</w:t>
            </w:r>
          </w:p>
        </w:tc>
        <w:tc>
          <w:tcPr>
            <w:tcW w:w="5250" w:type="dxa"/>
            <w:gridSpan w:val="3"/>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szCs w:val="21"/>
              </w:rPr>
            </w:pPr>
          </w:p>
        </w:tc>
      </w:tr>
    </w:tbl>
    <w:p>
      <w:pPr>
        <w:keepNext w:val="0"/>
        <w:keepLines w:val="0"/>
        <w:pageBreakBefore w:val="0"/>
        <w:kinsoku/>
        <w:overflowPunct/>
        <w:topLinePunct w:val="0"/>
        <w:bidi w:val="0"/>
        <w:adjustRightInd/>
        <w:snapToGrid/>
        <w:outlineLvl w:val="9"/>
        <w:rPr>
          <w:rFonts w:hint="default" w:ascii="宋体" w:hAnsi="宋体" w:eastAsia="宋体" w:cs="宋体"/>
          <w:color w:val="auto"/>
          <w:highlight w:val="none"/>
          <w:lang w:val="en-US" w:eastAsia="zh-CN"/>
        </w:rPr>
      </w:pPr>
      <w:r>
        <w:rPr>
          <w:rFonts w:hint="eastAsia" w:ascii="宋体" w:hAnsi="宋体" w:eastAsia="宋体" w:cs="宋体"/>
          <w:b/>
          <w:color w:val="auto"/>
          <w:szCs w:val="21"/>
          <w:highlight w:val="none"/>
        </w:rPr>
        <w:t>注：</w:t>
      </w:r>
      <w:r>
        <w:rPr>
          <w:rFonts w:hint="eastAsia" w:ascii="宋体" w:hAnsi="宋体" w:cs="宋体"/>
          <w:b/>
          <w:color w:val="auto"/>
          <w:szCs w:val="21"/>
          <w:highlight w:val="none"/>
          <w:lang w:val="en-US" w:eastAsia="zh-CN"/>
        </w:rPr>
        <w:t>1、</w:t>
      </w:r>
      <w:r>
        <w:rPr>
          <w:rFonts w:hint="eastAsia" w:ascii="宋体" w:hAnsi="宋体" w:eastAsia="宋体" w:cs="宋体"/>
          <w:b/>
          <w:color w:val="auto"/>
          <w:szCs w:val="21"/>
          <w:highlight w:val="none"/>
        </w:rPr>
        <w:t>投标单位可根据实际情况自行调整表格</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2、供应商须提供经费测算情况（供应商需详细列明不同工种人员工资、福利、工具材料及劳保用品情况、车辆运行维护情况等）。</w:t>
      </w:r>
    </w:p>
    <w:p>
      <w:pPr>
        <w:keepNext w:val="0"/>
        <w:keepLines w:val="0"/>
        <w:pageBreakBefore w:val="0"/>
        <w:kinsoku/>
        <w:overflowPunct/>
        <w:topLinePunct w:val="0"/>
        <w:bidi w:val="0"/>
        <w:adjustRightInd/>
        <w:snapToGrid/>
        <w:outlineLvl w:val="9"/>
        <w:rPr>
          <w:rFonts w:hint="eastAsia" w:ascii="宋体" w:hAnsi="宋体" w:eastAsia="宋体" w:cs="宋体"/>
          <w:color w:val="auto"/>
          <w:highlight w:val="none"/>
        </w:rPr>
      </w:pPr>
    </w:p>
    <w:p>
      <w:pPr>
        <w:keepNext w:val="0"/>
        <w:keepLines w:val="0"/>
        <w:pageBreakBefore w:val="0"/>
        <w:kinsoku/>
        <w:overflowPunct/>
        <w:topLinePunct w:val="0"/>
        <w:bidi w:val="0"/>
        <w:adjustRightInd/>
        <w:snapToGrid/>
        <w:spacing w:line="360" w:lineRule="auto"/>
        <w:ind w:firstLine="4095" w:firstLineChars="1950"/>
        <w:outlineLvl w:val="9"/>
        <w:rPr>
          <w:rFonts w:hint="eastAsia" w:ascii="宋体" w:hAnsi="宋体" w:eastAsia="宋体" w:cs="宋体"/>
          <w:color w:val="auto"/>
          <w:highlight w:val="none"/>
        </w:rPr>
      </w:pPr>
    </w:p>
    <w:p>
      <w:pPr>
        <w:keepNext w:val="0"/>
        <w:keepLines w:val="0"/>
        <w:pageBreakBefore w:val="0"/>
        <w:kinsoku/>
        <w:overflowPunct/>
        <w:topLinePunct w:val="0"/>
        <w:bidi w:val="0"/>
        <w:adjustRightInd/>
        <w:snapToGrid/>
        <w:spacing w:line="360" w:lineRule="auto"/>
        <w:ind w:firstLine="4095" w:firstLineChars="1950"/>
        <w:outlineLvl w:val="9"/>
        <w:rPr>
          <w:rFonts w:hint="eastAsia" w:ascii="宋体" w:hAnsi="宋体" w:eastAsia="宋体" w:cs="宋体"/>
          <w:color w:val="auto"/>
          <w:highlight w:val="none"/>
        </w:rPr>
      </w:pPr>
    </w:p>
    <w:p>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300"/>
        <w:jc w:val="both"/>
        <w:textAlignment w:val="auto"/>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 xml:space="preserve">法定代表人或授权代表（签名或印章）：        </w:t>
      </w:r>
    </w:p>
    <w:p>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300"/>
        <w:jc w:val="both"/>
        <w:textAlignment w:val="auto"/>
        <w:rPr>
          <w:rFonts w:hint="eastAsia" w:ascii="宋体" w:hAnsi="宋体" w:eastAsia="宋体" w:cs="宋体"/>
          <w:color w:val="auto"/>
          <w:spacing w:val="-4"/>
          <w:kern w:val="2"/>
          <w:sz w:val="21"/>
          <w:szCs w:val="21"/>
          <w:highlight w:val="none"/>
          <w:lang w:bidi="ar"/>
        </w:rPr>
      </w:pPr>
      <w:r>
        <w:rPr>
          <w:rFonts w:hint="eastAsia" w:ascii="宋体" w:hAnsi="宋体" w:eastAsia="宋体" w:cs="宋体"/>
          <w:color w:val="auto"/>
          <w:spacing w:val="-4"/>
          <w:kern w:val="2"/>
          <w:sz w:val="21"/>
          <w:szCs w:val="21"/>
          <w:highlight w:val="none"/>
          <w:lang w:bidi="ar"/>
        </w:rPr>
        <w:t xml:space="preserve">供应商盖章：         </w:t>
      </w:r>
    </w:p>
    <w:p>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300"/>
        <w:jc w:val="both"/>
        <w:textAlignment w:val="auto"/>
        <w:rPr>
          <w:rFonts w:hint="eastAsia" w:ascii="宋体" w:hAnsi="宋体" w:eastAsia="宋体" w:cs="宋体"/>
          <w:b w:val="0"/>
          <w:bCs w:val="0"/>
          <w:color w:val="auto"/>
          <w:szCs w:val="21"/>
          <w:highlight w:val="none"/>
        </w:rPr>
      </w:pPr>
      <w:r>
        <w:rPr>
          <w:rFonts w:hint="eastAsia" w:ascii="宋体" w:hAnsi="宋体" w:eastAsia="宋体" w:cs="宋体"/>
          <w:color w:val="auto"/>
          <w:spacing w:val="-4"/>
          <w:kern w:val="2"/>
          <w:sz w:val="21"/>
          <w:szCs w:val="21"/>
          <w:highlight w:val="none"/>
          <w:lang w:bidi="ar"/>
        </w:rPr>
        <w:t>日  期：</w:t>
      </w:r>
    </w:p>
    <w:p>
      <w:pPr>
        <w:keepNext w:val="0"/>
        <w:keepLines w:val="0"/>
        <w:pageBreakBefore w:val="0"/>
        <w:kinsoku/>
        <w:overflowPunct/>
        <w:topLinePunct w:val="0"/>
        <w:bidi w:val="0"/>
        <w:adjustRightInd/>
        <w:snapToGrid/>
        <w:spacing w:line="360" w:lineRule="auto"/>
        <w:outlineLvl w:val="9"/>
        <w:rPr>
          <w:rFonts w:hint="eastAsia" w:ascii="宋体" w:hAnsi="宋体" w:eastAsia="宋体" w:cs="宋体"/>
          <w:b/>
          <w:bCs/>
          <w:color w:val="auto"/>
          <w:highlight w:val="none"/>
          <w:lang w:bidi="ar"/>
        </w:rPr>
      </w:pPr>
    </w:p>
    <w:p>
      <w:pPr>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t>注：联合体投标的，可只由联合体牵头人签章。</w:t>
      </w:r>
    </w:p>
    <w:p>
      <w:pPr>
        <w:rPr>
          <w:rFonts w:hint="eastAsia" w:ascii="宋体" w:hAnsi="宋体" w:eastAsia="宋体" w:cs="宋体"/>
          <w:b/>
          <w:bCs/>
          <w:color w:val="auto"/>
          <w:highlight w:val="none"/>
          <w:lang w:bidi="ar"/>
        </w:rPr>
      </w:pPr>
    </w:p>
    <w:p>
      <w:pPr>
        <w:rPr>
          <w:rFonts w:hint="eastAsia" w:ascii="宋体" w:hAnsi="宋体" w:eastAsia="宋体" w:cs="宋体"/>
          <w:b/>
          <w:bCs/>
          <w:color w:val="auto"/>
          <w:highlight w:val="none"/>
          <w:lang w:bidi="ar"/>
        </w:rPr>
      </w:pPr>
    </w:p>
    <w:p>
      <w:pPr>
        <w:rPr>
          <w:rFonts w:hint="eastAsia" w:ascii="宋体" w:hAnsi="宋体" w:eastAsia="宋体" w:cs="宋体"/>
          <w:b/>
          <w:bCs/>
          <w:color w:val="auto"/>
          <w:highlight w:val="none"/>
          <w:lang w:bidi="ar"/>
        </w:rPr>
      </w:pPr>
    </w:p>
    <w:p>
      <w:pPr>
        <w:spacing w:line="240" w:lineRule="auto"/>
        <w:rPr>
          <w:rFonts w:hint="eastAsia" w:ascii="宋体" w:hAnsi="宋体" w:eastAsia="宋体" w:cs="宋体"/>
          <w:b/>
          <w:bCs/>
          <w:color w:val="auto"/>
          <w:highlight w:val="none"/>
          <w:lang w:bidi="ar"/>
        </w:rPr>
      </w:pPr>
      <w:r>
        <w:rPr>
          <w:rFonts w:hint="eastAsia" w:ascii="宋体" w:hAnsi="宋体" w:eastAsia="宋体" w:cs="宋体"/>
          <w:b/>
          <w:bCs/>
          <w:color w:val="auto"/>
          <w:highlight w:val="none"/>
          <w:lang w:bidi="ar"/>
        </w:rPr>
        <w:br w:type="page"/>
      </w:r>
    </w:p>
    <w:p>
      <w:pPr>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highlight w:val="none"/>
          <w:lang w:bidi="ar"/>
        </w:rPr>
        <w:t>（3）</w:t>
      </w:r>
      <w:r>
        <w:rPr>
          <w:rFonts w:hint="eastAsia" w:ascii="宋体" w:hAnsi="宋体" w:eastAsia="宋体" w:cs="宋体"/>
          <w:color w:val="auto"/>
          <w:highlight w:val="none"/>
          <w:lang w:eastAsia="zh-CN"/>
        </w:rPr>
        <w:t>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A.</w:t>
      </w:r>
      <w:r>
        <w:rPr>
          <w:rFonts w:hint="eastAsia" w:ascii="宋体" w:hAnsi="宋体" w:eastAsia="宋体" w:cs="宋体"/>
          <w:b/>
          <w:bCs/>
          <w:color w:val="auto"/>
          <w:highlight w:val="none"/>
          <w:lang w:eastAsia="zh-CN"/>
        </w:rPr>
        <w:t>中小企业声明函</w:t>
      </w:r>
    </w:p>
    <w:p>
      <w:pPr>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lang w:bidi="ar"/>
        </w:rPr>
        <w:t>中小企业声明函</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全部由符合政策要求的中小企业</w:t>
      </w:r>
      <w:r>
        <w:rPr>
          <w:rFonts w:hint="eastAsia" w:ascii="宋体" w:hAnsi="宋体" w:eastAsia="宋体" w:cs="宋体"/>
          <w:color w:val="auto"/>
          <w:sz w:val="21"/>
          <w:szCs w:val="21"/>
          <w:lang w:val="en-US" w:eastAsia="zh-CN"/>
        </w:rPr>
        <w:t>承接</w:t>
      </w:r>
      <w:r>
        <w:rPr>
          <w:rFonts w:hint="eastAsia" w:ascii="宋体" w:hAnsi="宋体" w:eastAsia="宋体" w:cs="宋体"/>
          <w:color w:val="auto"/>
          <w:sz w:val="21"/>
          <w:szCs w:val="21"/>
        </w:rPr>
        <w:t>。相关企业（含联合体中的中小企业、签订分包意向协议的中小企业）的具体情况如下：</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i/>
          <w:color w:val="auto"/>
          <w:sz w:val="21"/>
          <w:szCs w:val="21"/>
          <w:u w:val="single"/>
        </w:rPr>
        <w:t xml:space="preserve"> （标的名称） </w:t>
      </w:r>
      <w:r>
        <w:rPr>
          <w:rFonts w:hint="eastAsia" w:ascii="宋体" w:hAnsi="宋体" w:eastAsia="宋体" w:cs="宋体"/>
          <w:color w:val="auto"/>
          <w:sz w:val="21"/>
          <w:szCs w:val="21"/>
        </w:rPr>
        <w:t>，属于</w:t>
      </w:r>
      <w:r>
        <w:rPr>
          <w:rFonts w:hint="eastAsia" w:ascii="宋体" w:hAnsi="宋体" w:eastAsia="宋体" w:cs="宋体"/>
          <w:i/>
          <w:color w:val="auto"/>
          <w:sz w:val="21"/>
          <w:szCs w:val="21"/>
          <w:u w:val="single"/>
        </w:rPr>
        <w:t>（其他未列明行业）</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承接企业</w:t>
      </w:r>
      <w:r>
        <w:rPr>
          <w:rFonts w:hint="eastAsia" w:ascii="宋体" w:hAnsi="宋体" w:eastAsia="宋体" w:cs="宋体"/>
          <w:color w:val="auto"/>
          <w:sz w:val="21"/>
          <w:szCs w:val="21"/>
        </w:rPr>
        <w:t>为</w:t>
      </w:r>
      <w:r>
        <w:rPr>
          <w:rFonts w:hint="eastAsia" w:ascii="宋体" w:hAnsi="宋体" w:eastAsia="宋体" w:cs="宋体"/>
          <w:i/>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万元，属于</w:t>
      </w:r>
      <w:r>
        <w:rPr>
          <w:rFonts w:hint="eastAsia" w:ascii="宋体" w:hAnsi="宋体" w:eastAsia="宋体" w:cs="宋体"/>
          <w:i/>
          <w:color w:val="auto"/>
          <w:sz w:val="21"/>
          <w:szCs w:val="21"/>
          <w:u w:val="single"/>
        </w:rPr>
        <w:t>（中型企业、小型企业、微型企业）</w:t>
      </w:r>
      <w:r>
        <w:rPr>
          <w:rFonts w:hint="eastAsia" w:ascii="宋体" w:hAnsi="宋体" w:eastAsia="宋体" w:cs="宋体"/>
          <w:color w:val="auto"/>
          <w:sz w:val="21"/>
          <w:szCs w:val="21"/>
        </w:rPr>
        <w:t>；</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i/>
          <w:color w:val="auto"/>
          <w:sz w:val="21"/>
          <w:szCs w:val="21"/>
          <w:u w:val="single"/>
        </w:rPr>
        <w:t xml:space="preserve"> （标的名称） </w:t>
      </w:r>
      <w:r>
        <w:rPr>
          <w:rFonts w:hint="eastAsia" w:ascii="宋体" w:hAnsi="宋体" w:eastAsia="宋体" w:cs="宋体"/>
          <w:color w:val="auto"/>
          <w:sz w:val="21"/>
          <w:szCs w:val="21"/>
        </w:rPr>
        <w:t>，属于</w:t>
      </w:r>
      <w:r>
        <w:rPr>
          <w:rFonts w:hint="eastAsia" w:ascii="宋体" w:hAnsi="宋体" w:eastAsia="宋体" w:cs="宋体"/>
          <w:i/>
          <w:color w:val="auto"/>
          <w:sz w:val="21"/>
          <w:szCs w:val="21"/>
          <w:u w:val="single"/>
        </w:rPr>
        <w:t>（其他未列明行业）</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承接企业</w:t>
      </w:r>
      <w:r>
        <w:rPr>
          <w:rFonts w:hint="eastAsia" w:ascii="宋体" w:hAnsi="宋体" w:eastAsia="宋体" w:cs="宋体"/>
          <w:color w:val="auto"/>
          <w:sz w:val="21"/>
          <w:szCs w:val="21"/>
        </w:rPr>
        <w:t>为</w:t>
      </w:r>
      <w:r>
        <w:rPr>
          <w:rFonts w:hint="eastAsia" w:ascii="宋体" w:hAnsi="宋体" w:eastAsia="宋体" w:cs="宋体"/>
          <w:i/>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i/>
          <w:color w:val="auto"/>
          <w:sz w:val="21"/>
          <w:szCs w:val="21"/>
          <w:u w:val="single"/>
        </w:rPr>
        <w:t>（中型企业、小型企业、微型企业）</w:t>
      </w:r>
      <w:r>
        <w:rPr>
          <w:rFonts w:hint="eastAsia" w:ascii="宋体" w:hAnsi="宋体" w:eastAsia="宋体" w:cs="宋体"/>
          <w:color w:val="auto"/>
          <w:sz w:val="21"/>
          <w:szCs w:val="21"/>
        </w:rPr>
        <w:t>；</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pPr>
        <w:pageBreakBefore w:val="0"/>
        <w:kinsoku/>
        <w:overflowPunct/>
        <w:topLinePunct w:val="0"/>
        <w:bidi w:val="0"/>
        <w:spacing w:line="500" w:lineRule="exact"/>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pPr>
        <w:pageBreakBefore w:val="0"/>
        <w:kinsoku/>
        <w:overflowPunct/>
        <w:topLinePunct w:val="0"/>
        <w:bidi w:val="0"/>
        <w:spacing w:line="50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企业名称（盖章）：</w:t>
      </w:r>
    </w:p>
    <w:p>
      <w:pPr>
        <w:pageBreakBefore w:val="0"/>
        <w:kinsoku/>
        <w:overflowPunct/>
        <w:topLinePunct w:val="0"/>
        <w:bidi w:val="0"/>
        <w:spacing w:line="50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日期：</w:t>
      </w:r>
    </w:p>
    <w:p>
      <w:pPr>
        <w:pageBreakBefore w:val="0"/>
        <w:kinsoku/>
        <w:overflowPunct/>
        <w:topLinePunct w:val="0"/>
        <w:bidi w:val="0"/>
        <w:spacing w:line="500" w:lineRule="exact"/>
        <w:outlineLvl w:val="9"/>
        <w:rPr>
          <w:rFonts w:hint="eastAsia" w:ascii="仿宋" w:hAnsi="仿宋" w:eastAsia="仿宋" w:cs="Times New Roman"/>
          <w:color w:val="auto"/>
          <w:sz w:val="32"/>
          <w:szCs w:val="32"/>
          <w:u w:val="single"/>
        </w:rPr>
      </w:pPr>
      <w:r>
        <w:rPr>
          <w:rFonts w:hint="eastAsia" w:ascii="仿宋" w:hAnsi="仿宋" w:eastAsia="仿宋" w:cs="Times New Roman"/>
          <w:color w:val="auto"/>
          <w:sz w:val="32"/>
          <w:szCs w:val="32"/>
          <w:u w:val="single"/>
        </w:rPr>
        <w:t xml:space="preserve">                  </w:t>
      </w:r>
    </w:p>
    <w:p>
      <w:pPr>
        <w:pageBreakBefore w:val="0"/>
        <w:widowControl w:val="0"/>
        <w:kinsoku/>
        <w:overflowPunct/>
        <w:topLinePunct w:val="0"/>
        <w:bidi w:val="0"/>
        <w:spacing w:line="520" w:lineRule="exact"/>
        <w:ind w:left="0" w:leftChars="0" w:firstLine="0" w:firstLineChars="0"/>
        <w:jc w:val="both"/>
        <w:outlineLvl w:val="9"/>
        <w:rPr>
          <w:rFonts w:hint="eastAsia" w:ascii="宋体" w:hAnsi="宋体" w:eastAsia="宋体" w:cs="宋体"/>
          <w:color w:val="auto"/>
          <w:spacing w:val="-4"/>
          <w:kern w:val="2"/>
          <w:sz w:val="18"/>
          <w:szCs w:val="21"/>
          <w:highlight w:val="none"/>
          <w:lang w:val="en-US" w:eastAsia="zh-CN" w:bidi="ar-SA"/>
        </w:rPr>
      </w:pPr>
      <w:r>
        <w:rPr>
          <w:rFonts w:hint="eastAsia" w:ascii="宋体" w:hAnsi="宋体" w:eastAsia="宋体" w:cs="宋体"/>
          <w:color w:val="auto"/>
          <w:spacing w:val="-4"/>
          <w:kern w:val="2"/>
          <w:sz w:val="18"/>
          <w:szCs w:val="21"/>
          <w:highlight w:val="none"/>
          <w:lang w:val="en-US" w:eastAsia="zh-CN" w:bidi="ar-SA"/>
        </w:rPr>
        <w:t>说明：</w:t>
      </w:r>
    </w:p>
    <w:p>
      <w:pPr>
        <w:pageBreakBefore w:val="0"/>
        <w:widowControl w:val="0"/>
        <w:kinsoku/>
        <w:overflowPunct/>
        <w:topLinePunct w:val="0"/>
        <w:bidi w:val="0"/>
        <w:spacing w:line="520" w:lineRule="exact"/>
        <w:ind w:left="0" w:leftChars="0" w:firstLine="0" w:firstLineChars="0"/>
        <w:jc w:val="both"/>
        <w:outlineLvl w:val="9"/>
        <w:rPr>
          <w:rFonts w:hint="eastAsia" w:ascii="宋体" w:hAnsi="宋体" w:eastAsia="宋体" w:cs="宋体"/>
          <w:color w:val="auto"/>
          <w:spacing w:val="-4"/>
          <w:kern w:val="2"/>
          <w:sz w:val="18"/>
          <w:szCs w:val="21"/>
          <w:highlight w:val="none"/>
          <w:lang w:val="en-US" w:eastAsia="zh-CN" w:bidi="ar-SA"/>
        </w:rPr>
      </w:pPr>
      <w:r>
        <w:rPr>
          <w:rFonts w:hint="eastAsia" w:ascii="宋体" w:hAnsi="宋体" w:eastAsia="宋体" w:cs="宋体"/>
          <w:color w:val="auto"/>
          <w:spacing w:val="-4"/>
          <w:kern w:val="2"/>
          <w:sz w:val="18"/>
          <w:szCs w:val="21"/>
          <w:highlight w:val="none"/>
          <w:lang w:val="en-US" w:eastAsia="zh-CN" w:bidi="ar-SA"/>
        </w:rPr>
        <w:t>1、从业人员、营业收入、资产总额填报上一年度数据，无上一年度数据的新成立企业可不填报。</w:t>
      </w:r>
    </w:p>
    <w:p>
      <w:pPr>
        <w:pageBreakBefore w:val="0"/>
        <w:widowControl w:val="0"/>
        <w:kinsoku/>
        <w:overflowPunct/>
        <w:topLinePunct w:val="0"/>
        <w:bidi w:val="0"/>
        <w:spacing w:line="520" w:lineRule="exact"/>
        <w:ind w:left="0" w:leftChars="0" w:firstLine="0" w:firstLineChars="0"/>
        <w:jc w:val="both"/>
        <w:outlineLvl w:val="9"/>
        <w:rPr>
          <w:rFonts w:hint="eastAsia" w:ascii="宋体" w:hAnsi="宋体" w:eastAsia="宋体" w:cs="宋体"/>
          <w:color w:val="auto"/>
          <w:spacing w:val="-4"/>
          <w:kern w:val="2"/>
          <w:sz w:val="18"/>
          <w:szCs w:val="21"/>
          <w:highlight w:val="none"/>
          <w:lang w:val="en-US" w:eastAsia="zh-CN" w:bidi="ar-SA"/>
        </w:rPr>
      </w:pPr>
      <w:r>
        <w:rPr>
          <w:rFonts w:hint="eastAsia" w:ascii="宋体" w:hAnsi="宋体" w:eastAsia="宋体" w:cs="宋体"/>
          <w:color w:val="auto"/>
          <w:spacing w:val="-4"/>
          <w:kern w:val="2"/>
          <w:sz w:val="18"/>
          <w:szCs w:val="21"/>
          <w:highlight w:val="none"/>
          <w:lang w:val="en-US" w:eastAsia="zh-CN" w:bidi="ar-SA"/>
        </w:rPr>
        <w:t>2、根据工信部联企业[2011]300号规定。其他未列明行业：从业人员300人以下的为中小微型企业。其中，从业人员100人及以上的为中型企业；从业人员10人及以上的为小型企业；从业人员10人以下的为微型企业。</w:t>
      </w:r>
    </w:p>
    <w:p>
      <w:pPr>
        <w:pageBreakBefore w:val="0"/>
        <w:widowControl w:val="0"/>
        <w:kinsoku/>
        <w:overflowPunct/>
        <w:topLinePunct w:val="0"/>
        <w:bidi w:val="0"/>
        <w:spacing w:line="520" w:lineRule="exact"/>
        <w:ind w:left="0" w:leftChars="0" w:firstLine="0" w:firstLineChars="0"/>
        <w:jc w:val="both"/>
        <w:outlineLvl w:val="9"/>
        <w:rPr>
          <w:rFonts w:hint="eastAsia" w:ascii="宋体" w:hAnsi="宋体" w:eastAsia="宋体" w:cs="宋体"/>
          <w:b/>
          <w:bCs/>
          <w:color w:val="auto"/>
          <w:spacing w:val="-4"/>
          <w:kern w:val="2"/>
          <w:sz w:val="18"/>
          <w:szCs w:val="21"/>
          <w:highlight w:val="none"/>
          <w:lang w:val="en-US" w:eastAsia="zh-CN" w:bidi="ar-SA"/>
        </w:rPr>
      </w:pPr>
      <w:r>
        <w:rPr>
          <w:rFonts w:hint="eastAsia" w:ascii="宋体" w:hAnsi="宋体" w:eastAsia="宋体" w:cs="宋体"/>
          <w:b/>
          <w:bCs/>
          <w:color w:val="auto"/>
          <w:spacing w:val="-4"/>
          <w:kern w:val="2"/>
          <w:sz w:val="18"/>
          <w:szCs w:val="21"/>
          <w:highlight w:val="none"/>
          <w:lang w:val="en-US" w:eastAsia="zh-CN" w:bidi="ar-SA"/>
        </w:rPr>
        <w:t>3、供应商自行更改所属行业的，未填写企业类型（中、小、微型）的，本声明函作无效处理。</w:t>
      </w:r>
    </w:p>
    <w:p>
      <w:pPr>
        <w:pageBreakBefore w:val="0"/>
        <w:kinsoku/>
        <w:overflowPunct/>
        <w:topLinePunct w:val="0"/>
        <w:bidi w:val="0"/>
        <w:spacing w:line="360" w:lineRule="auto"/>
        <w:jc w:val="left"/>
        <w:outlineLvl w:val="9"/>
        <w:rPr>
          <w:rFonts w:hint="eastAsia" w:ascii="宋体" w:hAnsi="宋体" w:eastAsia="宋体" w:cs="宋体"/>
          <w:b/>
          <w:bCs/>
          <w:color w:val="auto"/>
          <w:szCs w:val="21"/>
          <w:highlight w:val="none"/>
          <w:lang w:bidi="ar"/>
        </w:rPr>
      </w:pPr>
    </w:p>
    <w:p>
      <w:pPr>
        <w:pageBreakBefore w:val="0"/>
        <w:kinsoku/>
        <w:overflowPunct/>
        <w:topLinePunct w:val="0"/>
        <w:bidi w:val="0"/>
        <w:spacing w:line="360" w:lineRule="auto"/>
        <w:jc w:val="left"/>
        <w:outlineLvl w:val="9"/>
        <w:rPr>
          <w:rFonts w:hint="eastAsia" w:ascii="宋体" w:hAnsi="宋体" w:eastAsia="宋体" w:cs="宋体"/>
          <w:b/>
          <w:bCs/>
          <w:color w:val="auto"/>
          <w:szCs w:val="21"/>
          <w:highlight w:val="none"/>
          <w:lang w:bidi="ar"/>
        </w:rPr>
      </w:pPr>
      <w:r>
        <w:rPr>
          <w:rFonts w:hint="eastAsia" w:ascii="Times New Roman" w:hAnsi="宋体" w:eastAsia="宋体" w:cs="宋体"/>
          <w:b/>
          <w:sz w:val="21"/>
          <w:lang w:bidi="ar"/>
        </w:rPr>
        <w:t>注：联合体投标的，联合体各方均须提供。</w:t>
      </w:r>
    </w:p>
    <w:p>
      <w:pPr>
        <w:spacing w:line="360" w:lineRule="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br w:type="page"/>
      </w:r>
      <w:r>
        <w:rPr>
          <w:rFonts w:hint="eastAsia" w:ascii="宋体" w:hAnsi="宋体" w:eastAsia="宋体" w:cs="宋体"/>
          <w:b/>
          <w:bCs/>
          <w:color w:val="auto"/>
          <w:highlight w:val="none"/>
          <w:lang w:val="en-US" w:eastAsia="zh-CN"/>
        </w:rPr>
        <w:t>B.</w:t>
      </w:r>
      <w:r>
        <w:rPr>
          <w:rFonts w:hint="eastAsia" w:ascii="宋体" w:hAnsi="宋体" w:eastAsia="宋体" w:cs="宋体"/>
          <w:b/>
          <w:bCs/>
          <w:color w:val="auto"/>
          <w:szCs w:val="21"/>
          <w:highlight w:val="none"/>
        </w:rPr>
        <w:t>残疾人福利性单位声明函（非残疾人福利性单位无需提供本函)</w:t>
      </w:r>
    </w:p>
    <w:p>
      <w:pPr>
        <w:widowControl w:val="0"/>
        <w:spacing w:line="360" w:lineRule="auto"/>
        <w:jc w:val="center"/>
        <w:rPr>
          <w:rFonts w:hint="eastAsia" w:ascii="宋体" w:hAnsi="宋体" w:eastAsia="宋体" w:cs="宋体"/>
          <w:b/>
          <w:spacing w:val="6"/>
          <w:kern w:val="2"/>
          <w:szCs w:val="21"/>
          <w:highlight w:val="none"/>
        </w:rPr>
      </w:pPr>
    </w:p>
    <w:p>
      <w:pPr>
        <w:widowControl w:val="0"/>
        <w:spacing w:line="360" w:lineRule="auto"/>
        <w:jc w:val="center"/>
        <w:rPr>
          <w:rFonts w:hint="eastAsia" w:ascii="宋体" w:hAnsi="宋体" w:eastAsia="宋体" w:cs="宋体"/>
          <w:b/>
          <w:spacing w:val="6"/>
          <w:kern w:val="2"/>
          <w:sz w:val="28"/>
          <w:szCs w:val="28"/>
          <w:highlight w:val="none"/>
        </w:rPr>
      </w:pPr>
      <w:r>
        <w:rPr>
          <w:rFonts w:hint="eastAsia" w:ascii="宋体" w:hAnsi="宋体" w:eastAsia="宋体" w:cs="宋体"/>
          <w:b/>
          <w:spacing w:val="6"/>
          <w:kern w:val="2"/>
          <w:sz w:val="28"/>
          <w:szCs w:val="28"/>
          <w:highlight w:val="none"/>
        </w:rPr>
        <w:t>残疾人福利性单位声明函</w:t>
      </w:r>
    </w:p>
    <w:p>
      <w:pPr>
        <w:widowControl/>
        <w:spacing w:line="500" w:lineRule="exact"/>
        <w:jc w:val="left"/>
        <w:rPr>
          <w:rFonts w:hint="eastAsia" w:ascii="宋体" w:hAnsi="宋体" w:eastAsia="宋体" w:cs="宋体"/>
          <w:color w:val="auto"/>
          <w:kern w:val="0"/>
          <w:szCs w:val="21"/>
          <w:highlight w:val="none"/>
        </w:rPr>
      </w:pPr>
    </w:p>
    <w:p>
      <w:pPr>
        <w:widowControl w:val="0"/>
        <w:spacing w:line="360" w:lineRule="auto"/>
        <w:ind w:firstLine="444" w:firstLineChars="200"/>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本单位郑重声明，根据《财政部 民政部 中国残疾人联合会关于促进残疾人就业政府采购政策的通知》（财库</w:t>
      </w:r>
      <w:r>
        <w:rPr>
          <w:rFonts w:hint="eastAsia" w:ascii="宋体" w:hAnsi="宋体" w:eastAsia="宋体" w:cs="宋体"/>
          <w:kern w:val="2"/>
          <w:szCs w:val="21"/>
          <w:highlight w:val="none"/>
        </w:rPr>
        <w:t>〔2017〕 141</w:t>
      </w:r>
      <w:r>
        <w:rPr>
          <w:rFonts w:hint="eastAsia" w:ascii="宋体" w:hAnsi="宋体" w:eastAsia="宋体" w:cs="宋体"/>
          <w:spacing w:val="6"/>
          <w:kern w:val="2"/>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val="0"/>
        <w:spacing w:line="360" w:lineRule="auto"/>
        <w:ind w:firstLine="444" w:firstLineChars="200"/>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本单位对上述声明的真实性负责。如有虚假，将依法承担相应责任。</w:t>
      </w:r>
    </w:p>
    <w:p>
      <w:pPr>
        <w:widowControl w:val="0"/>
        <w:spacing w:line="360" w:lineRule="auto"/>
        <w:ind w:firstLine="444" w:firstLineChars="200"/>
        <w:jc w:val="both"/>
        <w:rPr>
          <w:rFonts w:hint="eastAsia" w:ascii="宋体" w:hAnsi="宋体" w:eastAsia="宋体" w:cs="宋体"/>
          <w:spacing w:val="6"/>
          <w:kern w:val="2"/>
          <w:szCs w:val="21"/>
          <w:highlight w:val="none"/>
        </w:rPr>
      </w:pPr>
    </w:p>
    <w:p>
      <w:pPr>
        <w:widowControl w:val="0"/>
        <w:spacing w:line="360" w:lineRule="auto"/>
        <w:ind w:firstLine="444" w:firstLineChars="200"/>
        <w:jc w:val="both"/>
        <w:rPr>
          <w:rFonts w:hint="eastAsia" w:ascii="宋体" w:hAnsi="宋体" w:eastAsia="宋体" w:cs="宋体"/>
          <w:spacing w:val="6"/>
          <w:kern w:val="2"/>
          <w:szCs w:val="21"/>
          <w:highlight w:val="none"/>
        </w:rPr>
      </w:pPr>
    </w:p>
    <w:p>
      <w:pPr>
        <w:widowControl w:val="0"/>
        <w:tabs>
          <w:tab w:val="left" w:pos="4860"/>
        </w:tabs>
        <w:spacing w:line="360" w:lineRule="auto"/>
        <w:ind w:firstLine="444" w:firstLineChars="200"/>
        <w:jc w:val="center"/>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 xml:space="preserve">               单位名称（盖章）：</w:t>
      </w:r>
    </w:p>
    <w:p>
      <w:pPr>
        <w:widowControl w:val="0"/>
        <w:tabs>
          <w:tab w:val="left" w:pos="4860"/>
        </w:tabs>
        <w:spacing w:line="360" w:lineRule="auto"/>
        <w:ind w:firstLine="444" w:firstLineChars="200"/>
        <w:jc w:val="center"/>
        <w:rPr>
          <w:rFonts w:hint="eastAsia" w:ascii="宋体" w:hAnsi="宋体" w:eastAsia="宋体" w:cs="宋体"/>
          <w:kern w:val="2"/>
          <w:szCs w:val="24"/>
          <w:highlight w:val="none"/>
        </w:rPr>
      </w:pPr>
      <w:r>
        <w:rPr>
          <w:rFonts w:hint="eastAsia" w:ascii="宋体" w:hAnsi="宋体" w:eastAsia="宋体" w:cs="宋体"/>
          <w:spacing w:val="6"/>
          <w:kern w:val="2"/>
          <w:szCs w:val="21"/>
          <w:highlight w:val="none"/>
        </w:rPr>
        <w:t xml:space="preserve">       日  期：</w:t>
      </w:r>
    </w:p>
    <w:p>
      <w:pPr>
        <w:widowControl w:val="0"/>
        <w:tabs>
          <w:tab w:val="left" w:pos="4860"/>
        </w:tabs>
        <w:spacing w:line="360" w:lineRule="auto"/>
        <w:ind w:firstLine="420" w:firstLineChars="200"/>
        <w:jc w:val="center"/>
        <w:rPr>
          <w:rFonts w:hint="eastAsia" w:ascii="宋体" w:hAnsi="宋体" w:eastAsia="宋体" w:cs="宋体"/>
          <w:kern w:val="2"/>
          <w:szCs w:val="24"/>
          <w:highlight w:val="none"/>
        </w:rPr>
      </w:pPr>
    </w:p>
    <w:p>
      <w:pPr>
        <w:widowControl w:val="0"/>
        <w:tabs>
          <w:tab w:val="left" w:pos="4860"/>
        </w:tabs>
        <w:spacing w:line="360" w:lineRule="auto"/>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注：1、如供应商为非残疾人福利性单位的可不提供本声明函。</w:t>
      </w:r>
    </w:p>
    <w:p>
      <w:pPr>
        <w:widowControl w:val="0"/>
        <w:tabs>
          <w:tab w:val="left" w:pos="4860"/>
        </w:tabs>
        <w:spacing w:line="360" w:lineRule="auto"/>
        <w:ind w:firstLine="444" w:firstLineChars="200"/>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2、享受政府采购支持政策的残疾人福利性单位应当同时满足以下条件：</w:t>
      </w:r>
    </w:p>
    <w:p>
      <w:pPr>
        <w:widowControl w:val="0"/>
        <w:tabs>
          <w:tab w:val="left" w:pos="4860"/>
        </w:tabs>
        <w:spacing w:line="360" w:lineRule="auto"/>
        <w:ind w:firstLine="444" w:firstLineChars="200"/>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（1）安置的残疾人占本单位在职职工人数的比例不低于25%（含25%），并且安置的残疾人人数不少于10人（含10人）；</w:t>
      </w:r>
    </w:p>
    <w:p>
      <w:pPr>
        <w:widowControl w:val="0"/>
        <w:tabs>
          <w:tab w:val="left" w:pos="4860"/>
        </w:tabs>
        <w:spacing w:line="360" w:lineRule="auto"/>
        <w:ind w:firstLine="444" w:firstLineChars="200"/>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（2）依法与安置的每位残疾人签订了一年以上（含一年）的劳动合同或服务协议；</w:t>
      </w:r>
    </w:p>
    <w:p>
      <w:pPr>
        <w:widowControl w:val="0"/>
        <w:tabs>
          <w:tab w:val="left" w:pos="4860"/>
        </w:tabs>
        <w:spacing w:line="360" w:lineRule="auto"/>
        <w:ind w:firstLine="444" w:firstLineChars="200"/>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（3）为安置的每位残疾人按月足额缴纳了基本养老保险、基本医疗保险、失业保险、工伤保险和生育保险等社会保险费；</w:t>
      </w:r>
    </w:p>
    <w:p>
      <w:pPr>
        <w:widowControl w:val="0"/>
        <w:tabs>
          <w:tab w:val="left" w:pos="4860"/>
        </w:tabs>
        <w:spacing w:line="360" w:lineRule="auto"/>
        <w:ind w:firstLine="444" w:firstLineChars="200"/>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（4）通过银行等金融机构向安置的每位残疾人，按月支付了不低于单位所在区县适用的经省级人民政府批准的月最低工资标准的工资；</w:t>
      </w:r>
    </w:p>
    <w:p>
      <w:pPr>
        <w:widowControl w:val="0"/>
        <w:tabs>
          <w:tab w:val="left" w:pos="4860"/>
        </w:tabs>
        <w:spacing w:line="360" w:lineRule="auto"/>
        <w:ind w:firstLine="444" w:firstLineChars="200"/>
        <w:jc w:val="both"/>
        <w:rPr>
          <w:rFonts w:hint="eastAsia" w:ascii="宋体" w:hAnsi="宋体" w:eastAsia="宋体" w:cs="宋体"/>
          <w:spacing w:val="6"/>
          <w:kern w:val="2"/>
          <w:szCs w:val="21"/>
          <w:highlight w:val="none"/>
        </w:rPr>
      </w:pPr>
      <w:r>
        <w:rPr>
          <w:rFonts w:hint="eastAsia" w:ascii="宋体" w:hAnsi="宋体" w:eastAsia="宋体" w:cs="宋体"/>
          <w:spacing w:val="6"/>
          <w:kern w:val="2"/>
          <w:szCs w:val="21"/>
          <w:highlight w:val="none"/>
        </w:rPr>
        <w:t>（5）提供本单位制造的货物、承担的工程或者服务（以下简称产品），或者提供其他残疾人福利性单位制造的货物（不包括使用非残疾人福利性单位注册商标的货物）。</w:t>
      </w:r>
    </w:p>
    <w:p>
      <w:pPr>
        <w:spacing w:line="360" w:lineRule="auto"/>
        <w:rPr>
          <w:rFonts w:hint="eastAsia" w:ascii="宋体" w:hAnsi="宋体" w:eastAsia="宋体" w:cs="宋体"/>
          <w:b/>
          <w:bCs/>
          <w:color w:val="auto"/>
          <w:szCs w:val="21"/>
          <w:highlight w:val="none"/>
          <w:lang w:bidi="ar"/>
        </w:rPr>
      </w:pPr>
      <w:r>
        <w:rPr>
          <w:rFonts w:hint="eastAsia" w:ascii="宋体" w:hAnsi="宋体" w:eastAsia="宋体" w:cs="宋体"/>
          <w:spacing w:val="6"/>
          <w:kern w:val="2"/>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b/>
          <w:bCs/>
          <w:color w:val="auto"/>
          <w:highlight w:val="none"/>
          <w:lang w:bidi="ar"/>
        </w:rPr>
      </w:pPr>
      <w:r>
        <w:rPr>
          <w:rFonts w:hint="eastAsia" w:ascii="宋体" w:hAnsi="宋体" w:eastAsia="宋体" w:cs="宋体"/>
          <w:b/>
          <w:bCs/>
          <w:color w:val="auto"/>
          <w:szCs w:val="21"/>
          <w:highlight w:val="none"/>
          <w:lang w:bidi="ar"/>
        </w:rPr>
        <w:t>注：联合体投标的，联合体各方均须提供。</w:t>
      </w:r>
    </w:p>
    <w:p>
      <w:pPr>
        <w:rPr>
          <w:rFonts w:hint="eastAsia" w:ascii="宋体" w:hAnsi="宋体" w:eastAsia="宋体" w:cs="宋体"/>
          <w:b/>
          <w:bCs/>
          <w:color w:val="auto"/>
          <w:highlight w:val="none"/>
          <w:lang w:bidi="ar"/>
        </w:rPr>
      </w:pPr>
    </w:p>
    <w:p>
      <w:pPr>
        <w:pStyle w:val="2"/>
        <w:rPr>
          <w:rFonts w:hint="eastAsia"/>
        </w:rPr>
      </w:pPr>
    </w:p>
    <w:p>
      <w:pPr>
        <w:rPr>
          <w:rFonts w:hint="eastAsia" w:ascii="宋体" w:hAnsi="宋体" w:eastAsia="宋体" w:cs="宋体"/>
          <w:b/>
          <w:bCs/>
          <w:color w:val="auto"/>
          <w:szCs w:val="21"/>
          <w:highlight w:val="none"/>
          <w:lang w:bidi="ar"/>
        </w:rPr>
      </w:pPr>
      <w:r>
        <w:rPr>
          <w:rFonts w:hint="eastAsia" w:ascii="宋体" w:hAnsi="宋体" w:cs="宋体"/>
          <w:b/>
          <w:bCs/>
          <w:color w:val="auto"/>
          <w:szCs w:val="21"/>
          <w:highlight w:val="none"/>
          <w:lang w:eastAsia="zh-CN" w:bidi="ar"/>
        </w:rPr>
        <w:t>（</w:t>
      </w:r>
      <w:r>
        <w:rPr>
          <w:rFonts w:hint="eastAsia" w:ascii="宋体" w:hAnsi="宋体" w:cs="宋体"/>
          <w:b/>
          <w:bCs/>
          <w:color w:val="auto"/>
          <w:szCs w:val="21"/>
          <w:highlight w:val="none"/>
          <w:lang w:val="en-US" w:eastAsia="zh-CN" w:bidi="ar"/>
        </w:rPr>
        <w:t>4</w:t>
      </w:r>
      <w:r>
        <w:rPr>
          <w:rFonts w:hint="eastAsia" w:ascii="宋体" w:hAnsi="宋体" w:cs="宋体"/>
          <w:b/>
          <w:bCs/>
          <w:color w:val="auto"/>
          <w:szCs w:val="21"/>
          <w:highlight w:val="none"/>
          <w:lang w:eastAsia="zh-CN" w:bidi="ar"/>
        </w:rPr>
        <w:t>）</w:t>
      </w:r>
      <w:r>
        <w:rPr>
          <w:rFonts w:hint="eastAsia" w:ascii="宋体" w:hAnsi="宋体" w:eastAsia="宋体" w:cs="宋体"/>
          <w:b/>
          <w:bCs/>
          <w:color w:val="auto"/>
          <w:szCs w:val="21"/>
          <w:highlight w:val="none"/>
          <w:lang w:bidi="ar"/>
        </w:rPr>
        <w:t>供应商针对报价需要说明的其他文件和说明（格式自拟）。</w:t>
      </w: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Cs w:val="21"/>
          <w:highlight w:val="none"/>
          <w:lang w:bidi="ar"/>
        </w:rPr>
        <w:br w:type="page"/>
      </w:r>
      <w:r>
        <w:rPr>
          <w:rFonts w:hint="eastAsia" w:ascii="宋体" w:hAnsi="宋体" w:eastAsia="宋体" w:cs="宋体"/>
          <w:b/>
          <w:bCs/>
          <w:color w:val="auto"/>
          <w:sz w:val="28"/>
          <w:szCs w:val="28"/>
          <w:highlight w:val="none"/>
        </w:rPr>
        <w:t>三、电子备份投标文件</w:t>
      </w:r>
    </w:p>
    <w:p>
      <w:pPr>
        <w:spacing w:line="360" w:lineRule="auto"/>
        <w:rPr>
          <w:rFonts w:hint="eastAsia" w:ascii="宋体" w:hAnsi="宋体" w:eastAsia="宋体" w:cs="宋体"/>
          <w:b/>
          <w:color w:val="auto"/>
          <w:sz w:val="28"/>
          <w:szCs w:val="28"/>
          <w:highlight w:val="none"/>
          <w:lang w:bidi="ar"/>
        </w:rPr>
      </w:pPr>
      <w:r>
        <w:rPr>
          <w:rFonts w:hint="eastAsia" w:ascii="宋体" w:hAnsi="宋体" w:eastAsia="宋体" w:cs="宋体"/>
          <w:color w:val="auto"/>
          <w:highlight w:val="none"/>
        </w:rPr>
        <w:t>（一）</w:t>
      </w:r>
      <w:r>
        <w:rPr>
          <w:rFonts w:hint="eastAsia" w:ascii="宋体" w:hAnsi="宋体" w:eastAsia="宋体" w:cs="宋体"/>
          <w:color w:val="auto"/>
          <w:szCs w:val="21"/>
          <w:highlight w:val="none"/>
        </w:rPr>
        <w:t>电子备份投标文件</w:t>
      </w:r>
      <w:r>
        <w:rPr>
          <w:rFonts w:hint="eastAsia" w:ascii="宋体" w:hAnsi="宋体" w:eastAsia="宋体" w:cs="宋体"/>
          <w:color w:val="auto"/>
          <w:highlight w:val="none"/>
        </w:rPr>
        <w:t>的外包装封面格式：</w:t>
      </w:r>
    </w:p>
    <w:p>
      <w:pPr>
        <w:spacing w:line="360" w:lineRule="auto"/>
        <w:ind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bidi="ar"/>
        </w:rPr>
        <w:t>外包装格式：</w:t>
      </w:r>
    </w:p>
    <w:p>
      <w:pPr>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电子备份投标文件</w:t>
      </w:r>
    </w:p>
    <w:p>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 xml:space="preserve">项目名称： </w:t>
      </w:r>
    </w:p>
    <w:p>
      <w:pPr>
        <w:spacing w:line="360" w:lineRule="auto"/>
        <w:ind w:firstLine="1080" w:firstLineChars="450"/>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项目编号：</w:t>
      </w:r>
    </w:p>
    <w:p>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供应商名称（加盖公章）：</w:t>
      </w:r>
    </w:p>
    <w:p>
      <w:pPr>
        <w:spacing w:line="360" w:lineRule="auto"/>
        <w:ind w:firstLine="1080" w:firstLineChars="45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bidi="ar"/>
        </w:rPr>
        <w:t>供应商地址：</w:t>
      </w:r>
    </w:p>
    <w:p>
      <w:pPr>
        <w:spacing w:line="360" w:lineRule="auto"/>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 xml:space="preserve">                        年  月  日</w:t>
      </w:r>
    </w:p>
    <w:p>
      <w:pPr>
        <w:pStyle w:val="176"/>
        <w:widowControl w:val="0"/>
        <w:spacing w:line="440" w:lineRule="exact"/>
        <w:jc w:val="both"/>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sectPr>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长城仿宋">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Pu7O+cB&#10;AADJAwAADgAAAAAAAAABACAAAAAiAQAAZHJzL2Uyb0RvYy54bWxQSwUGAAAAAAYABgBZAQAAewUA&#10;AAAA&#10;">
              <v:fill on="f" focussize="0,0"/>
              <v:stroke on="f" weight="1.25pt"/>
              <v:imagedata o:title=""/>
              <o:lock v:ext="edit" aspectratio="f"/>
              <v:textbox inset="0mm,0mm,0mm,0mm" style="mso-fit-shape-to-text:t;">
                <w:txbxContent>
                  <w:p>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281E8"/>
    <w:multiLevelType w:val="singleLevel"/>
    <w:tmpl w:val="81A281E8"/>
    <w:lvl w:ilvl="0" w:tentative="0">
      <w:start w:val="1"/>
      <w:numFmt w:val="decimal"/>
      <w:suff w:val="nothing"/>
      <w:lvlText w:val="（%1）"/>
      <w:lvlJc w:val="left"/>
    </w:lvl>
  </w:abstractNum>
  <w:abstractNum w:abstractNumId="1">
    <w:nsid w:val="C1BB2992"/>
    <w:multiLevelType w:val="multilevel"/>
    <w:tmpl w:val="C1BB2992"/>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D9A54056"/>
    <w:multiLevelType w:val="singleLevel"/>
    <w:tmpl w:val="D9A54056"/>
    <w:lvl w:ilvl="0" w:tentative="0">
      <w:start w:val="1"/>
      <w:numFmt w:val="decimal"/>
      <w:suff w:val="nothing"/>
      <w:lvlText w:val="（%1）"/>
      <w:lvlJc w:val="left"/>
    </w:lvl>
  </w:abstractNum>
  <w:abstractNum w:abstractNumId="3">
    <w:nsid w:val="00000008"/>
    <w:multiLevelType w:val="multilevel"/>
    <w:tmpl w:val="00000008"/>
    <w:lvl w:ilvl="0" w:tentative="0">
      <w:start w:val="1"/>
      <w:numFmt w:val="japaneseCounting"/>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85"/>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upperLetter"/>
      <w:suff w:val="nothing"/>
      <w:lvlText w:val="%1、"/>
      <w:lvlJc w:val="left"/>
    </w:lvl>
  </w:abstractNum>
  <w:abstractNum w:abstractNumId="5">
    <w:nsid w:val="00000011"/>
    <w:multiLevelType w:val="multilevel"/>
    <w:tmpl w:val="00000011"/>
    <w:lvl w:ilvl="0" w:tentative="0">
      <w:start w:val="1"/>
      <w:numFmt w:val="decimal"/>
      <w:pStyle w:val="18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4"/>
    <w:multiLevelType w:val="singleLevel"/>
    <w:tmpl w:val="00000014"/>
    <w:lvl w:ilvl="0" w:tentative="0">
      <w:start w:val="5"/>
      <w:numFmt w:val="chineseCounting"/>
      <w:suff w:val="nothing"/>
      <w:lvlText w:val="%1、"/>
      <w:lvlJc w:val="left"/>
    </w:lvl>
  </w:abstractNum>
  <w:abstractNum w:abstractNumId="7">
    <w:nsid w:val="00000017"/>
    <w:multiLevelType w:val="multilevel"/>
    <w:tmpl w:val="00000017"/>
    <w:lvl w:ilvl="0" w:tentative="0">
      <w:start w:val="1"/>
      <w:numFmt w:val="decimal"/>
      <w:lvlText w:val="(%1)"/>
      <w:lvlJc w:val="left"/>
      <w:pPr>
        <w:tabs>
          <w:tab w:val="left" w:pos="660"/>
        </w:tabs>
        <w:ind w:left="660" w:hanging="480"/>
      </w:pPr>
      <w:rPr>
        <w:rFonts w:cs="Times New Roman"/>
      </w:rPr>
    </w:lvl>
    <w:lvl w:ilvl="1" w:tentative="0">
      <w:start w:val="1"/>
      <w:numFmt w:val="decimal"/>
      <w:pStyle w:val="186"/>
      <w:lvlText w:val="%2、"/>
      <w:lvlJc w:val="left"/>
      <w:pPr>
        <w:tabs>
          <w:tab w:val="left" w:pos="1080"/>
        </w:tabs>
        <w:ind w:left="1080" w:hanging="360"/>
      </w:pPr>
      <w:rPr>
        <w:rFonts w:cs="Times New Roman"/>
      </w:rPr>
    </w:lvl>
    <w:lvl w:ilvl="2" w:tentative="0">
      <w:start w:val="3"/>
      <w:numFmt w:val="japaneseCounting"/>
      <w:lvlText w:val="（%3）"/>
      <w:lvlJc w:val="left"/>
      <w:pPr>
        <w:tabs>
          <w:tab w:val="left" w:pos="1800"/>
        </w:tabs>
        <w:ind w:left="1800" w:hanging="720"/>
      </w:pPr>
      <w:rPr>
        <w:rFonts w:cs="Times New Roman"/>
        <w:color w:val="FF0000"/>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8">
    <w:nsid w:val="00000020"/>
    <w:multiLevelType w:val="multilevel"/>
    <w:tmpl w:val="00000020"/>
    <w:lvl w:ilvl="0" w:tentative="0">
      <w:start w:val="1"/>
      <w:numFmt w:val="chineseCounting"/>
      <w:suff w:val="nothing"/>
      <w:lvlText w:val="（%1）"/>
      <w:lvlJc w:val="left"/>
    </w:lvl>
    <w:lvl w:ilvl="1" w:tentative="0">
      <w:start w:val="1"/>
      <w:numFmt w:val="lowerLetter"/>
      <w:lvlText w:val="%2)"/>
      <w:lvlJc w:val="left"/>
      <w:pPr>
        <w:tabs>
          <w:tab w:val="left" w:pos="300"/>
        </w:tabs>
        <w:ind w:left="300" w:hanging="420"/>
      </w:pPr>
      <w:rPr>
        <w:rFonts w:hint="default" w:cs="Times New Roman"/>
        <w:u w:val="none" w:color="auto"/>
      </w:rPr>
    </w:lvl>
    <w:lvl w:ilvl="2" w:tentative="0">
      <w:start w:val="1"/>
      <w:numFmt w:val="lowerRoman"/>
      <w:lvlText w:val="%3."/>
      <w:lvlJc w:val="right"/>
      <w:pPr>
        <w:tabs>
          <w:tab w:val="left" w:pos="720"/>
        </w:tabs>
        <w:ind w:left="720" w:hanging="420"/>
      </w:pPr>
      <w:rPr>
        <w:rFonts w:hint="default" w:cs="Times New Roman"/>
        <w:u w:val="none" w:color="auto"/>
      </w:rPr>
    </w:lvl>
    <w:lvl w:ilvl="3" w:tentative="0">
      <w:start w:val="1"/>
      <w:numFmt w:val="decimal"/>
      <w:lvlText w:val="%4."/>
      <w:lvlJc w:val="left"/>
      <w:pPr>
        <w:tabs>
          <w:tab w:val="left" w:pos="1140"/>
        </w:tabs>
        <w:ind w:left="1140" w:hanging="420"/>
      </w:pPr>
      <w:rPr>
        <w:rFonts w:hint="default" w:cs="Times New Roman"/>
        <w:u w:val="none" w:color="auto"/>
      </w:rPr>
    </w:lvl>
    <w:lvl w:ilvl="4" w:tentative="0">
      <w:start w:val="1"/>
      <w:numFmt w:val="lowerLetter"/>
      <w:lvlText w:val="%5)"/>
      <w:lvlJc w:val="left"/>
      <w:pPr>
        <w:tabs>
          <w:tab w:val="left" w:pos="1560"/>
        </w:tabs>
        <w:ind w:left="1560" w:hanging="420"/>
      </w:pPr>
      <w:rPr>
        <w:rFonts w:hint="default" w:cs="Times New Roman"/>
        <w:u w:val="none" w:color="auto"/>
      </w:rPr>
    </w:lvl>
    <w:lvl w:ilvl="5" w:tentative="0">
      <w:start w:val="1"/>
      <w:numFmt w:val="lowerRoman"/>
      <w:lvlText w:val="%6."/>
      <w:lvlJc w:val="right"/>
      <w:pPr>
        <w:tabs>
          <w:tab w:val="left" w:pos="1980"/>
        </w:tabs>
        <w:ind w:left="1980" w:hanging="420"/>
      </w:pPr>
      <w:rPr>
        <w:rFonts w:hint="default" w:cs="Times New Roman"/>
        <w:u w:val="none" w:color="auto"/>
      </w:rPr>
    </w:lvl>
    <w:lvl w:ilvl="6" w:tentative="0">
      <w:start w:val="1"/>
      <w:numFmt w:val="decimal"/>
      <w:lvlText w:val="%7."/>
      <w:lvlJc w:val="left"/>
      <w:pPr>
        <w:tabs>
          <w:tab w:val="left" w:pos="2400"/>
        </w:tabs>
        <w:ind w:left="2400" w:hanging="420"/>
      </w:pPr>
      <w:rPr>
        <w:rFonts w:hint="default" w:cs="Times New Roman"/>
        <w:u w:val="none" w:color="auto"/>
      </w:rPr>
    </w:lvl>
    <w:lvl w:ilvl="7" w:tentative="0">
      <w:start w:val="1"/>
      <w:numFmt w:val="lowerLetter"/>
      <w:lvlText w:val="%8)"/>
      <w:lvlJc w:val="left"/>
      <w:pPr>
        <w:tabs>
          <w:tab w:val="left" w:pos="2820"/>
        </w:tabs>
        <w:ind w:left="2820" w:hanging="420"/>
      </w:pPr>
      <w:rPr>
        <w:rFonts w:hint="default" w:cs="Times New Roman"/>
        <w:u w:val="none" w:color="auto"/>
      </w:rPr>
    </w:lvl>
    <w:lvl w:ilvl="8" w:tentative="0">
      <w:start w:val="1"/>
      <w:numFmt w:val="lowerRoman"/>
      <w:lvlText w:val="%9."/>
      <w:lvlJc w:val="right"/>
      <w:pPr>
        <w:tabs>
          <w:tab w:val="left" w:pos="3240"/>
        </w:tabs>
        <w:ind w:left="3240" w:hanging="420"/>
      </w:pPr>
      <w:rPr>
        <w:rFonts w:hint="default" w:cs="Times New Roman"/>
        <w:u w:val="none" w:color="auto"/>
      </w:rPr>
    </w:lvl>
  </w:abstractNum>
  <w:abstractNum w:abstractNumId="9">
    <w:nsid w:val="00000022"/>
    <w:multiLevelType w:val="multilevel"/>
    <w:tmpl w:val="00000022"/>
    <w:lvl w:ilvl="0" w:tentative="0">
      <w:start w:val="1"/>
      <w:numFmt w:val="decimal"/>
      <w:pStyle w:val="24"/>
      <w:lvlText w:val="%1."/>
      <w:lvlJc w:val="left"/>
      <w:pPr>
        <w:tabs>
          <w:tab w:val="left" w:pos="1200"/>
        </w:tabs>
        <w:ind w:left="1200" w:hanging="360"/>
      </w:p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0">
    <w:nsid w:val="00000024"/>
    <w:multiLevelType w:val="multilevel"/>
    <w:tmpl w:val="00000024"/>
    <w:lvl w:ilvl="0" w:tentative="0">
      <w:start w:val="1"/>
      <w:numFmt w:val="decimal"/>
      <w:pStyle w:val="157"/>
      <w:suff w:val="nothing"/>
      <w:lvlText w:val="%1　"/>
      <w:lvlJc w:val="left"/>
      <w:pPr>
        <w:tabs>
          <w:tab w:val="left" w:pos="0"/>
        </w:tabs>
        <w:ind w:left="105"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1" w:tentative="0">
      <w:start w:val="1"/>
      <w:numFmt w:val="decimal"/>
      <w:suff w:val="nothing"/>
      <w:lvlText w:val="%1.%2　"/>
      <w:lvlJc w:val="left"/>
      <w:pPr>
        <w:tabs>
          <w:tab w:val="left" w:pos="0"/>
        </w:tabs>
        <w:ind w:left="0"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2" w:tentative="0">
      <w:start w:val="1"/>
      <w:numFmt w:val="decimal"/>
      <w:suff w:val="nothing"/>
      <w:lvlText w:val="%1.%2.%3　"/>
      <w:lvlJc w:val="left"/>
      <w:pPr>
        <w:tabs>
          <w:tab w:val="left" w:pos="0"/>
        </w:tabs>
        <w:ind w:left="1985" w:hanging="1985"/>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1">
    <w:nsid w:val="29D120CC"/>
    <w:multiLevelType w:val="singleLevel"/>
    <w:tmpl w:val="29D120CC"/>
    <w:lvl w:ilvl="0" w:tentative="0">
      <w:start w:val="1"/>
      <w:numFmt w:val="decimal"/>
      <w:suff w:val="nothing"/>
      <w:lvlText w:val="（%1）"/>
      <w:lvlJc w:val="left"/>
    </w:lvl>
  </w:abstractNum>
  <w:abstractNum w:abstractNumId="12">
    <w:nsid w:val="59F1C7B7"/>
    <w:multiLevelType w:val="singleLevel"/>
    <w:tmpl w:val="59F1C7B7"/>
    <w:lvl w:ilvl="0" w:tentative="0">
      <w:start w:val="4"/>
      <w:numFmt w:val="chineseCounting"/>
      <w:suff w:val="nothing"/>
      <w:lvlText w:val="（%1）"/>
      <w:lvlJc w:val="left"/>
    </w:lvl>
  </w:abstractNum>
  <w:abstractNum w:abstractNumId="13">
    <w:nsid w:val="59F56D91"/>
    <w:multiLevelType w:val="singleLevel"/>
    <w:tmpl w:val="59F56D91"/>
    <w:lvl w:ilvl="0" w:tentative="0">
      <w:start w:val="1"/>
      <w:numFmt w:val="decimal"/>
      <w:suff w:val="nothing"/>
      <w:lvlText w:val="（%1）"/>
      <w:lvlJc w:val="left"/>
    </w:lvl>
  </w:abstractNum>
  <w:abstractNum w:abstractNumId="14">
    <w:nsid w:val="59FEDFBD"/>
    <w:multiLevelType w:val="multilevel"/>
    <w:tmpl w:val="59FEDFBD"/>
    <w:lvl w:ilvl="0" w:tentative="0">
      <w:start w:val="1"/>
      <w:numFmt w:val="decimal"/>
      <w:suff w:val="nothing"/>
      <w:lvlText w:val="（%1）"/>
      <w:lvlJc w:val="left"/>
      <w:pPr>
        <w:ind w:left="0" w:firstLine="0"/>
      </w:pPr>
      <w:rPr>
        <w:rFonts w:hint="default" w:ascii="Times New Roman"/>
        <w:u w:val="none" w:color="auto"/>
      </w:rPr>
    </w:lvl>
    <w:lvl w:ilvl="1" w:tentative="0">
      <w:start w:val="1"/>
      <w:numFmt w:val="decimal"/>
      <w:lvlText w:val="%2."/>
      <w:lvlJc w:val="left"/>
      <w:pPr>
        <w:tabs>
          <w:tab w:val="left" w:pos="1440"/>
        </w:tabs>
        <w:ind w:left="1440" w:hanging="360"/>
      </w:pPr>
      <w:rPr>
        <w:rFonts w:hint="default" w:ascii="Times New Roman"/>
        <w:u w:val="none" w:color="auto"/>
      </w:rPr>
    </w:lvl>
    <w:lvl w:ilvl="2" w:tentative="0">
      <w:start w:val="1"/>
      <w:numFmt w:val="decimal"/>
      <w:lvlText w:val="%3."/>
      <w:lvlJc w:val="left"/>
      <w:pPr>
        <w:tabs>
          <w:tab w:val="left" w:pos="2160"/>
        </w:tabs>
        <w:ind w:left="2160" w:hanging="360"/>
      </w:pPr>
      <w:rPr>
        <w:rFonts w:hint="default" w:ascii="Times New Roman"/>
        <w:u w:val="none" w:color="auto"/>
      </w:rPr>
    </w:lvl>
    <w:lvl w:ilvl="3" w:tentative="0">
      <w:start w:val="1"/>
      <w:numFmt w:val="decimal"/>
      <w:lvlText w:val="%4."/>
      <w:lvlJc w:val="left"/>
      <w:pPr>
        <w:tabs>
          <w:tab w:val="left" w:pos="2880"/>
        </w:tabs>
        <w:ind w:left="2880" w:hanging="360"/>
      </w:pPr>
      <w:rPr>
        <w:rFonts w:hint="default" w:ascii="Times New Roman"/>
        <w:u w:val="none" w:color="auto"/>
      </w:rPr>
    </w:lvl>
    <w:lvl w:ilvl="4" w:tentative="0">
      <w:start w:val="1"/>
      <w:numFmt w:val="decimal"/>
      <w:lvlText w:val="%5."/>
      <w:lvlJc w:val="left"/>
      <w:pPr>
        <w:tabs>
          <w:tab w:val="left" w:pos="3600"/>
        </w:tabs>
        <w:ind w:left="3600" w:hanging="360"/>
      </w:pPr>
      <w:rPr>
        <w:rFonts w:hint="default" w:ascii="Times New Roman"/>
        <w:u w:val="none" w:color="auto"/>
      </w:rPr>
    </w:lvl>
    <w:lvl w:ilvl="5" w:tentative="0">
      <w:start w:val="1"/>
      <w:numFmt w:val="decimal"/>
      <w:lvlText w:val="%6."/>
      <w:lvlJc w:val="left"/>
      <w:pPr>
        <w:tabs>
          <w:tab w:val="left" w:pos="4320"/>
        </w:tabs>
        <w:ind w:left="4320" w:hanging="360"/>
      </w:pPr>
      <w:rPr>
        <w:rFonts w:hint="default" w:ascii="Times New Roman"/>
        <w:u w:val="none" w:color="auto"/>
      </w:rPr>
    </w:lvl>
    <w:lvl w:ilvl="6" w:tentative="0">
      <w:start w:val="1"/>
      <w:numFmt w:val="decimal"/>
      <w:lvlText w:val="%7."/>
      <w:lvlJc w:val="left"/>
      <w:pPr>
        <w:tabs>
          <w:tab w:val="left" w:pos="5040"/>
        </w:tabs>
        <w:ind w:left="5040" w:hanging="360"/>
      </w:pPr>
      <w:rPr>
        <w:rFonts w:hint="default" w:ascii="Times New Roman"/>
        <w:u w:val="none" w:color="auto"/>
      </w:rPr>
    </w:lvl>
    <w:lvl w:ilvl="7" w:tentative="0">
      <w:start w:val="1"/>
      <w:numFmt w:val="decimal"/>
      <w:lvlText w:val="%8."/>
      <w:lvlJc w:val="left"/>
      <w:pPr>
        <w:tabs>
          <w:tab w:val="left" w:pos="5760"/>
        </w:tabs>
        <w:ind w:left="5760" w:hanging="360"/>
      </w:pPr>
      <w:rPr>
        <w:rFonts w:hint="default" w:ascii="Times New Roman"/>
        <w:u w:val="none" w:color="auto"/>
      </w:rPr>
    </w:lvl>
    <w:lvl w:ilvl="8" w:tentative="0">
      <w:start w:val="1"/>
      <w:numFmt w:val="decimal"/>
      <w:lvlText w:val="%9."/>
      <w:lvlJc w:val="left"/>
      <w:pPr>
        <w:tabs>
          <w:tab w:val="left" w:pos="6480"/>
        </w:tabs>
        <w:ind w:left="6480" w:hanging="360"/>
      </w:pPr>
      <w:rPr>
        <w:rFonts w:hint="default" w:ascii="Times New Roman"/>
        <w:u w:val="none" w:color="auto"/>
      </w:rPr>
    </w:lvl>
  </w:abstractNum>
  <w:num w:numId="1">
    <w:abstractNumId w:val="9"/>
  </w:num>
  <w:num w:numId="2">
    <w:abstractNumId w:val="10"/>
  </w:num>
  <w:num w:numId="3">
    <w:abstractNumId w:val="5"/>
  </w:num>
  <w:num w:numId="4">
    <w:abstractNumId w:val="3"/>
  </w:num>
  <w:num w:numId="5">
    <w:abstractNumId w:val="7"/>
  </w:num>
  <w:num w:numId="6">
    <w:abstractNumId w:val="13"/>
  </w:num>
  <w:num w:numId="7">
    <w:abstractNumId w:val="11"/>
  </w:num>
  <w:num w:numId="8">
    <w:abstractNumId w:val="6"/>
  </w:num>
  <w:num w:numId="9">
    <w:abstractNumId w:val="8"/>
  </w:num>
  <w:num w:numId="10">
    <w:abstractNumId w:val="4"/>
  </w:num>
  <w:num w:numId="11">
    <w:abstractNumId w:val="12"/>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OTAzMWZiOWRlMTk0MzBjYTg0NWY0YjkzOWFjNDAyNmQ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819"/>
    <w:rsid w:val="00003736"/>
    <w:rsid w:val="00043C49"/>
    <w:rsid w:val="00043E46"/>
    <w:rsid w:val="00046D02"/>
    <w:rsid w:val="0007724A"/>
    <w:rsid w:val="0008353B"/>
    <w:rsid w:val="00096F45"/>
    <w:rsid w:val="000B4944"/>
    <w:rsid w:val="000C44A5"/>
    <w:rsid w:val="000E10E7"/>
    <w:rsid w:val="000E34C5"/>
    <w:rsid w:val="000E6B30"/>
    <w:rsid w:val="000E7E2D"/>
    <w:rsid w:val="00103884"/>
    <w:rsid w:val="00106F98"/>
    <w:rsid w:val="00112ECA"/>
    <w:rsid w:val="00122DA1"/>
    <w:rsid w:val="001355D8"/>
    <w:rsid w:val="001356C6"/>
    <w:rsid w:val="001437E8"/>
    <w:rsid w:val="00143E60"/>
    <w:rsid w:val="001512F0"/>
    <w:rsid w:val="001541A3"/>
    <w:rsid w:val="00173C4C"/>
    <w:rsid w:val="00173CBF"/>
    <w:rsid w:val="001758AD"/>
    <w:rsid w:val="001905D8"/>
    <w:rsid w:val="001A0375"/>
    <w:rsid w:val="001A5C76"/>
    <w:rsid w:val="001B2E7F"/>
    <w:rsid w:val="001B521D"/>
    <w:rsid w:val="001C11AA"/>
    <w:rsid w:val="001C6605"/>
    <w:rsid w:val="001C70B5"/>
    <w:rsid w:val="001E3E44"/>
    <w:rsid w:val="00210449"/>
    <w:rsid w:val="00215A54"/>
    <w:rsid w:val="00223AFA"/>
    <w:rsid w:val="00243730"/>
    <w:rsid w:val="00245817"/>
    <w:rsid w:val="00255A5F"/>
    <w:rsid w:val="0025694B"/>
    <w:rsid w:val="00274BF9"/>
    <w:rsid w:val="00280CAB"/>
    <w:rsid w:val="002839CD"/>
    <w:rsid w:val="002925B0"/>
    <w:rsid w:val="002C755B"/>
    <w:rsid w:val="002F3B87"/>
    <w:rsid w:val="00314C94"/>
    <w:rsid w:val="0033238B"/>
    <w:rsid w:val="00342694"/>
    <w:rsid w:val="00347105"/>
    <w:rsid w:val="00366FCF"/>
    <w:rsid w:val="00382EE0"/>
    <w:rsid w:val="0038578D"/>
    <w:rsid w:val="003B39BC"/>
    <w:rsid w:val="003C0AF4"/>
    <w:rsid w:val="003C1AB8"/>
    <w:rsid w:val="003C1CF4"/>
    <w:rsid w:val="003C63AB"/>
    <w:rsid w:val="003C7FA7"/>
    <w:rsid w:val="003D3F33"/>
    <w:rsid w:val="003F7179"/>
    <w:rsid w:val="00400F93"/>
    <w:rsid w:val="004105DA"/>
    <w:rsid w:val="004200E3"/>
    <w:rsid w:val="0042033A"/>
    <w:rsid w:val="00445EAF"/>
    <w:rsid w:val="00485360"/>
    <w:rsid w:val="00487A88"/>
    <w:rsid w:val="00493874"/>
    <w:rsid w:val="004A3785"/>
    <w:rsid w:val="004A45A9"/>
    <w:rsid w:val="004B0171"/>
    <w:rsid w:val="004C06C6"/>
    <w:rsid w:val="004C1A6A"/>
    <w:rsid w:val="004C1FEF"/>
    <w:rsid w:val="004D2BAC"/>
    <w:rsid w:val="004E1C49"/>
    <w:rsid w:val="004E4692"/>
    <w:rsid w:val="00541A53"/>
    <w:rsid w:val="00544F38"/>
    <w:rsid w:val="00545C75"/>
    <w:rsid w:val="00574888"/>
    <w:rsid w:val="005801B8"/>
    <w:rsid w:val="005B1DCD"/>
    <w:rsid w:val="005B4C1A"/>
    <w:rsid w:val="005B578C"/>
    <w:rsid w:val="005C18F9"/>
    <w:rsid w:val="005C5E32"/>
    <w:rsid w:val="005F5FF4"/>
    <w:rsid w:val="0060060A"/>
    <w:rsid w:val="00620B78"/>
    <w:rsid w:val="00640E10"/>
    <w:rsid w:val="00645646"/>
    <w:rsid w:val="006521F0"/>
    <w:rsid w:val="00665A31"/>
    <w:rsid w:val="00674F90"/>
    <w:rsid w:val="00683347"/>
    <w:rsid w:val="00691BB2"/>
    <w:rsid w:val="006D12DA"/>
    <w:rsid w:val="006D2B52"/>
    <w:rsid w:val="006E3201"/>
    <w:rsid w:val="0070033A"/>
    <w:rsid w:val="00706ED8"/>
    <w:rsid w:val="00712DDA"/>
    <w:rsid w:val="0071693A"/>
    <w:rsid w:val="00716A2F"/>
    <w:rsid w:val="00726C60"/>
    <w:rsid w:val="007501E1"/>
    <w:rsid w:val="007546C9"/>
    <w:rsid w:val="007852CF"/>
    <w:rsid w:val="007A2F69"/>
    <w:rsid w:val="007A3668"/>
    <w:rsid w:val="007B26AA"/>
    <w:rsid w:val="007B5E19"/>
    <w:rsid w:val="007C5698"/>
    <w:rsid w:val="007E46F3"/>
    <w:rsid w:val="007E7997"/>
    <w:rsid w:val="008013B2"/>
    <w:rsid w:val="00801C61"/>
    <w:rsid w:val="00805004"/>
    <w:rsid w:val="0083101D"/>
    <w:rsid w:val="008315A1"/>
    <w:rsid w:val="00863D5D"/>
    <w:rsid w:val="008676E9"/>
    <w:rsid w:val="00873860"/>
    <w:rsid w:val="00875E0B"/>
    <w:rsid w:val="008939BB"/>
    <w:rsid w:val="00895E29"/>
    <w:rsid w:val="008A17C8"/>
    <w:rsid w:val="008B5158"/>
    <w:rsid w:val="008D04C4"/>
    <w:rsid w:val="008D7C97"/>
    <w:rsid w:val="008E3289"/>
    <w:rsid w:val="008E6F9C"/>
    <w:rsid w:val="00903054"/>
    <w:rsid w:val="00913682"/>
    <w:rsid w:val="00923892"/>
    <w:rsid w:val="00927078"/>
    <w:rsid w:val="00942C1A"/>
    <w:rsid w:val="009467E3"/>
    <w:rsid w:val="009625B4"/>
    <w:rsid w:val="00966B99"/>
    <w:rsid w:val="009743BF"/>
    <w:rsid w:val="00986118"/>
    <w:rsid w:val="009901B5"/>
    <w:rsid w:val="009A73BE"/>
    <w:rsid w:val="009C7F34"/>
    <w:rsid w:val="009D335C"/>
    <w:rsid w:val="009D6C21"/>
    <w:rsid w:val="009E39FD"/>
    <w:rsid w:val="009F4379"/>
    <w:rsid w:val="00A20E0A"/>
    <w:rsid w:val="00A30D1A"/>
    <w:rsid w:val="00A4023F"/>
    <w:rsid w:val="00A735DA"/>
    <w:rsid w:val="00A758AE"/>
    <w:rsid w:val="00A870B5"/>
    <w:rsid w:val="00A87D04"/>
    <w:rsid w:val="00AA375A"/>
    <w:rsid w:val="00AB06EA"/>
    <w:rsid w:val="00AE3382"/>
    <w:rsid w:val="00B20AE6"/>
    <w:rsid w:val="00B34B71"/>
    <w:rsid w:val="00B41730"/>
    <w:rsid w:val="00B562C2"/>
    <w:rsid w:val="00B60CEA"/>
    <w:rsid w:val="00B6106B"/>
    <w:rsid w:val="00B76AA1"/>
    <w:rsid w:val="00BC08EC"/>
    <w:rsid w:val="00BD4120"/>
    <w:rsid w:val="00BF7353"/>
    <w:rsid w:val="00C10A97"/>
    <w:rsid w:val="00C14EFF"/>
    <w:rsid w:val="00C31180"/>
    <w:rsid w:val="00C31C52"/>
    <w:rsid w:val="00C51A3A"/>
    <w:rsid w:val="00C52CF8"/>
    <w:rsid w:val="00C55D6C"/>
    <w:rsid w:val="00C6715C"/>
    <w:rsid w:val="00C675CF"/>
    <w:rsid w:val="00C9038E"/>
    <w:rsid w:val="00CA13A3"/>
    <w:rsid w:val="00CB2CDC"/>
    <w:rsid w:val="00CE1180"/>
    <w:rsid w:val="00CE5C1A"/>
    <w:rsid w:val="00CF4173"/>
    <w:rsid w:val="00D34207"/>
    <w:rsid w:val="00D57DCD"/>
    <w:rsid w:val="00D62FA5"/>
    <w:rsid w:val="00D866B8"/>
    <w:rsid w:val="00D944CE"/>
    <w:rsid w:val="00D96667"/>
    <w:rsid w:val="00DE4F4F"/>
    <w:rsid w:val="00DF509C"/>
    <w:rsid w:val="00E022F1"/>
    <w:rsid w:val="00E1120F"/>
    <w:rsid w:val="00E414B6"/>
    <w:rsid w:val="00E56199"/>
    <w:rsid w:val="00E61B6D"/>
    <w:rsid w:val="00E709C6"/>
    <w:rsid w:val="00E87AF1"/>
    <w:rsid w:val="00E90FD0"/>
    <w:rsid w:val="00EA463E"/>
    <w:rsid w:val="00EB35E1"/>
    <w:rsid w:val="00EB6490"/>
    <w:rsid w:val="00EB678F"/>
    <w:rsid w:val="00EE4998"/>
    <w:rsid w:val="00EF2DF5"/>
    <w:rsid w:val="00F02EAE"/>
    <w:rsid w:val="00F07786"/>
    <w:rsid w:val="00F27203"/>
    <w:rsid w:val="00F416F4"/>
    <w:rsid w:val="00F47FE2"/>
    <w:rsid w:val="00F51466"/>
    <w:rsid w:val="00F71A3E"/>
    <w:rsid w:val="00FE35DC"/>
    <w:rsid w:val="00FF1B26"/>
    <w:rsid w:val="01324854"/>
    <w:rsid w:val="014B5407"/>
    <w:rsid w:val="01541287"/>
    <w:rsid w:val="018F52CB"/>
    <w:rsid w:val="01D935A1"/>
    <w:rsid w:val="02096ABB"/>
    <w:rsid w:val="020B669D"/>
    <w:rsid w:val="021A120D"/>
    <w:rsid w:val="022B55EB"/>
    <w:rsid w:val="02340F3E"/>
    <w:rsid w:val="023A2572"/>
    <w:rsid w:val="026704F1"/>
    <w:rsid w:val="02886C4A"/>
    <w:rsid w:val="02AA01DC"/>
    <w:rsid w:val="02C73B59"/>
    <w:rsid w:val="02CE7D30"/>
    <w:rsid w:val="031646D2"/>
    <w:rsid w:val="032D29B2"/>
    <w:rsid w:val="03433F57"/>
    <w:rsid w:val="034C6E41"/>
    <w:rsid w:val="03886A90"/>
    <w:rsid w:val="03B96C55"/>
    <w:rsid w:val="03F446E0"/>
    <w:rsid w:val="042A13CF"/>
    <w:rsid w:val="04365D85"/>
    <w:rsid w:val="043B589B"/>
    <w:rsid w:val="047B5199"/>
    <w:rsid w:val="04AB63A2"/>
    <w:rsid w:val="04EE5CCC"/>
    <w:rsid w:val="04F06D45"/>
    <w:rsid w:val="04F14DB6"/>
    <w:rsid w:val="05387ECA"/>
    <w:rsid w:val="058202DC"/>
    <w:rsid w:val="05BC3476"/>
    <w:rsid w:val="05DC5310"/>
    <w:rsid w:val="0612610E"/>
    <w:rsid w:val="063F4B76"/>
    <w:rsid w:val="06483C07"/>
    <w:rsid w:val="069A1E92"/>
    <w:rsid w:val="06AE1539"/>
    <w:rsid w:val="06F41689"/>
    <w:rsid w:val="07140325"/>
    <w:rsid w:val="074844BB"/>
    <w:rsid w:val="075D0EBE"/>
    <w:rsid w:val="075E481D"/>
    <w:rsid w:val="0786613B"/>
    <w:rsid w:val="078A1143"/>
    <w:rsid w:val="078C45CD"/>
    <w:rsid w:val="07E40437"/>
    <w:rsid w:val="07E663EC"/>
    <w:rsid w:val="07FA40BB"/>
    <w:rsid w:val="08006815"/>
    <w:rsid w:val="080A3E1C"/>
    <w:rsid w:val="0863610C"/>
    <w:rsid w:val="0883710E"/>
    <w:rsid w:val="089D63E7"/>
    <w:rsid w:val="08BB6C88"/>
    <w:rsid w:val="08D244A8"/>
    <w:rsid w:val="08F01D68"/>
    <w:rsid w:val="08FC5295"/>
    <w:rsid w:val="090B21AC"/>
    <w:rsid w:val="092E53F1"/>
    <w:rsid w:val="093C424D"/>
    <w:rsid w:val="09533B42"/>
    <w:rsid w:val="09774898"/>
    <w:rsid w:val="09920DB0"/>
    <w:rsid w:val="09A5445D"/>
    <w:rsid w:val="09EE642B"/>
    <w:rsid w:val="0A10759D"/>
    <w:rsid w:val="0A2222AC"/>
    <w:rsid w:val="0A330956"/>
    <w:rsid w:val="0A4443E6"/>
    <w:rsid w:val="0A8E73F1"/>
    <w:rsid w:val="0ABA3A59"/>
    <w:rsid w:val="0ACA58AD"/>
    <w:rsid w:val="0AE8785D"/>
    <w:rsid w:val="0AF6651D"/>
    <w:rsid w:val="0AFB1A29"/>
    <w:rsid w:val="0AFC609E"/>
    <w:rsid w:val="0B1D27B6"/>
    <w:rsid w:val="0B3A50E9"/>
    <w:rsid w:val="0B43606F"/>
    <w:rsid w:val="0B552F9B"/>
    <w:rsid w:val="0B6F5DB2"/>
    <w:rsid w:val="0B7863DB"/>
    <w:rsid w:val="0B87173A"/>
    <w:rsid w:val="0B8F3A0C"/>
    <w:rsid w:val="0B9D355B"/>
    <w:rsid w:val="0BCE7DAA"/>
    <w:rsid w:val="0C142450"/>
    <w:rsid w:val="0C2F5ACF"/>
    <w:rsid w:val="0C397890"/>
    <w:rsid w:val="0C570C5F"/>
    <w:rsid w:val="0C747B49"/>
    <w:rsid w:val="0C7B7DF1"/>
    <w:rsid w:val="0C9C4B44"/>
    <w:rsid w:val="0CA5632A"/>
    <w:rsid w:val="0CC12870"/>
    <w:rsid w:val="0CC70A04"/>
    <w:rsid w:val="0CC90F7D"/>
    <w:rsid w:val="0CDF0A18"/>
    <w:rsid w:val="0D245CFE"/>
    <w:rsid w:val="0D25762A"/>
    <w:rsid w:val="0D4947E3"/>
    <w:rsid w:val="0D650680"/>
    <w:rsid w:val="0D6612AE"/>
    <w:rsid w:val="0D76571A"/>
    <w:rsid w:val="0DBF4B4E"/>
    <w:rsid w:val="0DFA596B"/>
    <w:rsid w:val="0E1B6172"/>
    <w:rsid w:val="0E3F418E"/>
    <w:rsid w:val="0E400E48"/>
    <w:rsid w:val="0E924011"/>
    <w:rsid w:val="0E931690"/>
    <w:rsid w:val="0EA646CE"/>
    <w:rsid w:val="0EC66078"/>
    <w:rsid w:val="0ECA1408"/>
    <w:rsid w:val="0ED132EA"/>
    <w:rsid w:val="0ED434F5"/>
    <w:rsid w:val="0EE53B0D"/>
    <w:rsid w:val="0EFC6ED9"/>
    <w:rsid w:val="0F2575D3"/>
    <w:rsid w:val="0F5A74C8"/>
    <w:rsid w:val="0F627879"/>
    <w:rsid w:val="0F847C30"/>
    <w:rsid w:val="0F8C4E50"/>
    <w:rsid w:val="0F95263D"/>
    <w:rsid w:val="0F9A2890"/>
    <w:rsid w:val="0FAD2ECF"/>
    <w:rsid w:val="0FC42AB2"/>
    <w:rsid w:val="0FCA16C2"/>
    <w:rsid w:val="0FE22C2D"/>
    <w:rsid w:val="10097F4F"/>
    <w:rsid w:val="104957CA"/>
    <w:rsid w:val="10A14DDE"/>
    <w:rsid w:val="10CA7EC9"/>
    <w:rsid w:val="10D54448"/>
    <w:rsid w:val="10DD1069"/>
    <w:rsid w:val="10E4704C"/>
    <w:rsid w:val="11366CE3"/>
    <w:rsid w:val="113D4D5F"/>
    <w:rsid w:val="11564743"/>
    <w:rsid w:val="11722B22"/>
    <w:rsid w:val="117A4938"/>
    <w:rsid w:val="118D3E1B"/>
    <w:rsid w:val="11A4292D"/>
    <w:rsid w:val="11AC6FEE"/>
    <w:rsid w:val="11B57E8A"/>
    <w:rsid w:val="11CA477D"/>
    <w:rsid w:val="11D1448A"/>
    <w:rsid w:val="1220319B"/>
    <w:rsid w:val="12210B31"/>
    <w:rsid w:val="12441899"/>
    <w:rsid w:val="12547A1D"/>
    <w:rsid w:val="1267050A"/>
    <w:rsid w:val="12793292"/>
    <w:rsid w:val="12B332CD"/>
    <w:rsid w:val="12C82534"/>
    <w:rsid w:val="12CB4889"/>
    <w:rsid w:val="12F71501"/>
    <w:rsid w:val="12FB1128"/>
    <w:rsid w:val="130E3A09"/>
    <w:rsid w:val="13104DF0"/>
    <w:rsid w:val="131778C3"/>
    <w:rsid w:val="133203CD"/>
    <w:rsid w:val="13420EB1"/>
    <w:rsid w:val="138075FD"/>
    <w:rsid w:val="139239F7"/>
    <w:rsid w:val="13A9115B"/>
    <w:rsid w:val="13C403B4"/>
    <w:rsid w:val="13E25B79"/>
    <w:rsid w:val="140D48AF"/>
    <w:rsid w:val="14157116"/>
    <w:rsid w:val="14197EEC"/>
    <w:rsid w:val="141D3733"/>
    <w:rsid w:val="144569B0"/>
    <w:rsid w:val="14457A7C"/>
    <w:rsid w:val="148256C6"/>
    <w:rsid w:val="14931E55"/>
    <w:rsid w:val="14964AE8"/>
    <w:rsid w:val="14A654F5"/>
    <w:rsid w:val="14AE7E8C"/>
    <w:rsid w:val="14B05FC8"/>
    <w:rsid w:val="14CB4227"/>
    <w:rsid w:val="14D06A92"/>
    <w:rsid w:val="14D22406"/>
    <w:rsid w:val="152902FA"/>
    <w:rsid w:val="1538371A"/>
    <w:rsid w:val="156D1AE3"/>
    <w:rsid w:val="15935700"/>
    <w:rsid w:val="15AC15B0"/>
    <w:rsid w:val="15B94777"/>
    <w:rsid w:val="15E93217"/>
    <w:rsid w:val="160A63DE"/>
    <w:rsid w:val="160D099B"/>
    <w:rsid w:val="165E4538"/>
    <w:rsid w:val="1669478E"/>
    <w:rsid w:val="16987C05"/>
    <w:rsid w:val="16AF6604"/>
    <w:rsid w:val="16C0496F"/>
    <w:rsid w:val="16EE0B33"/>
    <w:rsid w:val="16F3507B"/>
    <w:rsid w:val="171253CB"/>
    <w:rsid w:val="17503BD6"/>
    <w:rsid w:val="175F1E4D"/>
    <w:rsid w:val="17810A21"/>
    <w:rsid w:val="1782194A"/>
    <w:rsid w:val="179118BF"/>
    <w:rsid w:val="17A558E1"/>
    <w:rsid w:val="17CB0FF0"/>
    <w:rsid w:val="17E46D30"/>
    <w:rsid w:val="17F46A26"/>
    <w:rsid w:val="1802514D"/>
    <w:rsid w:val="180513A4"/>
    <w:rsid w:val="181C3669"/>
    <w:rsid w:val="181D3C62"/>
    <w:rsid w:val="181E5BED"/>
    <w:rsid w:val="18351DF5"/>
    <w:rsid w:val="18512D9F"/>
    <w:rsid w:val="185C54ED"/>
    <w:rsid w:val="18723B19"/>
    <w:rsid w:val="18900A1F"/>
    <w:rsid w:val="189A1D2D"/>
    <w:rsid w:val="18A03CC2"/>
    <w:rsid w:val="18B004D2"/>
    <w:rsid w:val="18D77B2C"/>
    <w:rsid w:val="190D5B11"/>
    <w:rsid w:val="19173A91"/>
    <w:rsid w:val="19197A55"/>
    <w:rsid w:val="191C7B6F"/>
    <w:rsid w:val="193627CE"/>
    <w:rsid w:val="193D2486"/>
    <w:rsid w:val="195E472A"/>
    <w:rsid w:val="19770D35"/>
    <w:rsid w:val="19A44CF9"/>
    <w:rsid w:val="19B62055"/>
    <w:rsid w:val="19BA38BC"/>
    <w:rsid w:val="19E00D7C"/>
    <w:rsid w:val="1A145DAD"/>
    <w:rsid w:val="1A1A2AEC"/>
    <w:rsid w:val="1A427151"/>
    <w:rsid w:val="1A63253D"/>
    <w:rsid w:val="1A972D70"/>
    <w:rsid w:val="1A9E5F0A"/>
    <w:rsid w:val="1AB15758"/>
    <w:rsid w:val="1AE9547A"/>
    <w:rsid w:val="1AF554C1"/>
    <w:rsid w:val="1B084F03"/>
    <w:rsid w:val="1B105FDC"/>
    <w:rsid w:val="1B6F6A55"/>
    <w:rsid w:val="1B720650"/>
    <w:rsid w:val="1B9204B8"/>
    <w:rsid w:val="1B9B6681"/>
    <w:rsid w:val="1BAD70CA"/>
    <w:rsid w:val="1BB06F90"/>
    <w:rsid w:val="1BB92BE9"/>
    <w:rsid w:val="1BDC7BDD"/>
    <w:rsid w:val="1C115E31"/>
    <w:rsid w:val="1C287B68"/>
    <w:rsid w:val="1C3C2CFF"/>
    <w:rsid w:val="1C822B04"/>
    <w:rsid w:val="1CAF1685"/>
    <w:rsid w:val="1CBE55B6"/>
    <w:rsid w:val="1CC5072A"/>
    <w:rsid w:val="1CC86CD8"/>
    <w:rsid w:val="1CE20D13"/>
    <w:rsid w:val="1CEF492B"/>
    <w:rsid w:val="1CEF510E"/>
    <w:rsid w:val="1CF71C0F"/>
    <w:rsid w:val="1CFC62AA"/>
    <w:rsid w:val="1D3D4993"/>
    <w:rsid w:val="1D933CB0"/>
    <w:rsid w:val="1DA90725"/>
    <w:rsid w:val="1DAE5975"/>
    <w:rsid w:val="1E0A6632"/>
    <w:rsid w:val="1E28759A"/>
    <w:rsid w:val="1EC27536"/>
    <w:rsid w:val="1EDD7602"/>
    <w:rsid w:val="1F370175"/>
    <w:rsid w:val="1F692DA0"/>
    <w:rsid w:val="1F7C61B6"/>
    <w:rsid w:val="1F880997"/>
    <w:rsid w:val="1F8938D2"/>
    <w:rsid w:val="1FC43A2A"/>
    <w:rsid w:val="1FCB5BDA"/>
    <w:rsid w:val="1FCB7D72"/>
    <w:rsid w:val="1FDC64B6"/>
    <w:rsid w:val="1FED3477"/>
    <w:rsid w:val="1FEF54D4"/>
    <w:rsid w:val="1FF041B3"/>
    <w:rsid w:val="201C60D1"/>
    <w:rsid w:val="20215BEB"/>
    <w:rsid w:val="20287B58"/>
    <w:rsid w:val="2050604D"/>
    <w:rsid w:val="20734428"/>
    <w:rsid w:val="20765EAF"/>
    <w:rsid w:val="2086408C"/>
    <w:rsid w:val="20BD4383"/>
    <w:rsid w:val="20C63D07"/>
    <w:rsid w:val="20CB60E5"/>
    <w:rsid w:val="20D14CCB"/>
    <w:rsid w:val="20F628EE"/>
    <w:rsid w:val="210E1AF5"/>
    <w:rsid w:val="2116380C"/>
    <w:rsid w:val="21183D79"/>
    <w:rsid w:val="21443153"/>
    <w:rsid w:val="21465EE5"/>
    <w:rsid w:val="215E67D6"/>
    <w:rsid w:val="21894729"/>
    <w:rsid w:val="21A1511C"/>
    <w:rsid w:val="21B01C18"/>
    <w:rsid w:val="21D17878"/>
    <w:rsid w:val="21E6245A"/>
    <w:rsid w:val="21EA0D88"/>
    <w:rsid w:val="21F3753B"/>
    <w:rsid w:val="21F506E7"/>
    <w:rsid w:val="225B461C"/>
    <w:rsid w:val="22663648"/>
    <w:rsid w:val="22D563FC"/>
    <w:rsid w:val="22E920A8"/>
    <w:rsid w:val="23270669"/>
    <w:rsid w:val="234C2C81"/>
    <w:rsid w:val="238A7D90"/>
    <w:rsid w:val="23AA16FF"/>
    <w:rsid w:val="23AC7DBD"/>
    <w:rsid w:val="23B62477"/>
    <w:rsid w:val="241429BF"/>
    <w:rsid w:val="2434127F"/>
    <w:rsid w:val="243B595B"/>
    <w:rsid w:val="24CD2BF8"/>
    <w:rsid w:val="24EF2796"/>
    <w:rsid w:val="250B597C"/>
    <w:rsid w:val="252A598D"/>
    <w:rsid w:val="25964253"/>
    <w:rsid w:val="25E27B27"/>
    <w:rsid w:val="260149A0"/>
    <w:rsid w:val="2613381C"/>
    <w:rsid w:val="26945BFE"/>
    <w:rsid w:val="26956274"/>
    <w:rsid w:val="26B619D9"/>
    <w:rsid w:val="26C35542"/>
    <w:rsid w:val="26CE10F9"/>
    <w:rsid w:val="26E20818"/>
    <w:rsid w:val="26F3281D"/>
    <w:rsid w:val="275C3EF3"/>
    <w:rsid w:val="276A69F2"/>
    <w:rsid w:val="27A843F2"/>
    <w:rsid w:val="27B61629"/>
    <w:rsid w:val="27CC18EB"/>
    <w:rsid w:val="27E240BC"/>
    <w:rsid w:val="27E35515"/>
    <w:rsid w:val="280678F6"/>
    <w:rsid w:val="28375B92"/>
    <w:rsid w:val="285556AA"/>
    <w:rsid w:val="285E2428"/>
    <w:rsid w:val="28602139"/>
    <w:rsid w:val="28841280"/>
    <w:rsid w:val="28C8622D"/>
    <w:rsid w:val="291C7141"/>
    <w:rsid w:val="292C78B5"/>
    <w:rsid w:val="292E5158"/>
    <w:rsid w:val="292F7B3E"/>
    <w:rsid w:val="293D5B98"/>
    <w:rsid w:val="297835DF"/>
    <w:rsid w:val="298E0E4D"/>
    <w:rsid w:val="29A11B13"/>
    <w:rsid w:val="29FE48A2"/>
    <w:rsid w:val="2A0E6DD8"/>
    <w:rsid w:val="2A193C1E"/>
    <w:rsid w:val="2A30062C"/>
    <w:rsid w:val="2A3322EC"/>
    <w:rsid w:val="2A4E2046"/>
    <w:rsid w:val="2AA37805"/>
    <w:rsid w:val="2AAE59C1"/>
    <w:rsid w:val="2AC4386E"/>
    <w:rsid w:val="2AFA4ADE"/>
    <w:rsid w:val="2B1769DD"/>
    <w:rsid w:val="2B3B3784"/>
    <w:rsid w:val="2B597049"/>
    <w:rsid w:val="2B674091"/>
    <w:rsid w:val="2B6F0B2B"/>
    <w:rsid w:val="2B936FA7"/>
    <w:rsid w:val="2BA151BE"/>
    <w:rsid w:val="2BA74C30"/>
    <w:rsid w:val="2C034F33"/>
    <w:rsid w:val="2C5030EA"/>
    <w:rsid w:val="2C8213ED"/>
    <w:rsid w:val="2CC87CCD"/>
    <w:rsid w:val="2CD44ED2"/>
    <w:rsid w:val="2CDD4252"/>
    <w:rsid w:val="2D117637"/>
    <w:rsid w:val="2D2A79D2"/>
    <w:rsid w:val="2D336F93"/>
    <w:rsid w:val="2D3C2CA0"/>
    <w:rsid w:val="2D675D73"/>
    <w:rsid w:val="2D6F098A"/>
    <w:rsid w:val="2D730F7B"/>
    <w:rsid w:val="2D7E2021"/>
    <w:rsid w:val="2DBB1703"/>
    <w:rsid w:val="2DC960E5"/>
    <w:rsid w:val="2E116916"/>
    <w:rsid w:val="2E230780"/>
    <w:rsid w:val="2E24374A"/>
    <w:rsid w:val="2E6062BD"/>
    <w:rsid w:val="2E6F3616"/>
    <w:rsid w:val="2E7639DC"/>
    <w:rsid w:val="2E7B7D67"/>
    <w:rsid w:val="2E97180F"/>
    <w:rsid w:val="2ED0007E"/>
    <w:rsid w:val="2EF47A18"/>
    <w:rsid w:val="2F094122"/>
    <w:rsid w:val="2F272596"/>
    <w:rsid w:val="2F2D70E0"/>
    <w:rsid w:val="2F3D2027"/>
    <w:rsid w:val="2F517FE7"/>
    <w:rsid w:val="2F662C24"/>
    <w:rsid w:val="2F8F2668"/>
    <w:rsid w:val="2F9C76AB"/>
    <w:rsid w:val="2FA40A66"/>
    <w:rsid w:val="2FD03A0D"/>
    <w:rsid w:val="300E4AE3"/>
    <w:rsid w:val="301C4434"/>
    <w:rsid w:val="308F322D"/>
    <w:rsid w:val="309317F7"/>
    <w:rsid w:val="309A3846"/>
    <w:rsid w:val="30AA1F79"/>
    <w:rsid w:val="30AB16C4"/>
    <w:rsid w:val="30B314C5"/>
    <w:rsid w:val="30CD1ECF"/>
    <w:rsid w:val="30E93409"/>
    <w:rsid w:val="30FC62D2"/>
    <w:rsid w:val="3112399A"/>
    <w:rsid w:val="31227AA7"/>
    <w:rsid w:val="315F6BF3"/>
    <w:rsid w:val="31B4751A"/>
    <w:rsid w:val="31BE6BB0"/>
    <w:rsid w:val="31E81C84"/>
    <w:rsid w:val="321D7ABC"/>
    <w:rsid w:val="323205BB"/>
    <w:rsid w:val="32D2464F"/>
    <w:rsid w:val="32E661CF"/>
    <w:rsid w:val="32F6035D"/>
    <w:rsid w:val="33441B8B"/>
    <w:rsid w:val="338776A9"/>
    <w:rsid w:val="33CF590D"/>
    <w:rsid w:val="34086582"/>
    <w:rsid w:val="34534DD2"/>
    <w:rsid w:val="347A6CDA"/>
    <w:rsid w:val="348812D5"/>
    <w:rsid w:val="34921D58"/>
    <w:rsid w:val="34A41FB8"/>
    <w:rsid w:val="34AC40BF"/>
    <w:rsid w:val="34BE1741"/>
    <w:rsid w:val="34D0301A"/>
    <w:rsid w:val="34F74ED3"/>
    <w:rsid w:val="351F61B6"/>
    <w:rsid w:val="352617E5"/>
    <w:rsid w:val="35411821"/>
    <w:rsid w:val="35483A7C"/>
    <w:rsid w:val="358D569A"/>
    <w:rsid w:val="35D012EB"/>
    <w:rsid w:val="35D11805"/>
    <w:rsid w:val="35D31CC0"/>
    <w:rsid w:val="35D93DE0"/>
    <w:rsid w:val="35E70196"/>
    <w:rsid w:val="35F3633A"/>
    <w:rsid w:val="35F541D4"/>
    <w:rsid w:val="3621534E"/>
    <w:rsid w:val="3630126F"/>
    <w:rsid w:val="3635646B"/>
    <w:rsid w:val="36372C24"/>
    <w:rsid w:val="363C0A89"/>
    <w:rsid w:val="36402AD5"/>
    <w:rsid w:val="36582C80"/>
    <w:rsid w:val="36872032"/>
    <w:rsid w:val="369040B0"/>
    <w:rsid w:val="36927FE6"/>
    <w:rsid w:val="36AF3DFA"/>
    <w:rsid w:val="36CB42FC"/>
    <w:rsid w:val="36EE0760"/>
    <w:rsid w:val="37251493"/>
    <w:rsid w:val="375249C3"/>
    <w:rsid w:val="375F3FC4"/>
    <w:rsid w:val="37683FD2"/>
    <w:rsid w:val="379B6AD7"/>
    <w:rsid w:val="37A548EB"/>
    <w:rsid w:val="3816529E"/>
    <w:rsid w:val="3818493A"/>
    <w:rsid w:val="384C71EC"/>
    <w:rsid w:val="385F12F1"/>
    <w:rsid w:val="388A72CA"/>
    <w:rsid w:val="388F4F9A"/>
    <w:rsid w:val="389D17EE"/>
    <w:rsid w:val="38D34141"/>
    <w:rsid w:val="392C1B16"/>
    <w:rsid w:val="394A1CC0"/>
    <w:rsid w:val="3975376E"/>
    <w:rsid w:val="398712D6"/>
    <w:rsid w:val="398F5CF6"/>
    <w:rsid w:val="39AE3C5B"/>
    <w:rsid w:val="39BF1D2F"/>
    <w:rsid w:val="39F3271A"/>
    <w:rsid w:val="39F96396"/>
    <w:rsid w:val="3A106AEE"/>
    <w:rsid w:val="3A1367E2"/>
    <w:rsid w:val="3A14432C"/>
    <w:rsid w:val="3A217E73"/>
    <w:rsid w:val="3A4234A1"/>
    <w:rsid w:val="3A5C70FE"/>
    <w:rsid w:val="3A9912B8"/>
    <w:rsid w:val="3A9E7716"/>
    <w:rsid w:val="3AE91235"/>
    <w:rsid w:val="3B066C27"/>
    <w:rsid w:val="3B142F73"/>
    <w:rsid w:val="3B4F239A"/>
    <w:rsid w:val="3B6049CB"/>
    <w:rsid w:val="3B742225"/>
    <w:rsid w:val="3B7D59B9"/>
    <w:rsid w:val="3B882AAB"/>
    <w:rsid w:val="3B933827"/>
    <w:rsid w:val="3BEA42EB"/>
    <w:rsid w:val="3C0E345C"/>
    <w:rsid w:val="3C5C49C0"/>
    <w:rsid w:val="3C7E3FD4"/>
    <w:rsid w:val="3CB35362"/>
    <w:rsid w:val="3CB56A23"/>
    <w:rsid w:val="3CBC5414"/>
    <w:rsid w:val="3CCD76D0"/>
    <w:rsid w:val="3CDA7DCA"/>
    <w:rsid w:val="3CEA1038"/>
    <w:rsid w:val="3CF24461"/>
    <w:rsid w:val="3D012FF0"/>
    <w:rsid w:val="3D166743"/>
    <w:rsid w:val="3D171DBE"/>
    <w:rsid w:val="3D2C26BE"/>
    <w:rsid w:val="3D501415"/>
    <w:rsid w:val="3D566B14"/>
    <w:rsid w:val="3D65451B"/>
    <w:rsid w:val="3D7218E8"/>
    <w:rsid w:val="3D7755B8"/>
    <w:rsid w:val="3D98307D"/>
    <w:rsid w:val="3D986515"/>
    <w:rsid w:val="3DB7276D"/>
    <w:rsid w:val="3DBB36F6"/>
    <w:rsid w:val="3DBD4E6A"/>
    <w:rsid w:val="3DCF07CA"/>
    <w:rsid w:val="3E0955A0"/>
    <w:rsid w:val="3E3C56F0"/>
    <w:rsid w:val="3E424EED"/>
    <w:rsid w:val="3E741DFF"/>
    <w:rsid w:val="3E791F2E"/>
    <w:rsid w:val="3EF12EC2"/>
    <w:rsid w:val="3F721BBD"/>
    <w:rsid w:val="3F7C7853"/>
    <w:rsid w:val="3F8077B5"/>
    <w:rsid w:val="3FB76830"/>
    <w:rsid w:val="3FDC7957"/>
    <w:rsid w:val="401D0250"/>
    <w:rsid w:val="401E12EC"/>
    <w:rsid w:val="40221971"/>
    <w:rsid w:val="4047609F"/>
    <w:rsid w:val="406A0107"/>
    <w:rsid w:val="40A650D2"/>
    <w:rsid w:val="40CD665F"/>
    <w:rsid w:val="40DA1576"/>
    <w:rsid w:val="40E86291"/>
    <w:rsid w:val="40F51BBC"/>
    <w:rsid w:val="411252A2"/>
    <w:rsid w:val="4117092B"/>
    <w:rsid w:val="41A07E33"/>
    <w:rsid w:val="4230334A"/>
    <w:rsid w:val="423A128D"/>
    <w:rsid w:val="42440B94"/>
    <w:rsid w:val="42747E9E"/>
    <w:rsid w:val="427E6F0B"/>
    <w:rsid w:val="42893B24"/>
    <w:rsid w:val="435D1F13"/>
    <w:rsid w:val="4374065C"/>
    <w:rsid w:val="4379421C"/>
    <w:rsid w:val="43794748"/>
    <w:rsid w:val="437A12E7"/>
    <w:rsid w:val="438360D9"/>
    <w:rsid w:val="4387022A"/>
    <w:rsid w:val="438E2789"/>
    <w:rsid w:val="43E34B1B"/>
    <w:rsid w:val="44133F84"/>
    <w:rsid w:val="44333928"/>
    <w:rsid w:val="443B7D84"/>
    <w:rsid w:val="444D1E13"/>
    <w:rsid w:val="445115AC"/>
    <w:rsid w:val="44792897"/>
    <w:rsid w:val="449A4EC1"/>
    <w:rsid w:val="44AA7616"/>
    <w:rsid w:val="44C6031F"/>
    <w:rsid w:val="455C6F9E"/>
    <w:rsid w:val="457263CD"/>
    <w:rsid w:val="45947E4C"/>
    <w:rsid w:val="45C061D6"/>
    <w:rsid w:val="45DC1AE1"/>
    <w:rsid w:val="45FD78C7"/>
    <w:rsid w:val="4628541D"/>
    <w:rsid w:val="46311FDC"/>
    <w:rsid w:val="464B164D"/>
    <w:rsid w:val="466326E2"/>
    <w:rsid w:val="46867924"/>
    <w:rsid w:val="46B36B85"/>
    <w:rsid w:val="46CA39F9"/>
    <w:rsid w:val="46DE0B39"/>
    <w:rsid w:val="46E61B61"/>
    <w:rsid w:val="47097F61"/>
    <w:rsid w:val="47402699"/>
    <w:rsid w:val="474B11D8"/>
    <w:rsid w:val="475A2DD6"/>
    <w:rsid w:val="47623077"/>
    <w:rsid w:val="476F1912"/>
    <w:rsid w:val="47B22CF7"/>
    <w:rsid w:val="47C9341A"/>
    <w:rsid w:val="47CE4326"/>
    <w:rsid w:val="48727FD3"/>
    <w:rsid w:val="487A113F"/>
    <w:rsid w:val="48851A5F"/>
    <w:rsid w:val="489304D3"/>
    <w:rsid w:val="48DE27E2"/>
    <w:rsid w:val="48E472EA"/>
    <w:rsid w:val="492E34AE"/>
    <w:rsid w:val="49555444"/>
    <w:rsid w:val="496E1C2B"/>
    <w:rsid w:val="49767FF3"/>
    <w:rsid w:val="498468BF"/>
    <w:rsid w:val="499003F2"/>
    <w:rsid w:val="49930039"/>
    <w:rsid w:val="4A3843C8"/>
    <w:rsid w:val="4A3B1C82"/>
    <w:rsid w:val="4A3B2237"/>
    <w:rsid w:val="4A6F0E71"/>
    <w:rsid w:val="4A980080"/>
    <w:rsid w:val="4AA37D17"/>
    <w:rsid w:val="4AD0099C"/>
    <w:rsid w:val="4AD1133C"/>
    <w:rsid w:val="4ADE601F"/>
    <w:rsid w:val="4AED0613"/>
    <w:rsid w:val="4B0B3AC9"/>
    <w:rsid w:val="4B1E304D"/>
    <w:rsid w:val="4B1F3267"/>
    <w:rsid w:val="4B272CF2"/>
    <w:rsid w:val="4B461101"/>
    <w:rsid w:val="4B4A7200"/>
    <w:rsid w:val="4B630C74"/>
    <w:rsid w:val="4B756059"/>
    <w:rsid w:val="4B8E2E8F"/>
    <w:rsid w:val="4B9A37AF"/>
    <w:rsid w:val="4B9B041C"/>
    <w:rsid w:val="4C0940B0"/>
    <w:rsid w:val="4C11719B"/>
    <w:rsid w:val="4C376D0F"/>
    <w:rsid w:val="4C9E1C5B"/>
    <w:rsid w:val="4CA42B81"/>
    <w:rsid w:val="4CBB2CCE"/>
    <w:rsid w:val="4CC858AA"/>
    <w:rsid w:val="4CFF27E8"/>
    <w:rsid w:val="4D177C58"/>
    <w:rsid w:val="4D211BBF"/>
    <w:rsid w:val="4D25079D"/>
    <w:rsid w:val="4D2D3EA1"/>
    <w:rsid w:val="4D593191"/>
    <w:rsid w:val="4D776C0B"/>
    <w:rsid w:val="4D783930"/>
    <w:rsid w:val="4D8B4B53"/>
    <w:rsid w:val="4DA85B80"/>
    <w:rsid w:val="4DBE2C81"/>
    <w:rsid w:val="4DC35880"/>
    <w:rsid w:val="4DC41B49"/>
    <w:rsid w:val="4DDD58E5"/>
    <w:rsid w:val="4DE34BB9"/>
    <w:rsid w:val="4E222D86"/>
    <w:rsid w:val="4E3F7B04"/>
    <w:rsid w:val="4E411930"/>
    <w:rsid w:val="4E42531F"/>
    <w:rsid w:val="4E5C3DB1"/>
    <w:rsid w:val="4E6D6388"/>
    <w:rsid w:val="4E6E0585"/>
    <w:rsid w:val="4E8C4BD2"/>
    <w:rsid w:val="4EA327D7"/>
    <w:rsid w:val="4EA9156C"/>
    <w:rsid w:val="4EBA1081"/>
    <w:rsid w:val="4EDB6100"/>
    <w:rsid w:val="4F0F747D"/>
    <w:rsid w:val="4F120D1E"/>
    <w:rsid w:val="4F2C7A9E"/>
    <w:rsid w:val="4F3A5057"/>
    <w:rsid w:val="4F436A0B"/>
    <w:rsid w:val="4F6277CE"/>
    <w:rsid w:val="4F8E5829"/>
    <w:rsid w:val="4FA8203F"/>
    <w:rsid w:val="4FCD0D2A"/>
    <w:rsid w:val="501F49FD"/>
    <w:rsid w:val="501F5E35"/>
    <w:rsid w:val="50203D29"/>
    <w:rsid w:val="504D191B"/>
    <w:rsid w:val="50681842"/>
    <w:rsid w:val="508563EE"/>
    <w:rsid w:val="50AA1377"/>
    <w:rsid w:val="50B46D6B"/>
    <w:rsid w:val="50CB6E1B"/>
    <w:rsid w:val="50D22F32"/>
    <w:rsid w:val="50E75246"/>
    <w:rsid w:val="50F422EF"/>
    <w:rsid w:val="50F61D1E"/>
    <w:rsid w:val="50FE043E"/>
    <w:rsid w:val="51093216"/>
    <w:rsid w:val="516809B2"/>
    <w:rsid w:val="516904FA"/>
    <w:rsid w:val="517018D8"/>
    <w:rsid w:val="51736A67"/>
    <w:rsid w:val="51795169"/>
    <w:rsid w:val="517D5CCC"/>
    <w:rsid w:val="5189483B"/>
    <w:rsid w:val="51910315"/>
    <w:rsid w:val="519555C4"/>
    <w:rsid w:val="51BC4D38"/>
    <w:rsid w:val="51BD354A"/>
    <w:rsid w:val="51E9367C"/>
    <w:rsid w:val="520843D2"/>
    <w:rsid w:val="52315714"/>
    <w:rsid w:val="52316BEF"/>
    <w:rsid w:val="52325304"/>
    <w:rsid w:val="5234212E"/>
    <w:rsid w:val="5240243F"/>
    <w:rsid w:val="529422DE"/>
    <w:rsid w:val="529C1D3A"/>
    <w:rsid w:val="53023764"/>
    <w:rsid w:val="5306617C"/>
    <w:rsid w:val="53081882"/>
    <w:rsid w:val="530A2853"/>
    <w:rsid w:val="53510C30"/>
    <w:rsid w:val="535E0833"/>
    <w:rsid w:val="5374606B"/>
    <w:rsid w:val="537A2677"/>
    <w:rsid w:val="5381416F"/>
    <w:rsid w:val="53B32202"/>
    <w:rsid w:val="53C307BF"/>
    <w:rsid w:val="542452E9"/>
    <w:rsid w:val="547171DD"/>
    <w:rsid w:val="547E6D9A"/>
    <w:rsid w:val="548A7912"/>
    <w:rsid w:val="548C4285"/>
    <w:rsid w:val="54A855D4"/>
    <w:rsid w:val="54B809E6"/>
    <w:rsid w:val="550117B4"/>
    <w:rsid w:val="552C0D88"/>
    <w:rsid w:val="55404884"/>
    <w:rsid w:val="556B6C16"/>
    <w:rsid w:val="55772F7D"/>
    <w:rsid w:val="55961D0E"/>
    <w:rsid w:val="562D1168"/>
    <w:rsid w:val="56381EF6"/>
    <w:rsid w:val="56554CD5"/>
    <w:rsid w:val="5659106C"/>
    <w:rsid w:val="567F55CE"/>
    <w:rsid w:val="56A53918"/>
    <w:rsid w:val="56A862CA"/>
    <w:rsid w:val="56C36803"/>
    <w:rsid w:val="56C740B3"/>
    <w:rsid w:val="573151B5"/>
    <w:rsid w:val="57650FD3"/>
    <w:rsid w:val="57AC7B7D"/>
    <w:rsid w:val="57D10869"/>
    <w:rsid w:val="58016556"/>
    <w:rsid w:val="58810EAC"/>
    <w:rsid w:val="58B764A3"/>
    <w:rsid w:val="58DC65F8"/>
    <w:rsid w:val="591257CE"/>
    <w:rsid w:val="591E5E5C"/>
    <w:rsid w:val="593340F4"/>
    <w:rsid w:val="593341DD"/>
    <w:rsid w:val="597B17CE"/>
    <w:rsid w:val="59A21EA5"/>
    <w:rsid w:val="59A70222"/>
    <w:rsid w:val="59B231EB"/>
    <w:rsid w:val="59B501F6"/>
    <w:rsid w:val="59B63F00"/>
    <w:rsid w:val="5A165BAA"/>
    <w:rsid w:val="5A627599"/>
    <w:rsid w:val="5A883FD4"/>
    <w:rsid w:val="5AD23DF5"/>
    <w:rsid w:val="5ADA403E"/>
    <w:rsid w:val="5AF537D8"/>
    <w:rsid w:val="5B357636"/>
    <w:rsid w:val="5B6C7F53"/>
    <w:rsid w:val="5B7A10F7"/>
    <w:rsid w:val="5B8B5BD1"/>
    <w:rsid w:val="5B8E2B97"/>
    <w:rsid w:val="5BB94EBC"/>
    <w:rsid w:val="5BD021AA"/>
    <w:rsid w:val="5BF769C2"/>
    <w:rsid w:val="5C0461B5"/>
    <w:rsid w:val="5C151F37"/>
    <w:rsid w:val="5C1904FE"/>
    <w:rsid w:val="5C3754AC"/>
    <w:rsid w:val="5C3E446F"/>
    <w:rsid w:val="5CAC5490"/>
    <w:rsid w:val="5CCC02B4"/>
    <w:rsid w:val="5CD17C2A"/>
    <w:rsid w:val="5CE175A4"/>
    <w:rsid w:val="5CF52F29"/>
    <w:rsid w:val="5D071919"/>
    <w:rsid w:val="5D2C16C1"/>
    <w:rsid w:val="5D39096A"/>
    <w:rsid w:val="5D3F0F13"/>
    <w:rsid w:val="5D487BDE"/>
    <w:rsid w:val="5D917F0E"/>
    <w:rsid w:val="5DD623B7"/>
    <w:rsid w:val="5DF85D51"/>
    <w:rsid w:val="5E191EEB"/>
    <w:rsid w:val="5E3A4CD7"/>
    <w:rsid w:val="5E54386F"/>
    <w:rsid w:val="5E584B22"/>
    <w:rsid w:val="5E98755A"/>
    <w:rsid w:val="5F093FB7"/>
    <w:rsid w:val="5F2C6A42"/>
    <w:rsid w:val="5F311509"/>
    <w:rsid w:val="5F417895"/>
    <w:rsid w:val="5F565D68"/>
    <w:rsid w:val="5F6C607A"/>
    <w:rsid w:val="5F872BA4"/>
    <w:rsid w:val="5F8D4A8E"/>
    <w:rsid w:val="5F940059"/>
    <w:rsid w:val="5F95629F"/>
    <w:rsid w:val="5FC52ECB"/>
    <w:rsid w:val="5FCC16CC"/>
    <w:rsid w:val="60025562"/>
    <w:rsid w:val="60182D7B"/>
    <w:rsid w:val="60533462"/>
    <w:rsid w:val="60626BC9"/>
    <w:rsid w:val="6079251F"/>
    <w:rsid w:val="60A9690F"/>
    <w:rsid w:val="60AA40FD"/>
    <w:rsid w:val="60D86A6F"/>
    <w:rsid w:val="60DE187B"/>
    <w:rsid w:val="60EA1779"/>
    <w:rsid w:val="61446DF7"/>
    <w:rsid w:val="615464A6"/>
    <w:rsid w:val="61555626"/>
    <w:rsid w:val="616C7A77"/>
    <w:rsid w:val="61845374"/>
    <w:rsid w:val="61A15ED8"/>
    <w:rsid w:val="61EB0D3C"/>
    <w:rsid w:val="62473FDF"/>
    <w:rsid w:val="6249148E"/>
    <w:rsid w:val="625A4925"/>
    <w:rsid w:val="62F16E70"/>
    <w:rsid w:val="633805EA"/>
    <w:rsid w:val="6379215A"/>
    <w:rsid w:val="638E6D59"/>
    <w:rsid w:val="639C34E6"/>
    <w:rsid w:val="63EA36CE"/>
    <w:rsid w:val="640F2DCA"/>
    <w:rsid w:val="641B49B5"/>
    <w:rsid w:val="641C629E"/>
    <w:rsid w:val="64375B1F"/>
    <w:rsid w:val="643A5B47"/>
    <w:rsid w:val="645A1DBD"/>
    <w:rsid w:val="64907893"/>
    <w:rsid w:val="649C579C"/>
    <w:rsid w:val="64F93617"/>
    <w:rsid w:val="65101E77"/>
    <w:rsid w:val="65155F2F"/>
    <w:rsid w:val="65250D14"/>
    <w:rsid w:val="65334088"/>
    <w:rsid w:val="653F1B21"/>
    <w:rsid w:val="658F1276"/>
    <w:rsid w:val="659C01D0"/>
    <w:rsid w:val="65B86EE6"/>
    <w:rsid w:val="65F777CB"/>
    <w:rsid w:val="667B27A5"/>
    <w:rsid w:val="66A21CE8"/>
    <w:rsid w:val="66BE2651"/>
    <w:rsid w:val="66D24594"/>
    <w:rsid w:val="66E85492"/>
    <w:rsid w:val="66FB1A0D"/>
    <w:rsid w:val="67061F32"/>
    <w:rsid w:val="6715798F"/>
    <w:rsid w:val="67254250"/>
    <w:rsid w:val="672B3088"/>
    <w:rsid w:val="67332448"/>
    <w:rsid w:val="67913E61"/>
    <w:rsid w:val="679715AA"/>
    <w:rsid w:val="67A37521"/>
    <w:rsid w:val="67AF3BFA"/>
    <w:rsid w:val="680843DC"/>
    <w:rsid w:val="681F120D"/>
    <w:rsid w:val="68442DC9"/>
    <w:rsid w:val="684575DA"/>
    <w:rsid w:val="684E499C"/>
    <w:rsid w:val="6867019C"/>
    <w:rsid w:val="68733C76"/>
    <w:rsid w:val="687A2452"/>
    <w:rsid w:val="688C49F5"/>
    <w:rsid w:val="68926C88"/>
    <w:rsid w:val="689B0995"/>
    <w:rsid w:val="68C305E7"/>
    <w:rsid w:val="68C367D3"/>
    <w:rsid w:val="68DB5239"/>
    <w:rsid w:val="693A35B5"/>
    <w:rsid w:val="69681038"/>
    <w:rsid w:val="696F5D8B"/>
    <w:rsid w:val="698248E9"/>
    <w:rsid w:val="69C7285E"/>
    <w:rsid w:val="69DB0D99"/>
    <w:rsid w:val="69E338AE"/>
    <w:rsid w:val="69F71FB6"/>
    <w:rsid w:val="6A157E42"/>
    <w:rsid w:val="6A905B6D"/>
    <w:rsid w:val="6A9F6065"/>
    <w:rsid w:val="6ABC1C79"/>
    <w:rsid w:val="6AC9206A"/>
    <w:rsid w:val="6ACE16D9"/>
    <w:rsid w:val="6AFB3418"/>
    <w:rsid w:val="6B010C46"/>
    <w:rsid w:val="6B023330"/>
    <w:rsid w:val="6B3A366A"/>
    <w:rsid w:val="6B4C5C68"/>
    <w:rsid w:val="6B5B4B82"/>
    <w:rsid w:val="6B7A0050"/>
    <w:rsid w:val="6B995823"/>
    <w:rsid w:val="6BE23C30"/>
    <w:rsid w:val="6C134034"/>
    <w:rsid w:val="6C50079B"/>
    <w:rsid w:val="6C52701C"/>
    <w:rsid w:val="6C5C103F"/>
    <w:rsid w:val="6C8E74F7"/>
    <w:rsid w:val="6C8F30E6"/>
    <w:rsid w:val="6CDA5361"/>
    <w:rsid w:val="6D004DA8"/>
    <w:rsid w:val="6D543DB3"/>
    <w:rsid w:val="6D6F5478"/>
    <w:rsid w:val="6D773FDC"/>
    <w:rsid w:val="6D9B22AA"/>
    <w:rsid w:val="6DA27C47"/>
    <w:rsid w:val="6DA65914"/>
    <w:rsid w:val="6DA803E7"/>
    <w:rsid w:val="6DBE51BF"/>
    <w:rsid w:val="6DD657C0"/>
    <w:rsid w:val="6DDB2508"/>
    <w:rsid w:val="6DF9670E"/>
    <w:rsid w:val="6E0E12EA"/>
    <w:rsid w:val="6E232AB3"/>
    <w:rsid w:val="6E3F132C"/>
    <w:rsid w:val="6E517746"/>
    <w:rsid w:val="6E596166"/>
    <w:rsid w:val="6E7357B3"/>
    <w:rsid w:val="6E7C1985"/>
    <w:rsid w:val="6E861F5A"/>
    <w:rsid w:val="6E8B41A2"/>
    <w:rsid w:val="6E947B7A"/>
    <w:rsid w:val="6E971435"/>
    <w:rsid w:val="6EBF2C8C"/>
    <w:rsid w:val="6ED32535"/>
    <w:rsid w:val="6EE175F6"/>
    <w:rsid w:val="6EFD01C4"/>
    <w:rsid w:val="6EFD1C95"/>
    <w:rsid w:val="6F1421FE"/>
    <w:rsid w:val="6F2028C6"/>
    <w:rsid w:val="6F77561F"/>
    <w:rsid w:val="6F88667E"/>
    <w:rsid w:val="6FA54975"/>
    <w:rsid w:val="6FB51624"/>
    <w:rsid w:val="6FD14538"/>
    <w:rsid w:val="701A43FD"/>
    <w:rsid w:val="702B63B0"/>
    <w:rsid w:val="70451ADA"/>
    <w:rsid w:val="70545562"/>
    <w:rsid w:val="70862CDB"/>
    <w:rsid w:val="70C8609C"/>
    <w:rsid w:val="70EE2DD8"/>
    <w:rsid w:val="70FA0EAB"/>
    <w:rsid w:val="71216922"/>
    <w:rsid w:val="71291539"/>
    <w:rsid w:val="712F7D9E"/>
    <w:rsid w:val="713372DD"/>
    <w:rsid w:val="71437115"/>
    <w:rsid w:val="715536FE"/>
    <w:rsid w:val="716C3248"/>
    <w:rsid w:val="71CD2104"/>
    <w:rsid w:val="71FE401B"/>
    <w:rsid w:val="720C4851"/>
    <w:rsid w:val="727C765B"/>
    <w:rsid w:val="72976489"/>
    <w:rsid w:val="729826AA"/>
    <w:rsid w:val="729B453B"/>
    <w:rsid w:val="72E50CCC"/>
    <w:rsid w:val="732D7DA6"/>
    <w:rsid w:val="73484595"/>
    <w:rsid w:val="735A15E7"/>
    <w:rsid w:val="736F3671"/>
    <w:rsid w:val="738D0387"/>
    <w:rsid w:val="739509AF"/>
    <w:rsid w:val="74376210"/>
    <w:rsid w:val="743E2CA8"/>
    <w:rsid w:val="74401536"/>
    <w:rsid w:val="74664F37"/>
    <w:rsid w:val="747108A9"/>
    <w:rsid w:val="74760969"/>
    <w:rsid w:val="748A60E5"/>
    <w:rsid w:val="74A44FDE"/>
    <w:rsid w:val="74BD5147"/>
    <w:rsid w:val="74F50902"/>
    <w:rsid w:val="75501A5E"/>
    <w:rsid w:val="755B16F8"/>
    <w:rsid w:val="75670E6A"/>
    <w:rsid w:val="75837EEC"/>
    <w:rsid w:val="75867598"/>
    <w:rsid w:val="75AE1DB9"/>
    <w:rsid w:val="75C13F90"/>
    <w:rsid w:val="75D11EC3"/>
    <w:rsid w:val="75E77528"/>
    <w:rsid w:val="75E97311"/>
    <w:rsid w:val="761A11EC"/>
    <w:rsid w:val="76330AED"/>
    <w:rsid w:val="764D37C3"/>
    <w:rsid w:val="76526815"/>
    <w:rsid w:val="76622B76"/>
    <w:rsid w:val="767A7E46"/>
    <w:rsid w:val="76A71125"/>
    <w:rsid w:val="76CE73F1"/>
    <w:rsid w:val="77031957"/>
    <w:rsid w:val="77034827"/>
    <w:rsid w:val="77492CFF"/>
    <w:rsid w:val="775605F7"/>
    <w:rsid w:val="776B2153"/>
    <w:rsid w:val="778441C8"/>
    <w:rsid w:val="778766B4"/>
    <w:rsid w:val="7790279E"/>
    <w:rsid w:val="77914171"/>
    <w:rsid w:val="77D61EDC"/>
    <w:rsid w:val="77FB1A00"/>
    <w:rsid w:val="78203E5B"/>
    <w:rsid w:val="78204049"/>
    <w:rsid w:val="78505A0B"/>
    <w:rsid w:val="78540CE9"/>
    <w:rsid w:val="78767378"/>
    <w:rsid w:val="78EC5C27"/>
    <w:rsid w:val="791C643F"/>
    <w:rsid w:val="79442D37"/>
    <w:rsid w:val="7971222B"/>
    <w:rsid w:val="7A1A7595"/>
    <w:rsid w:val="7A244160"/>
    <w:rsid w:val="7A27628A"/>
    <w:rsid w:val="7A330A57"/>
    <w:rsid w:val="7A463B8C"/>
    <w:rsid w:val="7AA1053C"/>
    <w:rsid w:val="7AA811C5"/>
    <w:rsid w:val="7AC44F69"/>
    <w:rsid w:val="7AFF3647"/>
    <w:rsid w:val="7B1D0607"/>
    <w:rsid w:val="7B21745B"/>
    <w:rsid w:val="7B3A1BDD"/>
    <w:rsid w:val="7B854871"/>
    <w:rsid w:val="7BB11A35"/>
    <w:rsid w:val="7BBF2133"/>
    <w:rsid w:val="7BEF658C"/>
    <w:rsid w:val="7C067F63"/>
    <w:rsid w:val="7C1C2408"/>
    <w:rsid w:val="7C2E4B32"/>
    <w:rsid w:val="7C347F2B"/>
    <w:rsid w:val="7C532D9B"/>
    <w:rsid w:val="7C616E90"/>
    <w:rsid w:val="7C7560AB"/>
    <w:rsid w:val="7C914545"/>
    <w:rsid w:val="7C943795"/>
    <w:rsid w:val="7C9948E3"/>
    <w:rsid w:val="7CCE4BBC"/>
    <w:rsid w:val="7CE17A14"/>
    <w:rsid w:val="7CFC412C"/>
    <w:rsid w:val="7D10762F"/>
    <w:rsid w:val="7D227A85"/>
    <w:rsid w:val="7DAB5943"/>
    <w:rsid w:val="7DD3029D"/>
    <w:rsid w:val="7DEF16E8"/>
    <w:rsid w:val="7DF94455"/>
    <w:rsid w:val="7E576737"/>
    <w:rsid w:val="7E5E7959"/>
    <w:rsid w:val="7E93578D"/>
    <w:rsid w:val="7E9A69F1"/>
    <w:rsid w:val="7EAB2A81"/>
    <w:rsid w:val="7EE0537C"/>
    <w:rsid w:val="7EFD57D3"/>
    <w:rsid w:val="7F187E12"/>
    <w:rsid w:val="7F197281"/>
    <w:rsid w:val="7F262D1C"/>
    <w:rsid w:val="7F2941BE"/>
    <w:rsid w:val="7F5D4515"/>
    <w:rsid w:val="7F93124C"/>
    <w:rsid w:val="7F946A12"/>
    <w:rsid w:val="7F994B60"/>
    <w:rsid w:val="7FC957A4"/>
    <w:rsid w:val="7FCE28CD"/>
    <w:rsid w:val="7FD43287"/>
    <w:rsid w:val="7FD970F1"/>
    <w:rsid w:val="7FDD34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8"/>
    <w:qFormat/>
    <w:uiPriority w:val="0"/>
    <w:pPr>
      <w:keepNext/>
      <w:keepLines/>
      <w:spacing w:before="340" w:beforeLines="0" w:after="330" w:afterLines="0" w:line="576" w:lineRule="auto"/>
      <w:outlineLvl w:val="0"/>
    </w:pPr>
    <w:rPr>
      <w:rFonts w:ascii="Calibri" w:hAnsi="Calibri"/>
      <w:b/>
      <w:kern w:val="44"/>
      <w:sz w:val="44"/>
      <w:szCs w:val="20"/>
    </w:rPr>
  </w:style>
  <w:style w:type="paragraph" w:styleId="5">
    <w:name w:val="heading 2"/>
    <w:basedOn w:val="1"/>
    <w:next w:val="6"/>
    <w:link w:val="59"/>
    <w:qFormat/>
    <w:uiPriority w:val="9"/>
    <w:pPr>
      <w:keepNext/>
      <w:keepLines/>
      <w:spacing w:before="260" w:beforeLines="0" w:after="260" w:afterLines="0" w:line="413" w:lineRule="auto"/>
      <w:outlineLvl w:val="1"/>
    </w:pPr>
    <w:rPr>
      <w:rFonts w:ascii="Arial" w:hAnsi="Arial" w:eastAsia="仿宋_GB2312"/>
      <w:b/>
      <w:bCs/>
      <w:sz w:val="28"/>
      <w:szCs w:val="32"/>
    </w:rPr>
  </w:style>
  <w:style w:type="paragraph" w:styleId="7">
    <w:name w:val="heading 3"/>
    <w:basedOn w:val="1"/>
    <w:next w:val="1"/>
    <w:link w:val="61"/>
    <w:qFormat/>
    <w:uiPriority w:val="0"/>
    <w:pPr>
      <w:keepNext/>
      <w:keepLines/>
      <w:spacing w:before="260" w:beforeLines="0" w:after="260" w:afterLines="0" w:line="416" w:lineRule="auto"/>
      <w:outlineLvl w:val="2"/>
    </w:pPr>
    <w:rPr>
      <w:b/>
      <w:sz w:val="32"/>
      <w:szCs w:val="20"/>
    </w:rPr>
  </w:style>
  <w:style w:type="paragraph" w:styleId="8">
    <w:name w:val="heading 4"/>
    <w:basedOn w:val="1"/>
    <w:next w:val="1"/>
    <w:link w:val="62"/>
    <w:qFormat/>
    <w:uiPriority w:val="0"/>
    <w:pPr>
      <w:keepNext/>
      <w:keepLines/>
      <w:spacing w:before="280" w:beforeLines="0" w:after="290" w:afterLines="0" w:line="372" w:lineRule="auto"/>
      <w:outlineLvl w:val="3"/>
    </w:pPr>
    <w:rPr>
      <w:rFonts w:ascii="Cambria" w:hAnsi="Cambria" w:eastAsia="Cambria"/>
      <w:b/>
      <w:sz w:val="28"/>
      <w:szCs w:val="28"/>
    </w:rPr>
  </w:style>
  <w:style w:type="paragraph" w:styleId="9">
    <w:name w:val="heading 5"/>
    <w:basedOn w:val="10"/>
    <w:next w:val="6"/>
    <w:link w:val="64"/>
    <w:qFormat/>
    <w:uiPriority w:val="0"/>
    <w:pPr>
      <w:keepNext/>
      <w:keepLines/>
      <w:spacing w:before="280" w:beforeLines="0" w:beforeAutospacing="0" w:after="290" w:afterLines="0" w:afterAutospacing="0" w:line="372" w:lineRule="auto"/>
      <w:outlineLvl w:val="4"/>
    </w:pPr>
    <w:rPr>
      <w:rFonts w:ascii="Tahoma" w:hAnsi="Tahoma" w:eastAsia="宋体"/>
      <w:sz w:val="28"/>
      <w:szCs w:val="20"/>
    </w:rPr>
  </w:style>
  <w:style w:type="paragraph" w:styleId="11">
    <w:name w:val="heading 6"/>
    <w:basedOn w:val="1"/>
    <w:next w:val="6"/>
    <w:link w:val="65"/>
    <w:qFormat/>
    <w:uiPriority w:val="0"/>
    <w:pPr>
      <w:keepNext/>
      <w:keepLines/>
      <w:spacing w:before="240" w:beforeLines="0" w:beforeAutospacing="0" w:after="64" w:afterLines="0" w:afterAutospacing="0" w:line="317" w:lineRule="auto"/>
      <w:outlineLvl w:val="5"/>
    </w:pPr>
    <w:rPr>
      <w:rFonts w:ascii="Arial" w:hAnsi="Arial" w:eastAsia="黑体"/>
      <w:b/>
      <w:sz w:val="24"/>
      <w:szCs w:val="20"/>
    </w:rPr>
  </w:style>
  <w:style w:type="paragraph" w:styleId="12">
    <w:name w:val="heading 7"/>
    <w:basedOn w:val="1"/>
    <w:next w:val="1"/>
    <w:link w:val="66"/>
    <w:qFormat/>
    <w:uiPriority w:val="0"/>
    <w:pPr>
      <w:keepNext/>
      <w:keepLines/>
      <w:spacing w:before="240" w:beforeLines="0" w:beforeAutospacing="0" w:after="64" w:afterLines="0" w:afterAutospacing="0" w:line="317" w:lineRule="auto"/>
      <w:outlineLvl w:val="6"/>
    </w:pPr>
    <w:rPr>
      <w:rFonts w:ascii="Tahoma" w:hAnsi="Tahoma"/>
      <w:b/>
      <w:sz w:val="24"/>
      <w:szCs w:val="20"/>
    </w:rPr>
  </w:style>
  <w:style w:type="paragraph" w:styleId="13">
    <w:name w:val="heading 8"/>
    <w:basedOn w:val="1"/>
    <w:next w:val="1"/>
    <w:link w:val="67"/>
    <w:qFormat/>
    <w:uiPriority w:val="0"/>
    <w:pPr>
      <w:keepNext/>
      <w:keepLines/>
      <w:spacing w:before="240" w:beforeLines="0" w:beforeAutospacing="0" w:after="64" w:afterLines="0" w:afterAutospacing="0" w:line="317" w:lineRule="auto"/>
      <w:outlineLvl w:val="7"/>
    </w:pPr>
    <w:rPr>
      <w:rFonts w:ascii="Arial" w:hAnsi="Arial" w:eastAsia="黑体"/>
    </w:rPr>
  </w:style>
  <w:style w:type="paragraph" w:styleId="14">
    <w:name w:val="heading 9"/>
    <w:basedOn w:val="1"/>
    <w:next w:val="1"/>
    <w:link w:val="68"/>
    <w:qFormat/>
    <w:uiPriority w:val="0"/>
    <w:pPr>
      <w:keepNext/>
      <w:keepLines/>
      <w:spacing w:before="240" w:beforeLines="0" w:beforeAutospacing="0" w:after="64" w:afterLines="0" w:afterAutospacing="0" w:line="317" w:lineRule="auto"/>
      <w:outlineLvl w:val="8"/>
    </w:pPr>
    <w:rPr>
      <w:rFonts w:ascii="Arial" w:hAnsi="Arial" w:eastAsia="黑体"/>
      <w:szCs w:val="20"/>
    </w:rPr>
  </w:style>
  <w:style w:type="character" w:default="1" w:styleId="49">
    <w:name w:val="Default Paragraph Font"/>
    <w:qFormat/>
    <w:uiPriority w:val="0"/>
    <w:rPr>
      <w:rFonts w:ascii="Tahoma" w:hAnsi="Tahoma"/>
      <w:sz w:val="24"/>
      <w:szCs w:val="20"/>
    </w:rPr>
  </w:style>
  <w:style w:type="table" w:default="1" w:styleId="47">
    <w:name w:val="Normal Table"/>
    <w:semiHidden/>
    <w:qFormat/>
    <w:uiPriority w:val="0"/>
    <w:tblPr>
      <w:tblCellMar>
        <w:top w:w="0" w:type="dxa"/>
        <w:left w:w="108" w:type="dxa"/>
        <w:bottom w:w="0" w:type="dxa"/>
        <w:right w:w="108" w:type="dxa"/>
      </w:tblCellMar>
    </w:tblPr>
  </w:style>
  <w:style w:type="paragraph" w:customStyle="1" w:styleId="2">
    <w:name w:val="样式3"/>
    <w:basedOn w:val="3"/>
    <w:next w:val="1"/>
    <w:qFormat/>
    <w:uiPriority w:val="0"/>
    <w:pPr>
      <w:adjustRightInd/>
      <w:textAlignment w:val="auto"/>
    </w:pPr>
    <w:rPr>
      <w:rFonts w:ascii="Times New Roman" w:hAnsi="Times New Roman" w:eastAsia="宋体" w:cs="Times New Roman"/>
      <w:kern w:val="2"/>
      <w:sz w:val="21"/>
      <w:szCs w:val="20"/>
    </w:rPr>
  </w:style>
  <w:style w:type="paragraph" w:styleId="3">
    <w:name w:val="Plain Text"/>
    <w:basedOn w:val="1"/>
    <w:link w:val="57"/>
    <w:qFormat/>
    <w:uiPriority w:val="0"/>
    <w:pPr>
      <w:spacing w:before="156" w:beforeLines="50" w:after="156" w:afterLines="50" w:line="400" w:lineRule="exact"/>
    </w:pPr>
    <w:rPr>
      <w:rFonts w:hint="eastAsia" w:ascii="宋体" w:hAnsi="Courier New"/>
      <w:szCs w:val="21"/>
    </w:rPr>
  </w:style>
  <w:style w:type="paragraph" w:styleId="6">
    <w:name w:val="Normal Indent"/>
    <w:basedOn w:val="1"/>
    <w:next w:val="1"/>
    <w:link w:val="60"/>
    <w:qFormat/>
    <w:uiPriority w:val="0"/>
    <w:pPr>
      <w:ind w:firstLine="420"/>
    </w:pPr>
    <w:rPr>
      <w:rFonts w:ascii="Tahoma" w:hAnsi="Tahoma" w:eastAsia="Tahoma"/>
      <w:b/>
    </w:rPr>
  </w:style>
  <w:style w:type="paragraph" w:styleId="10">
    <w:name w:val="Title"/>
    <w:basedOn w:val="1"/>
    <w:link w:val="63"/>
    <w:qFormat/>
    <w:uiPriority w:val="0"/>
    <w:pPr>
      <w:spacing w:before="240" w:beforeLines="0" w:beforeAutospacing="0" w:after="60" w:afterLines="0" w:afterAutospacing="0"/>
      <w:jc w:val="center"/>
      <w:outlineLvl w:val="0"/>
    </w:pPr>
    <w:rPr>
      <w:rFonts w:ascii="Cambria" w:hAnsi="Cambria" w:eastAsia="Cambria"/>
      <w:b/>
      <w:sz w:val="32"/>
      <w:szCs w:val="32"/>
    </w:rPr>
  </w:style>
  <w:style w:type="paragraph" w:styleId="15">
    <w:name w:val="toc 7"/>
    <w:basedOn w:val="1"/>
    <w:next w:val="1"/>
    <w:qFormat/>
    <w:uiPriority w:val="0"/>
    <w:pPr>
      <w:ind w:left="2520" w:leftChars="1200"/>
    </w:pPr>
  </w:style>
  <w:style w:type="paragraph" w:styleId="16">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7">
    <w:name w:val="caption"/>
    <w:basedOn w:val="1"/>
    <w:next w:val="1"/>
    <w:qFormat/>
    <w:uiPriority w:val="0"/>
    <w:pPr>
      <w:spacing w:before="152" w:beforeLines="0" w:after="160" w:afterLines="0"/>
    </w:pPr>
    <w:rPr>
      <w:rFonts w:ascii="Arial" w:hAnsi="Arial" w:eastAsia="黑体" w:cs="Arial"/>
      <w:sz w:val="20"/>
      <w:szCs w:val="20"/>
    </w:rPr>
  </w:style>
  <w:style w:type="paragraph" w:styleId="18">
    <w:name w:val="Document Map"/>
    <w:basedOn w:val="1"/>
    <w:link w:val="69"/>
    <w:qFormat/>
    <w:uiPriority w:val="99"/>
    <w:pPr>
      <w:shd w:val="clear" w:color="auto" w:fill="000080"/>
    </w:pPr>
    <w:rPr>
      <w:rFonts w:hint="eastAsia" w:ascii="宋体" w:hAnsi="宋体"/>
      <w:sz w:val="18"/>
      <w:szCs w:val="18"/>
    </w:rPr>
  </w:style>
  <w:style w:type="paragraph" w:styleId="19">
    <w:name w:val="annotation text"/>
    <w:basedOn w:val="1"/>
    <w:link w:val="70"/>
    <w:qFormat/>
    <w:uiPriority w:val="0"/>
    <w:pPr>
      <w:keepNext w:val="0"/>
      <w:keepLines w:val="0"/>
      <w:widowControl w:val="0"/>
      <w:suppressLineNumbers w:val="0"/>
      <w:spacing w:before="0" w:beforeLines="0" w:beforeAutospacing="0" w:after="0" w:afterLines="0" w:afterAutospacing="0"/>
      <w:ind w:left="0" w:right="0"/>
      <w:jc w:val="left"/>
    </w:pPr>
    <w:rPr>
      <w:rFonts w:ascii="Tahoma" w:hAnsi="Tahoma"/>
    </w:rPr>
  </w:style>
  <w:style w:type="paragraph" w:styleId="20">
    <w:name w:val="Body Text 3"/>
    <w:basedOn w:val="1"/>
    <w:link w:val="71"/>
    <w:qFormat/>
    <w:uiPriority w:val="0"/>
    <w:pPr>
      <w:snapToGrid w:val="0"/>
      <w:spacing w:before="50" w:beforeLines="0" w:after="50" w:afterLines="0"/>
    </w:pPr>
    <w:rPr>
      <w:rFonts w:ascii="Tahoma" w:hAnsi="Tahoma"/>
      <w:sz w:val="16"/>
      <w:szCs w:val="16"/>
    </w:rPr>
  </w:style>
  <w:style w:type="paragraph" w:styleId="21">
    <w:name w:val="Body Text"/>
    <w:basedOn w:val="1"/>
    <w:next w:val="22"/>
    <w:link w:val="72"/>
    <w:qFormat/>
    <w:uiPriority w:val="0"/>
    <w:pPr>
      <w:spacing w:after="120" w:afterLines="0"/>
    </w:pPr>
    <w:rPr>
      <w:rFonts w:ascii="Tahoma" w:hAnsi="Tahoma"/>
      <w:sz w:val="28"/>
    </w:rPr>
  </w:style>
  <w:style w:type="paragraph" w:styleId="22">
    <w:name w:val="Body Text First Indent"/>
    <w:basedOn w:val="21"/>
    <w:next w:val="1"/>
    <w:link w:val="83"/>
    <w:qFormat/>
    <w:uiPriority w:val="0"/>
    <w:pPr>
      <w:ind w:firstLine="420" w:firstLineChars="100"/>
    </w:pPr>
  </w:style>
  <w:style w:type="paragraph" w:styleId="23">
    <w:name w:val="Body Text Indent"/>
    <w:basedOn w:val="1"/>
    <w:next w:val="1"/>
    <w:link w:val="73"/>
    <w:qFormat/>
    <w:uiPriority w:val="0"/>
    <w:pPr>
      <w:spacing w:line="200" w:lineRule="exact"/>
      <w:ind w:firstLine="301"/>
    </w:pPr>
    <w:rPr>
      <w:rFonts w:hint="eastAsia" w:ascii="宋体" w:hAnsi="Courier New"/>
      <w:spacing w:val="-4"/>
      <w:sz w:val="18"/>
      <w:szCs w:val="20"/>
    </w:rPr>
  </w:style>
  <w:style w:type="paragraph" w:styleId="24">
    <w:name w:val="List Number 3"/>
    <w:basedOn w:val="1"/>
    <w:qFormat/>
    <w:uiPriority w:val="0"/>
    <w:pPr>
      <w:numPr>
        <w:ilvl w:val="0"/>
        <w:numId w:val="1"/>
      </w:numPr>
    </w:pPr>
  </w:style>
  <w:style w:type="paragraph" w:styleId="25">
    <w:name w:val="List 2"/>
    <w:basedOn w:val="1"/>
    <w:qFormat/>
    <w:uiPriority w:val="0"/>
    <w:pPr>
      <w:ind w:left="100" w:leftChars="200" w:hanging="200" w:hangingChars="200"/>
    </w:pPr>
    <w:rPr>
      <w:sz w:val="28"/>
    </w:rPr>
  </w:style>
  <w:style w:type="paragraph" w:styleId="26">
    <w:name w:val="toc 5"/>
    <w:basedOn w:val="1"/>
    <w:next w:val="1"/>
    <w:qFormat/>
    <w:uiPriority w:val="0"/>
    <w:pPr>
      <w:ind w:left="1680" w:leftChars="800"/>
    </w:pPr>
  </w:style>
  <w:style w:type="paragraph" w:styleId="27">
    <w:name w:val="toc 3"/>
    <w:basedOn w:val="1"/>
    <w:next w:val="1"/>
    <w:qFormat/>
    <w:uiPriority w:val="0"/>
    <w:pPr>
      <w:ind w:left="840" w:leftChars="400"/>
    </w:pPr>
  </w:style>
  <w:style w:type="paragraph" w:styleId="28">
    <w:name w:val="toc 8"/>
    <w:basedOn w:val="1"/>
    <w:next w:val="1"/>
    <w:qFormat/>
    <w:uiPriority w:val="0"/>
    <w:pPr>
      <w:ind w:left="2940" w:leftChars="1400"/>
    </w:pPr>
  </w:style>
  <w:style w:type="paragraph" w:styleId="29">
    <w:name w:val="Date"/>
    <w:basedOn w:val="1"/>
    <w:next w:val="1"/>
    <w:link w:val="74"/>
    <w:qFormat/>
    <w:uiPriority w:val="0"/>
    <w:pPr>
      <w:ind w:leftChars="2500"/>
    </w:pPr>
    <w:rPr>
      <w:rFonts w:hint="eastAsia" w:ascii="黑体" w:hAnsi="宋体" w:eastAsia="黑体"/>
      <w:kern w:val="44"/>
      <w:position w:val="6"/>
      <w:szCs w:val="20"/>
    </w:rPr>
  </w:style>
  <w:style w:type="paragraph" w:styleId="30">
    <w:name w:val="Body Text Indent 2"/>
    <w:basedOn w:val="1"/>
    <w:link w:val="75"/>
    <w:qFormat/>
    <w:uiPriority w:val="0"/>
    <w:pPr>
      <w:snapToGrid w:val="0"/>
      <w:ind w:firstLine="542" w:firstLineChars="225"/>
    </w:pPr>
    <w:rPr>
      <w:rFonts w:ascii="Tahoma" w:hAnsi="Tahoma"/>
    </w:rPr>
  </w:style>
  <w:style w:type="paragraph" w:styleId="31">
    <w:name w:val="Balloon Text"/>
    <w:basedOn w:val="1"/>
    <w:link w:val="76"/>
    <w:qFormat/>
    <w:uiPriority w:val="99"/>
    <w:rPr>
      <w:rFonts w:ascii="Tahoma" w:hAnsi="Tahoma"/>
      <w:sz w:val="18"/>
      <w:szCs w:val="18"/>
    </w:rPr>
  </w:style>
  <w:style w:type="paragraph" w:styleId="32">
    <w:name w:val="footer"/>
    <w:basedOn w:val="1"/>
    <w:link w:val="77"/>
    <w:qFormat/>
    <w:uiPriority w:val="99"/>
    <w:pPr>
      <w:tabs>
        <w:tab w:val="center" w:pos="4153"/>
        <w:tab w:val="right" w:pos="8306"/>
      </w:tabs>
      <w:snapToGrid w:val="0"/>
      <w:jc w:val="left"/>
    </w:pPr>
    <w:rPr>
      <w:rFonts w:hint="eastAsia" w:ascii="黑体" w:hAnsi="宋体" w:eastAsia="黑体"/>
      <w:kern w:val="0"/>
      <w:sz w:val="18"/>
      <w:szCs w:val="18"/>
    </w:rPr>
  </w:style>
  <w:style w:type="paragraph" w:styleId="33">
    <w:name w:val="header"/>
    <w:basedOn w:val="1"/>
    <w:link w:val="78"/>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34">
    <w:name w:val="toc 1"/>
    <w:basedOn w:val="1"/>
    <w:next w:val="1"/>
    <w:qFormat/>
    <w:uiPriority w:val="39"/>
  </w:style>
  <w:style w:type="paragraph" w:styleId="35">
    <w:name w:val="toc 4"/>
    <w:basedOn w:val="1"/>
    <w:next w:val="1"/>
    <w:qFormat/>
    <w:uiPriority w:val="0"/>
    <w:pPr>
      <w:ind w:left="1260" w:leftChars="600"/>
    </w:pPr>
  </w:style>
  <w:style w:type="paragraph" w:styleId="36">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0"/>
    <w:pPr>
      <w:ind w:left="2100" w:leftChars="1000"/>
    </w:pPr>
  </w:style>
  <w:style w:type="paragraph" w:styleId="39">
    <w:name w:val="Body Text Indent 3"/>
    <w:basedOn w:val="1"/>
    <w:link w:val="79"/>
    <w:qFormat/>
    <w:uiPriority w:val="0"/>
    <w:pPr>
      <w:snapToGrid w:val="0"/>
      <w:ind w:firstLine="480" w:firstLineChars="200"/>
      <w:jc w:val="left"/>
    </w:pPr>
    <w:rPr>
      <w:rFonts w:ascii="Tahoma" w:hAnsi="Tahoma"/>
      <w:sz w:val="16"/>
      <w:szCs w:val="16"/>
    </w:rPr>
  </w:style>
  <w:style w:type="paragraph" w:styleId="40">
    <w:name w:val="toc 2"/>
    <w:basedOn w:val="1"/>
    <w:next w:val="1"/>
    <w:qFormat/>
    <w:uiPriority w:val="0"/>
    <w:pPr>
      <w:ind w:left="420" w:leftChars="200"/>
    </w:pPr>
  </w:style>
  <w:style w:type="paragraph" w:styleId="41">
    <w:name w:val="toc 9"/>
    <w:basedOn w:val="1"/>
    <w:next w:val="1"/>
    <w:qFormat/>
    <w:uiPriority w:val="0"/>
    <w:pPr>
      <w:ind w:left="3360" w:leftChars="1600"/>
    </w:pPr>
  </w:style>
  <w:style w:type="paragraph" w:styleId="42">
    <w:name w:val="Body Text 2"/>
    <w:basedOn w:val="1"/>
    <w:link w:val="80"/>
    <w:qFormat/>
    <w:uiPriority w:val="0"/>
    <w:pPr>
      <w:widowControl/>
      <w:snapToGrid w:val="0"/>
      <w:spacing w:before="50" w:beforeLines="0" w:after="156" w:afterLines="50" w:line="400" w:lineRule="exact"/>
      <w:jc w:val="left"/>
    </w:pPr>
    <w:rPr>
      <w:rFonts w:ascii="Tahoma" w:hAnsi="Tahoma"/>
      <w:spacing w:val="20"/>
    </w:rPr>
  </w:style>
  <w:style w:type="paragraph" w:styleId="43">
    <w:name w:val="HTML Preformatted"/>
    <w:basedOn w:val="1"/>
    <w:link w:val="81"/>
    <w:qFormat/>
    <w:uiPriority w:val="0"/>
    <w:rPr>
      <w:rFonts w:hint="eastAsia" w:ascii="宋体" w:hAnsi="宋体"/>
      <w:kern w:val="0"/>
      <w:sz w:val="24"/>
    </w:rPr>
  </w:style>
  <w:style w:type="paragraph" w:styleId="44">
    <w:name w:val="Normal (Web)"/>
    <w:basedOn w:val="1"/>
    <w:qFormat/>
    <w:uiPriority w:val="0"/>
    <w:pPr>
      <w:widowControl/>
      <w:spacing w:before="100" w:beforeLines="0" w:beforeAutospacing="1" w:after="100" w:afterLines="0" w:afterAutospacing="1"/>
      <w:jc w:val="left"/>
    </w:pPr>
    <w:rPr>
      <w:kern w:val="0"/>
      <w:sz w:val="24"/>
    </w:rPr>
  </w:style>
  <w:style w:type="paragraph" w:styleId="45">
    <w:name w:val="annotation subject"/>
    <w:basedOn w:val="19"/>
    <w:next w:val="19"/>
    <w:link w:val="82"/>
    <w:qFormat/>
    <w:uiPriority w:val="0"/>
    <w:rPr>
      <w:b/>
    </w:rPr>
  </w:style>
  <w:style w:type="paragraph" w:styleId="46">
    <w:name w:val="Body Text First Indent 2"/>
    <w:basedOn w:val="23"/>
    <w:next w:val="1"/>
    <w:qFormat/>
    <w:uiPriority w:val="0"/>
    <w:pPr>
      <w:ind w:firstLine="420" w:firstLineChars="200"/>
    </w:pPr>
    <w:rPr>
      <w:rFonts w:ascii="Times New Roman" w:hAnsi="Times New Roman" w:cs="Times New Roman"/>
      <w:lang w:val="zh-CN"/>
    </w:rPr>
  </w:style>
  <w:style w:type="table" w:styleId="48">
    <w:name w:val="Table Grid"/>
    <w:basedOn w:val="47"/>
    <w:qFormat/>
    <w:uiPriority w:val="59"/>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0"/>
    <w:rPr>
      <w:b/>
      <w:bCs/>
    </w:rPr>
  </w:style>
  <w:style w:type="character" w:styleId="51">
    <w:name w:val="page number"/>
    <w:basedOn w:val="49"/>
    <w:qFormat/>
    <w:uiPriority w:val="0"/>
    <w:rPr>
      <w:rFonts w:hint="default" w:ascii="Times New Roman" w:hAnsi="Times New Roman" w:cs="Times New Roman"/>
      <w:sz w:val="24"/>
      <w:szCs w:val="20"/>
    </w:rPr>
  </w:style>
  <w:style w:type="character" w:styleId="52">
    <w:name w:val="FollowedHyperlink"/>
    <w:qFormat/>
    <w:uiPriority w:val="99"/>
    <w:rPr>
      <w:rFonts w:ascii="Tahoma" w:hAnsi="Tahoma"/>
      <w:color w:val="004102"/>
      <w:sz w:val="24"/>
      <w:szCs w:val="20"/>
      <w:u w:val="none"/>
    </w:rPr>
  </w:style>
  <w:style w:type="character" w:styleId="53">
    <w:name w:val="Hyperlink"/>
    <w:qFormat/>
    <w:uiPriority w:val="99"/>
    <w:rPr>
      <w:rFonts w:ascii="Tahoma" w:hAnsi="Tahoma"/>
      <w:color w:val="004102"/>
      <w:sz w:val="24"/>
      <w:szCs w:val="20"/>
      <w:u w:val="none"/>
    </w:rPr>
  </w:style>
  <w:style w:type="character" w:styleId="54">
    <w:name w:val="annotation reference"/>
    <w:qFormat/>
    <w:uiPriority w:val="0"/>
    <w:rPr>
      <w:sz w:val="21"/>
      <w:szCs w:val="21"/>
    </w:rPr>
  </w:style>
  <w:style w:type="paragraph" w:customStyle="1" w:styleId="55">
    <w:name w:val="正文1"/>
    <w:qFormat/>
    <w:uiPriority w:val="99"/>
    <w:pPr>
      <w:widowControl w:val="0"/>
      <w:jc w:val="both"/>
    </w:pPr>
    <w:rPr>
      <w:rFonts w:ascii="Calibri" w:hAnsi="Calibri" w:eastAsia="宋体" w:cs="Calibri"/>
      <w:kern w:val="2"/>
      <w:sz w:val="21"/>
      <w:szCs w:val="21"/>
      <w:lang w:val="en-US" w:eastAsia="zh-CN" w:bidi="ar-SA"/>
    </w:rPr>
  </w:style>
  <w:style w:type="paragraph" w:customStyle="1" w:styleId="56">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7">
    <w:name w:val="纯文本 Char"/>
    <w:link w:val="3"/>
    <w:qFormat/>
    <w:uiPriority w:val="0"/>
    <w:rPr>
      <w:rFonts w:hint="eastAsia" w:ascii="宋体" w:hAnsi="Courier New" w:eastAsia="宋体" w:cs="Courier New"/>
      <w:kern w:val="2"/>
      <w:sz w:val="21"/>
      <w:szCs w:val="21"/>
    </w:rPr>
  </w:style>
  <w:style w:type="character" w:customStyle="1" w:styleId="58">
    <w:name w:val="标题 1 Char"/>
    <w:link w:val="4"/>
    <w:qFormat/>
    <w:uiPriority w:val="0"/>
    <w:rPr>
      <w:rFonts w:ascii="Calibri" w:hAnsi="Calibri"/>
      <w:b/>
      <w:kern w:val="44"/>
      <w:sz w:val="44"/>
    </w:rPr>
  </w:style>
  <w:style w:type="character" w:customStyle="1" w:styleId="59">
    <w:name w:val="标题 2 Char1"/>
    <w:link w:val="5"/>
    <w:qFormat/>
    <w:uiPriority w:val="9"/>
    <w:rPr>
      <w:rFonts w:ascii="Arial" w:hAnsi="Arial" w:eastAsia="仿宋_GB2312"/>
      <w:b/>
      <w:bCs/>
      <w:kern w:val="2"/>
      <w:sz w:val="28"/>
      <w:szCs w:val="32"/>
    </w:rPr>
  </w:style>
  <w:style w:type="character" w:customStyle="1" w:styleId="60">
    <w:name w:val="正文缩进 Char"/>
    <w:link w:val="6"/>
    <w:qFormat/>
    <w:uiPriority w:val="0"/>
    <w:rPr>
      <w:rFonts w:hint="default" w:ascii="Tahoma" w:hAnsi="Tahoma" w:eastAsia="Tahoma" w:cs="Tahoma"/>
      <w:b/>
      <w:kern w:val="2"/>
      <w:sz w:val="21"/>
      <w:szCs w:val="24"/>
    </w:rPr>
  </w:style>
  <w:style w:type="character" w:customStyle="1" w:styleId="61">
    <w:name w:val="标题 3 Char"/>
    <w:link w:val="7"/>
    <w:qFormat/>
    <w:uiPriority w:val="0"/>
    <w:rPr>
      <w:b/>
      <w:kern w:val="2"/>
      <w:sz w:val="32"/>
    </w:rPr>
  </w:style>
  <w:style w:type="character" w:customStyle="1" w:styleId="62">
    <w:name w:val="标题 4 Char"/>
    <w:link w:val="8"/>
    <w:qFormat/>
    <w:uiPriority w:val="0"/>
    <w:rPr>
      <w:rFonts w:hint="default" w:ascii="Cambria" w:hAnsi="Cambria" w:eastAsia="Cambria" w:cs="Cambria"/>
      <w:b/>
      <w:kern w:val="2"/>
      <w:sz w:val="28"/>
      <w:szCs w:val="28"/>
    </w:rPr>
  </w:style>
  <w:style w:type="character" w:customStyle="1" w:styleId="63">
    <w:name w:val="标题 Char"/>
    <w:link w:val="10"/>
    <w:qFormat/>
    <w:uiPriority w:val="0"/>
    <w:rPr>
      <w:rFonts w:hint="default" w:ascii="Cambria" w:hAnsi="Cambria" w:eastAsia="Cambria" w:cs="Times New Roman"/>
      <w:b/>
      <w:kern w:val="2"/>
      <w:sz w:val="32"/>
      <w:szCs w:val="32"/>
    </w:rPr>
  </w:style>
  <w:style w:type="character" w:customStyle="1" w:styleId="64">
    <w:name w:val="标题 5 Char"/>
    <w:link w:val="9"/>
    <w:qFormat/>
    <w:uiPriority w:val="0"/>
    <w:rPr>
      <w:rFonts w:ascii="Tahoma" w:hAnsi="Tahoma"/>
      <w:b/>
      <w:kern w:val="2"/>
      <w:sz w:val="28"/>
      <w:szCs w:val="20"/>
    </w:rPr>
  </w:style>
  <w:style w:type="character" w:customStyle="1" w:styleId="65">
    <w:name w:val="标题 6 Char"/>
    <w:link w:val="11"/>
    <w:qFormat/>
    <w:uiPriority w:val="0"/>
    <w:rPr>
      <w:rFonts w:hint="default" w:ascii="Arial" w:hAnsi="Arial" w:eastAsia="黑体" w:cs="Arial"/>
      <w:b/>
      <w:kern w:val="2"/>
      <w:sz w:val="24"/>
      <w:szCs w:val="20"/>
    </w:rPr>
  </w:style>
  <w:style w:type="character" w:customStyle="1" w:styleId="66">
    <w:name w:val="标题 7 Char"/>
    <w:link w:val="12"/>
    <w:qFormat/>
    <w:uiPriority w:val="0"/>
    <w:rPr>
      <w:rFonts w:ascii="Tahoma" w:hAnsi="Tahoma"/>
      <w:b/>
      <w:kern w:val="2"/>
      <w:sz w:val="24"/>
      <w:szCs w:val="20"/>
    </w:rPr>
  </w:style>
  <w:style w:type="character" w:customStyle="1" w:styleId="67">
    <w:name w:val="标题 8 Char"/>
    <w:link w:val="13"/>
    <w:qFormat/>
    <w:uiPriority w:val="0"/>
    <w:rPr>
      <w:rFonts w:ascii="Arial" w:hAnsi="Arial" w:eastAsia="黑体" w:cs="Arial"/>
      <w:kern w:val="2"/>
      <w:sz w:val="21"/>
      <w:szCs w:val="24"/>
    </w:rPr>
  </w:style>
  <w:style w:type="character" w:customStyle="1" w:styleId="68">
    <w:name w:val="标题 9 Char"/>
    <w:link w:val="14"/>
    <w:qFormat/>
    <w:uiPriority w:val="0"/>
    <w:rPr>
      <w:rFonts w:hint="default" w:ascii="Arial" w:hAnsi="Arial" w:eastAsia="黑体" w:cs="Arial"/>
      <w:kern w:val="2"/>
      <w:sz w:val="21"/>
      <w:szCs w:val="20"/>
    </w:rPr>
  </w:style>
  <w:style w:type="character" w:customStyle="1" w:styleId="69">
    <w:name w:val="文档结构图 Char"/>
    <w:link w:val="18"/>
    <w:qFormat/>
    <w:uiPriority w:val="99"/>
    <w:rPr>
      <w:rFonts w:hint="eastAsia" w:ascii="宋体" w:hAnsi="宋体" w:eastAsia="宋体" w:cs="宋体"/>
      <w:kern w:val="2"/>
      <w:sz w:val="18"/>
      <w:szCs w:val="18"/>
    </w:rPr>
  </w:style>
  <w:style w:type="character" w:customStyle="1" w:styleId="70">
    <w:name w:val="批注文字 Char"/>
    <w:link w:val="19"/>
    <w:qFormat/>
    <w:uiPriority w:val="0"/>
    <w:rPr>
      <w:rFonts w:ascii="Tahoma" w:hAnsi="Tahoma"/>
      <w:kern w:val="2"/>
      <w:sz w:val="21"/>
      <w:szCs w:val="24"/>
    </w:rPr>
  </w:style>
  <w:style w:type="character" w:customStyle="1" w:styleId="71">
    <w:name w:val="正文文本 3 Char"/>
    <w:link w:val="20"/>
    <w:qFormat/>
    <w:uiPriority w:val="0"/>
    <w:rPr>
      <w:rFonts w:ascii="Tahoma" w:hAnsi="Tahoma"/>
      <w:kern w:val="2"/>
      <w:sz w:val="16"/>
      <w:szCs w:val="16"/>
    </w:rPr>
  </w:style>
  <w:style w:type="character" w:customStyle="1" w:styleId="72">
    <w:name w:val="正文文本 Char"/>
    <w:link w:val="21"/>
    <w:qFormat/>
    <w:uiPriority w:val="0"/>
    <w:rPr>
      <w:rFonts w:ascii="Tahoma" w:hAnsi="Tahoma"/>
      <w:kern w:val="2"/>
      <w:sz w:val="28"/>
      <w:szCs w:val="24"/>
    </w:rPr>
  </w:style>
  <w:style w:type="character" w:customStyle="1" w:styleId="73">
    <w:name w:val="正文文本缩进 Char"/>
    <w:link w:val="23"/>
    <w:qFormat/>
    <w:uiPriority w:val="0"/>
    <w:rPr>
      <w:rFonts w:hint="eastAsia" w:ascii="宋体" w:hAnsi="Courier New" w:eastAsia="宋体" w:cs="宋体"/>
      <w:spacing w:val="-4"/>
      <w:kern w:val="2"/>
      <w:sz w:val="18"/>
      <w:szCs w:val="20"/>
    </w:rPr>
  </w:style>
  <w:style w:type="character" w:customStyle="1" w:styleId="74">
    <w:name w:val="日期 Char"/>
    <w:link w:val="29"/>
    <w:qFormat/>
    <w:uiPriority w:val="0"/>
    <w:rPr>
      <w:rFonts w:hint="eastAsia" w:ascii="黑体" w:hAnsi="宋体" w:eastAsia="黑体" w:cs="黑体"/>
      <w:kern w:val="44"/>
      <w:position w:val="6"/>
      <w:sz w:val="21"/>
      <w:szCs w:val="20"/>
    </w:rPr>
  </w:style>
  <w:style w:type="character" w:customStyle="1" w:styleId="75">
    <w:name w:val="正文文本缩进 2 Char"/>
    <w:link w:val="30"/>
    <w:qFormat/>
    <w:uiPriority w:val="0"/>
    <w:rPr>
      <w:rFonts w:ascii="Tahoma" w:hAnsi="Tahoma"/>
      <w:kern w:val="2"/>
      <w:sz w:val="21"/>
      <w:szCs w:val="24"/>
    </w:rPr>
  </w:style>
  <w:style w:type="character" w:customStyle="1" w:styleId="76">
    <w:name w:val="批注框文本 Char"/>
    <w:link w:val="31"/>
    <w:qFormat/>
    <w:uiPriority w:val="99"/>
    <w:rPr>
      <w:rFonts w:ascii="Tahoma" w:hAnsi="Tahoma"/>
      <w:kern w:val="2"/>
      <w:sz w:val="18"/>
      <w:szCs w:val="18"/>
    </w:rPr>
  </w:style>
  <w:style w:type="character" w:customStyle="1" w:styleId="77">
    <w:name w:val="页脚 Char"/>
    <w:link w:val="32"/>
    <w:qFormat/>
    <w:uiPriority w:val="99"/>
    <w:rPr>
      <w:rFonts w:hint="eastAsia" w:ascii="黑体" w:hAnsi="宋体" w:eastAsia="黑体" w:cs="黑体"/>
      <w:snapToGrid/>
      <w:sz w:val="18"/>
      <w:szCs w:val="18"/>
    </w:rPr>
  </w:style>
  <w:style w:type="character" w:customStyle="1" w:styleId="78">
    <w:name w:val="页眉 Char"/>
    <w:link w:val="33"/>
    <w:qFormat/>
    <w:uiPriority w:val="99"/>
    <w:rPr>
      <w:rFonts w:ascii="Tahoma" w:hAnsi="Tahoma"/>
      <w:kern w:val="2"/>
      <w:sz w:val="18"/>
      <w:szCs w:val="18"/>
    </w:rPr>
  </w:style>
  <w:style w:type="character" w:customStyle="1" w:styleId="79">
    <w:name w:val="正文文本缩进 3 Char"/>
    <w:link w:val="39"/>
    <w:qFormat/>
    <w:uiPriority w:val="0"/>
    <w:rPr>
      <w:rFonts w:ascii="Tahoma" w:hAnsi="Tahoma"/>
      <w:kern w:val="2"/>
      <w:sz w:val="16"/>
      <w:szCs w:val="16"/>
    </w:rPr>
  </w:style>
  <w:style w:type="character" w:customStyle="1" w:styleId="80">
    <w:name w:val="正文文本 2 Char"/>
    <w:link w:val="42"/>
    <w:qFormat/>
    <w:uiPriority w:val="0"/>
    <w:rPr>
      <w:rFonts w:ascii="Tahoma" w:hAnsi="Tahoma"/>
      <w:spacing w:val="20"/>
      <w:kern w:val="2"/>
      <w:sz w:val="21"/>
      <w:szCs w:val="24"/>
    </w:rPr>
  </w:style>
  <w:style w:type="character" w:customStyle="1" w:styleId="81">
    <w:name w:val="HTML 预设格式 Char"/>
    <w:link w:val="43"/>
    <w:qFormat/>
    <w:uiPriority w:val="0"/>
    <w:rPr>
      <w:rFonts w:hint="eastAsia" w:ascii="宋体" w:hAnsi="宋体" w:eastAsia="宋体" w:cs="宋体"/>
      <w:sz w:val="24"/>
      <w:szCs w:val="24"/>
    </w:rPr>
  </w:style>
  <w:style w:type="character" w:customStyle="1" w:styleId="82">
    <w:name w:val="批注主题 Char"/>
    <w:link w:val="45"/>
    <w:qFormat/>
    <w:uiPriority w:val="0"/>
    <w:rPr>
      <w:rFonts w:ascii="Tahoma" w:hAnsi="Tahoma"/>
      <w:b/>
      <w:kern w:val="2"/>
      <w:sz w:val="21"/>
      <w:szCs w:val="24"/>
    </w:rPr>
  </w:style>
  <w:style w:type="character" w:customStyle="1" w:styleId="83">
    <w:name w:val="正文首行缩进 Char"/>
    <w:link w:val="22"/>
    <w:qFormat/>
    <w:uiPriority w:val="0"/>
    <w:rPr>
      <w:rFonts w:ascii="Tahoma" w:hAnsi="Tahoma"/>
      <w:kern w:val="2"/>
      <w:sz w:val="28"/>
      <w:szCs w:val="24"/>
    </w:rPr>
  </w:style>
  <w:style w:type="paragraph" w:customStyle="1" w:styleId="84">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85">
    <w:name w:val="font31"/>
    <w:basedOn w:val="49"/>
    <w:qFormat/>
    <w:uiPriority w:val="0"/>
    <w:rPr>
      <w:rFonts w:hint="eastAsia" w:ascii="Microsoft JhengHei" w:hAnsi="Microsoft JhengHei" w:eastAsia="Microsoft JhengHei" w:cs="Microsoft JhengHei"/>
      <w:b/>
      <w:color w:val="000000"/>
      <w:sz w:val="11"/>
      <w:szCs w:val="11"/>
      <w:u w:val="none"/>
    </w:rPr>
  </w:style>
  <w:style w:type="character" w:customStyle="1" w:styleId="86">
    <w:name w:val="正文文本缩进 Char2"/>
    <w:qFormat/>
    <w:uiPriority w:val="0"/>
    <w:rPr>
      <w:rFonts w:hint="eastAsia" w:ascii="宋体" w:hAnsi="Courier New" w:eastAsia="宋体" w:cs="宋体"/>
      <w:spacing w:val="-4"/>
      <w:kern w:val="2"/>
      <w:sz w:val="18"/>
      <w:szCs w:val="20"/>
    </w:rPr>
  </w:style>
  <w:style w:type="character" w:customStyle="1" w:styleId="87">
    <w:name w:val="fontheight2"/>
    <w:qFormat/>
    <w:uiPriority w:val="0"/>
    <w:rPr>
      <w:rFonts w:ascii="Tahoma" w:hAnsi="Tahoma"/>
      <w:sz w:val="20"/>
      <w:szCs w:val="20"/>
      <w:u w:val="none"/>
    </w:rPr>
  </w:style>
  <w:style w:type="character" w:customStyle="1" w:styleId="88">
    <w:name w:val="正文文本缩进 2 Char Char"/>
    <w:qFormat/>
    <w:uiPriority w:val="0"/>
    <w:rPr>
      <w:rFonts w:ascii="Tahoma" w:hAnsi="Tahoma"/>
      <w:kern w:val="2"/>
      <w:sz w:val="21"/>
      <w:szCs w:val="20"/>
    </w:rPr>
  </w:style>
  <w:style w:type="character" w:customStyle="1" w:styleId="89">
    <w:name w:val="md1"/>
    <w:qFormat/>
    <w:uiPriority w:val="0"/>
    <w:rPr>
      <w:rFonts w:ascii="Tahoma" w:hAnsi="Tahoma"/>
      <w:sz w:val="21"/>
      <w:szCs w:val="21"/>
    </w:rPr>
  </w:style>
  <w:style w:type="character" w:customStyle="1" w:styleId="90">
    <w:name w:val="Plain Text Char"/>
    <w:qFormat/>
    <w:uiPriority w:val="0"/>
    <w:rPr>
      <w:rFonts w:ascii="宋体" w:hAnsi="Courier New" w:eastAsia="宋体" w:cs="Times New Roman"/>
      <w:sz w:val="20"/>
      <w:szCs w:val="20"/>
    </w:rPr>
  </w:style>
  <w:style w:type="character" w:customStyle="1" w:styleId="91">
    <w:name w:val=" Char Char1"/>
    <w:link w:val="92"/>
    <w:qFormat/>
    <w:uiPriority w:val="0"/>
    <w:rPr>
      <w:rFonts w:ascii="Verdana" w:hAnsi="Verdana"/>
      <w:kern w:val="0"/>
      <w:sz w:val="24"/>
      <w:szCs w:val="20"/>
      <w:lang w:eastAsia="en-US"/>
    </w:rPr>
  </w:style>
  <w:style w:type="paragraph" w:customStyle="1" w:styleId="92">
    <w:name w:val=" Char"/>
    <w:basedOn w:val="1"/>
    <w:link w:val="91"/>
    <w:qFormat/>
    <w:uiPriority w:val="0"/>
    <w:pPr>
      <w:widowControl/>
      <w:spacing w:line="400" w:lineRule="exact"/>
      <w:jc w:val="center"/>
    </w:pPr>
    <w:rPr>
      <w:rFonts w:ascii="Verdana" w:hAnsi="Verdana"/>
      <w:kern w:val="0"/>
      <w:sz w:val="24"/>
      <w:szCs w:val="20"/>
      <w:lang w:eastAsia="en-US"/>
    </w:rPr>
  </w:style>
  <w:style w:type="character" w:customStyle="1" w:styleId="93">
    <w:name w:val="font112"/>
    <w:qFormat/>
    <w:uiPriority w:val="0"/>
    <w:rPr>
      <w:rFonts w:hint="eastAsia" w:ascii="宋体" w:hAnsi="宋体" w:eastAsia="宋体" w:cs="宋体"/>
      <w:b/>
      <w:color w:val="000000"/>
      <w:sz w:val="22"/>
      <w:szCs w:val="22"/>
      <w:u w:val="none"/>
    </w:rPr>
  </w:style>
  <w:style w:type="character" w:customStyle="1" w:styleId="94">
    <w:name w:val="标题 Char Char"/>
    <w:qFormat/>
    <w:uiPriority w:val="0"/>
    <w:rPr>
      <w:rFonts w:ascii="Tahoma" w:hAnsi="Tahoma"/>
      <w:b/>
      <w:sz w:val="24"/>
      <w:szCs w:val="20"/>
      <w:lang w:val="en-US"/>
    </w:rPr>
  </w:style>
  <w:style w:type="character" w:customStyle="1" w:styleId="95">
    <w:name w:val="标题 1 字符"/>
    <w:qFormat/>
    <w:uiPriority w:val="0"/>
    <w:rPr>
      <w:rFonts w:ascii="Tahoma" w:hAnsi="Tahoma"/>
      <w:b/>
      <w:kern w:val="44"/>
      <w:sz w:val="44"/>
      <w:szCs w:val="44"/>
    </w:rPr>
  </w:style>
  <w:style w:type="character" w:customStyle="1" w:styleId="96">
    <w:name w:val="msobooktitle"/>
    <w:qFormat/>
    <w:uiPriority w:val="0"/>
    <w:rPr>
      <w:rFonts w:ascii="Tahoma" w:hAnsi="Tahoma"/>
      <w:b/>
      <w:smallCaps/>
      <w:spacing w:val="5"/>
      <w:sz w:val="24"/>
      <w:szCs w:val="20"/>
    </w:rPr>
  </w:style>
  <w:style w:type="character" w:customStyle="1" w:styleId="97">
    <w:name w:val="样式 标题 1合同标题卷标题H1h1Level 1 Topic HeadingH11H12H111H13H1... Char Char"/>
    <w:qFormat/>
    <w:uiPriority w:val="0"/>
    <w:rPr>
      <w:rFonts w:hint="eastAsia" w:ascii="宋体" w:hAnsi="宋体" w:eastAsia="宋体" w:cs="宋体"/>
      <w:b/>
      <w:kern w:val="44"/>
      <w:sz w:val="24"/>
      <w:szCs w:val="44"/>
      <w:lang w:val="en-US" w:eastAsia="zh-CN" w:bidi="ar"/>
    </w:rPr>
  </w:style>
  <w:style w:type="character" w:customStyle="1" w:styleId="98">
    <w:name w:val="页脚 字符1"/>
    <w:qFormat/>
    <w:uiPriority w:val="0"/>
    <w:rPr>
      <w:rFonts w:ascii="Tahoma" w:hAnsi="Tahoma"/>
      <w:kern w:val="2"/>
      <w:sz w:val="18"/>
      <w:szCs w:val="18"/>
    </w:rPr>
  </w:style>
  <w:style w:type="character" w:customStyle="1" w:styleId="99">
    <w:name w:val="font141"/>
    <w:qFormat/>
    <w:uiPriority w:val="0"/>
    <w:rPr>
      <w:rFonts w:hint="default" w:ascii="Tahoma" w:hAnsi="Tahoma" w:eastAsia="Tahoma" w:cs="Tahoma"/>
      <w:sz w:val="24"/>
      <w:szCs w:val="24"/>
    </w:rPr>
  </w:style>
  <w:style w:type="character" w:customStyle="1" w:styleId="100">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101">
    <w:name w:val="e"/>
    <w:qFormat/>
    <w:uiPriority w:val="0"/>
    <w:rPr>
      <w:rFonts w:hint="default" w:ascii="Tahoma" w:hAnsi="Tahoma" w:eastAsia="Tahoma" w:cs="Tahoma"/>
      <w:b/>
      <w:sz w:val="24"/>
      <w:szCs w:val="24"/>
    </w:rPr>
  </w:style>
  <w:style w:type="character" w:customStyle="1" w:styleId="102">
    <w:name w:val="news1"/>
    <w:qFormat/>
    <w:uiPriority w:val="0"/>
    <w:rPr>
      <w:rFonts w:hint="default" w:ascii="Tahoma" w:hAnsi="Tahoma" w:eastAsia="Tahoma" w:cs="Tahoma"/>
      <w:b/>
      <w:sz w:val="24"/>
      <w:szCs w:val="24"/>
    </w:rPr>
  </w:style>
  <w:style w:type="character" w:customStyle="1" w:styleId="103">
    <w:name w:val="z21"/>
    <w:qFormat/>
    <w:uiPriority w:val="0"/>
    <w:rPr>
      <w:rFonts w:ascii="Tahoma" w:hAnsi="Tahoma"/>
      <w:color w:val="000000"/>
      <w:sz w:val="18"/>
      <w:szCs w:val="18"/>
    </w:rPr>
  </w:style>
  <w:style w:type="character" w:customStyle="1" w:styleId="104">
    <w:name w:val="medium_text1"/>
    <w:qFormat/>
    <w:uiPriority w:val="0"/>
    <w:rPr>
      <w:rFonts w:hint="default" w:ascii="Times New Roman" w:hAnsi="Times New Roman" w:cs="Times New Roman"/>
      <w:sz w:val="24"/>
      <w:szCs w:val="24"/>
    </w:rPr>
  </w:style>
  <w:style w:type="character" w:customStyle="1" w:styleId="105">
    <w:name w:val="page number"/>
    <w:qFormat/>
    <w:uiPriority w:val="0"/>
    <w:rPr>
      <w:rFonts w:hint="default" w:ascii="Times New Roman" w:hAnsi="Tahoma" w:cs="Times New Roman"/>
      <w:b/>
      <w:sz w:val="24"/>
      <w:szCs w:val="24"/>
    </w:rPr>
  </w:style>
  <w:style w:type="character" w:customStyle="1" w:styleId="106">
    <w:name w:val="fontstyle01"/>
    <w:qFormat/>
    <w:uiPriority w:val="0"/>
    <w:rPr>
      <w:rFonts w:hint="eastAsia" w:ascii="宋体" w:hAnsi="宋体" w:eastAsia="宋体"/>
      <w:color w:val="000000"/>
      <w:sz w:val="24"/>
      <w:szCs w:val="24"/>
    </w:rPr>
  </w:style>
  <w:style w:type="character" w:customStyle="1" w:styleId="107">
    <w:name w:val="font111"/>
    <w:qFormat/>
    <w:uiPriority w:val="0"/>
    <w:rPr>
      <w:rFonts w:hint="eastAsia" w:ascii="宋体" w:hAnsi="宋体" w:eastAsia="宋体" w:cs="宋体"/>
      <w:color w:val="000000"/>
      <w:sz w:val="20"/>
      <w:szCs w:val="20"/>
      <w:u w:val="none"/>
    </w:rPr>
  </w:style>
  <w:style w:type="character" w:customStyle="1" w:styleId="108">
    <w:name w:val="正文文本缩进 字符1"/>
    <w:qFormat/>
    <w:uiPriority w:val="0"/>
    <w:rPr>
      <w:rFonts w:ascii="Tahoma" w:hAnsi="Tahoma"/>
      <w:kern w:val="2"/>
      <w:sz w:val="21"/>
      <w:szCs w:val="24"/>
    </w:rPr>
  </w:style>
  <w:style w:type="character" w:customStyle="1" w:styleId="109">
    <w:name w:val="a41"/>
    <w:qFormat/>
    <w:uiPriority w:val="0"/>
    <w:rPr>
      <w:rFonts w:ascii="Tahoma" w:hAnsi="Tahoma"/>
      <w:color w:val="666666"/>
      <w:sz w:val="26"/>
      <w:szCs w:val="26"/>
    </w:rPr>
  </w:style>
  <w:style w:type="character" w:customStyle="1" w:styleId="110">
    <w:name w:val="样式 宋体"/>
    <w:qFormat/>
    <w:uiPriority w:val="0"/>
    <w:rPr>
      <w:rFonts w:ascii="宋体" w:hAnsi="宋体" w:eastAsia="宋体"/>
      <w:sz w:val="24"/>
      <w:szCs w:val="24"/>
    </w:rPr>
  </w:style>
  <w:style w:type="character" w:customStyle="1" w:styleId="111">
    <w:name w:val="Char Char1"/>
    <w:qFormat/>
    <w:uiPriority w:val="0"/>
    <w:rPr>
      <w:rFonts w:ascii="宋体" w:hAnsi="Courier New" w:eastAsia="宋体" w:cs="Courier New"/>
      <w:kern w:val="2"/>
      <w:sz w:val="21"/>
      <w:szCs w:val="21"/>
      <w:lang w:val="en-US" w:eastAsia="zh-CN" w:bidi="ar-SA"/>
    </w:rPr>
  </w:style>
  <w:style w:type="character" w:customStyle="1" w:styleId="112">
    <w:name w:val="c_title1"/>
    <w:qFormat/>
    <w:uiPriority w:val="0"/>
    <w:rPr>
      <w:rFonts w:hint="eastAsia" w:ascii="黑体" w:hAnsi="Tahoma" w:eastAsia="黑体" w:cs="黑体"/>
      <w:b/>
      <w:color w:val="03005C"/>
      <w:sz w:val="30"/>
      <w:szCs w:val="30"/>
      <w:u w:val="none"/>
    </w:rPr>
  </w:style>
  <w:style w:type="character" w:customStyle="1" w:styleId="113">
    <w:name w:val="en"/>
    <w:qFormat/>
    <w:uiPriority w:val="0"/>
    <w:rPr>
      <w:rFonts w:hint="default" w:ascii="Tahoma" w:hAnsi="Tahoma" w:eastAsia="Tahoma" w:cs="Tahoma"/>
      <w:b/>
      <w:sz w:val="24"/>
      <w:szCs w:val="24"/>
    </w:rPr>
  </w:style>
  <w:style w:type="character" w:customStyle="1" w:styleId="114">
    <w:name w:val="HTML 预设格式 Char1"/>
    <w:qFormat/>
    <w:uiPriority w:val="0"/>
    <w:rPr>
      <w:rFonts w:hint="default" w:ascii="Courier New" w:hAnsi="Courier New" w:cs="Courier New"/>
      <w:kern w:val="2"/>
      <w:sz w:val="24"/>
      <w:szCs w:val="20"/>
    </w:rPr>
  </w:style>
  <w:style w:type="character" w:customStyle="1" w:styleId="115">
    <w:name w:val="r21"/>
    <w:qFormat/>
    <w:uiPriority w:val="0"/>
    <w:rPr>
      <w:rFonts w:hint="default" w:ascii="Tahoma" w:hAnsi="Tahoma" w:eastAsia="Tahoma" w:cs="Tahoma"/>
      <w:b/>
      <w:color w:val="666666"/>
      <w:sz w:val="18"/>
      <w:szCs w:val="18"/>
      <w:u w:val="none"/>
    </w:rPr>
  </w:style>
  <w:style w:type="character" w:customStyle="1" w:styleId="116">
    <w:name w:val="标题 2 Char Char"/>
    <w:qFormat/>
    <w:uiPriority w:val="0"/>
    <w:rPr>
      <w:rFonts w:ascii="Arial" w:hAnsi="Arial" w:eastAsia="黑体"/>
      <w:b/>
      <w:bCs/>
      <w:kern w:val="2"/>
      <w:sz w:val="32"/>
      <w:szCs w:val="32"/>
      <w:lang w:val="en-US" w:eastAsia="zh-CN" w:bidi="ar-SA"/>
    </w:rPr>
  </w:style>
  <w:style w:type="character" w:customStyle="1" w:styleId="117">
    <w:name w:val="aa1"/>
    <w:qFormat/>
    <w:uiPriority w:val="0"/>
    <w:rPr>
      <w:rFonts w:hint="default" w:ascii="Tahoma" w:hAnsi="Tahoma" w:eastAsia="Tahoma" w:cs="Tahoma"/>
      <w:b/>
      <w:sz w:val="24"/>
      <w:szCs w:val="24"/>
    </w:rPr>
  </w:style>
  <w:style w:type="character" w:customStyle="1" w:styleId="118">
    <w:name w:val="font21"/>
    <w:basedOn w:val="49"/>
    <w:qFormat/>
    <w:uiPriority w:val="0"/>
    <w:rPr>
      <w:rFonts w:hint="default" w:ascii="Times New Roman" w:hAnsi="Times New Roman" w:cs="Times New Roman"/>
      <w:b/>
      <w:color w:val="000000"/>
      <w:sz w:val="22"/>
      <w:szCs w:val="22"/>
      <w:u w:val="single"/>
    </w:rPr>
  </w:style>
  <w:style w:type="character" w:customStyle="1" w:styleId="119">
    <w:name w:val="kleintab"/>
    <w:qFormat/>
    <w:uiPriority w:val="0"/>
    <w:rPr>
      <w:rFonts w:hint="default" w:ascii="Tahoma" w:hAnsi="Tahoma" w:eastAsia="Tahoma" w:cs="Tahoma"/>
      <w:b/>
      <w:sz w:val="24"/>
      <w:szCs w:val="24"/>
    </w:rPr>
  </w:style>
  <w:style w:type="character" w:customStyle="1" w:styleId="120">
    <w:name w:val="Table Text Char Char Char Char"/>
    <w:qFormat/>
    <w:uiPriority w:val="0"/>
    <w:rPr>
      <w:rFonts w:hint="default" w:ascii="Arial" w:hAnsi="Arial" w:eastAsia="宋体" w:cs="Arial"/>
      <w:kern w:val="2"/>
      <w:sz w:val="18"/>
      <w:szCs w:val="18"/>
      <w:lang w:val="en-US" w:eastAsia="zh-CN" w:bidi="ar"/>
    </w:rPr>
  </w:style>
  <w:style w:type="character" w:customStyle="1" w:styleId="121">
    <w:name w:val="标题 1 Char Char"/>
    <w:qFormat/>
    <w:uiPriority w:val="0"/>
    <w:rPr>
      <w:rFonts w:eastAsia="宋体"/>
      <w:b/>
      <w:spacing w:val="-2"/>
      <w:sz w:val="24"/>
      <w:lang w:val="en-US" w:eastAsia="zh-CN" w:bidi="ar-SA"/>
    </w:rPr>
  </w:style>
  <w:style w:type="character" w:customStyle="1" w:styleId="122">
    <w:name w:val="页脚 Char Char"/>
    <w:qFormat/>
    <w:uiPriority w:val="0"/>
    <w:rPr>
      <w:rFonts w:eastAsia="黑体"/>
      <w:snapToGrid w:val="0"/>
      <w:kern w:val="2"/>
      <w:sz w:val="18"/>
      <w:szCs w:val="18"/>
    </w:rPr>
  </w:style>
  <w:style w:type="character" w:customStyle="1" w:styleId="123">
    <w:name w:val="标题 2 Char"/>
    <w:qFormat/>
    <w:uiPriority w:val="0"/>
    <w:rPr>
      <w:rFonts w:hint="default" w:ascii="Arial" w:hAnsi="Arial" w:eastAsia="黑体" w:cs="Arial"/>
      <w:b/>
      <w:kern w:val="2"/>
      <w:sz w:val="32"/>
      <w:szCs w:val="32"/>
    </w:rPr>
  </w:style>
  <w:style w:type="character" w:customStyle="1" w:styleId="124">
    <w:name w:val="纯文本 Char Char"/>
    <w:qFormat/>
    <w:uiPriority w:val="0"/>
    <w:rPr>
      <w:rFonts w:ascii="宋体" w:hAnsi="Courier New" w:eastAsia="宋体"/>
      <w:kern w:val="2"/>
      <w:sz w:val="24"/>
      <w:szCs w:val="24"/>
      <w:lang w:val="en-US" w:eastAsia="zh-CN" w:bidi="ar-SA"/>
    </w:rPr>
  </w:style>
  <w:style w:type="character" w:customStyle="1" w:styleId="125">
    <w:name w:val="批注主题 Char Char"/>
    <w:qFormat/>
    <w:uiPriority w:val="0"/>
    <w:rPr>
      <w:kern w:val="2"/>
      <w:sz w:val="21"/>
      <w:szCs w:val="24"/>
    </w:rPr>
  </w:style>
  <w:style w:type="character" w:customStyle="1" w:styleId="126">
    <w:name w:val="纯文本 Char1"/>
    <w:qFormat/>
    <w:uiPriority w:val="0"/>
    <w:rPr>
      <w:rFonts w:ascii="宋体" w:hAnsi="Courier New" w:eastAsia="宋体" w:cs="Courier New"/>
      <w:kern w:val="2"/>
      <w:sz w:val="21"/>
      <w:szCs w:val="21"/>
      <w:lang w:val="en-US" w:eastAsia="zh-CN" w:bidi="ar-SA"/>
    </w:rPr>
  </w:style>
  <w:style w:type="character" w:customStyle="1" w:styleId="127">
    <w:name w:val="font12"/>
    <w:qFormat/>
    <w:uiPriority w:val="0"/>
    <w:rPr>
      <w:rFonts w:hint="eastAsia" w:ascii="宋体" w:hAnsi="宋体" w:eastAsia="宋体" w:cs="宋体"/>
      <w:color w:val="FF0000"/>
      <w:sz w:val="20"/>
      <w:szCs w:val="20"/>
      <w:u w:val="none"/>
    </w:rPr>
  </w:style>
  <w:style w:type="character" w:customStyle="1" w:styleId="128">
    <w:name w:val="文档结构图 Char Char"/>
    <w:qFormat/>
    <w:uiPriority w:val="0"/>
    <w:rPr>
      <w:rFonts w:hint="eastAsia" w:ascii="Microsoft YaHei UI" w:hAnsi="Tahoma" w:eastAsia="Microsoft YaHei UI" w:cs="Microsoft YaHei UI"/>
      <w:kern w:val="2"/>
      <w:sz w:val="18"/>
      <w:szCs w:val="18"/>
    </w:rPr>
  </w:style>
  <w:style w:type="character" w:customStyle="1" w:styleId="129">
    <w:name w:val="纯文本 Char2"/>
    <w:qFormat/>
    <w:uiPriority w:val="0"/>
    <w:rPr>
      <w:rFonts w:hint="eastAsia" w:ascii="宋体" w:hAnsi="Courier New" w:eastAsia="宋体" w:cs="宋体"/>
      <w:kern w:val="2"/>
      <w:sz w:val="24"/>
      <w:szCs w:val="24"/>
    </w:rPr>
  </w:style>
  <w:style w:type="character" w:customStyle="1" w:styleId="130">
    <w:name w:val="HTML 预设格式 Char2"/>
    <w:qFormat/>
    <w:uiPriority w:val="0"/>
    <w:rPr>
      <w:rFonts w:ascii="Courier New" w:hAnsi="Courier New" w:cs="Courier New"/>
      <w:kern w:val="2"/>
      <w:sz w:val="24"/>
      <w:szCs w:val="20"/>
    </w:rPr>
  </w:style>
  <w:style w:type="character" w:customStyle="1" w:styleId="131">
    <w:name w:val="font11"/>
    <w:basedOn w:val="49"/>
    <w:qFormat/>
    <w:uiPriority w:val="0"/>
    <w:rPr>
      <w:rFonts w:hint="eastAsia" w:ascii="宋体" w:hAnsi="宋体" w:eastAsia="宋体"/>
      <w:color w:val="000000"/>
      <w:sz w:val="18"/>
      <w:szCs w:val="18"/>
      <w:u w:val="none"/>
    </w:rPr>
  </w:style>
  <w:style w:type="character" w:customStyle="1" w:styleId="132">
    <w:name w:val="font181"/>
    <w:qFormat/>
    <w:uiPriority w:val="0"/>
    <w:rPr>
      <w:rFonts w:hint="default" w:ascii="Times New Roman" w:hAnsi="Times New Roman" w:cs="Times New Roman"/>
      <w:b/>
      <w:color w:val="000000"/>
      <w:sz w:val="22"/>
      <w:szCs w:val="22"/>
      <w:u w:val="none"/>
    </w:rPr>
  </w:style>
  <w:style w:type="character" w:customStyle="1" w:styleId="133">
    <w:name w:val="tx_news9"/>
    <w:qFormat/>
    <w:uiPriority w:val="0"/>
    <w:rPr>
      <w:rFonts w:hint="default" w:ascii="Tahoma" w:hAnsi="Tahoma" w:eastAsia="Tahoma" w:cs="Tahoma"/>
      <w:b/>
      <w:sz w:val="24"/>
      <w:szCs w:val="24"/>
    </w:rPr>
  </w:style>
  <w:style w:type="character" w:customStyle="1" w:styleId="134">
    <w:name w:val="批注文字 字符1"/>
    <w:qFormat/>
    <w:uiPriority w:val="0"/>
    <w:rPr>
      <w:rFonts w:ascii="Tahoma" w:hAnsi="Tahoma"/>
      <w:kern w:val="2"/>
      <w:sz w:val="21"/>
      <w:szCs w:val="24"/>
    </w:rPr>
  </w:style>
  <w:style w:type="character" w:customStyle="1" w:styleId="135">
    <w:name w:val="Char Char Char"/>
    <w:qFormat/>
    <w:uiPriority w:val="0"/>
    <w:rPr>
      <w:rFonts w:ascii="宋体" w:hAnsi="Courier New" w:eastAsia="宋体"/>
      <w:kern w:val="2"/>
      <w:sz w:val="24"/>
      <w:szCs w:val="24"/>
      <w:lang w:val="en-US" w:eastAsia="zh-CN" w:bidi="ar-SA"/>
    </w:rPr>
  </w:style>
  <w:style w:type="character" w:customStyle="1" w:styleId="136">
    <w:name w:val="H5 Char"/>
    <w:qFormat/>
    <w:uiPriority w:val="0"/>
    <w:rPr>
      <w:rFonts w:ascii="Tahoma" w:hAnsi="Tahoma"/>
      <w:sz w:val="28"/>
      <w:szCs w:val="20"/>
    </w:rPr>
  </w:style>
  <w:style w:type="character" w:customStyle="1" w:styleId="137">
    <w:name w:val="text1"/>
    <w:qFormat/>
    <w:uiPriority w:val="0"/>
    <w:rPr>
      <w:rFonts w:ascii="Tahoma" w:hAnsi="Tahoma"/>
      <w:color w:val="000000"/>
      <w:sz w:val="24"/>
      <w:szCs w:val="24"/>
    </w:rPr>
  </w:style>
  <w:style w:type="character" w:customStyle="1" w:styleId="138">
    <w:name w:val="普通文字 Char Char1"/>
    <w:qFormat/>
    <w:uiPriority w:val="0"/>
    <w:rPr>
      <w:rFonts w:ascii="宋体" w:hAnsi="Courier New" w:eastAsia="宋体"/>
      <w:kern w:val="2"/>
      <w:sz w:val="24"/>
      <w:szCs w:val="24"/>
      <w:lang w:val="en-US" w:eastAsia="zh-CN" w:bidi="ar-SA"/>
    </w:rPr>
  </w:style>
  <w:style w:type="character" w:customStyle="1" w:styleId="139">
    <w:name w:val="纯文本 字符1"/>
    <w:qFormat/>
    <w:uiPriority w:val="0"/>
    <w:rPr>
      <w:rFonts w:ascii="等线" w:hAnsi="Courier New" w:eastAsia="等线" w:cs="Courier New"/>
      <w:kern w:val="2"/>
      <w:sz w:val="21"/>
      <w:szCs w:val="24"/>
    </w:rPr>
  </w:style>
  <w:style w:type="character" w:customStyle="1" w:styleId="140">
    <w:name w:val="批注文字 Char Char"/>
    <w:qFormat/>
    <w:uiPriority w:val="0"/>
    <w:rPr>
      <w:rFonts w:ascii="Tahoma" w:hAnsi="Tahoma"/>
      <w:kern w:val="2"/>
      <w:sz w:val="21"/>
      <w:szCs w:val="20"/>
    </w:rPr>
  </w:style>
  <w:style w:type="character" w:customStyle="1" w:styleId="141">
    <w:name w:val="font71"/>
    <w:qFormat/>
    <w:uiPriority w:val="0"/>
    <w:rPr>
      <w:rFonts w:hint="eastAsia" w:ascii="宋体" w:hAnsi="宋体" w:eastAsia="宋体" w:cs="宋体"/>
      <w:b/>
      <w:color w:val="000000"/>
      <w:sz w:val="22"/>
      <w:szCs w:val="22"/>
      <w:u w:val="none"/>
    </w:rPr>
  </w:style>
  <w:style w:type="character" w:customStyle="1" w:styleId="142">
    <w:name w:val="font61"/>
    <w:basedOn w:val="49"/>
    <w:qFormat/>
    <w:uiPriority w:val="0"/>
    <w:rPr>
      <w:rFonts w:hint="eastAsia" w:ascii="宋体" w:hAnsi="宋体" w:eastAsia="宋体" w:cs="宋体"/>
      <w:color w:val="000000"/>
      <w:sz w:val="20"/>
      <w:szCs w:val="20"/>
      <w:u w:val="none"/>
    </w:rPr>
  </w:style>
  <w:style w:type="character" w:customStyle="1" w:styleId="143">
    <w:name w:val="标题 41"/>
    <w:basedOn w:val="49"/>
    <w:qFormat/>
    <w:uiPriority w:val="0"/>
  </w:style>
  <w:style w:type="character" w:customStyle="1" w:styleId="144">
    <w:name w:val="文档结构图 Char1"/>
    <w:qFormat/>
    <w:uiPriority w:val="0"/>
    <w:rPr>
      <w:rFonts w:hint="eastAsia" w:ascii="宋体" w:hAnsi="宋体" w:eastAsia="宋体" w:cs="宋体"/>
      <w:kern w:val="2"/>
      <w:sz w:val="18"/>
      <w:szCs w:val="18"/>
    </w:rPr>
  </w:style>
  <w:style w:type="character" w:customStyle="1" w:styleId="145">
    <w:name w:val="正文文本缩进 Char Char"/>
    <w:qFormat/>
    <w:uiPriority w:val="0"/>
    <w:rPr>
      <w:rFonts w:ascii="Tahoma" w:hAnsi="Tahoma"/>
      <w:kern w:val="2"/>
      <w:sz w:val="21"/>
      <w:szCs w:val="24"/>
    </w:rPr>
  </w:style>
  <w:style w:type="character" w:customStyle="1" w:styleId="146">
    <w:name w:val="正文文本 3 Char Char"/>
    <w:qFormat/>
    <w:uiPriority w:val="0"/>
    <w:rPr>
      <w:rFonts w:ascii="Tahoma" w:hAnsi="Tahoma"/>
      <w:kern w:val="2"/>
      <w:sz w:val="16"/>
      <w:szCs w:val="16"/>
    </w:rPr>
  </w:style>
  <w:style w:type="paragraph" w:customStyle="1" w:styleId="147">
    <w:name w:val="Table Paragraph"/>
    <w:basedOn w:val="1"/>
    <w:qFormat/>
    <w:uiPriority w:val="1"/>
    <w:pPr>
      <w:spacing w:before="94"/>
      <w:jc w:val="center"/>
    </w:pPr>
    <w:rPr>
      <w:rFonts w:ascii="宋体" w:hAnsi="宋体" w:eastAsia="宋体" w:cs="宋体"/>
      <w:lang w:val="zh-CN" w:eastAsia="zh-CN" w:bidi="zh-CN"/>
    </w:rPr>
  </w:style>
  <w:style w:type="paragraph" w:customStyle="1" w:styleId="1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Char Char Char Char Char Char Char Char Char Char Char Char1 Char"/>
    <w:basedOn w:val="18"/>
    <w:qFormat/>
    <w:uiPriority w:val="0"/>
    <w:rPr>
      <w:rFonts w:ascii="Tahoma" w:hAnsi="Tahoma"/>
      <w:sz w:val="24"/>
    </w:rPr>
  </w:style>
  <w:style w:type="paragraph" w:customStyle="1" w:styleId="150">
    <w:name w:val="四级无"/>
    <w:basedOn w:val="1"/>
    <w:qFormat/>
    <w:uiPriority w:val="0"/>
    <w:pPr>
      <w:widowControl/>
      <w:tabs>
        <w:tab w:val="left" w:pos="2100"/>
      </w:tabs>
      <w:ind w:left="2100" w:hanging="420"/>
      <w:jc w:val="left"/>
      <w:outlineLvl w:val="5"/>
    </w:pPr>
    <w:rPr>
      <w:rFonts w:hint="eastAsia" w:ascii="宋体" w:hAnsi="Calibri" w:eastAsia="宋体"/>
      <w:kern w:val="0"/>
      <w:sz w:val="21"/>
    </w:rPr>
  </w:style>
  <w:style w:type="paragraph" w:customStyle="1" w:styleId="151">
    <w:name w:val="Char Char Char Char"/>
    <w:basedOn w:val="1"/>
    <w:qFormat/>
    <w:uiPriority w:val="0"/>
  </w:style>
  <w:style w:type="paragraph" w:customStyle="1" w:styleId="152">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4">
    <w:name w:val="xl27"/>
    <w:basedOn w:val="1"/>
    <w:qFormat/>
    <w:uiPriority w:val="0"/>
    <w:pPr>
      <w:widowControl/>
      <w:spacing w:before="100" w:beforeLines="0" w:beforeAutospacing="1" w:after="100" w:afterLines="0" w:afterAutospacing="1"/>
      <w:textAlignment w:val="top"/>
    </w:pPr>
    <w:rPr>
      <w:rFonts w:ascii="宋体" w:hAnsi="宋体"/>
      <w:kern w:val="0"/>
      <w:sz w:val="24"/>
    </w:rPr>
  </w:style>
  <w:style w:type="paragraph" w:customStyle="1" w:styleId="155">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156">
    <w:name w:val="xl82"/>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157">
    <w:name w:val="章标题"/>
    <w:basedOn w:val="1"/>
    <w:next w:val="148"/>
    <w:qFormat/>
    <w:uiPriority w:val="0"/>
    <w:pPr>
      <w:keepNext w:val="0"/>
      <w:keepLines w:val="0"/>
      <w:widowControl/>
      <w:numPr>
        <w:ilvl w:val="0"/>
        <w:numId w:val="2"/>
      </w:numPr>
      <w:suppressLineNumbers w:val="0"/>
      <w:spacing w:before="312" w:beforeLines="100" w:beforeAutospacing="0" w:after="0" w:afterLines="0" w:afterAutospacing="0"/>
      <w:ind w:left="105" w:right="0" w:firstLine="0"/>
      <w:jc w:val="both"/>
      <w:outlineLvl w:val="1"/>
    </w:pPr>
    <w:rPr>
      <w:rFonts w:hint="eastAsia" w:ascii="黑体" w:hAnsi="Times New Roman" w:eastAsia="黑体" w:cs="Times New Roman"/>
      <w:kern w:val="0"/>
      <w:sz w:val="20"/>
      <w:szCs w:val="20"/>
      <w:lang w:val="en-US" w:eastAsia="zh-CN" w:bidi="ar"/>
    </w:rPr>
  </w:style>
  <w:style w:type="paragraph" w:customStyle="1" w:styleId="158">
    <w:name w:val="_Style 0"/>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59">
    <w:name w:val="正文缩进2格"/>
    <w:basedOn w:val="1"/>
    <w:qFormat/>
    <w:uiPriority w:val="0"/>
    <w:pPr>
      <w:keepNext w:val="0"/>
      <w:keepLines w:val="0"/>
      <w:widowControl w:val="0"/>
      <w:suppressLineNumbers w:val="0"/>
      <w:spacing w:before="0" w:beforeLines="0" w:beforeAutospacing="0" w:after="0" w:afterLines="0" w:afterAutospacing="0" w:line="600" w:lineRule="exact"/>
      <w:ind w:left="0" w:right="0" w:firstLine="639" w:firstLineChars="206"/>
      <w:jc w:val="both"/>
    </w:pPr>
    <w:rPr>
      <w:rFonts w:hint="eastAsia" w:ascii="仿宋_GB2312" w:hAnsi="宋体" w:eastAsia="仿宋_GB2312" w:cs="Times New Roman"/>
      <w:kern w:val="2"/>
      <w:sz w:val="31"/>
      <w:szCs w:val="28"/>
      <w:lang w:val="en-US" w:eastAsia="zh-CN" w:bidi="ar"/>
    </w:rPr>
  </w:style>
  <w:style w:type="paragraph" w:customStyle="1" w:styleId="160">
    <w:name w:val="默认段落字体 Para Char Char Char Char Char Char Char Char Char1 Char Char Char Char"/>
    <w:basedOn w:val="1"/>
    <w:qFormat/>
    <w:uiPriority w:val="0"/>
    <w:rPr>
      <w:rFonts w:ascii="Tahoma" w:hAnsi="Tahoma"/>
      <w:sz w:val="24"/>
      <w:szCs w:val="20"/>
    </w:rPr>
  </w:style>
  <w:style w:type="paragraph" w:customStyle="1" w:styleId="161">
    <w:name w:val="表格"/>
    <w:basedOn w:val="1"/>
    <w:qFormat/>
    <w:uiPriority w:val="0"/>
    <w:pPr>
      <w:widowControl/>
      <w:spacing w:line="240" w:lineRule="auto"/>
      <w:ind w:firstLine="0" w:firstLineChars="0"/>
      <w:jc w:val="center"/>
    </w:pPr>
    <w:rPr>
      <w:rFonts w:ascii="宋体" w:hAnsi="宋体"/>
      <w:bCs/>
      <w:color w:val="000000"/>
      <w:kern w:val="0"/>
      <w:szCs w:val="21"/>
    </w:rPr>
  </w:style>
  <w:style w:type="paragraph" w:customStyle="1" w:styleId="162">
    <w:name w:val="Normal Char"/>
    <w:basedOn w:val="1"/>
    <w:qFormat/>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63">
    <w:name w:val="msonospacing"/>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64">
    <w:name w:val="Char"/>
    <w:basedOn w:val="1"/>
    <w:qFormat/>
    <w:uiPriority w:val="0"/>
    <w:pPr>
      <w:tabs>
        <w:tab w:val="left" w:pos="1200"/>
        <w:tab w:val="left" w:pos="1800"/>
      </w:tabs>
      <w:ind w:left="1200" w:hanging="1110"/>
    </w:pPr>
    <w:rPr>
      <w:sz w:val="24"/>
    </w:rPr>
  </w:style>
  <w:style w:type="paragraph" w:customStyle="1" w:styleId="165">
    <w:name w:val="自由格式 A"/>
    <w:qFormat/>
    <w:uiPriority w:val="0"/>
    <w:rPr>
      <w:rFonts w:ascii="Helvetica" w:hAnsi="Helvetica" w:eastAsia="ヒラギノ角ゴ Pro W3" w:cs="Times New Roman"/>
      <w:color w:val="000000"/>
      <w:sz w:val="24"/>
      <w:lang w:val="en-US" w:eastAsia="zh-CN" w:bidi="ar-SA"/>
    </w:rPr>
  </w:style>
  <w:style w:type="paragraph" w:customStyle="1" w:styleId="166">
    <w:name w:val="f1"/>
    <w:basedOn w:val="1"/>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167">
    <w:name w:val="_Style 165"/>
    <w:basedOn w:val="4"/>
    <w:next w:val="1"/>
    <w:qFormat/>
    <w:uiPriority w:val="39"/>
    <w:pPr>
      <w:spacing w:line="578" w:lineRule="auto"/>
      <w:outlineLvl w:val="9"/>
    </w:pPr>
    <w:rPr>
      <w:rFonts w:ascii="Times New Roman" w:hAnsi="Times New Roman"/>
      <w:bCs/>
    </w:rPr>
  </w:style>
  <w:style w:type="paragraph" w:customStyle="1" w:styleId="168">
    <w:name w:val=" Char Char Char Char Char Char Char Char Char Char Char Char1 Char"/>
    <w:basedOn w:val="18"/>
    <w:qFormat/>
    <w:uiPriority w:val="0"/>
    <w:rPr>
      <w:rFonts w:ascii="Tahoma" w:hAnsi="Tahoma"/>
      <w:sz w:val="24"/>
    </w:rPr>
  </w:style>
  <w:style w:type="paragraph" w:customStyle="1" w:styleId="169">
    <w:name w:val="xl29"/>
    <w:basedOn w:val="1"/>
    <w:qFormat/>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170">
    <w:name w:val=" Char Char Char Char Char Char Char Char Char Char Char Char"/>
    <w:basedOn w:val="1"/>
    <w:qFormat/>
    <w:uiPriority w:val="0"/>
    <w:pPr>
      <w:widowControl/>
      <w:spacing w:after="160" w:afterLines="0" w:line="240" w:lineRule="exact"/>
      <w:jc w:val="left"/>
    </w:pPr>
  </w:style>
  <w:style w:type="paragraph" w:customStyle="1" w:styleId="171">
    <w:name w:val="p0"/>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宋体" w:cs="Times New Roman"/>
      <w:kern w:val="0"/>
      <w:sz w:val="21"/>
      <w:szCs w:val="21"/>
      <w:lang w:val="en-US" w:eastAsia="zh-CN" w:bidi="ar"/>
    </w:rPr>
  </w:style>
  <w:style w:type="paragraph" w:customStyle="1" w:styleId="172">
    <w:name w:val="Char Char Char1 Char8"/>
    <w:basedOn w:val="1"/>
    <w:qFormat/>
    <w:uiPriority w:val="0"/>
    <w:pPr>
      <w:spacing w:line="360" w:lineRule="auto"/>
      <w:ind w:firstLine="200" w:firstLineChars="200"/>
    </w:pPr>
    <w:rPr>
      <w:rFonts w:hint="eastAsia" w:ascii="宋体" w:hAnsi="宋体"/>
      <w:sz w:val="24"/>
      <w:szCs w:val="20"/>
    </w:rPr>
  </w:style>
  <w:style w:type="paragraph" w:customStyle="1" w:styleId="173">
    <w:name w:val="正文 New"/>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74">
    <w:name w:val="样式1"/>
    <w:basedOn w:val="8"/>
    <w:qFormat/>
    <w:uiPriority w:val="0"/>
  </w:style>
  <w:style w:type="paragraph" w:customStyle="1" w:styleId="175">
    <w:name w:val="_Style 1"/>
    <w:basedOn w:val="1"/>
    <w:qFormat/>
    <w:uiPriority w:val="0"/>
    <w:pPr>
      <w:ind w:firstLine="420" w:firstLineChars="200"/>
    </w:pPr>
    <w:rPr>
      <w:rFonts w:ascii="Calibri" w:hAnsi="Calibri"/>
      <w:szCs w:val="22"/>
    </w:rPr>
  </w:style>
  <w:style w:type="paragraph" w:customStyle="1" w:styleId="176">
    <w:name w:val="纯文本1"/>
    <w:basedOn w:val="55"/>
    <w:qFormat/>
    <w:uiPriority w:val="99"/>
    <w:pPr>
      <w:widowControl/>
      <w:jc w:val="left"/>
    </w:pPr>
    <w:rPr>
      <w:rFonts w:ascii="宋体" w:hAnsi="Courier New" w:cs="宋体"/>
    </w:rPr>
  </w:style>
  <w:style w:type="paragraph" w:customStyle="1" w:styleId="177">
    <w:name w:val="此正文"/>
    <w:basedOn w:val="1"/>
    <w:qFormat/>
    <w:uiPriority w:val="0"/>
    <w:pPr>
      <w:spacing w:line="360" w:lineRule="auto"/>
      <w:ind w:firstLine="200" w:firstLineChars="200"/>
    </w:pPr>
    <w:rPr>
      <w:sz w:val="24"/>
    </w:rPr>
  </w:style>
  <w:style w:type="paragraph" w:customStyle="1" w:styleId="178">
    <w:name w:val="List Paragraph1"/>
    <w:basedOn w:val="1"/>
    <w:qFormat/>
    <w:uiPriority w:val="34"/>
    <w:pPr>
      <w:ind w:firstLine="420" w:firstLineChars="200"/>
    </w:pPr>
  </w:style>
  <w:style w:type="paragraph" w:customStyle="1" w:styleId="179">
    <w:name w:val="表格文字"/>
    <w:basedOn w:val="23"/>
    <w:next w:val="21"/>
    <w:qFormat/>
    <w:uiPriority w:val="0"/>
    <w:pPr>
      <w:spacing w:line="240" w:lineRule="auto"/>
      <w:ind w:firstLine="0" w:firstLineChars="0"/>
      <w:jc w:val="center"/>
    </w:pPr>
    <w:rPr>
      <w:rFonts w:ascii="Arial" w:hAnsi="Arial" w:eastAsia="仿宋_GB2312" w:cs="Arial"/>
      <w:spacing w:val="10"/>
      <w:sz w:val="24"/>
      <w:szCs w:val="28"/>
    </w:rPr>
  </w:style>
  <w:style w:type="paragraph" w:styleId="180">
    <w:name w:val="List Paragraph"/>
    <w:basedOn w:val="1"/>
    <w:qFormat/>
    <w:uiPriority w:val="34"/>
    <w:pPr>
      <w:ind w:firstLine="420" w:firstLineChars="200"/>
    </w:pPr>
    <w:rPr>
      <w:rFonts w:ascii="Calibri" w:hAnsi="Calibri"/>
      <w:szCs w:val="22"/>
    </w:rPr>
  </w:style>
  <w:style w:type="paragraph" w:customStyle="1" w:styleId="18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82">
    <w:name w:val="正文表标题"/>
    <w:next w:val="148"/>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183">
    <w:name w:val="Char Char Char Char Char Char"/>
    <w:basedOn w:val="1"/>
    <w:qFormat/>
    <w:uiPriority w:val="0"/>
    <w:pPr>
      <w:ind w:firstLine="200" w:firstLineChars="200"/>
    </w:pPr>
    <w:rPr>
      <w:rFonts w:ascii="Tahoma" w:hAnsi="Tahoma"/>
      <w:sz w:val="24"/>
      <w:szCs w:val="20"/>
    </w:rPr>
  </w:style>
  <w:style w:type="paragraph" w:customStyle="1" w:styleId="184">
    <w:name w:val="二级无"/>
    <w:basedOn w:val="185"/>
    <w:qFormat/>
    <w:uiPriority w:val="0"/>
    <w:pPr>
      <w:tabs>
        <w:tab w:val="left" w:pos="1080"/>
        <w:tab w:val="left" w:pos="1260"/>
        <w:tab w:val="left" w:pos="1680"/>
      </w:tabs>
      <w:spacing w:before="0" w:beforeLines="0" w:after="0" w:afterLines="0"/>
    </w:pPr>
    <w:rPr>
      <w:rFonts w:hint="eastAsia" w:ascii="宋体" w:eastAsia="宋体"/>
      <w:sz w:val="21"/>
    </w:rPr>
  </w:style>
  <w:style w:type="paragraph" w:customStyle="1" w:styleId="185">
    <w:name w:val="二级条标题"/>
    <w:basedOn w:val="186"/>
    <w:next w:val="148"/>
    <w:qFormat/>
    <w:uiPriority w:val="0"/>
    <w:pPr>
      <w:numPr>
        <w:ilvl w:val="3"/>
        <w:numId w:val="4"/>
      </w:numPr>
      <w:tabs>
        <w:tab w:val="left" w:pos="1080"/>
      </w:tabs>
      <w:ind w:left="2310" w:firstLine="0"/>
      <w:outlineLvl w:val="3"/>
    </w:pPr>
  </w:style>
  <w:style w:type="paragraph" w:customStyle="1" w:styleId="186">
    <w:name w:val="一级条标题"/>
    <w:basedOn w:val="1"/>
    <w:next w:val="148"/>
    <w:qFormat/>
    <w:uiPriority w:val="0"/>
    <w:pPr>
      <w:keepNext w:val="0"/>
      <w:keepLines w:val="0"/>
      <w:widowControl/>
      <w:numPr>
        <w:ilvl w:val="1"/>
        <w:numId w:val="5"/>
      </w:numPr>
      <w:suppressLineNumbers w:val="0"/>
      <w:spacing w:before="156" w:beforeLines="50" w:beforeAutospacing="0" w:after="0" w:afterLines="0" w:afterAutospacing="0"/>
      <w:ind w:left="1080" w:right="0" w:hanging="360"/>
      <w:jc w:val="both"/>
      <w:outlineLvl w:val="2"/>
    </w:pPr>
    <w:rPr>
      <w:rFonts w:hint="eastAsia" w:ascii="黑体" w:hAnsi="Times New Roman" w:eastAsia="黑体" w:cs="Times New Roman"/>
      <w:kern w:val="0"/>
      <w:sz w:val="20"/>
      <w:szCs w:val="21"/>
      <w:lang w:val="en-US" w:eastAsia="zh-CN" w:bidi="ar"/>
    </w:rPr>
  </w:style>
  <w:style w:type="paragraph" w:customStyle="1" w:styleId="187">
    <w:name w:val="a"/>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88">
    <w:name w:val="默认段落字体 Para Char Char Char Char Char Char Char"/>
    <w:basedOn w:val="18"/>
    <w:qFormat/>
    <w:uiPriority w:val="0"/>
    <w:pPr>
      <w:adjustRightInd w:val="0"/>
      <w:spacing w:line="436" w:lineRule="exact"/>
      <w:ind w:left="357"/>
      <w:jc w:val="left"/>
      <w:outlineLvl w:val="3"/>
    </w:pPr>
    <w:rPr>
      <w:rFonts w:ascii="Tahoma" w:hAnsi="Tahoma"/>
      <w:b/>
      <w:sz w:val="24"/>
    </w:rPr>
  </w:style>
  <w:style w:type="paragraph" w:customStyle="1" w:styleId="189">
    <w:name w:val="正文－恩普"/>
    <w:basedOn w:val="6"/>
    <w:qFormat/>
    <w:uiPriority w:val="0"/>
    <w:pPr>
      <w:widowControl/>
      <w:spacing w:line="360" w:lineRule="auto"/>
      <w:ind w:firstLine="480" w:firstLineChars="200"/>
      <w:jc w:val="left"/>
    </w:pPr>
    <w:rPr>
      <w:kern w:val="0"/>
      <w:sz w:val="24"/>
    </w:rPr>
  </w:style>
  <w:style w:type="paragraph" w:customStyle="1" w:styleId="190">
    <w:name w:val="文档正文"/>
    <w:basedOn w:val="1"/>
    <w:qFormat/>
    <w:uiPriority w:val="0"/>
    <w:pPr>
      <w:adjustRightInd w:val="0"/>
      <w:snapToGrid w:val="0"/>
      <w:spacing w:line="480" w:lineRule="atLeast"/>
      <w:ind w:firstLine="567"/>
    </w:pPr>
    <w:rPr>
      <w:rFonts w:ascii="长城仿宋" w:eastAsia="长城仿宋"/>
      <w:kern w:val="0"/>
      <w:szCs w:val="20"/>
    </w:rPr>
  </w:style>
  <w:style w:type="paragraph" w:customStyle="1" w:styleId="191">
    <w:name w:val=" Char Char Char Char Char Char Char"/>
    <w:basedOn w:val="1"/>
    <w:qFormat/>
    <w:uiPriority w:val="0"/>
    <w:rPr>
      <w:rFonts w:ascii="Tahoma" w:hAnsi="Tahoma"/>
      <w:sz w:val="24"/>
      <w:szCs w:val="20"/>
    </w:rPr>
  </w:style>
  <w:style w:type="paragraph" w:customStyle="1" w:styleId="192">
    <w:name w:val=" Char Char Char1"/>
    <w:basedOn w:val="1"/>
    <w:qFormat/>
    <w:uiPriority w:val="0"/>
  </w:style>
  <w:style w:type="paragraph" w:customStyle="1" w:styleId="193">
    <w:name w:val="方案正文"/>
    <w:basedOn w:val="1"/>
    <w:qFormat/>
    <w:uiPriority w:val="0"/>
    <w:pPr>
      <w:spacing w:before="120" w:beforeLines="0" w:line="360" w:lineRule="auto"/>
      <w:ind w:firstLine="425" w:firstLineChars="177"/>
    </w:pPr>
    <w:rPr>
      <w:rFonts w:ascii="华文细黑" w:hAnsi="华文细黑" w:eastAsia="华文细黑"/>
      <w:sz w:val="24"/>
    </w:rPr>
  </w:style>
  <w:style w:type="paragraph" w:styleId="194">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95">
    <w:name w:val="普通(网站)1"/>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96">
    <w:name w:val=" Char1"/>
    <w:basedOn w:val="1"/>
    <w:qFormat/>
    <w:uiPriority w:val="0"/>
  </w:style>
  <w:style w:type="paragraph" w:customStyle="1" w:styleId="197">
    <w:name w:val="列出段落8"/>
    <w:basedOn w:val="1"/>
    <w:qFormat/>
    <w:uiPriority w:val="34"/>
    <w:pPr>
      <w:ind w:firstLine="420"/>
    </w:pPr>
    <w:rPr>
      <w:rFonts w:ascii="Calibri" w:hAnsi="Calibri"/>
      <w:szCs w:val="22"/>
    </w:rPr>
  </w:style>
  <w:style w:type="paragraph" w:customStyle="1" w:styleId="198">
    <w:name w:val="Body Text Indent"/>
    <w:basedOn w:val="1"/>
    <w:qFormat/>
    <w:uiPriority w:val="0"/>
    <w:pPr>
      <w:keepNext w:val="0"/>
      <w:keepLines w:val="0"/>
      <w:widowControl w:val="0"/>
      <w:suppressLineNumbers w:val="0"/>
      <w:spacing w:before="0" w:beforeLines="0" w:beforeAutospacing="0" w:after="0" w:afterLines="0" w:afterAutospacing="0" w:line="200" w:lineRule="exact"/>
      <w:ind w:left="0" w:right="0" w:firstLine="301"/>
      <w:jc w:val="both"/>
    </w:pPr>
    <w:rPr>
      <w:rFonts w:hint="eastAsia" w:ascii="宋体" w:hAnsi="Courier New" w:eastAsia="宋体" w:cs="Times New Roman"/>
      <w:spacing w:val="-4"/>
      <w:kern w:val="2"/>
      <w:sz w:val="18"/>
      <w:szCs w:val="24"/>
      <w:lang w:val="en-US" w:eastAsia="zh-CN" w:bidi="ar"/>
    </w:rPr>
  </w:style>
  <w:style w:type="paragraph" w:customStyle="1" w:styleId="199">
    <w:name w:val="正文段"/>
    <w:basedOn w:val="1"/>
    <w:qFormat/>
    <w:uiPriority w:val="0"/>
    <w:pPr>
      <w:widowControl/>
      <w:snapToGrid w:val="0"/>
      <w:spacing w:after="156" w:afterLines="50"/>
      <w:ind w:firstLine="200" w:firstLineChars="200"/>
    </w:pPr>
    <w:rPr>
      <w:kern w:val="0"/>
      <w:sz w:val="24"/>
      <w:szCs w:val="20"/>
    </w:rPr>
  </w:style>
  <w:style w:type="paragraph" w:customStyle="1" w:styleId="200">
    <w:name w:val="GP正文(无首行缩进)"/>
    <w:basedOn w:val="1"/>
    <w:qFormat/>
    <w:uiPriority w:val="0"/>
    <w:pPr>
      <w:spacing w:line="360" w:lineRule="auto"/>
      <w:ind w:firstLine="480" w:firstLineChars="200"/>
      <w:jc w:val="left"/>
    </w:pPr>
    <w:rPr>
      <w:rFonts w:ascii="Times New Roman" w:hAnsi="宋体"/>
      <w:sz w:val="24"/>
    </w:rPr>
  </w:style>
  <w:style w:type="paragraph" w:customStyle="1" w:styleId="201">
    <w:name w:val="_Style 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2">
    <w:name w:val="Char1"/>
    <w:basedOn w:val="1"/>
    <w:qFormat/>
    <w:uiPriority w:val="0"/>
    <w:rPr>
      <w:rFonts w:ascii="Tahoma" w:hAnsi="Tahoma"/>
      <w:sz w:val="24"/>
      <w:szCs w:val="20"/>
    </w:rPr>
  </w:style>
  <w:style w:type="paragraph" w:customStyle="1" w:styleId="203">
    <w:name w:val="样式5"/>
    <w:basedOn w:val="1"/>
    <w:qFormat/>
    <w:uiPriority w:val="0"/>
    <w:pPr>
      <w:spacing w:before="120" w:beforeLines="0" w:line="360" w:lineRule="auto"/>
      <w:ind w:firstLine="425" w:firstLineChars="177"/>
    </w:pPr>
    <w:rPr>
      <w:rFonts w:ascii="华文细黑" w:hAnsi="华文细黑" w:eastAsia="华文细黑"/>
      <w:sz w:val="24"/>
    </w:rPr>
  </w:style>
  <w:style w:type="paragraph" w:customStyle="1" w:styleId="204">
    <w:name w:val="--规划正文"/>
    <w:basedOn w:val="1"/>
    <w:qFormat/>
    <w:uiPriority w:val="0"/>
    <w:pPr>
      <w:spacing w:line="360" w:lineRule="auto"/>
      <w:ind w:firstLine="200" w:firstLineChars="200"/>
    </w:pPr>
    <w:rPr>
      <w:szCs w:val="20"/>
    </w:rPr>
  </w:style>
  <w:style w:type="paragraph" w:customStyle="1" w:styleId="205">
    <w:name w:val="font0"/>
    <w:basedOn w:val="1"/>
    <w:qFormat/>
    <w:uiPriority w:val="0"/>
    <w:pPr>
      <w:widowControl/>
      <w:spacing w:before="100" w:beforeAutospacing="1" w:after="100" w:afterAutospacing="1"/>
      <w:jc w:val="left"/>
    </w:pPr>
    <w:rPr>
      <w:rFonts w:ascii="等线" w:hAnsi="宋体" w:eastAsia="等线" w:cs="宋体"/>
      <w:color w:val="000000"/>
      <w:kern w:val="0"/>
      <w:sz w:val="22"/>
      <w:szCs w:val="22"/>
    </w:rPr>
  </w:style>
  <w:style w:type="paragraph" w:customStyle="1" w:styleId="206">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20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2">
    <w:name w:val="Normal Indent1"/>
    <w:basedOn w:val="1"/>
    <w:qFormat/>
    <w:uiPriority w:val="0"/>
    <w:pPr>
      <w:ind w:firstLine="420" w:firstLineChars="200"/>
    </w:pPr>
  </w:style>
  <w:style w:type="paragraph" w:customStyle="1" w:styleId="213">
    <w:name w:val="正文2"/>
    <w:basedOn w:val="1"/>
    <w:qFormat/>
    <w:uiPriority w:val="0"/>
    <w:pPr>
      <w:adjustRightInd w:val="0"/>
      <w:spacing w:line="318" w:lineRule="atLeast"/>
      <w:ind w:left="369" w:firstLine="369"/>
      <w:textAlignment w:val="baseline"/>
    </w:pPr>
    <w:rPr>
      <w:rFonts w:ascii="宋体"/>
      <w:szCs w:val="20"/>
    </w:rPr>
  </w:style>
  <w:style w:type="character" w:customStyle="1" w:styleId="214">
    <w:name w:val="071"/>
    <w:qFormat/>
    <w:uiPriority w:val="0"/>
    <w:rPr>
      <w:rFonts w:hint="default" w:ascii="??" w:hAnsi="??"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75</Pages>
  <Words>49002</Words>
  <Characters>51179</Characters>
  <Lines>290</Lines>
  <Paragraphs>81</Paragraphs>
  <TotalTime>73</TotalTime>
  <ScaleCrop>false</ScaleCrop>
  <LinksUpToDate>false</LinksUpToDate>
  <CharactersWithSpaces>53773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2019-11-13T05:24:00Z</dcterms:created>
  <dc:creator>黄旭明</dc:creator>
  <cp:lastModifiedBy>jk</cp:lastModifiedBy>
  <cp:lastPrinted>2022-09-22T02:45:00Z</cp:lastPrinted>
  <dcterms:modified xsi:type="dcterms:W3CDTF">2022-10-17T08:57:37Z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60EBF9DA9B994034B1F9205478FFE712</vt:lpwstr>
  </property>
</Properties>
</file>