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color w:val="auto"/>
          <w:highlight w:val="none"/>
        </w:rPr>
      </w:pPr>
    </w:p>
    <w:p>
      <w:pPr>
        <w:spacing w:line="600" w:lineRule="exact"/>
        <w:jc w:val="center"/>
        <w:rPr>
          <w:rFonts w:ascii="宋体" w:hAnsi="宋体" w:cs="宋体"/>
          <w:color w:val="auto"/>
          <w:sz w:val="32"/>
          <w:szCs w:val="32"/>
          <w:highlight w:val="none"/>
        </w:rPr>
      </w:pPr>
    </w:p>
    <w:p>
      <w:pPr>
        <w:pStyle w:val="2"/>
        <w:spacing w:before="120" w:after="120"/>
        <w:rPr>
          <w:rFonts w:hint="default" w:hAnsi="宋体" w:cs="宋体"/>
          <w:color w:val="auto"/>
          <w:highlight w:val="none"/>
        </w:rPr>
      </w:pP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bookmarkStart w:id="59" w:name="_GoBack"/>
      <w:bookmarkEnd w:id="59"/>
    </w:p>
    <w:p>
      <w:pPr>
        <w:spacing w:before="120" w:beforeLines="50"/>
        <w:jc w:val="center"/>
        <w:rPr>
          <w:rFonts w:ascii="宋体" w:hAnsi="宋体" w:cs="宋体"/>
          <w:b/>
          <w:bCs/>
          <w:color w:val="auto"/>
          <w:sz w:val="36"/>
          <w:szCs w:val="36"/>
          <w:highlight w:val="none"/>
        </w:rPr>
      </w:pPr>
    </w:p>
    <w:p>
      <w:pPr>
        <w:spacing w:before="120" w:beforeLines="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（电子招投标）</w:t>
      </w:r>
    </w:p>
    <w:p>
      <w:pPr>
        <w:spacing w:line="600" w:lineRule="exact"/>
        <w:jc w:val="center"/>
        <w:rPr>
          <w:rFonts w:ascii="宋体" w:hAnsi="宋体" w:cs="宋体"/>
          <w:b/>
          <w:bCs/>
          <w:color w:val="auto"/>
          <w:sz w:val="100"/>
          <w:highlight w:val="none"/>
        </w:rPr>
      </w:pPr>
    </w:p>
    <w:p>
      <w:pPr>
        <w:jc w:val="center"/>
        <w:rPr>
          <w:rFonts w:ascii="宋体" w:hAnsi="宋体" w:cs="宋体"/>
          <w:b/>
          <w:bCs/>
          <w:color w:val="auto"/>
          <w:sz w:val="100"/>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CBNB-20223271G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项目名称：</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color w:val="auto"/>
                <w:sz w:val="30"/>
                <w:szCs w:val="72"/>
                <w:highlight w:val="none"/>
              </w:rPr>
              <w:t>2022年至2023年宁波城市形象“奋进宁波气象新”系列精品外宣视频制作与推广服务项目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352" w:type="dxa"/>
            <w:vAlign w:val="center"/>
          </w:tcPr>
          <w:p>
            <w:pPr>
              <w:jc w:val="center"/>
              <w:rPr>
                <w:rFonts w:ascii="宋体" w:hAnsi="宋体" w:cs="宋体"/>
                <w:b/>
                <w:color w:val="auto"/>
                <w:sz w:val="30"/>
                <w:szCs w:val="72"/>
                <w:highlight w:val="none"/>
              </w:rPr>
            </w:pPr>
            <w:r>
              <w:rPr>
                <w:rFonts w:hint="eastAsia" w:ascii="宋体" w:hAnsi="宋体" w:cs="宋体"/>
                <w:b/>
                <w:color w:val="auto"/>
                <w:sz w:val="30"/>
                <w:szCs w:val="72"/>
                <w:highlight w:val="none"/>
              </w:rPr>
              <w:t>宁波广播电视集团</w:t>
            </w:r>
          </w:p>
        </w:tc>
      </w:tr>
    </w:tbl>
    <w:p>
      <w:pPr>
        <w:jc w:val="center"/>
        <w:rPr>
          <w:rFonts w:ascii="宋体" w:hAnsi="宋体" w:cs="宋体"/>
          <w:b/>
          <w:bCs/>
          <w:color w:val="auto"/>
          <w:sz w:val="72"/>
          <w:szCs w:val="21"/>
          <w:highlight w:val="none"/>
        </w:rPr>
      </w:pPr>
    </w:p>
    <w:p>
      <w:pPr>
        <w:jc w:val="center"/>
        <w:rPr>
          <w:rFonts w:ascii="宋体" w:hAnsi="宋体" w:cs="宋体"/>
          <w:b/>
          <w:bCs/>
          <w:color w:val="auto"/>
          <w:sz w:val="72"/>
          <w:szCs w:val="21"/>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宁波中基国际招标有限公司</w:t>
      </w:r>
    </w:p>
    <w:p>
      <w:pPr>
        <w:jc w:val="center"/>
        <w:rPr>
          <w:rFonts w:ascii="宋体" w:hAnsi="宋体" w:cs="宋体"/>
          <w:b/>
          <w:color w:val="auto"/>
          <w:sz w:val="52"/>
          <w:szCs w:val="5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pgNumType w:start="2"/>
          <w:cols w:space="720" w:num="1"/>
          <w:titlePg/>
          <w:docGrid w:linePitch="312" w:charSpace="0"/>
        </w:sectPr>
      </w:pPr>
      <w:r>
        <w:rPr>
          <w:rFonts w:hint="eastAsia" w:ascii="宋体" w:hAnsi="宋体" w:cs="宋体"/>
          <w:b/>
          <w:bCs/>
          <w:color w:val="auto"/>
          <w:sz w:val="44"/>
          <w:szCs w:val="44"/>
          <w:highlight w:val="none"/>
        </w:rPr>
        <w:t>二〇二二年九月</w:t>
      </w:r>
    </w:p>
    <w:p>
      <w:pPr>
        <w:snapToGrid w:val="0"/>
        <w:spacing w:line="480" w:lineRule="auto"/>
        <w:jc w:val="center"/>
        <w:rPr>
          <w:rFonts w:ascii="宋体" w:hAnsi="宋体" w:cs="宋体"/>
          <w:color w:val="auto"/>
          <w:sz w:val="30"/>
          <w:szCs w:val="20"/>
          <w:highlight w:val="none"/>
        </w:rPr>
      </w:pPr>
      <w:r>
        <w:rPr>
          <w:rFonts w:hint="eastAsia" w:ascii="宋体" w:hAnsi="宋体" w:cs="宋体"/>
          <w:b/>
          <w:color w:val="auto"/>
          <w:sz w:val="52"/>
          <w:szCs w:val="52"/>
          <w:highlight w:val="none"/>
        </w:rPr>
        <w:t>目    录</w:t>
      </w:r>
    </w:p>
    <w:p>
      <w:pPr>
        <w:pStyle w:val="31"/>
        <w:tabs>
          <w:tab w:val="right" w:leader="dot" w:pos="8302"/>
        </w:tabs>
        <w:spacing w:line="480" w:lineRule="auto"/>
        <w:rPr>
          <w:rFonts w:ascii="宋体" w:hAnsi="宋体" w:cs="宋体"/>
          <w:color w:val="auto"/>
          <w:sz w:val="36"/>
          <w:szCs w:val="36"/>
          <w:highlight w:val="none"/>
        </w:rPr>
      </w:pPr>
    </w:p>
    <w:p>
      <w:pPr>
        <w:pStyle w:val="31"/>
        <w:tabs>
          <w:tab w:val="right" w:leader="dot" w:pos="8312"/>
        </w:tabs>
        <w:spacing w:line="360" w:lineRule="auto"/>
        <w:rPr>
          <w:rFonts w:ascii="宋体" w:hAnsi="宋体" w:cs="宋体"/>
          <w:color w:val="auto"/>
          <w:sz w:val="32"/>
          <w:szCs w:val="40"/>
          <w:highlight w:val="none"/>
        </w:rPr>
      </w:pPr>
      <w:r>
        <w:rPr>
          <w:rFonts w:hint="eastAsia" w:ascii="宋体" w:hAnsi="宋体" w:cs="宋体"/>
          <w:color w:val="auto"/>
          <w:sz w:val="52"/>
          <w:szCs w:val="52"/>
          <w:highlight w:val="none"/>
        </w:rPr>
        <w:fldChar w:fldCharType="begin"/>
      </w:r>
      <w:r>
        <w:rPr>
          <w:rFonts w:hint="eastAsia" w:ascii="宋体" w:hAnsi="宋体" w:cs="宋体"/>
          <w:color w:val="auto"/>
          <w:sz w:val="52"/>
          <w:szCs w:val="52"/>
          <w:highlight w:val="none"/>
        </w:rPr>
        <w:instrText xml:space="preserve">TOC \o "1-1" \h \u </w:instrText>
      </w:r>
      <w:r>
        <w:rPr>
          <w:rFonts w:hint="eastAsia" w:ascii="宋体" w:hAnsi="宋体" w:cs="宋体"/>
          <w:color w:val="auto"/>
          <w:sz w:val="52"/>
          <w:szCs w:val="52"/>
          <w:highlight w:val="none"/>
        </w:rPr>
        <w:fldChar w:fldCharType="separate"/>
      </w:r>
      <w:r>
        <w:rPr>
          <w:color w:val="auto"/>
          <w:highlight w:val="none"/>
        </w:rPr>
        <w:fldChar w:fldCharType="begin"/>
      </w:r>
      <w:r>
        <w:rPr>
          <w:color w:val="auto"/>
          <w:highlight w:val="none"/>
        </w:rPr>
        <w:instrText xml:space="preserve"> HYPERLINK \l "_Toc1870" </w:instrText>
      </w:r>
      <w:r>
        <w:rPr>
          <w:color w:val="auto"/>
          <w:highlight w:val="none"/>
        </w:rPr>
        <w:fldChar w:fldCharType="separate"/>
      </w:r>
      <w:r>
        <w:rPr>
          <w:rFonts w:hint="eastAsia" w:ascii="宋体" w:hAnsi="宋体" w:cs="宋体"/>
          <w:color w:val="auto"/>
          <w:sz w:val="32"/>
          <w:szCs w:val="48"/>
          <w:highlight w:val="none"/>
        </w:rPr>
        <w:t>第一章  公开招标公告</w:t>
      </w:r>
      <w:r>
        <w:rPr>
          <w:rFonts w:hint="eastAsia" w:ascii="宋体" w:hAnsi="宋体" w:cs="宋体"/>
          <w:color w:val="auto"/>
          <w:sz w:val="32"/>
          <w:szCs w:val="40"/>
          <w:highlight w:val="none"/>
        </w:rPr>
        <w:tab/>
      </w:r>
      <w:r>
        <w:rPr>
          <w:rFonts w:hint="eastAsia" w:ascii="宋体" w:hAnsi="宋体" w:cs="宋体"/>
          <w:color w:val="auto"/>
          <w:sz w:val="32"/>
          <w:szCs w:val="40"/>
          <w:highlight w:val="none"/>
        </w:rPr>
        <w:fldChar w:fldCharType="begin"/>
      </w:r>
      <w:r>
        <w:rPr>
          <w:rFonts w:hint="eastAsia" w:ascii="宋体" w:hAnsi="宋体" w:cs="宋体"/>
          <w:color w:val="auto"/>
          <w:sz w:val="32"/>
          <w:szCs w:val="40"/>
          <w:highlight w:val="none"/>
        </w:rPr>
        <w:instrText xml:space="preserve"> PAGEREF _Toc1870 \h </w:instrText>
      </w:r>
      <w:r>
        <w:rPr>
          <w:rFonts w:hint="eastAsia" w:ascii="宋体" w:hAnsi="宋体" w:cs="宋体"/>
          <w:color w:val="auto"/>
          <w:sz w:val="32"/>
          <w:szCs w:val="40"/>
          <w:highlight w:val="none"/>
        </w:rPr>
        <w:fldChar w:fldCharType="separate"/>
      </w:r>
      <w:r>
        <w:rPr>
          <w:rFonts w:hint="eastAsia" w:ascii="宋体" w:hAnsi="宋体" w:cs="宋体"/>
          <w:color w:val="auto"/>
          <w:sz w:val="32"/>
          <w:szCs w:val="40"/>
          <w:highlight w:val="none"/>
        </w:rPr>
        <w:t>1</w:t>
      </w:r>
      <w:r>
        <w:rPr>
          <w:rFonts w:hint="eastAsia" w:ascii="宋体" w:hAnsi="宋体" w:cs="宋体"/>
          <w:color w:val="auto"/>
          <w:sz w:val="32"/>
          <w:szCs w:val="40"/>
          <w:highlight w:val="none"/>
        </w:rPr>
        <w:fldChar w:fldCharType="end"/>
      </w:r>
      <w:r>
        <w:rPr>
          <w:rFonts w:hint="eastAsia" w:ascii="宋体" w:hAnsi="宋体" w:cs="宋体"/>
          <w:color w:val="auto"/>
          <w:sz w:val="32"/>
          <w:szCs w:val="40"/>
          <w:highlight w:val="none"/>
        </w:rPr>
        <w:fldChar w:fldCharType="end"/>
      </w:r>
    </w:p>
    <w:p>
      <w:pPr>
        <w:pStyle w:val="31"/>
        <w:tabs>
          <w:tab w:val="right" w:leader="dot" w:pos="8312"/>
        </w:tabs>
        <w:spacing w:line="360" w:lineRule="auto"/>
        <w:rPr>
          <w:rFonts w:ascii="宋体" w:hAnsi="宋体" w:cs="宋体"/>
          <w:color w:val="auto"/>
          <w:sz w:val="32"/>
          <w:szCs w:val="40"/>
          <w:highlight w:val="none"/>
        </w:rPr>
      </w:pPr>
      <w:r>
        <w:rPr>
          <w:color w:val="auto"/>
          <w:highlight w:val="none"/>
        </w:rPr>
        <w:fldChar w:fldCharType="begin"/>
      </w:r>
      <w:r>
        <w:rPr>
          <w:color w:val="auto"/>
          <w:highlight w:val="none"/>
        </w:rPr>
        <w:instrText xml:space="preserve"> HYPERLINK \l "_Toc1416" </w:instrText>
      </w:r>
      <w:r>
        <w:rPr>
          <w:color w:val="auto"/>
          <w:highlight w:val="none"/>
        </w:rPr>
        <w:fldChar w:fldCharType="separate"/>
      </w:r>
      <w:r>
        <w:rPr>
          <w:rFonts w:hint="eastAsia" w:ascii="宋体" w:hAnsi="宋体" w:cs="宋体"/>
          <w:color w:val="auto"/>
          <w:sz w:val="32"/>
          <w:szCs w:val="48"/>
          <w:highlight w:val="none"/>
        </w:rPr>
        <w:t>第二章  采购需求</w:t>
      </w:r>
      <w:r>
        <w:rPr>
          <w:rFonts w:hint="eastAsia" w:ascii="宋体" w:hAnsi="宋体" w:cs="宋体"/>
          <w:color w:val="auto"/>
          <w:sz w:val="32"/>
          <w:szCs w:val="40"/>
          <w:highlight w:val="none"/>
        </w:rPr>
        <w:tab/>
      </w:r>
      <w:r>
        <w:rPr>
          <w:rFonts w:hint="eastAsia" w:ascii="宋体" w:hAnsi="宋体" w:cs="宋体"/>
          <w:color w:val="auto"/>
          <w:sz w:val="32"/>
          <w:szCs w:val="40"/>
          <w:highlight w:val="none"/>
        </w:rPr>
        <w:fldChar w:fldCharType="begin"/>
      </w:r>
      <w:r>
        <w:rPr>
          <w:rFonts w:hint="eastAsia" w:ascii="宋体" w:hAnsi="宋体" w:cs="宋体"/>
          <w:color w:val="auto"/>
          <w:sz w:val="32"/>
          <w:szCs w:val="40"/>
          <w:highlight w:val="none"/>
        </w:rPr>
        <w:instrText xml:space="preserve"> PAGEREF _Toc1416 \h </w:instrText>
      </w:r>
      <w:r>
        <w:rPr>
          <w:rFonts w:hint="eastAsia" w:ascii="宋体" w:hAnsi="宋体" w:cs="宋体"/>
          <w:color w:val="auto"/>
          <w:sz w:val="32"/>
          <w:szCs w:val="40"/>
          <w:highlight w:val="none"/>
        </w:rPr>
        <w:fldChar w:fldCharType="separate"/>
      </w:r>
      <w:r>
        <w:rPr>
          <w:rFonts w:hint="eastAsia" w:ascii="宋体" w:hAnsi="宋体" w:cs="宋体"/>
          <w:color w:val="auto"/>
          <w:sz w:val="32"/>
          <w:szCs w:val="40"/>
          <w:highlight w:val="none"/>
        </w:rPr>
        <w:t>5</w:t>
      </w:r>
      <w:r>
        <w:rPr>
          <w:rFonts w:hint="eastAsia" w:ascii="宋体" w:hAnsi="宋体" w:cs="宋体"/>
          <w:color w:val="auto"/>
          <w:sz w:val="32"/>
          <w:szCs w:val="40"/>
          <w:highlight w:val="none"/>
        </w:rPr>
        <w:fldChar w:fldCharType="end"/>
      </w:r>
      <w:r>
        <w:rPr>
          <w:rFonts w:hint="eastAsia" w:ascii="宋体" w:hAnsi="宋体" w:cs="宋体"/>
          <w:color w:val="auto"/>
          <w:sz w:val="32"/>
          <w:szCs w:val="40"/>
          <w:highlight w:val="none"/>
        </w:rPr>
        <w:fldChar w:fldCharType="end"/>
      </w:r>
    </w:p>
    <w:p>
      <w:pPr>
        <w:pStyle w:val="31"/>
        <w:tabs>
          <w:tab w:val="right" w:leader="dot" w:pos="8312"/>
        </w:tabs>
        <w:spacing w:line="360" w:lineRule="auto"/>
        <w:rPr>
          <w:rFonts w:ascii="宋体" w:hAnsi="宋体" w:cs="宋体"/>
          <w:color w:val="auto"/>
          <w:sz w:val="32"/>
          <w:szCs w:val="40"/>
          <w:highlight w:val="none"/>
        </w:rPr>
      </w:pPr>
      <w:r>
        <w:rPr>
          <w:color w:val="auto"/>
          <w:highlight w:val="none"/>
        </w:rPr>
        <w:fldChar w:fldCharType="begin"/>
      </w:r>
      <w:r>
        <w:rPr>
          <w:color w:val="auto"/>
          <w:highlight w:val="none"/>
        </w:rPr>
        <w:instrText xml:space="preserve"> HYPERLINK \l "_Toc19030" </w:instrText>
      </w:r>
      <w:r>
        <w:rPr>
          <w:color w:val="auto"/>
          <w:highlight w:val="none"/>
        </w:rPr>
        <w:fldChar w:fldCharType="separate"/>
      </w:r>
      <w:r>
        <w:rPr>
          <w:rFonts w:hint="eastAsia" w:ascii="宋体" w:hAnsi="宋体" w:cs="宋体"/>
          <w:color w:val="auto"/>
          <w:sz w:val="32"/>
          <w:szCs w:val="48"/>
          <w:highlight w:val="none"/>
        </w:rPr>
        <w:t>第三章  供应商须知</w:t>
      </w:r>
      <w:r>
        <w:rPr>
          <w:rFonts w:hint="eastAsia" w:ascii="宋体" w:hAnsi="宋体" w:cs="宋体"/>
          <w:color w:val="auto"/>
          <w:sz w:val="32"/>
          <w:szCs w:val="40"/>
          <w:highlight w:val="none"/>
        </w:rPr>
        <w:tab/>
      </w:r>
      <w:r>
        <w:rPr>
          <w:rFonts w:hint="eastAsia" w:ascii="宋体" w:hAnsi="宋体" w:cs="宋体"/>
          <w:color w:val="auto"/>
          <w:sz w:val="32"/>
          <w:szCs w:val="40"/>
          <w:highlight w:val="none"/>
        </w:rPr>
        <w:fldChar w:fldCharType="begin"/>
      </w:r>
      <w:r>
        <w:rPr>
          <w:rFonts w:hint="eastAsia" w:ascii="宋体" w:hAnsi="宋体" w:cs="宋体"/>
          <w:color w:val="auto"/>
          <w:sz w:val="32"/>
          <w:szCs w:val="40"/>
          <w:highlight w:val="none"/>
        </w:rPr>
        <w:instrText xml:space="preserve"> PAGEREF _Toc19030 \h </w:instrText>
      </w:r>
      <w:r>
        <w:rPr>
          <w:rFonts w:hint="eastAsia" w:ascii="宋体" w:hAnsi="宋体" w:cs="宋体"/>
          <w:color w:val="auto"/>
          <w:sz w:val="32"/>
          <w:szCs w:val="40"/>
          <w:highlight w:val="none"/>
        </w:rPr>
        <w:fldChar w:fldCharType="separate"/>
      </w:r>
      <w:r>
        <w:rPr>
          <w:rFonts w:hint="eastAsia" w:ascii="宋体" w:hAnsi="宋体" w:cs="宋体"/>
          <w:color w:val="auto"/>
          <w:sz w:val="32"/>
          <w:szCs w:val="40"/>
          <w:highlight w:val="none"/>
        </w:rPr>
        <w:t>9</w:t>
      </w:r>
      <w:r>
        <w:rPr>
          <w:rFonts w:hint="eastAsia" w:ascii="宋体" w:hAnsi="宋体" w:cs="宋体"/>
          <w:color w:val="auto"/>
          <w:sz w:val="32"/>
          <w:szCs w:val="40"/>
          <w:highlight w:val="none"/>
        </w:rPr>
        <w:fldChar w:fldCharType="end"/>
      </w:r>
      <w:r>
        <w:rPr>
          <w:rFonts w:hint="eastAsia" w:ascii="宋体" w:hAnsi="宋体" w:cs="宋体"/>
          <w:color w:val="auto"/>
          <w:sz w:val="32"/>
          <w:szCs w:val="40"/>
          <w:highlight w:val="none"/>
        </w:rPr>
        <w:fldChar w:fldCharType="end"/>
      </w:r>
    </w:p>
    <w:p>
      <w:pPr>
        <w:pStyle w:val="31"/>
        <w:tabs>
          <w:tab w:val="right" w:leader="dot" w:pos="8312"/>
        </w:tabs>
        <w:spacing w:line="360" w:lineRule="auto"/>
        <w:rPr>
          <w:rFonts w:ascii="宋体" w:hAnsi="宋体" w:cs="宋体"/>
          <w:color w:val="auto"/>
          <w:sz w:val="32"/>
          <w:szCs w:val="40"/>
          <w:highlight w:val="none"/>
        </w:rPr>
      </w:pPr>
      <w:r>
        <w:rPr>
          <w:color w:val="auto"/>
          <w:highlight w:val="none"/>
        </w:rPr>
        <w:fldChar w:fldCharType="begin"/>
      </w:r>
      <w:r>
        <w:rPr>
          <w:color w:val="auto"/>
          <w:highlight w:val="none"/>
        </w:rPr>
        <w:instrText xml:space="preserve"> HYPERLINK \l "_Toc28333" </w:instrText>
      </w:r>
      <w:r>
        <w:rPr>
          <w:color w:val="auto"/>
          <w:highlight w:val="none"/>
        </w:rPr>
        <w:fldChar w:fldCharType="separate"/>
      </w:r>
      <w:r>
        <w:rPr>
          <w:rFonts w:hint="eastAsia" w:ascii="宋体" w:hAnsi="宋体" w:cs="宋体"/>
          <w:bCs/>
          <w:color w:val="auto"/>
          <w:sz w:val="32"/>
          <w:szCs w:val="48"/>
          <w:highlight w:val="none"/>
        </w:rPr>
        <w:t>第四章  评标办法及评分标准</w:t>
      </w:r>
      <w:r>
        <w:rPr>
          <w:rFonts w:hint="eastAsia" w:ascii="宋体" w:hAnsi="宋体" w:cs="宋体"/>
          <w:color w:val="auto"/>
          <w:sz w:val="32"/>
          <w:szCs w:val="40"/>
          <w:highlight w:val="none"/>
        </w:rPr>
        <w:tab/>
      </w:r>
      <w:r>
        <w:rPr>
          <w:rFonts w:hint="eastAsia" w:ascii="宋体" w:hAnsi="宋体" w:cs="宋体"/>
          <w:color w:val="auto"/>
          <w:sz w:val="32"/>
          <w:szCs w:val="40"/>
          <w:highlight w:val="none"/>
        </w:rPr>
        <w:fldChar w:fldCharType="begin"/>
      </w:r>
      <w:r>
        <w:rPr>
          <w:rFonts w:hint="eastAsia" w:ascii="宋体" w:hAnsi="宋体" w:cs="宋体"/>
          <w:color w:val="auto"/>
          <w:sz w:val="32"/>
          <w:szCs w:val="40"/>
          <w:highlight w:val="none"/>
        </w:rPr>
        <w:instrText xml:space="preserve"> PAGEREF _Toc28333 \h </w:instrText>
      </w:r>
      <w:r>
        <w:rPr>
          <w:rFonts w:hint="eastAsia" w:ascii="宋体" w:hAnsi="宋体" w:cs="宋体"/>
          <w:color w:val="auto"/>
          <w:sz w:val="32"/>
          <w:szCs w:val="40"/>
          <w:highlight w:val="none"/>
        </w:rPr>
        <w:fldChar w:fldCharType="separate"/>
      </w:r>
      <w:r>
        <w:rPr>
          <w:rFonts w:hint="eastAsia" w:ascii="宋体" w:hAnsi="宋体" w:cs="宋体"/>
          <w:color w:val="auto"/>
          <w:sz w:val="32"/>
          <w:szCs w:val="40"/>
          <w:highlight w:val="none"/>
        </w:rPr>
        <w:t>18</w:t>
      </w:r>
      <w:r>
        <w:rPr>
          <w:rFonts w:hint="eastAsia" w:ascii="宋体" w:hAnsi="宋体" w:cs="宋体"/>
          <w:color w:val="auto"/>
          <w:sz w:val="32"/>
          <w:szCs w:val="40"/>
          <w:highlight w:val="none"/>
        </w:rPr>
        <w:fldChar w:fldCharType="end"/>
      </w:r>
      <w:r>
        <w:rPr>
          <w:rFonts w:hint="eastAsia" w:ascii="宋体" w:hAnsi="宋体" w:cs="宋体"/>
          <w:color w:val="auto"/>
          <w:sz w:val="32"/>
          <w:szCs w:val="40"/>
          <w:highlight w:val="none"/>
        </w:rPr>
        <w:fldChar w:fldCharType="end"/>
      </w:r>
    </w:p>
    <w:p>
      <w:pPr>
        <w:pStyle w:val="31"/>
        <w:tabs>
          <w:tab w:val="right" w:leader="dot" w:pos="8312"/>
        </w:tabs>
        <w:spacing w:line="360" w:lineRule="auto"/>
        <w:rPr>
          <w:rFonts w:ascii="宋体" w:hAnsi="宋体" w:cs="宋体"/>
          <w:color w:val="auto"/>
          <w:sz w:val="32"/>
          <w:szCs w:val="40"/>
          <w:highlight w:val="none"/>
        </w:rPr>
      </w:pPr>
      <w:r>
        <w:rPr>
          <w:color w:val="auto"/>
          <w:highlight w:val="none"/>
        </w:rPr>
        <w:fldChar w:fldCharType="begin"/>
      </w:r>
      <w:r>
        <w:rPr>
          <w:color w:val="auto"/>
          <w:highlight w:val="none"/>
        </w:rPr>
        <w:instrText xml:space="preserve"> HYPERLINK \l "_Toc21974" </w:instrText>
      </w:r>
      <w:r>
        <w:rPr>
          <w:color w:val="auto"/>
          <w:highlight w:val="none"/>
        </w:rPr>
        <w:fldChar w:fldCharType="separate"/>
      </w:r>
      <w:r>
        <w:rPr>
          <w:rFonts w:hint="eastAsia" w:ascii="宋体" w:hAnsi="宋体" w:cs="宋体"/>
          <w:color w:val="auto"/>
          <w:sz w:val="32"/>
          <w:szCs w:val="48"/>
          <w:highlight w:val="none"/>
        </w:rPr>
        <w:t>第五章  政府采购合同主要条款</w:t>
      </w:r>
      <w:r>
        <w:rPr>
          <w:rFonts w:hint="eastAsia" w:ascii="宋体" w:hAnsi="宋体" w:cs="宋体"/>
          <w:color w:val="auto"/>
          <w:sz w:val="32"/>
          <w:szCs w:val="40"/>
          <w:highlight w:val="none"/>
        </w:rPr>
        <w:tab/>
      </w:r>
      <w:r>
        <w:rPr>
          <w:rFonts w:hint="eastAsia" w:ascii="宋体" w:hAnsi="宋体" w:cs="宋体"/>
          <w:color w:val="auto"/>
          <w:sz w:val="32"/>
          <w:szCs w:val="40"/>
          <w:highlight w:val="none"/>
        </w:rPr>
        <w:fldChar w:fldCharType="begin"/>
      </w:r>
      <w:r>
        <w:rPr>
          <w:rFonts w:hint="eastAsia" w:ascii="宋体" w:hAnsi="宋体" w:cs="宋体"/>
          <w:color w:val="auto"/>
          <w:sz w:val="32"/>
          <w:szCs w:val="40"/>
          <w:highlight w:val="none"/>
        </w:rPr>
        <w:instrText xml:space="preserve"> PAGEREF _Toc21974 \h </w:instrText>
      </w:r>
      <w:r>
        <w:rPr>
          <w:rFonts w:hint="eastAsia" w:ascii="宋体" w:hAnsi="宋体" w:cs="宋体"/>
          <w:color w:val="auto"/>
          <w:sz w:val="32"/>
          <w:szCs w:val="40"/>
          <w:highlight w:val="none"/>
        </w:rPr>
        <w:fldChar w:fldCharType="separate"/>
      </w:r>
      <w:r>
        <w:rPr>
          <w:rFonts w:hint="eastAsia" w:ascii="宋体" w:hAnsi="宋体" w:cs="宋体"/>
          <w:color w:val="auto"/>
          <w:sz w:val="32"/>
          <w:szCs w:val="40"/>
          <w:highlight w:val="none"/>
        </w:rPr>
        <w:t>26</w:t>
      </w:r>
      <w:r>
        <w:rPr>
          <w:rFonts w:hint="eastAsia" w:ascii="宋体" w:hAnsi="宋体" w:cs="宋体"/>
          <w:color w:val="auto"/>
          <w:sz w:val="32"/>
          <w:szCs w:val="40"/>
          <w:highlight w:val="none"/>
        </w:rPr>
        <w:fldChar w:fldCharType="end"/>
      </w:r>
      <w:r>
        <w:rPr>
          <w:rFonts w:hint="eastAsia" w:ascii="宋体" w:hAnsi="宋体" w:cs="宋体"/>
          <w:color w:val="auto"/>
          <w:sz w:val="32"/>
          <w:szCs w:val="40"/>
          <w:highlight w:val="none"/>
        </w:rPr>
        <w:fldChar w:fldCharType="end"/>
      </w:r>
    </w:p>
    <w:p>
      <w:pPr>
        <w:pStyle w:val="31"/>
        <w:tabs>
          <w:tab w:val="right" w:leader="dot" w:pos="8312"/>
        </w:tabs>
        <w:spacing w:line="360" w:lineRule="auto"/>
        <w:rPr>
          <w:rFonts w:ascii="宋体" w:hAnsi="宋体" w:cs="宋体"/>
          <w:color w:val="auto"/>
          <w:sz w:val="32"/>
          <w:szCs w:val="40"/>
          <w:highlight w:val="none"/>
        </w:rPr>
      </w:pPr>
      <w:r>
        <w:rPr>
          <w:color w:val="auto"/>
          <w:highlight w:val="none"/>
        </w:rPr>
        <w:fldChar w:fldCharType="begin"/>
      </w:r>
      <w:r>
        <w:rPr>
          <w:color w:val="auto"/>
          <w:highlight w:val="none"/>
        </w:rPr>
        <w:instrText xml:space="preserve"> HYPERLINK \l "_Toc24192" </w:instrText>
      </w:r>
      <w:r>
        <w:rPr>
          <w:color w:val="auto"/>
          <w:highlight w:val="none"/>
        </w:rPr>
        <w:fldChar w:fldCharType="separate"/>
      </w:r>
      <w:r>
        <w:rPr>
          <w:rFonts w:hint="eastAsia" w:ascii="宋体" w:hAnsi="宋体" w:cs="宋体"/>
          <w:bCs/>
          <w:color w:val="auto"/>
          <w:sz w:val="32"/>
          <w:szCs w:val="28"/>
          <w:highlight w:val="none"/>
        </w:rPr>
        <w:t>第六章  投标文件格式</w:t>
      </w:r>
      <w:r>
        <w:rPr>
          <w:rFonts w:hint="eastAsia" w:ascii="宋体" w:hAnsi="宋体" w:cs="宋体"/>
          <w:color w:val="auto"/>
          <w:sz w:val="32"/>
          <w:szCs w:val="40"/>
          <w:highlight w:val="none"/>
        </w:rPr>
        <w:tab/>
      </w:r>
      <w:r>
        <w:rPr>
          <w:rFonts w:hint="eastAsia" w:ascii="宋体" w:hAnsi="宋体" w:cs="宋体"/>
          <w:color w:val="auto"/>
          <w:sz w:val="32"/>
          <w:szCs w:val="40"/>
          <w:highlight w:val="none"/>
        </w:rPr>
        <w:fldChar w:fldCharType="begin"/>
      </w:r>
      <w:r>
        <w:rPr>
          <w:rFonts w:hint="eastAsia" w:ascii="宋体" w:hAnsi="宋体" w:cs="宋体"/>
          <w:color w:val="auto"/>
          <w:sz w:val="32"/>
          <w:szCs w:val="40"/>
          <w:highlight w:val="none"/>
        </w:rPr>
        <w:instrText xml:space="preserve"> PAGEREF _Toc24192 \h </w:instrText>
      </w:r>
      <w:r>
        <w:rPr>
          <w:rFonts w:hint="eastAsia" w:ascii="宋体" w:hAnsi="宋体" w:cs="宋体"/>
          <w:color w:val="auto"/>
          <w:sz w:val="32"/>
          <w:szCs w:val="40"/>
          <w:highlight w:val="none"/>
        </w:rPr>
        <w:fldChar w:fldCharType="separate"/>
      </w:r>
      <w:r>
        <w:rPr>
          <w:rFonts w:hint="eastAsia" w:ascii="宋体" w:hAnsi="宋体" w:cs="宋体"/>
          <w:color w:val="auto"/>
          <w:sz w:val="32"/>
          <w:szCs w:val="40"/>
          <w:highlight w:val="none"/>
        </w:rPr>
        <w:t>31</w:t>
      </w:r>
      <w:r>
        <w:rPr>
          <w:rFonts w:hint="eastAsia" w:ascii="宋体" w:hAnsi="宋体" w:cs="宋体"/>
          <w:color w:val="auto"/>
          <w:sz w:val="32"/>
          <w:szCs w:val="40"/>
          <w:highlight w:val="none"/>
        </w:rPr>
        <w:fldChar w:fldCharType="end"/>
      </w:r>
      <w:r>
        <w:rPr>
          <w:rFonts w:hint="eastAsia" w:ascii="宋体" w:hAnsi="宋体" w:cs="宋体"/>
          <w:color w:val="auto"/>
          <w:sz w:val="32"/>
          <w:szCs w:val="40"/>
          <w:highlight w:val="none"/>
        </w:rPr>
        <w:fldChar w:fldCharType="end"/>
      </w:r>
    </w:p>
    <w:p>
      <w:pPr>
        <w:spacing w:line="360" w:lineRule="auto"/>
        <w:rPr>
          <w:rFonts w:ascii="宋体" w:hAnsi="宋体" w:cs="宋体"/>
          <w:color w:val="auto"/>
          <w:sz w:val="36"/>
          <w:szCs w:val="36"/>
          <w:highlight w:val="none"/>
        </w:rPr>
      </w:pPr>
      <w:r>
        <w:rPr>
          <w:rFonts w:hint="eastAsia" w:ascii="宋体" w:hAnsi="宋体" w:cs="宋体"/>
          <w:color w:val="auto"/>
          <w:sz w:val="32"/>
          <w:szCs w:val="52"/>
          <w:highlight w:val="none"/>
        </w:rPr>
        <w:fldChar w:fldCharType="end"/>
      </w:r>
    </w:p>
    <w:p>
      <w:pPr>
        <w:pStyle w:val="2"/>
        <w:snapToGrid w:val="0"/>
        <w:spacing w:before="0" w:beforeLines="0" w:after="0" w:afterLines="0" w:line="360" w:lineRule="auto"/>
        <w:rPr>
          <w:rFonts w:hint="default" w:hAnsi="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2"/>
        <w:snapToGrid w:val="0"/>
        <w:spacing w:before="0" w:beforeLines="0" w:after="0" w:afterLines="0" w:line="360" w:lineRule="auto"/>
        <w:jc w:val="center"/>
        <w:outlineLvl w:val="0"/>
        <w:rPr>
          <w:rFonts w:hint="default" w:hAnsi="宋体" w:cs="宋体"/>
          <w:b/>
          <w:color w:val="auto"/>
          <w:sz w:val="32"/>
          <w:szCs w:val="32"/>
          <w:highlight w:val="none"/>
        </w:rPr>
      </w:pPr>
      <w:bookmarkStart w:id="0" w:name="_Toc14924"/>
      <w:bookmarkStart w:id="1" w:name="_Toc1870"/>
      <w:r>
        <w:rPr>
          <w:rFonts w:hAnsi="宋体" w:cs="宋体"/>
          <w:b/>
          <w:color w:val="auto"/>
          <w:sz w:val="32"/>
          <w:szCs w:val="32"/>
          <w:highlight w:val="none"/>
        </w:rPr>
        <w:t xml:space="preserve">第一章  </w:t>
      </w:r>
      <w:bookmarkEnd w:id="0"/>
      <w:r>
        <w:rPr>
          <w:rFonts w:hAnsi="宋体" w:cs="宋体"/>
          <w:b/>
          <w:color w:val="auto"/>
          <w:sz w:val="32"/>
          <w:szCs w:val="32"/>
          <w:highlight w:val="none"/>
        </w:rPr>
        <w:t>公开招标公告</w:t>
      </w:r>
      <w:bookmarkEnd w:id="1"/>
    </w:p>
    <w:tbl>
      <w:tblPr>
        <w:tblStyle w:val="4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（2022年至2023年宁波城市形象“奋进宁波气象新”系列精品外宣视频制作与推广服务项目）</w:t>
            </w:r>
            <w:r>
              <w:rPr>
                <w:rFonts w:hint="eastAsia" w:ascii="宋体" w:hAnsi="宋体" w:cs="宋体"/>
                <w:color w:val="auto"/>
                <w:szCs w:val="21"/>
                <w:highlight w:val="none"/>
              </w:rPr>
              <w:t>招标项目的潜在投标人应在政府采购云平台</w:t>
            </w:r>
            <w:r>
              <w:rPr>
                <w:rFonts w:hint="eastAsia" w:ascii="宋体" w:hAnsi="宋体" w:cs="宋体"/>
                <w:color w:val="auto"/>
                <w:szCs w:val="21"/>
                <w:highlight w:val="none"/>
                <w:u w:val="single"/>
              </w:rPr>
              <w:t>（www.zcygov.cn）</w:t>
            </w:r>
            <w:r>
              <w:rPr>
                <w:rFonts w:hint="eastAsia" w:ascii="宋体" w:hAnsi="宋体" w:cs="宋体"/>
                <w:color w:val="auto"/>
                <w:szCs w:val="21"/>
                <w:highlight w:val="none"/>
              </w:rPr>
              <w:t>获取（下载）采购文件，并于</w:t>
            </w:r>
            <w:r>
              <w:rPr>
                <w:rFonts w:hint="eastAsia"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17</w:t>
            </w:r>
            <w:r>
              <w:rPr>
                <w:rFonts w:hint="eastAsia" w:ascii="宋体" w:hAnsi="宋体" w:cs="宋体"/>
                <w:bCs/>
                <w:color w:val="auto"/>
                <w:szCs w:val="21"/>
                <w:highlight w:val="none"/>
                <w:u w:val="single"/>
              </w:rPr>
              <w:t>日14：</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0（北京时间）</w:t>
            </w:r>
            <w:r>
              <w:rPr>
                <w:rFonts w:hint="eastAsia" w:ascii="宋体" w:hAnsi="宋体" w:cs="宋体"/>
                <w:bCs/>
                <w:color w:val="auto"/>
                <w:szCs w:val="21"/>
                <w:highlight w:val="none"/>
              </w:rPr>
              <w:t>前递交（上传）投标文件</w:t>
            </w:r>
            <w:r>
              <w:rPr>
                <w:rFonts w:hint="eastAsia" w:ascii="宋体" w:hAnsi="宋体" w:cs="宋体"/>
                <w:color w:val="auto"/>
                <w:szCs w:val="21"/>
                <w:highlight w:val="none"/>
              </w:rPr>
              <w:t>。</w:t>
            </w:r>
          </w:p>
        </w:tc>
      </w:tr>
    </w:tbl>
    <w:p>
      <w:pPr>
        <w:pStyle w:val="4"/>
        <w:spacing w:before="0" w:after="0" w:line="360" w:lineRule="auto"/>
        <w:rPr>
          <w:rFonts w:ascii="宋体" w:hAnsi="宋体" w:eastAsia="宋体" w:cs="宋体"/>
          <w:bCs w:val="0"/>
          <w:color w:val="auto"/>
          <w:sz w:val="21"/>
          <w:szCs w:val="21"/>
          <w:highlight w:val="none"/>
        </w:rPr>
      </w:pPr>
      <w:bookmarkStart w:id="2" w:name="_Toc28359002"/>
      <w:bookmarkStart w:id="3" w:name="_Toc35393621"/>
      <w:bookmarkStart w:id="4" w:name="_Toc35393790"/>
      <w:bookmarkStart w:id="5" w:name="_Toc28359079"/>
      <w:bookmarkStart w:id="6" w:name="_Hlk24379207"/>
      <w:r>
        <w:rPr>
          <w:rFonts w:hint="eastAsia" w:ascii="宋体" w:hAnsi="宋体" w:eastAsia="宋体" w:cs="宋体"/>
          <w:bCs w:val="0"/>
          <w:color w:val="auto"/>
          <w:sz w:val="21"/>
          <w:szCs w:val="21"/>
          <w:highlight w:val="none"/>
        </w:rPr>
        <w:t>一、项目基本情况</w:t>
      </w:r>
      <w:bookmarkEnd w:id="2"/>
      <w:bookmarkEnd w:id="3"/>
      <w:bookmarkEnd w:id="4"/>
      <w:bookmarkEnd w:id="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1.项目编号：CBNB-20223271G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2.项目名称：2022年至2023年宁波城市形象“奋进宁波气象新”系列精品外宣视频制作与推广服务项目</w:t>
      </w:r>
    </w:p>
    <w:bookmarkEnd w:id="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3.预算金额（元）：6500000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4.最高限价（元）：6500000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标项名称：宁波城市形象“奋进宁波气象新”系列精品外宣视频制作与推广服务</w:t>
      </w:r>
    </w:p>
    <w:p>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数量:1项</w:t>
      </w:r>
    </w:p>
    <w:p>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预算金额（元）:6500000</w:t>
      </w:r>
    </w:p>
    <w:p>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bCs/>
          <w:color w:val="auto"/>
          <w:szCs w:val="21"/>
          <w:highlight w:val="none"/>
        </w:rPr>
        <w:t>宁波城市形象“奋进宁波气象新”系列精品外宣视频制作与推广服务，具体</w:t>
      </w:r>
      <w:r>
        <w:rPr>
          <w:rFonts w:hint="eastAsia" w:ascii="宋体" w:hAnsi="宋体" w:cs="宋体"/>
          <w:color w:val="auto"/>
          <w:highlight w:val="none"/>
        </w:rPr>
        <w:t>详见采购文件《第二章 采购需求》。</w:t>
      </w:r>
    </w:p>
    <w:p>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备注：自用。</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6.合同履行期限（服务期限）：标项1，详见第二章  采购需求。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7.本项目（是）接受联合体投标。</w:t>
      </w:r>
    </w:p>
    <w:p>
      <w:pPr>
        <w:pStyle w:val="4"/>
        <w:spacing w:before="0" w:after="0" w:line="360" w:lineRule="auto"/>
        <w:rPr>
          <w:rFonts w:ascii="宋体" w:hAnsi="宋体" w:eastAsia="宋体" w:cs="宋体"/>
          <w:bCs w:val="0"/>
          <w:color w:val="auto"/>
          <w:sz w:val="21"/>
          <w:szCs w:val="21"/>
          <w:highlight w:val="none"/>
        </w:rPr>
      </w:pPr>
      <w:bookmarkStart w:id="7" w:name="_Toc28359080"/>
      <w:bookmarkStart w:id="8" w:name="_Toc35393622"/>
      <w:bookmarkStart w:id="9" w:name="_Toc28359003"/>
      <w:bookmarkStart w:id="10" w:name="_Toc35393791"/>
      <w:r>
        <w:rPr>
          <w:rFonts w:hint="eastAsia" w:ascii="宋体" w:hAnsi="宋体" w:eastAsia="宋体" w:cs="宋体"/>
          <w:bCs w:val="0"/>
          <w:color w:val="auto"/>
          <w:sz w:val="21"/>
          <w:szCs w:val="21"/>
          <w:highlight w:val="none"/>
        </w:rPr>
        <w:t>二、申请人的资格要求：</w:t>
      </w:r>
      <w:bookmarkEnd w:id="7"/>
      <w:bookmarkEnd w:id="8"/>
      <w:bookmarkEnd w:id="9"/>
      <w:bookmarkEnd w:id="1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color w:val="auto"/>
          <w:szCs w:val="21"/>
          <w:highlight w:val="none"/>
        </w:rPr>
      </w:pPr>
      <w:bookmarkStart w:id="11" w:name="_Toc28359081"/>
      <w:bookmarkStart w:id="12" w:name="_Toc28359004"/>
      <w:r>
        <w:rPr>
          <w:rFonts w:hint="eastAsia" w:ascii="宋体" w:hAnsi="宋体" w:cs="宋体"/>
          <w:color w:val="auto"/>
          <w:szCs w:val="21"/>
          <w:highlight w:val="none"/>
        </w:rPr>
        <w:t>2.落实政府采购政策需满足的资格要求：无。</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3.本项目的特定资格要求：无。</w:t>
      </w:r>
    </w:p>
    <w:p>
      <w:pPr>
        <w:pStyle w:val="4"/>
        <w:spacing w:before="0" w:after="0" w:line="360" w:lineRule="auto"/>
        <w:rPr>
          <w:rFonts w:ascii="宋体" w:hAnsi="宋体" w:eastAsia="宋体" w:cs="宋体"/>
          <w:bCs w:val="0"/>
          <w:color w:val="auto"/>
          <w:sz w:val="21"/>
          <w:szCs w:val="21"/>
          <w:highlight w:val="none"/>
        </w:rPr>
      </w:pPr>
      <w:bookmarkStart w:id="13" w:name="_Toc35393792"/>
      <w:bookmarkStart w:id="14" w:name="_Toc35393623"/>
      <w:r>
        <w:rPr>
          <w:rFonts w:hint="eastAsia" w:ascii="宋体" w:hAnsi="宋体" w:eastAsia="宋体" w:cs="宋体"/>
          <w:bCs w:val="0"/>
          <w:color w:val="auto"/>
          <w:sz w:val="21"/>
          <w:szCs w:val="21"/>
          <w:highlight w:val="none"/>
        </w:rPr>
        <w:t>三、获取</w:t>
      </w:r>
      <w:bookmarkEnd w:id="11"/>
      <w:bookmarkEnd w:id="12"/>
      <w:bookmarkEnd w:id="13"/>
      <w:bookmarkEnd w:id="14"/>
      <w:r>
        <w:rPr>
          <w:rFonts w:hint="eastAsia" w:ascii="宋体" w:hAnsi="宋体" w:eastAsia="宋体" w:cs="宋体"/>
          <w:bCs w:val="0"/>
          <w:color w:val="auto"/>
          <w:sz w:val="21"/>
          <w:szCs w:val="21"/>
          <w:highlight w:val="none"/>
        </w:rPr>
        <w:t>采购文件</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60"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2.地点（网址）：政府采购云平台（www.zcygov.cn）。</w:t>
      </w:r>
    </w:p>
    <w:p>
      <w:pPr>
        <w:spacing w:line="360"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3.方式：供应商注册后直接登录“政府采购云平台”（www.zcygov.cn）下载电子采购文件。供应商未在规定时间内或未按上述方式获取采购文件的，其投标无效。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pStyle w:val="4"/>
        <w:spacing w:before="0" w:after="0" w:line="360" w:lineRule="auto"/>
        <w:rPr>
          <w:rFonts w:ascii="宋体" w:hAnsi="宋体" w:eastAsia="宋体" w:cs="宋体"/>
          <w:bCs w:val="0"/>
          <w:color w:val="auto"/>
          <w:sz w:val="21"/>
          <w:szCs w:val="21"/>
          <w:highlight w:val="none"/>
        </w:rPr>
      </w:pPr>
      <w:bookmarkStart w:id="15" w:name="_Toc28359005"/>
      <w:bookmarkStart w:id="16" w:name="_Toc28359082"/>
      <w:bookmarkStart w:id="17" w:name="_Toc35393624"/>
      <w:bookmarkStart w:id="18" w:name="_Toc35393793"/>
      <w:r>
        <w:rPr>
          <w:rFonts w:hint="eastAsia" w:ascii="宋体" w:hAnsi="宋体" w:eastAsia="宋体" w:cs="宋体"/>
          <w:bCs w:val="0"/>
          <w:color w:val="auto"/>
          <w:sz w:val="21"/>
          <w:szCs w:val="21"/>
          <w:highlight w:val="none"/>
        </w:rPr>
        <w:t>四、提交投标文件</w:t>
      </w:r>
      <w:bookmarkEnd w:id="15"/>
      <w:bookmarkEnd w:id="16"/>
      <w:r>
        <w:rPr>
          <w:rFonts w:hint="eastAsia" w:ascii="宋体" w:hAnsi="宋体" w:eastAsia="宋体" w:cs="宋体"/>
          <w:bCs w:val="0"/>
          <w:color w:val="auto"/>
          <w:sz w:val="21"/>
          <w:szCs w:val="21"/>
          <w:highlight w:val="none"/>
        </w:rPr>
        <w:t>截止时间、开标时间和地点</w:t>
      </w:r>
      <w:bookmarkEnd w:id="17"/>
      <w:bookmarkEnd w:id="18"/>
    </w:p>
    <w:p>
      <w:pPr>
        <w:widowControl/>
        <w:spacing w:line="336" w:lineRule="auto"/>
        <w:ind w:firstLine="540"/>
        <w:jc w:val="left"/>
        <w:rPr>
          <w:rFonts w:ascii="宋体" w:hAnsi="宋体" w:cs="宋体"/>
          <w:color w:val="auto"/>
          <w:kern w:val="0"/>
          <w:szCs w:val="21"/>
          <w:highlight w:val="none"/>
        </w:rPr>
      </w:pPr>
      <w:bookmarkStart w:id="19" w:name="_Toc28359084"/>
      <w:bookmarkStart w:id="20" w:name="_Toc35393794"/>
      <w:bookmarkStart w:id="21" w:name="_Toc28359007"/>
      <w:bookmarkStart w:id="22" w:name="_Toc35393625"/>
      <w:r>
        <w:rPr>
          <w:rFonts w:hint="eastAsia" w:ascii="宋体" w:hAnsi="宋体" w:cs="宋体"/>
          <w:color w:val="auto"/>
          <w:kern w:val="0"/>
          <w:szCs w:val="21"/>
          <w:highlight w:val="none"/>
        </w:rPr>
        <w:t>1.提交投标文件截止时间：2022年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日14：</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（北京时间）。</w:t>
      </w:r>
    </w:p>
    <w:p>
      <w:pPr>
        <w:widowControl/>
        <w:spacing w:line="336" w:lineRule="auto"/>
        <w:ind w:firstLine="540"/>
        <w:jc w:val="left"/>
        <w:rPr>
          <w:rFonts w:ascii="宋体" w:hAnsi="宋体" w:cs="宋体"/>
          <w:color w:val="auto"/>
          <w:kern w:val="0"/>
          <w:szCs w:val="21"/>
          <w:highlight w:val="none"/>
        </w:rPr>
      </w:pPr>
      <w:r>
        <w:rPr>
          <w:rFonts w:hint="eastAsia" w:ascii="宋体" w:hAnsi="宋体" w:cs="宋体"/>
          <w:color w:val="auto"/>
          <w:kern w:val="0"/>
          <w:szCs w:val="21"/>
          <w:highlight w:val="none"/>
        </w:rPr>
        <w:t>2.投标地点（网址）：</w:t>
      </w:r>
      <w:r>
        <w:rPr>
          <w:rFonts w:hint="eastAsia" w:ascii="宋体" w:hAnsi="宋体" w:cs="宋体"/>
          <w:color w:val="auto"/>
          <w:kern w:val="0"/>
          <w:szCs w:val="21"/>
          <w:highlight w:val="none"/>
          <w:u w:val="single"/>
        </w:rPr>
        <w:t>电子加密投标文件通过政采云平台（https://www.zcygov.cn）在线上传提交。</w:t>
      </w:r>
    </w:p>
    <w:p>
      <w:pPr>
        <w:widowControl/>
        <w:spacing w:line="336" w:lineRule="auto"/>
        <w:ind w:firstLine="540"/>
        <w:jc w:val="left"/>
        <w:rPr>
          <w:rFonts w:ascii="宋体" w:hAnsi="宋体" w:cs="宋体"/>
          <w:color w:val="auto"/>
          <w:kern w:val="0"/>
          <w:szCs w:val="21"/>
          <w:highlight w:val="none"/>
        </w:rPr>
      </w:pPr>
      <w:r>
        <w:rPr>
          <w:rFonts w:hint="eastAsia" w:ascii="宋体" w:hAnsi="宋体" w:cs="宋体"/>
          <w:color w:val="auto"/>
          <w:kern w:val="0"/>
          <w:szCs w:val="21"/>
          <w:highlight w:val="none"/>
        </w:rPr>
        <w:t>3.开标时间：2022年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日14：</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 xml:space="preserve">（北京时间）。  </w:t>
      </w:r>
    </w:p>
    <w:p>
      <w:pPr>
        <w:widowControl/>
        <w:spacing w:line="360" w:lineRule="auto"/>
        <w:ind w:firstLine="540"/>
        <w:jc w:val="left"/>
        <w:rPr>
          <w:rFonts w:ascii="宋体" w:hAnsi="宋体" w:cs="宋体"/>
          <w:color w:val="auto"/>
          <w:kern w:val="0"/>
          <w:szCs w:val="21"/>
          <w:highlight w:val="none"/>
        </w:rPr>
      </w:pPr>
      <w:r>
        <w:rPr>
          <w:rFonts w:hint="eastAsia" w:ascii="宋体" w:hAnsi="宋体" w:cs="宋体"/>
          <w:color w:val="auto"/>
          <w:kern w:val="0"/>
          <w:szCs w:val="21"/>
          <w:highlight w:val="none"/>
        </w:rPr>
        <w:t>4.开标地点（网址）：</w:t>
      </w:r>
      <w:r>
        <w:rPr>
          <w:rFonts w:hint="eastAsia" w:ascii="宋体" w:hAnsi="宋体" w:cs="宋体"/>
          <w:color w:val="auto"/>
          <w:kern w:val="0"/>
          <w:szCs w:val="21"/>
          <w:highlight w:val="none"/>
          <w:u w:val="single"/>
        </w:rPr>
        <w:t>政采云平台（https://www.zcygov.cn）【</w:t>
      </w:r>
      <w:r>
        <w:rPr>
          <w:rFonts w:hint="eastAsia" w:ascii="宋体" w:hAnsi="宋体" w:cs="宋体"/>
          <w:color w:val="auto"/>
          <w:kern w:val="0"/>
          <w:szCs w:val="21"/>
          <w:highlight w:val="none"/>
          <w:u w:val="single"/>
          <w:lang w:val="en-US" w:eastAsia="zh-CN"/>
        </w:rPr>
        <w:t>电子备份文件递交至中基会议中心</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宁波市鄞州区天童南路666号中基大厦1楼</w:t>
      </w:r>
      <w:r>
        <w:rPr>
          <w:rFonts w:hint="eastAsia" w:ascii="宋体" w:hAnsi="宋体" w:cs="宋体"/>
          <w:color w:val="auto"/>
          <w:kern w:val="0"/>
          <w:szCs w:val="21"/>
          <w:highlight w:val="none"/>
          <w:u w:val="single"/>
        </w:rPr>
        <w:t>）】。</w:t>
      </w:r>
    </w:p>
    <w:p>
      <w:pPr>
        <w:pStyle w:val="4"/>
        <w:spacing w:before="0" w:after="0" w:line="36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五、公告期限</w:t>
      </w:r>
      <w:bookmarkEnd w:id="19"/>
      <w:bookmarkEnd w:id="20"/>
      <w:bookmarkEnd w:id="21"/>
      <w:bookmarkEnd w:id="2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before="0" w:after="0" w:line="360" w:lineRule="auto"/>
        <w:rPr>
          <w:rFonts w:ascii="宋体" w:hAnsi="宋体" w:eastAsia="宋体" w:cs="宋体"/>
          <w:bCs w:val="0"/>
          <w:color w:val="auto"/>
          <w:sz w:val="21"/>
          <w:szCs w:val="21"/>
          <w:highlight w:val="none"/>
        </w:rPr>
      </w:pPr>
      <w:bookmarkStart w:id="23" w:name="_Toc35393626"/>
      <w:bookmarkStart w:id="24" w:name="_Toc35393795"/>
      <w:r>
        <w:rPr>
          <w:rFonts w:hint="eastAsia" w:ascii="宋体" w:hAnsi="宋体" w:eastAsia="宋体" w:cs="宋体"/>
          <w:bCs w:val="0"/>
          <w:color w:val="auto"/>
          <w:sz w:val="21"/>
          <w:szCs w:val="21"/>
          <w:highlight w:val="none"/>
        </w:rPr>
        <w:t>六、其他补充事宜</w:t>
      </w:r>
      <w:bookmarkEnd w:id="23"/>
      <w:bookmarkEnd w:id="24"/>
    </w:p>
    <w:p>
      <w:pPr>
        <w:widowControl/>
        <w:spacing w:line="336" w:lineRule="auto"/>
        <w:ind w:firstLine="420" w:firstLineChars="200"/>
        <w:rPr>
          <w:rFonts w:ascii="宋体" w:hAnsi="宋体" w:cs="宋体"/>
          <w:color w:val="auto"/>
          <w:kern w:val="0"/>
          <w:szCs w:val="21"/>
          <w:highlight w:val="none"/>
        </w:rPr>
      </w:pPr>
      <w:bookmarkStart w:id="25" w:name="_Toc28359008"/>
      <w:bookmarkStart w:id="26" w:name="_Toc28359085"/>
      <w:bookmarkStart w:id="27" w:name="_Toc35393796"/>
      <w:bookmarkStart w:id="28" w:name="_Toc35393627"/>
      <w:r>
        <w:rPr>
          <w:rFonts w:hint="eastAsia" w:ascii="宋体" w:hAnsi="宋体" w:cs="宋体"/>
          <w:color w:val="auto"/>
          <w:kern w:val="0"/>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336"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2.2因信用中国网站中“重大税收违法案件当事人名单”已调整为”重大税收违法失信主体“，但政采云系统自动生成的仍为“重大税收违法案件当事人名单”，故查询的内容以“重大税收违法失信主体”为准。</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kern w:val="0"/>
          <w:szCs w:val="21"/>
          <w:highlight w:val="none"/>
        </w:rPr>
        <w:t>落实的政策：执行支持中小企业政府采购政策</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执行扶持不发达地区和少数民族地区政府采购政策。</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投标与开标注意事项</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.1本项目实行网上投标，采用电子投标文件。若供应商参与投标，自行承担投标一切费用。</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投标文件制作：</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.3以U盘存储的电子备份投标文件1份，按政府采购云平台要求</w:t>
      </w:r>
      <w:r>
        <w:rPr>
          <w:rFonts w:hint="eastAsia" w:ascii="宋体" w:hAnsi="宋体" w:eastAsia="宋体" w:cs="宋体"/>
          <w:color w:val="auto"/>
          <w:szCs w:val="21"/>
          <w:highlight w:val="none"/>
        </w:rPr>
        <w:t>制作的电子备份文件</w:t>
      </w:r>
      <w:r>
        <w:rPr>
          <w:rFonts w:hint="eastAsia" w:ascii="宋体" w:hAnsi="宋体" w:eastAsia="宋体" w:cs="宋体"/>
          <w:color w:val="auto"/>
          <w:kern w:val="0"/>
          <w:szCs w:val="21"/>
          <w:highlight w:val="none"/>
        </w:rPr>
        <w:t>，以用于异常情况处理。</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供应商应于投标截止时间前将电子投标文件上传到政府采购云平台www.zcygov.cn，未上传电子投标文件，视为供应商放弃投标。</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供应商如提供备份投标文件的，应于提交投标文件截止时间前，将以U盘存储的电子备份投标文件密封，递交至</w:t>
      </w:r>
      <w:r>
        <w:rPr>
          <w:rFonts w:hint="eastAsia" w:ascii="宋体" w:hAnsi="宋体" w:eastAsia="宋体" w:cs="宋体"/>
          <w:color w:val="auto"/>
          <w:szCs w:val="21"/>
          <w:highlight w:val="none"/>
          <w:u w:val="single"/>
        </w:rPr>
        <w:t>中基招标会议中心开标室（宁波市鄞州区天童南路666号中基大厦</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楼）</w:t>
      </w:r>
      <w:r>
        <w:rPr>
          <w:rFonts w:hint="eastAsia" w:ascii="宋体" w:hAnsi="宋体" w:eastAsia="宋体" w:cs="宋体"/>
          <w:color w:val="auto"/>
          <w:kern w:val="0"/>
          <w:szCs w:val="21"/>
          <w:highlight w:val="none"/>
        </w:rPr>
        <w:t>，逾期送达或未密封将予以拒收。供应商仅提供备份投标文件的，投标无效。</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.1采用邮寄方式递交备份投标文件，需按以下要求递交：</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拟在</w:t>
      </w:r>
      <w:r>
        <w:rPr>
          <w:rFonts w:hint="eastAsia" w:ascii="宋体" w:hAnsi="宋体" w:eastAsia="宋体" w:cs="宋体"/>
          <w:bCs/>
          <w:color w:val="auto"/>
          <w:szCs w:val="21"/>
          <w:highlight w:val="none"/>
          <w:lang w:val="en-US" w:eastAsia="zh-CN"/>
        </w:rPr>
        <w:t>投标截止时间</w:t>
      </w:r>
      <w:r>
        <w:rPr>
          <w:rFonts w:hint="eastAsia" w:ascii="宋体" w:hAnsi="宋体" w:eastAsia="宋体" w:cs="宋体"/>
          <w:bCs/>
          <w:color w:val="auto"/>
          <w:szCs w:val="21"/>
          <w:highlight w:val="none"/>
        </w:rPr>
        <w:t>前</w:t>
      </w:r>
      <w:r>
        <w:rPr>
          <w:rFonts w:hint="eastAsia" w:ascii="宋体" w:hAnsi="宋体" w:eastAsia="宋体" w:cs="宋体"/>
          <w:bCs/>
          <w:color w:val="auto"/>
          <w:szCs w:val="21"/>
          <w:highlight w:val="none"/>
          <w:lang w:val="en-US" w:eastAsia="zh-CN"/>
        </w:rPr>
        <w:t>24小时</w:t>
      </w:r>
      <w:r>
        <w:rPr>
          <w:rFonts w:hint="eastAsia" w:ascii="宋体" w:hAnsi="宋体" w:eastAsia="宋体" w:cs="宋体"/>
          <w:bCs/>
          <w:color w:val="auto"/>
          <w:szCs w:val="21"/>
          <w:highlight w:val="none"/>
        </w:rPr>
        <w:t>到件的邮寄地址为：宁波市鄞州区天童南路666号中基大厦19楼业务</w:t>
      </w:r>
      <w:r>
        <w:rPr>
          <w:rFonts w:hint="eastAsia" w:ascii="宋体" w:hAnsi="宋体" w:eastAsia="宋体" w:cs="宋体"/>
          <w:bCs/>
          <w:color w:val="auto"/>
          <w:szCs w:val="21"/>
          <w:highlight w:val="none"/>
          <w:lang w:val="en-US" w:eastAsia="zh-CN"/>
        </w:rPr>
        <w:t>三</w:t>
      </w:r>
      <w:r>
        <w:rPr>
          <w:rFonts w:hint="eastAsia" w:ascii="宋体" w:hAnsi="宋体" w:eastAsia="宋体" w:cs="宋体"/>
          <w:bCs/>
          <w:color w:val="auto"/>
          <w:szCs w:val="21"/>
          <w:highlight w:val="none"/>
        </w:rPr>
        <w:t>部；收件人：</w:t>
      </w:r>
      <w:r>
        <w:rPr>
          <w:rFonts w:hint="eastAsia" w:ascii="宋体" w:hAnsi="宋体" w:eastAsia="宋体" w:cs="宋体"/>
          <w:bCs/>
          <w:color w:val="auto"/>
          <w:szCs w:val="21"/>
          <w:highlight w:val="none"/>
          <w:lang w:val="en-US" w:eastAsia="zh-CN"/>
        </w:rPr>
        <w:t>张龙锋</w:t>
      </w:r>
      <w:r>
        <w:rPr>
          <w:rFonts w:hint="eastAsia" w:ascii="宋体" w:hAnsi="宋体" w:eastAsia="宋体" w:cs="宋体"/>
          <w:bCs/>
          <w:color w:val="auto"/>
          <w:szCs w:val="21"/>
          <w:highlight w:val="none"/>
        </w:rPr>
        <w:t xml:space="preserve">   联系方式：0574-87425139</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请各</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rPr>
        <w:t>确保密封包装在邮寄过程密封包装完好，因邮寄过程的密封破损造成不符合开标要求的，本采购代理及采购人概不负责。</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.2采用现场方式送达备份投标文件，需按以下要求递交：</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有供应商可安排相关人员（原则上不超过一名）在投标截止时间前将备份投标文件送至投标地点。投标文件递交时需同时递交供应商的法定代表人（或其委托代理人）联系方式，并保证开标期间联系方式的畅通。</w:t>
      </w:r>
    </w:p>
    <w:p>
      <w:pPr>
        <w:widowControl/>
        <w:spacing w:line="33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评审过程中有关澄清、说明或者补正，采购代理机构将通过以下电子邮箱进行收发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电子邮箱：</w:t>
      </w:r>
      <w:r>
        <w:rPr>
          <w:rFonts w:hint="eastAsia" w:ascii="宋体" w:hAnsi="宋体" w:eastAsia="宋体" w:cs="宋体"/>
          <w:bCs/>
          <w:color w:val="auto"/>
          <w:szCs w:val="21"/>
          <w:highlight w:val="none"/>
          <w:lang w:val="en-US" w:eastAsia="zh-CN"/>
        </w:rPr>
        <w:t>634008566</w:t>
      </w:r>
      <w:r>
        <w:rPr>
          <w:rFonts w:hint="eastAsia" w:ascii="宋体" w:hAnsi="宋体" w:eastAsia="宋体" w:cs="宋体"/>
          <w:bCs/>
          <w:color w:val="auto"/>
          <w:szCs w:val="21"/>
          <w:highlight w:val="none"/>
        </w:rPr>
        <w:t>@qq.com</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投标人员须做好佩戴口罩、手套等防护措施，自觉接受体温检测、接受防疫询问，并如实报告相关情况，在投标文件递交工作完成后应立即离开，无故不得在现场逗留。</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投标人员还需配合做好疫情防控“五个一律”：一律全面消毒、一律体温检测、一律承诺登记、一律按序办事、一律服从管理。</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12疫情防控</w:t>
      </w:r>
      <w:r>
        <w:rPr>
          <w:rFonts w:hint="eastAsia" w:ascii="宋体" w:hAnsi="宋体" w:eastAsia="宋体" w:cs="宋体"/>
          <w:bCs/>
          <w:color w:val="auto"/>
          <w:szCs w:val="21"/>
          <w:highlight w:val="none"/>
        </w:rPr>
        <w:t>期间，请各供应商遵守宁波中基国际招标有限公司各项防疫措施规定。</w:t>
      </w:r>
    </w:p>
    <w:p>
      <w:pPr>
        <w:snapToGrid w:val="0"/>
        <w:spacing w:line="360" w:lineRule="auto"/>
        <w:ind w:firstLine="420"/>
        <w:rPr>
          <w:rFonts w:ascii="宋体" w:hAnsi="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如投标截止时间前疫情解除，</w:t>
      </w:r>
      <w:r>
        <w:rPr>
          <w:rFonts w:hint="eastAsia" w:ascii="宋体" w:hAnsi="宋体" w:eastAsia="宋体" w:cs="宋体"/>
          <w:bCs/>
          <w:color w:val="auto"/>
          <w:szCs w:val="21"/>
          <w:highlight w:val="none"/>
          <w:lang w:val="en-US" w:eastAsia="zh-CN"/>
        </w:rPr>
        <w:t>防疫相关要求自动</w:t>
      </w:r>
      <w:r>
        <w:rPr>
          <w:rFonts w:hint="eastAsia" w:ascii="宋体" w:hAnsi="宋体" w:eastAsia="宋体" w:cs="宋体"/>
          <w:bCs/>
          <w:color w:val="auto"/>
          <w:szCs w:val="21"/>
          <w:highlight w:val="none"/>
        </w:rPr>
        <w:t>废止。</w:t>
      </w:r>
    </w:p>
    <w:p>
      <w:pPr>
        <w:pStyle w:val="4"/>
        <w:spacing w:before="0" w:after="0" w:line="36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七、对本次招标提出询问、质疑、投诉，请按以下方式联系。</w:t>
      </w:r>
      <w:bookmarkEnd w:id="25"/>
      <w:bookmarkEnd w:id="26"/>
      <w:bookmarkEnd w:id="27"/>
      <w:bookmarkEnd w:id="28"/>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1.采购人信息</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名    称：</w:t>
      </w:r>
      <w:r>
        <w:rPr>
          <w:rFonts w:hint="eastAsia" w:ascii="宋体" w:hAnsi="宋体" w:cs="宋体"/>
          <w:color w:val="auto"/>
          <w:szCs w:val="21"/>
          <w:highlight w:val="none"/>
        </w:rPr>
        <w:t>宁波广播电视集团</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地    址：浙江省宁波市</w:t>
      </w:r>
      <w:r>
        <w:rPr>
          <w:rFonts w:hint="eastAsia" w:ascii="宋体" w:hAnsi="宋体" w:cs="宋体"/>
          <w:color w:val="auto"/>
          <w:spacing w:val="-1"/>
          <w:szCs w:val="21"/>
          <w:highlight w:val="none"/>
        </w:rPr>
        <w:t>开明街4号</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传    真：/</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项目联系人：陈</w:t>
      </w:r>
      <w:r>
        <w:rPr>
          <w:rFonts w:hint="eastAsia" w:ascii="宋体" w:hAnsi="宋体" w:cs="宋体"/>
          <w:color w:val="auto"/>
          <w:spacing w:val="-1"/>
          <w:szCs w:val="21"/>
          <w:highlight w:val="none"/>
        </w:rPr>
        <w:t>老师</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项目联系方式：</w:t>
      </w:r>
      <w:r>
        <w:rPr>
          <w:rFonts w:hint="eastAsia" w:ascii="宋体" w:hAnsi="宋体" w:cs="宋体"/>
          <w:color w:val="auto"/>
          <w:spacing w:val="-1"/>
          <w:szCs w:val="21"/>
          <w:highlight w:val="none"/>
        </w:rPr>
        <w:t>0574-56112376</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质疑联系人：邱老师</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质疑联系方式：0574-561100</w:t>
      </w:r>
      <w:r>
        <w:rPr>
          <w:rFonts w:hint="eastAsia" w:ascii="宋体" w:hAnsi="宋体" w:cs="宋体"/>
          <w:color w:val="auto"/>
          <w:spacing w:val="-1"/>
          <w:szCs w:val="21"/>
          <w:highlight w:val="none"/>
        </w:rPr>
        <w:t>38</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2.采购代理机构信息</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名    称：宁波中基国际招标有限公司</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地    址：宁波市鄞州区天童南路666号中基大厦19楼</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 xml:space="preserve">传  </w:t>
      </w:r>
      <w:r>
        <w:rPr>
          <w:rFonts w:hint="eastAsia" w:ascii="宋体" w:hAnsi="宋体" w:cs="宋体"/>
          <w:color w:val="auto"/>
          <w:spacing w:val="-1"/>
          <w:szCs w:val="21"/>
          <w:highlight w:val="none"/>
        </w:rPr>
        <w:t xml:space="preserve"> </w:t>
      </w:r>
      <w:r>
        <w:rPr>
          <w:rFonts w:hint="eastAsia" w:ascii="宋体" w:hAnsi="宋体" w:cs="宋体"/>
          <w:color w:val="auto"/>
          <w:spacing w:val="-1"/>
          <w:szCs w:val="21"/>
          <w:highlight w:val="none"/>
          <w:lang w:val="zh-CN"/>
        </w:rPr>
        <w:t xml:space="preserve"> 真：</w:t>
      </w:r>
      <w:r>
        <w:rPr>
          <w:rFonts w:hint="eastAsia" w:ascii="宋体" w:hAnsi="宋体" w:cs="宋体"/>
          <w:color w:val="auto"/>
          <w:spacing w:val="-1"/>
          <w:szCs w:val="21"/>
          <w:highlight w:val="none"/>
        </w:rPr>
        <w:t>/</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项目联系人（询问）：</w:t>
      </w:r>
      <w:r>
        <w:rPr>
          <w:rFonts w:hint="eastAsia" w:ascii="宋体" w:hAnsi="宋体" w:cs="宋体"/>
          <w:color w:val="auto"/>
          <w:spacing w:val="-1"/>
          <w:szCs w:val="21"/>
          <w:highlight w:val="none"/>
        </w:rPr>
        <w:t>张龙锋、梁慧强、林申杰、高书焓、徐军</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项目联系方式（询问）：0574-</w:t>
      </w:r>
      <w:r>
        <w:rPr>
          <w:rFonts w:hint="eastAsia" w:ascii="宋体" w:hAnsi="宋体" w:cs="宋体"/>
          <w:color w:val="auto"/>
          <w:spacing w:val="-1"/>
          <w:szCs w:val="21"/>
          <w:highlight w:val="none"/>
        </w:rPr>
        <w:t>87425139</w:t>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质疑联系人：</w:t>
      </w:r>
      <w:r>
        <w:rPr>
          <w:rFonts w:hint="eastAsia" w:ascii="宋体" w:hAnsi="宋体" w:cs="宋体"/>
          <w:color w:val="auto"/>
          <w:spacing w:val="-1"/>
          <w:szCs w:val="21"/>
          <w:highlight w:val="none"/>
        </w:rPr>
        <w:t>夏巍</w:t>
      </w:r>
      <w:r>
        <w:rPr>
          <w:rFonts w:hint="eastAsia" w:ascii="宋体" w:hAnsi="宋体" w:cs="宋体"/>
          <w:color w:val="auto"/>
          <w:spacing w:val="-1"/>
          <w:szCs w:val="21"/>
          <w:highlight w:val="none"/>
        </w:rPr>
        <w:tab/>
      </w:r>
    </w:p>
    <w:p>
      <w:pPr>
        <w:snapToGrid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lang w:val="zh-CN"/>
        </w:rPr>
        <w:t>质疑联系方式：</w:t>
      </w:r>
      <w:r>
        <w:rPr>
          <w:rFonts w:hint="eastAsia" w:ascii="宋体" w:hAnsi="宋体" w:cs="宋体"/>
          <w:color w:val="auto"/>
          <w:spacing w:val="-1"/>
          <w:szCs w:val="21"/>
          <w:highlight w:val="none"/>
        </w:rPr>
        <w:t>0574-87425385</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3.同级政府采购监督管理部门</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名    称：宁波市财政局政府采购办公室</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地    址：宁波市海曙区中山西路19号</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联系电话：0574-89388441</w:t>
      </w:r>
    </w:p>
    <w:p>
      <w:pPr>
        <w:snapToGrid w:val="0"/>
        <w:spacing w:line="360" w:lineRule="auto"/>
        <w:ind w:firstLine="416" w:firstLineChars="200"/>
        <w:rPr>
          <w:rFonts w:ascii="宋体" w:hAnsi="宋体" w:cs="宋体"/>
          <w:color w:val="auto"/>
          <w:spacing w:val="-1"/>
          <w:szCs w:val="21"/>
          <w:highlight w:val="none"/>
          <w:lang w:val="zh-CN"/>
        </w:rPr>
      </w:pPr>
      <w:r>
        <w:rPr>
          <w:rFonts w:hint="eastAsia" w:ascii="宋体" w:hAnsi="宋体" w:cs="宋体"/>
          <w:color w:val="auto"/>
          <w:spacing w:val="-1"/>
          <w:szCs w:val="21"/>
          <w:highlight w:val="none"/>
          <w:lang w:val="zh-CN"/>
        </w:rPr>
        <w:t xml:space="preserve">联系人：徐老师 </w:t>
      </w:r>
    </w:p>
    <w:p>
      <w:pPr>
        <w:snapToGrid w:val="0"/>
        <w:spacing w:line="360" w:lineRule="auto"/>
        <w:ind w:firstLine="416" w:firstLineChars="200"/>
        <w:rPr>
          <w:rFonts w:ascii="宋体" w:hAnsi="宋体" w:cs="宋体"/>
          <w:color w:val="auto"/>
          <w:spacing w:val="-1"/>
          <w:szCs w:val="21"/>
          <w:highlight w:val="none"/>
          <w:lang w:val="zh-CN"/>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CA问题联系电话（人工）：汇信CA 400-888-4636；天谷CA 400-087-8198。</w:t>
      </w:r>
    </w:p>
    <w:p>
      <w:pPr>
        <w:spacing w:line="336" w:lineRule="auto"/>
        <w:jc w:val="center"/>
        <w:outlineLvl w:val="0"/>
        <w:rPr>
          <w:rFonts w:ascii="宋体" w:hAnsi="宋体" w:cs="宋体"/>
          <w:color w:val="auto"/>
          <w:sz w:val="32"/>
          <w:szCs w:val="32"/>
          <w:highlight w:val="none"/>
        </w:rPr>
      </w:pPr>
      <w:r>
        <w:rPr>
          <w:rFonts w:hint="eastAsia" w:ascii="宋体" w:hAnsi="宋体" w:cs="宋体"/>
          <w:b/>
          <w:bCs/>
          <w:color w:val="auto"/>
          <w:sz w:val="32"/>
          <w:szCs w:val="32"/>
          <w:highlight w:val="none"/>
        </w:rPr>
        <w:br w:type="page"/>
      </w:r>
      <w:bookmarkStart w:id="29" w:name="_Toc1416"/>
      <w:r>
        <w:rPr>
          <w:rFonts w:hint="eastAsia" w:ascii="宋体" w:hAnsi="宋体" w:cs="宋体"/>
          <w:b/>
          <w:color w:val="auto"/>
          <w:sz w:val="32"/>
          <w:szCs w:val="32"/>
          <w:highlight w:val="none"/>
        </w:rPr>
        <w:t>第二章  采购需求</w:t>
      </w:r>
      <w:bookmarkEnd w:id="29"/>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64"/>
        <w:gridCol w:w="5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2" w:type="dxa"/>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464" w:type="dxa"/>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5147" w:type="dxa"/>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5147" w:type="dxa"/>
            <w:vAlign w:val="center"/>
          </w:tcPr>
          <w:p>
            <w:pPr>
              <w:widowControl/>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5147" w:type="dxa"/>
            <w:vAlign w:val="center"/>
          </w:tcPr>
          <w:p>
            <w:pPr>
              <w:widowControl/>
              <w:spacing w:line="400" w:lineRule="exact"/>
              <w:jc w:val="left"/>
              <w:rPr>
                <w:rFonts w:ascii="宋体" w:hAnsi="宋体" w:cs="宋体"/>
                <w:bCs/>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交付或者实施的时间和地点</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需实现的功能或者目标</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执行的国家相关标准、行业标准、地方标准或者其它标准、规范</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技术规格要求</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物理特性要求</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质量、安全要求</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质量要求：符合国家验收规范（从高）一次性验收合格标准及相关部门验收合格。</w:t>
            </w:r>
          </w:p>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安全要求：合格。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服务标准、期限、效率</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验收标准</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符合国家、浙江省、宁波市验收规范（从高）一次性验收合格标准及相关部门验收合格。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演示时间及地点</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如有，详见招标文件。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spacing w:before="72" w:beforeLines="30" w:after="72" w:afterLines="30"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464"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样品要求</w:t>
            </w:r>
          </w:p>
        </w:tc>
        <w:tc>
          <w:tcPr>
            <w:tcW w:w="51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如有，详见本章内容。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pPr>
              <w:spacing w:before="72" w:beforeLines="30" w:after="72" w:afterLines="30"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2464" w:type="dxa"/>
            <w:vAlign w:val="center"/>
          </w:tcPr>
          <w:p>
            <w:pPr>
              <w:spacing w:before="72" w:beforeLines="30" w:after="72" w:afterLines="30" w:line="360" w:lineRule="auto"/>
              <w:rPr>
                <w:rFonts w:ascii="宋体" w:hAnsi="宋体" w:cs="宋体"/>
                <w:color w:val="auto"/>
                <w:szCs w:val="21"/>
                <w:highlight w:val="none"/>
              </w:rPr>
            </w:pPr>
            <w:r>
              <w:rPr>
                <w:rFonts w:hint="eastAsia" w:ascii="宋体" w:hAnsi="宋体" w:cs="宋体"/>
                <w:color w:val="auto"/>
                <w:szCs w:val="21"/>
                <w:highlight w:val="none"/>
              </w:rPr>
              <w:t>本项目的核心产品</w:t>
            </w:r>
          </w:p>
        </w:tc>
        <w:tc>
          <w:tcPr>
            <w:tcW w:w="5147" w:type="dxa"/>
            <w:vAlign w:val="center"/>
          </w:tcPr>
          <w:p>
            <w:pPr>
              <w:spacing w:before="72" w:beforeLines="30" w:after="72" w:afterLines="30" w:line="360" w:lineRule="auto"/>
              <w:rPr>
                <w:rFonts w:ascii="宋体" w:hAnsi="宋体" w:cs="宋体"/>
                <w:color w:val="auto"/>
                <w:szCs w:val="21"/>
                <w:highlight w:val="none"/>
              </w:rPr>
            </w:pPr>
            <w:r>
              <w:rPr>
                <w:rFonts w:hint="eastAsia" w:ascii="宋体" w:hAnsi="宋体" w:cs="宋体"/>
                <w:color w:val="auto"/>
                <w:szCs w:val="21"/>
                <w:highlight w:val="none"/>
              </w:rPr>
              <w:t>无。</w:t>
            </w:r>
          </w:p>
        </w:tc>
      </w:tr>
    </w:tbl>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br w:type="column"/>
      </w:r>
      <w:r>
        <w:rPr>
          <w:rFonts w:hint="eastAsia" w:ascii="宋体" w:hAnsi="宋体" w:cs="宋体"/>
          <w:b/>
          <w:color w:val="auto"/>
          <w:kern w:val="0"/>
          <w:szCs w:val="21"/>
          <w:highlight w:val="none"/>
        </w:rPr>
        <w:t>一、重要商务要求一览表</w:t>
      </w:r>
    </w:p>
    <w:tbl>
      <w:tblPr>
        <w:tblStyle w:val="47"/>
        <w:tblW w:w="0" w:type="auto"/>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6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项目</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合同履行期限（</w:t>
            </w:r>
            <w:r>
              <w:rPr>
                <w:rFonts w:hint="eastAsia" w:ascii="宋体" w:hAnsi="宋体" w:cs="宋体"/>
                <w:color w:val="auto"/>
                <w:kern w:val="0"/>
                <w:szCs w:val="21"/>
                <w:highlight w:val="none"/>
              </w:rPr>
              <w:t>服务期限</w:t>
            </w:r>
            <w:r>
              <w:rPr>
                <w:rFonts w:hint="eastAsia" w:ascii="宋体" w:hAnsi="宋体" w:cs="宋体"/>
                <w:color w:val="auto"/>
                <w:szCs w:val="21"/>
                <w:highlight w:val="none"/>
              </w:rPr>
              <w:t>）</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自合同签订之日起一年。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★2、付款方式</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1）在合同生效以及具备实施条件（甲方收到乙方提交的等额预付款银行保函或保险公司保单）后7个工作日内支付合同总额的50%作为预付款；</w:t>
            </w:r>
          </w:p>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2）2022年12月31日前向中标人支付至合同总价的100%。</w:t>
            </w:r>
          </w:p>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注：在中标人提交合同约定的成果，并经采购人确认后20个工作日内退还该预付款银行保函或保险公司保单。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3、履约保证金</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4、售后服务响应要求</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在项目实施期间，如出现问题中标人在接到采购人通知后须1小时内响应（紧急情况在30分钟内响应），24小时内解决问题。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★5、履约验收</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1）在项目合同履行完毕，中标人递交总结材料后，由采购人委托第三方验收服务机构在指定日期组织一次性验收工作；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2）验收服务费由中标人支付，收费标准参照国家发改委发改办价格[2003]857号通知和原国家计[2002]1980号文件规定的服务招标费率标准按次计费。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3）验收服务费支付期限以中标人收到“验收通知书”约定的期限为准。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5、项目实施人员</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要求具备相应能力和经验人员参与本项目实施。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★6、违约条款</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中标人未按采购文件要求或投标文件承诺实施（就高原则），结合实际情况每负偏离一项扣除合同价款的3%-5%，累计违约扣除总金额不超过合同价款的30%。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★6、合同终止</w:t>
            </w:r>
          </w:p>
        </w:tc>
        <w:tc>
          <w:tcPr>
            <w:tcW w:w="62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1）中标人在合同有效期内，不得以任何理由终止合同，确有特殊情况的，须提前两个月向采购人提出书面申请，经采购人同意后，方可终止合同，同时酌情扣除履约保证金。</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2）服务期间如出现下列情形之一的，一经发现采购人有权单方解除合同，并由中标人承担由此造成的一切损失及赔偿。</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（1）采购文件中实质性条款未按投标承诺内容执行或不服从采购人要求。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（2）未经审核，发布或编纂的内容出现重大违规违法行为或造成其他恶劣影响。</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（3）项目期间出现重大事故或造成严重社会负面影响。</w:t>
            </w:r>
          </w:p>
        </w:tc>
      </w:tr>
    </w:tbl>
    <w:p>
      <w:pPr>
        <w:pStyle w:val="6"/>
        <w:spacing w:line="360" w:lineRule="auto"/>
        <w:ind w:firstLine="0"/>
        <w:rPr>
          <w:rFonts w:ascii="宋体" w:hAnsi="宋体" w:eastAsia="宋体" w:cs="宋体"/>
          <w:bCs/>
          <w:color w:val="auto"/>
          <w:szCs w:val="21"/>
          <w:highlight w:val="none"/>
        </w:rPr>
      </w:pP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二、</w:t>
      </w:r>
      <w:r>
        <w:rPr>
          <w:rFonts w:hint="eastAsia" w:ascii="宋体" w:hAnsi="宋体" w:eastAsia="宋体" w:cs="宋体"/>
          <w:bCs/>
          <w:color w:val="auto"/>
          <w:szCs w:val="21"/>
          <w:highlight w:val="none"/>
        </w:rPr>
        <w:t>项目概况</w:t>
      </w:r>
    </w:p>
    <w:p>
      <w:pPr>
        <w:pStyle w:val="6"/>
        <w:spacing w:line="360" w:lineRule="auto"/>
        <w:ind w:firstLineChars="200"/>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紧紧围绕宁波市第十四次党代会确立的建设“现代化滨海大都市”的奋斗目标，扣住“奋进宁波气象新”关键词，聚力“六个之都”建设新变化，彰显港城发展新气象。坚守红色根脉，提升城市文明程度，彰显都市文化魅力。拟采购2022年至2023年宁波城市形象“奋进宁波气象新” 系列精品外宣视频制作与推广服务项目。</w:t>
      </w:r>
    </w:p>
    <w:p>
      <w:pPr>
        <w:pStyle w:val="6"/>
        <w:spacing w:line="360" w:lineRule="auto"/>
        <w:ind w:firstLine="0"/>
        <w:rPr>
          <w:rFonts w:ascii="宋体" w:hAnsi="宋体" w:eastAsia="宋体" w:cs="宋体"/>
          <w:bCs/>
          <w:color w:val="auto"/>
          <w:szCs w:val="21"/>
          <w:highlight w:val="none"/>
        </w:rPr>
      </w:pPr>
      <w:r>
        <w:rPr>
          <w:rFonts w:hint="eastAsia" w:ascii="宋体" w:hAnsi="宋体" w:eastAsia="宋体" w:cs="宋体"/>
          <w:bCs/>
          <w:color w:val="auto"/>
          <w:szCs w:val="21"/>
          <w:highlight w:val="none"/>
        </w:rPr>
        <w:t>三、主要技术（服务）要求（包括但不限于以下内容）</w:t>
      </w:r>
    </w:p>
    <w:tbl>
      <w:tblPr>
        <w:tblStyle w:val="47"/>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737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7371" w:type="dxa"/>
            <w:vAlign w:val="center"/>
          </w:tcPr>
          <w:p>
            <w:pPr>
              <w:pStyle w:val="6"/>
              <w:ind w:firstLine="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要求内容</w:t>
            </w:r>
          </w:p>
        </w:tc>
        <w:tc>
          <w:tcPr>
            <w:tcW w:w="709" w:type="dxa"/>
            <w:vAlign w:val="center"/>
          </w:tcPr>
          <w:p>
            <w:pPr>
              <w:pStyle w:val="6"/>
              <w:ind w:firstLine="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投标响应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一</w:t>
            </w:r>
          </w:p>
        </w:tc>
        <w:tc>
          <w:tcPr>
            <w:tcW w:w="737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服务内容</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2.1</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“最美宁波”广播级滚动播出视频短片系列</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围绕宁波的城市之美、山水之美、人之美，传播甬城美景美物、风土人情、文化生活，体现“美好宁波”“四季宁波”“精致宁波”，起到打动人心、引起共鸣的效果，让人看了之后能记住、忘不了、就想来。全年跟拍有关宁波的视频素材，将相关素材进行归类、编辑、艺术化处理，制作适用于广播级滚动播出的视频短片，每条时长为1分钟，全年拍摄不少于100部，并在本地主流媒体和新媒体平台播出，同时向卫视和央视推荐。</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2.2</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“‘牢记嘱托 奋进十年’亲历者说”系列专题访谈</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习近平总书记在浙江工作期间，曾经30多次来到宁波。担任总书记以后，一次来宁波，两次写信给宁波，对宁波经济社会发展作出具体的指示和指导。在习近平总书记的关心下，近十年来，宁波城乡面貌发生了巨大的变化，人民生活得到了巨大的改善，经济综合实力迈上新的台阶。为迎接党的二十大胜利召开和沿着二十大精神指引的方向继续前进，拟拍摄“‘牢记嘱托 奋进十年’亲历者说”系列专题访谈，拟通过一张图片、一段视频或记录本上的一句话，请亲历者讲述总书记与宁波的故事，每部专题片时长3分钟至5分钟，全年拍摄20部，并在本地主流媒体和新媒体平台播出，同时向卫视和央视推荐。</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2.3</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“老外看宁波”系列短视频访谈</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宁波是第一批沿海开放城市，也是中国的外贸大市，在宁波常驻的外国人近万。拟通过对生活在宁波的外国人专访，突出宁波城市的开放性和包容性，体现老外在宁波的生活常态。每期时长约10分钟，全年拍摄不少于24期，以英文形式制作，在本地主流媒体和新媒体平台播出，同时向省台和央视推荐，并向海外社交账号提供素材。</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2.4</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“甬城千年：《透见·宋韵》”系列文化专题片</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宁波是宋韵文化的重要存载地，梳理总结“宋韵甬存”物质和非物质遗产，挖掘宁波宋韵文化中的进步思想、高尚情操等价值，讲好“宋韵”宁波故事在当代显得尤为重要。拟拍摄制作“甬城千年：《透见·宋韵》”聚焦千百年来宁波的海外贸易史，以“千年古港”“贸易制度”“扬帆航海”“货达天下”等主题来承载，并采用“今—古—今”穿越模式，直观生动地呈现古代城市与现代城市的关联，充分展现滨海宁波的两宋风韵，让历史“活起来”，为滨海大都市建设注入文化力量。每集时长5分钟至8分钟，全年拍摄制作不少于4集，并在本地主流媒体和新媒体平台播出，同时向“学习强国”全国平台推荐。</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2.5</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“我们的美好生活”系列短纪录片</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党的十八大以来的十年，是宁波飞速发展、取得辉煌成就的十年。本系列短纪录片拟聚焦普通人，以自述的形式，讲述这十年关于“他”的平凡又闪耀的故事，通过他们的生活变化来反映各行各业的变迁，充分展示新时代的美好生活，展现滨海宁波的奋发英姿，弘扬新时代的中国精神，让人们深刻感受到中国的速度与温度。每集时长6分钟至8分钟，全年拍摄制作不少于30集，并在本地主流媒体和新媒体平台播出，同时向“学习强国”全国平台推荐。</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2.6</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“宁波制造”系列微纪录片</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打造全球智造创新之都，排在宁波建设“六大之都”的第一位。宁波制造业单项冠军数量在全国数一数二，是宁波靓丽的名片。拟通过系列微纪录片的形式，来讲述宁波制造在突破国际技术瓶颈的精彩故事，提炼面对困难百折不挠的宁波工匠精神。每集时长8分钟至10分钟，全年拍摄制作不少于20集，并在本地主流媒体和新媒体平台播出，同时向“学习强国”全国平台推荐。</w:t>
            </w:r>
          </w:p>
        </w:tc>
        <w:tc>
          <w:tcPr>
            <w:tcW w:w="709" w:type="dxa"/>
            <w:vAlign w:val="center"/>
          </w:tcPr>
          <w:p>
            <w:pPr>
              <w:pStyle w:val="6"/>
              <w:ind w:firstLine="0"/>
              <w:jc w:val="center"/>
              <w:rPr>
                <w:rFonts w:ascii="宋体" w:hAnsi="宋体" w:eastAsia="宋体" w:cs="宋体"/>
                <w:b w:val="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51" w:type="dxa"/>
            <w:vAlign w:val="center"/>
          </w:tcPr>
          <w:p>
            <w:pPr>
              <w:pStyle w:val="6"/>
              <w:ind w:firstLine="0"/>
              <w:jc w:val="center"/>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2.7</w:t>
            </w:r>
          </w:p>
        </w:tc>
        <w:tc>
          <w:tcPr>
            <w:tcW w:w="7371" w:type="dxa"/>
            <w:vAlign w:val="center"/>
          </w:tcPr>
          <w:p>
            <w:pPr>
              <w:pStyle w:val="6"/>
              <w:ind w:firstLine="0"/>
              <w:jc w:val="left"/>
              <w:rPr>
                <w:rFonts w:ascii="宋体" w:hAnsi="宋体" w:eastAsia="宋体" w:cs="宋体"/>
                <w:b w:val="0"/>
                <w:color w:val="auto"/>
                <w:szCs w:val="21"/>
                <w:highlight w:val="none"/>
              </w:rPr>
            </w:pPr>
            <w:r>
              <w:rPr>
                <w:rFonts w:hint="eastAsia" w:ascii="宋体" w:hAnsi="宋体" w:eastAsia="宋体" w:cs="宋体"/>
                <w:color w:val="auto"/>
                <w:szCs w:val="21"/>
                <w:highlight w:val="none"/>
              </w:rPr>
              <w:t>“在宁波，向未来”文化精品系列片</w:t>
            </w:r>
          </w:p>
          <w:p>
            <w:pPr>
              <w:pStyle w:val="6"/>
              <w:ind w:firstLine="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拟以“最忆是宁波”“蝶变在宁波”“至味行宁波”三大主题展开，以宁波城市历史发展文化脉络为主线，选取不同的角度诠释宁波地域人文与城市精神；以宁波市近年重点文化项目实施为主题，通过重点项目工程来讲述宁波城市的变迁和发展；以宁波东海海岸线沿岸的乡村美景美食为核心，通过美食带动乡村活力，为乡村振兴赋能的劳动实践，展示宁波文旅产业的高质量发展。需符合当今视频国际化摄制潮流，通过扎实考证的历史资料，主持人配合专家和学者出镜实地讲述、文物古迹的展示拍摄、三维动画特效和原创音乐的制作等视听表现手段，增加该系列视频的文化性、艺术性和思想性。每集时长10分钟，全年拍摄制作不15集，并在本地主流媒体和新媒体平台播出。</w:t>
            </w:r>
          </w:p>
        </w:tc>
        <w:tc>
          <w:tcPr>
            <w:tcW w:w="709" w:type="dxa"/>
            <w:vAlign w:val="center"/>
          </w:tcPr>
          <w:p>
            <w:pPr>
              <w:pStyle w:val="6"/>
              <w:ind w:firstLine="0"/>
              <w:jc w:val="center"/>
              <w:rPr>
                <w:rFonts w:ascii="宋体" w:hAnsi="宋体" w:eastAsia="宋体" w:cs="宋体"/>
                <w:b w:val="0"/>
                <w:color w:val="auto"/>
                <w:szCs w:val="21"/>
                <w:highlight w:val="none"/>
              </w:rPr>
            </w:pPr>
          </w:p>
        </w:tc>
      </w:tr>
    </w:tbl>
    <w:p>
      <w:pPr>
        <w:pStyle w:val="6"/>
        <w:spacing w:line="360" w:lineRule="auto"/>
        <w:ind w:firstLineChars="200"/>
        <w:rPr>
          <w:rFonts w:ascii="宋体" w:hAnsi="宋体" w:eastAsia="宋体" w:cs="宋体"/>
          <w:b w:val="0"/>
          <w:color w:val="auto"/>
          <w:szCs w:val="21"/>
          <w:highlight w:val="none"/>
        </w:rPr>
      </w:pPr>
    </w:p>
    <w:p>
      <w:pPr>
        <w:spacing w:line="360" w:lineRule="auto"/>
        <w:ind w:firstLine="420" w:firstLineChars="200"/>
        <w:rPr>
          <w:rFonts w:ascii="宋体" w:hAnsi="宋体" w:cs="宋体"/>
          <w:color w:val="auto"/>
          <w:szCs w:val="20"/>
          <w:highlight w:val="none"/>
        </w:rPr>
        <w:sectPr>
          <w:footerReference r:id="rId9" w:type="default"/>
          <w:pgSz w:w="11907" w:h="16840"/>
          <w:pgMar w:top="1134" w:right="1531" w:bottom="1134" w:left="1531" w:header="425" w:footer="709" w:gutter="0"/>
          <w:pgNumType w:start="1"/>
          <w:cols w:space="720" w:num="1"/>
          <w:docGrid w:linePitch="285" w:charSpace="0"/>
        </w:sectPr>
      </w:pPr>
    </w:p>
    <w:p>
      <w:pPr>
        <w:autoSpaceDE w:val="0"/>
        <w:autoSpaceDN w:val="0"/>
        <w:spacing w:line="360" w:lineRule="auto"/>
        <w:jc w:val="center"/>
        <w:outlineLvl w:val="0"/>
        <w:rPr>
          <w:rFonts w:ascii="宋体" w:hAnsi="宋体" w:cs="宋体"/>
          <w:b/>
          <w:bCs/>
          <w:color w:val="auto"/>
          <w:sz w:val="32"/>
          <w:szCs w:val="32"/>
          <w:highlight w:val="none"/>
        </w:rPr>
      </w:pPr>
      <w:bookmarkStart w:id="30" w:name="_Toc19030"/>
      <w:r>
        <w:rPr>
          <w:rFonts w:hint="eastAsia" w:ascii="宋体" w:hAnsi="宋体" w:cs="宋体"/>
          <w:b/>
          <w:color w:val="auto"/>
          <w:sz w:val="32"/>
          <w:szCs w:val="32"/>
          <w:highlight w:val="none"/>
        </w:rPr>
        <w:t>第三章  供应商须知</w:t>
      </w:r>
      <w:bookmarkEnd w:id="30"/>
    </w:p>
    <w:p>
      <w:pPr>
        <w:snapToGrid w:val="0"/>
        <w:ind w:left="238"/>
        <w:jc w:val="center"/>
        <w:rPr>
          <w:rFonts w:ascii="宋体" w:hAnsi="宋体" w:cs="宋体"/>
          <w:b/>
          <w:bCs/>
          <w:color w:val="auto"/>
          <w:sz w:val="44"/>
          <w:szCs w:val="32"/>
          <w:highlight w:val="none"/>
        </w:rPr>
      </w:pPr>
      <w:bookmarkStart w:id="31" w:name="_Toc1665"/>
      <w:r>
        <w:rPr>
          <w:rFonts w:hint="eastAsia" w:ascii="宋体" w:hAnsi="宋体" w:cs="宋体"/>
          <w:b/>
          <w:color w:val="auto"/>
          <w:sz w:val="28"/>
          <w:szCs w:val="28"/>
          <w:highlight w:val="none"/>
        </w:rPr>
        <w:t>前 附 表</w:t>
      </w:r>
      <w:bookmarkEnd w:id="31"/>
    </w:p>
    <w:tbl>
      <w:tblPr>
        <w:tblStyle w:val="47"/>
        <w:tblW w:w="0" w:type="auto"/>
        <w:tblInd w:w="-2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7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9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90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投标报价及费用：</w:t>
            </w:r>
          </w:p>
          <w:p>
            <w:pPr>
              <w:spacing w:line="336" w:lineRule="auto"/>
              <w:rPr>
                <w:rFonts w:ascii="宋体" w:hAnsi="宋体" w:cs="宋体"/>
                <w:color w:val="auto"/>
                <w:szCs w:val="21"/>
                <w:highlight w:val="none"/>
              </w:rPr>
            </w:pPr>
            <w:r>
              <w:rPr>
                <w:rFonts w:hint="eastAsia" w:ascii="宋体" w:hAnsi="宋体" w:cs="宋体"/>
                <w:color w:val="auto"/>
                <w:szCs w:val="21"/>
                <w:highlight w:val="none"/>
              </w:rPr>
              <w:t>1）本项目投标应以人民币报价。</w:t>
            </w:r>
          </w:p>
          <w:p>
            <w:pPr>
              <w:spacing w:line="336" w:lineRule="auto"/>
              <w:rPr>
                <w:rFonts w:ascii="宋体" w:hAnsi="宋体" w:cs="宋体"/>
                <w:color w:val="auto"/>
                <w:szCs w:val="21"/>
                <w:highlight w:val="none"/>
              </w:rPr>
            </w:pPr>
            <w:r>
              <w:rPr>
                <w:rFonts w:hint="eastAsia" w:ascii="宋体" w:hAnsi="宋体" w:cs="宋体"/>
                <w:color w:val="auto"/>
                <w:szCs w:val="21"/>
                <w:highlight w:val="none"/>
              </w:rPr>
              <w:t>2）本项目的投标报价须包含本项目可能发生的所有满足“第二章  采购需求”的费用，包括但不仅限于供应商的各项成本支出（如配套服务费用、人工薪酬、差旅费用等）、合理的利润、应交纳的税金等，以及为完成本项目可能发生的全部费用。供应商对合同内容的费用、质量、安全、文明服务等实行全面承包。</w:t>
            </w:r>
          </w:p>
          <w:p>
            <w:pPr>
              <w:numPr>
                <w:ilvl w:val="0"/>
                <w:numId w:val="7"/>
              </w:numPr>
              <w:spacing w:line="336" w:lineRule="auto"/>
              <w:rPr>
                <w:rFonts w:ascii="宋体" w:hAnsi="宋体" w:cs="宋体"/>
                <w:color w:val="auto"/>
                <w:szCs w:val="21"/>
                <w:highlight w:val="none"/>
              </w:rPr>
            </w:pPr>
            <w:r>
              <w:rPr>
                <w:rFonts w:hint="eastAsia" w:ascii="宋体" w:hAnsi="宋体" w:cs="宋体"/>
                <w:b/>
                <w:bCs/>
                <w:color w:val="auto"/>
                <w:szCs w:val="21"/>
                <w:highlight w:val="none"/>
              </w:rPr>
              <w:t>最高限价详见《第一章  公开招标公告》 ，超出最高限价的投标将作为无效标处理。</w:t>
            </w:r>
          </w:p>
          <w:p>
            <w:pPr>
              <w:numPr>
                <w:ilvl w:val="0"/>
                <w:numId w:val="7"/>
              </w:numPr>
              <w:spacing w:line="336" w:lineRule="auto"/>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不论投标结果如何，供应商均应自行承担应承担的全部费用。</w:t>
            </w:r>
          </w:p>
          <w:p>
            <w:pPr>
              <w:numPr>
                <w:ilvl w:val="0"/>
                <w:numId w:val="7"/>
              </w:numPr>
              <w:spacing w:line="336" w:lineRule="auto"/>
              <w:rPr>
                <w:rFonts w:ascii="宋体" w:hAnsi="宋体" w:cs="宋体"/>
                <w:color w:val="auto"/>
                <w:szCs w:val="21"/>
                <w:highlight w:val="none"/>
              </w:rPr>
            </w:pPr>
            <w:r>
              <w:rPr>
                <w:rFonts w:hint="eastAsia" w:ascii="宋体" w:hAnsi="宋体" w:cs="宋体"/>
                <w:color w:val="auto"/>
                <w:szCs w:val="21"/>
                <w:highlight w:val="none"/>
              </w:rPr>
              <w:t>招标代理服务费的收取标准：招标代理参照国家发改委发改办价格[2003]857号通知和国家计委计价格[2002]1980号文件中服务招标费率标准的75%，按照中标通知书确定的中标总价，向中标人收取中标服务费。</w:t>
            </w:r>
          </w:p>
          <w:p>
            <w:pPr>
              <w:spacing w:line="336" w:lineRule="auto"/>
              <w:rPr>
                <w:rFonts w:ascii="宋体" w:hAnsi="宋体" w:cs="宋体"/>
                <w:color w:val="auto"/>
                <w:szCs w:val="21"/>
                <w:highlight w:val="none"/>
              </w:rPr>
            </w:pPr>
            <w:r>
              <w:rPr>
                <w:rFonts w:hint="eastAsia" w:ascii="宋体" w:hAnsi="宋体" w:cs="宋体"/>
                <w:color w:val="auto"/>
                <w:szCs w:val="21"/>
                <w:highlight w:val="none"/>
              </w:rPr>
              <w:t>备注：1）中标服务费按差额定率累进法计算；2）中标服务费只收现金、银行票汇款、电汇款；3）中标人接到本公司通知后5个工作日内向本采购代理机构领取中标通知书（根据中标人需求可采用邮寄或到采购代理机构现场领取）；4）关于本次采购的服务费汇入以下账号：</w:t>
            </w:r>
          </w:p>
          <w:p>
            <w:pPr>
              <w:spacing w:line="336" w:lineRule="auto"/>
              <w:rPr>
                <w:rFonts w:ascii="宋体" w:hAnsi="宋体" w:cs="宋体"/>
                <w:color w:val="auto"/>
                <w:szCs w:val="21"/>
                <w:highlight w:val="none"/>
              </w:rPr>
            </w:pPr>
            <w:r>
              <w:rPr>
                <w:rFonts w:hint="eastAsia" w:ascii="宋体" w:hAnsi="宋体" w:cs="宋体"/>
                <w:color w:val="auto"/>
                <w:szCs w:val="21"/>
                <w:highlight w:val="none"/>
              </w:rPr>
              <w:t>开户银行： 宁波银行科技支行</w:t>
            </w:r>
          </w:p>
          <w:p>
            <w:pPr>
              <w:spacing w:line="336" w:lineRule="auto"/>
              <w:rPr>
                <w:rFonts w:ascii="宋体" w:hAnsi="宋体" w:cs="宋体"/>
                <w:color w:val="auto"/>
                <w:szCs w:val="21"/>
                <w:highlight w:val="none"/>
              </w:rPr>
            </w:pPr>
            <w:r>
              <w:rPr>
                <w:rFonts w:hint="eastAsia" w:ascii="宋体" w:hAnsi="宋体" w:cs="宋体"/>
                <w:color w:val="auto"/>
                <w:szCs w:val="21"/>
                <w:highlight w:val="none"/>
              </w:rPr>
              <w:t>帐    号： 31010122000005488</w:t>
            </w:r>
          </w:p>
          <w:p>
            <w:pPr>
              <w:spacing w:line="336" w:lineRule="auto"/>
              <w:rPr>
                <w:rFonts w:ascii="宋体" w:hAnsi="宋体" w:cs="宋体"/>
                <w:color w:val="auto"/>
                <w:szCs w:val="21"/>
                <w:highlight w:val="none"/>
              </w:rPr>
            </w:pPr>
            <w:r>
              <w:rPr>
                <w:rFonts w:hint="eastAsia" w:ascii="宋体" w:hAnsi="宋体" w:cs="宋体"/>
                <w:color w:val="auto"/>
                <w:szCs w:val="21"/>
                <w:highlight w:val="none"/>
              </w:rPr>
              <w:t>户    名： 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8"/>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8"/>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评标结果公示：评标结束后，评标结果公示网站详见《第一章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90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解释：本采购文件的解释权属于招标采购单位。</w:t>
            </w:r>
          </w:p>
        </w:tc>
      </w:tr>
    </w:tbl>
    <w:p>
      <w:pPr>
        <w:pStyle w:val="2"/>
        <w:snapToGrid w:val="0"/>
        <w:spacing w:before="0" w:beforeLines="0" w:after="0" w:afterLines="0" w:line="360" w:lineRule="auto"/>
        <w:rPr>
          <w:rFonts w:hint="default" w:hAnsi="宋体" w:cs="宋体"/>
          <w:b/>
          <w:color w:val="auto"/>
          <w:highlight w:val="none"/>
        </w:rPr>
      </w:pPr>
      <w:r>
        <w:rPr>
          <w:rFonts w:hAnsi="宋体" w:cs="宋体"/>
          <w:b/>
          <w:color w:val="auto"/>
          <w:highlight w:val="none"/>
        </w:rPr>
        <w:br w:type="page"/>
      </w:r>
      <w:r>
        <w:rPr>
          <w:rFonts w:hAnsi="宋体" w:cs="宋体"/>
          <w:b/>
          <w:color w:val="auto"/>
          <w:highlight w:val="none"/>
        </w:rPr>
        <w:t>一   总  则</w:t>
      </w:r>
    </w:p>
    <w:p>
      <w:pPr>
        <w:snapToGrid w:val="0"/>
        <w:spacing w:line="360" w:lineRule="auto"/>
        <w:ind w:firstLine="413" w:firstLineChars="196"/>
        <w:jc w:val="left"/>
        <w:rPr>
          <w:rFonts w:ascii="宋体" w:hAnsi="宋体" w:cs="宋体"/>
          <w:b/>
          <w:color w:val="auto"/>
          <w:szCs w:val="21"/>
          <w:highlight w:val="none"/>
        </w:rPr>
      </w:pPr>
      <w:bookmarkStart w:id="32" w:name="_Toc1476"/>
      <w:r>
        <w:rPr>
          <w:rFonts w:hint="eastAsia" w:ascii="宋体" w:hAnsi="宋体" w:cs="宋体"/>
          <w:b/>
          <w:color w:val="auto"/>
          <w:szCs w:val="21"/>
          <w:highlight w:val="none"/>
        </w:rPr>
        <w:t>（一） 适用范围</w:t>
      </w:r>
      <w:bookmarkEnd w:id="32"/>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本采购文件适用于本项目的招标、投标、评标、定标、验收、合同履约、付款等行为（法律、法规另有规定的，从其规定）。</w:t>
      </w:r>
    </w:p>
    <w:p>
      <w:pPr>
        <w:snapToGrid w:val="0"/>
        <w:spacing w:line="360" w:lineRule="auto"/>
        <w:ind w:firstLine="310" w:firstLineChars="147"/>
        <w:jc w:val="left"/>
        <w:rPr>
          <w:rFonts w:ascii="宋体" w:hAnsi="宋体" w:cs="宋体"/>
          <w:b/>
          <w:color w:val="auto"/>
          <w:szCs w:val="21"/>
          <w:highlight w:val="none"/>
        </w:rPr>
      </w:pPr>
      <w:bookmarkStart w:id="33" w:name="_Toc7571"/>
      <w:r>
        <w:rPr>
          <w:rFonts w:hint="eastAsia" w:ascii="宋体" w:hAnsi="宋体" w:cs="宋体"/>
          <w:b/>
          <w:color w:val="auto"/>
          <w:szCs w:val="21"/>
          <w:highlight w:val="none"/>
        </w:rPr>
        <w:t>（二）定义</w:t>
      </w:r>
      <w:bookmarkEnd w:id="33"/>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2.“供应商、投标人”系指向采购人提交投标文件的单位或个人。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3.“产品”系指供应商按采购文件规定，须向采购人提供的一切设备、保险、税金、备品备件、工具、手册及其它有关技术资料和材料。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4.“服务”系指采购文件规定供应商须承担的安装、调试、技术协助、校准、培训、技术指导以及其他类似的义务。</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5.“项目”系指供应商按采购文件规定向采购人提供的产品和服务。</w:t>
      </w:r>
    </w:p>
    <w:p>
      <w:pPr>
        <w:snapToGrid w:val="0"/>
        <w:spacing w:line="360" w:lineRule="auto"/>
        <w:ind w:firstLine="420" w:firstLineChars="200"/>
        <w:jc w:val="left"/>
        <w:rPr>
          <w:rFonts w:ascii="宋体" w:hAnsi="宋体" w:cs="宋体"/>
          <w:color w:val="auto"/>
          <w:szCs w:val="21"/>
          <w:highlight w:val="none"/>
        </w:rPr>
      </w:pPr>
      <w:bookmarkStart w:id="34" w:name="_Toc20685"/>
      <w:r>
        <w:rPr>
          <w:rFonts w:hint="eastAsia" w:ascii="宋体" w:hAnsi="宋体" w:cs="宋体"/>
          <w:color w:val="auto"/>
          <w:szCs w:val="21"/>
          <w:highlight w:val="none"/>
        </w:rPr>
        <w:t>6、“书面形式”包括信函、传真、电函等。</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（三）招标方式</w:t>
      </w:r>
      <w:bookmarkEnd w:id="34"/>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line="360" w:lineRule="auto"/>
        <w:ind w:firstLine="413" w:firstLineChars="196"/>
        <w:jc w:val="left"/>
        <w:rPr>
          <w:rFonts w:ascii="宋体" w:hAnsi="宋体" w:cs="宋体"/>
          <w:b/>
          <w:color w:val="auto"/>
          <w:szCs w:val="21"/>
          <w:highlight w:val="none"/>
        </w:rPr>
      </w:pPr>
      <w:bookmarkStart w:id="35" w:name="_Toc21721"/>
      <w:bookmarkStart w:id="36" w:name="_Toc1659"/>
      <w:r>
        <w:rPr>
          <w:rFonts w:hint="eastAsia" w:ascii="宋体" w:hAnsi="宋体" w:cs="宋体"/>
          <w:b/>
          <w:color w:val="auto"/>
          <w:szCs w:val="21"/>
          <w:highlight w:val="none"/>
        </w:rPr>
        <w:t>（四）投标委托</w:t>
      </w:r>
      <w:bookmarkEnd w:id="35"/>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如供应商派授权代表出席开标会议，授权代表须携带有效身份证件。如供应商代表不是法定代表人，须有法定代表人出具的授权委托书（正本用原件，副本用复印件，格式见第六章）。</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（五）投标费用</w:t>
      </w:r>
      <w:bookmarkEnd w:id="36"/>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不论投标结果如何，供应商均应自行承担所有与投标有关的全部费用（采购文件有其他规定除外）。</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（六）联合体投标</w:t>
      </w:r>
    </w:p>
    <w:p>
      <w:pPr>
        <w:widowControl/>
        <w:numPr>
          <w:ilvl w:val="0"/>
          <w:numId w:val="9"/>
        </w:numPr>
        <w:snapToGrid w:val="0"/>
        <w:spacing w:line="360" w:lineRule="auto"/>
        <w:jc w:val="left"/>
        <w:rPr>
          <w:rFonts w:ascii="宋体" w:hAnsi="宋体" w:cs="宋体"/>
          <w:color w:val="auto"/>
          <w:highlight w:val="none"/>
        </w:rPr>
      </w:pPr>
      <w:r>
        <w:rPr>
          <w:rFonts w:hint="eastAsia" w:ascii="宋体" w:hAnsi="宋体" w:cs="宋体"/>
          <w:color w:val="auto"/>
          <w:highlight w:val="none"/>
        </w:rPr>
        <w:t>本项目接受联合体投标（联合体投标的须在投标文件中提供联合体协议书，明确各联合投标成员的责任、义务、份额）。</w:t>
      </w:r>
    </w:p>
    <w:p>
      <w:pPr>
        <w:widowControl/>
        <w:numPr>
          <w:ilvl w:val="0"/>
          <w:numId w:val="9"/>
        </w:numPr>
        <w:snapToGrid w:val="0"/>
        <w:spacing w:line="360" w:lineRule="auto"/>
        <w:jc w:val="left"/>
        <w:rPr>
          <w:rFonts w:ascii="宋体" w:hAnsi="宋体" w:cs="宋体"/>
          <w:color w:val="auto"/>
          <w:highlight w:val="none"/>
        </w:rPr>
      </w:pPr>
      <w:r>
        <w:rPr>
          <w:rFonts w:hint="eastAsia" w:ascii="宋体" w:hAnsi="宋体" w:cs="宋体"/>
          <w:color w:val="auto"/>
          <w:highlight w:val="none"/>
        </w:rPr>
        <w:t>招标公告规定接受联合体投标的，除应符合招标公告规定的申请人的资格要求外，还应遵守以下规定：</w:t>
      </w:r>
    </w:p>
    <w:p>
      <w:pPr>
        <w:widowControl/>
        <w:numPr>
          <w:ilvl w:val="0"/>
          <w:numId w:val="10"/>
        </w:numPr>
        <w:snapToGrid w:val="0"/>
        <w:spacing w:line="360" w:lineRule="auto"/>
        <w:jc w:val="left"/>
        <w:rPr>
          <w:rFonts w:ascii="宋体" w:hAnsi="宋体" w:cs="宋体"/>
          <w:color w:val="auto"/>
          <w:highlight w:val="none"/>
        </w:rPr>
      </w:pPr>
      <w:r>
        <w:rPr>
          <w:rFonts w:hint="eastAsia" w:ascii="宋体" w:hAnsi="宋体" w:cs="宋体"/>
          <w:color w:val="auto"/>
          <w:highlight w:val="none"/>
        </w:rPr>
        <w:t>联合体各方应按招标文件提供的格式签订联合体协议书，明确联合体牵头人和各方工作内容和义务。</w:t>
      </w:r>
    </w:p>
    <w:p>
      <w:pPr>
        <w:widowControl/>
        <w:numPr>
          <w:ilvl w:val="0"/>
          <w:numId w:val="10"/>
        </w:numPr>
        <w:snapToGrid w:val="0"/>
        <w:spacing w:line="360" w:lineRule="auto"/>
        <w:jc w:val="left"/>
        <w:rPr>
          <w:rFonts w:ascii="宋体" w:hAnsi="宋体" w:cs="宋体"/>
          <w:color w:val="auto"/>
          <w:highlight w:val="none"/>
        </w:rPr>
      </w:pPr>
      <w:r>
        <w:rPr>
          <w:rFonts w:hint="eastAsia" w:ascii="宋体" w:hAnsi="宋体" w:cs="宋体"/>
          <w:color w:val="auto"/>
          <w:highlight w:val="none"/>
        </w:rPr>
        <w:t>联合体中有同类资质的供应商按照联合体分工承担相同工作的，应当按照资质等级较低的供应商确定联合体的资质等级。</w:t>
      </w:r>
    </w:p>
    <w:p>
      <w:pPr>
        <w:widowControl/>
        <w:numPr>
          <w:ilvl w:val="0"/>
          <w:numId w:val="10"/>
        </w:numPr>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联合体各方不得再单独参加或者与其他供应商另外组成联合体参加同一合同项下的投标。</w:t>
      </w:r>
    </w:p>
    <w:p>
      <w:pPr>
        <w:widowControl/>
        <w:numPr>
          <w:ilvl w:val="0"/>
          <w:numId w:val="10"/>
        </w:numPr>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联合体各方应当共同与采购人签订采购合同，就采购合同约定的事项对采购人承担连带责任。</w:t>
      </w:r>
    </w:p>
    <w:p>
      <w:pPr>
        <w:widowControl/>
        <w:numPr>
          <w:ilvl w:val="0"/>
          <w:numId w:val="10"/>
        </w:numPr>
        <w:snapToGrid w:val="0"/>
        <w:spacing w:line="360" w:lineRule="auto"/>
        <w:jc w:val="left"/>
        <w:rPr>
          <w:rFonts w:ascii="宋体" w:hAnsi="宋体" w:cs="宋体"/>
          <w:color w:val="auto"/>
          <w:highlight w:val="none"/>
        </w:rPr>
      </w:pPr>
      <w:r>
        <w:rPr>
          <w:rFonts w:hint="eastAsia" w:ascii="宋体" w:hAnsi="宋体" w:cs="宋体"/>
          <w:color w:val="auto"/>
          <w:highlight w:val="none"/>
        </w:rPr>
        <w:t>联合体各方均符合“第一章  公开招标公告二、申请人的资格要求”的要求。</w:t>
      </w:r>
    </w:p>
    <w:p>
      <w:pPr>
        <w:snapToGrid w:val="0"/>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line="360" w:lineRule="auto"/>
        <w:ind w:firstLine="411" w:firstLineChars="196"/>
        <w:rPr>
          <w:rFonts w:ascii="宋体" w:hAnsi="宋体" w:cs="宋体"/>
          <w:b/>
          <w:color w:val="auto"/>
          <w:kern w:val="0"/>
          <w:szCs w:val="21"/>
          <w:highlight w:val="none"/>
        </w:rPr>
      </w:pPr>
      <w:r>
        <w:rPr>
          <w:rFonts w:hint="eastAsia" w:ascii="宋体" w:hAnsi="宋体" w:cs="宋体"/>
          <w:bCs/>
          <w:color w:val="auto"/>
          <w:highlight w:val="none"/>
        </w:rPr>
        <w:t>本项目不允许转包；</w:t>
      </w:r>
      <w:r>
        <w:rPr>
          <w:rFonts w:hint="eastAsia" w:ascii="宋体" w:hAnsi="宋体" w:cs="宋体"/>
          <w:color w:val="auto"/>
          <w:szCs w:val="21"/>
          <w:highlight w:val="none"/>
        </w:rPr>
        <w:t>经采购人同意，允许分包。</w:t>
      </w:r>
    </w:p>
    <w:p>
      <w:pPr>
        <w:snapToGrid w:val="0"/>
        <w:spacing w:line="360" w:lineRule="auto"/>
        <w:ind w:firstLine="413" w:firstLineChars="196"/>
        <w:jc w:val="left"/>
        <w:rPr>
          <w:rFonts w:ascii="宋体" w:hAnsi="宋体" w:cs="宋体"/>
          <w:b/>
          <w:color w:val="auto"/>
          <w:szCs w:val="21"/>
          <w:highlight w:val="none"/>
        </w:rPr>
      </w:pPr>
      <w:bookmarkStart w:id="37" w:name="_Toc13174"/>
      <w:r>
        <w:rPr>
          <w:rFonts w:hint="eastAsia" w:ascii="宋体" w:hAnsi="宋体" w:cs="宋体"/>
          <w:b/>
          <w:color w:val="auto"/>
          <w:szCs w:val="21"/>
          <w:highlight w:val="none"/>
        </w:rPr>
        <w:t>（八）特别说明：</w:t>
      </w:r>
      <w:bookmarkEnd w:id="37"/>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1、提供相同品牌产品且通过资格审查、符合性审查的不同供应商参加同一合同项下投标的，按一家供应商计算。(如适用)</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非单一产品采购项目，供应商使用相同制造产品（相同制造产品是指采购文件中指定的“核心产品”）作为其项目的一部分，按一家供应商认定。</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 xml:space="preserve">3、采购文件的澄清与修改 </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（1）采购人或者采购代理机构对采购文件进行必要的澄清或者修改的，澄清或者修改在原公告发布媒体上发布澄清公告。澄清或者修改的内容可能影响投标文件编制的，澄清公告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（2）澄清公告为采购文件的组成部分，一经在网站发布，视同已通知所有采购文件的收受人，不再采用其它方式传达相关信息, 若因未能及时了解到上述网站上发布的相关信息而导致的一切后果自行承担。</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（3）采购文件澄清、答复、修改、补充的内容为采购文件的组成部分。当采购文件与采购文件的答复、澄清、修改、补充通知就同一内容的表述不一致时，以最后发出的澄清公告为准。</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4、关于分公司投标</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5、关于知识产权</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6、供应商的风险</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pStyle w:val="2"/>
        <w:snapToGrid w:val="0"/>
        <w:spacing w:before="0" w:beforeLines="0" w:after="0" w:afterLines="0" w:line="360" w:lineRule="auto"/>
        <w:ind w:left="2" w:leftChars="1" w:firstLine="420" w:firstLineChars="200"/>
        <w:rPr>
          <w:rFonts w:hint="default"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
        <w:snapToGrid w:val="0"/>
        <w:spacing w:before="0" w:beforeLines="0" w:after="0" w:afterLines="0" w:line="360" w:lineRule="auto"/>
        <w:ind w:left="2" w:leftChars="1" w:firstLine="420" w:firstLineChars="200"/>
        <w:rPr>
          <w:rFonts w:hint="default" w:hAnsi="宋体" w:cs="宋体"/>
          <w:b/>
          <w:color w:val="auto"/>
          <w:highlight w:val="none"/>
        </w:rPr>
      </w:pPr>
      <w:r>
        <w:rPr>
          <w:rFonts w:hAnsi="宋体" w:cs="宋体"/>
          <w:bCs/>
          <w:color w:val="auto"/>
          <w:highlight w:val="none"/>
        </w:rPr>
        <w:t>7、解释：本采购文件的解释权属于采购人。</w:t>
      </w:r>
    </w:p>
    <w:p>
      <w:pPr>
        <w:pStyle w:val="2"/>
        <w:snapToGrid w:val="0"/>
        <w:spacing w:before="0" w:beforeLines="0" w:after="0" w:afterLines="0" w:line="360" w:lineRule="auto"/>
        <w:ind w:firstLine="413" w:firstLineChars="196"/>
        <w:rPr>
          <w:rFonts w:hint="default" w:hAnsi="宋体" w:cs="宋体"/>
          <w:b/>
          <w:bCs/>
          <w:color w:val="auto"/>
          <w:highlight w:val="none"/>
        </w:rPr>
      </w:pPr>
      <w:bookmarkStart w:id="38" w:name="_Toc13650"/>
      <w:r>
        <w:rPr>
          <w:rFonts w:hAnsi="宋体" w:cs="宋体"/>
          <w:b/>
          <w:bCs/>
          <w:color w:val="auto"/>
          <w:highlight w:val="none"/>
        </w:rPr>
        <w:t>（九）质疑和投诉</w:t>
      </w:r>
      <w:bookmarkEnd w:id="38"/>
    </w:p>
    <w:p>
      <w:pPr>
        <w:spacing w:line="360" w:lineRule="auto"/>
        <w:ind w:firstLine="420" w:firstLineChars="200"/>
        <w:rPr>
          <w:rFonts w:ascii="宋体" w:hAnsi="宋体" w:cs="宋体"/>
          <w:color w:val="auto"/>
          <w:highlight w:val="none"/>
        </w:rPr>
      </w:pPr>
      <w:bookmarkStart w:id="39" w:name="_Toc27142"/>
      <w:r>
        <w:rPr>
          <w:rFonts w:hint="eastAsia" w:ascii="宋体" w:hAnsi="宋体" w:cs="宋体"/>
          <w:color w:val="auto"/>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
        <w:snapToGrid w:val="0"/>
        <w:spacing w:before="0" w:beforeLines="0" w:after="0" w:afterLines="0" w:line="360" w:lineRule="auto"/>
        <w:ind w:firstLine="413" w:firstLineChars="196"/>
        <w:rPr>
          <w:rFonts w:hint="default" w:hAnsi="宋体" w:cs="宋体"/>
          <w:b/>
          <w:color w:val="auto"/>
          <w:highlight w:val="none"/>
        </w:rPr>
      </w:pPr>
      <w:r>
        <w:rPr>
          <w:rFonts w:hAnsi="宋体" w:cs="宋体"/>
          <w:b/>
          <w:color w:val="auto"/>
          <w:highlight w:val="none"/>
        </w:rPr>
        <w:t xml:space="preserve">二  </w:t>
      </w:r>
      <w:bookmarkEnd w:id="39"/>
      <w:r>
        <w:rPr>
          <w:rFonts w:hAnsi="宋体" w:cs="宋体"/>
          <w:b/>
          <w:color w:val="auto"/>
          <w:highlight w:val="none"/>
        </w:rPr>
        <w:t>采购文件</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（一）采购文件的构成。本采购文件由以下部分组成：</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7.本项目采购文件的澄清、答复、修改、补充的内容</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pPr>
        <w:pStyle w:val="36"/>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供应商没有按照采购文件要求提供全部资料，或者供应商没有对采购文件在各方面作出实质性响应是供应商的风险，并可能导致其投标被拒绝。</w:t>
      </w:r>
    </w:p>
    <w:p>
      <w:pPr>
        <w:pStyle w:val="2"/>
        <w:snapToGrid w:val="0"/>
        <w:spacing w:before="0" w:beforeLines="0" w:after="0" w:afterLines="0" w:line="360" w:lineRule="auto"/>
        <w:ind w:firstLine="413" w:firstLineChars="196"/>
        <w:rPr>
          <w:rFonts w:hint="default" w:hAnsi="宋体" w:cs="宋体"/>
          <w:b/>
          <w:color w:val="auto"/>
          <w:highlight w:val="none"/>
        </w:rPr>
      </w:pPr>
      <w:bookmarkStart w:id="40" w:name="_Toc24324"/>
      <w:r>
        <w:rPr>
          <w:rFonts w:hAnsi="宋体" w:cs="宋体"/>
          <w:b/>
          <w:color w:val="auto"/>
          <w:highlight w:val="none"/>
        </w:rPr>
        <w:t>三、投标文件的编制</w:t>
      </w:r>
      <w:bookmarkEnd w:id="40"/>
    </w:p>
    <w:p>
      <w:pPr>
        <w:snapToGrid w:val="0"/>
        <w:spacing w:line="360" w:lineRule="auto"/>
        <w:ind w:firstLine="413" w:firstLineChars="196"/>
        <w:jc w:val="left"/>
        <w:rPr>
          <w:rFonts w:ascii="宋体" w:hAnsi="宋体" w:cs="宋体"/>
          <w:b/>
          <w:color w:val="auto"/>
          <w:szCs w:val="21"/>
          <w:highlight w:val="none"/>
        </w:rPr>
      </w:pPr>
      <w:bookmarkStart w:id="41" w:name="_Toc16622"/>
      <w:r>
        <w:rPr>
          <w:rFonts w:hint="eastAsia" w:ascii="宋体" w:hAnsi="宋体" w:cs="宋体"/>
          <w:b/>
          <w:color w:val="auto"/>
          <w:szCs w:val="21"/>
          <w:highlight w:val="none"/>
        </w:rPr>
        <w:t>（一）投标文件的组成</w:t>
      </w:r>
      <w:bookmarkEnd w:id="41"/>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投标文件由资格文件、商务技术文件和报价文件三部分组成。</w:t>
      </w:r>
    </w:p>
    <w:p>
      <w:pPr>
        <w:numPr>
          <w:ilvl w:val="0"/>
          <w:numId w:val="11"/>
        </w:numPr>
        <w:snapToGrid w:val="0"/>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资格文件：</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如为联合体投标的，所有联合体单位均须提供，加盖公章）；</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供应商资格声明函；</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落实政府采购政策需满足的资格要求（如有）；</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联合协议（如有）；</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分包意向协议（如有）；</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本项目的特定资格要求（如有，详见“第一章  公开招标公告 二、申请人的资格要求：3.本项目的特定资格要求”）</w:t>
      </w:r>
    </w:p>
    <w:p>
      <w:pPr>
        <w:widowControl/>
        <w:numPr>
          <w:ilvl w:val="0"/>
          <w:numId w:val="1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采购文件要求的其他资格条件证明材料（如有）。</w:t>
      </w:r>
    </w:p>
    <w:p>
      <w:pPr>
        <w:numPr>
          <w:ilvl w:val="0"/>
          <w:numId w:val="11"/>
        </w:numPr>
        <w:snapToGrid w:val="0"/>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商务技术文件内容包括：</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符合性自查表（格式见附件）；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投标函（格式见附件）；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授权委托书或法定代表人（单位负责人、自然人本人）身份证明（格式见附件）；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供应商基本情况表（格式见附件）；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技术（服务）条款偏离表（格式见附件）；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商务条款偏离表（格式见附件）；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同类业绩情况一览表（格式见附件）；</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整体投标方案：针对本项目第二章采购需求及第四章评分标准中的条款拟定各种方案，格式自拟；</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第四章评标办法及评分标准中需提供的其他相关资质证书、合同等证明材料复印件加盖公章；</w:t>
      </w:r>
    </w:p>
    <w:p>
      <w:pPr>
        <w:widowControl/>
        <w:numPr>
          <w:ilvl w:val="0"/>
          <w:numId w:val="13"/>
        </w:numPr>
        <w:snapToGrid w:val="0"/>
        <w:spacing w:line="360" w:lineRule="auto"/>
        <w:ind w:left="210" w:leftChars="100"/>
        <w:jc w:val="left"/>
        <w:rPr>
          <w:rFonts w:ascii="宋体" w:hAnsi="宋体"/>
          <w:color w:val="auto"/>
          <w:kern w:val="0"/>
          <w:highlight w:val="none"/>
        </w:rPr>
      </w:pPr>
      <w:r>
        <w:rPr>
          <w:rFonts w:hint="eastAsia" w:ascii="宋体" w:hAnsi="宋体"/>
          <w:color w:val="auto"/>
          <w:kern w:val="0"/>
          <w:highlight w:val="none"/>
        </w:rPr>
        <w:t>供应商认为有需要提供的其它证明资料。</w:t>
      </w:r>
    </w:p>
    <w:p>
      <w:pPr>
        <w:numPr>
          <w:ilvl w:val="0"/>
          <w:numId w:val="11"/>
        </w:numPr>
        <w:snapToGrid w:val="0"/>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报价文件内容包括：</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（1）开标一览表；</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（2）分项报价表；</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（3）中小企业声明函（如有）；</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（4）残疾人福利性单位声明函（非残疾人福利性单位无需提供本函，格式见附件；如为联合体投标的，所有联合体单位均须提供）；</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（5）监狱企业参加政府采购活动时，应当提供由省级以上监狱管理局、戒毒管理局（含新疆生产建设兵团）出具的属于监狱企业的证明文件（如有；如为联合体投标的，所有联合体单位均须提供）；</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（6）政府采购统计基础信息表；</w:t>
      </w:r>
    </w:p>
    <w:p>
      <w:p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（7）供应商针对报价需要说明的其他文件和说明（格式自拟）。</w:t>
      </w:r>
    </w:p>
    <w:p>
      <w:pPr>
        <w:snapToGrid w:val="0"/>
        <w:spacing w:line="360" w:lineRule="auto"/>
        <w:jc w:val="left"/>
        <w:rPr>
          <w:rFonts w:ascii="宋体" w:hAnsi="宋体" w:cs="宋体"/>
          <w:bCs/>
          <w:color w:val="auto"/>
          <w:szCs w:val="21"/>
          <w:highlight w:val="none"/>
        </w:rPr>
      </w:pPr>
      <w:bookmarkStart w:id="42" w:name="_Toc10734"/>
      <w:r>
        <w:rPr>
          <w:rFonts w:hint="eastAsia" w:ascii="宋体" w:hAnsi="宋体" w:cs="宋体"/>
          <w:bCs/>
          <w:color w:val="auto"/>
          <w:szCs w:val="21"/>
          <w:highlight w:val="none"/>
        </w:rPr>
        <w:t>注：1、上述组成投标文件的各项资料中本招标文件的有规定格式的，应统一按本招标文件的规定格式填写。未有规定格式的资料，投标人应自行编制，但至少要包含以上要求的内容。</w:t>
      </w:r>
    </w:p>
    <w:p>
      <w:pPr>
        <w:snapToGrid w:val="0"/>
        <w:spacing w:line="360" w:lineRule="auto"/>
        <w:ind w:firstLine="411" w:firstLineChars="196"/>
        <w:jc w:val="left"/>
        <w:rPr>
          <w:rFonts w:ascii="宋体" w:hAnsi="宋体" w:cs="宋体"/>
          <w:bCs/>
          <w:color w:val="auto"/>
          <w:szCs w:val="21"/>
          <w:highlight w:val="none"/>
        </w:rPr>
      </w:pPr>
      <w:r>
        <w:rPr>
          <w:rFonts w:hint="eastAsia" w:ascii="宋体" w:hAnsi="宋体" w:cs="宋体"/>
          <w:bCs/>
          <w:color w:val="auto"/>
          <w:szCs w:val="21"/>
          <w:highlight w:val="none"/>
        </w:rPr>
        <w:t>2、投标文件在提供对投标产品技术条款响应表的应答时，对招标文件有技术数值要求的参数，必须以投标货物的具体技术数值据实应答；对于招标文件无数值要求的参数的应答，必须作出明确、直接、无导致两种理解可能的应答。</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★（二）投标文件的语言及计量</w:t>
      </w:r>
      <w:bookmarkEnd w:id="42"/>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snapToGrid w:val="0"/>
        <w:spacing w:line="360" w:lineRule="auto"/>
        <w:ind w:firstLine="413" w:firstLineChars="196"/>
        <w:jc w:val="left"/>
        <w:rPr>
          <w:rFonts w:ascii="宋体" w:hAnsi="宋体" w:cs="宋体"/>
          <w:b/>
          <w:color w:val="auto"/>
          <w:szCs w:val="21"/>
          <w:highlight w:val="none"/>
        </w:rPr>
      </w:pPr>
      <w:bookmarkStart w:id="43" w:name="_Toc3681"/>
      <w:r>
        <w:rPr>
          <w:rFonts w:hint="eastAsia" w:ascii="宋体" w:hAnsi="宋体" w:cs="宋体"/>
          <w:b/>
          <w:color w:val="auto"/>
          <w:szCs w:val="21"/>
          <w:highlight w:val="none"/>
        </w:rPr>
        <w:t>（三）投标报价</w:t>
      </w:r>
      <w:bookmarkEnd w:id="43"/>
    </w:p>
    <w:p>
      <w:pPr>
        <w:pStyle w:val="2"/>
        <w:snapToGrid w:val="0"/>
        <w:spacing w:before="0" w:beforeLines="0" w:after="0" w:afterLines="0" w:line="360" w:lineRule="auto"/>
        <w:ind w:firstLine="420" w:firstLineChars="200"/>
        <w:jc w:val="left"/>
        <w:rPr>
          <w:rFonts w:hint="default" w:hAnsi="宋体" w:cs="宋体"/>
          <w:color w:val="auto"/>
          <w:highlight w:val="none"/>
        </w:rPr>
      </w:pPr>
      <w:r>
        <w:rPr>
          <w:rFonts w:hAnsi="宋体" w:cs="宋体"/>
          <w:color w:val="auto"/>
          <w:highlight w:val="none"/>
        </w:rPr>
        <w:t>1.投标报价应按采购文件中相关附表格式填写。</w:t>
      </w:r>
    </w:p>
    <w:p>
      <w:pPr>
        <w:pStyle w:val="2"/>
        <w:snapToGrid w:val="0"/>
        <w:spacing w:before="0" w:beforeLines="0" w:after="0" w:afterLines="0" w:line="360" w:lineRule="auto"/>
        <w:ind w:firstLine="420" w:firstLineChars="200"/>
        <w:jc w:val="left"/>
        <w:rPr>
          <w:rFonts w:hint="default"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
        <w:snapToGrid w:val="0"/>
        <w:spacing w:before="0" w:beforeLines="0" w:after="0" w:afterLines="0" w:line="360" w:lineRule="auto"/>
        <w:ind w:firstLine="420" w:firstLineChars="200"/>
        <w:jc w:val="left"/>
        <w:rPr>
          <w:rFonts w:hint="default" w:hAnsi="宋体" w:cs="宋体"/>
          <w:color w:val="auto"/>
          <w:highlight w:val="none"/>
        </w:rPr>
      </w:pPr>
      <w:r>
        <w:rPr>
          <w:rFonts w:hAnsi="宋体" w:cs="宋体"/>
          <w:color w:val="auto"/>
          <w:highlight w:val="none"/>
        </w:rPr>
        <w:t>★3.投标文件只允许有一个报价，有选择的或有条件的报价将不予接受。</w:t>
      </w:r>
    </w:p>
    <w:p>
      <w:pPr>
        <w:pStyle w:val="14"/>
        <w:widowControl w:val="0"/>
        <w:tabs>
          <w:tab w:val="clear" w:pos="454"/>
        </w:tabs>
        <w:snapToGrid w:val="0"/>
        <w:spacing w:after="0" w:afterLines="0" w:line="360" w:lineRule="auto"/>
        <w:ind w:left="0"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4"/>
        <w:widowControl w:val="0"/>
        <w:tabs>
          <w:tab w:val="clear" w:pos="454"/>
        </w:tabs>
        <w:snapToGrid w:val="0"/>
        <w:spacing w:after="0" w:afterLines="0" w:line="360" w:lineRule="auto"/>
        <w:ind w:left="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4"/>
        <w:widowControl w:val="0"/>
        <w:tabs>
          <w:tab w:val="clear" w:pos="454"/>
        </w:tabs>
        <w:snapToGrid w:val="0"/>
        <w:spacing w:after="0" w:afterLines="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napToGrid w:val="0"/>
        <w:spacing w:line="360" w:lineRule="auto"/>
        <w:ind w:firstLine="420" w:firstLineChars="200"/>
        <w:jc w:val="left"/>
        <w:rPr>
          <w:rFonts w:ascii="宋体" w:hAnsi="宋体" w:cs="宋体"/>
          <w:b/>
          <w:color w:val="auto"/>
          <w:szCs w:val="21"/>
          <w:highlight w:val="none"/>
        </w:rPr>
      </w:pPr>
      <w:bookmarkStart w:id="44" w:name="_Toc24481"/>
      <w:r>
        <w:rPr>
          <w:rFonts w:hint="eastAsia" w:ascii="宋体" w:hAnsi="宋体" w:cs="宋体"/>
          <w:color w:val="auto"/>
          <w:szCs w:val="21"/>
          <w:highlight w:val="none"/>
        </w:rPr>
        <w:t>3.同意延长有效期的供应商不能修改投标文件。</w:t>
      </w:r>
      <w:bookmarkEnd w:id="44"/>
      <w:r>
        <w:rPr>
          <w:rFonts w:hint="eastAsia" w:ascii="宋体" w:hAnsi="宋体" w:cs="宋体"/>
          <w:b/>
          <w:color w:val="auto"/>
          <w:szCs w:val="21"/>
          <w:highlight w:val="none"/>
        </w:rPr>
        <w:t xml:space="preserve"> </w:t>
      </w:r>
    </w:p>
    <w:p>
      <w:pPr>
        <w:snapToGrid w:val="0"/>
        <w:spacing w:line="360" w:lineRule="auto"/>
        <w:ind w:firstLine="420" w:firstLineChars="200"/>
        <w:jc w:val="left"/>
        <w:rPr>
          <w:rFonts w:ascii="宋体" w:hAnsi="宋体" w:cs="宋体"/>
          <w:b/>
          <w:color w:val="auto"/>
          <w:szCs w:val="21"/>
          <w:highlight w:val="none"/>
        </w:rPr>
      </w:pPr>
      <w:bookmarkStart w:id="45" w:name="_Toc6471"/>
      <w:r>
        <w:rPr>
          <w:rFonts w:hint="eastAsia" w:ascii="宋体" w:hAnsi="宋体" w:cs="宋体"/>
          <w:color w:val="auto"/>
          <w:szCs w:val="21"/>
          <w:highlight w:val="none"/>
        </w:rPr>
        <w:t>4.中标人的投标文件自开标之日起至合同履行完毕止均应保持有效。</w:t>
      </w:r>
      <w:bookmarkEnd w:id="45"/>
    </w:p>
    <w:p>
      <w:pPr>
        <w:snapToGrid w:val="0"/>
        <w:spacing w:line="360" w:lineRule="auto"/>
        <w:ind w:firstLine="413" w:firstLineChars="196"/>
        <w:jc w:val="left"/>
        <w:rPr>
          <w:rFonts w:ascii="宋体" w:hAnsi="宋体" w:cs="宋体"/>
          <w:b/>
          <w:color w:val="auto"/>
          <w:szCs w:val="21"/>
          <w:highlight w:val="none"/>
        </w:rPr>
      </w:pPr>
      <w:bookmarkStart w:id="46" w:name="_Toc14508"/>
      <w:r>
        <w:rPr>
          <w:rFonts w:hint="eastAsia" w:ascii="宋体" w:hAnsi="宋体" w:cs="宋体"/>
          <w:b/>
          <w:color w:val="auto"/>
          <w:szCs w:val="21"/>
          <w:highlight w:val="none"/>
        </w:rPr>
        <w:t>（五）投标文件的签署和份数</w:t>
      </w:r>
      <w:bookmarkEnd w:id="46"/>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ascii="宋体" w:hAnsi="宋体" w:cs="宋体"/>
          <w:color w:val="auto"/>
          <w:highlight w:val="none"/>
        </w:rPr>
      </w:pPr>
      <w:bookmarkStart w:id="47" w:name="_Toc2150"/>
      <w:r>
        <w:rPr>
          <w:rFonts w:hint="eastAsia" w:ascii="宋体" w:hAnsi="宋体" w:cs="宋体"/>
          <w:color w:val="auto"/>
          <w:highlight w:val="none"/>
        </w:rPr>
        <w:t>（3）中标人根据采购人要求提供纸质投标文件（资格证明文件、技术商务文件、报价文件）。</w:t>
      </w:r>
      <w:bookmarkEnd w:id="47"/>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及本采购文件规定的格式和顺序编制电子投标文件并进行关联定位。</w:t>
      </w:r>
    </w:p>
    <w:p>
      <w:pPr>
        <w:snapToGrid w:val="0"/>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用封袋密封后递交。</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)、投标项目名称、项目编号、标项号，并加盖供应商公章。</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3、未按规定密封或标记的投标文件将被拒绝，由此造成投标文件被误投或提前拆封的风险由供应商承担。</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应当按本采购文件的要求签署、盖章和密封。</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360" w:lineRule="auto"/>
        <w:ind w:firstLine="310" w:firstLineChars="147"/>
        <w:jc w:val="left"/>
        <w:rPr>
          <w:rFonts w:ascii="宋体" w:hAnsi="宋体" w:cs="宋体"/>
          <w:b/>
          <w:color w:val="auto"/>
          <w:highlight w:val="none"/>
        </w:rPr>
      </w:pPr>
      <w:bookmarkStart w:id="48" w:name="_Toc2054"/>
      <w:r>
        <w:rPr>
          <w:rFonts w:hint="eastAsia" w:ascii="宋体" w:hAnsi="宋体" w:cs="宋体"/>
          <w:b/>
          <w:color w:val="auto"/>
          <w:highlight w:val="none"/>
        </w:rPr>
        <w:t>（七）投标文件的形式和效力</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1、投标文件分为：“电子投标文件”和“电子备份投标文件”。</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2、“电子投标文件”是指通过“政采云电子交易客户端”完成投标文件编制后生成并加密的数据电文形式的投标文件（文件后缀为：jmbs）。</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3、“电子备份投标文件”是指与“电子投标文件”同时生成的数据电文形式的电子文件文件后缀为：bfbs（备份标书），其他方式编制的备份投标文件视为无效备份投标文件。</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2"/>
        <w:snapToGrid w:val="0"/>
        <w:spacing w:before="0" w:beforeLines="0" w:after="0" w:afterLines="0" w:line="360" w:lineRule="auto"/>
        <w:ind w:left="772" w:leftChars="267" w:hanging="211" w:hangingChars="100"/>
        <w:rPr>
          <w:rFonts w:hint="default" w:hAnsi="宋体" w:cs="宋体"/>
          <w:b/>
          <w:color w:val="auto"/>
          <w:highlight w:val="none"/>
        </w:rPr>
      </w:pPr>
      <w:r>
        <w:rPr>
          <w:rFonts w:hAnsi="宋体" w:cs="宋体"/>
          <w:b/>
          <w:color w:val="auto"/>
          <w:highlight w:val="none"/>
        </w:rPr>
        <w:t>四、特别说明</w:t>
      </w:r>
      <w:bookmarkEnd w:id="48"/>
    </w:p>
    <w:p>
      <w:pPr>
        <w:pStyle w:val="19"/>
        <w:numPr>
          <w:ilvl w:val="0"/>
          <w:numId w:val="14"/>
        </w:numPr>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本项目 </w:t>
      </w:r>
      <w:r>
        <w:rPr>
          <w:rFonts w:hint="eastAsia" w:ascii="宋体" w:hAnsi="宋体" w:cs="宋体"/>
          <w:b/>
          <w:bCs/>
          <w:color w:val="auto"/>
          <w:sz w:val="21"/>
          <w:szCs w:val="21"/>
          <w:highlight w:val="none"/>
          <w:u w:val="single"/>
        </w:rPr>
        <w:t xml:space="preserve"> 否  </w:t>
      </w:r>
      <w:r>
        <w:rPr>
          <w:rFonts w:hint="eastAsia" w:ascii="宋体" w:hAnsi="宋体" w:cs="宋体"/>
          <w:color w:val="auto"/>
          <w:sz w:val="21"/>
          <w:szCs w:val="21"/>
          <w:highlight w:val="none"/>
        </w:rPr>
        <w:t>专门面向中小企业采购。</w:t>
      </w:r>
    </w:p>
    <w:p>
      <w:pPr>
        <w:pStyle w:val="19"/>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2、本项目对应的中小企业划分标准所属行业：</w:t>
      </w:r>
      <w:r>
        <w:rPr>
          <w:rFonts w:hint="eastAsia" w:ascii="宋体" w:hAnsi="宋体" w:cs="宋体"/>
          <w:color w:val="auto"/>
          <w:sz w:val="21"/>
          <w:szCs w:val="21"/>
          <w:highlight w:val="none"/>
          <w:u w:val="single"/>
        </w:rPr>
        <w:t xml:space="preserve"> </w:t>
      </w:r>
      <w:r>
        <w:rPr>
          <w:rFonts w:hint="eastAsia" w:ascii="宋体" w:hAnsi="宋体" w:cs="宋体"/>
          <w:b/>
          <w:bCs/>
          <w:color w:val="auto"/>
          <w:sz w:val="21"/>
          <w:szCs w:val="21"/>
          <w:highlight w:val="none"/>
          <w:u w:val="single"/>
        </w:rPr>
        <w:t>租赁和商务服务业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国务院批准的中小企业划分标准：具体见工信部联企业[2011]300号。</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4、在政府采购活动中，供应商提供的货物、工程或者服务符合下列情形的，可享受小型、微型企业（以下简称小微企业）的价格扣除：</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（1）在货物采购项目中，货物由小微企业制造，即货物由小微企业生产且使用该小微企业商号或者注册商标；</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（2）在工程采购项目中，工程由小微企业承建，即工程施工单位为小微企业；</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（3）在服务采购项目中，服务由小微企业承接，即提供服务的人员为小微企业依照《中华人民共和国劳动合同法》订立劳动合同的从业人员。</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以联合体形式参加政府采购活动，联合体各方均为小微企业的，联合体视同小微企业。</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5、在货物采购项目中，供应商提供的货物既有中小企业制造货物，也有大型企业制造货物的，不享受的小微企业价格扣除。</w:t>
      </w:r>
    </w:p>
    <w:p>
      <w:pPr>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6、本项目对符合《政府采购促进中小企业发展管理办法》（财库﹝2020﹞46号）规定的小微企业报价给予20%的扣除，用扣除后的价格参加评审。</w:t>
      </w:r>
    </w:p>
    <w:p>
      <w:pPr>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7、小微企业应按照招标文件格式要求提供《中小企业声明函》。</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10、按规定享受扶持政策获得政府采购合同的，小微企业不得将合同分包给大中型企业，中型企业不得将合同分包给大型企业。</w:t>
      </w:r>
    </w:p>
    <w:p>
      <w:pPr>
        <w:pStyle w:val="2"/>
        <w:widowControl/>
        <w:spacing w:before="0" w:beforeLines="0" w:after="0" w:afterLines="0" w:line="360" w:lineRule="auto"/>
        <w:ind w:firstLine="420"/>
        <w:jc w:val="left"/>
        <w:rPr>
          <w:rFonts w:hint="default" w:hAnsi="宋体" w:cs="宋体"/>
          <w:color w:val="auto"/>
          <w:highlight w:val="none"/>
          <w:lang w:val="zh-CN"/>
        </w:rPr>
      </w:pPr>
      <w:r>
        <w:rPr>
          <w:rFonts w:hAnsi="宋体" w:cs="宋体"/>
          <w:color w:val="auto"/>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pStyle w:val="41"/>
        <w:widowControl w:val="0"/>
        <w:spacing w:before="0" w:beforeAutospacing="0" w:after="0" w:afterAutospacing="0" w:line="360" w:lineRule="auto"/>
        <w:ind w:firstLine="420" w:firstLineChars="200"/>
        <w:rPr>
          <w:rFonts w:ascii="宋体" w:hAnsi="宋体" w:cs="宋体"/>
          <w:color w:val="auto"/>
          <w:kern w:val="2"/>
          <w:sz w:val="21"/>
          <w:szCs w:val="21"/>
          <w:highlight w:val="none"/>
          <w:lang w:bidi="ar"/>
        </w:rPr>
      </w:pPr>
    </w:p>
    <w:p>
      <w:pPr>
        <w:pStyle w:val="41"/>
        <w:widowControl w:val="0"/>
        <w:snapToGrid w:val="0"/>
        <w:spacing w:before="0" w:beforeAutospacing="0" w:after="0" w:afterAutospacing="0" w:line="360" w:lineRule="auto"/>
        <w:jc w:val="center"/>
        <w:outlineLvl w:val="0"/>
        <w:rPr>
          <w:rFonts w:ascii="宋体" w:hAnsi="宋体" w:cs="宋体"/>
          <w:color w:val="auto"/>
          <w:highlight w:val="none"/>
        </w:rPr>
      </w:pPr>
      <w:r>
        <w:rPr>
          <w:rFonts w:hint="eastAsia" w:ascii="宋体" w:hAnsi="宋体" w:cs="宋体"/>
          <w:color w:val="auto"/>
          <w:kern w:val="2"/>
          <w:sz w:val="21"/>
          <w:szCs w:val="21"/>
          <w:highlight w:val="none"/>
          <w:lang w:bidi="ar"/>
        </w:rPr>
        <w:br w:type="page"/>
      </w:r>
      <w:bookmarkStart w:id="49" w:name="_Toc28333"/>
      <w:r>
        <w:rPr>
          <w:rFonts w:hint="eastAsia" w:ascii="宋体" w:hAnsi="宋体" w:cs="宋体"/>
          <w:b/>
          <w:bCs/>
          <w:color w:val="auto"/>
          <w:sz w:val="32"/>
          <w:szCs w:val="32"/>
          <w:highlight w:val="none"/>
        </w:rPr>
        <w:t>第四章  评标办法及评分标准</w:t>
      </w:r>
      <w:bookmarkEnd w:id="49"/>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numPr>
          <w:ilvl w:val="0"/>
          <w:numId w:val="15"/>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15"/>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宣告评审无效供应商名单及理由（如有）；</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（5）开标会议结束。</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2、本项目原则上采用政采云</w:t>
      </w:r>
      <w:r>
        <w:rPr>
          <w:rFonts w:hint="eastAsia" w:ascii="宋体" w:hAnsi="宋体" w:cs="宋体"/>
          <w:bCs/>
          <w:color w:val="auto"/>
          <w:szCs w:val="21"/>
          <w:highlight w:val="none"/>
          <w:lang w:bidi="ar"/>
        </w:rPr>
        <w:t>电子招投标开标程序</w:t>
      </w:r>
      <w:r>
        <w:rPr>
          <w:rFonts w:hint="eastAsia" w:ascii="宋体" w:hAnsi="宋体" w:cs="宋体"/>
          <w:color w:val="auto"/>
          <w:szCs w:val="21"/>
          <w:highlight w:val="none"/>
        </w:rPr>
        <w:t>，但有以下情形之一的，按以下情况处理：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2.1电子交易平台发生故障而无法登录访问的；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1、本人、配偶或直系亲属3年内曾在参加该采购项目的供应商中任职（包括一般工作）或担任顾问，或与参加该采购项目的供应商发生过法律纠纷；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2、任职单位与采购人或参加该采购项目供应商存在行政隶属关系；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3、曾经参加过该采购项目的进口产品或采购文件、采购需求、采购方式的论证和咨询服务工作；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4、是参加该采购项目供应商的上级主管部门、控股或参股单位的工作人员，或与该供应商存在其他经济利益关系；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5、评审委员会成员之间具有配偶、近亲属关系；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w:t>
      </w:r>
      <w:r>
        <w:rPr>
          <w:rFonts w:hint="eastAsia" w:ascii="宋体" w:hAnsi="宋体" w:cs="宋体"/>
          <w:bCs/>
          <w:color w:val="auto"/>
          <w:highlight w:val="none"/>
        </w:rPr>
        <w:t>推荐2名</w:t>
      </w:r>
      <w:r>
        <w:rPr>
          <w:rFonts w:hint="eastAsia" w:ascii="宋体" w:hAnsi="宋体" w:cs="宋体"/>
          <w:color w:val="auto"/>
          <w:szCs w:val="21"/>
          <w:highlight w:val="none"/>
        </w:rPr>
        <w:t>中标</w:t>
      </w:r>
      <w:r>
        <w:rPr>
          <w:rFonts w:hint="eastAsia" w:ascii="宋体" w:hAnsi="宋体" w:cs="宋体"/>
          <w:bCs/>
          <w:color w:val="auto"/>
          <w:highlight w:val="none"/>
        </w:rPr>
        <w:t>候选人</w:t>
      </w:r>
      <w:r>
        <w:rPr>
          <w:rFonts w:hint="eastAsia" w:ascii="宋体" w:hAnsi="宋体" w:cs="宋体"/>
          <w:color w:val="auto"/>
          <w:szCs w:val="21"/>
          <w:highlight w:val="none"/>
        </w:rPr>
        <w:t>。得分相同的，按投标报价由低到高顺序排列。得分且投标报价相同的并列，则抽签决定。投标文件满足采购文件全部实质性要求，且按照评审因素的量化指标评审得分最高的供应商为排名第一的中标候选人。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（二）投标文件的澄清</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5、政采云平台填报的开标一览表中的价格与上传的报价文件中开标一览表的报价不一致的，以上传的报价文件为准。</w:t>
      </w:r>
    </w:p>
    <w:p>
      <w:pPr>
        <w:pStyle w:val="28"/>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6"/>
        </w:numPr>
        <w:spacing w:line="360" w:lineRule="auto"/>
        <w:rPr>
          <w:rFonts w:ascii="宋体" w:hAnsi="宋体" w:cs="宋体"/>
          <w:b/>
          <w:bCs/>
          <w:color w:val="auto"/>
          <w:szCs w:val="21"/>
          <w:highlight w:val="none"/>
        </w:rPr>
      </w:pPr>
      <w:bookmarkStart w:id="50" w:name="_Toc481567077"/>
      <w:bookmarkStart w:id="51" w:name="_Toc493058318"/>
      <w:r>
        <w:rPr>
          <w:rFonts w:hint="eastAsia" w:ascii="宋体" w:hAnsi="宋体" w:cs="宋体"/>
          <w:b/>
          <w:bCs/>
          <w:color w:val="auto"/>
          <w:szCs w:val="21"/>
          <w:highlight w:val="none"/>
        </w:rPr>
        <w:t>评标</w:t>
      </w:r>
      <w:bookmarkEnd w:id="50"/>
      <w:r>
        <w:rPr>
          <w:rFonts w:hint="eastAsia" w:ascii="宋体" w:hAnsi="宋体" w:cs="宋体"/>
          <w:b/>
          <w:bCs/>
          <w:color w:val="auto"/>
          <w:szCs w:val="21"/>
          <w:highlight w:val="none"/>
        </w:rPr>
        <w:t>程序</w:t>
      </w:r>
      <w:bookmarkEnd w:id="51"/>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tcPr>
          <w:p>
            <w:pPr>
              <w:numPr>
                <w:ilvl w:val="0"/>
                <w:numId w:val="17"/>
              </w:numPr>
              <w:spacing w:line="400" w:lineRule="exact"/>
              <w:rPr>
                <w:rFonts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spacing w:line="400" w:lineRule="exact"/>
              <w:jc w:val="center"/>
              <w:rPr>
                <w:rFonts w:ascii="宋体" w:hAnsi="宋体" w:cs="宋体"/>
                <w:color w:val="auto"/>
                <w:szCs w:val="21"/>
                <w:highlight w:val="none"/>
              </w:rPr>
            </w:pPr>
          </w:p>
        </w:tc>
        <w:tc>
          <w:tcPr>
            <w:tcW w:w="6794" w:type="dxa"/>
          </w:tcPr>
          <w:p>
            <w:pPr>
              <w:numPr>
                <w:ilvl w:val="0"/>
                <w:numId w:val="17"/>
              </w:numPr>
              <w:spacing w:line="400" w:lineRule="exact"/>
              <w:rPr>
                <w:rFonts w:ascii="宋体" w:hAnsi="宋体" w:cs="宋体"/>
                <w:color w:val="auto"/>
                <w:szCs w:val="21"/>
                <w:highlight w:val="none"/>
              </w:rPr>
            </w:pPr>
            <w:r>
              <w:rPr>
                <w:rFonts w:hint="eastAsia" w:ascii="宋体" w:hAnsi="宋体" w:cs="宋体"/>
                <w:color w:val="auto"/>
                <w:szCs w:val="21"/>
                <w:highlight w:val="none"/>
              </w:rPr>
              <w:t>落实政府采购政策需满足的资格要求：详见“第一章  公开招标公告 二、申请人的资格要求”（如有需提供）；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（三）特定资格条件：如有，详见“第一章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（四）本项目接受联合体投标；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400" w:lineRule="exact"/>
              <w:rPr>
                <w:rFonts w:ascii="宋体" w:hAnsi="宋体" w:cs="宋体"/>
                <w:color w:val="auto"/>
                <w:szCs w:val="21"/>
                <w:highlight w:val="none"/>
              </w:rPr>
            </w:pPr>
          </w:p>
        </w:tc>
        <w:tc>
          <w:tcPr>
            <w:tcW w:w="679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（五）采购文件要求的其他资格条件（如有）。</w:t>
            </w:r>
          </w:p>
        </w:tc>
      </w:tr>
    </w:tbl>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评标委员会应当对符合资格的供应商的投标文件进行符合性审查，以确定其是否满足采购文件的实质性要求。</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3" w:type="dxa"/>
          </w:tcPr>
          <w:p>
            <w:pPr>
              <w:widowControl/>
              <w:spacing w:line="380" w:lineRule="exact"/>
              <w:jc w:val="center"/>
              <w:rPr>
                <w:rFonts w:ascii="宋体" w:hAnsi="宋体" w:cs="宋体"/>
                <w:b/>
                <w:color w:val="auto"/>
                <w:kern w:val="0"/>
                <w:szCs w:val="21"/>
                <w:highlight w:val="none"/>
              </w:rPr>
            </w:pPr>
            <w:bookmarkStart w:id="52" w:name="_Toc249866767"/>
            <w:bookmarkStart w:id="53" w:name="_Toc259108323"/>
            <w:r>
              <w:rPr>
                <w:rFonts w:hint="eastAsia" w:ascii="宋体" w:hAnsi="宋体" w:cs="宋体"/>
                <w:b/>
                <w:color w:val="auto"/>
                <w:kern w:val="0"/>
                <w:szCs w:val="21"/>
                <w:highlight w:val="none"/>
              </w:rPr>
              <w:t>审查类别</w:t>
            </w:r>
          </w:p>
        </w:tc>
        <w:tc>
          <w:tcPr>
            <w:tcW w:w="6792" w:type="dxa"/>
          </w:tcPr>
          <w:p>
            <w:pPr>
              <w:widowControl/>
              <w:spacing w:line="3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符合性审查</w:t>
            </w:r>
          </w:p>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（商务技术文件）</w:t>
            </w:r>
          </w:p>
        </w:tc>
        <w:tc>
          <w:tcPr>
            <w:tcW w:w="6792"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（一）</w:t>
            </w:r>
            <w:r>
              <w:rPr>
                <w:rFonts w:hint="eastAsia" w:ascii="宋体" w:hAnsi="宋体" w:cs="宋体"/>
                <w:color w:val="auto"/>
                <w:szCs w:val="21"/>
                <w:highlight w:val="none"/>
                <w:lang w:bidi="ar"/>
              </w:rPr>
              <w:t>投标文件按照招标文件要求签署、盖章。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80" w:lineRule="exact"/>
              <w:jc w:val="center"/>
              <w:rPr>
                <w:rFonts w:ascii="宋体" w:hAnsi="宋体" w:cs="宋体"/>
                <w:color w:val="auto"/>
                <w:kern w:val="0"/>
                <w:szCs w:val="21"/>
                <w:highlight w:val="none"/>
              </w:rPr>
            </w:pPr>
          </w:p>
        </w:tc>
        <w:tc>
          <w:tcPr>
            <w:tcW w:w="6792"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（二）</w:t>
            </w:r>
            <w:r>
              <w:rPr>
                <w:rFonts w:hint="eastAsia" w:ascii="宋体" w:hAnsi="宋体" w:cs="宋体"/>
                <w:color w:val="auto"/>
                <w:szCs w:val="21"/>
                <w:highlight w:val="none"/>
                <w:lang w:bidi="ar"/>
              </w:rPr>
              <w:t>采购人拟采购的产品属于政府强制采购的节能产品品目清单范围的，投标人按招标文件要求提供国家确定的认证机构出具的、处于有效期之内的节能产品认证证书。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80" w:lineRule="exact"/>
              <w:jc w:val="center"/>
              <w:rPr>
                <w:rFonts w:ascii="宋体" w:hAnsi="宋体" w:cs="宋体"/>
                <w:color w:val="auto"/>
                <w:kern w:val="0"/>
                <w:szCs w:val="21"/>
                <w:highlight w:val="none"/>
              </w:rPr>
            </w:pPr>
          </w:p>
        </w:tc>
        <w:tc>
          <w:tcPr>
            <w:tcW w:w="6792"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color w:val="auto"/>
                <w:szCs w:val="21"/>
                <w:highlight w:val="none"/>
                <w:lang w:bidi="ar"/>
              </w:rPr>
              <w:t>投标文件中承诺的投标有效期不少于招标文件中载明的投标有效期。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80" w:lineRule="exact"/>
              <w:jc w:val="center"/>
              <w:rPr>
                <w:rFonts w:ascii="宋体" w:hAnsi="宋体" w:cs="宋体"/>
                <w:color w:val="auto"/>
                <w:kern w:val="0"/>
                <w:szCs w:val="21"/>
                <w:highlight w:val="none"/>
              </w:rPr>
            </w:pPr>
          </w:p>
        </w:tc>
        <w:tc>
          <w:tcPr>
            <w:tcW w:w="6792"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（四）</w:t>
            </w:r>
            <w:r>
              <w:rPr>
                <w:rFonts w:hint="eastAsia" w:ascii="宋体" w:hAnsi="宋体" w:cs="宋体"/>
                <w:color w:val="auto"/>
                <w:szCs w:val="21"/>
                <w:highlight w:val="none"/>
                <w:lang w:bidi="ar"/>
              </w:rPr>
              <w:t>投标文件满足招标文件的其它实质性要求。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80" w:lineRule="exact"/>
              <w:jc w:val="center"/>
              <w:rPr>
                <w:rFonts w:ascii="宋体" w:hAnsi="宋体" w:cs="宋体"/>
                <w:color w:val="auto"/>
                <w:kern w:val="0"/>
                <w:szCs w:val="21"/>
                <w:highlight w:val="none"/>
              </w:rPr>
            </w:pPr>
          </w:p>
        </w:tc>
        <w:tc>
          <w:tcPr>
            <w:tcW w:w="6792" w:type="dxa"/>
            <w:vAlign w:val="center"/>
          </w:tcPr>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w:t>
            </w:r>
            <w:r>
              <w:rPr>
                <w:rFonts w:hint="eastAsia" w:ascii="宋体" w:hAnsi="宋体" w:cs="宋体"/>
                <w:bCs/>
                <w:color w:val="auto"/>
                <w:szCs w:val="21"/>
                <w:highlight w:val="none"/>
                <w:lang w:bidi="ar"/>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80" w:lineRule="exact"/>
              <w:jc w:val="center"/>
              <w:rPr>
                <w:rFonts w:ascii="宋体" w:hAnsi="宋体" w:cs="宋体"/>
                <w:color w:val="auto"/>
                <w:kern w:val="0"/>
                <w:szCs w:val="21"/>
                <w:highlight w:val="none"/>
              </w:rPr>
            </w:pPr>
          </w:p>
        </w:tc>
        <w:tc>
          <w:tcPr>
            <w:tcW w:w="6792" w:type="dxa"/>
            <w:vAlign w:val="center"/>
          </w:tcPr>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w:t>
            </w:r>
            <w:r>
              <w:rPr>
                <w:rFonts w:hint="eastAsia" w:ascii="宋体" w:hAnsi="宋体" w:cs="宋体"/>
                <w:bCs/>
                <w:color w:val="auto"/>
                <w:szCs w:val="21"/>
                <w:highlight w:val="none"/>
                <w:lang w:bidi="ar"/>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3" w:type="dxa"/>
            <w:vMerge w:val="restart"/>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符合性审查</w:t>
            </w:r>
          </w:p>
          <w:p>
            <w:pPr>
              <w:widowControl/>
              <w:spacing w:line="380" w:lineRule="exact"/>
              <w:ind w:firstLine="210" w:firstLineChars="100"/>
              <w:jc w:val="center"/>
              <w:rPr>
                <w:rFonts w:ascii="宋体" w:hAnsi="宋体" w:cs="宋体"/>
                <w:color w:val="auto"/>
                <w:kern w:val="0"/>
                <w:szCs w:val="21"/>
                <w:highlight w:val="none"/>
              </w:rPr>
            </w:pPr>
            <w:r>
              <w:rPr>
                <w:rFonts w:hint="eastAsia" w:ascii="宋体" w:hAnsi="宋体" w:cs="宋体"/>
                <w:color w:val="auto"/>
                <w:kern w:val="0"/>
                <w:szCs w:val="21"/>
                <w:highlight w:val="none"/>
              </w:rPr>
              <w:t>（报价文件）</w:t>
            </w: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80" w:lineRule="exact"/>
              <w:ind w:firstLine="210" w:firstLineChars="100"/>
              <w:jc w:val="left"/>
              <w:rPr>
                <w:rFonts w:ascii="宋体" w:hAnsi="宋体" w:cs="宋体"/>
                <w:color w:val="auto"/>
                <w:kern w:val="0"/>
                <w:szCs w:val="21"/>
                <w:highlight w:val="none"/>
              </w:rPr>
            </w:pPr>
          </w:p>
        </w:tc>
        <w:tc>
          <w:tcPr>
            <w:tcW w:w="6792" w:type="dxa"/>
            <w:vAlign w:val="center"/>
          </w:tcPr>
          <w:p>
            <w:pPr>
              <w:widowControl/>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（九）不存在法律、法规和采购文件规定的其他无效情形；</w:t>
            </w:r>
          </w:p>
        </w:tc>
      </w:tr>
      <w:bookmarkEnd w:id="52"/>
      <w:bookmarkEnd w:id="53"/>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（三）投标无效的情形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撤销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widowControl/>
        <w:spacing w:line="360" w:lineRule="auto"/>
        <w:ind w:firstLine="422" w:firstLineChars="200"/>
        <w:rPr>
          <w:rFonts w:ascii="宋体" w:hAnsi="宋体" w:cs="宋体"/>
          <w:color w:val="auto"/>
          <w:highlight w:val="none"/>
        </w:rPr>
      </w:pPr>
      <w:r>
        <w:rPr>
          <w:rFonts w:hint="eastAsia" w:ascii="宋体" w:hAnsi="宋体" w:cs="宋体"/>
          <w:b/>
          <w:bCs/>
          <w:color w:val="auto"/>
          <w:szCs w:val="21"/>
          <w:highlight w:val="none"/>
        </w:rPr>
        <w:t>★上传投标文件同一网卡地址、同一IP地址的为无效标。</w:t>
      </w:r>
    </w:p>
    <w:p>
      <w:pPr>
        <w:widowControl/>
        <w:numPr>
          <w:ilvl w:val="0"/>
          <w:numId w:val="18"/>
        </w:numPr>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1、资格证明文件不全的或者不符合采购文件标明的资格要求的；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提交投标函或投标函内容不符合采购文件要求；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2、未按照采购文件“第三章  供应商须知”、“第六章 投标文件格式”规定要求签署或盖章；</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6、投标文件的实质性内容未使用中文表述、意思表述不明确、前后矛盾或者使用计量单位不符合采购文件要求的（经评标委员会认定并允许其当场更正的笔误除外）；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7、带“★”的条款不能满足采购文件要求、未实质性响应采购文件要求或者投标文件有采购人不能接受的附加条件的；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8、投标技术方案不明确，存在一个或一个以上备选（替代）投标方案的；</w:t>
      </w:r>
    </w:p>
    <w:p>
      <w:pPr>
        <w:widowControl/>
        <w:spacing w:line="36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9、商务技术文件中出现报价或单价的；</w:t>
      </w:r>
    </w:p>
    <w:p>
      <w:pPr>
        <w:widowControl/>
        <w:spacing w:line="36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10、法律、法规和采购文件规定的其他无效情形；</w:t>
      </w:r>
    </w:p>
    <w:p>
      <w:pPr>
        <w:widowControl/>
        <w:spacing w:line="36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11、投标文件的有效期不满足采购文件要求。</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1、未按照采购文件规定（明确要求加盖公章、“第六章 投标文件格式”）要求签署或盖章；</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3、未采用人民币报价或者未按照采购文件标明的币种报价的；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9、法律、法规和采购文件规定的其他无效情形</w:t>
      </w:r>
      <w:r>
        <w:rPr>
          <w:rFonts w:hint="eastAsia" w:ascii="宋体" w:hAnsi="宋体" w:cs="宋体"/>
          <w:color w:val="auto"/>
          <w:kern w:val="1"/>
          <w:szCs w:val="21"/>
          <w:highlight w:val="none"/>
        </w:rPr>
        <w:t>。</w:t>
      </w:r>
    </w:p>
    <w:p>
      <w:pPr>
        <w:spacing w:line="360" w:lineRule="exact"/>
        <w:rPr>
          <w:rFonts w:ascii="宋体" w:hAnsi="宋体" w:cs="宋体"/>
          <w:b/>
          <w:color w:val="auto"/>
          <w:szCs w:val="21"/>
          <w:highlight w:val="none"/>
        </w:rPr>
      </w:pP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（四）评分标准</w:t>
      </w:r>
    </w:p>
    <w:tbl>
      <w:tblPr>
        <w:tblStyle w:val="47"/>
        <w:tblW w:w="9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0"/>
        <w:gridCol w:w="1009"/>
        <w:gridCol w:w="5278"/>
        <w:gridCol w:w="654"/>
        <w:gridCol w:w="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75" w:type="dxa"/>
            <w:gridSpan w:val="4"/>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65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65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8"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报价</w:t>
            </w:r>
            <w:r>
              <w:rPr>
                <w:rFonts w:hint="eastAsia" w:ascii="宋体" w:hAnsi="宋体" w:cs="宋体"/>
                <w:color w:val="auto"/>
                <w:szCs w:val="21"/>
                <w:highlight w:val="none"/>
              </w:rPr>
              <w:t>得分（10</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p>
        </w:tc>
        <w:tc>
          <w:tcPr>
            <w:tcW w:w="7297" w:type="dxa"/>
            <w:gridSpan w:val="3"/>
            <w:vAlign w:val="center"/>
          </w:tcPr>
          <w:p>
            <w:pPr>
              <w:adjustRightInd w:val="0"/>
              <w:textAlignment w:val="baseline"/>
              <w:rPr>
                <w:rFonts w:ascii="宋体" w:hAnsi="宋体" w:cs="宋体"/>
                <w:color w:val="auto"/>
                <w:kern w:val="0"/>
                <w:szCs w:val="20"/>
                <w:highlight w:val="none"/>
                <w:lang w:val="zh-CN"/>
              </w:rPr>
            </w:pPr>
            <w:r>
              <w:rPr>
                <w:rFonts w:hint="eastAsia" w:ascii="宋体" w:hAnsi="宋体" w:cs="宋体"/>
                <w:color w:val="auto"/>
                <w:kern w:val="0"/>
                <w:szCs w:val="20"/>
                <w:highlight w:val="none"/>
              </w:rPr>
              <w:t>1）</w:t>
            </w:r>
            <w:r>
              <w:rPr>
                <w:rFonts w:hint="eastAsia" w:ascii="宋体" w:hAnsi="宋体" w:cs="宋体"/>
                <w:color w:val="auto"/>
                <w:kern w:val="0"/>
                <w:szCs w:val="20"/>
                <w:highlight w:val="none"/>
                <w:lang w:val="zh-CN"/>
              </w:rPr>
              <w:t>评标基准价指的是满足采购文件要求且最低的参与评审的价格。</w:t>
            </w:r>
          </w:p>
          <w:p>
            <w:pPr>
              <w:adjustRightInd w:val="0"/>
              <w:textAlignment w:val="baseline"/>
              <w:rPr>
                <w:rFonts w:ascii="宋体" w:hAnsi="宋体" w:cs="宋体"/>
                <w:color w:val="auto"/>
                <w:kern w:val="0"/>
                <w:szCs w:val="20"/>
                <w:highlight w:val="none"/>
                <w:lang w:val="zh-CN"/>
              </w:rPr>
            </w:pPr>
            <w:r>
              <w:rPr>
                <w:rFonts w:hint="eastAsia" w:ascii="宋体" w:hAnsi="宋体" w:cs="宋体"/>
                <w:color w:val="auto"/>
                <w:kern w:val="0"/>
                <w:szCs w:val="20"/>
                <w:highlight w:val="none"/>
              </w:rPr>
              <w:t>2）</w:t>
            </w:r>
            <w:r>
              <w:rPr>
                <w:rFonts w:hint="eastAsia" w:ascii="宋体" w:hAnsi="宋体" w:cs="宋体"/>
                <w:color w:val="auto"/>
                <w:kern w:val="0"/>
                <w:szCs w:val="20"/>
                <w:highlight w:val="none"/>
                <w:lang w:val="zh-CN"/>
              </w:rPr>
              <w:t>参与评审的价格=投标报价-小微企业价格扣除优惠值（如有）。</w:t>
            </w:r>
          </w:p>
          <w:p>
            <w:pPr>
              <w:adjustRightInd w:val="0"/>
              <w:textAlignment w:val="baseline"/>
              <w:rPr>
                <w:rFonts w:ascii="宋体" w:hAnsi="宋体" w:cs="宋体"/>
                <w:color w:val="auto"/>
                <w:kern w:val="0"/>
                <w:szCs w:val="20"/>
                <w:highlight w:val="none"/>
                <w:lang w:val="zh-CN"/>
              </w:rPr>
            </w:pPr>
            <w:r>
              <w:rPr>
                <w:rFonts w:hint="eastAsia" w:ascii="宋体" w:hAnsi="宋体" w:cs="宋体"/>
                <w:color w:val="auto"/>
                <w:kern w:val="0"/>
                <w:szCs w:val="20"/>
                <w:highlight w:val="none"/>
              </w:rPr>
              <w:t>3）</w:t>
            </w:r>
            <w:r>
              <w:rPr>
                <w:rFonts w:hint="eastAsia" w:ascii="宋体" w:hAnsi="宋体" w:cs="宋体"/>
                <w:color w:val="auto"/>
                <w:kern w:val="0"/>
                <w:szCs w:val="20"/>
                <w:highlight w:val="none"/>
                <w:lang w:val="zh-CN"/>
              </w:rPr>
              <w:t>参与评审的价格为评标基准价的其价格得分得满分</w:t>
            </w:r>
            <w:r>
              <w:rPr>
                <w:rFonts w:hint="eastAsia" w:ascii="宋体" w:hAnsi="宋体" w:cs="宋体"/>
                <w:color w:val="auto"/>
                <w:kern w:val="0"/>
                <w:szCs w:val="20"/>
                <w:highlight w:val="none"/>
              </w:rPr>
              <w:t>10</w:t>
            </w:r>
            <w:r>
              <w:rPr>
                <w:rFonts w:hint="eastAsia" w:ascii="宋体" w:hAnsi="宋体" w:cs="宋体"/>
                <w:color w:val="auto"/>
                <w:kern w:val="0"/>
                <w:szCs w:val="20"/>
                <w:highlight w:val="none"/>
                <w:lang w:val="zh-CN"/>
              </w:rPr>
              <w:t>分。</w:t>
            </w:r>
          </w:p>
          <w:p>
            <w:pPr>
              <w:jc w:val="left"/>
              <w:rPr>
                <w:rFonts w:ascii="宋体" w:hAnsi="宋体" w:cs="宋体"/>
                <w:color w:val="auto"/>
                <w:szCs w:val="21"/>
                <w:highlight w:val="none"/>
                <w:lang w:val="zh-CN"/>
              </w:rPr>
            </w:pPr>
            <w:r>
              <w:rPr>
                <w:rFonts w:hint="eastAsia" w:ascii="宋体" w:hAnsi="宋体" w:cs="宋体"/>
                <w:color w:val="auto"/>
                <w:kern w:val="0"/>
                <w:szCs w:val="20"/>
                <w:highlight w:val="none"/>
              </w:rPr>
              <w:t>4）</w:t>
            </w:r>
            <w:r>
              <w:rPr>
                <w:rFonts w:hint="eastAsia" w:ascii="宋体" w:hAnsi="宋体" w:cs="宋体"/>
                <w:color w:val="auto"/>
                <w:kern w:val="0"/>
                <w:szCs w:val="20"/>
                <w:highlight w:val="none"/>
                <w:lang w:val="zh-CN"/>
              </w:rPr>
              <w:t>其他供应商价格得分按照下列公式计算：价格得分=（评标基准价/各供应商参与评审的价格）×</w:t>
            </w:r>
            <w:r>
              <w:rPr>
                <w:rFonts w:hint="eastAsia" w:ascii="宋体" w:hAnsi="宋体" w:cs="宋体"/>
                <w:color w:val="auto"/>
                <w:kern w:val="0"/>
                <w:szCs w:val="20"/>
                <w:highlight w:val="none"/>
              </w:rPr>
              <w:t>10</w:t>
            </w:r>
            <w:r>
              <w:rPr>
                <w:rFonts w:hint="eastAsia" w:ascii="宋体" w:hAnsi="宋体" w:cs="宋体"/>
                <w:color w:val="auto"/>
                <w:kern w:val="0"/>
                <w:szCs w:val="20"/>
                <w:highlight w:val="none"/>
                <w:lang w:val="zh-CN"/>
              </w:rPr>
              <w:t>％×100。</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客观评审项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商务技术得分</w:t>
            </w:r>
          </w:p>
          <w:p>
            <w:pPr>
              <w:jc w:val="center"/>
              <w:rPr>
                <w:rFonts w:ascii="宋体" w:hAnsi="宋体" w:cs="宋体"/>
                <w:color w:val="auto"/>
                <w:szCs w:val="21"/>
                <w:highlight w:val="none"/>
              </w:rPr>
            </w:pPr>
            <w:r>
              <w:rPr>
                <w:rFonts w:hint="eastAsia" w:ascii="宋体" w:hAnsi="宋体" w:cs="宋体"/>
                <w:color w:val="auto"/>
                <w:szCs w:val="21"/>
                <w:highlight w:val="none"/>
              </w:rPr>
              <w:t>（90分）</w:t>
            </w:r>
          </w:p>
        </w:tc>
        <w:tc>
          <w:tcPr>
            <w:tcW w:w="7297" w:type="dxa"/>
            <w:gridSpan w:val="3"/>
            <w:vAlign w:val="center"/>
          </w:tcPr>
          <w:p>
            <w:pPr>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技术及商务响应（</w:t>
            </w:r>
            <w:r>
              <w:rPr>
                <w:rFonts w:hint="eastAsia" w:ascii="宋体" w:hAnsi="宋体" w:cs="宋体"/>
                <w:color w:val="auto"/>
                <w:szCs w:val="21"/>
                <w:highlight w:val="none"/>
              </w:rPr>
              <w:t>20</w:t>
            </w:r>
            <w:r>
              <w:rPr>
                <w:rFonts w:hint="eastAsia" w:ascii="宋体" w:hAnsi="宋体" w:cs="宋体"/>
                <w:color w:val="auto"/>
                <w:szCs w:val="21"/>
                <w:highlight w:val="none"/>
                <w:lang w:val="zh-CN"/>
              </w:rPr>
              <w:t>分）：</w:t>
            </w:r>
            <w:r>
              <w:rPr>
                <w:rFonts w:hint="eastAsia" w:ascii="宋体" w:hAnsi="宋体" w:cs="宋体"/>
                <w:color w:val="auto"/>
                <w:szCs w:val="21"/>
                <w:highlight w:val="none"/>
              </w:rPr>
              <w:t>供应商根据“第二章 采购需求 一、重要商务要求一览表和三、主要技术（服务）要求”的内容进行逐条响应，标注“★”的条款</w:t>
            </w:r>
            <w:r>
              <w:rPr>
                <w:rFonts w:hint="eastAsia" w:ascii="宋体" w:hAnsi="宋体" w:cs="宋体"/>
                <w:color w:val="auto"/>
                <w:szCs w:val="21"/>
                <w:highlight w:val="none"/>
                <w:lang w:val="zh-CN"/>
              </w:rPr>
              <w:t>每</w:t>
            </w:r>
            <w:r>
              <w:rPr>
                <w:rFonts w:hint="eastAsia" w:ascii="宋体" w:hAnsi="宋体" w:cs="宋体"/>
                <w:color w:val="auto"/>
                <w:szCs w:val="21"/>
                <w:highlight w:val="none"/>
              </w:rPr>
              <w:t>负</w:t>
            </w:r>
            <w:r>
              <w:rPr>
                <w:rFonts w:hint="eastAsia" w:ascii="宋体" w:hAnsi="宋体" w:cs="宋体"/>
                <w:color w:val="auto"/>
                <w:szCs w:val="21"/>
                <w:highlight w:val="none"/>
                <w:lang w:val="zh-CN"/>
              </w:rPr>
              <w:t>偏离或未响应一项条款</w:t>
            </w:r>
            <w:r>
              <w:rPr>
                <w:rFonts w:hint="eastAsia" w:ascii="宋体" w:hAnsi="宋体" w:cs="宋体"/>
                <w:color w:val="auto"/>
                <w:szCs w:val="21"/>
                <w:highlight w:val="none"/>
              </w:rPr>
              <w:t>作无效投标处理；未标注“★”的条款</w:t>
            </w:r>
            <w:r>
              <w:rPr>
                <w:rFonts w:hint="eastAsia" w:ascii="宋体" w:hAnsi="宋体" w:cs="宋体"/>
                <w:color w:val="auto"/>
                <w:szCs w:val="21"/>
                <w:highlight w:val="none"/>
                <w:lang w:val="zh-CN"/>
              </w:rPr>
              <w:t>每</w:t>
            </w:r>
            <w:r>
              <w:rPr>
                <w:rFonts w:hint="eastAsia" w:ascii="宋体" w:hAnsi="宋体" w:cs="宋体"/>
                <w:color w:val="auto"/>
                <w:szCs w:val="21"/>
                <w:highlight w:val="none"/>
              </w:rPr>
              <w:t>负</w:t>
            </w:r>
            <w:r>
              <w:rPr>
                <w:rFonts w:hint="eastAsia" w:ascii="宋体" w:hAnsi="宋体" w:cs="宋体"/>
                <w:color w:val="auto"/>
                <w:szCs w:val="21"/>
                <w:highlight w:val="none"/>
                <w:lang w:val="zh-CN"/>
              </w:rPr>
              <w:t>偏离或未响应一项条款扣</w:t>
            </w:r>
            <w:r>
              <w:rPr>
                <w:rFonts w:hint="eastAsia" w:ascii="宋体" w:hAnsi="宋体" w:cs="宋体"/>
                <w:color w:val="auto"/>
                <w:szCs w:val="21"/>
                <w:highlight w:val="none"/>
              </w:rPr>
              <w:t>2</w:t>
            </w:r>
            <w:r>
              <w:rPr>
                <w:rFonts w:hint="eastAsia" w:ascii="宋体" w:hAnsi="宋体" w:cs="宋体"/>
                <w:color w:val="auto"/>
                <w:szCs w:val="21"/>
                <w:highlight w:val="none"/>
                <w:lang w:val="zh-CN"/>
              </w:rPr>
              <w:t>分，</w:t>
            </w:r>
            <w:r>
              <w:rPr>
                <w:rFonts w:hint="eastAsia" w:ascii="宋体" w:hAnsi="宋体" w:cs="宋体"/>
                <w:color w:val="auto"/>
                <w:szCs w:val="21"/>
                <w:highlight w:val="none"/>
              </w:rPr>
              <w:t>扣至零分的将对其作无效投标处理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客观评审项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restart"/>
            <w:vAlign w:val="center"/>
          </w:tcPr>
          <w:p>
            <w:pPr>
              <w:jc w:val="left"/>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、实施方案（</w:t>
            </w:r>
            <w:r>
              <w:rPr>
                <w:rFonts w:hint="eastAsia" w:ascii="宋体" w:hAnsi="宋体" w:cs="宋体"/>
                <w:color w:val="auto"/>
                <w:szCs w:val="21"/>
                <w:highlight w:val="none"/>
              </w:rPr>
              <w:t>40</w:t>
            </w:r>
            <w:r>
              <w:rPr>
                <w:rFonts w:hint="eastAsia" w:ascii="宋体" w:hAnsi="宋体" w:cs="宋体"/>
                <w:color w:val="auto"/>
                <w:szCs w:val="21"/>
                <w:highlight w:val="none"/>
                <w:lang w:val="zh-CN"/>
              </w:rPr>
              <w:t>分）</w:t>
            </w:r>
          </w:p>
        </w:tc>
        <w:tc>
          <w:tcPr>
            <w:tcW w:w="1009" w:type="dxa"/>
            <w:vMerge w:val="restart"/>
            <w:vAlign w:val="center"/>
          </w:tcPr>
          <w:p>
            <w:pPr>
              <w:jc w:val="left"/>
              <w:rPr>
                <w:rFonts w:ascii="宋体" w:hAnsi="宋体" w:cs="宋体"/>
                <w:color w:val="auto"/>
                <w:szCs w:val="21"/>
                <w:highlight w:val="none"/>
              </w:rPr>
            </w:pPr>
            <w:r>
              <w:rPr>
                <w:rFonts w:hint="eastAsia"/>
                <w:color w:val="auto"/>
                <w:highlight w:val="none"/>
              </w:rPr>
              <w:t>广播级滚动播出视频短片系列</w:t>
            </w:r>
            <w:r>
              <w:rPr>
                <w:rFonts w:hint="eastAsia" w:ascii="宋体" w:hAnsi="宋体" w:cs="宋体"/>
                <w:color w:val="auto"/>
                <w:szCs w:val="21"/>
                <w:highlight w:val="none"/>
                <w:lang w:val="zh-CN"/>
              </w:rPr>
              <w:t>（</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cs="宋体"/>
                <w:color w:val="auto"/>
                <w:szCs w:val="21"/>
                <w:highlight w:val="none"/>
              </w:rPr>
              <w:t>针对</w:t>
            </w:r>
            <w:r>
              <w:rPr>
                <w:rFonts w:hint="eastAsia"/>
                <w:color w:val="auto"/>
                <w:highlight w:val="none"/>
              </w:rPr>
              <w:t>广播级滚动播出视频短片的</w:t>
            </w:r>
            <w:r>
              <w:rPr>
                <w:rFonts w:hint="eastAsia" w:ascii="宋体" w:hAnsi="宋体"/>
                <w:color w:val="auto"/>
                <w:kern w:val="1"/>
                <w:szCs w:val="21"/>
                <w:highlight w:val="none"/>
              </w:rPr>
              <w:t>制作方案（素材归类、编辑、艺术化处理、制作等）</w:t>
            </w:r>
            <w:r>
              <w:rPr>
                <w:rFonts w:hint="eastAsia" w:ascii="宋体" w:hAnsi="宋体" w:cs="宋体"/>
                <w:color w:val="auto"/>
                <w:szCs w:val="21"/>
                <w:highlight w:val="none"/>
              </w:rPr>
              <w:t>是否专业、合理</w:t>
            </w:r>
            <w:r>
              <w:rPr>
                <w:rFonts w:hint="eastAsia" w:ascii="宋体" w:hAnsi="宋体" w:cs="宋体"/>
                <w:color w:val="auto"/>
                <w:szCs w:val="21"/>
                <w:highlight w:val="none"/>
                <w:lang w:val="zh-CN"/>
              </w:rPr>
              <w:t>，</w:t>
            </w:r>
            <w:r>
              <w:rPr>
                <w:rFonts w:hint="eastAsia"/>
                <w:color w:val="auto"/>
                <w:highlight w:val="none"/>
              </w:rPr>
              <w:t>短片系列</w:t>
            </w:r>
            <w:r>
              <w:rPr>
                <w:rFonts w:hint="eastAsia" w:ascii="宋体" w:hAnsi="宋体" w:cs="宋体"/>
                <w:color w:val="auto"/>
                <w:highlight w:val="none"/>
              </w:rPr>
              <w:t>欠专业、欠合理的每项扣0.5分，不专业、不合理的每项扣1分，扣至零分为止，最高得5分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lang w:val="zh-CN"/>
              </w:rPr>
            </w:pPr>
          </w:p>
        </w:tc>
        <w:tc>
          <w:tcPr>
            <w:tcW w:w="1009" w:type="dxa"/>
            <w:vMerge w:val="continue"/>
            <w:vAlign w:val="center"/>
          </w:tcPr>
          <w:p>
            <w:pPr>
              <w:jc w:val="left"/>
              <w:rPr>
                <w:rFonts w:ascii="宋体" w:hAnsi="宋体" w:cs="宋体"/>
                <w:color w:val="auto"/>
                <w:szCs w:val="21"/>
                <w:highlight w:val="none"/>
              </w:rPr>
            </w:pP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）针对</w:t>
            </w:r>
            <w:r>
              <w:rPr>
                <w:rFonts w:hint="eastAsia"/>
                <w:color w:val="auto"/>
                <w:highlight w:val="none"/>
              </w:rPr>
              <w:t>广播级滚动播出视频短片的播出</w:t>
            </w:r>
            <w:r>
              <w:rPr>
                <w:rFonts w:hint="eastAsia" w:ascii="宋体" w:hAnsi="宋体"/>
                <w:color w:val="auto"/>
                <w:kern w:val="1"/>
                <w:szCs w:val="21"/>
                <w:highlight w:val="none"/>
              </w:rPr>
              <w:t>推广方案（主流媒体和新媒体平台传播能力、资源储备、播出计划）</w:t>
            </w:r>
            <w:r>
              <w:rPr>
                <w:rFonts w:hint="eastAsia" w:ascii="宋体" w:hAnsi="宋体" w:cs="宋体"/>
                <w:color w:val="auto"/>
                <w:szCs w:val="21"/>
                <w:highlight w:val="none"/>
              </w:rPr>
              <w:t>是否可行、具备传播性</w:t>
            </w:r>
            <w:r>
              <w:rPr>
                <w:rFonts w:hint="eastAsia" w:ascii="宋体" w:hAnsi="宋体" w:cs="宋体"/>
                <w:color w:val="auto"/>
                <w:szCs w:val="21"/>
                <w:highlight w:val="none"/>
                <w:lang w:val="zh-CN"/>
              </w:rPr>
              <w:t>，</w:t>
            </w:r>
            <w:r>
              <w:rPr>
                <w:rFonts w:hint="eastAsia"/>
                <w:color w:val="auto"/>
                <w:highlight w:val="none"/>
              </w:rPr>
              <w:t>播出</w:t>
            </w:r>
            <w:r>
              <w:rPr>
                <w:rFonts w:hint="eastAsia" w:ascii="宋体" w:hAnsi="宋体" w:cs="宋体"/>
                <w:color w:val="auto"/>
                <w:highlight w:val="none"/>
              </w:rPr>
              <w:t>欠可行、</w:t>
            </w:r>
            <w:r>
              <w:rPr>
                <w:rFonts w:hint="eastAsia" w:ascii="宋体" w:hAnsi="宋体" w:cs="宋体"/>
                <w:color w:val="auto"/>
                <w:szCs w:val="21"/>
                <w:highlight w:val="none"/>
              </w:rPr>
              <w:t>传播性不足</w:t>
            </w:r>
            <w:r>
              <w:rPr>
                <w:rFonts w:hint="eastAsia" w:ascii="宋体" w:hAnsi="宋体" w:cs="宋体"/>
                <w:color w:val="auto"/>
                <w:highlight w:val="none"/>
              </w:rPr>
              <w:t>的每项扣0.5分，不可行、无传播性的每项扣1分，扣至零分为止，最高得5分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rPr>
            </w:pPr>
          </w:p>
        </w:tc>
        <w:tc>
          <w:tcPr>
            <w:tcW w:w="1009" w:type="dxa"/>
            <w:vMerge w:val="restart"/>
            <w:vAlign w:val="center"/>
          </w:tcPr>
          <w:p>
            <w:pPr>
              <w:jc w:val="left"/>
              <w:rPr>
                <w:rFonts w:ascii="宋体" w:hAnsi="宋体" w:cs="宋体"/>
                <w:color w:val="auto"/>
                <w:szCs w:val="21"/>
                <w:highlight w:val="none"/>
              </w:rPr>
            </w:pPr>
            <w:r>
              <w:rPr>
                <w:rFonts w:hint="eastAsia" w:ascii="宋体" w:hAnsi="宋体" w:cs="宋体"/>
                <w:color w:val="auto"/>
                <w:szCs w:val="21"/>
                <w:highlight w:val="none"/>
              </w:rPr>
              <w:t>专题访谈、短视频访谈</w:t>
            </w:r>
            <w:r>
              <w:rPr>
                <w:rFonts w:hint="eastAsia" w:ascii="宋体" w:hAnsi="宋体" w:cs="宋体"/>
                <w:color w:val="auto"/>
                <w:szCs w:val="21"/>
                <w:highlight w:val="none"/>
                <w:lang w:val="zh-CN"/>
              </w:rPr>
              <w:t>（</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）根据</w:t>
            </w:r>
            <w:r>
              <w:rPr>
                <w:rFonts w:hint="eastAsia" w:ascii="宋体" w:hAnsi="宋体" w:cs="宋体"/>
                <w:color w:val="auto"/>
                <w:szCs w:val="21"/>
                <w:highlight w:val="none"/>
              </w:rPr>
              <w:t>专题访谈、短视频访谈策划方案（人员邀请、访谈内容、制作等）是否专业、合理</w:t>
            </w:r>
            <w:r>
              <w:rPr>
                <w:rFonts w:hint="eastAsia" w:ascii="宋体" w:hAnsi="宋体" w:cs="宋体"/>
                <w:color w:val="auto"/>
                <w:szCs w:val="21"/>
                <w:highlight w:val="none"/>
                <w:lang w:val="zh-CN"/>
              </w:rPr>
              <w:t>，专题访谈</w:t>
            </w:r>
            <w:r>
              <w:rPr>
                <w:rFonts w:hint="eastAsia" w:ascii="宋体" w:hAnsi="宋体" w:cs="宋体"/>
                <w:color w:val="auto"/>
                <w:szCs w:val="21"/>
                <w:highlight w:val="none"/>
              </w:rPr>
              <w:t>策划</w:t>
            </w:r>
            <w:r>
              <w:rPr>
                <w:rFonts w:hint="eastAsia" w:ascii="宋体" w:hAnsi="宋体" w:cs="宋体"/>
                <w:color w:val="auto"/>
                <w:highlight w:val="none"/>
              </w:rPr>
              <w:t>欠专业、欠合理的每项扣0.5分，不专业、不合理的每项扣1分，扣至零分为止，最高得5分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rPr>
            </w:pPr>
          </w:p>
        </w:tc>
        <w:tc>
          <w:tcPr>
            <w:tcW w:w="1009" w:type="dxa"/>
            <w:vMerge w:val="continue"/>
            <w:vAlign w:val="center"/>
          </w:tcPr>
          <w:p>
            <w:pPr>
              <w:jc w:val="left"/>
              <w:rPr>
                <w:rFonts w:ascii="宋体" w:hAnsi="宋体" w:cs="宋体"/>
                <w:color w:val="auto"/>
                <w:szCs w:val="21"/>
                <w:highlight w:val="none"/>
              </w:rPr>
            </w:pP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）根据</w:t>
            </w:r>
            <w:r>
              <w:rPr>
                <w:rFonts w:hint="eastAsia" w:ascii="宋体" w:hAnsi="宋体" w:cs="宋体"/>
                <w:color w:val="auto"/>
                <w:szCs w:val="21"/>
                <w:highlight w:val="none"/>
              </w:rPr>
              <w:t>专题访谈、短视频访谈</w:t>
            </w:r>
            <w:r>
              <w:rPr>
                <w:rFonts w:hint="eastAsia"/>
                <w:color w:val="auto"/>
                <w:highlight w:val="none"/>
              </w:rPr>
              <w:t>播出推广方案（主流媒体和新媒体平台传播能力、资源储备、播出计划）</w:t>
            </w:r>
            <w:r>
              <w:rPr>
                <w:rFonts w:hint="eastAsia" w:ascii="宋体" w:hAnsi="宋体" w:cs="宋体"/>
                <w:color w:val="auto"/>
                <w:szCs w:val="21"/>
                <w:highlight w:val="none"/>
              </w:rPr>
              <w:t>是否可行、具备传播性</w:t>
            </w:r>
            <w:r>
              <w:rPr>
                <w:rFonts w:hint="eastAsia" w:ascii="宋体" w:hAnsi="宋体" w:cs="宋体"/>
                <w:color w:val="auto"/>
                <w:szCs w:val="21"/>
                <w:highlight w:val="none"/>
                <w:lang w:val="zh-CN"/>
              </w:rPr>
              <w:t>，</w:t>
            </w:r>
            <w:r>
              <w:rPr>
                <w:rFonts w:hint="eastAsia"/>
                <w:color w:val="auto"/>
                <w:highlight w:val="none"/>
              </w:rPr>
              <w:t>播出</w:t>
            </w:r>
            <w:r>
              <w:rPr>
                <w:rFonts w:hint="eastAsia" w:ascii="宋体" w:hAnsi="宋体" w:cs="宋体"/>
                <w:color w:val="auto"/>
                <w:highlight w:val="none"/>
              </w:rPr>
              <w:t>欠可行、</w:t>
            </w:r>
            <w:r>
              <w:rPr>
                <w:rFonts w:hint="eastAsia" w:ascii="宋体" w:hAnsi="宋体" w:cs="宋体"/>
                <w:color w:val="auto"/>
                <w:szCs w:val="21"/>
                <w:highlight w:val="none"/>
              </w:rPr>
              <w:t>传播性</w:t>
            </w:r>
            <w:r>
              <w:rPr>
                <w:rFonts w:hint="eastAsia" w:ascii="宋体" w:hAnsi="宋体" w:cs="宋体"/>
                <w:color w:val="auto"/>
                <w:highlight w:val="none"/>
              </w:rPr>
              <w:t>不足的每项扣0.5分，不可行、无传播性的每项扣1分，扣至零分为止，最高得5分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rPr>
            </w:pPr>
          </w:p>
        </w:tc>
        <w:tc>
          <w:tcPr>
            <w:tcW w:w="1009" w:type="dxa"/>
            <w:vMerge w:val="restart"/>
            <w:vAlign w:val="center"/>
          </w:tcPr>
          <w:p>
            <w:pPr>
              <w:jc w:val="left"/>
              <w:rPr>
                <w:rFonts w:ascii="宋体" w:hAnsi="宋体" w:cs="宋体"/>
                <w:color w:val="auto"/>
                <w:szCs w:val="21"/>
                <w:highlight w:val="none"/>
              </w:rPr>
            </w:pPr>
            <w:r>
              <w:rPr>
                <w:rFonts w:hint="eastAsia"/>
                <w:color w:val="auto"/>
                <w:highlight w:val="none"/>
              </w:rPr>
              <w:t>短纪录片、微纪录片</w:t>
            </w:r>
            <w:r>
              <w:rPr>
                <w:rFonts w:hint="eastAsia" w:ascii="宋体" w:hAnsi="宋体" w:cs="宋体"/>
                <w:color w:val="auto"/>
                <w:szCs w:val="21"/>
                <w:highlight w:val="none"/>
                <w:lang w:val="zh-CN"/>
              </w:rPr>
              <w:t>（</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）根据</w:t>
            </w:r>
            <w:r>
              <w:rPr>
                <w:rFonts w:hint="eastAsia"/>
                <w:color w:val="auto"/>
                <w:highlight w:val="none"/>
              </w:rPr>
              <w:t>短纪录片、微纪录片</w:t>
            </w:r>
            <w:r>
              <w:rPr>
                <w:rFonts w:hint="eastAsia" w:ascii="宋体" w:hAnsi="宋体" w:cs="宋体"/>
                <w:color w:val="auto"/>
                <w:szCs w:val="21"/>
                <w:highlight w:val="none"/>
              </w:rPr>
              <w:t>制作方案（素材归类、编辑、艺术化处理、制作等）是否专业、合理</w:t>
            </w:r>
            <w:r>
              <w:rPr>
                <w:rFonts w:hint="eastAsia" w:ascii="宋体" w:hAnsi="宋体" w:cs="宋体"/>
                <w:color w:val="auto"/>
                <w:szCs w:val="21"/>
                <w:highlight w:val="none"/>
                <w:lang w:val="zh-CN"/>
              </w:rPr>
              <w:t>，</w:t>
            </w:r>
            <w:r>
              <w:rPr>
                <w:rFonts w:hint="eastAsia"/>
                <w:color w:val="auto"/>
                <w:highlight w:val="none"/>
              </w:rPr>
              <w:t>纪录片制作</w:t>
            </w:r>
            <w:r>
              <w:rPr>
                <w:rFonts w:hint="eastAsia" w:ascii="宋体" w:hAnsi="宋体" w:cs="宋体"/>
                <w:color w:val="auto"/>
                <w:highlight w:val="none"/>
              </w:rPr>
              <w:t>欠专业、欠合理的每项扣0.5分，不专业、不合理的每项扣1分，扣至零分为止，最高得5分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rPr>
            </w:pPr>
          </w:p>
        </w:tc>
        <w:tc>
          <w:tcPr>
            <w:tcW w:w="1009" w:type="dxa"/>
            <w:vMerge w:val="continue"/>
            <w:vAlign w:val="center"/>
          </w:tcPr>
          <w:p>
            <w:pPr>
              <w:jc w:val="left"/>
              <w:rPr>
                <w:rFonts w:ascii="宋体" w:hAnsi="宋体" w:cs="宋体"/>
                <w:color w:val="auto"/>
                <w:szCs w:val="21"/>
                <w:highlight w:val="none"/>
              </w:rPr>
            </w:pP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）根据</w:t>
            </w:r>
            <w:r>
              <w:rPr>
                <w:rFonts w:hint="eastAsia"/>
                <w:color w:val="auto"/>
                <w:highlight w:val="none"/>
              </w:rPr>
              <w:t>短纪录片、微纪录片播出推广方案（主流媒体和新媒体平台传播能力、资源储备、播出计划）</w:t>
            </w:r>
            <w:r>
              <w:rPr>
                <w:rFonts w:hint="eastAsia" w:ascii="宋体" w:hAnsi="宋体" w:cs="宋体"/>
                <w:color w:val="auto"/>
                <w:szCs w:val="21"/>
                <w:highlight w:val="none"/>
              </w:rPr>
              <w:t>是否可行、具备传播性</w:t>
            </w:r>
            <w:r>
              <w:rPr>
                <w:rFonts w:hint="eastAsia" w:ascii="宋体" w:hAnsi="宋体" w:cs="宋体"/>
                <w:color w:val="auto"/>
                <w:szCs w:val="21"/>
                <w:highlight w:val="none"/>
                <w:lang w:val="zh-CN"/>
              </w:rPr>
              <w:t>，</w:t>
            </w:r>
            <w:r>
              <w:rPr>
                <w:rFonts w:hint="eastAsia"/>
                <w:color w:val="auto"/>
                <w:highlight w:val="none"/>
              </w:rPr>
              <w:t>播出</w:t>
            </w:r>
            <w:r>
              <w:rPr>
                <w:rFonts w:hint="eastAsia" w:ascii="宋体" w:hAnsi="宋体" w:cs="宋体"/>
                <w:color w:val="auto"/>
                <w:highlight w:val="none"/>
              </w:rPr>
              <w:t>欠可行、</w:t>
            </w:r>
            <w:r>
              <w:rPr>
                <w:rFonts w:hint="eastAsia" w:ascii="宋体" w:hAnsi="宋体" w:cs="宋体"/>
                <w:color w:val="auto"/>
                <w:szCs w:val="21"/>
                <w:highlight w:val="none"/>
              </w:rPr>
              <w:t>传播性不足</w:t>
            </w:r>
            <w:r>
              <w:rPr>
                <w:rFonts w:hint="eastAsia" w:ascii="宋体" w:hAnsi="宋体" w:cs="宋体"/>
                <w:color w:val="auto"/>
                <w:highlight w:val="none"/>
              </w:rPr>
              <w:t>的每项扣0.5分，不可行、无传播性的每项扣1分，扣至零分为止，最高得5分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rPr>
            </w:pPr>
          </w:p>
        </w:tc>
        <w:tc>
          <w:tcPr>
            <w:tcW w:w="1009" w:type="dxa"/>
            <w:vMerge w:val="restart"/>
            <w:vAlign w:val="center"/>
          </w:tcPr>
          <w:p>
            <w:pPr>
              <w:jc w:val="left"/>
              <w:rPr>
                <w:rFonts w:ascii="宋体" w:hAnsi="宋体" w:cs="宋体"/>
                <w:color w:val="auto"/>
                <w:szCs w:val="21"/>
                <w:highlight w:val="none"/>
              </w:rPr>
            </w:pPr>
            <w:r>
              <w:rPr>
                <w:rFonts w:hint="eastAsia"/>
                <w:color w:val="auto"/>
                <w:highlight w:val="none"/>
              </w:rPr>
              <w:t>文化专题片、文化精品系列片</w:t>
            </w:r>
            <w:r>
              <w:rPr>
                <w:rFonts w:hint="eastAsia" w:ascii="宋体" w:hAnsi="宋体" w:cs="宋体"/>
                <w:color w:val="auto"/>
                <w:szCs w:val="21"/>
                <w:highlight w:val="none"/>
                <w:lang w:val="zh-CN"/>
              </w:rPr>
              <w:t>（</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）根据文化专题片、</w:t>
            </w:r>
            <w:r>
              <w:rPr>
                <w:rFonts w:hint="eastAsia"/>
                <w:color w:val="auto"/>
                <w:highlight w:val="none"/>
              </w:rPr>
              <w:t>文化精品系列片</w:t>
            </w:r>
            <w:r>
              <w:rPr>
                <w:rFonts w:hint="eastAsia" w:ascii="宋体" w:hAnsi="宋体" w:cs="宋体"/>
                <w:color w:val="auto"/>
                <w:szCs w:val="21"/>
                <w:highlight w:val="none"/>
              </w:rPr>
              <w:t>制作方案（素材归类、编辑、艺术化处理、制作等）是否专业、合理</w:t>
            </w:r>
            <w:r>
              <w:rPr>
                <w:rFonts w:hint="eastAsia" w:ascii="宋体" w:hAnsi="宋体" w:cs="宋体"/>
                <w:color w:val="auto"/>
                <w:szCs w:val="21"/>
                <w:highlight w:val="none"/>
                <w:lang w:val="zh-CN"/>
              </w:rPr>
              <w:t>，</w:t>
            </w:r>
            <w:r>
              <w:rPr>
                <w:rFonts w:hint="eastAsia"/>
                <w:color w:val="auto"/>
                <w:highlight w:val="none"/>
              </w:rPr>
              <w:t>文化精品系列片制作</w:t>
            </w:r>
            <w:r>
              <w:rPr>
                <w:rFonts w:hint="eastAsia" w:ascii="宋体" w:hAnsi="宋体" w:cs="宋体"/>
                <w:color w:val="auto"/>
                <w:highlight w:val="none"/>
              </w:rPr>
              <w:t>欠专业、欠合理的每项扣0.5分，不专业、不合理的每项扣1分，扣至零分为止，最高得5分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continue"/>
            <w:vAlign w:val="center"/>
          </w:tcPr>
          <w:p>
            <w:pPr>
              <w:jc w:val="left"/>
              <w:rPr>
                <w:rFonts w:ascii="宋体" w:hAnsi="宋体" w:cs="宋体"/>
                <w:color w:val="auto"/>
                <w:szCs w:val="21"/>
                <w:highlight w:val="none"/>
              </w:rPr>
            </w:pPr>
          </w:p>
        </w:tc>
        <w:tc>
          <w:tcPr>
            <w:tcW w:w="1009" w:type="dxa"/>
            <w:vMerge w:val="continue"/>
            <w:vAlign w:val="center"/>
          </w:tcPr>
          <w:p>
            <w:pPr>
              <w:jc w:val="left"/>
              <w:rPr>
                <w:rFonts w:ascii="宋体" w:hAnsi="宋体" w:cs="宋体"/>
                <w:color w:val="auto"/>
                <w:szCs w:val="21"/>
                <w:highlight w:val="none"/>
              </w:rPr>
            </w:pPr>
          </w:p>
        </w:tc>
        <w:tc>
          <w:tcPr>
            <w:tcW w:w="527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）根据文化专题片、</w:t>
            </w:r>
            <w:r>
              <w:rPr>
                <w:rFonts w:hint="eastAsia"/>
                <w:color w:val="auto"/>
                <w:highlight w:val="none"/>
              </w:rPr>
              <w:t>文化精品系列片播出推广方案（主流媒体和新媒体平台传播能力、资源储备、播出计划）</w:t>
            </w:r>
            <w:r>
              <w:rPr>
                <w:rFonts w:hint="eastAsia" w:ascii="宋体" w:hAnsi="宋体" w:cs="宋体"/>
                <w:color w:val="auto"/>
                <w:szCs w:val="21"/>
                <w:highlight w:val="none"/>
              </w:rPr>
              <w:t>是否可行、具备传播性</w:t>
            </w:r>
            <w:r>
              <w:rPr>
                <w:rFonts w:hint="eastAsia" w:ascii="宋体" w:hAnsi="宋体" w:cs="宋体"/>
                <w:color w:val="auto"/>
                <w:szCs w:val="21"/>
                <w:highlight w:val="none"/>
                <w:lang w:val="zh-CN"/>
              </w:rPr>
              <w:t>，</w:t>
            </w:r>
            <w:r>
              <w:rPr>
                <w:rFonts w:hint="eastAsia"/>
                <w:color w:val="auto"/>
                <w:highlight w:val="none"/>
              </w:rPr>
              <w:t>播出</w:t>
            </w:r>
            <w:r>
              <w:rPr>
                <w:rFonts w:hint="eastAsia" w:ascii="宋体" w:hAnsi="宋体" w:cs="宋体"/>
                <w:color w:val="auto"/>
                <w:highlight w:val="none"/>
              </w:rPr>
              <w:t>欠可行、传播性不足的每项扣0.5分，不可行、无传播性的每项扣1分，扣至零分为止，最高得5分</w:t>
            </w:r>
            <w:r>
              <w:rPr>
                <w:rFonts w:hint="eastAsia" w:ascii="宋体" w:hAnsi="宋体" w:cs="宋体"/>
                <w:color w:val="auto"/>
                <w:szCs w:val="21"/>
                <w:highlight w:val="none"/>
                <w:lang w:val="zh-CN"/>
              </w:rPr>
              <w:t>。</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8" w:type="dxa"/>
            <w:vMerge w:val="continue"/>
            <w:vAlign w:val="center"/>
          </w:tcPr>
          <w:p>
            <w:pPr>
              <w:jc w:val="center"/>
              <w:rPr>
                <w:rFonts w:ascii="宋体" w:hAnsi="宋体" w:cs="宋体"/>
                <w:color w:val="auto"/>
                <w:szCs w:val="21"/>
                <w:highlight w:val="none"/>
              </w:rPr>
            </w:pPr>
          </w:p>
        </w:tc>
        <w:tc>
          <w:tcPr>
            <w:tcW w:w="7297" w:type="dxa"/>
            <w:gridSpan w:val="3"/>
            <w:vAlign w:val="center"/>
          </w:tcPr>
          <w:p>
            <w:pPr>
              <w:jc w:val="left"/>
              <w:rPr>
                <w:rFonts w:ascii="宋体" w:hAnsi="宋体" w:cs="宋体"/>
                <w:color w:val="auto"/>
                <w:szCs w:val="21"/>
                <w:highlight w:val="none"/>
              </w:rPr>
            </w:pPr>
            <w:r>
              <w:rPr>
                <w:rFonts w:hint="eastAsia" w:ascii="宋体" w:hAnsi="宋体"/>
                <w:color w:val="auto"/>
                <w:highlight w:val="none"/>
              </w:rPr>
              <w:t>3、运营管理方案（5分）：根据供应商的运营管理方案是否合理、全面、可行，方案欠合理、欠全面、欠可行的每项扣0</w:t>
            </w:r>
            <w:r>
              <w:rPr>
                <w:rFonts w:ascii="宋体" w:hAnsi="宋体"/>
                <w:color w:val="auto"/>
                <w:highlight w:val="none"/>
              </w:rPr>
              <w:t>.5</w:t>
            </w:r>
            <w:r>
              <w:rPr>
                <w:rFonts w:hint="eastAsia" w:ascii="宋体" w:hAnsi="宋体"/>
                <w:color w:val="auto"/>
                <w:highlight w:val="none"/>
              </w:rPr>
              <w:t>分，不合理、不全面、不可行的每项扣1分，扣至零分为止，最高得5分。</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78" w:type="dxa"/>
            <w:vMerge w:val="continue"/>
            <w:vAlign w:val="center"/>
          </w:tcPr>
          <w:p>
            <w:pPr>
              <w:jc w:val="left"/>
              <w:rPr>
                <w:rFonts w:ascii="宋体" w:hAnsi="宋体" w:cs="宋体"/>
                <w:color w:val="auto"/>
                <w:highlight w:val="none"/>
              </w:rPr>
            </w:pPr>
          </w:p>
        </w:tc>
        <w:tc>
          <w:tcPr>
            <w:tcW w:w="7297" w:type="dxa"/>
            <w:gridSpan w:val="3"/>
            <w:vAlign w:val="center"/>
          </w:tcPr>
          <w:p>
            <w:pPr>
              <w:jc w:val="left"/>
              <w:rPr>
                <w:rFonts w:ascii="宋体" w:hAnsi="宋体" w:cs="宋体"/>
                <w:color w:val="auto"/>
                <w:szCs w:val="21"/>
                <w:highlight w:val="none"/>
              </w:rPr>
            </w:pPr>
            <w:r>
              <w:rPr>
                <w:rFonts w:hint="eastAsia" w:ascii="宋体" w:hAnsi="宋体"/>
                <w:color w:val="auto"/>
                <w:highlight w:val="none"/>
              </w:rPr>
              <w:t>4、应急保障措施（5分）：根据供应商针对项目期间针对可能发生的突发情况应对保障措施（包含应对反映时间、应对方案、善后处理等）是否合理、全面、可行，保障措施欠合理、欠全面、欠可行的每项扣0</w:t>
            </w:r>
            <w:r>
              <w:rPr>
                <w:rFonts w:ascii="宋体" w:hAnsi="宋体"/>
                <w:color w:val="auto"/>
                <w:highlight w:val="none"/>
              </w:rPr>
              <w:t>.5</w:t>
            </w:r>
            <w:r>
              <w:rPr>
                <w:rFonts w:hint="eastAsia" w:ascii="宋体" w:hAnsi="宋体"/>
                <w:color w:val="auto"/>
                <w:highlight w:val="none"/>
              </w:rPr>
              <w:t>分，不合理、不全面、不可行的每项扣1分，扣至零分为止，最高得5分。</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left"/>
              <w:rPr>
                <w:rFonts w:ascii="宋体" w:hAnsi="宋体" w:cs="宋体"/>
                <w:color w:val="auto"/>
                <w:highlight w:val="none"/>
              </w:rPr>
            </w:pPr>
          </w:p>
        </w:tc>
        <w:tc>
          <w:tcPr>
            <w:tcW w:w="7297" w:type="dxa"/>
            <w:gridSpan w:val="3"/>
            <w:vAlign w:val="center"/>
          </w:tcPr>
          <w:p>
            <w:pPr>
              <w:jc w:val="left"/>
              <w:rPr>
                <w:rFonts w:ascii="宋体" w:hAnsi="宋体"/>
                <w:color w:val="auto"/>
                <w:highlight w:val="none"/>
              </w:rPr>
            </w:pPr>
            <w:r>
              <w:rPr>
                <w:rFonts w:hint="eastAsia" w:ascii="宋体" w:hAnsi="宋体"/>
                <w:color w:val="auto"/>
                <w:highlight w:val="none"/>
              </w:rPr>
              <w:t>5、</w:t>
            </w:r>
            <w:r>
              <w:rPr>
                <w:rFonts w:hint="eastAsia" w:ascii="宋体" w:hAnsi="宋体" w:cs="宋体"/>
                <w:color w:val="auto"/>
                <w:szCs w:val="21"/>
                <w:highlight w:val="none"/>
              </w:rPr>
              <w:t>服务质量保证措施（5分）：根据供应商针对本项目的服务质量保证措施是否可行、可操作，保证措施欠可行、可操作性欠缺的每项扣0.5分，不可行、无操作性的每项扣1分，扣至零分为止，最高得5分。</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Merge w:val="continue"/>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78" w:type="dxa"/>
            <w:vMerge w:val="continue"/>
            <w:vAlign w:val="center"/>
          </w:tcPr>
          <w:p>
            <w:pPr>
              <w:jc w:val="center"/>
              <w:rPr>
                <w:rFonts w:ascii="宋体" w:hAnsi="宋体" w:cs="宋体"/>
                <w:color w:val="auto"/>
                <w:szCs w:val="21"/>
                <w:highlight w:val="none"/>
              </w:rPr>
            </w:pPr>
          </w:p>
        </w:tc>
        <w:tc>
          <w:tcPr>
            <w:tcW w:w="1010" w:type="dxa"/>
            <w:vMerge w:val="restart"/>
            <w:vAlign w:val="center"/>
          </w:tcPr>
          <w:p>
            <w:pPr>
              <w:jc w:val="left"/>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人员配备（</w:t>
            </w:r>
            <w:r>
              <w:rPr>
                <w:rFonts w:hint="eastAsia" w:ascii="宋体" w:hAnsi="宋体" w:cs="宋体"/>
                <w:color w:val="auto"/>
                <w:szCs w:val="21"/>
                <w:highlight w:val="none"/>
              </w:rPr>
              <w:t>8</w:t>
            </w:r>
            <w:r>
              <w:rPr>
                <w:rFonts w:hint="eastAsia" w:ascii="宋体" w:hAnsi="宋体" w:cs="宋体"/>
                <w:color w:val="auto"/>
                <w:szCs w:val="21"/>
                <w:highlight w:val="none"/>
                <w:lang w:val="zh-CN"/>
              </w:rPr>
              <w:t>分）</w:t>
            </w:r>
          </w:p>
        </w:tc>
        <w:tc>
          <w:tcPr>
            <w:tcW w:w="6287" w:type="dxa"/>
            <w:gridSpan w:val="2"/>
            <w:vAlign w:val="center"/>
          </w:tcPr>
          <w:p>
            <w:pPr>
              <w:jc w:val="left"/>
              <w:rPr>
                <w:rFonts w:ascii="宋体" w:hAnsi="宋体" w:cs="宋体"/>
                <w:color w:val="auto"/>
                <w:szCs w:val="21"/>
                <w:highlight w:val="none"/>
              </w:rPr>
            </w:pPr>
            <w:r>
              <w:rPr>
                <w:rFonts w:hint="eastAsia" w:ascii="宋体" w:hAnsi="宋体"/>
                <w:color w:val="auto"/>
                <w:highlight w:val="none"/>
              </w:rPr>
              <w:t>1）拟派本项目负责人具有类似推广服务项目经验、资历是否丰富，组织协调能力是否出色等，经验、资历欠丰富，组织协调能力欠出色的每项扣0.5分，经验、资历不丰富、组织协调能力欠缺的每项扣1分，扣至零分为止，最高得3分。注：投标文件中提供证明材料复印件及近三个月内任意一个月为其缴纳的社保证明复印件。</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left"/>
              <w:rPr>
                <w:color w:val="auto"/>
                <w:highlight w:val="none"/>
              </w:rPr>
            </w:pPr>
          </w:p>
        </w:tc>
        <w:tc>
          <w:tcPr>
            <w:tcW w:w="1010" w:type="dxa"/>
            <w:vMerge w:val="continue"/>
            <w:vAlign w:val="center"/>
          </w:tcPr>
          <w:p>
            <w:pPr>
              <w:jc w:val="left"/>
              <w:rPr>
                <w:color w:val="auto"/>
                <w:highlight w:val="none"/>
              </w:rPr>
            </w:pPr>
          </w:p>
        </w:tc>
        <w:tc>
          <w:tcPr>
            <w:tcW w:w="6287" w:type="dxa"/>
            <w:gridSpan w:val="2"/>
            <w:vAlign w:val="center"/>
          </w:tcPr>
          <w:p>
            <w:pPr>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highlight w:val="none"/>
              </w:rPr>
              <w:t>根据项目组拟配置其他人员的数量、专业分工情况、项目运作经验等配置是否合理、可行等，其他人员配置欠合理、欠可行的每项扣0</w:t>
            </w:r>
            <w:r>
              <w:rPr>
                <w:rFonts w:ascii="宋体" w:hAnsi="宋体"/>
                <w:color w:val="auto"/>
                <w:highlight w:val="none"/>
              </w:rPr>
              <w:t>.5</w:t>
            </w:r>
            <w:r>
              <w:rPr>
                <w:rFonts w:hint="eastAsia" w:ascii="宋体" w:hAnsi="宋体"/>
                <w:color w:val="auto"/>
                <w:highlight w:val="none"/>
              </w:rPr>
              <w:t>分，不合理、不可行的每项扣1分，扣至零分为止，最高得5分。</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主观评审项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7297" w:type="dxa"/>
            <w:gridSpan w:val="3"/>
            <w:vAlign w:val="center"/>
          </w:tcPr>
          <w:p>
            <w:pPr>
              <w:jc w:val="left"/>
              <w:rPr>
                <w:rFonts w:ascii="宋体" w:hAnsi="宋体" w:cs="宋体"/>
                <w:color w:val="auto"/>
                <w:szCs w:val="21"/>
                <w:highlight w:val="none"/>
                <w:lang w:val="zh-CN"/>
              </w:rPr>
            </w:pPr>
            <w:r>
              <w:rPr>
                <w:rFonts w:hint="eastAsia" w:ascii="宋体" w:hAnsi="宋体" w:cs="宋体"/>
                <w:color w:val="auto"/>
                <w:szCs w:val="21"/>
                <w:highlight w:val="none"/>
              </w:rPr>
              <w:t>7、服务响应（5分）：根据供应商针对本项目的服务响应方案（包含响应时间、到达时间、问题解决时间承诺等因素）是否合理、可行、便捷，服务响应方案</w:t>
            </w:r>
            <w:r>
              <w:rPr>
                <w:rFonts w:hint="eastAsia" w:ascii="宋体" w:hAnsi="宋体" w:cs="宋体"/>
                <w:color w:val="auto"/>
                <w:highlight w:val="none"/>
              </w:rPr>
              <w:t>欠全面、欠可行、欠便捷的每项扣0.5分，不全面、不可行、不便捷的每项扣1分，扣到零分为止，最高得5分。</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7297" w:type="dxa"/>
            <w:gridSpan w:val="3"/>
            <w:vAlign w:val="center"/>
          </w:tcPr>
          <w:p>
            <w:pPr>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highlight w:val="none"/>
                <w:lang w:val="zh-CN"/>
              </w:rPr>
              <w:t>业绩分（</w:t>
            </w:r>
            <w:r>
              <w:rPr>
                <w:rFonts w:hint="eastAsia" w:ascii="宋体" w:hAnsi="宋体" w:cs="宋体"/>
                <w:color w:val="auto"/>
                <w:highlight w:val="none"/>
              </w:rPr>
              <w:t>1</w:t>
            </w:r>
            <w:r>
              <w:rPr>
                <w:rFonts w:hint="eastAsia" w:ascii="宋体" w:hAnsi="宋体" w:cs="宋体"/>
                <w:color w:val="auto"/>
                <w:highlight w:val="none"/>
                <w:lang w:val="zh-CN"/>
              </w:rPr>
              <w:t>分）：投标人自201</w:t>
            </w:r>
            <w:r>
              <w:rPr>
                <w:rFonts w:hint="eastAsia" w:ascii="宋体" w:hAnsi="宋体" w:cs="宋体"/>
                <w:color w:val="auto"/>
                <w:highlight w:val="none"/>
              </w:rPr>
              <w:t>9</w:t>
            </w:r>
            <w:r>
              <w:rPr>
                <w:rFonts w:hint="eastAsia" w:ascii="宋体" w:hAnsi="宋体" w:cs="宋体"/>
                <w:color w:val="auto"/>
                <w:highlight w:val="none"/>
                <w:lang w:val="zh-CN"/>
              </w:rPr>
              <w:t>年1月1日至今（以合同签订时间为准），具有类似</w:t>
            </w:r>
            <w:r>
              <w:rPr>
                <w:rFonts w:hint="eastAsia" w:ascii="宋体" w:hAnsi="宋体" w:cs="宋体"/>
                <w:color w:val="auto"/>
                <w:highlight w:val="none"/>
              </w:rPr>
              <w:t>宣传</w:t>
            </w:r>
            <w:r>
              <w:rPr>
                <w:rFonts w:hint="eastAsia" w:ascii="宋体" w:hAnsi="宋体" w:cs="宋体"/>
                <w:color w:val="auto"/>
                <w:highlight w:val="none"/>
                <w:lang w:val="zh-CN"/>
              </w:rPr>
              <w:t>推广服务案例合同，每提供一个得</w:t>
            </w:r>
            <w:r>
              <w:rPr>
                <w:rFonts w:hint="eastAsia" w:ascii="宋体" w:hAnsi="宋体" w:cs="宋体"/>
                <w:color w:val="auto"/>
                <w:highlight w:val="none"/>
              </w:rPr>
              <w:t>0</w:t>
            </w:r>
            <w:r>
              <w:rPr>
                <w:rFonts w:hint="eastAsia" w:ascii="宋体" w:hAnsi="宋体" w:cs="宋体"/>
                <w:color w:val="auto"/>
                <w:highlight w:val="none"/>
                <w:lang w:val="zh-CN"/>
              </w:rPr>
              <w:t>.5分，最高得</w:t>
            </w:r>
            <w:r>
              <w:rPr>
                <w:rFonts w:hint="eastAsia" w:ascii="宋体" w:hAnsi="宋体" w:cs="宋体"/>
                <w:color w:val="auto"/>
                <w:highlight w:val="none"/>
              </w:rPr>
              <w:t>1</w:t>
            </w:r>
            <w:r>
              <w:rPr>
                <w:rFonts w:hint="eastAsia" w:ascii="宋体" w:hAnsi="宋体" w:cs="宋体"/>
                <w:color w:val="auto"/>
                <w:highlight w:val="none"/>
                <w:lang w:val="zh-CN"/>
              </w:rPr>
              <w:t>分。</w:t>
            </w:r>
            <w:r>
              <w:rPr>
                <w:rFonts w:hint="eastAsia" w:ascii="宋体" w:hAnsi="宋体" w:cs="宋体"/>
                <w:color w:val="auto"/>
                <w:highlight w:val="none"/>
              </w:rPr>
              <w:t>注：</w:t>
            </w:r>
            <w:r>
              <w:rPr>
                <w:rFonts w:hint="eastAsia" w:ascii="宋体" w:hAnsi="宋体" w:cs="宋体"/>
                <w:color w:val="auto"/>
                <w:highlight w:val="none"/>
                <w:lang w:val="zh-CN"/>
              </w:rPr>
              <w:t>投标文件须提供合同复印件并加盖投标人公章，原件备查，不提供不得分。</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客观评审项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jc w:val="center"/>
              <w:rPr>
                <w:rFonts w:ascii="宋体" w:hAnsi="宋体" w:cs="宋体"/>
                <w:color w:val="auto"/>
                <w:szCs w:val="21"/>
                <w:highlight w:val="none"/>
              </w:rPr>
            </w:pPr>
          </w:p>
        </w:tc>
        <w:tc>
          <w:tcPr>
            <w:tcW w:w="7297" w:type="dxa"/>
            <w:gridSpan w:val="3"/>
            <w:vAlign w:val="center"/>
          </w:tcPr>
          <w:p>
            <w:pPr>
              <w:rPr>
                <w:rFonts w:ascii="宋体" w:hAnsi="宋体" w:cs="宋体"/>
                <w:color w:val="auto"/>
                <w:szCs w:val="21"/>
                <w:highlight w:val="none"/>
              </w:rPr>
            </w:pPr>
            <w:r>
              <w:rPr>
                <w:rFonts w:hint="eastAsia" w:ascii="宋体" w:hAnsi="宋体" w:cs="宋体"/>
                <w:color w:val="auto"/>
                <w:szCs w:val="21"/>
                <w:highlight w:val="none"/>
              </w:rPr>
              <w:t>9、政策分：1）供应商注册在不发达地区的，得0.5分；2）供应商注册在少数民族地区的，得0.5分；注：供应商应在响应文件中提供相关证明资料（例如“政府部门文件”或“政府部门媒体网站发布的相关信息”中说明供应商注册地属于“不发达地区”、“少数民族地区”等资料）。</w:t>
            </w:r>
          </w:p>
        </w:tc>
        <w:tc>
          <w:tcPr>
            <w:tcW w:w="654" w:type="dxa"/>
            <w:vAlign w:val="center"/>
          </w:tcPr>
          <w:p>
            <w:pPr>
              <w:widowControl/>
              <w:jc w:val="center"/>
              <w:rPr>
                <w:rFonts w:ascii="宋体" w:hAnsi="宋体" w:cs="宋体"/>
                <w:color w:val="auto"/>
                <w:szCs w:val="21"/>
                <w:highlight w:val="none"/>
              </w:rPr>
            </w:pPr>
            <w:r>
              <w:rPr>
                <w:rFonts w:hint="eastAsia" w:ascii="宋体" w:hAnsi="宋体" w:cs="宋体"/>
                <w:color w:val="auto"/>
                <w:highlight w:val="none"/>
              </w:rPr>
              <w:t>1</w:t>
            </w:r>
          </w:p>
        </w:tc>
        <w:tc>
          <w:tcPr>
            <w:tcW w:w="6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客观评审项</w:t>
            </w:r>
          </w:p>
        </w:tc>
      </w:tr>
    </w:tbl>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注：1、小数点后保留两位数。2、各评标委员会成员自行按以上参考分值评分。3、重大事件由评标委员会集体讨论</w:t>
      </w:r>
      <w:r>
        <w:rPr>
          <w:rFonts w:hint="eastAsia" w:ascii="宋体" w:hAnsi="宋体" w:cs="宋体"/>
          <w:bCs/>
          <w:color w:val="auto"/>
          <w:highlight w:val="none"/>
        </w:rPr>
        <w:t>，以少数服从多数原则决定。</w:t>
      </w:r>
    </w:p>
    <w:p>
      <w:pPr>
        <w:snapToGrid w:val="0"/>
        <w:spacing w:line="360" w:lineRule="auto"/>
        <w:ind w:firstLine="422" w:firstLineChars="200"/>
        <w:rPr>
          <w:rFonts w:ascii="宋体" w:hAnsi="宋体" w:cs="宋体"/>
          <w:b/>
          <w:color w:val="auto"/>
          <w:highlight w:val="none"/>
        </w:rPr>
      </w:pPr>
      <w:bookmarkStart w:id="54" w:name="_Toc14242"/>
      <w:r>
        <w:rPr>
          <w:rFonts w:hint="eastAsia" w:ascii="宋体" w:hAnsi="宋体" w:cs="宋体"/>
          <w:b/>
          <w:color w:val="auto"/>
          <w:highlight w:val="none"/>
        </w:rPr>
        <w:t>六、定标</w:t>
      </w:r>
    </w:p>
    <w:p>
      <w:pPr>
        <w:pStyle w:val="2"/>
        <w:snapToGrid w:val="0"/>
        <w:spacing w:before="0" w:beforeLines="0" w:after="0" w:afterLines="0" w:line="360" w:lineRule="auto"/>
        <w:ind w:firstLine="413" w:firstLineChars="196"/>
        <w:rPr>
          <w:rFonts w:hint="default" w:hAnsi="宋体" w:cs="宋体"/>
          <w:b/>
          <w:bCs/>
          <w:color w:val="auto"/>
          <w:highlight w:val="none"/>
        </w:rPr>
      </w:pPr>
      <w:r>
        <w:rPr>
          <w:rFonts w:hAnsi="宋体" w:cs="宋体"/>
          <w:b/>
          <w:bCs/>
          <w:color w:val="auto"/>
          <w:highlight w:val="none"/>
        </w:rPr>
        <w:t>（一）确定中标人。本项目由采购人（或采购人事先授权评标委员会）确定中标人。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若中标人放弃中标，或因不可抗力提出不能履行合同，或不按采购文件规定提交履约担保，或其它原因被依法撤销中标资格，则采购人可确定排名第二的中标候选人为中标人或重新组织招标。</w:t>
      </w:r>
    </w:p>
    <w:p>
      <w:pPr>
        <w:snapToGrid w:val="0"/>
        <w:spacing w:line="360"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七、评标过程的监控与保密</w:t>
      </w:r>
    </w:p>
    <w:p>
      <w:pPr>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ascii="宋体" w:hAnsi="宋体" w:cs="宋体"/>
          <w:b/>
          <w:bCs/>
          <w:color w:val="auto"/>
          <w:szCs w:val="21"/>
          <w:highlight w:val="none"/>
        </w:rPr>
      </w:pPr>
      <w:bookmarkStart w:id="55" w:name="_Toc17747"/>
      <w:r>
        <w:rPr>
          <w:rFonts w:hint="eastAsia" w:ascii="宋体" w:hAnsi="宋体" w:cs="宋体"/>
          <w:b/>
          <w:color w:val="auto"/>
          <w:szCs w:val="21"/>
          <w:highlight w:val="none"/>
        </w:rPr>
        <w:t>八、合同授予</w:t>
      </w:r>
      <w:bookmarkEnd w:id="55"/>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2"/>
        <w:snapToGrid w:val="0"/>
        <w:spacing w:before="0" w:beforeLines="0" w:after="0" w:afterLines="0" w:line="360" w:lineRule="auto"/>
        <w:ind w:firstLine="411" w:firstLineChars="196"/>
        <w:rPr>
          <w:rFonts w:hint="default" w:hAnsi="宋体" w:cs="宋体"/>
          <w:bCs/>
          <w:color w:val="auto"/>
          <w:highlight w:val="none"/>
        </w:rPr>
      </w:pPr>
      <w:r>
        <w:rPr>
          <w:rFonts w:hAnsi="宋体" w:cs="宋体"/>
          <w:bCs/>
          <w:color w:val="auto"/>
          <w:highlight w:val="none"/>
        </w:rPr>
        <w:t>2</w:t>
      </w:r>
      <w:r>
        <w:rPr>
          <w:rFonts w:hAnsi="宋体" w:cs="宋体"/>
          <w:color w:val="auto"/>
          <w:highlight w:val="none"/>
        </w:rPr>
        <w:t>.</w:t>
      </w:r>
      <w:r>
        <w:rPr>
          <w:rFonts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
        <w:snapToGrid w:val="0"/>
        <w:spacing w:before="0" w:beforeLines="0" w:after="0" w:afterLines="0" w:line="360" w:lineRule="auto"/>
        <w:ind w:firstLine="411" w:firstLineChars="196"/>
        <w:rPr>
          <w:rFonts w:hint="default" w:hAnsi="宋体" w:cs="宋体"/>
          <w:bCs/>
          <w:color w:val="auto"/>
          <w:highlight w:val="none"/>
        </w:rPr>
      </w:pPr>
      <w:r>
        <w:rPr>
          <w:rFonts w:hAnsi="宋体" w:cs="宋体"/>
          <w:bCs/>
          <w:color w:val="auto"/>
          <w:highlight w:val="none"/>
        </w:rPr>
        <w:t>3</w:t>
      </w:r>
      <w:r>
        <w:rPr>
          <w:rFonts w:hAnsi="宋体" w:cs="宋体"/>
          <w:color w:val="auto"/>
          <w:highlight w:val="none"/>
        </w:rPr>
        <w:t>.</w:t>
      </w:r>
      <w:r>
        <w:rPr>
          <w:rFonts w:hAnsi="宋体" w:cs="宋体"/>
          <w:bCs/>
          <w:color w:val="auto"/>
          <w:highlight w:val="none"/>
        </w:rPr>
        <w:t>采购文件、中标人的投标文件及评标过程中有关的澄清文件均应作为合同签订的附件。</w:t>
      </w:r>
    </w:p>
    <w:p>
      <w:pPr>
        <w:pStyle w:val="2"/>
        <w:snapToGrid w:val="0"/>
        <w:spacing w:before="0" w:beforeLines="0" w:after="0" w:afterLines="0" w:line="360" w:lineRule="auto"/>
        <w:ind w:firstLine="411" w:firstLineChars="196"/>
        <w:rPr>
          <w:rFonts w:hint="default" w:hAnsi="宋体" w:cs="宋体"/>
          <w:bCs/>
          <w:color w:val="auto"/>
          <w:highlight w:val="none"/>
        </w:rPr>
      </w:pPr>
      <w:r>
        <w:rPr>
          <w:rFonts w:hAnsi="宋体" w:cs="宋体"/>
          <w:bCs/>
          <w:color w:val="auto"/>
          <w:highlight w:val="none"/>
        </w:rPr>
        <w:t>4</w:t>
      </w:r>
      <w:r>
        <w:rPr>
          <w:rFonts w:hAnsi="宋体" w:cs="宋体"/>
          <w:color w:val="auto"/>
          <w:highlight w:val="none"/>
        </w:rPr>
        <w:t>.</w:t>
      </w:r>
      <w:r>
        <w:rPr>
          <w:rFonts w:hAnsi="宋体" w:cs="宋体"/>
          <w:bCs/>
          <w:color w:val="auto"/>
          <w:highlight w:val="none"/>
        </w:rPr>
        <w:t>中标或者成交供应商拒绝与采购人签订合同的，采购人应重新招标。</w:t>
      </w:r>
    </w:p>
    <w:p>
      <w:pPr>
        <w:pStyle w:val="2"/>
        <w:snapToGrid w:val="0"/>
        <w:spacing w:before="0" w:beforeLines="0" w:after="0" w:afterLines="0" w:line="360" w:lineRule="auto"/>
        <w:ind w:firstLine="411" w:firstLineChars="196"/>
        <w:rPr>
          <w:rFonts w:hint="default" w:hAnsi="宋体" w:cs="宋体"/>
          <w:bCs/>
          <w:color w:val="auto"/>
          <w:highlight w:val="none"/>
        </w:rPr>
      </w:pPr>
      <w:r>
        <w:rPr>
          <w:rFonts w:hAnsi="宋体" w:cs="宋体"/>
          <w:bCs/>
          <w:color w:val="auto"/>
          <w:highlight w:val="none"/>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九、履约验收：</w:t>
      </w:r>
    </w:p>
    <w:p>
      <w:pPr>
        <w:snapToGri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采购人负责对中标人的履约行为进行验收。政府向社会公众提供的公共服务项目，验收时应当邀请服务对象参与并出具意见，验收结果应当向社会公告。</w:t>
      </w:r>
    </w:p>
    <w:p>
      <w:pPr>
        <w:pStyle w:val="189"/>
        <w:spacing w:line="700" w:lineRule="exact"/>
        <w:ind w:firstLine="0" w:firstLineChars="0"/>
        <w:jc w:val="center"/>
        <w:outlineLvl w:val="0"/>
        <w:rPr>
          <w:rFonts w:ascii="宋体" w:hAnsi="宋体" w:cs="宋体"/>
          <w:b/>
          <w:bCs/>
          <w:color w:val="auto"/>
          <w:sz w:val="32"/>
          <w:szCs w:val="32"/>
          <w:highlight w:val="none"/>
        </w:rPr>
      </w:pPr>
      <w:r>
        <w:rPr>
          <w:rFonts w:hint="eastAsia" w:ascii="宋体" w:hAnsi="宋体" w:cs="宋体"/>
          <w:bCs/>
          <w:color w:val="auto"/>
          <w:highlight w:val="none"/>
        </w:rPr>
        <w:br w:type="page"/>
      </w:r>
      <w:bookmarkStart w:id="56" w:name="_Toc21974"/>
      <w:r>
        <w:rPr>
          <w:rFonts w:hint="eastAsia" w:ascii="宋体" w:hAnsi="宋体" w:cs="宋体"/>
          <w:b/>
          <w:color w:val="auto"/>
          <w:sz w:val="32"/>
          <w:szCs w:val="32"/>
          <w:highlight w:val="none"/>
        </w:rPr>
        <w:t>第五章  政府采购合同主要条款</w:t>
      </w:r>
      <w:bookmarkEnd w:id="54"/>
      <w:bookmarkEnd w:id="56"/>
    </w:p>
    <w:p>
      <w:pPr>
        <w:autoSpaceDE w:val="0"/>
        <w:autoSpaceDN w:val="0"/>
        <w:spacing w:line="360" w:lineRule="auto"/>
        <w:rPr>
          <w:rFonts w:ascii="宋体" w:hAnsi="宋体" w:cs="宋体"/>
          <w:color w:val="auto"/>
          <w:highlight w:val="none"/>
          <w:lang w:val="zh-CN"/>
        </w:rPr>
      </w:pPr>
    </w:p>
    <w:p>
      <w:pPr>
        <w:autoSpaceDE w:val="0"/>
        <w:autoSpaceDN w:val="0"/>
        <w:spacing w:line="360" w:lineRule="auto"/>
        <w:rPr>
          <w:rFonts w:ascii="宋体" w:hAnsi="宋体" w:cs="宋体"/>
          <w:color w:val="auto"/>
          <w:highlight w:val="none"/>
          <w:lang w:val="zh-CN"/>
        </w:rPr>
      </w:pPr>
    </w:p>
    <w:p>
      <w:pPr>
        <w:spacing w:line="356" w:lineRule="auto"/>
        <w:rPr>
          <w:rFonts w:ascii="宋体" w:hAnsi="宋体" w:cs="宋体"/>
          <w:color w:val="auto"/>
          <w:szCs w:val="20"/>
          <w:highlight w:val="none"/>
        </w:rPr>
      </w:pPr>
      <w:r>
        <w:rPr>
          <w:rFonts w:hint="eastAsia" w:ascii="宋体" w:hAnsi="宋体" w:cs="宋体"/>
          <w:color w:val="auto"/>
          <w:szCs w:val="20"/>
          <w:highlight w:val="none"/>
        </w:rPr>
        <w:t>甲方：                                               （以下简称甲方）</w:t>
      </w:r>
    </w:p>
    <w:p>
      <w:pPr>
        <w:spacing w:line="356" w:lineRule="auto"/>
        <w:rPr>
          <w:rFonts w:ascii="宋体" w:hAnsi="宋体" w:cs="宋体"/>
          <w:color w:val="auto"/>
          <w:szCs w:val="20"/>
          <w:highlight w:val="none"/>
        </w:rPr>
      </w:pPr>
      <w:r>
        <w:rPr>
          <w:rFonts w:hint="eastAsia" w:ascii="宋体" w:hAnsi="宋体" w:cs="宋体"/>
          <w:color w:val="auto"/>
          <w:szCs w:val="20"/>
          <w:highlight w:val="none"/>
        </w:rPr>
        <w:t>乙方：                                               （以下简称乙方）</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根据《中华人民共和国政府采购法》、《中华人民共和国政府采购法实施条例》、《政府采购货物和服务招标投标管理办法》等法律法规，项目名称</w:t>
      </w:r>
      <w:r>
        <w:rPr>
          <w:rFonts w:hint="eastAsia" w:ascii="宋体" w:hAnsi="宋体" w:cs="宋体"/>
          <w:color w:val="auto"/>
          <w:szCs w:val="21"/>
          <w:highlight w:val="none"/>
          <w:u w:val="single"/>
        </w:rPr>
        <w:t>：2022年至2023年宁波城市形象“奋进宁波气象新”系列精品外宣视频制作与推广服务项目</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CBNB-20223271G</w:t>
      </w:r>
      <w:r>
        <w:rPr>
          <w:rFonts w:hint="eastAsia" w:ascii="宋体" w:hAnsi="宋体" w:cs="宋体"/>
          <w:color w:val="auto"/>
          <w:szCs w:val="21"/>
          <w:highlight w:val="none"/>
        </w:rPr>
        <w:t>）进行公开招标，确定由乙方中标。按照《中华人民共和国民法典》的有关规定，在自愿、平等、公平、诚信的基础上，经双方协商一致，签订本合同。</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一、委托内容</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以打造新时代文化高地、建设更具魅力的文化强市为总目标，坚持“精神富有、书香先行”理念，把深入推进全民阅读作为推动“文化先行、精神富有”的重要抓手，结合社会、科技发展趋势，以及人们阅读方式、载体、习惯等的变化，以“互联网+阅读”为手段，在宁波中心城区主要交通窗口、大型公共空间、商业综合体、文化场所、旅游景区等公共场所布局数字阅读设施，并以数字阅读驿站为载体，推动数字化阅读同传统线下阅读有机结合，通过新颖的阅读体验，提升全民阅读数字化、便利化和丰富性、惠民性，构建全新的城市阅读文化生态和多跨场景，推动全民阅读数字化升级。</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二、合同金额：人民币</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元（大写:         ）。</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三、合同履行期限（服务期限）：合同签订之日起至1年。</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四、付款方式：</w:t>
      </w:r>
    </w:p>
    <w:p>
      <w:pPr>
        <w:spacing w:line="356"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1）在合同生效以及具备实施条件（甲方收到乙方提交的等额预付款银行保函或保险公司保单）后7个工作日内支付合同总额的50%作为预付款；</w:t>
      </w:r>
    </w:p>
    <w:p>
      <w:pPr>
        <w:spacing w:line="356"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2）2022年12月31日前向</w:t>
      </w:r>
      <w:r>
        <w:rPr>
          <w:rFonts w:hint="eastAsia" w:ascii="宋体" w:hAnsi="宋体" w:cs="宋体"/>
          <w:color w:val="auto"/>
          <w:szCs w:val="20"/>
          <w:highlight w:val="none"/>
          <w:lang w:val="en-US" w:eastAsia="zh-CN"/>
        </w:rPr>
        <w:t>乙方</w:t>
      </w:r>
      <w:r>
        <w:rPr>
          <w:rFonts w:hint="eastAsia" w:ascii="宋体" w:hAnsi="宋体" w:cs="宋体"/>
          <w:color w:val="auto"/>
          <w:szCs w:val="20"/>
          <w:highlight w:val="none"/>
        </w:rPr>
        <w:t>支付至合同总价的100%。</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注：在</w:t>
      </w:r>
      <w:r>
        <w:rPr>
          <w:rFonts w:hint="eastAsia" w:ascii="宋体" w:hAnsi="宋体" w:cs="宋体"/>
          <w:color w:val="auto"/>
          <w:szCs w:val="20"/>
          <w:highlight w:val="none"/>
          <w:lang w:val="en-US" w:eastAsia="zh-CN"/>
        </w:rPr>
        <w:t>乙方</w:t>
      </w:r>
      <w:r>
        <w:rPr>
          <w:rFonts w:hint="eastAsia" w:ascii="宋体" w:hAnsi="宋体" w:cs="宋体"/>
          <w:color w:val="auto"/>
          <w:szCs w:val="20"/>
          <w:highlight w:val="none"/>
        </w:rPr>
        <w:t>提交合同约定的成果，并经</w:t>
      </w:r>
      <w:r>
        <w:rPr>
          <w:rFonts w:hint="eastAsia" w:ascii="宋体" w:hAnsi="宋体" w:cs="宋体"/>
          <w:color w:val="auto"/>
          <w:szCs w:val="20"/>
          <w:highlight w:val="none"/>
          <w:lang w:val="en-US" w:eastAsia="zh-CN"/>
        </w:rPr>
        <w:t>甲方</w:t>
      </w:r>
      <w:r>
        <w:rPr>
          <w:rFonts w:hint="eastAsia" w:ascii="宋体" w:hAnsi="宋体" w:cs="宋体"/>
          <w:color w:val="auto"/>
          <w:szCs w:val="20"/>
          <w:highlight w:val="none"/>
        </w:rPr>
        <w:t>确认后20个工作日内退还该预付款银行保函或保险公司保单。</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五、履约验收</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1、在项目合同履行完毕，乙方递交总结材料后，由甲方委托第三方验收服务机构在指定日期组织一次性验收工作；</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2、验收服务费由乙方支付，收费标准参照国家发改委发改办价格[2003]857号通知和原国家计[2002]1980号文件规定的服务招标费率标准按次计费。</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3、验收服务费支付期限以乙方收到“验收通知书”约定的期限为准。</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六、活动承办的具体服务内容</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1.“最美宁波”广播级滚动播出视频短片系列</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围绕宁波的城市之美、山水之美、人之美，传播甬城美景美物、风土人情、文化生活，体现“美好宁波”“四季宁波”“精致宁波”，起到打动人心、引起共鸣的效果，让人看了之后能记住、忘不了、就想来。全年跟拍有关宁波的视频素材，将相关素材进行归类、编辑、艺术化处理，制作适用于广播级滚动播出的视频短片，每条时长为1分钟，全年拍摄不少于100部，并在本地主流媒体和新媒体平台播出，同时向卫视和央视推荐。</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2.“‘牢记嘱托 奋进十年’亲历者说”系列专题访谈</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习近平总书记在浙江工作期间，曾经30多次来到宁波。担任总书记以后，一次来宁波，两次写信给宁波，对宁波经济社会发展作出具体的指示和指导。在习近平总书记的关心下，近十年来，宁波城乡面貌发生了巨大的变化，人民生活得到了巨大的改善，经济综合实力迈上新的台阶。为迎接党的二十大胜利召开和沿着二十大精神指引的方向继续前进，拟拍摄“‘牢记嘱托 奋进十年’亲历者说”系列专题访谈，拟通过一张图片、一段视频或记录本上的一句话，请亲历者讲述总书记与宁波的故事，每部专题片时长3分钟至5分钟，全年拍摄20部，并在本地主流媒体和新媒体平台播出，同时向卫视和央视推荐。</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3.“老外看宁波”系列短视频访谈</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宁波是第一批沿海开放城市，也是中国的外贸大市，在宁波常驻的外国人近万。拟通过对生活在宁波的外国人专访，突出宁波城市的开放性和包容性，体现老外在宁波的生活常态。每期时长约10分钟，全年拍摄不少于24期，以英文形式制作，在本地主流媒体和新媒体平台播出，同时向省台和央视推荐，并向海外社交账号提供素材。</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4.“甬城千年：《透见·宋韵》”系列文化专题片</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宁波是宋韵文化的重要存载地，梳理总结“宋韵甬存”物质和非物质遗产，挖掘宁波宋韵文化中的进步思想、高尚情操等价值，讲好“宋韵”宁波故事在当代显得尤为重要。拟拍摄制作“甬城千年：《透见·宋韵》”聚焦千百年来宁波的海外贸易史，以“千年古港”“贸易制度”“扬帆航海”“货达天下”等主题来承载，并采用“今—古—今”穿越模式，直观生动地呈现古代城市与现代城市的关联，充分展现滨海宁波的两宋风韵，让历史“活起来”，为滨海大都市建设注入文化力量。每集时长5分钟至8分钟，全年拍摄制作不少于4集，并在本地主流媒体和新媒体平台播出，同时向“学习强国”全国平台推荐。</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5.“我们的美好生活”系列短纪录片</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党的十八大以来的十年，是宁波飞速发展、取得辉煌成就的十年。本系列短纪录片拟聚焦普通人，以自述的形式，讲述这十年关于“他”的平凡又闪耀的故事，通过他们的生活变化来反映各行各业的变迁，充分展示新时代的美好生活，展现滨海宁波的奋发英姿，弘扬新时代的中国精神，让人们深刻感受到中国的速度与温度。每集时长6分钟至8分钟，全年拍摄制作不少于30集，并在本地主流媒体和新媒体平台播出，同时向“学习强国”全国平台推荐。</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6.“宁波制造”系列微纪录片</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打造全球智造创新之都，排在宁波建设“六大之都”的第一位。宁波制造业单项冠军数量在全国数一数二，是宁波靓丽的名片。拟通过系列微纪录片的形式，来讲述宁波制造在突破国际技术瓶颈的精彩故事，提炼面对困难百折不挠的宁波工匠精神。每集时长8分钟至10分钟，全年拍摄制作不少于20集，并在本地主流媒体和新媒体平台播出，同时向“学习强国”全国平台推荐。</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7.“在宁波，向未来”文化精品系列片</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拟以“最忆是宁波”“蝶变在宁波”“至味行宁波”三大主题展开，以宁波城市历史发展文化脉络为主线，选取不同的角度诠释宁波地域人文与城市精神；以宁波市近年重点文化项目实施为主题，通过重点项目工程来讲述宁波城市的变迁和发展；以宁波东海海岸线沿岸的乡村美景美食为核心，通过美食带动乡村活力，为乡村振兴赋能的劳动实践，展示宁波文旅产业的高质量发展。需符合当今视频国际化摄制潮流，通过扎实考证的历史资料，主持人配合专家和学者出镜实地讲述、文物古迹的展示拍摄、三维动画特效和原创音乐的制作等视听表现手段，增加该系列视频的文化性、艺术性和思想性。每集时长10分钟，全年拍摄制作不15集，并在本地主流媒体和新媒体平台播出。</w:t>
      </w:r>
    </w:p>
    <w:p>
      <w:pPr>
        <w:spacing w:line="356" w:lineRule="auto"/>
        <w:ind w:firstLine="420" w:firstLineChars="200"/>
        <w:rPr>
          <w:rFonts w:ascii="宋体" w:hAnsi="宋体" w:cs="宋体"/>
          <w:color w:val="auto"/>
          <w:szCs w:val="20"/>
          <w:highlight w:val="none"/>
        </w:rPr>
      </w:pP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七、展会承办的主要技术（服务）要求</w:t>
      </w:r>
    </w:p>
    <w:p>
      <w:pPr>
        <w:spacing w:before="120" w:beforeLines="50" w:after="120" w:afterLines="50" w:line="400" w:lineRule="exact"/>
        <w:rPr>
          <w:rFonts w:ascii="宋体" w:hAnsi="宋体" w:cs="宋体"/>
          <w:color w:val="auto"/>
          <w:szCs w:val="21"/>
          <w:highlight w:val="none"/>
        </w:rPr>
      </w:pPr>
    </w:p>
    <w:p>
      <w:pPr>
        <w:rPr>
          <w:rFonts w:ascii="宋体" w:hAnsi="宋体" w:cs="宋体"/>
          <w:color w:val="auto"/>
          <w:highlight w:val="none"/>
        </w:rPr>
      </w:pP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八、违约责任</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乙方逾期提供服务的，每日向甲方支付合同总金额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在合同约定的服务期内，如乙方提供的服务无法满足甲方的需要或未达到投标承诺的标准，经甲方指出后仍未有改进的，甲方可单方解除合同，由此造成甲方的一切损失均由乙方承担，履约保证金全额不予退还。</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3、乙方未按采购文件要求或投标文件承诺实施（就高原则），结合实际情况每负偏离一项扣除合同价款的3%-5%，累计违约扣除总金额不超过合同价款的30%。</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4、甲方无故逾期验收和办理货款支付手续的，每逾期一日，应按逾期付款总额</w:t>
      </w:r>
      <w:r>
        <w:rPr>
          <w:rFonts w:hint="eastAsia" w:ascii="宋体" w:hAnsi="宋体" w:cs="宋体"/>
          <w:color w:val="auto"/>
          <w:szCs w:val="20"/>
          <w:highlight w:val="none"/>
          <w:u w:val="single"/>
        </w:rPr>
        <w:t xml:space="preserve"> 0.1 </w:t>
      </w:r>
      <w:r>
        <w:rPr>
          <w:rFonts w:hint="eastAsia" w:ascii="宋体" w:hAnsi="宋体" w:cs="宋体"/>
          <w:color w:val="auto"/>
          <w:szCs w:val="20"/>
          <w:highlight w:val="none"/>
        </w:rPr>
        <w:t>‰向乙方支付违约金。</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九、合同终止</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1.乙方在合同有效期内，不得以任何理由终止合同，确有特殊情况的，须提前两个月向甲方提出书面申请，经甲方同意后，方可终止合同，同时酌情扣除履约保证金。</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2.服务期间如出现下列情形之一的，一经发现甲方有权单方解除合同，并由乙方承担由此造成的一切损失及赔偿。</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（1）采购文件中实质性条款未按投标承诺内容执行或不服从甲方要求。</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（2）未经审核发布（或策划内容）出现重大违规、违法行为或其他造成恶劣影响。</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（3）项目期间出现重大事故或造成严重社会负面影响。</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十、合同组成部分</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1、本合同及其附件、补充合同、变更协议；</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2、中标通知书；</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3、投标文件（含澄清或者说明文件）；</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4、采购文件（含澄清或者修改文件）；</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5、其他相关采购文件。</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十一、其他约定</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1、本合同服务方案、服务质量要求、人员配置及采购文件、乙方响应文件及澄清或承诺，作为合同附件，对合同条款具有补充作用，具有同等法律效力。</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2、未尽事宜，甲乙双方协商解决，并签订书面补充协议。补充协议与本合同具有同等效力。</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3、不可抗力：如果双方中任何一方由于战争、严重火灾、水灾、台风和地震以及其它经双方同意属于不可抗力的事故，致使合同履行受阻时，履行合同的期限应予延长，延长的期限应相当于事故所影响的时间。</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4、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5、本合同经双方法定代表人或授权委托代理人签字并加盖单位公章后生效。</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6、本合同履行中所发生的一切争议，应协商解决。协商不成，向甲方所在地人民法院提起诉讼。</w:t>
      </w:r>
    </w:p>
    <w:p>
      <w:pPr>
        <w:spacing w:line="356"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7、本合同壹式</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份，甲乙两方各执</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份。合同经甲、乙双方法定代表人或授权人签章后方为生效，均具有同等法律效力。</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                             乙方 ：              </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称：（印章）                   名  称：（印章）</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全权代表（签字）：                 全权代表（签字）： </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                         地    址：</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                         邮政编码：</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    话：                         电    话： </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传    真：</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pPr>
        <w:spacing w:line="35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                         帐    号：</w:t>
      </w:r>
    </w:p>
    <w:p>
      <w:pPr>
        <w:pStyle w:val="20"/>
        <w:rPr>
          <w:rFonts w:hint="default"/>
          <w:color w:val="auto"/>
          <w:highlight w:val="none"/>
        </w:rPr>
      </w:pPr>
    </w:p>
    <w:p>
      <w:pPr>
        <w:spacing w:line="360" w:lineRule="auto"/>
        <w:ind w:firstLine="413" w:firstLineChars="196"/>
        <w:rPr>
          <w:rFonts w:ascii="宋体" w:hAnsi="宋体" w:cs="宋体"/>
          <w:b/>
          <w:color w:val="auto"/>
          <w:highlight w:val="none"/>
        </w:rPr>
        <w:sectPr>
          <w:headerReference r:id="rId10" w:type="default"/>
          <w:footerReference r:id="rId11" w:type="default"/>
          <w:pgSz w:w="11906" w:h="16838"/>
          <w:pgMar w:top="1701" w:right="1797" w:bottom="1247" w:left="1797" w:header="851" w:footer="851" w:gutter="0"/>
          <w:cols w:space="720" w:num="1"/>
          <w:docGrid w:linePitch="312" w:charSpace="0"/>
        </w:sectPr>
      </w:pPr>
    </w:p>
    <w:p>
      <w:pPr>
        <w:pStyle w:val="2"/>
        <w:widowControl/>
        <w:spacing w:before="0" w:beforeLines="0" w:after="0" w:afterLines="0" w:line="360" w:lineRule="auto"/>
        <w:ind w:left="643" w:hanging="643" w:hangingChars="200"/>
        <w:jc w:val="center"/>
        <w:outlineLvl w:val="0"/>
        <w:rPr>
          <w:rFonts w:hint="default" w:hAnsi="宋体" w:cs="宋体"/>
          <w:b/>
          <w:bCs/>
          <w:color w:val="auto"/>
          <w:sz w:val="32"/>
          <w:szCs w:val="20"/>
          <w:highlight w:val="none"/>
        </w:rPr>
      </w:pPr>
      <w:bookmarkStart w:id="57" w:name="_Toc8300"/>
      <w:bookmarkStart w:id="58" w:name="_Toc24192"/>
      <w:r>
        <w:rPr>
          <w:rFonts w:hAnsi="宋体" w:cs="宋体"/>
          <w:b/>
          <w:bCs/>
          <w:color w:val="auto"/>
          <w:sz w:val="32"/>
          <w:szCs w:val="20"/>
          <w:highlight w:val="none"/>
        </w:rPr>
        <w:t>第六章 投标文件格式</w:t>
      </w:r>
      <w:bookmarkEnd w:id="57"/>
      <w:bookmarkEnd w:id="58"/>
    </w:p>
    <w:p>
      <w:pPr>
        <w:widowControl/>
        <w:rPr>
          <w:rFonts w:ascii="宋体" w:hAnsi="宋体" w:cs="宋体"/>
          <w:color w:val="auto"/>
          <w:kern w:val="0"/>
          <w:szCs w:val="20"/>
          <w:highlight w:val="none"/>
        </w:rPr>
      </w:pPr>
    </w:p>
    <w:p>
      <w:pPr>
        <w:pStyle w:val="2"/>
        <w:rPr>
          <w:rFonts w:hint="default" w:hAnsi="宋体" w:cs="宋体"/>
          <w:color w:val="auto"/>
          <w:kern w:val="0"/>
          <w:szCs w:val="20"/>
          <w:highlight w:val="none"/>
        </w:rPr>
      </w:pPr>
    </w:p>
    <w:p>
      <w:pPr>
        <w:rPr>
          <w:rFonts w:ascii="宋体" w:hAnsi="宋体" w:cs="宋体"/>
          <w:color w:val="auto"/>
          <w:highlight w:val="none"/>
        </w:rPr>
      </w:pPr>
    </w:p>
    <w:p>
      <w:pPr>
        <w:widowControl/>
        <w:numPr>
          <w:ilvl w:val="0"/>
          <w:numId w:val="19"/>
        </w:numPr>
        <w:jc w:val="center"/>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1.资格、商务技术文件封面格式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56"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ascii="宋体" w:hAnsi="宋体" w:cs="宋体"/>
          <w:color w:val="auto"/>
          <w:kern w:val="0"/>
          <w:szCs w:val="20"/>
          <w:highlight w:val="none"/>
        </w:rPr>
      </w:pPr>
    </w:p>
    <w:p>
      <w:pPr>
        <w:widowControl/>
        <w:spacing w:line="360" w:lineRule="auto"/>
        <w:ind w:firstLine="5355" w:firstLineChars="2550"/>
        <w:jc w:val="left"/>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2.资格文件目录：</w:t>
      </w:r>
    </w:p>
    <w:p>
      <w:pPr>
        <w:pStyle w:val="46"/>
        <w:ind w:firstLine="344"/>
        <w:rPr>
          <w:rFonts w:hint="default" w:ascii="宋体" w:hAnsi="宋体" w:cs="宋体"/>
          <w:color w:val="auto"/>
          <w:highlight w:val="none"/>
        </w:rPr>
      </w:pPr>
    </w:p>
    <w:p>
      <w:pPr>
        <w:rPr>
          <w:rFonts w:ascii="宋体" w:hAnsi="宋体" w:cs="宋体"/>
          <w:color w:val="auto"/>
          <w:highlight w:val="none"/>
        </w:rPr>
      </w:pPr>
    </w:p>
    <w:p>
      <w:pPr>
        <w:pStyle w:val="46"/>
        <w:ind w:firstLine="0" w:firstLineChars="0"/>
        <w:rPr>
          <w:rFonts w:hint="default" w:ascii="宋体" w:hAnsi="宋体" w:cs="宋体"/>
          <w:color w:val="auto"/>
          <w:highlight w:val="none"/>
        </w:rPr>
      </w:pP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如为联合体投标的，所有联合体单位均须提供，加盖公章）；</w:t>
      </w: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供应商资格声明函；</w:t>
      </w: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落实政府采购政策需满足的资格要求；</w:t>
      </w: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联合协议（如有）；</w:t>
      </w: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分包意向协议（如有）；</w:t>
      </w: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本项目的特定资格要求（如有，详见“第一章  公开招标公告 二、申请人的资格要求：3.本项目的特定资格要求”）</w:t>
      </w:r>
    </w:p>
    <w:p>
      <w:pPr>
        <w:numPr>
          <w:ilvl w:val="0"/>
          <w:numId w:val="20"/>
        </w:numPr>
        <w:adjustRightInd w:val="0"/>
        <w:snapToGrid w:val="0"/>
        <w:spacing w:line="360" w:lineRule="auto"/>
        <w:ind w:left="0" w:firstLine="0"/>
        <w:rPr>
          <w:rFonts w:ascii="宋体" w:hAnsi="宋体" w:cs="宋体"/>
          <w:color w:val="auto"/>
          <w:highlight w:val="none"/>
        </w:rPr>
      </w:pPr>
      <w:r>
        <w:rPr>
          <w:rFonts w:hint="eastAsia" w:ascii="宋体" w:hAnsi="宋体" w:cs="宋体"/>
          <w:color w:val="auto"/>
          <w:highlight w:val="none"/>
        </w:rPr>
        <w:t>采购文件要求的其他资格条件证明材料（如有）。</w:t>
      </w:r>
    </w:p>
    <w:p>
      <w:pPr>
        <w:widowControl/>
        <w:spacing w:line="360" w:lineRule="auto"/>
        <w:ind w:left="403"/>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3.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如为联合体投标的，所有联合体单位均须提供，加盖公章）；</w:t>
      </w:r>
    </w:p>
    <w:p>
      <w:pPr>
        <w:widowControl/>
        <w:jc w:val="left"/>
        <w:rPr>
          <w:rFonts w:ascii="宋体" w:hAnsi="宋体" w:cs="宋体"/>
          <w:b/>
          <w:color w:val="auto"/>
          <w:kern w:val="0"/>
          <w:szCs w:val="20"/>
          <w:highlight w:val="none"/>
        </w:rPr>
      </w:pPr>
    </w:p>
    <w:p>
      <w:pPr>
        <w:pStyle w:val="46"/>
        <w:ind w:firstLine="345"/>
        <w:rPr>
          <w:rFonts w:hint="default" w:ascii="宋体" w:hAnsi="宋体" w:cs="宋体"/>
          <w:b/>
          <w:color w:val="auto"/>
          <w:kern w:val="0"/>
          <w:szCs w:val="20"/>
          <w:highlight w:val="none"/>
        </w:rPr>
      </w:pPr>
    </w:p>
    <w:p>
      <w:pPr>
        <w:rPr>
          <w:rFonts w:ascii="宋体" w:hAnsi="宋体" w:cs="宋体"/>
          <w:b/>
          <w:color w:val="auto"/>
          <w:kern w:val="0"/>
          <w:szCs w:val="20"/>
          <w:highlight w:val="none"/>
        </w:rPr>
      </w:pPr>
    </w:p>
    <w:p>
      <w:pPr>
        <w:pStyle w:val="46"/>
        <w:ind w:firstLine="345"/>
        <w:rPr>
          <w:rFonts w:hint="default" w:ascii="宋体" w:hAnsi="宋体" w:cs="宋体"/>
          <w:b/>
          <w:color w:val="auto"/>
          <w:kern w:val="0"/>
          <w:szCs w:val="20"/>
          <w:highlight w:val="none"/>
        </w:rPr>
      </w:pPr>
    </w:p>
    <w:p>
      <w:pPr>
        <w:rPr>
          <w:rFonts w:ascii="宋体" w:hAnsi="宋体" w:cs="宋体"/>
          <w:b/>
          <w:color w:val="auto"/>
          <w:kern w:val="0"/>
          <w:szCs w:val="20"/>
          <w:highlight w:val="none"/>
        </w:rPr>
      </w:pPr>
    </w:p>
    <w:p>
      <w:pPr>
        <w:pStyle w:val="46"/>
        <w:ind w:firstLine="344"/>
        <w:rPr>
          <w:rFonts w:hint="default" w:ascii="宋体" w:hAnsi="宋体" w:cs="宋体"/>
          <w:color w:val="auto"/>
          <w:highlight w:val="none"/>
        </w:rPr>
      </w:pP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4.供应商资格声明函</w:t>
      </w: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关于贵司</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0"/>
          <w:szCs w:val="20"/>
          <w:highlight w:val="none"/>
          <w:u w:val="single"/>
        </w:rPr>
        <w:t xml:space="preserve">  </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项目（项目编号：　　　）的公开招标公告，本公司（企业）愿意参加投标，并声明：</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1、本公司</w:t>
      </w:r>
      <w:r>
        <w:rPr>
          <w:rFonts w:hint="eastAsia" w:ascii="宋体" w:hAnsi="宋体" w:cs="宋体"/>
          <w:color w:val="auto"/>
          <w:szCs w:val="21"/>
          <w:highlight w:val="none"/>
        </w:rPr>
        <w:t>及所有联合体成员（如有）</w:t>
      </w:r>
      <w:r>
        <w:rPr>
          <w:rFonts w:hint="eastAsia" w:ascii="宋体" w:hAnsi="宋体" w:cs="宋体"/>
          <w:color w:val="auto"/>
          <w:kern w:val="0"/>
          <w:szCs w:val="20"/>
          <w:highlight w:val="none"/>
        </w:rPr>
        <w:t>具备《中华人民共和国政府采购法》第二十二条资格条件：</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1.1、具有独立承担民事责任的能力；</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1.2、具有良好的商业信誉和健全的财务会计制度；</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1.3、具有履行合同所必需的设备和专业技术能力；</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1.4、有依法缴纳税收和社会保障资金的良好记录；</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1.5、参加政府采购活动前三年内，在经营活动中没有重大违法记录；</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1.6、法律、行政法规规定的其他条件。</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2、根据《中华人民共和国政府采购法实施条例》的规定，本公司</w:t>
      </w:r>
      <w:r>
        <w:rPr>
          <w:rFonts w:hint="eastAsia" w:ascii="宋体" w:hAnsi="宋体" w:cs="宋体"/>
          <w:color w:val="auto"/>
          <w:szCs w:val="21"/>
          <w:highlight w:val="none"/>
        </w:rPr>
        <w:t>及所有联合体成员（如有）</w:t>
      </w:r>
      <w:r>
        <w:rPr>
          <w:rFonts w:hint="eastAsia" w:ascii="宋体" w:hAnsi="宋体" w:cs="宋体"/>
          <w:color w:val="auto"/>
          <w:kern w:val="0"/>
          <w:szCs w:val="20"/>
          <w:highlight w:val="none"/>
        </w:rPr>
        <w:t>如为本采购项目提供整体设计、规范编制或者项目管理、监理、检测等服务的供应商，不得再参加该采购项目的其他采购活动。否则，由此所造成的损失、不良后果及法律责任，一律由我公司（企业）承担。</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3、本公司及所有联合体成员（如有）</w:t>
      </w:r>
      <w:r>
        <w:rPr>
          <w:rFonts w:hint="eastAsia" w:ascii="宋体" w:hAnsi="宋体" w:cs="宋体"/>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color w:val="auto"/>
          <w:kern w:val="0"/>
          <w:szCs w:val="22"/>
          <w:highlight w:val="none"/>
        </w:rPr>
        <w:t>中的禁止参加政府采购活</w:t>
      </w:r>
      <w:r>
        <w:rPr>
          <w:rFonts w:hint="eastAsia" w:ascii="宋体" w:hAnsi="宋体" w:cs="宋体"/>
          <w:color w:val="auto"/>
          <w:kern w:val="0"/>
          <w:szCs w:val="20"/>
          <w:highlight w:val="none"/>
        </w:rPr>
        <w:t>动期间。否则，由此所造成的损失、不良后果及法律责任，一律由我公司（企业）承担。</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highlight w:val="none"/>
        </w:rPr>
        <w:t>我公司已清楚采购文件的要求及有关文件规定。</w:t>
      </w: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2" w:firstLineChars="200"/>
        <w:jc w:val="left"/>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ascii="宋体" w:hAnsi="宋体" w:cs="宋体"/>
          <w:color w:val="auto"/>
          <w:spacing w:val="4"/>
          <w:kern w:val="0"/>
          <w:szCs w:val="20"/>
          <w:highlight w:val="none"/>
        </w:rPr>
      </w:pPr>
    </w:p>
    <w:p>
      <w:pPr>
        <w:rPr>
          <w:rFonts w:ascii="宋体" w:hAnsi="宋体" w:cs="宋体"/>
          <w:color w:val="auto"/>
          <w:highlight w:val="none"/>
        </w:rPr>
      </w:pPr>
    </w:p>
    <w:p>
      <w:pPr>
        <w:snapToGrid w:val="0"/>
        <w:spacing w:line="360" w:lineRule="auto"/>
        <w:ind w:right="48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供应商名称(公章):___________________</w:t>
      </w:r>
    </w:p>
    <w:p>
      <w:pPr>
        <w:snapToGrid w:val="0"/>
        <w:spacing w:line="360" w:lineRule="auto"/>
        <w:ind w:right="48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法定代表人或授权代表（签名或印章）:___________          </w:t>
      </w:r>
    </w:p>
    <w:p>
      <w:pPr>
        <w:snapToGrid w:val="0"/>
        <w:spacing w:line="360" w:lineRule="auto"/>
        <w:ind w:right="480"/>
        <w:jc w:val="left"/>
        <w:rPr>
          <w:rFonts w:ascii="宋体" w:hAnsi="宋体" w:cs="宋体"/>
          <w:b/>
          <w:color w:val="auto"/>
          <w:kern w:val="0"/>
          <w:szCs w:val="21"/>
          <w:highlight w:val="none"/>
        </w:rPr>
      </w:pPr>
      <w:r>
        <w:rPr>
          <w:rFonts w:hint="eastAsia" w:ascii="宋体" w:hAnsi="宋体" w:cs="宋体"/>
          <w:color w:val="auto"/>
          <w:kern w:val="0"/>
          <w:szCs w:val="21"/>
          <w:highlight w:val="none"/>
          <w:lang w:val="zh-CN"/>
        </w:rPr>
        <w:t>日期:_____年___月___日</w:t>
      </w:r>
    </w:p>
    <w:p>
      <w:pPr>
        <w:widowControl/>
        <w:spacing w:line="360" w:lineRule="auto"/>
        <w:jc w:val="left"/>
        <w:rPr>
          <w:rFonts w:ascii="宋体" w:hAnsi="宋体" w:cs="宋体"/>
          <w:b/>
          <w:bCs/>
          <w:color w:val="auto"/>
          <w:kern w:val="0"/>
          <w:szCs w:val="21"/>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b/>
          <w:bCs/>
          <w:color w:val="auto"/>
          <w:kern w:val="0"/>
          <w:szCs w:val="21"/>
          <w:highlight w:val="none"/>
        </w:rPr>
        <w:t>.落实政府采购政策需满足的资格要求</w:t>
      </w:r>
    </w:p>
    <w:p>
      <w:pPr>
        <w:pStyle w:val="2"/>
        <w:spacing w:before="0" w:beforeLines="0" w:after="0" w:afterLines="0"/>
        <w:rPr>
          <w:rFonts w:hint="default" w:hAnsi="宋体" w:cs="宋体"/>
          <w:bCs/>
          <w:color w:val="auto"/>
          <w:kern w:val="0"/>
          <w:szCs w:val="20"/>
          <w:highlight w:val="none"/>
        </w:rPr>
      </w:pPr>
      <w:r>
        <w:rPr>
          <w:rFonts w:hAnsi="宋体" w:cs="宋体"/>
          <w:bCs/>
          <w:color w:val="auto"/>
          <w:kern w:val="0"/>
          <w:szCs w:val="20"/>
          <w:highlight w:val="none"/>
        </w:rPr>
        <w:t>（根据招标公告落实政府采购政策需满足的资格要求选择提供相应的材料；未要求的，无需提供）</w:t>
      </w:r>
    </w:p>
    <w:p>
      <w:pPr>
        <w:pStyle w:val="2"/>
        <w:spacing w:before="0" w:beforeLines="0" w:after="0" w:afterLines="0"/>
        <w:rPr>
          <w:rFonts w:hint="default" w:hAnsi="宋体" w:cs="宋体"/>
          <w:bCs/>
          <w:color w:val="auto"/>
          <w:kern w:val="0"/>
          <w:szCs w:val="20"/>
          <w:highlight w:val="none"/>
        </w:rPr>
      </w:pPr>
    </w:p>
    <w:p>
      <w:pPr>
        <w:pStyle w:val="2"/>
        <w:rPr>
          <w:rFonts w:hint="default" w:hAnsi="宋体" w:cs="宋体"/>
          <w:bCs/>
          <w:color w:val="auto"/>
          <w:kern w:val="0"/>
          <w:szCs w:val="20"/>
          <w:highlight w:val="none"/>
        </w:rPr>
      </w:pPr>
      <w:r>
        <w:rPr>
          <w:rFonts w:hAnsi="宋体" w:cs="宋体"/>
          <w:bCs/>
          <w:color w:val="auto"/>
          <w:kern w:val="0"/>
          <w:szCs w:val="20"/>
          <w:highlight w:val="none"/>
        </w:rPr>
        <w:t>5.1、专门面向中小企业，货物全部由符合政策要求的中小企业（或小微企业）制造或者服务全部由符合政策要求的中小企业（或小微企业）承接的，提供相应的中小企业声明函。（格式附后）</w:t>
      </w:r>
    </w:p>
    <w:p>
      <w:pPr>
        <w:pStyle w:val="2"/>
        <w:spacing w:before="0" w:beforeLines="0" w:after="0" w:afterLines="0"/>
        <w:rPr>
          <w:rFonts w:hint="default" w:hAnsi="宋体" w:cs="宋体"/>
          <w:bCs/>
          <w:color w:val="auto"/>
          <w:kern w:val="0"/>
          <w:szCs w:val="20"/>
          <w:highlight w:val="none"/>
        </w:rPr>
      </w:pPr>
      <w:r>
        <w:rPr>
          <w:rFonts w:hAnsi="宋体" w:cs="宋体"/>
          <w:bCs/>
          <w:color w:val="auto"/>
          <w:kern w:val="0"/>
          <w:szCs w:val="20"/>
          <w:highlight w:val="none"/>
        </w:rPr>
        <w:t xml:space="preserve"> </w:t>
      </w:r>
    </w:p>
    <w:p>
      <w:pPr>
        <w:rPr>
          <w:rFonts w:ascii="宋体" w:hAnsi="宋体" w:cs="宋体"/>
          <w:bCs/>
          <w:color w:val="auto"/>
          <w:kern w:val="0"/>
          <w:szCs w:val="20"/>
          <w:highlight w:val="none"/>
        </w:rPr>
      </w:pPr>
    </w:p>
    <w:p>
      <w:pPr>
        <w:pStyle w:val="46"/>
        <w:ind w:firstLine="344"/>
        <w:rPr>
          <w:rFonts w:hint="default" w:ascii="宋体" w:hAnsi="宋体" w:cs="宋体"/>
          <w:bCs/>
          <w:color w:val="auto"/>
          <w:kern w:val="0"/>
          <w:szCs w:val="20"/>
          <w:highlight w:val="none"/>
        </w:rPr>
      </w:pPr>
    </w:p>
    <w:p>
      <w:pPr>
        <w:rPr>
          <w:rFonts w:ascii="宋体" w:hAnsi="宋体" w:cs="宋体"/>
          <w:bCs/>
          <w:color w:val="auto"/>
          <w:kern w:val="0"/>
          <w:szCs w:val="20"/>
          <w:highlight w:val="none"/>
        </w:rPr>
      </w:pPr>
    </w:p>
    <w:p>
      <w:pPr>
        <w:pStyle w:val="46"/>
        <w:ind w:firstLine="344"/>
        <w:rPr>
          <w:rFonts w:hint="default" w:ascii="宋体" w:hAnsi="宋体" w:cs="宋体"/>
          <w:bCs/>
          <w:color w:val="auto"/>
          <w:kern w:val="0"/>
          <w:szCs w:val="20"/>
          <w:highlight w:val="none"/>
        </w:rPr>
      </w:pPr>
    </w:p>
    <w:p>
      <w:pPr>
        <w:rPr>
          <w:rFonts w:ascii="宋体" w:hAnsi="宋体" w:cs="宋体"/>
          <w:color w:val="auto"/>
          <w:highlight w:val="none"/>
        </w:rPr>
      </w:pPr>
    </w:p>
    <w:p>
      <w:pPr>
        <w:pStyle w:val="46"/>
        <w:ind w:firstLine="344"/>
        <w:rPr>
          <w:rFonts w:hint="default" w:ascii="宋体" w:hAnsi="宋体" w:cs="宋体"/>
          <w:color w:val="auto"/>
          <w:highlight w:val="none"/>
        </w:rPr>
      </w:pPr>
    </w:p>
    <w:p>
      <w:pPr>
        <w:rPr>
          <w:rFonts w:ascii="宋体" w:hAnsi="宋体" w:cs="宋体"/>
          <w:color w:val="auto"/>
          <w:highlight w:val="none"/>
        </w:rPr>
      </w:pPr>
    </w:p>
    <w:p>
      <w:pPr>
        <w:pStyle w:val="46"/>
        <w:ind w:firstLine="344"/>
        <w:rPr>
          <w:rFonts w:hint="default" w:ascii="宋体" w:hAnsi="宋体" w:cs="宋体"/>
          <w:color w:val="auto"/>
          <w:highlight w:val="none"/>
        </w:rPr>
      </w:pPr>
    </w:p>
    <w:p>
      <w:pPr>
        <w:rPr>
          <w:rFonts w:ascii="宋体" w:hAnsi="宋体" w:cs="宋体"/>
          <w:color w:val="auto"/>
          <w:highlight w:val="none"/>
        </w:rPr>
      </w:pPr>
    </w:p>
    <w:p>
      <w:pPr>
        <w:pStyle w:val="46"/>
        <w:ind w:firstLine="344"/>
        <w:rPr>
          <w:rFonts w:hint="default" w:ascii="宋体" w:hAnsi="宋体" w:cs="宋体"/>
          <w:color w:val="auto"/>
          <w:highlight w:val="none"/>
        </w:rPr>
      </w:pPr>
    </w:p>
    <w:p>
      <w:pPr>
        <w:pStyle w:val="2"/>
        <w:rPr>
          <w:rFonts w:hint="default" w:hAnsi="宋体" w:cs="宋体"/>
          <w:bCs/>
          <w:color w:val="auto"/>
          <w:kern w:val="0"/>
          <w:szCs w:val="20"/>
          <w:highlight w:val="none"/>
        </w:rPr>
      </w:pPr>
      <w:r>
        <w:rPr>
          <w:rFonts w:hAnsi="宋体" w:cs="宋体"/>
          <w:bCs/>
          <w:color w:val="auto"/>
          <w:kern w:val="0"/>
          <w:szCs w:val="20"/>
          <w:highlight w:val="none"/>
        </w:rPr>
        <w:t>5.2、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联合协议</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u w:val="single"/>
        </w:rPr>
        <w:t>（联合体所有成员名称）</w:t>
      </w:r>
      <w:r>
        <w:rPr>
          <w:rFonts w:hint="eastAsia" w:ascii="宋体" w:hAnsi="宋体" w:cs="宋体"/>
          <w:color w:val="auto"/>
          <w:kern w:val="0"/>
          <w:highlight w:val="none"/>
        </w:rPr>
        <w:t>自愿</w:t>
      </w:r>
      <w:r>
        <w:rPr>
          <w:rFonts w:hint="eastAsia" w:ascii="宋体" w:hAnsi="宋体" w:cs="宋体"/>
          <w:color w:val="auto"/>
          <w:kern w:val="0"/>
          <w:highlight w:val="none"/>
          <w:lang w:val="zh-CN"/>
        </w:rPr>
        <w:t>组成一个联合体，以一个投标人的身份</w:t>
      </w:r>
      <w:r>
        <w:rPr>
          <w:rFonts w:hint="eastAsia" w:ascii="宋体" w:hAnsi="宋体" w:cs="宋体"/>
          <w:color w:val="auto"/>
          <w:kern w:val="0"/>
          <w:highlight w:val="none"/>
        </w:rPr>
        <w:t>参加</w:t>
      </w:r>
      <w:r>
        <w:rPr>
          <w:rFonts w:hint="eastAsia" w:ascii="宋体" w:hAnsi="宋体" w:cs="宋体"/>
          <w:color w:val="auto"/>
          <w:highlight w:val="none"/>
        </w:rPr>
        <w:t>（项目名称）【项目编号：（标段号  ）】</w:t>
      </w:r>
      <w:r>
        <w:rPr>
          <w:rFonts w:hint="eastAsia" w:ascii="宋体" w:hAnsi="宋体" w:cs="宋体"/>
          <w:color w:val="auto"/>
          <w:kern w:val="0"/>
          <w:highlight w:val="none"/>
          <w:lang w:val="zh-CN"/>
        </w:rPr>
        <w:t xml:space="preserve">投标。 </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一、各方一致决定，</w:t>
      </w:r>
      <w:r>
        <w:rPr>
          <w:rFonts w:hint="eastAsia" w:ascii="宋体" w:hAnsi="宋体" w:cs="宋体"/>
          <w:color w:val="auto"/>
          <w:kern w:val="0"/>
          <w:highlight w:val="none"/>
          <w:u w:val="single"/>
        </w:rPr>
        <w:t>（某联合体成员名称）</w:t>
      </w:r>
      <w:r>
        <w:rPr>
          <w:rFonts w:hint="eastAsia" w:ascii="宋体" w:hAnsi="宋体" w:cs="宋体"/>
          <w:color w:val="auto"/>
          <w:kern w:val="0"/>
          <w:highlight w:val="none"/>
        </w:rPr>
        <w:t>为联合体</w:t>
      </w:r>
      <w:r>
        <w:rPr>
          <w:rFonts w:hint="eastAsia" w:ascii="宋体" w:hAnsi="宋体" w:cs="宋体"/>
          <w:color w:val="auto"/>
          <w:kern w:val="0"/>
          <w:highlight w:val="none"/>
          <w:lang w:val="zh-CN"/>
        </w:rPr>
        <w:t>牵头人</w:t>
      </w:r>
      <w:r>
        <w:rPr>
          <w:rFonts w:hint="eastAsia" w:ascii="宋体" w:hAnsi="宋体" w:cs="宋体"/>
          <w:color w:val="auto"/>
          <w:highlight w:val="none"/>
        </w:rPr>
        <w:t>，代表所有联合体成员负责投标和合同实施阶段的主办、协调工作</w:t>
      </w:r>
      <w:r>
        <w:rPr>
          <w:rFonts w:hint="eastAsia" w:ascii="宋体" w:hAnsi="宋体" w:cs="宋体"/>
          <w:color w:val="auto"/>
          <w:kern w:val="0"/>
          <w:highlight w:val="none"/>
          <w:lang w:val="zh-CN"/>
        </w:rPr>
        <w:t>。</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二、</w:t>
      </w:r>
      <w:r>
        <w:rPr>
          <w:rFonts w:hint="eastAsia" w:ascii="宋体" w:hAnsi="宋体" w:cs="宋体"/>
          <w:color w:val="auto"/>
          <w:highlight w:val="none"/>
        </w:rPr>
        <w:t>所有联合体成员各方签署授权书，授权书载明的</w:t>
      </w:r>
      <w:r>
        <w:rPr>
          <w:rFonts w:hint="eastAsia" w:ascii="宋体" w:hAnsi="宋体" w:cs="宋体"/>
          <w:color w:val="auto"/>
          <w:kern w:val="0"/>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三、本次联合投标中，分工如下：</w:t>
      </w:r>
      <w:r>
        <w:rPr>
          <w:rFonts w:hint="eastAsia" w:ascii="宋体" w:hAnsi="宋体" w:cs="宋体"/>
          <w:color w:val="auto"/>
          <w:kern w:val="0"/>
          <w:highlight w:val="none"/>
          <w:u w:val="single"/>
        </w:rPr>
        <w:t>（联合体其中一方成员名称）</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（联合体其中一方成员名称）</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 xml:space="preserve"> ；……。</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四、</w:t>
      </w:r>
      <w:r>
        <w:rPr>
          <w:rFonts w:hint="eastAsia" w:ascii="宋体" w:hAnsi="宋体" w:cs="宋体"/>
          <w:color w:val="auto"/>
          <w:highlight w:val="none"/>
        </w:rPr>
        <w:t>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五、</w:t>
      </w:r>
      <w:r>
        <w:rPr>
          <w:rFonts w:hint="eastAsia" w:ascii="宋体" w:hAnsi="宋体" w:cs="宋体"/>
          <w:color w:val="auto"/>
          <w:kern w:val="0"/>
          <w:highlight w:val="none"/>
          <w:u w:val="single"/>
          <w:lang w:val="zh-CN"/>
        </w:rPr>
        <w:t>（所有成员单位名称）</w:t>
      </w:r>
      <w:r>
        <w:rPr>
          <w:rFonts w:hint="eastAsia" w:ascii="宋体" w:hAnsi="宋体" w:cs="宋体"/>
          <w:color w:val="auto"/>
          <w:kern w:val="0"/>
          <w:highlight w:val="none"/>
          <w:lang w:val="zh-CN"/>
        </w:rPr>
        <w:t xml:space="preserve"> 之间 </w:t>
      </w:r>
      <w:r>
        <w:rPr>
          <w:rFonts w:hint="eastAsia" w:ascii="宋体" w:hAnsi="宋体" w:cs="宋体"/>
          <w:color w:val="auto"/>
          <w:kern w:val="0"/>
          <w:highlight w:val="none"/>
          <w:u w:val="single"/>
          <w:lang w:val="zh-CN"/>
        </w:rPr>
        <w:t>（填写：存在/不存在）</w:t>
      </w:r>
      <w:r>
        <w:rPr>
          <w:rFonts w:hint="eastAsia" w:ascii="宋体" w:hAnsi="宋体" w:cs="宋体"/>
          <w:color w:val="auto"/>
          <w:kern w:val="0"/>
          <w:highlight w:val="none"/>
          <w:lang w:val="zh-CN"/>
        </w:rPr>
        <w:t>直接控股、管理关系。</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六、如果中标，</w:t>
      </w:r>
      <w:r>
        <w:rPr>
          <w:rFonts w:hint="eastAsia" w:ascii="宋体" w:hAnsi="宋体" w:cs="宋体"/>
          <w:color w:val="auto"/>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rPr>
        <w:t>七</w:t>
      </w:r>
      <w:r>
        <w:rPr>
          <w:rFonts w:hint="eastAsia" w:ascii="宋体" w:hAnsi="宋体" w:cs="宋体"/>
          <w:color w:val="auto"/>
          <w:kern w:val="0"/>
          <w:highlight w:val="none"/>
          <w:lang w:val="zh-CN"/>
        </w:rPr>
        <w:t>、有关本次联合投标的其他事宜：</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highlight w:val="none"/>
          <w:lang w:val="zh-CN"/>
        </w:rPr>
      </w:pPr>
      <w:r>
        <w:rPr>
          <w:rFonts w:hint="eastAsia" w:ascii="宋体" w:hAnsi="宋体" w:cs="宋体"/>
          <w:color w:val="auto"/>
          <w:kern w:val="0"/>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联合体成员名称(公章)：</w:t>
      </w:r>
    </w:p>
    <w:p>
      <w:pPr>
        <w:snapToGrid w:val="0"/>
        <w:spacing w:line="360" w:lineRule="auto"/>
        <w:ind w:firstLine="441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联合体成员名称(公章)：</w:t>
      </w:r>
    </w:p>
    <w:p>
      <w:pPr>
        <w:snapToGrid w:val="0"/>
        <w:spacing w:line="360" w:lineRule="auto"/>
        <w:ind w:firstLine="5040" w:firstLineChars="2400"/>
        <w:rPr>
          <w:rFonts w:ascii="宋体" w:hAnsi="宋体" w:cs="宋体"/>
          <w:color w:val="auto"/>
          <w:highlight w:val="none"/>
        </w:rPr>
      </w:pPr>
      <w:r>
        <w:rPr>
          <w:rFonts w:hint="eastAsia" w:ascii="宋体" w:hAnsi="宋体" w:cs="宋体"/>
          <w:color w:val="auto"/>
          <w:kern w:val="0"/>
          <w:highlight w:val="none"/>
          <w:lang w:val="zh-CN"/>
        </w:rPr>
        <w:t>……</w:t>
      </w:r>
    </w:p>
    <w:p>
      <w:pPr>
        <w:snapToGri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pPr>
        <w:pStyle w:val="46"/>
        <w:ind w:firstLine="404"/>
        <w:rPr>
          <w:rFonts w:hint="default" w:ascii="宋体" w:hAnsi="宋体" w:cs="宋体"/>
          <w:color w:val="auto"/>
          <w:kern w:val="0"/>
          <w:sz w:val="21"/>
          <w:highlight w:val="none"/>
        </w:rPr>
      </w:pPr>
    </w:p>
    <w:p>
      <w:pPr>
        <w:rPr>
          <w:rFonts w:ascii="宋体" w:hAnsi="宋体" w:cs="宋体"/>
          <w:color w:val="auto"/>
          <w:kern w:val="0"/>
          <w:highlight w:val="none"/>
          <w:lang w:val="zh-CN"/>
        </w:rPr>
      </w:pPr>
    </w:p>
    <w:p>
      <w:pPr>
        <w:pStyle w:val="46"/>
        <w:ind w:firstLine="404"/>
        <w:rPr>
          <w:rFonts w:hint="default" w:ascii="宋体" w:hAnsi="宋体" w:cs="宋体"/>
          <w:color w:val="auto"/>
          <w:kern w:val="0"/>
          <w:sz w:val="21"/>
          <w:highlight w:val="none"/>
        </w:rPr>
      </w:pPr>
    </w:p>
    <w:p>
      <w:pPr>
        <w:rPr>
          <w:rFonts w:ascii="宋体" w:hAnsi="宋体" w:cs="宋体"/>
          <w:color w:val="auto"/>
          <w:kern w:val="0"/>
          <w:highlight w:val="none"/>
          <w:lang w:val="zh-CN"/>
        </w:rPr>
      </w:pPr>
    </w:p>
    <w:p>
      <w:pPr>
        <w:pStyle w:val="46"/>
        <w:ind w:firstLine="404"/>
        <w:rPr>
          <w:rFonts w:hint="default" w:ascii="宋体" w:hAnsi="宋体" w:cs="宋体"/>
          <w:color w:val="auto"/>
          <w:kern w:val="0"/>
          <w:sz w:val="21"/>
          <w:highlight w:val="none"/>
        </w:rPr>
      </w:pPr>
    </w:p>
    <w:p>
      <w:pPr>
        <w:rPr>
          <w:rFonts w:ascii="宋体" w:hAnsi="宋体" w:cs="宋体"/>
          <w:color w:val="auto"/>
          <w:kern w:val="0"/>
          <w:highlight w:val="none"/>
          <w:lang w:val="zh-CN"/>
        </w:rPr>
      </w:pPr>
    </w:p>
    <w:p>
      <w:pPr>
        <w:pStyle w:val="46"/>
        <w:ind w:firstLine="404"/>
        <w:rPr>
          <w:rFonts w:hint="default" w:ascii="宋体" w:hAnsi="宋体" w:cs="宋体"/>
          <w:color w:val="auto"/>
          <w:kern w:val="0"/>
          <w:sz w:val="21"/>
          <w:highlight w:val="none"/>
        </w:rPr>
      </w:pPr>
    </w:p>
    <w:p>
      <w:pPr>
        <w:rPr>
          <w:rFonts w:ascii="宋体" w:hAnsi="宋体" w:cs="宋体"/>
          <w:color w:val="auto"/>
          <w:highlight w:val="none"/>
          <w:lang w:val="zh-CN"/>
        </w:rPr>
      </w:pPr>
    </w:p>
    <w:p>
      <w:pPr>
        <w:rPr>
          <w:rFonts w:ascii="宋体" w:hAnsi="宋体" w:cs="宋体"/>
          <w:color w:val="auto"/>
          <w:highlight w:val="none"/>
          <w:lang w:val="zh-CN"/>
        </w:rPr>
      </w:pPr>
    </w:p>
    <w:p>
      <w:pPr>
        <w:spacing w:line="360" w:lineRule="auto"/>
        <w:rPr>
          <w:rFonts w:ascii="宋体" w:hAnsi="宋体" w:cs="宋体"/>
          <w:color w:val="auto"/>
          <w:highlight w:val="none"/>
        </w:rPr>
      </w:pPr>
      <w:r>
        <w:rPr>
          <w:rFonts w:hint="eastAsia" w:ascii="宋体" w:hAnsi="宋体" w:cs="宋体"/>
          <w:bCs/>
          <w:color w:val="auto"/>
          <w:highlight w:val="none"/>
        </w:rPr>
        <w:t>5.3、</w:t>
      </w:r>
      <w:r>
        <w:rPr>
          <w:rFonts w:hint="eastAsia" w:ascii="宋体" w:hAnsi="宋体" w:cs="宋体"/>
          <w:color w:val="auto"/>
          <w:highlight w:val="none"/>
        </w:rPr>
        <w:t>要求合同分包的，提供分包意向协议和中小企业声明函（格式附后），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分包意向协议</w:t>
      </w:r>
    </w:p>
    <w:p>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Cs w:val="21"/>
          <w:highlight w:val="none"/>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（项目名称）【项目编号：（标段号  ）】</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pStyle w:val="4"/>
        <w:tabs>
          <w:tab w:val="left" w:pos="432"/>
        </w:tabs>
        <w:spacing w:line="360" w:lineRule="auto"/>
        <w:ind w:left="664" w:leftChars="316" w:firstLine="200" w:firstLineChars="95"/>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二、分包工作履行期限、地点、方式</w:t>
      </w:r>
    </w:p>
    <w:p>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三、质量</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四、价款或者报酬</w:t>
      </w:r>
    </w:p>
    <w:p>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五、违约责任</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六、争议解决的办法</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七、其他</w:t>
      </w:r>
    </w:p>
    <w:p>
      <w:pPr>
        <w:snapToGrid w:val="0"/>
        <w:spacing w:line="360" w:lineRule="auto"/>
        <w:ind w:left="5128" w:leftChars="342" w:hanging="4410" w:hangingChars="2100"/>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  。  </w:t>
      </w:r>
    </w:p>
    <w:p>
      <w:pPr>
        <w:snapToGrid w:val="0"/>
        <w:spacing w:line="360" w:lineRule="auto"/>
        <w:rPr>
          <w:rFonts w:ascii="宋体" w:hAnsi="宋体" w:cs="宋体"/>
          <w:color w:val="auto"/>
          <w:kern w:val="0"/>
          <w:szCs w:val="21"/>
          <w:highlight w:val="none"/>
          <w:lang w:val="zh-CN"/>
        </w:rPr>
      </w:pPr>
    </w:p>
    <w:p>
      <w:pPr>
        <w:snapToGrid w:val="0"/>
        <w:spacing w:line="360" w:lineRule="auto"/>
        <w:ind w:left="5880" w:leftChars="2800"/>
        <w:rPr>
          <w:rFonts w:ascii="宋体" w:hAnsi="宋体" w:cs="宋体"/>
          <w:color w:val="auto"/>
          <w:kern w:val="0"/>
          <w:szCs w:val="21"/>
          <w:highlight w:val="none"/>
          <w:lang w:val="zh-CN"/>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lang w:val="zh-CN"/>
        </w:rPr>
        <w:t>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pPr>
        <w:snapToGrid w:val="0"/>
        <w:spacing w:line="360" w:lineRule="auto"/>
        <w:ind w:left="5880" w:leftChars="28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pPr>
        <w:snapToGrid w:val="0"/>
        <w:spacing w:line="360" w:lineRule="auto"/>
        <w:ind w:left="5880" w:leftChars="2800"/>
        <w:rPr>
          <w:rFonts w:ascii="宋体" w:hAnsi="宋体" w:cs="宋体"/>
          <w:color w:val="auto"/>
          <w:szCs w:val="21"/>
          <w:highlight w:val="none"/>
        </w:rPr>
      </w:pPr>
      <w:r>
        <w:rPr>
          <w:rFonts w:hint="eastAsia" w:ascii="宋体" w:hAnsi="宋体" w:cs="宋体"/>
          <w:color w:val="auto"/>
          <w:kern w:val="0"/>
          <w:szCs w:val="21"/>
          <w:highlight w:val="none"/>
          <w:lang w:val="zh-CN"/>
        </w:rPr>
        <w:t>……</w:t>
      </w:r>
    </w:p>
    <w:p>
      <w:pPr>
        <w:pStyle w:val="4"/>
        <w:tabs>
          <w:tab w:val="left" w:pos="432"/>
        </w:tabs>
        <w:ind w:left="664" w:leftChars="316" w:firstLine="4605" w:firstLineChars="2193"/>
        <w:jc w:val="left"/>
        <w:rPr>
          <w:rFonts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zh-CN"/>
        </w:rPr>
        <w:t>日期：  年  月   日</w:t>
      </w:r>
    </w:p>
    <w:p>
      <w:pPr>
        <w:widowControl/>
        <w:spacing w:line="360" w:lineRule="auto"/>
        <w:jc w:val="left"/>
        <w:rPr>
          <w:rFonts w:ascii="宋体" w:hAnsi="宋体" w:cs="宋体"/>
          <w:b/>
          <w:bCs/>
          <w:color w:val="auto"/>
          <w:kern w:val="0"/>
          <w:szCs w:val="21"/>
          <w:highlight w:val="none"/>
        </w:rPr>
      </w:pPr>
    </w:p>
    <w:p>
      <w:pPr>
        <w:pStyle w:val="2"/>
        <w:rPr>
          <w:rFonts w:hint="default" w:hAnsi="宋体" w:cs="宋体"/>
          <w:b/>
          <w:bCs/>
          <w:color w:val="auto"/>
          <w:kern w:val="0"/>
          <w:highlight w:val="none"/>
        </w:rPr>
      </w:pPr>
    </w:p>
    <w:p>
      <w:pPr>
        <w:rPr>
          <w:rFonts w:ascii="宋体" w:hAnsi="宋体" w:cs="宋体"/>
          <w:color w:val="auto"/>
          <w:highlight w:val="none"/>
        </w:rPr>
      </w:pPr>
    </w:p>
    <w:p>
      <w:pPr>
        <w:rPr>
          <w:rFonts w:ascii="宋体" w:hAnsi="宋体" w:cs="宋体"/>
          <w:color w:val="auto"/>
          <w:highlight w:val="none"/>
        </w:rPr>
      </w:pP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6.本项目的特定资格要求（如有，详见“第一章公开招标公告 二、申请人的资格要求：3.本项目的特定资格要求”）</w:t>
      </w: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rPr>
        <w:t>（根据招标公告本项目的特定资格要求提供相应的材料；未要求的，无需提供）</w:t>
      </w:r>
    </w:p>
    <w:p>
      <w:pPr>
        <w:pStyle w:val="46"/>
        <w:ind w:firstLine="404"/>
        <w:rPr>
          <w:rFonts w:hint="default" w:ascii="宋体" w:hAnsi="宋体" w:cs="宋体"/>
          <w:color w:val="auto"/>
          <w:sz w:val="21"/>
          <w:highlight w:val="none"/>
        </w:rPr>
      </w:pPr>
    </w:p>
    <w:p>
      <w:pPr>
        <w:rPr>
          <w:rFonts w:ascii="宋体" w:hAnsi="宋体" w:cs="宋体"/>
          <w:color w:val="auto"/>
          <w:highlight w:val="none"/>
        </w:rPr>
      </w:pPr>
    </w:p>
    <w:p>
      <w:pPr>
        <w:pStyle w:val="46"/>
        <w:ind w:firstLine="344"/>
        <w:rPr>
          <w:rFonts w:hint="default" w:ascii="宋体" w:hAnsi="宋体" w:cs="宋体"/>
          <w:color w:val="auto"/>
          <w:highlight w:val="none"/>
        </w:rPr>
      </w:pPr>
    </w:p>
    <w:p>
      <w:pPr>
        <w:widowControl/>
        <w:snapToGrid w:val="0"/>
        <w:spacing w:before="50" w:after="156" w:afterLines="50"/>
        <w:jc w:val="left"/>
        <w:rPr>
          <w:rFonts w:ascii="宋体" w:hAnsi="宋体" w:cs="宋体"/>
          <w:b/>
          <w:color w:val="auto"/>
          <w:kern w:val="0"/>
          <w:sz w:val="24"/>
          <w:szCs w:val="20"/>
          <w:highlight w:val="none"/>
        </w:rPr>
      </w:pPr>
    </w:p>
    <w:p>
      <w:pPr>
        <w:rPr>
          <w:rFonts w:ascii="宋体" w:hAnsi="宋体" w:cs="宋体"/>
          <w:color w:val="auto"/>
          <w:highlight w:val="none"/>
        </w:rPr>
      </w:pPr>
    </w:p>
    <w:p>
      <w:pPr>
        <w:rPr>
          <w:rFonts w:ascii="宋体" w:hAnsi="宋体" w:cs="宋体"/>
          <w:color w:val="auto"/>
          <w:highlight w:val="none"/>
        </w:rPr>
      </w:pPr>
    </w:p>
    <w:p>
      <w:pPr>
        <w:pStyle w:val="2"/>
        <w:rPr>
          <w:rFonts w:hint="default" w:hAnsi="宋体" w:cs="宋体"/>
          <w:color w:val="auto"/>
          <w:highlight w:val="none"/>
        </w:rPr>
      </w:pPr>
    </w:p>
    <w:p>
      <w:pPr>
        <w:widowControl/>
        <w:spacing w:line="500" w:lineRule="exact"/>
        <w:jc w:val="left"/>
        <w:rPr>
          <w:rFonts w:ascii="宋体" w:hAnsi="宋体" w:cs="宋体"/>
          <w:color w:val="auto"/>
          <w:kern w:val="0"/>
          <w:szCs w:val="20"/>
          <w:highlight w:val="none"/>
        </w:rPr>
      </w:pPr>
      <w:r>
        <w:rPr>
          <w:rFonts w:hint="eastAsia" w:ascii="宋体" w:hAnsi="宋体" w:cs="宋体"/>
          <w:b/>
          <w:color w:val="auto"/>
          <w:kern w:val="0"/>
          <w:szCs w:val="20"/>
          <w:highlight w:val="none"/>
        </w:rPr>
        <w:t>7.采购文件要求的其他资格条件证明材料（如有）；</w:t>
      </w:r>
    </w:p>
    <w:p>
      <w:pPr>
        <w:widowControl/>
        <w:spacing w:line="500" w:lineRule="exact"/>
        <w:ind w:firstLine="420" w:firstLineChars="200"/>
        <w:jc w:val="left"/>
        <w:rPr>
          <w:rFonts w:ascii="宋体" w:hAnsi="宋体" w:cs="宋体"/>
          <w:color w:val="auto"/>
          <w:kern w:val="0"/>
          <w:szCs w:val="20"/>
          <w:highlight w:val="none"/>
        </w:rPr>
      </w:pPr>
    </w:p>
    <w:p>
      <w:pPr>
        <w:widowControl/>
        <w:snapToGrid w:val="0"/>
        <w:spacing w:line="360" w:lineRule="auto"/>
        <w:jc w:val="left"/>
        <w:rPr>
          <w:rFonts w:ascii="宋体" w:hAnsi="宋体" w:cs="宋体"/>
          <w:b/>
          <w:color w:val="auto"/>
          <w:kern w:val="0"/>
          <w:szCs w:val="22"/>
          <w:highlight w:val="none"/>
        </w:rPr>
      </w:pPr>
      <w:r>
        <w:rPr>
          <w:rFonts w:hint="eastAsia" w:ascii="宋体" w:hAnsi="宋体" w:cs="宋体"/>
          <w:color w:val="auto"/>
          <w:kern w:val="0"/>
          <w:szCs w:val="20"/>
          <w:highlight w:val="none"/>
        </w:rPr>
        <w:br w:type="page"/>
      </w:r>
      <w:r>
        <w:rPr>
          <w:rFonts w:hint="eastAsia" w:ascii="宋体" w:hAnsi="宋体" w:cs="宋体"/>
          <w:b/>
          <w:color w:val="auto"/>
          <w:kern w:val="0"/>
          <w:szCs w:val="22"/>
          <w:highlight w:val="none"/>
        </w:rPr>
        <w:t>8.商务技术文件目录</w:t>
      </w:r>
    </w:p>
    <w:p>
      <w:pPr>
        <w:pStyle w:val="20"/>
        <w:rPr>
          <w:rFonts w:hint="default"/>
          <w:color w:val="auto"/>
          <w:highlight w:val="none"/>
        </w:rPr>
      </w:pPr>
    </w:p>
    <w:p>
      <w:pPr>
        <w:pStyle w:val="21"/>
        <w:rPr>
          <w:rFonts w:hint="default"/>
          <w:color w:val="auto"/>
          <w:highlight w:val="none"/>
        </w:rPr>
      </w:pP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授权委托书或法定代表人（单位负责人、自然人本人）身份证明（格式见附件）；</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供应商基本情况表（格式见附件）；</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同类业绩情况一览表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整体投标方案：针对本项目第二章采购需求及第四章评分标准中的条款拟定各种方案，格式自拟；</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第四章评标办法及评分标准中需提供的其他相关资质证书、合同等证明材料复印件加盖公章；</w:t>
      </w:r>
    </w:p>
    <w:p>
      <w:pPr>
        <w:widowControl/>
        <w:numPr>
          <w:ilvl w:val="0"/>
          <w:numId w:val="1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ascii="宋体" w:hAnsi="宋体" w:cs="宋体"/>
          <w:b/>
          <w:bCs/>
          <w:color w:val="auto"/>
          <w:kern w:val="0"/>
          <w:szCs w:val="21"/>
          <w:highlight w:val="none"/>
        </w:rPr>
      </w:pPr>
    </w:p>
    <w:p>
      <w:pPr>
        <w:widowControl/>
        <w:ind w:firstLine="105" w:firstLineChars="50"/>
        <w:jc w:val="left"/>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snapToGrid w:val="0"/>
        <w:spacing w:before="156"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序号</w:t>
            </w:r>
          </w:p>
        </w:tc>
        <w:tc>
          <w:tcPr>
            <w:tcW w:w="4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实质性要求</w:t>
            </w:r>
          </w:p>
        </w:tc>
        <w:tc>
          <w:tcPr>
            <w:tcW w:w="2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需要提供的符合性审查资料</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b/>
                <w:color w:val="auto"/>
                <w:szCs w:val="21"/>
                <w:highlight w:val="none"/>
                <w:lang w:bidi="ar"/>
              </w:rPr>
              <w:t>自查结论</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投标文件中的</w:t>
            </w: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4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投标文件按照招标文件要求签署、盖章。</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需要使用电子签名或者签字盖章的投标文件的组成部分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□不通过</w:t>
            </w: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见投标文件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第</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4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采购人拟采购的产品属于政府强制采购的节能产品品目清单范围的，投标人按招标文件要求提供国家确定的认证机构出具的、处于有效期之内的节能产品认证证书。</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节能产品认证证书（本项目拟采购的产品不属于政府强制采购的节能产品品目清单范围的，无需提供）</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□不通过</w:t>
            </w: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见投标文件</w:t>
            </w:r>
          </w:p>
          <w:p>
            <w:pPr>
              <w:pStyle w:val="4"/>
              <w:widowControl/>
              <w:rPr>
                <w:rFonts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第</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4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投标文件中承诺的投标有效期不少于招标文件中载明的投标有效期。</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投标函</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□不通过</w:t>
            </w: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见投标文件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第</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4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投标文件满足招标文件的其它实质性要求。</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招标文件其它实质性要求相应的材料（“</w:t>
            </w:r>
            <w:r>
              <w:rPr>
                <w:rFonts w:hint="eastAsia" w:ascii="宋体" w:hAnsi="宋体" w:cs="宋体"/>
                <w:b/>
                <w:bCs/>
                <w:color w:val="auto"/>
                <w:szCs w:val="21"/>
                <w:highlight w:val="none"/>
              </w:rPr>
              <w:t>★</w:t>
            </w:r>
            <w:r>
              <w:rPr>
                <w:rFonts w:hint="eastAsia" w:ascii="宋体" w:hAnsi="宋体" w:cs="宋体"/>
                <w:color w:val="auto"/>
                <w:kern w:val="0"/>
                <w:szCs w:val="21"/>
                <w:highlight w:val="none"/>
                <w:lang w:bidi="ar"/>
              </w:rPr>
              <w:t>” 系指实质性要求条款，招标文件无其它实质性要求的，无需提供）</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□不通过</w:t>
            </w: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见投标文件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第</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4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lang w:bidi="ar"/>
              </w:rPr>
              <w:t>投标文件没有招标文件中规定的其它无效投标条款的。</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□不通过</w:t>
            </w: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见投标文件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第</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4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lang w:bidi="ar"/>
              </w:rPr>
              <w:t>按有关法律、法规、规章不属于投标无效的。</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□不通过</w:t>
            </w: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见投标文件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第</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4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rPr>
            </w:pPr>
          </w:p>
        </w:tc>
        <w:tc>
          <w:tcPr>
            <w:tcW w:w="11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bl>
    <w:p>
      <w:pPr>
        <w:widowControl/>
        <w:adjustRightInd w:val="0"/>
        <w:snapToGrid w:val="0"/>
        <w:spacing w:line="440" w:lineRule="exact"/>
        <w:jc w:val="left"/>
        <w:rPr>
          <w:rFonts w:ascii="宋体" w:hAnsi="宋体" w:cs="宋体"/>
          <w:color w:val="auto"/>
          <w:kern w:val="0"/>
          <w:szCs w:val="20"/>
          <w:highlight w:val="none"/>
        </w:rPr>
      </w:pPr>
      <w:r>
        <w:rPr>
          <w:rFonts w:hint="eastAsia" w:ascii="宋体" w:hAnsi="宋体" w:cs="宋体"/>
          <w:b/>
          <w:color w:val="auto"/>
          <w:kern w:val="0"/>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 投标函</w:t>
      </w:r>
    </w:p>
    <w:p>
      <w:pPr>
        <w:widowControl/>
        <w:snapToGrid w:val="0"/>
        <w:spacing w:before="156"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56" w:beforeLines="50" w:after="50"/>
        <w:jc w:val="center"/>
        <w:rPr>
          <w:rFonts w:ascii="宋体" w:hAnsi="宋体" w:cs="宋体"/>
          <w:b/>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（采购单位、招标代理名称）：</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项目的公开招标公告/投标邀请书（项目编号：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（供应商名称）提交投标文件。</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2.供应商在投标之前已经与贵方进行了充分的沟通，完全理解并接受采购文件的各项规定和要求，对采购文件的合理性、合法性不再有异议。</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3.本投标有效期自开标日起__</w:t>
      </w:r>
      <w:r>
        <w:rPr>
          <w:rFonts w:hint="eastAsia" w:ascii="宋体" w:hAnsi="宋体" w:cs="宋体"/>
          <w:color w:val="auto"/>
          <w:kern w:val="0"/>
          <w:szCs w:val="21"/>
          <w:highlight w:val="none"/>
          <w:u w:val="single"/>
        </w:rPr>
        <w:t>90_</w:t>
      </w:r>
      <w:r>
        <w:rPr>
          <w:rFonts w:hint="eastAsia" w:ascii="宋体" w:hAnsi="宋体" w:cs="宋体"/>
          <w:color w:val="auto"/>
          <w:kern w:val="0"/>
          <w:szCs w:val="21"/>
          <w:highlight w:val="none"/>
        </w:rPr>
        <w:t>__天。</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4.如中标，本投标文件至本项目合同履行完毕止均保持有效，本供应商将按“采购文件”及政府采购法律、法规的规定履行合同责任和义务。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1）本单位符合以下要求：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2）本投标文件提供的情况和文件完全是真实的。</w:t>
      </w:r>
    </w:p>
    <w:p>
      <w:pPr>
        <w:widowControl/>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采购文件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邮编：__________   电话：______________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银行账号：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before="50" w:after="156"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法定代表人或授权代表（签名或印章）:___________          </w:t>
      </w:r>
    </w:p>
    <w:p>
      <w:pPr>
        <w:widowControl/>
        <w:snapToGrid w:val="0"/>
        <w:spacing w:before="50" w:after="156"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日期:_____年___月___日</w:t>
      </w:r>
    </w:p>
    <w:p>
      <w:pPr>
        <w:widowControl/>
        <w:jc w:val="left"/>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11.授权委托书或法定代表人（单位负责人、自然人本人）身份证明</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snapToGrid w:val="0"/>
        <w:spacing w:line="360" w:lineRule="auto"/>
        <w:ind w:firstLine="1885" w:firstLineChars="894"/>
        <w:rPr>
          <w:rFonts w:ascii="宋体" w:hAnsi="宋体" w:cs="宋体"/>
          <w:color w:val="auto"/>
          <w:highlight w:val="none"/>
        </w:rPr>
      </w:pPr>
      <w:r>
        <w:rPr>
          <w:rFonts w:hint="eastAsia" w:ascii="宋体" w:hAnsi="宋体" w:cs="宋体"/>
          <w:b/>
          <w:color w:val="auto"/>
          <w:kern w:val="0"/>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pPr>
        <w:snapToGrid w:val="0"/>
        <w:spacing w:line="360" w:lineRule="auto"/>
        <w:ind w:firstLine="576"/>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u w:val="single"/>
        </w:rPr>
        <w:t>（项目名称）</w:t>
      </w:r>
      <w:r>
        <w:rPr>
          <w:rFonts w:hint="eastAsia" w:ascii="宋体" w:hAnsi="宋体" w:cs="宋体"/>
          <w:color w:val="auto"/>
          <w:highlight w:val="none"/>
        </w:rPr>
        <w:t>【项目编号：     （标段号  ）】</w:t>
      </w:r>
      <w:r>
        <w:rPr>
          <w:rFonts w:hint="eastAsia" w:ascii="宋体" w:hAnsi="宋体" w:cs="宋体"/>
          <w:color w:val="auto"/>
          <w:kern w:val="0"/>
          <w:highlight w:val="none"/>
          <w:lang w:val="zh-CN"/>
        </w:rPr>
        <w:t>政府采购投标的一切事项，其法律后果由我方承担。</w:t>
      </w:r>
    </w:p>
    <w:p>
      <w:pPr>
        <w:snapToGrid w:val="0"/>
        <w:spacing w:line="360" w:lineRule="auto"/>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日止。</w:t>
      </w:r>
    </w:p>
    <w:p>
      <w:pPr>
        <w:snapToGrid w:val="0"/>
        <w:spacing w:line="360" w:lineRule="auto"/>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snapToGrid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 xml:space="preserve">                                                 供应商名称(公章)：</w:t>
      </w:r>
    </w:p>
    <w:p>
      <w:pPr>
        <w:snapToGrid w:val="0"/>
        <w:spacing w:line="360" w:lineRule="auto"/>
        <w:rPr>
          <w:rFonts w:ascii="宋体" w:hAnsi="宋体" w:cs="宋体"/>
          <w:color w:val="auto"/>
          <w:highlight w:val="none"/>
        </w:rPr>
      </w:pPr>
      <w:r>
        <w:rPr>
          <w:rFonts w:hint="eastAsia" w:ascii="宋体" w:hAnsi="宋体" w:cs="宋体"/>
          <w:color w:val="auto"/>
          <w:kern w:val="0"/>
          <w:highlight w:val="none"/>
          <w:lang w:val="zh-CN"/>
        </w:rPr>
        <w:t xml:space="preserve">                                                 签发日期：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日</w:t>
      </w:r>
    </w:p>
    <w:p>
      <w:pPr>
        <w:spacing w:line="360" w:lineRule="auto"/>
        <w:jc w:val="center"/>
        <w:rPr>
          <w:rFonts w:ascii="宋体" w:hAnsi="宋体" w:cs="宋体"/>
          <w:b/>
          <w:color w:val="auto"/>
          <w:kern w:val="0"/>
          <w:highlight w:val="none"/>
          <w:lang w:val="zh-CN"/>
        </w:rPr>
      </w:pPr>
    </w:p>
    <w:p>
      <w:pPr>
        <w:spacing w:line="360" w:lineRule="auto"/>
        <w:jc w:val="center"/>
        <w:rPr>
          <w:rFonts w:ascii="宋体" w:hAnsi="宋体" w:cs="宋体"/>
          <w:b/>
          <w:color w:val="auto"/>
          <w:kern w:val="0"/>
          <w:highlight w:val="none"/>
        </w:rPr>
      </w:pPr>
      <w:r>
        <w:rPr>
          <w:rFonts w:hint="eastAsia" w:ascii="宋体" w:hAnsi="宋体" w:cs="宋体"/>
          <w:b/>
          <w:color w:val="auto"/>
          <w:kern w:val="0"/>
          <w:highlight w:val="none"/>
          <w:lang w:val="zh-CN"/>
        </w:rPr>
        <w:t>授权委托书（适用于联合体投标）</w:t>
      </w:r>
    </w:p>
    <w:p>
      <w:pPr>
        <w:snapToGrid w:val="0"/>
        <w:spacing w:line="360" w:lineRule="auto"/>
        <w:rPr>
          <w:rFonts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pPr>
        <w:snapToGrid w:val="0"/>
        <w:spacing w:line="360" w:lineRule="auto"/>
        <w:ind w:firstLine="576"/>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u w:val="single"/>
        </w:rPr>
        <w:t>（项目名称）</w:t>
      </w:r>
      <w:r>
        <w:rPr>
          <w:rFonts w:hint="eastAsia" w:ascii="宋体" w:hAnsi="宋体" w:cs="宋体"/>
          <w:color w:val="auto"/>
          <w:highlight w:val="none"/>
        </w:rPr>
        <w:t>【项目编号：   （标段号  ）】</w:t>
      </w:r>
      <w:r>
        <w:rPr>
          <w:rFonts w:hint="eastAsia" w:ascii="宋体" w:hAnsi="宋体" w:cs="宋体"/>
          <w:color w:val="auto"/>
          <w:kern w:val="0"/>
          <w:highlight w:val="none"/>
          <w:lang w:val="zh-CN"/>
        </w:rPr>
        <w:t>政府采购投标的一切事项，其法律后果由我方承担。</w:t>
      </w:r>
    </w:p>
    <w:p>
      <w:pPr>
        <w:snapToGrid w:val="0"/>
        <w:spacing w:line="360" w:lineRule="auto"/>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日止。</w:t>
      </w:r>
    </w:p>
    <w:p>
      <w:pPr>
        <w:snapToGrid w:val="0"/>
        <w:spacing w:line="360" w:lineRule="auto"/>
        <w:rPr>
          <w:rFonts w:ascii="宋体" w:hAnsi="宋体" w:cs="宋体"/>
          <w:b/>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spacing w:line="360" w:lineRule="auto"/>
        <w:rPr>
          <w:rFonts w:ascii="宋体" w:hAnsi="宋体" w:cs="宋体"/>
          <w:color w:val="auto"/>
          <w:highlight w:val="none"/>
        </w:rPr>
      </w:pPr>
    </w:p>
    <w:p>
      <w:pPr>
        <w:snapToGrid w:val="0"/>
        <w:spacing w:line="360" w:lineRule="auto"/>
        <w:ind w:firstLine="441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联合体成员名称(公章)：</w:t>
      </w:r>
    </w:p>
    <w:p>
      <w:pPr>
        <w:snapToGrid w:val="0"/>
        <w:spacing w:line="360" w:lineRule="auto"/>
        <w:ind w:firstLine="441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联合体成员名称(公章)：</w:t>
      </w:r>
    </w:p>
    <w:p>
      <w:pPr>
        <w:snapToGrid w:val="0"/>
        <w:spacing w:line="360" w:lineRule="auto"/>
        <w:ind w:firstLine="5040" w:firstLineChars="2400"/>
        <w:rPr>
          <w:rFonts w:ascii="宋体" w:hAnsi="宋体" w:cs="宋体"/>
          <w:color w:val="auto"/>
          <w:highlight w:val="none"/>
        </w:rPr>
      </w:pPr>
      <w:r>
        <w:rPr>
          <w:rFonts w:hint="eastAsia" w:ascii="宋体" w:hAnsi="宋体" w:cs="宋体"/>
          <w:color w:val="auto"/>
          <w:kern w:val="0"/>
          <w:highlight w:val="none"/>
          <w:lang w:val="zh-CN"/>
        </w:rPr>
        <w:t>……</w:t>
      </w:r>
    </w:p>
    <w:p>
      <w:pPr>
        <w:snapToGri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日</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kern w:val="0"/>
          <w:highlight w:val="none"/>
          <w:lang w:val="zh-CN"/>
        </w:rPr>
      </w:pPr>
      <w:r>
        <w:rPr>
          <w:rFonts w:hint="eastAsia" w:ascii="宋体" w:hAnsi="宋体" w:cs="宋体"/>
          <w:b/>
          <w:color w:val="auto"/>
          <w:kern w:val="0"/>
          <w:highlight w:val="none"/>
          <w:lang w:val="zh-CN"/>
        </w:rPr>
        <w:t xml:space="preserve">      </w:t>
      </w:r>
      <w:r>
        <w:rPr>
          <w:rFonts w:hint="eastAsia" w:ascii="宋体" w:hAnsi="宋体" w:cs="宋体"/>
          <w:b/>
          <w:color w:val="auto"/>
          <w:kern w:val="0"/>
          <w:highlight w:val="none"/>
        </w:rPr>
        <w:t xml:space="preserve"> </w:t>
      </w:r>
    </w:p>
    <w:p>
      <w:pPr>
        <w:spacing w:line="360" w:lineRule="auto"/>
        <w:jc w:val="center"/>
        <w:rPr>
          <w:rFonts w:ascii="宋体" w:hAnsi="宋体" w:cs="宋体"/>
          <w:b/>
          <w:color w:val="auto"/>
          <w:highlight w:val="none"/>
        </w:rPr>
      </w:pPr>
      <w:r>
        <w:rPr>
          <w:rFonts w:hint="eastAsia" w:ascii="宋体" w:hAnsi="宋体" w:cs="宋体"/>
          <w:b/>
          <w:color w:val="auto"/>
          <w:kern w:val="0"/>
          <w:highlight w:val="none"/>
          <w:lang w:val="zh-CN"/>
        </w:rPr>
        <w:t>法定代表人、单位负责人或自然人本人</w:t>
      </w:r>
      <w:r>
        <w:rPr>
          <w:rFonts w:hint="eastAsia" w:ascii="宋体" w:hAnsi="宋体" w:cs="宋体"/>
          <w:b/>
          <w:color w:val="auto"/>
          <w:highlight w:val="none"/>
        </w:rPr>
        <w:t>的身份证明（适用于法定代表人、单位负责人或者自然人本人代表投标人参加投标）</w:t>
      </w:r>
    </w:p>
    <w:p>
      <w:pPr>
        <w:pStyle w:val="210"/>
        <w:spacing w:line="360" w:lineRule="auto"/>
        <w:rPr>
          <w:rFonts w:hint="default" w:hAnsi="宋体" w:cs="宋体"/>
          <w:color w:val="auto"/>
          <w:highlight w:val="none"/>
        </w:rPr>
      </w:pPr>
    </w:p>
    <w:p>
      <w:pPr>
        <w:pStyle w:val="210"/>
        <w:spacing w:line="360" w:lineRule="auto"/>
        <w:rPr>
          <w:rFonts w:hint="default" w:hAnsi="宋体" w:cs="宋体"/>
          <w:color w:val="auto"/>
          <w:highlight w:val="none"/>
        </w:rPr>
      </w:pPr>
    </w:p>
    <w:p>
      <w:pPr>
        <w:pStyle w:val="210"/>
        <w:spacing w:line="360" w:lineRule="auto"/>
        <w:rPr>
          <w:rFonts w:hint="default" w:hAnsi="宋体" w:cs="宋体"/>
          <w:color w:val="auto"/>
          <w:highlight w:val="none"/>
        </w:rPr>
      </w:pPr>
    </w:p>
    <w:p>
      <w:pPr>
        <w:pStyle w:val="210"/>
        <w:spacing w:line="360" w:lineRule="auto"/>
        <w:rPr>
          <w:rFonts w:hint="default" w:hAnsi="宋体" w:cs="宋体"/>
          <w:color w:val="auto"/>
          <w:highlight w:val="none"/>
        </w:rPr>
      </w:pPr>
    </w:p>
    <w:p>
      <w:pPr>
        <w:pStyle w:val="210"/>
        <w:spacing w:line="360" w:lineRule="auto"/>
        <w:rPr>
          <w:rFonts w:hint="default" w:hAnsi="宋体" w:cs="宋体"/>
          <w:color w:val="auto"/>
          <w:highlight w:val="none"/>
        </w:rPr>
      </w:pPr>
    </w:p>
    <w:p>
      <w:pPr>
        <w:pStyle w:val="210"/>
        <w:spacing w:line="360" w:lineRule="auto"/>
        <w:rPr>
          <w:rFonts w:hint="default" w:hAnsi="宋体" w:cs="宋体"/>
          <w:color w:val="auto"/>
          <w:highlight w:val="none"/>
        </w:rPr>
      </w:pPr>
    </w:p>
    <w:p>
      <w:pPr>
        <w:pStyle w:val="210"/>
        <w:spacing w:line="360" w:lineRule="auto"/>
        <w:rPr>
          <w:rFonts w:hint="default" w:hAnsi="宋体" w:cs="宋体"/>
          <w:color w:val="auto"/>
          <w:highlight w:val="none"/>
        </w:rPr>
      </w:pPr>
      <w:r>
        <w:rPr>
          <w:rFonts w:hAnsi="宋体" w:cs="宋体"/>
          <w:color w:val="auto"/>
          <w:highlight w:val="none"/>
        </w:rPr>
        <w:t>身份证件扫描件：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9207" w:type="dxa"/>
            <w:tcBorders>
              <w:top w:val="single" w:color="auto" w:sz="4" w:space="0"/>
              <w:left w:val="single" w:color="auto" w:sz="4" w:space="0"/>
              <w:bottom w:val="single" w:color="auto" w:sz="4" w:space="0"/>
              <w:right w:val="single" w:color="auto" w:sz="4" w:space="0"/>
              <w:tl2br w:val="nil"/>
              <w:tr2bl w:val="nil"/>
            </w:tcBorders>
          </w:tcPr>
          <w:p>
            <w:pPr>
              <w:pStyle w:val="210"/>
              <w:adjustRightInd w:val="0"/>
              <w:spacing w:line="360" w:lineRule="auto"/>
              <w:rPr>
                <w:rFonts w:hint="default" w:hAnsi="宋体" w:cs="宋体"/>
                <w:color w:val="auto"/>
                <w:highlight w:val="none"/>
              </w:rPr>
            </w:pPr>
            <w:r>
              <w:rPr>
                <w:rFonts w:hAnsi="宋体" w:cs="宋体"/>
                <w:color w:val="auto"/>
                <w:highlight w:val="none"/>
              </w:rPr>
              <w:t>正面：                                 反面：</w:t>
            </w:r>
          </w:p>
          <w:p>
            <w:pPr>
              <w:pStyle w:val="210"/>
              <w:adjustRightInd w:val="0"/>
              <w:spacing w:line="360" w:lineRule="auto"/>
              <w:rPr>
                <w:rFonts w:hint="default" w:hAnsi="宋体" w:cs="宋体"/>
                <w:color w:val="auto"/>
                <w:highlight w:val="none"/>
              </w:rPr>
            </w:pPr>
          </w:p>
        </w:tc>
      </w:tr>
    </w:tbl>
    <w:p>
      <w:pPr>
        <w:snapToGrid w:val="0"/>
        <w:spacing w:line="360" w:lineRule="auto"/>
        <w:ind w:firstLine="576"/>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p>
    <w:p>
      <w:pPr>
        <w:snapToGrid w:val="0"/>
        <w:spacing w:line="360" w:lineRule="auto"/>
        <w:ind w:firstLine="576"/>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供应商名称(公章)：                              </w:t>
      </w:r>
    </w:p>
    <w:p>
      <w:pPr>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pPr>
        <w:widowControl/>
        <w:snapToGrid w:val="0"/>
        <w:spacing w:before="50" w:after="50"/>
        <w:jc w:val="left"/>
        <w:rPr>
          <w:rFonts w:ascii="宋体" w:hAnsi="宋体" w:cs="宋体"/>
          <w:b/>
          <w:bCs/>
          <w:color w:val="auto"/>
          <w:kern w:val="0"/>
          <w:szCs w:val="21"/>
          <w:highlight w:val="none"/>
        </w:rPr>
      </w:pPr>
    </w:p>
    <w:p>
      <w:pPr>
        <w:widowControl/>
        <w:snapToGrid w:val="0"/>
        <w:spacing w:before="50" w:after="50"/>
        <w:jc w:val="left"/>
        <w:rPr>
          <w:rFonts w:ascii="宋体" w:hAnsi="宋体" w:cs="宋体"/>
          <w:b/>
          <w:bCs/>
          <w:color w:val="auto"/>
          <w:kern w:val="0"/>
          <w:szCs w:val="21"/>
          <w:highlight w:val="none"/>
        </w:rPr>
      </w:pPr>
    </w:p>
    <w:p>
      <w:pPr>
        <w:snapToGrid w:val="0"/>
        <w:spacing w:line="360" w:lineRule="auto"/>
        <w:outlineLvl w:val="0"/>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12.供应商</w:t>
      </w:r>
      <w:r>
        <w:rPr>
          <w:rFonts w:hint="eastAsia" w:ascii="宋体" w:hAnsi="宋体" w:cs="宋体"/>
          <w:b/>
          <w:bCs/>
          <w:color w:val="auto"/>
          <w:kern w:val="0"/>
          <w:szCs w:val="21"/>
          <w:highlight w:val="none"/>
          <w:lang w:val="zh-CN"/>
        </w:rPr>
        <w:t>基本情况表</w:t>
      </w:r>
    </w:p>
    <w:p>
      <w:pPr>
        <w:widowControl/>
        <w:snapToGrid w:val="0"/>
        <w:spacing w:before="50"/>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供应商</w:t>
      </w:r>
      <w:r>
        <w:rPr>
          <w:rFonts w:hint="eastAsia" w:ascii="宋体" w:hAnsi="宋体" w:cs="宋体"/>
          <w:b/>
          <w:bCs/>
          <w:color w:val="auto"/>
          <w:kern w:val="0"/>
          <w:szCs w:val="21"/>
          <w:highlight w:val="none"/>
          <w:lang w:val="zh-CN"/>
        </w:rPr>
        <w:t>基本情况表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721"/>
        <w:gridCol w:w="777"/>
        <w:gridCol w:w="1588"/>
        <w:gridCol w:w="106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投标人名称</w:t>
            </w:r>
          </w:p>
        </w:tc>
        <w:tc>
          <w:tcPr>
            <w:tcW w:w="68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注册地址</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成立时间</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统一信用代码</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注册资金</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投标联系人姓名</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电话</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手机</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法定代表人姓名</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电话</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手机</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项目负责人姓名</w:t>
            </w:r>
          </w:p>
        </w:tc>
        <w:tc>
          <w:tcPr>
            <w:tcW w:w="1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电话</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技术职称</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员工总人数：</w:t>
            </w:r>
          </w:p>
        </w:tc>
        <w:tc>
          <w:tcPr>
            <w:tcW w:w="17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c>
          <w:tcPr>
            <w:tcW w:w="7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其中</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高级职称</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highlight w:val="none"/>
              </w:rPr>
            </w:pP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highlight w:val="none"/>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中级职称</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highlight w:val="none"/>
              </w:rPr>
            </w:pP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highlight w:val="none"/>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各类注册人员</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基本账户开户银行</w:t>
            </w:r>
          </w:p>
        </w:tc>
        <w:tc>
          <w:tcPr>
            <w:tcW w:w="68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基本账户账号</w:t>
            </w:r>
          </w:p>
        </w:tc>
        <w:tc>
          <w:tcPr>
            <w:tcW w:w="68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经营范围</w:t>
            </w:r>
          </w:p>
        </w:tc>
        <w:tc>
          <w:tcPr>
            <w:tcW w:w="68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备注</w:t>
            </w:r>
          </w:p>
        </w:tc>
        <w:tc>
          <w:tcPr>
            <w:tcW w:w="68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kern w:val="0"/>
                <w:szCs w:val="21"/>
                <w:highlight w:val="none"/>
                <w:lang w:val="zh-CN"/>
              </w:rPr>
            </w:pPr>
          </w:p>
        </w:tc>
      </w:tr>
    </w:tbl>
    <w:p>
      <w:pPr>
        <w:adjustRightInd w:val="0"/>
        <w:snapToGrid w:val="0"/>
        <w:spacing w:line="360" w:lineRule="auto"/>
        <w:ind w:firstLine="422" w:firstLineChars="20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bidi="ar"/>
        </w:rPr>
        <w:t>兹证明上述声明是真实、正确的，并提供了全部能提供的资料和数据，我们同意遵照贵方要求出示有关证明文件。</w:t>
      </w:r>
    </w:p>
    <w:p>
      <w:pPr>
        <w:snapToGrid w:val="0"/>
        <w:spacing w:line="360" w:lineRule="auto"/>
        <w:outlineLvl w:val="0"/>
        <w:rPr>
          <w:rFonts w:ascii="宋体" w:hAnsi="宋体" w:cs="宋体"/>
          <w:color w:val="auto"/>
          <w:kern w:val="0"/>
          <w:szCs w:val="21"/>
          <w:highlight w:val="none"/>
        </w:rPr>
      </w:pPr>
    </w:p>
    <w:p>
      <w:pPr>
        <w:snapToGrid w:val="0"/>
        <w:spacing w:line="360" w:lineRule="auto"/>
        <w:outlineLvl w:val="0"/>
        <w:rPr>
          <w:rFonts w:ascii="宋体" w:hAnsi="宋体" w:cs="宋体"/>
          <w:color w:val="auto"/>
          <w:kern w:val="0"/>
          <w:szCs w:val="21"/>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13.技术（服务）条款偏离表</w:t>
      </w:r>
    </w:p>
    <w:p>
      <w:pPr>
        <w:widowControl/>
        <w:snapToGrid w:val="0"/>
        <w:spacing w:before="50" w:after="156"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4647"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采购文件的技术（服务）条款</w:t>
            </w:r>
          </w:p>
        </w:tc>
        <w:tc>
          <w:tcPr>
            <w:tcW w:w="1575"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w:t>
            </w:r>
          </w:p>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响应情况</w:t>
            </w:r>
          </w:p>
        </w:tc>
        <w:tc>
          <w:tcPr>
            <w:tcW w:w="1185"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647" w:type="dxa"/>
            <w:vAlign w:val="center"/>
          </w:tcPr>
          <w:p>
            <w:pPr>
              <w:widowControl/>
              <w:spacing w:line="400" w:lineRule="exact"/>
              <w:jc w:val="center"/>
              <w:rPr>
                <w:rFonts w:ascii="宋体" w:hAnsi="宋体" w:cs="宋体"/>
                <w:color w:val="auto"/>
                <w:kern w:val="0"/>
                <w:szCs w:val="21"/>
                <w:highlight w:val="none"/>
              </w:rPr>
            </w:pP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647" w:type="dxa"/>
            <w:vAlign w:val="center"/>
          </w:tcPr>
          <w:p>
            <w:pPr>
              <w:widowControl/>
              <w:spacing w:line="400" w:lineRule="exact"/>
              <w:jc w:val="center"/>
              <w:rPr>
                <w:rFonts w:ascii="宋体" w:hAnsi="宋体" w:cs="宋体"/>
                <w:color w:val="auto"/>
                <w:kern w:val="0"/>
                <w:szCs w:val="21"/>
                <w:highlight w:val="none"/>
              </w:rPr>
            </w:pP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647" w:type="dxa"/>
            <w:vAlign w:val="center"/>
          </w:tcPr>
          <w:p>
            <w:pPr>
              <w:widowControl/>
              <w:spacing w:line="400" w:lineRule="exact"/>
              <w:jc w:val="center"/>
              <w:rPr>
                <w:rFonts w:ascii="宋体" w:hAnsi="宋体" w:cs="宋体"/>
                <w:color w:val="auto"/>
                <w:kern w:val="0"/>
                <w:szCs w:val="21"/>
                <w:highlight w:val="none"/>
              </w:rPr>
            </w:pP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647" w:type="dxa"/>
            <w:vAlign w:val="center"/>
          </w:tcPr>
          <w:p>
            <w:pPr>
              <w:widowControl/>
              <w:spacing w:line="400" w:lineRule="exact"/>
              <w:jc w:val="center"/>
              <w:rPr>
                <w:rFonts w:ascii="宋体" w:hAnsi="宋体" w:cs="宋体"/>
                <w:color w:val="auto"/>
                <w:kern w:val="0"/>
                <w:szCs w:val="21"/>
                <w:highlight w:val="none"/>
              </w:rPr>
            </w:pP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bl>
    <w:p>
      <w:pPr>
        <w:widowControl/>
        <w:snapToGrid w:val="0"/>
        <w:spacing w:before="50"/>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注：请对应“第二章  采购需求”中的技术条款资料要求做出应答。</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法定代表人或授权代表（签名或印章）：</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snapToGrid w:val="0"/>
        <w:spacing w:line="360" w:lineRule="auto"/>
        <w:outlineLvl w:val="0"/>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14. 商务条款偏离表</w:t>
      </w:r>
    </w:p>
    <w:p>
      <w:pPr>
        <w:widowControl/>
        <w:snapToGrid w:val="0"/>
        <w:spacing w:before="50" w:after="156"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47"/>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4647"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采购文件的商务条款</w:t>
            </w:r>
          </w:p>
        </w:tc>
        <w:tc>
          <w:tcPr>
            <w:tcW w:w="1575"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w:t>
            </w:r>
          </w:p>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响应情况</w:t>
            </w:r>
          </w:p>
        </w:tc>
        <w:tc>
          <w:tcPr>
            <w:tcW w:w="1185"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647" w:type="dxa"/>
            <w:vAlign w:val="center"/>
          </w:tcPr>
          <w:p>
            <w:pPr>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合同履行期限（</w:t>
            </w:r>
            <w:r>
              <w:rPr>
                <w:rFonts w:hint="eastAsia" w:ascii="宋体" w:hAnsi="宋体" w:cs="宋体"/>
                <w:color w:val="auto"/>
                <w:kern w:val="0"/>
                <w:szCs w:val="21"/>
                <w:highlight w:val="none"/>
              </w:rPr>
              <w:t>服务期限</w:t>
            </w:r>
            <w:r>
              <w:rPr>
                <w:rFonts w:hint="eastAsia" w:ascii="宋体" w:hAnsi="宋体" w:cs="宋体"/>
                <w:color w:val="auto"/>
                <w:szCs w:val="21"/>
                <w:highlight w:val="none"/>
              </w:rPr>
              <w:t>）：</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647" w:type="dxa"/>
            <w:vAlign w:val="center"/>
          </w:tcPr>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647" w:type="dxa"/>
            <w:vAlign w:val="center"/>
          </w:tcPr>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647" w:type="dxa"/>
            <w:vAlign w:val="center"/>
          </w:tcPr>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售后服务响应要求：</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647" w:type="dxa"/>
            <w:vAlign w:val="center"/>
          </w:tcPr>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履约验收：</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647" w:type="dxa"/>
            <w:vAlign w:val="center"/>
          </w:tcPr>
          <w:p>
            <w:pPr>
              <w:spacing w:line="336" w:lineRule="auto"/>
              <w:rPr>
                <w:rFonts w:ascii="宋体" w:hAnsi="宋体" w:cs="宋体"/>
                <w:color w:val="auto"/>
                <w:kern w:val="0"/>
                <w:szCs w:val="21"/>
                <w:highlight w:val="none"/>
              </w:rPr>
            </w:pPr>
            <w:r>
              <w:rPr>
                <w:rFonts w:hint="eastAsia" w:ascii="宋体" w:hAnsi="宋体" w:cs="宋体"/>
                <w:color w:val="auto"/>
                <w:highlight w:val="none"/>
              </w:rPr>
              <w:t>项目实施人员：</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647" w:type="dxa"/>
            <w:vAlign w:val="center"/>
          </w:tcPr>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违约条款：</w:t>
            </w:r>
          </w:p>
        </w:tc>
        <w:tc>
          <w:tcPr>
            <w:tcW w:w="1575" w:type="dxa"/>
            <w:vAlign w:val="center"/>
          </w:tcPr>
          <w:p>
            <w:pPr>
              <w:widowControl/>
              <w:spacing w:line="400" w:lineRule="exact"/>
              <w:jc w:val="center"/>
              <w:rPr>
                <w:rFonts w:ascii="宋体" w:hAnsi="宋体" w:cs="宋体"/>
                <w:color w:val="auto"/>
                <w:kern w:val="0"/>
                <w:szCs w:val="21"/>
                <w:highlight w:val="none"/>
              </w:rPr>
            </w:pPr>
          </w:p>
        </w:tc>
        <w:tc>
          <w:tcPr>
            <w:tcW w:w="1185" w:type="dxa"/>
            <w:vAlign w:val="center"/>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647" w:type="dxa"/>
            <w:vAlign w:val="center"/>
          </w:tcPr>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采购文件“第五章 政府采购合同主要条款”</w:t>
            </w:r>
          </w:p>
        </w:tc>
        <w:tc>
          <w:tcPr>
            <w:tcW w:w="1575" w:type="dxa"/>
          </w:tcPr>
          <w:p>
            <w:pPr>
              <w:widowControl/>
              <w:spacing w:line="400" w:lineRule="exact"/>
              <w:jc w:val="center"/>
              <w:rPr>
                <w:rFonts w:ascii="宋体" w:hAnsi="宋体" w:cs="宋体"/>
                <w:color w:val="auto"/>
                <w:kern w:val="0"/>
                <w:szCs w:val="21"/>
                <w:highlight w:val="none"/>
              </w:rPr>
            </w:pPr>
          </w:p>
        </w:tc>
        <w:tc>
          <w:tcPr>
            <w:tcW w:w="1185" w:type="dxa"/>
          </w:tcPr>
          <w:p>
            <w:pPr>
              <w:widowControl/>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647"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75" w:type="dxa"/>
          </w:tcPr>
          <w:p>
            <w:pPr>
              <w:widowControl/>
              <w:spacing w:line="400" w:lineRule="exact"/>
              <w:jc w:val="center"/>
              <w:rPr>
                <w:rFonts w:ascii="宋体" w:hAnsi="宋体" w:cs="宋体"/>
                <w:color w:val="auto"/>
                <w:kern w:val="0"/>
                <w:szCs w:val="21"/>
                <w:highlight w:val="none"/>
              </w:rPr>
            </w:pPr>
          </w:p>
        </w:tc>
        <w:tc>
          <w:tcPr>
            <w:tcW w:w="1185" w:type="dxa"/>
          </w:tcPr>
          <w:p>
            <w:pPr>
              <w:widowControl/>
              <w:spacing w:line="400" w:lineRule="exact"/>
              <w:jc w:val="center"/>
              <w:rPr>
                <w:rFonts w:ascii="宋体" w:hAnsi="宋体" w:cs="宋体"/>
                <w:color w:val="auto"/>
                <w:kern w:val="0"/>
                <w:szCs w:val="21"/>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0"/>
          <w:highlight w:val="none"/>
        </w:rPr>
        <w:t>注：供应商须按第二章《采购需求》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法定代表人或授权代表（签名或印章）：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15.同类业绩情况一览表</w:t>
      </w:r>
    </w:p>
    <w:p>
      <w:pPr>
        <w:snapToGrid w:val="0"/>
        <w:spacing w:line="360" w:lineRule="auto"/>
        <w:jc w:val="center"/>
        <w:outlineLvl w:val="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同类业绩情况一览表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7"/>
        <w:gridCol w:w="1478"/>
        <w:gridCol w:w="1280"/>
        <w:gridCol w:w="1625"/>
        <w:gridCol w:w="1636"/>
        <w:gridCol w:w="150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3"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序号</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采购单位名称</w:t>
            </w:r>
          </w:p>
        </w:tc>
        <w:tc>
          <w:tcPr>
            <w:tcW w:w="1280" w:type="dxa"/>
            <w:tcBorders>
              <w:top w:val="single" w:color="auto" w:sz="4" w:space="0"/>
              <w:left w:val="single" w:color="auto" w:sz="4" w:space="0"/>
              <w:bottom w:val="nil"/>
              <w:right w:val="single" w:color="auto" w:sz="4" w:space="0"/>
            </w:tcBorders>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项目名称</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合同金额</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（万元）</w:t>
            </w:r>
          </w:p>
        </w:tc>
        <w:tc>
          <w:tcPr>
            <w:tcW w:w="16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采购单位联系人及联系电话</w:t>
            </w: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合同签订时间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4</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5"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法定代表人或授权代表（签名或印章）：</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156" w:beforeLines="50" w:after="50"/>
        <w:jc w:val="left"/>
        <w:rPr>
          <w:rFonts w:ascii="宋体" w:hAnsi="宋体" w:cs="宋体"/>
          <w:b/>
          <w:bCs/>
          <w:color w:val="auto"/>
          <w:kern w:val="0"/>
          <w:szCs w:val="21"/>
          <w:highlight w:val="none"/>
        </w:rPr>
      </w:pPr>
    </w:p>
    <w:p>
      <w:pPr>
        <w:widowControl/>
        <w:snapToGrid w:val="0"/>
        <w:spacing w:before="156" w:beforeLines="50" w:after="50"/>
        <w:jc w:val="left"/>
        <w:rPr>
          <w:rFonts w:ascii="宋体" w:hAnsi="宋体" w:cs="宋体"/>
          <w:b/>
          <w:bCs/>
          <w:color w:val="auto"/>
          <w:kern w:val="0"/>
          <w:szCs w:val="21"/>
          <w:highlight w:val="none"/>
        </w:rPr>
      </w:pPr>
    </w:p>
    <w:p>
      <w:pPr>
        <w:pStyle w:val="20"/>
        <w:rPr>
          <w:rFonts w:hint="default"/>
          <w:color w:val="auto"/>
          <w:highlight w:val="none"/>
        </w:rPr>
      </w:pPr>
    </w:p>
    <w:p>
      <w:pPr>
        <w:widowControl/>
        <w:snapToGrid w:val="0"/>
        <w:spacing w:before="156"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16.整体投标方案：针对本项目第二章采购需求及第四章评分标准中的条款拟定各种方案，格式自拟</w:t>
      </w:r>
    </w:p>
    <w:p>
      <w:pPr>
        <w:pStyle w:val="20"/>
        <w:rPr>
          <w:rFonts w:hint="default" w:hAnsi="宋体" w:cs="宋体"/>
          <w:color w:val="auto"/>
          <w:kern w:val="0"/>
          <w:szCs w:val="21"/>
          <w:highlight w:val="none"/>
        </w:rPr>
      </w:pPr>
    </w:p>
    <w:p>
      <w:pPr>
        <w:pStyle w:val="21"/>
        <w:rPr>
          <w:rFonts w:hint="default" w:ascii="宋体" w:eastAsia="宋体" w:cs="宋体"/>
          <w:color w:val="auto"/>
          <w:szCs w:val="21"/>
          <w:highlight w:val="none"/>
        </w:rPr>
      </w:pPr>
    </w:p>
    <w:p>
      <w:pPr>
        <w:widowControl/>
        <w:snapToGrid w:val="0"/>
        <w:spacing w:before="156" w:beforeLines="50" w:after="50"/>
        <w:jc w:val="left"/>
        <w:rPr>
          <w:rFonts w:ascii="宋体" w:hAnsi="宋体" w:cs="宋体"/>
          <w:b/>
          <w:bCs/>
          <w:color w:val="auto"/>
          <w:kern w:val="0"/>
          <w:szCs w:val="21"/>
          <w:highlight w:val="none"/>
        </w:rPr>
      </w:pPr>
    </w:p>
    <w:p>
      <w:pPr>
        <w:widowControl/>
        <w:snapToGrid w:val="0"/>
        <w:spacing w:before="156"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17.第四章评标办法及评分标准中需提供的其他相关资质证书、合同等证明材料复印件加盖公章</w:t>
      </w:r>
    </w:p>
    <w:p>
      <w:pPr>
        <w:pStyle w:val="20"/>
        <w:rPr>
          <w:rFonts w:hint="default" w:hAnsi="宋体" w:cs="宋体"/>
          <w:b/>
          <w:bCs/>
          <w:color w:val="auto"/>
          <w:kern w:val="0"/>
          <w:szCs w:val="21"/>
          <w:highlight w:val="none"/>
        </w:rPr>
      </w:pPr>
    </w:p>
    <w:p>
      <w:pPr>
        <w:pStyle w:val="21"/>
        <w:rPr>
          <w:rFonts w:hint="default" w:ascii="宋体" w:eastAsia="宋体" w:cs="宋体"/>
          <w:b/>
          <w:bCs/>
          <w:color w:val="auto"/>
          <w:szCs w:val="21"/>
          <w:highlight w:val="none"/>
        </w:rPr>
      </w:pPr>
    </w:p>
    <w:p>
      <w:pPr>
        <w:pStyle w:val="21"/>
        <w:rPr>
          <w:rFonts w:hint="default" w:ascii="宋体" w:eastAsia="宋体" w:cs="宋体"/>
          <w:b/>
          <w:bCs/>
          <w:color w:val="auto"/>
          <w:szCs w:val="21"/>
          <w:highlight w:val="none"/>
        </w:rPr>
      </w:pPr>
    </w:p>
    <w:p>
      <w:pPr>
        <w:widowControl/>
        <w:snapToGrid w:val="0"/>
        <w:spacing w:before="156" w:beforeLines="50" w:after="50"/>
        <w:jc w:val="left"/>
        <w:rPr>
          <w:rFonts w:ascii="宋体" w:hAnsi="宋体" w:cs="宋体"/>
          <w:b/>
          <w:bCs/>
          <w:color w:val="auto"/>
          <w:kern w:val="0"/>
          <w:szCs w:val="21"/>
          <w:highlight w:val="none"/>
        </w:rPr>
      </w:pPr>
    </w:p>
    <w:p>
      <w:pPr>
        <w:widowControl/>
        <w:snapToGrid w:val="0"/>
        <w:spacing w:before="156"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t>18.供应商认为有需要提供的其它有关证明资料</w:t>
      </w:r>
    </w:p>
    <w:p>
      <w:pPr>
        <w:widowControl/>
        <w:snapToGrid w:val="0"/>
        <w:spacing w:before="50" w:after="156" w:afterLines="50"/>
        <w:jc w:val="center"/>
        <w:rPr>
          <w:rFonts w:ascii="宋体" w:hAnsi="宋体" w:cs="宋体"/>
          <w:color w:val="auto"/>
          <w:kern w:val="0"/>
          <w:szCs w:val="21"/>
          <w:highlight w:val="none"/>
        </w:rPr>
      </w:pPr>
    </w:p>
    <w:p>
      <w:pPr>
        <w:widowControl/>
        <w:snapToGrid w:val="0"/>
        <w:spacing w:before="50" w:after="156" w:afterLines="50"/>
        <w:jc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napToGrid w:val="0"/>
        <w:spacing w:before="50" w:after="156" w:afterLines="50"/>
        <w:jc w:val="center"/>
        <w:rPr>
          <w:rFonts w:ascii="宋体" w:hAnsi="宋体" w:cs="宋体"/>
          <w:color w:val="auto"/>
          <w:kern w:val="0"/>
          <w:szCs w:val="21"/>
          <w:highlight w:val="none"/>
        </w:rPr>
      </w:pPr>
    </w:p>
    <w:p>
      <w:pPr>
        <w:widowControl/>
        <w:snapToGrid w:val="0"/>
        <w:spacing w:before="50" w:after="156" w:afterLines="50"/>
        <w:jc w:val="center"/>
        <w:rPr>
          <w:rFonts w:ascii="宋体" w:hAnsi="宋体" w:cs="宋体"/>
          <w:color w:val="auto"/>
          <w:kern w:val="0"/>
          <w:szCs w:val="21"/>
          <w:highlight w:val="none"/>
        </w:rPr>
      </w:pPr>
    </w:p>
    <w:p>
      <w:pPr>
        <w:widowControl/>
        <w:snapToGrid w:val="0"/>
        <w:spacing w:before="50" w:after="156" w:afterLines="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二、报价文件格式</w:t>
      </w:r>
    </w:p>
    <w:p>
      <w:pPr>
        <w:pStyle w:val="2"/>
        <w:rPr>
          <w:rFonts w:hint="default" w:hAnsi="宋体" w:cs="宋体"/>
          <w:color w:val="auto"/>
          <w:highlight w:val="none"/>
        </w:rPr>
      </w:pPr>
    </w:p>
    <w:p>
      <w:pPr>
        <w:rPr>
          <w:rFonts w:ascii="宋体" w:hAnsi="宋体" w:cs="宋体"/>
          <w:color w:val="auto"/>
          <w:highlight w:val="none"/>
        </w:rPr>
      </w:pPr>
    </w:p>
    <w:p>
      <w:pPr>
        <w:widowControl/>
        <w:snapToGrid w:val="0"/>
        <w:spacing w:before="156" w:beforeLines="50" w:after="50"/>
        <w:jc w:val="left"/>
        <w:rPr>
          <w:rFonts w:ascii="宋体" w:hAnsi="宋体" w:cs="宋体"/>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报价文件封面格式</w:t>
      </w:r>
    </w:p>
    <w:p>
      <w:pPr>
        <w:widowControl/>
        <w:snapToGrid w:val="0"/>
        <w:spacing w:before="156" w:beforeLines="50" w:after="50"/>
        <w:jc w:val="left"/>
        <w:rPr>
          <w:rFonts w:ascii="宋体" w:hAnsi="宋体" w:cs="宋体"/>
          <w:b/>
          <w:bCs/>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正本/或副本</w:t>
      </w:r>
    </w:p>
    <w:p>
      <w:pPr>
        <w:widowControl/>
        <w:snapToGrid w:val="0"/>
        <w:spacing w:before="156" w:beforeLines="50" w:after="50"/>
        <w:jc w:val="left"/>
        <w:rPr>
          <w:rFonts w:ascii="宋体" w:hAnsi="宋体" w:cs="宋体"/>
          <w:color w:val="auto"/>
          <w:kern w:val="0"/>
          <w:szCs w:val="21"/>
          <w:highlight w:val="none"/>
        </w:rPr>
      </w:pPr>
    </w:p>
    <w:p>
      <w:pPr>
        <w:widowControl/>
        <w:snapToGrid w:val="0"/>
        <w:spacing w:before="156"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56" w:beforeLines="50" w:after="50"/>
        <w:jc w:val="left"/>
        <w:rPr>
          <w:rFonts w:ascii="宋体" w:hAnsi="宋体" w:cs="宋体"/>
          <w:bCs/>
          <w:color w:val="auto"/>
          <w:kern w:val="0"/>
          <w:szCs w:val="21"/>
          <w:highlight w:val="none"/>
        </w:rPr>
      </w:pPr>
    </w:p>
    <w:p>
      <w:pPr>
        <w:widowControl/>
        <w:snapToGrid w:val="0"/>
        <w:spacing w:before="156" w:beforeLines="50" w:after="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r>
        <w:rPr>
          <w:rFonts w:hint="eastAsia" w:ascii="宋体" w:hAnsi="宋体" w:cs="宋体"/>
          <w:color w:val="auto"/>
          <w:kern w:val="0"/>
          <w:szCs w:val="20"/>
          <w:highlight w:val="none"/>
        </w:rPr>
        <w:t xml:space="preserve"> </w:t>
      </w:r>
    </w:p>
    <w:p>
      <w:pPr>
        <w:widowControl/>
        <w:snapToGrid w:val="0"/>
        <w:spacing w:before="156"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56" w:beforeLines="50" w:after="50"/>
        <w:ind w:firstLine="525" w:firstLineChars="2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56" w:beforeLines="50" w:after="50"/>
        <w:ind w:firstLine="525" w:firstLineChars="250"/>
        <w:jc w:val="left"/>
        <w:rPr>
          <w:rFonts w:ascii="宋体" w:hAnsi="宋体" w:cs="宋体"/>
          <w:bCs/>
          <w:color w:val="auto"/>
          <w:kern w:val="0"/>
          <w:szCs w:val="21"/>
          <w:highlight w:val="none"/>
        </w:rPr>
      </w:pPr>
    </w:p>
    <w:p>
      <w:pPr>
        <w:widowControl/>
        <w:snapToGrid w:val="0"/>
        <w:spacing w:before="156"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pStyle w:val="2"/>
        <w:widowControl/>
        <w:snapToGrid w:val="0"/>
        <w:spacing w:before="295" w:beforeLines="0" w:after="295" w:afterLines="0" w:line="240" w:lineRule="auto"/>
        <w:jc w:val="center"/>
        <w:rPr>
          <w:rFonts w:hint="default" w:hAnsi="宋体" w:cs="宋体"/>
          <w:color w:val="auto"/>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2. 报价文件目录</w:t>
      </w:r>
    </w:p>
    <w:p>
      <w:pPr>
        <w:widowControl/>
        <w:spacing w:line="360" w:lineRule="auto"/>
        <w:jc w:val="left"/>
        <w:rPr>
          <w:rFonts w:ascii="宋体" w:hAnsi="宋体" w:cs="宋体"/>
          <w:color w:val="auto"/>
          <w:kern w:val="0"/>
          <w:szCs w:val="21"/>
          <w:highlight w:val="none"/>
        </w:rPr>
      </w:pP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（1）开标一览表；</w:t>
      </w: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（2）分项报价表；</w:t>
      </w: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（3）中小企业声明函（如有）；</w:t>
      </w: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（4）残疾人福利性单位声明函（非残疾人福利性单位无需提供本函，格式见附件；如为联合体投标的，所有联合体单位均须提供）；</w:t>
      </w: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（5）监狱企业参加政府采购活动时，应当提供由省级以上监狱管理局、戒毒管理局（含新疆生产建设兵团）出具的属于监狱企业的证明文件（如有；如为联合体投标的，所有联合体单位均须提供）；</w:t>
      </w: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（6）政府采购统计基础信息表；</w:t>
      </w:r>
    </w:p>
    <w:p>
      <w:pPr>
        <w:widowControl/>
        <w:snapToGrid w:val="0"/>
        <w:spacing w:before="156" w:beforeLines="50" w:after="50"/>
        <w:jc w:val="left"/>
        <w:rPr>
          <w:rFonts w:ascii="宋体" w:hAnsi="宋体" w:cs="宋体"/>
          <w:color w:val="auto"/>
          <w:kern w:val="0"/>
          <w:highlight w:val="none"/>
        </w:rPr>
      </w:pPr>
      <w:r>
        <w:rPr>
          <w:rFonts w:hint="eastAsia" w:ascii="宋体" w:hAnsi="宋体" w:cs="宋体"/>
          <w:color w:val="auto"/>
          <w:kern w:val="0"/>
          <w:szCs w:val="22"/>
          <w:highlight w:val="none"/>
          <w:lang w:bidi="ar"/>
        </w:rPr>
        <w:t>（7）供应商针对报价需要说明的其他文件和说明（格式自拟）。</w:t>
      </w:r>
    </w:p>
    <w:p>
      <w:pPr>
        <w:widowControl/>
        <w:snapToGrid w:val="0"/>
        <w:spacing w:before="156" w:beforeLines="50" w:after="50"/>
        <w:jc w:val="left"/>
        <w:rPr>
          <w:rFonts w:ascii="宋体" w:hAnsi="宋体" w:cs="宋体"/>
          <w:b/>
          <w:bCs/>
          <w:color w:val="auto"/>
          <w:kern w:val="0"/>
          <w:szCs w:val="21"/>
          <w:highlight w:val="none"/>
        </w:rPr>
        <w:sectPr>
          <w:headerReference r:id="rId12" w:type="default"/>
          <w:footerReference r:id="rId13" w:type="default"/>
          <w:footerReference r:id="rId14" w:type="even"/>
          <w:pgSz w:w="11906" w:h="16838"/>
          <w:pgMar w:top="1474" w:right="1797" w:bottom="1247" w:left="1800" w:header="851" w:footer="851" w:gutter="0"/>
          <w:cols w:space="720" w:num="1"/>
          <w:titlePg/>
          <w:docGrid w:type="lines" w:linePitch="312" w:charSpace="0"/>
        </w:sectPr>
      </w:pPr>
    </w:p>
    <w:p>
      <w:pPr>
        <w:widowControl/>
        <w:snapToGrid w:val="0"/>
        <w:spacing w:before="120" w:beforeLines="50" w:after="50"/>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3. 开标一览表</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ascii="宋体" w:hAnsi="宋体" w:cs="宋体"/>
          <w:b/>
          <w:color w:val="auto"/>
          <w:kern w:val="0"/>
          <w:szCs w:val="21"/>
          <w:highlight w:val="none"/>
        </w:rPr>
      </w:pPr>
    </w:p>
    <w:p>
      <w:pPr>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lang w:bidi="ar"/>
        </w:rPr>
        <w:t>（采购人）、（采购代理机构）</w:t>
      </w:r>
      <w:r>
        <w:rPr>
          <w:rFonts w:hint="eastAsia" w:ascii="宋体" w:hAnsi="宋体" w:cs="宋体"/>
          <w:color w:val="auto"/>
          <w:kern w:val="0"/>
          <w:szCs w:val="21"/>
          <w:highlight w:val="none"/>
          <w:lang w:val="zh-CN" w:bidi="ar"/>
        </w:rPr>
        <w:t>：</w:t>
      </w:r>
    </w:p>
    <w:p>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按你方招标文件要求，我们，本投标文件签字方，谨此向你方发出要约如下：如你方接受本投标，我方承诺按照如下开标一览表的价格完成</w:t>
      </w:r>
      <w:r>
        <w:rPr>
          <w:rFonts w:hint="eastAsia" w:ascii="宋体" w:hAnsi="宋体" w:cs="宋体"/>
          <w:color w:val="auto"/>
          <w:szCs w:val="21"/>
          <w:highlight w:val="none"/>
          <w:u w:val="single"/>
          <w:lang w:bidi="ar"/>
        </w:rPr>
        <w:t>（项目名称）</w:t>
      </w:r>
      <w:r>
        <w:rPr>
          <w:rFonts w:hint="eastAsia" w:ascii="宋体" w:hAnsi="宋体" w:cs="宋体"/>
          <w:color w:val="auto"/>
          <w:kern w:val="0"/>
          <w:szCs w:val="21"/>
          <w:highlight w:val="none"/>
          <w:u w:val="single"/>
          <w:lang w:val="zh-CN" w:bidi="ar"/>
        </w:rPr>
        <w:t>【项目编号：</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zh-CN" w:bidi="ar"/>
        </w:rPr>
        <w:t>（标段号  ）</w:t>
      </w:r>
      <w:r>
        <w:rPr>
          <w:rFonts w:hint="eastAsia" w:ascii="宋体" w:hAnsi="宋体" w:cs="宋体"/>
          <w:color w:val="auto"/>
          <w:szCs w:val="21"/>
          <w:highlight w:val="none"/>
          <w:u w:val="single"/>
          <w:lang w:bidi="ar"/>
        </w:rPr>
        <w:t>】</w:t>
      </w:r>
      <w:r>
        <w:rPr>
          <w:rFonts w:hint="eastAsia" w:ascii="宋体" w:hAnsi="宋体" w:cs="宋体"/>
          <w:color w:val="auto"/>
          <w:szCs w:val="21"/>
          <w:highlight w:val="none"/>
          <w:lang w:bidi="ar"/>
        </w:rPr>
        <w:t>的实施</w:t>
      </w:r>
      <w:r>
        <w:rPr>
          <w:rFonts w:hint="eastAsia" w:ascii="宋体" w:hAnsi="宋体" w:cs="宋体"/>
          <w:color w:val="auto"/>
          <w:kern w:val="0"/>
          <w:szCs w:val="21"/>
          <w:highlight w:val="none"/>
          <w:lang w:val="zh-CN" w:bidi="ar"/>
        </w:rPr>
        <w:t>。</w:t>
      </w:r>
    </w:p>
    <w:p>
      <w:pPr>
        <w:spacing w:line="360" w:lineRule="auto"/>
        <w:jc w:val="center"/>
        <w:rPr>
          <w:rFonts w:ascii="宋体" w:hAnsi="宋体" w:cs="宋体"/>
          <w:b/>
          <w:color w:val="auto"/>
          <w:kern w:val="0"/>
          <w:szCs w:val="21"/>
          <w:highlight w:val="none"/>
          <w:lang w:val="zh-CN" w:bidi="ar"/>
        </w:rPr>
      </w:pPr>
      <w:r>
        <w:rPr>
          <w:rFonts w:hint="eastAsia" w:ascii="宋体" w:hAnsi="宋体" w:cs="宋体"/>
          <w:b/>
          <w:color w:val="auto"/>
          <w:kern w:val="0"/>
          <w:szCs w:val="21"/>
          <w:highlight w:val="none"/>
          <w:lang w:val="zh-CN" w:bidi="ar"/>
        </w:rPr>
        <w:t>开标一览表（报价表）(单位均为人民币元)</w:t>
      </w:r>
    </w:p>
    <w:p>
      <w:pPr>
        <w:pStyle w:val="46"/>
        <w:ind w:firstLine="406"/>
        <w:rPr>
          <w:rFonts w:hint="default" w:ascii="宋体" w:hAnsi="宋体" w:cs="宋体"/>
          <w:b/>
          <w:color w:val="auto"/>
          <w:kern w:val="0"/>
          <w:sz w:val="21"/>
          <w:szCs w:val="21"/>
          <w:highlight w:val="none"/>
          <w:lang w:bidi="ar"/>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234"/>
        <w:gridCol w:w="3263"/>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标项号</w:t>
            </w:r>
          </w:p>
        </w:tc>
        <w:tc>
          <w:tcPr>
            <w:tcW w:w="223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3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250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合同履行期限（服务期限）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223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p>
        </w:tc>
        <w:tc>
          <w:tcPr>
            <w:tcW w:w="3263" w:type="dxa"/>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小写：</w:t>
            </w:r>
          </w:p>
          <w:p>
            <w:pPr>
              <w:adjustRightInd w:val="0"/>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大写：</w:t>
            </w:r>
          </w:p>
        </w:tc>
        <w:tc>
          <w:tcPr>
            <w:tcW w:w="250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投标声明</w:t>
            </w:r>
          </w:p>
        </w:tc>
        <w:tc>
          <w:tcPr>
            <w:tcW w:w="7998" w:type="dxa"/>
            <w:gridSpan w:val="3"/>
            <w:tcBorders>
              <w:top w:val="single" w:color="auto" w:sz="4" w:space="0"/>
              <w:left w:val="single" w:color="auto" w:sz="4" w:space="0"/>
              <w:bottom w:val="single" w:color="auto" w:sz="4" w:space="0"/>
            </w:tcBorders>
            <w:vAlign w:val="center"/>
          </w:tcPr>
          <w:p>
            <w:pPr>
              <w:adjustRightInd w:val="0"/>
              <w:spacing w:before="240" w:line="360" w:lineRule="auto"/>
              <w:jc w:val="center"/>
              <w:textAlignment w:val="baseline"/>
              <w:rPr>
                <w:rFonts w:ascii="宋体" w:hAnsi="宋体" w:cs="宋体"/>
                <w:color w:val="auto"/>
                <w:kern w:val="0"/>
                <w:szCs w:val="21"/>
                <w:highlight w:val="none"/>
              </w:rPr>
            </w:pPr>
          </w:p>
        </w:tc>
      </w:tr>
    </w:tbl>
    <w:p>
      <w:pPr>
        <w:rPr>
          <w:rFonts w:ascii="宋体" w:hAnsi="宋体" w:cs="宋体"/>
          <w:color w:val="auto"/>
          <w:highlight w:val="none"/>
          <w:lang w:val="zh-CN"/>
        </w:rPr>
      </w:pPr>
    </w:p>
    <w:p>
      <w:pPr>
        <w:snapToGrid w:val="0"/>
        <w:spacing w:line="360" w:lineRule="auto"/>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bidi="ar"/>
        </w:rPr>
        <w:t>注：</w:t>
      </w:r>
      <w:r>
        <w:rPr>
          <w:rFonts w:hint="eastAsia" w:ascii="宋体" w:hAnsi="宋体" w:cs="宋体"/>
          <w:color w:val="auto"/>
          <w:kern w:val="0"/>
          <w:szCs w:val="21"/>
          <w:highlight w:val="none"/>
          <w:lang w:val="zh-CN" w:bidi="ar"/>
        </w:rPr>
        <w:t>1、投标人需按本表格式填写，不得自行更改。</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bidi="ar"/>
        </w:rPr>
        <w:t>2、有关本项目实施所涉及的一切费用均计入报价。</w:t>
      </w:r>
      <w:r>
        <w:rPr>
          <w:rFonts w:hint="eastAsia" w:ascii="宋体" w:hAnsi="宋体" w:cs="宋体"/>
          <w:b/>
          <w:color w:val="auto"/>
          <w:kern w:val="0"/>
          <w:szCs w:val="21"/>
          <w:highlight w:val="none"/>
          <w:lang w:val="zh-CN" w:bidi="ar"/>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bidi="ar"/>
        </w:rPr>
        <w:t>，</w:t>
      </w:r>
      <w:r>
        <w:rPr>
          <w:rFonts w:hint="eastAsia" w:ascii="宋体" w:hAnsi="宋体" w:cs="宋体"/>
          <w:b/>
          <w:color w:val="auto"/>
          <w:kern w:val="0"/>
          <w:szCs w:val="21"/>
          <w:highlight w:val="none"/>
          <w:lang w:val="zh-CN" w:bidi="ar"/>
        </w:rPr>
        <w:t>不得出现“0元”“免费赠送”等形式的无偿报价，</w:t>
      </w:r>
      <w:r>
        <w:rPr>
          <w:rFonts w:hint="eastAsia" w:ascii="宋体" w:hAnsi="宋体" w:cs="宋体"/>
          <w:b/>
          <w:color w:val="auto"/>
          <w:kern w:val="0"/>
          <w:szCs w:val="21"/>
          <w:highlight w:val="none"/>
          <w:lang w:bidi="ar"/>
        </w:rPr>
        <w:t>否则视为</w:t>
      </w:r>
      <w:r>
        <w:rPr>
          <w:rFonts w:hint="eastAsia" w:ascii="宋体" w:hAnsi="宋体" w:cs="宋体"/>
          <w:b/>
          <w:color w:val="auto"/>
          <w:szCs w:val="21"/>
          <w:highlight w:val="none"/>
          <w:lang w:bidi="ar"/>
        </w:rPr>
        <w:t>投标文件含有采购人不能接受的附加条件的，投标无效</w:t>
      </w:r>
      <w:r>
        <w:rPr>
          <w:rFonts w:hint="eastAsia" w:ascii="宋体" w:hAnsi="宋体" w:cs="宋体"/>
          <w:b/>
          <w:color w:val="auto"/>
          <w:kern w:val="0"/>
          <w:szCs w:val="21"/>
          <w:highlight w:val="none"/>
          <w:lang w:val="zh-CN" w:bidi="ar"/>
        </w:rPr>
        <w:t>。</w:t>
      </w:r>
    </w:p>
    <w:p>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zh-CN" w:bidi="ar"/>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left="3780" w:leftChars="180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供应商（公章）：</w:t>
      </w:r>
    </w:p>
    <w:p>
      <w:pPr>
        <w:rPr>
          <w:rFonts w:ascii="宋体" w:hAnsi="宋体" w:cs="宋体"/>
          <w:color w:val="auto"/>
          <w:szCs w:val="21"/>
          <w:highlight w:val="none"/>
        </w:rPr>
      </w:pPr>
      <w:r>
        <w:rPr>
          <w:rFonts w:hint="eastAsia" w:ascii="宋体" w:hAnsi="宋体" w:cs="宋体"/>
          <w:color w:val="auto"/>
          <w:szCs w:val="21"/>
          <w:highlight w:val="none"/>
        </w:rPr>
        <w:t xml:space="preserve">法定代表人或授权代表（签名或印章）：                        </w:t>
      </w:r>
    </w:p>
    <w:p>
      <w:pPr>
        <w:rPr>
          <w:rFonts w:ascii="宋体" w:hAnsi="宋体" w:cs="宋体"/>
          <w:color w:val="auto"/>
          <w:szCs w:val="21"/>
          <w:highlight w:val="none"/>
        </w:rPr>
      </w:pPr>
      <w:r>
        <w:rPr>
          <w:rFonts w:hint="eastAsia" w:ascii="宋体" w:hAnsi="宋体" w:cs="宋体"/>
          <w:color w:val="auto"/>
          <w:szCs w:val="21"/>
          <w:highlight w:val="none"/>
        </w:rPr>
        <w:t>日期：</w:t>
      </w:r>
    </w:p>
    <w:p>
      <w:pPr>
        <w:widowControl/>
        <w:snapToGrid w:val="0"/>
        <w:spacing w:before="50" w:after="50"/>
        <w:ind w:firstLine="210" w:firstLineChars="100"/>
        <w:jc w:val="left"/>
        <w:rPr>
          <w:rFonts w:ascii="宋体" w:hAnsi="宋体" w:cs="宋体"/>
          <w:color w:val="auto"/>
          <w:kern w:val="0"/>
          <w:szCs w:val="21"/>
          <w:highlight w:val="none"/>
        </w:rPr>
      </w:pPr>
    </w:p>
    <w:p>
      <w:pPr>
        <w:snapToGrid w:val="0"/>
        <w:spacing w:before="50" w:after="50"/>
        <w:ind w:right="-817" w:rightChars="-389"/>
        <w:rPr>
          <w:rFonts w:ascii="宋体" w:hAnsi="宋体" w:cs="宋体"/>
          <w:b/>
          <w:bCs/>
          <w:color w:val="auto"/>
          <w:szCs w:val="21"/>
          <w:highlight w:val="none"/>
        </w:rPr>
        <w:sectPr>
          <w:headerReference r:id="rId15" w:type="default"/>
          <w:footerReference r:id="rId16" w:type="default"/>
          <w:pgSz w:w="11906" w:h="16838"/>
          <w:pgMar w:top="1474" w:right="1797" w:bottom="1247" w:left="1797" w:header="851" w:footer="851" w:gutter="0"/>
          <w:cols w:space="720" w:num="1"/>
          <w:docGrid w:linePitch="312" w:charSpace="0"/>
        </w:sectPr>
      </w:pPr>
    </w:p>
    <w:p>
      <w:pPr>
        <w:snapToGrid w:val="0"/>
        <w:spacing w:before="50" w:after="50"/>
        <w:ind w:right="-817" w:rightChars="-389"/>
        <w:rPr>
          <w:rFonts w:ascii="宋体" w:hAnsi="宋体" w:cs="宋体"/>
          <w:b/>
          <w:color w:val="auto"/>
          <w:szCs w:val="21"/>
          <w:highlight w:val="none"/>
        </w:rPr>
      </w:pPr>
      <w:r>
        <w:rPr>
          <w:rFonts w:hint="eastAsia" w:ascii="宋体" w:hAnsi="宋体" w:cs="宋体"/>
          <w:b/>
          <w:bCs/>
          <w:color w:val="auto"/>
          <w:szCs w:val="21"/>
          <w:highlight w:val="none"/>
        </w:rPr>
        <w:t>4.分项报价表</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分项报价表</w:t>
      </w:r>
    </w:p>
    <w:p>
      <w:pPr>
        <w:pStyle w:val="2"/>
        <w:spacing w:before="120" w:after="120"/>
        <w:jc w:val="right"/>
        <w:rPr>
          <w:rFonts w:hint="default" w:hAnsi="宋体" w:cs="宋体"/>
          <w:b/>
          <w:bCs/>
          <w:color w:val="auto"/>
          <w:highlight w:val="none"/>
        </w:rPr>
      </w:pPr>
      <w:r>
        <w:rPr>
          <w:rFonts w:hAnsi="宋体" w:cs="宋体"/>
          <w:b/>
          <w:bCs/>
          <w:color w:val="auto"/>
          <w:highlight w:val="none"/>
        </w:rPr>
        <w:t>单位：人民币元</w:t>
      </w:r>
    </w:p>
    <w:tbl>
      <w:tblPr>
        <w:tblStyle w:val="47"/>
        <w:tblW w:w="1011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名称</w:t>
            </w: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单价</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合计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w:t>
            </w: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870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投标报价</w:t>
            </w: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注：本表“投标报价”应和开标一览表的“投标报价”一致。</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供应商（公章）：</w:t>
      </w:r>
    </w:p>
    <w:p>
      <w:pPr>
        <w:rPr>
          <w:rFonts w:ascii="宋体" w:hAnsi="宋体" w:cs="宋体"/>
          <w:color w:val="auto"/>
          <w:szCs w:val="21"/>
          <w:highlight w:val="none"/>
        </w:rPr>
      </w:pPr>
      <w:r>
        <w:rPr>
          <w:rFonts w:hint="eastAsia" w:ascii="宋体" w:hAnsi="宋体" w:cs="宋体"/>
          <w:color w:val="auto"/>
          <w:szCs w:val="21"/>
          <w:highlight w:val="none"/>
        </w:rPr>
        <w:t xml:space="preserve">法定代表人或授权代表（签名或印章）：                        </w:t>
      </w:r>
    </w:p>
    <w:p>
      <w:pPr>
        <w:rPr>
          <w:rFonts w:ascii="宋体" w:hAnsi="宋体" w:cs="宋体"/>
          <w:color w:val="auto"/>
          <w:szCs w:val="21"/>
          <w:highlight w:val="none"/>
        </w:rPr>
      </w:pPr>
      <w:r>
        <w:rPr>
          <w:rFonts w:hint="eastAsia" w:ascii="宋体" w:hAnsi="宋体" w:cs="宋体"/>
          <w:color w:val="auto"/>
          <w:szCs w:val="21"/>
          <w:highlight w:val="none"/>
        </w:rPr>
        <w:t>日期：</w:t>
      </w:r>
    </w:p>
    <w:p>
      <w:pPr>
        <w:pStyle w:val="2"/>
        <w:spacing w:before="120" w:after="120"/>
        <w:rPr>
          <w:rFonts w:hint="default" w:hAnsi="宋体" w:cs="宋体"/>
          <w:color w:val="auto"/>
          <w:highlight w:val="none"/>
        </w:rPr>
      </w:pPr>
    </w:p>
    <w:p>
      <w:pPr>
        <w:rPr>
          <w:rFonts w:ascii="宋体" w:hAnsi="宋体" w:cs="宋体"/>
          <w:color w:val="auto"/>
          <w:highlight w:val="none"/>
        </w:rPr>
      </w:pPr>
      <w:r>
        <w:rPr>
          <w:rFonts w:hint="eastAsia" w:ascii="宋体" w:hAnsi="宋体" w:cs="宋体"/>
          <w:b/>
          <w:bCs/>
          <w:color w:val="auto"/>
          <w:szCs w:val="21"/>
          <w:highlight w:val="none"/>
        </w:rPr>
        <w:br w:type="page"/>
      </w:r>
    </w:p>
    <w:p>
      <w:pPr>
        <w:pStyle w:val="41"/>
        <w:widowControl w:val="0"/>
        <w:tabs>
          <w:tab w:val="left" w:pos="420"/>
        </w:tabs>
        <w:snapToGrid w:val="0"/>
        <w:spacing w:before="120" w:beforeAutospacing="0" w:after="120" w:afterAutospacing="0" w:line="360" w:lineRule="auto"/>
        <w:jc w:val="both"/>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5.中小企业声明函</w:t>
      </w:r>
    </w:p>
    <w:p>
      <w:pPr>
        <w:widowControl/>
        <w:spacing w:line="400" w:lineRule="exact"/>
        <w:ind w:firstLine="105" w:firstLineChars="50"/>
        <w:jc w:val="left"/>
        <w:rPr>
          <w:rFonts w:ascii="宋体" w:hAnsi="宋体" w:cs="宋体"/>
          <w:b/>
          <w:color w:val="auto"/>
          <w:szCs w:val="21"/>
          <w:highlight w:val="none"/>
        </w:rPr>
      </w:pPr>
      <w:r>
        <w:rPr>
          <w:rFonts w:hint="eastAsia" w:ascii="宋体" w:hAnsi="宋体" w:cs="宋体"/>
          <w:b/>
          <w:color w:val="auto"/>
          <w:szCs w:val="21"/>
          <w:highlight w:val="none"/>
          <w:lang w:bidi="ar"/>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400" w:lineRule="exact"/>
        <w:jc w:val="center"/>
        <w:rPr>
          <w:rFonts w:ascii="宋体" w:hAnsi="宋体" w:cs="宋体"/>
          <w:b/>
          <w:color w:val="auto"/>
          <w:szCs w:val="21"/>
          <w:highlight w:val="none"/>
        </w:rPr>
      </w:pPr>
    </w:p>
    <w:p>
      <w:pPr>
        <w:spacing w:after="120" w:line="520" w:lineRule="exact"/>
        <w:ind w:left="420" w:leftChars="200"/>
        <w:jc w:val="center"/>
        <w:rPr>
          <w:rFonts w:ascii="宋体" w:hAnsi="宋体" w:cs="宋体"/>
          <w:b/>
          <w:color w:val="auto"/>
          <w:sz w:val="28"/>
          <w:highlight w:val="none"/>
        </w:rPr>
      </w:pPr>
      <w:r>
        <w:rPr>
          <w:rFonts w:hint="eastAsia" w:ascii="宋体" w:hAnsi="宋体" w:cs="宋体"/>
          <w:b/>
          <w:color w:val="auto"/>
          <w:sz w:val="28"/>
          <w:szCs w:val="28"/>
          <w:highlight w:val="none"/>
        </w:rPr>
        <w:t>中小企业声明函（服务）</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numPr>
          <w:ilvl w:val="0"/>
          <w:numId w:val="21"/>
        </w:num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租赁和商务服务业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spacing w:line="5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numPr>
          <w:ilvl w:val="0"/>
          <w:numId w:val="21"/>
        </w:num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租赁和商务服务业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spacing w:line="5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企业名称（盖章）：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spacing w:line="500" w:lineRule="exact"/>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2、根据工信部联企业[2011]300号规定。</w:t>
      </w:r>
      <w:r>
        <w:rPr>
          <w:rFonts w:hint="eastAsia" w:ascii="宋体" w:hAnsi="宋体" w:cs="宋体"/>
          <w:b/>
          <w:bCs/>
          <w:color w:val="auto"/>
          <w:szCs w:val="21"/>
          <w:highlight w:val="none"/>
        </w:rPr>
        <w:t>租赁和商务服务业：</w:t>
      </w:r>
      <w:r>
        <w:rPr>
          <w:rFonts w:hint="eastAsia" w:ascii="宋体" w:hAnsi="宋体" w:cs="宋体"/>
          <w:color w:val="auto"/>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utoSpaceDE w:val="0"/>
        <w:spacing w:line="360" w:lineRule="auto"/>
        <w:ind w:firstLine="211" w:firstLineChars="100"/>
        <w:jc w:val="left"/>
        <w:rPr>
          <w:rFonts w:ascii="宋体" w:hAnsi="宋体" w:cs="宋体"/>
          <w:color w:val="auto"/>
          <w:highlight w:val="none"/>
        </w:rPr>
      </w:pPr>
      <w:r>
        <w:rPr>
          <w:rFonts w:hint="eastAsia" w:ascii="宋体" w:hAnsi="宋体" w:cs="宋体"/>
          <w:b/>
          <w:bCs/>
          <w:color w:val="auto"/>
          <w:kern w:val="0"/>
          <w:szCs w:val="21"/>
          <w:highlight w:val="none"/>
          <w:lang w:bidi="ar"/>
        </w:rPr>
        <w:t>风险提示：</w:t>
      </w:r>
    </w:p>
    <w:p>
      <w:pPr>
        <w:widowControl/>
        <w:spacing w:line="360" w:lineRule="auto"/>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1、《中小企业声明函》格式中所属行业不允许修改，并明确各标的对应所属企业类型。</w:t>
      </w:r>
    </w:p>
    <w:p>
      <w:pPr>
        <w:widowControl/>
        <w:spacing w:line="360" w:lineRule="auto"/>
        <w:jc w:val="left"/>
        <w:rPr>
          <w:rFonts w:ascii="宋体" w:hAnsi="宋体" w:cs="宋体"/>
          <w:color w:val="auto"/>
          <w:highlight w:val="none"/>
        </w:rPr>
      </w:pPr>
      <w:r>
        <w:rPr>
          <w:rFonts w:hint="eastAsia" w:ascii="宋体" w:hAnsi="宋体" w:cs="宋体"/>
          <w:color w:val="auto"/>
          <w:kern w:val="0"/>
          <w:szCs w:val="21"/>
          <w:highlight w:val="none"/>
          <w:lang w:bidi="ar"/>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400" w:lineRule="exact"/>
        <w:ind w:right="-420" w:rightChars="-200" w:firstLine="420" w:firstLineChars="200"/>
        <w:rPr>
          <w:rFonts w:ascii="宋体" w:hAnsi="宋体" w:cs="宋体"/>
          <w:color w:val="auto"/>
          <w:szCs w:val="21"/>
          <w:highlight w:val="none"/>
        </w:rPr>
      </w:pPr>
    </w:p>
    <w:p>
      <w:pPr>
        <w:spacing w:line="360" w:lineRule="auto"/>
        <w:rPr>
          <w:rFonts w:ascii="宋体" w:hAnsi="宋体" w:cs="宋体"/>
          <w:b/>
          <w:color w:val="auto"/>
          <w:szCs w:val="21"/>
          <w:highlight w:val="none"/>
          <w:lang w:bidi="ar"/>
        </w:rPr>
      </w:pPr>
    </w:p>
    <w:p>
      <w:pPr>
        <w:spacing w:line="360" w:lineRule="auto"/>
        <w:rPr>
          <w:rFonts w:ascii="宋体" w:hAnsi="宋体" w:cs="宋体"/>
          <w:b/>
          <w:color w:val="auto"/>
          <w:szCs w:val="21"/>
          <w:highlight w:val="none"/>
          <w:lang w:bidi="ar"/>
        </w:rPr>
      </w:pPr>
    </w:p>
    <w:p>
      <w:pPr>
        <w:spacing w:line="360" w:lineRule="auto"/>
        <w:rPr>
          <w:rFonts w:ascii="宋体" w:hAnsi="宋体" w:cs="宋体"/>
          <w:b/>
          <w:color w:val="auto"/>
          <w:szCs w:val="21"/>
          <w:highlight w:val="none"/>
          <w:lang w:bidi="ar"/>
        </w:rPr>
      </w:pPr>
    </w:p>
    <w:p>
      <w:pPr>
        <w:spacing w:line="360" w:lineRule="auto"/>
        <w:rPr>
          <w:rFonts w:ascii="宋体" w:hAnsi="宋体" w:cs="宋体"/>
          <w:b/>
          <w:color w:val="auto"/>
          <w:szCs w:val="21"/>
          <w:highlight w:val="none"/>
          <w:lang w:bidi="ar"/>
        </w:rPr>
      </w:pPr>
    </w:p>
    <w:p>
      <w:pPr>
        <w:spacing w:line="360" w:lineRule="auto"/>
        <w:rPr>
          <w:rFonts w:ascii="宋体" w:hAnsi="宋体" w:cs="宋体"/>
          <w:b/>
          <w:color w:val="auto"/>
          <w:szCs w:val="21"/>
          <w:highlight w:val="none"/>
          <w:lang w:bidi="ar"/>
        </w:rPr>
      </w:pPr>
    </w:p>
    <w:p>
      <w:pPr>
        <w:spacing w:line="360" w:lineRule="auto"/>
        <w:rPr>
          <w:rFonts w:ascii="宋体" w:hAnsi="宋体" w:cs="宋体"/>
          <w:b/>
          <w:color w:val="auto"/>
          <w:szCs w:val="21"/>
          <w:highlight w:val="none"/>
          <w:lang w:bidi="ar"/>
        </w:rPr>
      </w:pPr>
    </w:p>
    <w:p>
      <w:pPr>
        <w:spacing w:line="360" w:lineRule="auto"/>
        <w:rPr>
          <w:rFonts w:ascii="宋体" w:hAnsi="宋体" w:cs="宋体"/>
          <w:b/>
          <w:color w:val="auto"/>
          <w:szCs w:val="21"/>
          <w:highlight w:val="none"/>
          <w:lang w:bidi="ar"/>
        </w:rPr>
      </w:pPr>
      <w:r>
        <w:rPr>
          <w:rFonts w:hint="eastAsia" w:ascii="宋体" w:hAnsi="宋体" w:cs="宋体"/>
          <w:b/>
          <w:color w:val="auto"/>
          <w:szCs w:val="21"/>
          <w:highlight w:val="none"/>
          <w:lang w:bidi="ar"/>
        </w:rPr>
        <w:t>6.残疾人福利性单位声明函</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残疾人福利性单位声明函</w:t>
      </w:r>
    </w:p>
    <w:p>
      <w:pPr>
        <w:spacing w:line="360" w:lineRule="auto"/>
        <w:rPr>
          <w:rFonts w:ascii="宋体" w:hAnsi="宋体" w:cs="宋体"/>
          <w:b/>
          <w:color w:val="auto"/>
          <w:spacing w:val="6"/>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本单位对上述声明的真实性负责。如有虚假，将依法承担相应责任。</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                                            供应商（盖章）：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                                            日  期：</w:t>
      </w:r>
    </w:p>
    <w:p>
      <w:pPr>
        <w:spacing w:line="360" w:lineRule="auto"/>
        <w:rPr>
          <w:rFonts w:ascii="宋体" w:hAnsi="宋体" w:cs="宋体"/>
          <w:b/>
          <w:color w:val="auto"/>
          <w:szCs w:val="21"/>
          <w:highlight w:val="none"/>
        </w:rPr>
      </w:pPr>
    </w:p>
    <w:p>
      <w:pPr>
        <w:pStyle w:val="19"/>
        <w:rPr>
          <w:rFonts w:ascii="宋体" w:hAnsi="宋体" w:cs="宋体"/>
          <w:b/>
          <w:color w:val="auto"/>
          <w:szCs w:val="21"/>
          <w:highlight w:val="none"/>
        </w:rPr>
      </w:pPr>
    </w:p>
    <w:p>
      <w:pPr>
        <w:rPr>
          <w:color w:val="auto"/>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lang w:bidi="ar"/>
        </w:rPr>
      </w:pPr>
      <w:r>
        <w:rPr>
          <w:rFonts w:hint="eastAsia" w:ascii="宋体" w:hAnsi="宋体" w:cs="宋体"/>
          <w:b/>
          <w:color w:val="auto"/>
          <w:szCs w:val="21"/>
          <w:highlight w:val="none"/>
          <w:lang w:bidi="ar"/>
        </w:rPr>
        <w:t>7.监狱企业的证明文件（如有）；</w:t>
      </w:r>
    </w:p>
    <w:p>
      <w:pPr>
        <w:spacing w:line="360" w:lineRule="auto"/>
        <w:rPr>
          <w:rFonts w:ascii="宋体" w:hAnsi="宋体" w:cs="宋体"/>
          <w:b/>
          <w:color w:val="auto"/>
          <w:spacing w:val="6"/>
          <w:szCs w:val="21"/>
          <w:highlight w:val="none"/>
          <w:lang w:bidi="ar"/>
        </w:rPr>
      </w:pPr>
      <w:r>
        <w:rPr>
          <w:rFonts w:hint="eastAsia" w:ascii="宋体" w:hAnsi="宋体" w:cs="宋体"/>
          <w:b/>
          <w:color w:val="auto"/>
          <w:spacing w:val="6"/>
          <w:szCs w:val="21"/>
          <w:highlight w:val="none"/>
          <w:lang w:bidi="ar"/>
        </w:rPr>
        <w:br w:type="page"/>
      </w:r>
      <w:r>
        <w:rPr>
          <w:rFonts w:hint="eastAsia" w:ascii="宋体" w:hAnsi="宋体" w:cs="宋体"/>
          <w:b/>
          <w:color w:val="auto"/>
          <w:spacing w:val="6"/>
          <w:szCs w:val="21"/>
          <w:highlight w:val="none"/>
          <w:lang w:bidi="ar"/>
        </w:rPr>
        <w:t>8.政府采购统计基础信息表</w:t>
      </w:r>
    </w:p>
    <w:p>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lang w:bidi="ar"/>
        </w:rPr>
        <w:t>政府采购统计基础信息表</w:t>
      </w:r>
    </w:p>
    <w:p>
      <w:pPr>
        <w:pStyle w:val="41"/>
        <w:widowControl w:val="0"/>
        <w:spacing w:before="0" w:beforeAutospacing="0" w:after="0" w:afterAutospacing="0" w:line="360" w:lineRule="auto"/>
        <w:jc w:val="both"/>
        <w:rPr>
          <w:rFonts w:ascii="宋体" w:hAnsi="宋体" w:cs="宋体"/>
          <w:color w:val="auto"/>
          <w:sz w:val="21"/>
          <w:szCs w:val="21"/>
          <w:highlight w:val="none"/>
        </w:rPr>
      </w:pPr>
    </w:p>
    <w:tbl>
      <w:tblPr>
        <w:tblStyle w:val="47"/>
        <w:tblW w:w="0" w:type="auto"/>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投标单位名称</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投标单位是否为外商投资企业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投标单位是否为宁波企业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color w:val="auto"/>
                <w:szCs w:val="21"/>
                <w:highlight w:val="none"/>
              </w:rPr>
            </w:pPr>
          </w:p>
        </w:tc>
      </w:tr>
    </w:tbl>
    <w:p>
      <w:pPr>
        <w:adjustRightInd w:val="0"/>
        <w:spacing w:line="360" w:lineRule="auto"/>
        <w:jc w:val="left"/>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备注：请各投标人务必填写此表作为投标文件的组成部分。</w:t>
      </w: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供应商（公章）：</w:t>
      </w:r>
    </w:p>
    <w:p>
      <w:pPr>
        <w:rPr>
          <w:rFonts w:ascii="宋体" w:hAnsi="宋体" w:cs="宋体"/>
          <w:color w:val="auto"/>
          <w:szCs w:val="21"/>
          <w:highlight w:val="none"/>
        </w:rPr>
      </w:pPr>
      <w:r>
        <w:rPr>
          <w:rFonts w:hint="eastAsia" w:ascii="宋体" w:hAnsi="宋体" w:cs="宋体"/>
          <w:color w:val="auto"/>
          <w:szCs w:val="21"/>
          <w:highlight w:val="none"/>
        </w:rPr>
        <w:t xml:space="preserve">法定代表人或授权代表（签名或印章）：                        </w:t>
      </w:r>
    </w:p>
    <w:p>
      <w:pPr>
        <w:rPr>
          <w:rFonts w:ascii="宋体" w:hAnsi="宋体" w:cs="宋体"/>
          <w:color w:val="auto"/>
          <w:szCs w:val="21"/>
          <w:highlight w:val="none"/>
        </w:rPr>
      </w:pPr>
      <w:r>
        <w:rPr>
          <w:rFonts w:hint="eastAsia" w:ascii="宋体" w:hAnsi="宋体" w:cs="宋体"/>
          <w:color w:val="auto"/>
          <w:szCs w:val="21"/>
          <w:highlight w:val="none"/>
        </w:rPr>
        <w:t>日期：</w:t>
      </w:r>
    </w:p>
    <w:p>
      <w:pPr>
        <w:pStyle w:val="41"/>
        <w:widowControl w:val="0"/>
        <w:spacing w:before="0" w:beforeAutospacing="0" w:after="0" w:afterAutospacing="0"/>
        <w:jc w:val="both"/>
        <w:rPr>
          <w:rFonts w:ascii="宋体" w:hAnsi="宋体" w:cs="宋体"/>
          <w:color w:val="auto"/>
          <w:sz w:val="21"/>
          <w:szCs w:val="21"/>
          <w:highlight w:val="none"/>
        </w:rPr>
      </w:pPr>
    </w:p>
    <w:p>
      <w:pPr>
        <w:rPr>
          <w:rFonts w:ascii="宋体" w:hAnsi="宋体" w:cs="宋体"/>
          <w:b/>
          <w:bCs/>
          <w:color w:val="auto"/>
          <w:kern w:val="0"/>
          <w:sz w:val="28"/>
          <w:szCs w:val="28"/>
          <w:highlight w:val="none"/>
        </w:rPr>
      </w:pPr>
    </w:p>
    <w:p>
      <w:pPr>
        <w:pStyle w:val="2"/>
        <w:spacing w:before="120" w:after="120"/>
        <w:rPr>
          <w:rFonts w:hint="default" w:hAnsi="宋体" w:cs="宋体"/>
          <w:b/>
          <w:bCs/>
          <w:color w:val="auto"/>
          <w:kern w:val="0"/>
          <w:sz w:val="28"/>
          <w:szCs w:val="28"/>
          <w:highlight w:val="none"/>
        </w:rPr>
      </w:pPr>
    </w:p>
    <w:p>
      <w:pPr>
        <w:widowControl/>
        <w:spacing w:line="360" w:lineRule="auto"/>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9.供应商针对报价需要说明的其他文件和说明（格式自拟）</w:t>
      </w:r>
    </w:p>
    <w:p>
      <w:pPr>
        <w:rPr>
          <w:rFonts w:ascii="宋体" w:hAnsi="宋体" w:cs="宋体"/>
          <w:b/>
          <w:bCs/>
          <w:color w:val="auto"/>
          <w:kern w:val="0"/>
          <w:sz w:val="28"/>
          <w:szCs w:val="28"/>
          <w:highlight w:val="none"/>
        </w:rPr>
      </w:pPr>
    </w:p>
    <w:p>
      <w:pPr>
        <w:pStyle w:val="2"/>
        <w:spacing w:before="120" w:after="120"/>
        <w:rPr>
          <w:rFonts w:hint="default" w:hAnsi="宋体" w:cs="宋体"/>
          <w:color w:val="auto"/>
          <w:highlight w:val="none"/>
        </w:rPr>
      </w:pPr>
    </w:p>
    <w:p>
      <w:pPr>
        <w:rPr>
          <w:rFonts w:ascii="宋体" w:hAnsi="宋体" w:cs="宋体"/>
          <w:color w:val="auto"/>
          <w:highlight w:val="none"/>
        </w:rPr>
      </w:pPr>
    </w:p>
    <w:p>
      <w:pPr>
        <w:widowControl/>
        <w:snapToGrid w:val="0"/>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三、电子备份投标文件</w:t>
      </w:r>
    </w:p>
    <w:p>
      <w:pPr>
        <w:widowControl/>
        <w:snapToGrid w:val="0"/>
        <w:spacing w:line="360" w:lineRule="auto"/>
        <w:jc w:val="left"/>
        <w:rPr>
          <w:rFonts w:ascii="宋体" w:hAnsi="宋体" w:cs="宋体"/>
          <w:b/>
          <w:color w:val="auto"/>
          <w:kern w:val="0"/>
          <w:sz w:val="28"/>
          <w:szCs w:val="28"/>
          <w:highlight w:val="none"/>
          <w:lang w:bidi="ar"/>
        </w:rPr>
      </w:pP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ascii="宋体" w:hAnsi="宋体" w:cs="宋体"/>
          <w:b/>
          <w:color w:val="auto"/>
          <w:kern w:val="0"/>
          <w:sz w:val="28"/>
          <w:szCs w:val="28"/>
          <w:highlight w:val="none"/>
          <w:lang w:bidi="ar"/>
        </w:rPr>
      </w:pPr>
    </w:p>
    <w:p>
      <w:pPr>
        <w:widowControl/>
        <w:snapToGrid w:val="0"/>
        <w:spacing w:line="360" w:lineRule="auto"/>
        <w:ind w:firstLine="275" w:firstLineChars="98"/>
        <w:jc w:val="left"/>
        <w:rPr>
          <w:rFonts w:ascii="宋体" w:hAnsi="宋体" w:cs="宋体"/>
          <w:b/>
          <w:color w:val="auto"/>
          <w:kern w:val="0"/>
          <w:sz w:val="28"/>
          <w:szCs w:val="28"/>
          <w:highlight w:val="none"/>
          <w:lang w:bidi="ar"/>
        </w:rPr>
      </w:pPr>
    </w:p>
    <w:p>
      <w:pPr>
        <w:widowControl/>
        <w:snapToGrid w:val="0"/>
        <w:spacing w:line="360" w:lineRule="auto"/>
        <w:ind w:firstLine="275" w:firstLineChars="98"/>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bidi="ar"/>
        </w:rPr>
        <w:t>外包装格式：</w:t>
      </w:r>
    </w:p>
    <w:p>
      <w:pPr>
        <w:widowControl/>
        <w:spacing w:line="360" w:lineRule="auto"/>
        <w:jc w:val="center"/>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lang w:bidi="ar"/>
        </w:rPr>
        <w:t xml:space="preserve">项目名称： </w:t>
      </w:r>
    </w:p>
    <w:p>
      <w:pPr>
        <w:widowControl/>
        <w:spacing w:line="360" w:lineRule="auto"/>
        <w:ind w:firstLine="1080" w:firstLineChars="450"/>
        <w:jc w:val="left"/>
        <w:rPr>
          <w:rFonts w:ascii="宋体" w:hAnsi="宋体" w:cs="宋体"/>
          <w:bCs/>
          <w:color w:val="auto"/>
          <w:kern w:val="0"/>
          <w:sz w:val="24"/>
          <w:szCs w:val="20"/>
          <w:highlight w:val="none"/>
          <w:lang w:bidi="ar"/>
        </w:rPr>
      </w:pPr>
      <w:r>
        <w:rPr>
          <w:rFonts w:hint="eastAsia" w:ascii="宋体" w:hAnsi="宋体" w:cs="宋体"/>
          <w:bCs/>
          <w:color w:val="auto"/>
          <w:kern w:val="0"/>
          <w:sz w:val="24"/>
          <w:szCs w:val="20"/>
          <w:highlight w:val="none"/>
          <w:lang w:bidi="ar"/>
        </w:rPr>
        <w:t>项目编号：</w:t>
      </w:r>
    </w:p>
    <w:p>
      <w:pPr>
        <w:widowControl/>
        <w:spacing w:line="360" w:lineRule="auto"/>
        <w:ind w:firstLine="1080" w:firstLineChars="450"/>
        <w:jc w:val="left"/>
        <w:rPr>
          <w:rFonts w:ascii="宋体" w:hAnsi="宋体" w:cs="宋体"/>
          <w:bCs/>
          <w:color w:val="auto"/>
          <w:kern w:val="0"/>
          <w:sz w:val="24"/>
          <w:szCs w:val="20"/>
          <w:highlight w:val="none"/>
          <w:lang w:bidi="ar"/>
        </w:rPr>
      </w:pPr>
      <w:r>
        <w:rPr>
          <w:rFonts w:hint="eastAsia" w:ascii="宋体" w:hAnsi="宋体" w:cs="宋体"/>
          <w:bCs/>
          <w:color w:val="auto"/>
          <w:kern w:val="0"/>
          <w:sz w:val="24"/>
          <w:szCs w:val="20"/>
          <w:highlight w:val="none"/>
          <w:lang w:bidi="ar"/>
        </w:rPr>
        <w:t>标项号：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lang w:bidi="ar"/>
        </w:rPr>
        <w:t>供应商名称（加盖公章）：</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lang w:bidi="ar"/>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bCs/>
          <w:color w:val="auto"/>
          <w:kern w:val="0"/>
          <w:sz w:val="24"/>
          <w:szCs w:val="20"/>
          <w:highlight w:val="none"/>
          <w:lang w:bidi="ar"/>
        </w:rPr>
        <w:t xml:space="preserve">                        年  月  日</w:t>
      </w:r>
    </w:p>
    <w:p>
      <w:pPr>
        <w:pStyle w:val="178"/>
        <w:widowControl w:val="0"/>
        <w:snapToGrid w:val="0"/>
        <w:spacing w:line="336" w:lineRule="auto"/>
        <w:ind w:firstLine="420" w:firstLineChars="200"/>
        <w:jc w:val="both"/>
        <w:rPr>
          <w:rFonts w:hAnsi="宋体"/>
          <w:color w:val="auto"/>
          <w:highlight w:val="none"/>
        </w:rPr>
      </w:pPr>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长城仿宋">
    <w:altName w:val="黑体"/>
    <w:panose1 w:val="020B0604020202020204"/>
    <w:charset w:val="00"/>
    <w:family w:val="modern"/>
    <w:pitch w:val="default"/>
    <w:sig w:usb0="00000000" w:usb1="00000000" w:usb2="00000010" w:usb3="00000000" w:csb0="00040000" w:csb1="00000000"/>
  </w:font>
  <w:font w:name="Thorndale">
    <w:altName w:val="Times New Roman"/>
    <w:panose1 w:val="020B0604020202020204"/>
    <w:charset w:val="00"/>
    <w:family w:val="roman"/>
    <w:pitch w:val="default"/>
    <w:sig w:usb0="00000000" w:usb1="00000000" w:usb2="00000000" w:usb3="00000000" w:csb0="00040001" w:csb1="00000000"/>
  </w:font>
  <w:font w:name="HG Mincho Light J">
    <w:altName w:val="Times New Roman"/>
    <w:panose1 w:val="020B0604020202020204"/>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ヒラギノ角ゴ Pro W3">
    <w:altName w:val="MS UI Gothic"/>
    <w:panose1 w:val="020B0300000000000000"/>
    <w:charset w:val="80"/>
    <w:family w:val="swiss"/>
    <w:pitch w:val="default"/>
    <w:sig w:usb0="00000000" w:usb1="00000000" w:usb2="00000012" w:usb3="00000000" w:csb0="0002000D"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default"/>
                            </w:rPr>
                          </w:pPr>
                          <w:r>
                            <w:fldChar w:fldCharType="begin"/>
                          </w:r>
                          <w:r>
                            <w:instrText xml:space="preserve"> PAGE  \* MERGEFORMAT </w:instrText>
                          </w:r>
                          <w:r>
                            <w:fldChar w:fldCharType="separate"/>
                          </w:r>
                          <w:r>
                            <w:rPr>
                              <w:rFonts w:hint="default"/>
                            </w:rPr>
                            <w:t>10</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pPr>
                      <w:pStyle w:val="21"/>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pPr>
                            <w:pStyle w:val="21"/>
                            <w:rPr>
                              <w:rFonts w:hint="default" w:eastAsia="宋体"/>
                            </w:rPr>
                          </w:pPr>
                          <w:r>
                            <w:fldChar w:fldCharType="begin"/>
                          </w:r>
                          <w:r>
                            <w:instrText xml:space="preserve"> PAGE  \* MERGEFORMAT </w:instrText>
                          </w:r>
                          <w:r>
                            <w:fldChar w:fldCharType="separate"/>
                          </w:r>
                          <w:r>
                            <w:rPr>
                              <w:rFonts w:hint="default"/>
                            </w:rPr>
                            <w:t>24</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wGxtQAAAADAQAADwAAAAAAAAABACAAAAAiAAAA&#10;ZHJzL2Rvd25yZXYueG1sUEsBAhQAFAAAAAgAh07iQG6vneDSAQAAmAMAAA4AAAAAAAAAAQAgAAAA&#10;IwEAAGRycy9lMm9Eb2MueG1sUEsFBgAAAAAGAAYAWQEAAGcFAAAAAA==&#10;">
              <v:fill on="f" focussize="0,0"/>
              <v:stroke on="f" weight="1.25pt"/>
              <v:imagedata o:title=""/>
              <o:lock v:ext="edit" aspectratio="f"/>
              <v:textbox inset="0mm,0mm,0mm,0mm" style="mso-fit-shape-to-text:t;">
                <w:txbxContent>
                  <w:p>
                    <w:pPr>
                      <w:pStyle w:val="21"/>
                      <w:rPr>
                        <w:rFonts w:hint="default" w:eastAsia="宋体"/>
                      </w:rPr>
                    </w:pPr>
                    <w:r>
                      <w:fldChar w:fldCharType="begin"/>
                    </w:r>
                    <w:r>
                      <w:instrText xml:space="preserve"> PAGE  \* MERGEFORMAT </w:instrText>
                    </w:r>
                    <w:r>
                      <w:fldChar w:fldCharType="separate"/>
                    </w:r>
                    <w:r>
                      <w:rPr>
                        <w:rFonts w:hint="default"/>
                      </w:rP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jc w:val="left"/>
                            <w:rPr>
                              <w:sz w:val="18"/>
                            </w:rPr>
                          </w:pPr>
                          <w:r>
                            <w:rPr>
                              <w:sz w:val="18"/>
                            </w:rPr>
                            <w:fldChar w:fldCharType="begin"/>
                          </w:r>
                          <w:r>
                            <w:rPr>
                              <w:sz w:val="18"/>
                            </w:rPr>
                            <w:instrText xml:space="preserve">PAGE  </w:instrText>
                          </w:r>
                          <w:r>
                            <w:rPr>
                              <w:sz w:val="18"/>
                            </w:rPr>
                            <w:fldChar w:fldCharType="separate"/>
                          </w:r>
                          <w:r>
                            <w:rPr>
                              <w:sz w:val="18"/>
                            </w:rPr>
                            <w:t>45</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tabs>
                        <w:tab w:val="center" w:pos="4153"/>
                        <w:tab w:val="right" w:pos="8306"/>
                      </w:tabs>
                      <w:snapToGrid w:val="0"/>
                      <w:jc w:val="left"/>
                      <w:rPr>
                        <w:sz w:val="18"/>
                      </w:rPr>
                    </w:pPr>
                    <w:r>
                      <w:rPr>
                        <w:sz w:val="18"/>
                      </w:rPr>
                      <w:fldChar w:fldCharType="begin"/>
                    </w:r>
                    <w:r>
                      <w:rPr>
                        <w:sz w:val="18"/>
                      </w:rPr>
                      <w:instrText xml:space="preserve">PAGE  </w:instrText>
                    </w:r>
                    <w:r>
                      <w:rPr>
                        <w:sz w:val="18"/>
                      </w:rPr>
                      <w:fldChar w:fldCharType="separate"/>
                    </w:r>
                    <w:r>
                      <w:rPr>
                        <w:sz w:val="18"/>
                      </w:rPr>
                      <w:t>45</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sz w:val="18"/>
      </w:rPr>
    </w:pPr>
    <w:r>
      <w:rPr>
        <w:sz w:val="18"/>
      </w:rPr>
      <w:fldChar w:fldCharType="begin"/>
    </w:r>
    <w:r>
      <w:rPr>
        <w:sz w:val="18"/>
      </w:rPr>
      <w:instrText xml:space="preserve">PAGE  </w:instrText>
    </w:r>
    <w:r>
      <w:rPr>
        <w:sz w:val="18"/>
      </w:rPr>
      <w:fldChar w:fldCharType="separate"/>
    </w:r>
    <w:r>
      <w:rPr>
        <w:sz w:val="18"/>
      </w:rPr>
      <w:t>3</w:t>
    </w:r>
    <w:r>
      <w:rPr>
        <w:sz w:val="18"/>
      </w:rPr>
      <w:fldChar w:fldCharType="end"/>
    </w:r>
  </w:p>
  <w:p>
    <w:pPr>
      <w:tabs>
        <w:tab w:val="center" w:pos="4153"/>
        <w:tab w:val="right" w:pos="8306"/>
      </w:tabs>
      <w:snapToGrid w:val="0"/>
      <w:ind w:right="360" w:firstLine="360"/>
      <w:jc w:val="left"/>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default"/>
                            </w:rPr>
                          </w:pPr>
                          <w:r>
                            <w:fldChar w:fldCharType="begin"/>
                          </w:r>
                          <w:r>
                            <w:instrText xml:space="preserve"> PAGE  \* MERGEFORMAT </w:instrText>
                          </w:r>
                          <w:r>
                            <w:fldChar w:fldCharType="separate"/>
                          </w:r>
                          <w:r>
                            <w:rPr>
                              <w:rFonts w:hint="default"/>
                            </w:rPr>
                            <w:t>51</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iSEb/NAQAAm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2Ujlwb85Rmwhd5ZQJ6i5GI4sc5vXK+3E337Oevyl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iSEb/NAQAAmgMAAA4AAAAAAAAAAQAgAAAAIgEAAGRy&#10;cy9lMm9Eb2MueG1sUEsFBgAAAAAGAAYAWQEAAGEFAAAAAA==&#10;">
              <v:fill on="f" focussize="0,0"/>
              <v:stroke on="f" weight="1.25pt"/>
              <v:imagedata o:title=""/>
              <o:lock v:ext="edit" aspectratio="f"/>
              <v:textbox inset="0mm,0mm,0mm,0mm" style="mso-fit-shape-to-text:t;">
                <w:txbxContent>
                  <w:p>
                    <w:pPr>
                      <w:pStyle w:val="21"/>
                      <w:rPr>
                        <w:rFonts w:hint="default"/>
                      </w:rPr>
                    </w:pPr>
                    <w:r>
                      <w:fldChar w:fldCharType="begin"/>
                    </w:r>
                    <w:r>
                      <w:instrText xml:space="preserve"> PAGE  \* MERGEFORMAT </w:instrText>
                    </w:r>
                    <w:r>
                      <w:fldChar w:fldCharType="separate"/>
                    </w:r>
                    <w:r>
                      <w:rPr>
                        <w:rFonts w:hint="default"/>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left"/>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30762"/>
    <w:multiLevelType w:val="singleLevel"/>
    <w:tmpl w:val="BB330762"/>
    <w:lvl w:ilvl="0" w:tentative="0">
      <w:start w:val="1"/>
      <w:numFmt w:val="decimal"/>
      <w:lvlText w:val="(%1)"/>
      <w:lvlJc w:val="left"/>
      <w:pPr>
        <w:ind w:left="425" w:hanging="425"/>
      </w:pPr>
      <w:rPr>
        <w:rFonts w:hint="default"/>
      </w:rPr>
    </w:lvl>
  </w:abstractNum>
  <w:abstractNum w:abstractNumId="1">
    <w:nsid w:val="D6DAD6BB"/>
    <w:multiLevelType w:val="singleLevel"/>
    <w:tmpl w:val="D6DAD6BB"/>
    <w:lvl w:ilvl="0" w:tentative="0">
      <w:start w:val="3"/>
      <w:numFmt w:val="decimal"/>
      <w:suff w:val="nothing"/>
      <w:lvlText w:val="%1）"/>
      <w:lvlJc w:val="left"/>
    </w:lvl>
  </w:abstractNum>
  <w:abstractNum w:abstractNumId="2">
    <w:nsid w:val="DDEDB295"/>
    <w:multiLevelType w:val="singleLevel"/>
    <w:tmpl w:val="DDEDB295"/>
    <w:lvl w:ilvl="0" w:tentative="0">
      <w:start w:val="1"/>
      <w:numFmt w:val="decimal"/>
      <w:suff w:val="space"/>
      <w:lvlText w:val="%1."/>
      <w:lvlJc w:val="left"/>
    </w:lvl>
  </w:abstractNum>
  <w:abstractNum w:abstractNumId="3">
    <w:nsid w:val="ECC8E405"/>
    <w:multiLevelType w:val="singleLevel"/>
    <w:tmpl w:val="ECC8E405"/>
    <w:lvl w:ilvl="0" w:tentative="0">
      <w:start w:val="1"/>
      <w:numFmt w:val="decimal"/>
      <w:suff w:val="nothing"/>
      <w:lvlText w:val="（%1）"/>
      <w:lvlJc w:val="left"/>
      <w:pPr>
        <w:ind w:left="-70"/>
      </w:pPr>
    </w:lvl>
  </w:abstractNum>
  <w:abstractNum w:abstractNumId="4">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pPr>
        <w:ind w:left="0" w:firstLine="400"/>
      </w:pPr>
      <w:rPr>
        <w:rFonts w:hint="default"/>
      </w:rPr>
    </w:lvl>
  </w:abstractNum>
  <w:abstractNum w:abstractNumId="6">
    <w:nsid w:val="0000000B"/>
    <w:multiLevelType w:val="singleLevel"/>
    <w:tmpl w:val="0000000B"/>
    <w:lvl w:ilvl="0" w:tentative="0">
      <w:start w:val="1"/>
      <w:numFmt w:val="upperLetter"/>
      <w:suff w:val="nothing"/>
      <w:lvlText w:val="%1、"/>
      <w:lvlJc w:val="left"/>
    </w:lvl>
  </w:abstractNum>
  <w:abstractNum w:abstractNumId="7">
    <w:nsid w:val="00000011"/>
    <w:multiLevelType w:val="multilevel"/>
    <w:tmpl w:val="00000011"/>
    <w:lvl w:ilvl="0" w:tentative="0">
      <w:start w:val="1"/>
      <w:numFmt w:val="decimal"/>
      <w:pStyle w:val="2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4"/>
    <w:multiLevelType w:val="singleLevel"/>
    <w:tmpl w:val="00000014"/>
    <w:lvl w:ilvl="0" w:tentative="0">
      <w:start w:val="5"/>
      <w:numFmt w:val="chineseCounting"/>
      <w:suff w:val="nothing"/>
      <w:lvlText w:val="%1、"/>
      <w:lvlJc w:val="left"/>
    </w:lvl>
  </w:abstractNum>
  <w:abstractNum w:abstractNumId="9">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69"/>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0">
    <w:nsid w:val="0000001C"/>
    <w:multiLevelType w:val="singleLevel"/>
    <w:tmpl w:val="0000001C"/>
    <w:lvl w:ilvl="0" w:tentative="0">
      <w:start w:val="1"/>
      <w:numFmt w:val="chineseCounting"/>
      <w:suff w:val="nothing"/>
      <w:lvlText w:val="%1、"/>
      <w:lvlJc w:val="left"/>
    </w:lvl>
  </w:abstractNum>
  <w:abstractNum w:abstractNumId="11">
    <w:nsid w:val="00000020"/>
    <w:multiLevelType w:val="singleLevel"/>
    <w:tmpl w:val="00000020"/>
    <w:lvl w:ilvl="0" w:tentative="0">
      <w:start w:val="1"/>
      <w:numFmt w:val="chineseCounting"/>
      <w:suff w:val="nothing"/>
      <w:lvlText w:val="（%1）"/>
      <w:lvlJc w:val="left"/>
    </w:lvl>
  </w:abstractNum>
  <w:abstractNum w:abstractNumId="12">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3">
    <w:nsid w:val="00000023"/>
    <w:multiLevelType w:val="singleLevel"/>
    <w:tmpl w:val="00000023"/>
    <w:lvl w:ilvl="0" w:tentative="0">
      <w:start w:val="1"/>
      <w:numFmt w:val="decimal"/>
      <w:lvlText w:val="%1."/>
      <w:lvlJc w:val="left"/>
      <w:pPr>
        <w:tabs>
          <w:tab w:val="left" w:pos="312"/>
        </w:tabs>
      </w:pPr>
    </w:lvl>
  </w:abstractNum>
  <w:abstractNum w:abstractNumId="14">
    <w:nsid w:val="00000024"/>
    <w:multiLevelType w:val="multilevel"/>
    <w:tmpl w:val="00000024"/>
    <w:lvl w:ilvl="0" w:tentative="0">
      <w:start w:val="1"/>
      <w:numFmt w:val="decimal"/>
      <w:pStyle w:val="193"/>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5">
    <w:nsid w:val="00000029"/>
    <w:multiLevelType w:val="singleLevel"/>
    <w:tmpl w:val="00000029"/>
    <w:lvl w:ilvl="0" w:tentative="0">
      <w:start w:val="1"/>
      <w:numFmt w:val="decimal"/>
      <w:suff w:val="nothing"/>
      <w:lvlText w:val="%1、"/>
      <w:lvlJc w:val="left"/>
      <w:pPr>
        <w:ind w:left="0" w:firstLine="400"/>
      </w:pPr>
      <w:rPr>
        <w:rFonts w:hint="default"/>
      </w:r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53F7068D"/>
    <w:multiLevelType w:val="multilevel"/>
    <w:tmpl w:val="53F7068D"/>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589A2FD8"/>
    <w:multiLevelType w:val="singleLevel"/>
    <w:tmpl w:val="589A2FD8"/>
    <w:lvl w:ilvl="0" w:tentative="0">
      <w:start w:val="1"/>
      <w:numFmt w:val="decimal"/>
      <w:suff w:val="nothing"/>
      <w:lvlText w:val="（%1）"/>
      <w:lvlJc w:val="left"/>
    </w:lvl>
  </w:abstractNum>
  <w:abstractNum w:abstractNumId="19">
    <w:nsid w:val="7A6126F2"/>
    <w:multiLevelType w:val="multilevel"/>
    <w:tmpl w:val="7A6126F2"/>
    <w:lvl w:ilvl="0" w:tentative="0">
      <w:start w:val="1"/>
      <w:numFmt w:val="chineseCountingThousand"/>
      <w:pStyle w:val="221"/>
      <w:suff w:val="space"/>
      <w:lvlText w:val="%1. "/>
      <w:lvlJc w:val="left"/>
      <w:pPr>
        <w:ind w:left="907" w:hanging="907"/>
      </w:pPr>
      <w:rPr>
        <w:rFonts w:hint="eastAsia"/>
        <w:lang w:val="en-US"/>
      </w:rPr>
    </w:lvl>
    <w:lvl w:ilvl="1" w:tentative="0">
      <w:start w:val="1"/>
      <w:numFmt w:val="decimal"/>
      <w:isLgl/>
      <w:suff w:val="space"/>
      <w:lvlText w:val="4.%2 "/>
      <w:lvlJc w:val="left"/>
      <w:pPr>
        <w:tabs>
          <w:tab w:val="left" w:pos="0"/>
        </w:tabs>
        <w:ind w:left="794" w:hanging="794"/>
      </w:pPr>
      <w:rPr>
        <w:rFonts w:hint="eastAsia" w:ascii="宋体" w:hAnsi="宋体" w:eastAsia="宋体" w:cs="宋体"/>
      </w:rPr>
    </w:lvl>
    <w:lvl w:ilvl="2" w:tentative="0">
      <w:start w:val="1"/>
      <w:numFmt w:val="decimal"/>
      <w:isLgl/>
      <w:suff w:val="space"/>
      <w:lvlText w:val="4.%2.%3 "/>
      <w:lvlJc w:val="left"/>
      <w:pPr>
        <w:tabs>
          <w:tab w:val="left" w:pos="0"/>
        </w:tabs>
        <w:ind w:left="907" w:hanging="907"/>
      </w:pPr>
      <w:rPr>
        <w:rFonts w:hint="eastAsia" w:ascii="宋体" w:hAnsi="宋体" w:eastAsia="宋体" w:cs="宋体"/>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7B5FFEA9"/>
    <w:multiLevelType w:val="singleLevel"/>
    <w:tmpl w:val="7B5FFEA9"/>
    <w:lvl w:ilvl="0" w:tentative="0">
      <w:start w:val="1"/>
      <w:numFmt w:val="decimal"/>
      <w:suff w:val="nothing"/>
      <w:lvlText w:val="%1、"/>
      <w:lvlJc w:val="left"/>
    </w:lvl>
  </w:abstractNum>
  <w:num w:numId="1">
    <w:abstractNumId w:val="12"/>
  </w:num>
  <w:num w:numId="2">
    <w:abstractNumId w:val="4"/>
  </w:num>
  <w:num w:numId="3">
    <w:abstractNumId w:val="9"/>
  </w:num>
  <w:num w:numId="4">
    <w:abstractNumId w:val="14"/>
  </w:num>
  <w:num w:numId="5">
    <w:abstractNumId w:val="7"/>
  </w:num>
  <w:num w:numId="6">
    <w:abstractNumId w:val="19"/>
  </w:num>
  <w:num w:numId="7">
    <w:abstractNumId w:val="1"/>
  </w:num>
  <w:num w:numId="8">
    <w:abstractNumId w:val="18"/>
  </w:num>
  <w:num w:numId="9">
    <w:abstractNumId w:val="15"/>
  </w:num>
  <w:num w:numId="10">
    <w:abstractNumId w:val="5"/>
  </w:num>
  <w:num w:numId="11">
    <w:abstractNumId w:val="13"/>
  </w:num>
  <w:num w:numId="12">
    <w:abstractNumId w:val="3"/>
  </w:num>
  <w:num w:numId="13">
    <w:abstractNumId w:val="17"/>
  </w:num>
  <w:num w:numId="14">
    <w:abstractNumId w:val="20"/>
  </w:num>
  <w:num w:numId="15">
    <w:abstractNumId w:val="16"/>
  </w:num>
  <w:num w:numId="16">
    <w:abstractNumId w:val="8"/>
  </w:num>
  <w:num w:numId="17">
    <w:abstractNumId w:val="11"/>
  </w:num>
  <w:num w:numId="18">
    <w:abstractNumId w:val="6"/>
  </w:num>
  <w:num w:numId="19">
    <w:abstractNumId w:val="1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MmExOTIzNDM0MjYwM2YyZjRiNzhiZDk1ZGMxZTJkOW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20D1D"/>
    <w:rsid w:val="00043C49"/>
    <w:rsid w:val="00043E46"/>
    <w:rsid w:val="00046D02"/>
    <w:rsid w:val="00076568"/>
    <w:rsid w:val="0007724A"/>
    <w:rsid w:val="0008353B"/>
    <w:rsid w:val="000A2780"/>
    <w:rsid w:val="000A6300"/>
    <w:rsid w:val="000A6B65"/>
    <w:rsid w:val="000B4944"/>
    <w:rsid w:val="000C44A5"/>
    <w:rsid w:val="000E10E7"/>
    <w:rsid w:val="000E34C5"/>
    <w:rsid w:val="000E6B30"/>
    <w:rsid w:val="000E7E2D"/>
    <w:rsid w:val="000F000F"/>
    <w:rsid w:val="000F7AA1"/>
    <w:rsid w:val="00103884"/>
    <w:rsid w:val="00106F98"/>
    <w:rsid w:val="00112ECA"/>
    <w:rsid w:val="00114E64"/>
    <w:rsid w:val="001214D8"/>
    <w:rsid w:val="00122DA1"/>
    <w:rsid w:val="001330A1"/>
    <w:rsid w:val="001355D8"/>
    <w:rsid w:val="001356C6"/>
    <w:rsid w:val="001437E8"/>
    <w:rsid w:val="00143E60"/>
    <w:rsid w:val="001512F0"/>
    <w:rsid w:val="001541A3"/>
    <w:rsid w:val="00167E95"/>
    <w:rsid w:val="00171229"/>
    <w:rsid w:val="00172A27"/>
    <w:rsid w:val="00173C4C"/>
    <w:rsid w:val="00173CBF"/>
    <w:rsid w:val="001758AD"/>
    <w:rsid w:val="001905D8"/>
    <w:rsid w:val="001A0375"/>
    <w:rsid w:val="001A5C76"/>
    <w:rsid w:val="001B0785"/>
    <w:rsid w:val="001B2E7F"/>
    <w:rsid w:val="001B521D"/>
    <w:rsid w:val="001B7905"/>
    <w:rsid w:val="001C11AA"/>
    <w:rsid w:val="001C5F03"/>
    <w:rsid w:val="001C6605"/>
    <w:rsid w:val="001C70B5"/>
    <w:rsid w:val="001E3E44"/>
    <w:rsid w:val="001E533D"/>
    <w:rsid w:val="001E64DA"/>
    <w:rsid w:val="00210449"/>
    <w:rsid w:val="00215A54"/>
    <w:rsid w:val="00223AFA"/>
    <w:rsid w:val="00243730"/>
    <w:rsid w:val="00245817"/>
    <w:rsid w:val="00255A5F"/>
    <w:rsid w:val="0025694B"/>
    <w:rsid w:val="00274BF9"/>
    <w:rsid w:val="00280CAB"/>
    <w:rsid w:val="002839CD"/>
    <w:rsid w:val="002925B0"/>
    <w:rsid w:val="002A409E"/>
    <w:rsid w:val="002C755B"/>
    <w:rsid w:val="002F2031"/>
    <w:rsid w:val="002F3B87"/>
    <w:rsid w:val="0030510F"/>
    <w:rsid w:val="00314C94"/>
    <w:rsid w:val="00321A6A"/>
    <w:rsid w:val="003223FC"/>
    <w:rsid w:val="0033238B"/>
    <w:rsid w:val="00342694"/>
    <w:rsid w:val="00347105"/>
    <w:rsid w:val="00366FCF"/>
    <w:rsid w:val="00367914"/>
    <w:rsid w:val="00382EE0"/>
    <w:rsid w:val="0038578D"/>
    <w:rsid w:val="003922A3"/>
    <w:rsid w:val="003A1876"/>
    <w:rsid w:val="003B39BC"/>
    <w:rsid w:val="003B615D"/>
    <w:rsid w:val="003B66A3"/>
    <w:rsid w:val="003C0AF4"/>
    <w:rsid w:val="003C1CF4"/>
    <w:rsid w:val="003C63AB"/>
    <w:rsid w:val="003C6F8E"/>
    <w:rsid w:val="003C7FA7"/>
    <w:rsid w:val="003D3F33"/>
    <w:rsid w:val="00400F93"/>
    <w:rsid w:val="004105DA"/>
    <w:rsid w:val="004200E3"/>
    <w:rsid w:val="0042033A"/>
    <w:rsid w:val="00432616"/>
    <w:rsid w:val="00445EAF"/>
    <w:rsid w:val="00473112"/>
    <w:rsid w:val="00485360"/>
    <w:rsid w:val="00487A88"/>
    <w:rsid w:val="00493874"/>
    <w:rsid w:val="004A3785"/>
    <w:rsid w:val="004A45A9"/>
    <w:rsid w:val="004A6162"/>
    <w:rsid w:val="004B40AA"/>
    <w:rsid w:val="004C1A6A"/>
    <w:rsid w:val="004C1FEF"/>
    <w:rsid w:val="004D2BAC"/>
    <w:rsid w:val="004E1C49"/>
    <w:rsid w:val="004E4692"/>
    <w:rsid w:val="00503350"/>
    <w:rsid w:val="0051122C"/>
    <w:rsid w:val="00513623"/>
    <w:rsid w:val="0053027F"/>
    <w:rsid w:val="00541A53"/>
    <w:rsid w:val="00544F38"/>
    <w:rsid w:val="00574888"/>
    <w:rsid w:val="00575C36"/>
    <w:rsid w:val="005801B8"/>
    <w:rsid w:val="005B1DCD"/>
    <w:rsid w:val="005B4C1A"/>
    <w:rsid w:val="005B578C"/>
    <w:rsid w:val="005C13CA"/>
    <w:rsid w:val="005C18F9"/>
    <w:rsid w:val="005C5E32"/>
    <w:rsid w:val="005F5839"/>
    <w:rsid w:val="005F5FF4"/>
    <w:rsid w:val="0060060A"/>
    <w:rsid w:val="00611B90"/>
    <w:rsid w:val="00620B78"/>
    <w:rsid w:val="00621B1D"/>
    <w:rsid w:val="006231E6"/>
    <w:rsid w:val="00640E10"/>
    <w:rsid w:val="00645646"/>
    <w:rsid w:val="00645695"/>
    <w:rsid w:val="006521F0"/>
    <w:rsid w:val="00665A31"/>
    <w:rsid w:val="00674F90"/>
    <w:rsid w:val="00683347"/>
    <w:rsid w:val="00687F7C"/>
    <w:rsid w:val="00691BB2"/>
    <w:rsid w:val="00692979"/>
    <w:rsid w:val="00696AB7"/>
    <w:rsid w:val="006B133E"/>
    <w:rsid w:val="006B24E5"/>
    <w:rsid w:val="006C3C9D"/>
    <w:rsid w:val="006D12DA"/>
    <w:rsid w:val="006D2B52"/>
    <w:rsid w:val="006D76D1"/>
    <w:rsid w:val="006E3201"/>
    <w:rsid w:val="006E4A62"/>
    <w:rsid w:val="0070033A"/>
    <w:rsid w:val="00706ED8"/>
    <w:rsid w:val="00712A9B"/>
    <w:rsid w:val="00712DDA"/>
    <w:rsid w:val="0071693A"/>
    <w:rsid w:val="00716A2F"/>
    <w:rsid w:val="00726C60"/>
    <w:rsid w:val="007501E1"/>
    <w:rsid w:val="007546C9"/>
    <w:rsid w:val="00760015"/>
    <w:rsid w:val="00763322"/>
    <w:rsid w:val="007852CF"/>
    <w:rsid w:val="007A0097"/>
    <w:rsid w:val="007A218D"/>
    <w:rsid w:val="007A2F69"/>
    <w:rsid w:val="007A3668"/>
    <w:rsid w:val="007B26AA"/>
    <w:rsid w:val="007B5E19"/>
    <w:rsid w:val="007C5698"/>
    <w:rsid w:val="007E46F3"/>
    <w:rsid w:val="007E7997"/>
    <w:rsid w:val="008008E2"/>
    <w:rsid w:val="008013B2"/>
    <w:rsid w:val="00801C61"/>
    <w:rsid w:val="00805004"/>
    <w:rsid w:val="008116ED"/>
    <w:rsid w:val="0083101D"/>
    <w:rsid w:val="008315A1"/>
    <w:rsid w:val="00863D5D"/>
    <w:rsid w:val="008676E9"/>
    <w:rsid w:val="00873860"/>
    <w:rsid w:val="00875E0B"/>
    <w:rsid w:val="00877C50"/>
    <w:rsid w:val="008939BB"/>
    <w:rsid w:val="00895E29"/>
    <w:rsid w:val="008A17C8"/>
    <w:rsid w:val="008B3EAF"/>
    <w:rsid w:val="008B5158"/>
    <w:rsid w:val="008C1865"/>
    <w:rsid w:val="008D04C4"/>
    <w:rsid w:val="008D4FCB"/>
    <w:rsid w:val="008D7C97"/>
    <w:rsid w:val="008E3289"/>
    <w:rsid w:val="008E6F9C"/>
    <w:rsid w:val="00903054"/>
    <w:rsid w:val="00913682"/>
    <w:rsid w:val="00923892"/>
    <w:rsid w:val="00927078"/>
    <w:rsid w:val="009334EE"/>
    <w:rsid w:val="00942C1A"/>
    <w:rsid w:val="00943A1E"/>
    <w:rsid w:val="009452FA"/>
    <w:rsid w:val="009467E3"/>
    <w:rsid w:val="009625B4"/>
    <w:rsid w:val="00966B99"/>
    <w:rsid w:val="00972CC8"/>
    <w:rsid w:val="00986118"/>
    <w:rsid w:val="009901B5"/>
    <w:rsid w:val="009A73BE"/>
    <w:rsid w:val="009C66F4"/>
    <w:rsid w:val="009C7F34"/>
    <w:rsid w:val="009D5B2C"/>
    <w:rsid w:val="009D6C21"/>
    <w:rsid w:val="009E0CB8"/>
    <w:rsid w:val="009E39FD"/>
    <w:rsid w:val="009E6102"/>
    <w:rsid w:val="009F2215"/>
    <w:rsid w:val="009F4379"/>
    <w:rsid w:val="00A05AA6"/>
    <w:rsid w:val="00A20E0A"/>
    <w:rsid w:val="00A3627E"/>
    <w:rsid w:val="00A4023F"/>
    <w:rsid w:val="00A735DA"/>
    <w:rsid w:val="00A758AE"/>
    <w:rsid w:val="00A870B5"/>
    <w:rsid w:val="00A87D04"/>
    <w:rsid w:val="00AA375A"/>
    <w:rsid w:val="00AB06EA"/>
    <w:rsid w:val="00AC4A0B"/>
    <w:rsid w:val="00AE1B7B"/>
    <w:rsid w:val="00AE3382"/>
    <w:rsid w:val="00B06E4D"/>
    <w:rsid w:val="00B11DAD"/>
    <w:rsid w:val="00B1320B"/>
    <w:rsid w:val="00B20AE6"/>
    <w:rsid w:val="00B26DF6"/>
    <w:rsid w:val="00B34B71"/>
    <w:rsid w:val="00B41730"/>
    <w:rsid w:val="00B46FC9"/>
    <w:rsid w:val="00B47693"/>
    <w:rsid w:val="00B562C2"/>
    <w:rsid w:val="00B60CEA"/>
    <w:rsid w:val="00B6106B"/>
    <w:rsid w:val="00B76AA1"/>
    <w:rsid w:val="00B8627D"/>
    <w:rsid w:val="00BC08EC"/>
    <w:rsid w:val="00BC1E7D"/>
    <w:rsid w:val="00BC203A"/>
    <w:rsid w:val="00BD13A9"/>
    <w:rsid w:val="00BD2FAC"/>
    <w:rsid w:val="00BD4120"/>
    <w:rsid w:val="00BF7353"/>
    <w:rsid w:val="00C00639"/>
    <w:rsid w:val="00C03208"/>
    <w:rsid w:val="00C10A97"/>
    <w:rsid w:val="00C14EFF"/>
    <w:rsid w:val="00C31180"/>
    <w:rsid w:val="00C31C52"/>
    <w:rsid w:val="00C51A3A"/>
    <w:rsid w:val="00C52CF8"/>
    <w:rsid w:val="00C55D6C"/>
    <w:rsid w:val="00C6715C"/>
    <w:rsid w:val="00C675CF"/>
    <w:rsid w:val="00C82084"/>
    <w:rsid w:val="00C9038E"/>
    <w:rsid w:val="00CA13A3"/>
    <w:rsid w:val="00CA4088"/>
    <w:rsid w:val="00CB2CDC"/>
    <w:rsid w:val="00CD3BFD"/>
    <w:rsid w:val="00CE1180"/>
    <w:rsid w:val="00CE5C1A"/>
    <w:rsid w:val="00CF4173"/>
    <w:rsid w:val="00CF554F"/>
    <w:rsid w:val="00CF5710"/>
    <w:rsid w:val="00D22078"/>
    <w:rsid w:val="00D34207"/>
    <w:rsid w:val="00D44D0C"/>
    <w:rsid w:val="00D57DCD"/>
    <w:rsid w:val="00D62FA5"/>
    <w:rsid w:val="00D866B8"/>
    <w:rsid w:val="00D944CE"/>
    <w:rsid w:val="00D96667"/>
    <w:rsid w:val="00DD23CC"/>
    <w:rsid w:val="00DE4F4F"/>
    <w:rsid w:val="00DE5F98"/>
    <w:rsid w:val="00DF509C"/>
    <w:rsid w:val="00E022F1"/>
    <w:rsid w:val="00E1120F"/>
    <w:rsid w:val="00E261C1"/>
    <w:rsid w:val="00E26F60"/>
    <w:rsid w:val="00E339AE"/>
    <w:rsid w:val="00E36D72"/>
    <w:rsid w:val="00E44F15"/>
    <w:rsid w:val="00E56199"/>
    <w:rsid w:val="00E61B6D"/>
    <w:rsid w:val="00E63694"/>
    <w:rsid w:val="00E70021"/>
    <w:rsid w:val="00E709C6"/>
    <w:rsid w:val="00E87478"/>
    <w:rsid w:val="00E87AF1"/>
    <w:rsid w:val="00E90FD0"/>
    <w:rsid w:val="00EA463E"/>
    <w:rsid w:val="00EB35E1"/>
    <w:rsid w:val="00EB6490"/>
    <w:rsid w:val="00EB678F"/>
    <w:rsid w:val="00EE4998"/>
    <w:rsid w:val="00EE4F9C"/>
    <w:rsid w:val="00EE5E96"/>
    <w:rsid w:val="00EF2DF5"/>
    <w:rsid w:val="00F0044B"/>
    <w:rsid w:val="00F02EAE"/>
    <w:rsid w:val="00F07786"/>
    <w:rsid w:val="00F27203"/>
    <w:rsid w:val="00F326DB"/>
    <w:rsid w:val="00F416F4"/>
    <w:rsid w:val="00F47FE2"/>
    <w:rsid w:val="00F51466"/>
    <w:rsid w:val="00F71A3E"/>
    <w:rsid w:val="00F7388F"/>
    <w:rsid w:val="00FD56FC"/>
    <w:rsid w:val="00FE35DC"/>
    <w:rsid w:val="00FE57DA"/>
    <w:rsid w:val="00FF1B26"/>
    <w:rsid w:val="00FF3FBE"/>
    <w:rsid w:val="01114B8F"/>
    <w:rsid w:val="012D73E3"/>
    <w:rsid w:val="01324854"/>
    <w:rsid w:val="01426E05"/>
    <w:rsid w:val="01541287"/>
    <w:rsid w:val="0188648C"/>
    <w:rsid w:val="018F52CB"/>
    <w:rsid w:val="01960839"/>
    <w:rsid w:val="01BC7C0E"/>
    <w:rsid w:val="01CA1CDE"/>
    <w:rsid w:val="01CC7281"/>
    <w:rsid w:val="01DD59FB"/>
    <w:rsid w:val="01E56646"/>
    <w:rsid w:val="01ED2423"/>
    <w:rsid w:val="01FB5357"/>
    <w:rsid w:val="02172BB7"/>
    <w:rsid w:val="021B2D74"/>
    <w:rsid w:val="022B55EB"/>
    <w:rsid w:val="023A2572"/>
    <w:rsid w:val="02470AB5"/>
    <w:rsid w:val="024A38C0"/>
    <w:rsid w:val="024F68D8"/>
    <w:rsid w:val="02576280"/>
    <w:rsid w:val="026704F1"/>
    <w:rsid w:val="028824E8"/>
    <w:rsid w:val="02A60F02"/>
    <w:rsid w:val="02AA01DC"/>
    <w:rsid w:val="02D53A9D"/>
    <w:rsid w:val="02F31E1C"/>
    <w:rsid w:val="031646D2"/>
    <w:rsid w:val="033758CA"/>
    <w:rsid w:val="033E5F38"/>
    <w:rsid w:val="034118EB"/>
    <w:rsid w:val="03433F57"/>
    <w:rsid w:val="034C6E41"/>
    <w:rsid w:val="03677F4C"/>
    <w:rsid w:val="037D2A5A"/>
    <w:rsid w:val="03886A90"/>
    <w:rsid w:val="03B96C55"/>
    <w:rsid w:val="03C647A7"/>
    <w:rsid w:val="03C66D3A"/>
    <w:rsid w:val="03D84CEA"/>
    <w:rsid w:val="03E635B1"/>
    <w:rsid w:val="03E76000"/>
    <w:rsid w:val="03FE5904"/>
    <w:rsid w:val="040B60DB"/>
    <w:rsid w:val="041D268E"/>
    <w:rsid w:val="042A13CF"/>
    <w:rsid w:val="04542262"/>
    <w:rsid w:val="04844EE9"/>
    <w:rsid w:val="04B4092F"/>
    <w:rsid w:val="04BA1FC1"/>
    <w:rsid w:val="04F14DB6"/>
    <w:rsid w:val="05125CC1"/>
    <w:rsid w:val="051870C5"/>
    <w:rsid w:val="051D661F"/>
    <w:rsid w:val="05303CED"/>
    <w:rsid w:val="053158C8"/>
    <w:rsid w:val="05387ECA"/>
    <w:rsid w:val="053E14D9"/>
    <w:rsid w:val="05672BE1"/>
    <w:rsid w:val="05701F54"/>
    <w:rsid w:val="057738A2"/>
    <w:rsid w:val="058202DC"/>
    <w:rsid w:val="059C2DBA"/>
    <w:rsid w:val="05B469AA"/>
    <w:rsid w:val="05C8356B"/>
    <w:rsid w:val="05DC5310"/>
    <w:rsid w:val="05F17C22"/>
    <w:rsid w:val="05F302AC"/>
    <w:rsid w:val="06030AF8"/>
    <w:rsid w:val="060C5ADE"/>
    <w:rsid w:val="0612610E"/>
    <w:rsid w:val="061F728C"/>
    <w:rsid w:val="063F4B76"/>
    <w:rsid w:val="064420F4"/>
    <w:rsid w:val="066A2D8B"/>
    <w:rsid w:val="068259CE"/>
    <w:rsid w:val="06AE1539"/>
    <w:rsid w:val="06CD5210"/>
    <w:rsid w:val="06D17D4E"/>
    <w:rsid w:val="06E1269F"/>
    <w:rsid w:val="06F41689"/>
    <w:rsid w:val="07140325"/>
    <w:rsid w:val="07152987"/>
    <w:rsid w:val="07174727"/>
    <w:rsid w:val="07240677"/>
    <w:rsid w:val="07670A22"/>
    <w:rsid w:val="07673187"/>
    <w:rsid w:val="07782974"/>
    <w:rsid w:val="077D0341"/>
    <w:rsid w:val="07831916"/>
    <w:rsid w:val="07AC0B58"/>
    <w:rsid w:val="07C96FE6"/>
    <w:rsid w:val="07CB49D2"/>
    <w:rsid w:val="07CC6BBF"/>
    <w:rsid w:val="07CF4546"/>
    <w:rsid w:val="08006815"/>
    <w:rsid w:val="080A3E1C"/>
    <w:rsid w:val="081C7D29"/>
    <w:rsid w:val="08454173"/>
    <w:rsid w:val="08465C3E"/>
    <w:rsid w:val="084C7109"/>
    <w:rsid w:val="08502878"/>
    <w:rsid w:val="08875F7E"/>
    <w:rsid w:val="089D63E7"/>
    <w:rsid w:val="08BB6C88"/>
    <w:rsid w:val="08D244A8"/>
    <w:rsid w:val="090B21AC"/>
    <w:rsid w:val="091258BD"/>
    <w:rsid w:val="09263087"/>
    <w:rsid w:val="093C424D"/>
    <w:rsid w:val="095F18B2"/>
    <w:rsid w:val="09920DB0"/>
    <w:rsid w:val="09A5445D"/>
    <w:rsid w:val="09B1420E"/>
    <w:rsid w:val="09B950D4"/>
    <w:rsid w:val="09CE67F0"/>
    <w:rsid w:val="09EE642B"/>
    <w:rsid w:val="0A011FE7"/>
    <w:rsid w:val="0A026AE6"/>
    <w:rsid w:val="0A0A1DD9"/>
    <w:rsid w:val="0A493D5F"/>
    <w:rsid w:val="0A560173"/>
    <w:rsid w:val="0A5A5A3A"/>
    <w:rsid w:val="0A5E1A14"/>
    <w:rsid w:val="0A786505"/>
    <w:rsid w:val="0A7E3A2E"/>
    <w:rsid w:val="0A8D3FA1"/>
    <w:rsid w:val="0A8E73F1"/>
    <w:rsid w:val="0A935DB0"/>
    <w:rsid w:val="0AB82632"/>
    <w:rsid w:val="0ABA3A59"/>
    <w:rsid w:val="0AD663AB"/>
    <w:rsid w:val="0AE8785D"/>
    <w:rsid w:val="0B154530"/>
    <w:rsid w:val="0B174473"/>
    <w:rsid w:val="0B1D27B6"/>
    <w:rsid w:val="0B3A50E9"/>
    <w:rsid w:val="0B3F1258"/>
    <w:rsid w:val="0B43606F"/>
    <w:rsid w:val="0B4B4158"/>
    <w:rsid w:val="0B6F5DB2"/>
    <w:rsid w:val="0B7863DB"/>
    <w:rsid w:val="0B8F3A0C"/>
    <w:rsid w:val="0B9D355B"/>
    <w:rsid w:val="0BCE7DAA"/>
    <w:rsid w:val="0C1119BD"/>
    <w:rsid w:val="0C142450"/>
    <w:rsid w:val="0C34212B"/>
    <w:rsid w:val="0C570C5F"/>
    <w:rsid w:val="0C5F7D03"/>
    <w:rsid w:val="0C747B49"/>
    <w:rsid w:val="0C84120F"/>
    <w:rsid w:val="0C9C4B44"/>
    <w:rsid w:val="0CB52E49"/>
    <w:rsid w:val="0CBD68DF"/>
    <w:rsid w:val="0CC12870"/>
    <w:rsid w:val="0CDF7BB4"/>
    <w:rsid w:val="0CFC6D53"/>
    <w:rsid w:val="0D160EAF"/>
    <w:rsid w:val="0D245CFE"/>
    <w:rsid w:val="0D255E66"/>
    <w:rsid w:val="0D25762A"/>
    <w:rsid w:val="0D5A3639"/>
    <w:rsid w:val="0D650680"/>
    <w:rsid w:val="0D76571A"/>
    <w:rsid w:val="0D781272"/>
    <w:rsid w:val="0D824F03"/>
    <w:rsid w:val="0DC363ED"/>
    <w:rsid w:val="0DC50425"/>
    <w:rsid w:val="0DCC4665"/>
    <w:rsid w:val="0E145E8E"/>
    <w:rsid w:val="0E2A177D"/>
    <w:rsid w:val="0E2B3449"/>
    <w:rsid w:val="0E3E6C43"/>
    <w:rsid w:val="0E400E48"/>
    <w:rsid w:val="0E5F3FEE"/>
    <w:rsid w:val="0E725CF5"/>
    <w:rsid w:val="0E9450A5"/>
    <w:rsid w:val="0E9E714B"/>
    <w:rsid w:val="0EA42543"/>
    <w:rsid w:val="0EBB46B0"/>
    <w:rsid w:val="0EC73CBB"/>
    <w:rsid w:val="0ED434F5"/>
    <w:rsid w:val="0ED63FDA"/>
    <w:rsid w:val="0EE53B0D"/>
    <w:rsid w:val="0EF83931"/>
    <w:rsid w:val="0F200666"/>
    <w:rsid w:val="0F2575D3"/>
    <w:rsid w:val="0F3D2D0C"/>
    <w:rsid w:val="0F4A612D"/>
    <w:rsid w:val="0F5B136B"/>
    <w:rsid w:val="0F5F43BC"/>
    <w:rsid w:val="0F7157C8"/>
    <w:rsid w:val="0F847C30"/>
    <w:rsid w:val="0F95263D"/>
    <w:rsid w:val="0F9A2890"/>
    <w:rsid w:val="0FC01BBA"/>
    <w:rsid w:val="0FC42AB2"/>
    <w:rsid w:val="0FCA16C2"/>
    <w:rsid w:val="0FE41E61"/>
    <w:rsid w:val="0FE61592"/>
    <w:rsid w:val="0FFD13A1"/>
    <w:rsid w:val="0FFF0DC2"/>
    <w:rsid w:val="100336EF"/>
    <w:rsid w:val="1026481C"/>
    <w:rsid w:val="103D1ED6"/>
    <w:rsid w:val="10416A24"/>
    <w:rsid w:val="10495714"/>
    <w:rsid w:val="104957CA"/>
    <w:rsid w:val="10761424"/>
    <w:rsid w:val="1085100E"/>
    <w:rsid w:val="10877A4C"/>
    <w:rsid w:val="10BD2211"/>
    <w:rsid w:val="10D54448"/>
    <w:rsid w:val="10DD1069"/>
    <w:rsid w:val="110055CD"/>
    <w:rsid w:val="110A3425"/>
    <w:rsid w:val="110F302F"/>
    <w:rsid w:val="11366CE3"/>
    <w:rsid w:val="113D4D5F"/>
    <w:rsid w:val="113F7762"/>
    <w:rsid w:val="11533835"/>
    <w:rsid w:val="11564743"/>
    <w:rsid w:val="1160256F"/>
    <w:rsid w:val="11705B0C"/>
    <w:rsid w:val="117A4938"/>
    <w:rsid w:val="118D3E1B"/>
    <w:rsid w:val="11A5749F"/>
    <w:rsid w:val="11B806F5"/>
    <w:rsid w:val="11C10E95"/>
    <w:rsid w:val="11CC6DD9"/>
    <w:rsid w:val="11CF77D1"/>
    <w:rsid w:val="11D07A25"/>
    <w:rsid w:val="11D1448A"/>
    <w:rsid w:val="11D51574"/>
    <w:rsid w:val="11D80BFA"/>
    <w:rsid w:val="11FC6116"/>
    <w:rsid w:val="11FE54F8"/>
    <w:rsid w:val="120F7CB7"/>
    <w:rsid w:val="121553BF"/>
    <w:rsid w:val="12265B2A"/>
    <w:rsid w:val="1227133C"/>
    <w:rsid w:val="1237577F"/>
    <w:rsid w:val="123B4782"/>
    <w:rsid w:val="12441A7C"/>
    <w:rsid w:val="12547A1D"/>
    <w:rsid w:val="12630CAF"/>
    <w:rsid w:val="126338E8"/>
    <w:rsid w:val="126C079D"/>
    <w:rsid w:val="12793292"/>
    <w:rsid w:val="128B3BEE"/>
    <w:rsid w:val="12B332CD"/>
    <w:rsid w:val="12B87FC6"/>
    <w:rsid w:val="12C82534"/>
    <w:rsid w:val="12C9042C"/>
    <w:rsid w:val="12CE120A"/>
    <w:rsid w:val="12F14C00"/>
    <w:rsid w:val="12F625D5"/>
    <w:rsid w:val="12F71501"/>
    <w:rsid w:val="130E3A09"/>
    <w:rsid w:val="13104DF0"/>
    <w:rsid w:val="131778C3"/>
    <w:rsid w:val="133203CD"/>
    <w:rsid w:val="133A643F"/>
    <w:rsid w:val="135065A0"/>
    <w:rsid w:val="13986220"/>
    <w:rsid w:val="13A9115B"/>
    <w:rsid w:val="13BC6437"/>
    <w:rsid w:val="13D1738A"/>
    <w:rsid w:val="13DC0D9A"/>
    <w:rsid w:val="13E018E4"/>
    <w:rsid w:val="13E25B79"/>
    <w:rsid w:val="13FB75B2"/>
    <w:rsid w:val="13FE2D40"/>
    <w:rsid w:val="14190998"/>
    <w:rsid w:val="14197EEC"/>
    <w:rsid w:val="141D3733"/>
    <w:rsid w:val="14426CE4"/>
    <w:rsid w:val="144569B0"/>
    <w:rsid w:val="14674313"/>
    <w:rsid w:val="147869F3"/>
    <w:rsid w:val="14823A13"/>
    <w:rsid w:val="148256C6"/>
    <w:rsid w:val="14903493"/>
    <w:rsid w:val="14931E55"/>
    <w:rsid w:val="149A59CD"/>
    <w:rsid w:val="14AC34C4"/>
    <w:rsid w:val="14AE7E8C"/>
    <w:rsid w:val="14B05FC8"/>
    <w:rsid w:val="14B270BA"/>
    <w:rsid w:val="14CB4227"/>
    <w:rsid w:val="14D04729"/>
    <w:rsid w:val="14D22406"/>
    <w:rsid w:val="14D52A5B"/>
    <w:rsid w:val="14F767DE"/>
    <w:rsid w:val="14FC6018"/>
    <w:rsid w:val="152902FA"/>
    <w:rsid w:val="156D1AE3"/>
    <w:rsid w:val="15774A81"/>
    <w:rsid w:val="15932B49"/>
    <w:rsid w:val="1593454C"/>
    <w:rsid w:val="15AC15B0"/>
    <w:rsid w:val="15B01506"/>
    <w:rsid w:val="15B94777"/>
    <w:rsid w:val="15BD4C71"/>
    <w:rsid w:val="15CB2510"/>
    <w:rsid w:val="15D46F90"/>
    <w:rsid w:val="160D099B"/>
    <w:rsid w:val="16284C75"/>
    <w:rsid w:val="162E130A"/>
    <w:rsid w:val="16305F80"/>
    <w:rsid w:val="16581314"/>
    <w:rsid w:val="165E4538"/>
    <w:rsid w:val="166323C2"/>
    <w:rsid w:val="1669478E"/>
    <w:rsid w:val="168A20AD"/>
    <w:rsid w:val="169225F7"/>
    <w:rsid w:val="169704E6"/>
    <w:rsid w:val="169E5582"/>
    <w:rsid w:val="16A37905"/>
    <w:rsid w:val="16A45B9C"/>
    <w:rsid w:val="16C5281F"/>
    <w:rsid w:val="16EE0B33"/>
    <w:rsid w:val="16F27608"/>
    <w:rsid w:val="16F3507B"/>
    <w:rsid w:val="16FF66F5"/>
    <w:rsid w:val="17037328"/>
    <w:rsid w:val="17151EB1"/>
    <w:rsid w:val="17233804"/>
    <w:rsid w:val="17472692"/>
    <w:rsid w:val="17561494"/>
    <w:rsid w:val="177A50E4"/>
    <w:rsid w:val="17A05627"/>
    <w:rsid w:val="17A24FD4"/>
    <w:rsid w:val="17B31A2C"/>
    <w:rsid w:val="17E452BF"/>
    <w:rsid w:val="17F46A26"/>
    <w:rsid w:val="17FB758E"/>
    <w:rsid w:val="1802514D"/>
    <w:rsid w:val="180513A4"/>
    <w:rsid w:val="181C3669"/>
    <w:rsid w:val="182075E9"/>
    <w:rsid w:val="18246983"/>
    <w:rsid w:val="182940D0"/>
    <w:rsid w:val="18351DF5"/>
    <w:rsid w:val="18366DBB"/>
    <w:rsid w:val="18553091"/>
    <w:rsid w:val="18561C0B"/>
    <w:rsid w:val="185C54ED"/>
    <w:rsid w:val="18683AF3"/>
    <w:rsid w:val="18763B01"/>
    <w:rsid w:val="188071EB"/>
    <w:rsid w:val="18847EB6"/>
    <w:rsid w:val="18900A1F"/>
    <w:rsid w:val="189A1D2D"/>
    <w:rsid w:val="18B004D2"/>
    <w:rsid w:val="18BC7C4D"/>
    <w:rsid w:val="18D77B2C"/>
    <w:rsid w:val="18EF6DE4"/>
    <w:rsid w:val="190D5B11"/>
    <w:rsid w:val="19197A55"/>
    <w:rsid w:val="191C7B6F"/>
    <w:rsid w:val="193627CE"/>
    <w:rsid w:val="193D2486"/>
    <w:rsid w:val="19566A9D"/>
    <w:rsid w:val="195B67DF"/>
    <w:rsid w:val="19672AC5"/>
    <w:rsid w:val="19673FED"/>
    <w:rsid w:val="196E2F9C"/>
    <w:rsid w:val="19754406"/>
    <w:rsid w:val="199C1837"/>
    <w:rsid w:val="19A10717"/>
    <w:rsid w:val="19A44CF9"/>
    <w:rsid w:val="19A622A9"/>
    <w:rsid w:val="19B62055"/>
    <w:rsid w:val="19BA38BC"/>
    <w:rsid w:val="19CE3F37"/>
    <w:rsid w:val="19D17C18"/>
    <w:rsid w:val="19EE23B1"/>
    <w:rsid w:val="19F318AA"/>
    <w:rsid w:val="1A0A76E7"/>
    <w:rsid w:val="1A145DAD"/>
    <w:rsid w:val="1A2A1AC5"/>
    <w:rsid w:val="1A427151"/>
    <w:rsid w:val="1A4A6BE4"/>
    <w:rsid w:val="1A4F53CE"/>
    <w:rsid w:val="1A63253D"/>
    <w:rsid w:val="1A6B2BB2"/>
    <w:rsid w:val="1A6C302F"/>
    <w:rsid w:val="1A8D6B4A"/>
    <w:rsid w:val="1A9E5F0A"/>
    <w:rsid w:val="1AB15758"/>
    <w:rsid w:val="1AB37B12"/>
    <w:rsid w:val="1AC35DCB"/>
    <w:rsid w:val="1ADE026D"/>
    <w:rsid w:val="1AE80251"/>
    <w:rsid w:val="1AF554C1"/>
    <w:rsid w:val="1AF62715"/>
    <w:rsid w:val="1B044D4D"/>
    <w:rsid w:val="1B0A685C"/>
    <w:rsid w:val="1B27759E"/>
    <w:rsid w:val="1B2D0D80"/>
    <w:rsid w:val="1B640354"/>
    <w:rsid w:val="1B9204B8"/>
    <w:rsid w:val="1B9B6681"/>
    <w:rsid w:val="1BA0299A"/>
    <w:rsid w:val="1BAD70CA"/>
    <w:rsid w:val="1BBE2E6C"/>
    <w:rsid w:val="1BEB45CE"/>
    <w:rsid w:val="1C013DF2"/>
    <w:rsid w:val="1C115E31"/>
    <w:rsid w:val="1C144907"/>
    <w:rsid w:val="1C287B68"/>
    <w:rsid w:val="1C8A0D07"/>
    <w:rsid w:val="1C920D26"/>
    <w:rsid w:val="1CB0614A"/>
    <w:rsid w:val="1CB06D04"/>
    <w:rsid w:val="1CB27CF7"/>
    <w:rsid w:val="1CC5072A"/>
    <w:rsid w:val="1CC838F0"/>
    <w:rsid w:val="1CC86CD8"/>
    <w:rsid w:val="1CC9221B"/>
    <w:rsid w:val="1CCA4B1C"/>
    <w:rsid w:val="1CCC7167"/>
    <w:rsid w:val="1CD72A03"/>
    <w:rsid w:val="1CDA251A"/>
    <w:rsid w:val="1CFC62AA"/>
    <w:rsid w:val="1D085AC3"/>
    <w:rsid w:val="1D3F7112"/>
    <w:rsid w:val="1D425BD4"/>
    <w:rsid w:val="1D6D6983"/>
    <w:rsid w:val="1D853366"/>
    <w:rsid w:val="1DA436DA"/>
    <w:rsid w:val="1DBE407B"/>
    <w:rsid w:val="1DE10F22"/>
    <w:rsid w:val="1DE60A06"/>
    <w:rsid w:val="1E0327D5"/>
    <w:rsid w:val="1E0A6632"/>
    <w:rsid w:val="1E0F5996"/>
    <w:rsid w:val="1E173B9E"/>
    <w:rsid w:val="1E47171D"/>
    <w:rsid w:val="1E4A47B4"/>
    <w:rsid w:val="1E672245"/>
    <w:rsid w:val="1E853985"/>
    <w:rsid w:val="1E874D54"/>
    <w:rsid w:val="1EA55EAE"/>
    <w:rsid w:val="1EAE1D8B"/>
    <w:rsid w:val="1EBE4A79"/>
    <w:rsid w:val="1EDF26D8"/>
    <w:rsid w:val="1EF4161A"/>
    <w:rsid w:val="1F073057"/>
    <w:rsid w:val="1F1425A4"/>
    <w:rsid w:val="1F1B53C3"/>
    <w:rsid w:val="1F341502"/>
    <w:rsid w:val="1F370175"/>
    <w:rsid w:val="1F692DA0"/>
    <w:rsid w:val="1F6E4595"/>
    <w:rsid w:val="1F8938D2"/>
    <w:rsid w:val="1F8A4E55"/>
    <w:rsid w:val="1F8F2B02"/>
    <w:rsid w:val="1F9F16C5"/>
    <w:rsid w:val="1FC71EC7"/>
    <w:rsid w:val="1FD74EE6"/>
    <w:rsid w:val="1FED3477"/>
    <w:rsid w:val="1FEE2C90"/>
    <w:rsid w:val="1FEF54D4"/>
    <w:rsid w:val="1FF041B3"/>
    <w:rsid w:val="1FF139BA"/>
    <w:rsid w:val="200C5151"/>
    <w:rsid w:val="20107346"/>
    <w:rsid w:val="201C60D1"/>
    <w:rsid w:val="20215BEB"/>
    <w:rsid w:val="20287B58"/>
    <w:rsid w:val="20400F2A"/>
    <w:rsid w:val="2050604D"/>
    <w:rsid w:val="20592F5D"/>
    <w:rsid w:val="205E3DD9"/>
    <w:rsid w:val="20765EAF"/>
    <w:rsid w:val="2086408C"/>
    <w:rsid w:val="209957C8"/>
    <w:rsid w:val="20AE795C"/>
    <w:rsid w:val="20CB60E5"/>
    <w:rsid w:val="20FA3253"/>
    <w:rsid w:val="21003389"/>
    <w:rsid w:val="210127EB"/>
    <w:rsid w:val="21234012"/>
    <w:rsid w:val="21380DB0"/>
    <w:rsid w:val="21443153"/>
    <w:rsid w:val="214D443B"/>
    <w:rsid w:val="215A1290"/>
    <w:rsid w:val="219B07AC"/>
    <w:rsid w:val="219E341D"/>
    <w:rsid w:val="21A1511C"/>
    <w:rsid w:val="21B01C18"/>
    <w:rsid w:val="21BA7BBE"/>
    <w:rsid w:val="21D17878"/>
    <w:rsid w:val="21D57C23"/>
    <w:rsid w:val="21E740F9"/>
    <w:rsid w:val="21EA0D88"/>
    <w:rsid w:val="21FB0E74"/>
    <w:rsid w:val="22345A3E"/>
    <w:rsid w:val="223650FE"/>
    <w:rsid w:val="22B575E3"/>
    <w:rsid w:val="22B86AAD"/>
    <w:rsid w:val="22C5630B"/>
    <w:rsid w:val="22D563FC"/>
    <w:rsid w:val="22E920A8"/>
    <w:rsid w:val="22F8341B"/>
    <w:rsid w:val="230F6E96"/>
    <w:rsid w:val="232952FB"/>
    <w:rsid w:val="234B5430"/>
    <w:rsid w:val="234C2C81"/>
    <w:rsid w:val="23630C48"/>
    <w:rsid w:val="238A7D90"/>
    <w:rsid w:val="239E50A6"/>
    <w:rsid w:val="23A216A4"/>
    <w:rsid w:val="23A84992"/>
    <w:rsid w:val="23AC7DBD"/>
    <w:rsid w:val="23B62477"/>
    <w:rsid w:val="23DA6CA9"/>
    <w:rsid w:val="23E00F22"/>
    <w:rsid w:val="23F65ABA"/>
    <w:rsid w:val="240B5385"/>
    <w:rsid w:val="240C26DC"/>
    <w:rsid w:val="241A2308"/>
    <w:rsid w:val="2431522B"/>
    <w:rsid w:val="24506C75"/>
    <w:rsid w:val="246445EC"/>
    <w:rsid w:val="246F4A4D"/>
    <w:rsid w:val="24710E68"/>
    <w:rsid w:val="24746F6A"/>
    <w:rsid w:val="24D45D46"/>
    <w:rsid w:val="24EF2796"/>
    <w:rsid w:val="2501693D"/>
    <w:rsid w:val="25094C37"/>
    <w:rsid w:val="252A598D"/>
    <w:rsid w:val="252D64FB"/>
    <w:rsid w:val="25761C1E"/>
    <w:rsid w:val="25820CA6"/>
    <w:rsid w:val="25882030"/>
    <w:rsid w:val="25964253"/>
    <w:rsid w:val="25990C0B"/>
    <w:rsid w:val="25B70E83"/>
    <w:rsid w:val="25C1786E"/>
    <w:rsid w:val="25C342E0"/>
    <w:rsid w:val="25CB38B0"/>
    <w:rsid w:val="25CB3A91"/>
    <w:rsid w:val="2613381C"/>
    <w:rsid w:val="263D4040"/>
    <w:rsid w:val="264B40A8"/>
    <w:rsid w:val="265D2225"/>
    <w:rsid w:val="266E4103"/>
    <w:rsid w:val="26986224"/>
    <w:rsid w:val="269C4DA6"/>
    <w:rsid w:val="26BD2E53"/>
    <w:rsid w:val="26C35542"/>
    <w:rsid w:val="26CE10F9"/>
    <w:rsid w:val="26FF3EA9"/>
    <w:rsid w:val="27117F57"/>
    <w:rsid w:val="27515718"/>
    <w:rsid w:val="276A69F2"/>
    <w:rsid w:val="277D1E2D"/>
    <w:rsid w:val="27AF0AF1"/>
    <w:rsid w:val="27AF193A"/>
    <w:rsid w:val="27B61629"/>
    <w:rsid w:val="27C7433A"/>
    <w:rsid w:val="27DA374F"/>
    <w:rsid w:val="27E240BC"/>
    <w:rsid w:val="27FC632B"/>
    <w:rsid w:val="28251437"/>
    <w:rsid w:val="28375B92"/>
    <w:rsid w:val="28423E59"/>
    <w:rsid w:val="286A0245"/>
    <w:rsid w:val="287748FC"/>
    <w:rsid w:val="28841280"/>
    <w:rsid w:val="288E7478"/>
    <w:rsid w:val="28B71720"/>
    <w:rsid w:val="28C05D6E"/>
    <w:rsid w:val="28C8622D"/>
    <w:rsid w:val="28D265E4"/>
    <w:rsid w:val="28DD3E76"/>
    <w:rsid w:val="28EB154B"/>
    <w:rsid w:val="29180B95"/>
    <w:rsid w:val="292E2667"/>
    <w:rsid w:val="292E3838"/>
    <w:rsid w:val="292E4BAA"/>
    <w:rsid w:val="292F7B3E"/>
    <w:rsid w:val="294F39DF"/>
    <w:rsid w:val="296C45C1"/>
    <w:rsid w:val="297063C8"/>
    <w:rsid w:val="297835DF"/>
    <w:rsid w:val="29A11B13"/>
    <w:rsid w:val="29BF6037"/>
    <w:rsid w:val="29E63173"/>
    <w:rsid w:val="29FE48A2"/>
    <w:rsid w:val="2A0E58DD"/>
    <w:rsid w:val="2A193C1E"/>
    <w:rsid w:val="2A3322EC"/>
    <w:rsid w:val="2A3E54AB"/>
    <w:rsid w:val="2A4963F8"/>
    <w:rsid w:val="2A4E2046"/>
    <w:rsid w:val="2A507555"/>
    <w:rsid w:val="2A682E49"/>
    <w:rsid w:val="2A7829A5"/>
    <w:rsid w:val="2A997252"/>
    <w:rsid w:val="2AA055DC"/>
    <w:rsid w:val="2AAC7BEA"/>
    <w:rsid w:val="2AB56B44"/>
    <w:rsid w:val="2AC06A06"/>
    <w:rsid w:val="2AE11DEA"/>
    <w:rsid w:val="2AEC70CB"/>
    <w:rsid w:val="2AED5173"/>
    <w:rsid w:val="2B51258B"/>
    <w:rsid w:val="2B597049"/>
    <w:rsid w:val="2B60400E"/>
    <w:rsid w:val="2B63795F"/>
    <w:rsid w:val="2B68596B"/>
    <w:rsid w:val="2B6D4F4B"/>
    <w:rsid w:val="2B6F0B2B"/>
    <w:rsid w:val="2B801BF0"/>
    <w:rsid w:val="2B8F49A7"/>
    <w:rsid w:val="2BA151BE"/>
    <w:rsid w:val="2BAB05E0"/>
    <w:rsid w:val="2BB6106A"/>
    <w:rsid w:val="2BE16647"/>
    <w:rsid w:val="2BE745AB"/>
    <w:rsid w:val="2BFE4C2C"/>
    <w:rsid w:val="2C1D06FA"/>
    <w:rsid w:val="2C364F00"/>
    <w:rsid w:val="2C497A9A"/>
    <w:rsid w:val="2C8213ED"/>
    <w:rsid w:val="2C8273D3"/>
    <w:rsid w:val="2C8C628A"/>
    <w:rsid w:val="2C9E7996"/>
    <w:rsid w:val="2CC87CCD"/>
    <w:rsid w:val="2CD44ED2"/>
    <w:rsid w:val="2CDB7751"/>
    <w:rsid w:val="2CEF53FB"/>
    <w:rsid w:val="2D117637"/>
    <w:rsid w:val="2D2476D0"/>
    <w:rsid w:val="2D471B6E"/>
    <w:rsid w:val="2D6321D1"/>
    <w:rsid w:val="2D7B307B"/>
    <w:rsid w:val="2D7E2021"/>
    <w:rsid w:val="2D823B53"/>
    <w:rsid w:val="2DA412C6"/>
    <w:rsid w:val="2DB23AC9"/>
    <w:rsid w:val="2DBA21C6"/>
    <w:rsid w:val="2DDA1A50"/>
    <w:rsid w:val="2E082324"/>
    <w:rsid w:val="2E155D31"/>
    <w:rsid w:val="2E433558"/>
    <w:rsid w:val="2E4B4807"/>
    <w:rsid w:val="2E6F3616"/>
    <w:rsid w:val="2E8D6C16"/>
    <w:rsid w:val="2E97180F"/>
    <w:rsid w:val="2E994A7C"/>
    <w:rsid w:val="2EC63928"/>
    <w:rsid w:val="2ECF30F7"/>
    <w:rsid w:val="2ED0007E"/>
    <w:rsid w:val="2ED539BC"/>
    <w:rsid w:val="2EE84CD3"/>
    <w:rsid w:val="2EF47A18"/>
    <w:rsid w:val="2F1754DB"/>
    <w:rsid w:val="2F224740"/>
    <w:rsid w:val="2F253421"/>
    <w:rsid w:val="2F272596"/>
    <w:rsid w:val="2F350081"/>
    <w:rsid w:val="2F4A0D47"/>
    <w:rsid w:val="2F4C49EF"/>
    <w:rsid w:val="2F517FE7"/>
    <w:rsid w:val="2F5B69A2"/>
    <w:rsid w:val="2F5D0920"/>
    <w:rsid w:val="2F66505B"/>
    <w:rsid w:val="2F666602"/>
    <w:rsid w:val="2F70746A"/>
    <w:rsid w:val="2F931AF8"/>
    <w:rsid w:val="2FA40A66"/>
    <w:rsid w:val="2FAB3648"/>
    <w:rsid w:val="2FB0787A"/>
    <w:rsid w:val="2FB63051"/>
    <w:rsid w:val="2FBF200A"/>
    <w:rsid w:val="2FCC3933"/>
    <w:rsid w:val="2FD03A0D"/>
    <w:rsid w:val="2FF47983"/>
    <w:rsid w:val="30085D5E"/>
    <w:rsid w:val="3027584C"/>
    <w:rsid w:val="303C569A"/>
    <w:rsid w:val="305157F1"/>
    <w:rsid w:val="305542E1"/>
    <w:rsid w:val="305C3E3E"/>
    <w:rsid w:val="30703B14"/>
    <w:rsid w:val="307431FF"/>
    <w:rsid w:val="307E4CE9"/>
    <w:rsid w:val="30846656"/>
    <w:rsid w:val="309A3846"/>
    <w:rsid w:val="30AB16C4"/>
    <w:rsid w:val="30B314C5"/>
    <w:rsid w:val="30BA26E6"/>
    <w:rsid w:val="30BC2348"/>
    <w:rsid w:val="30C34F1A"/>
    <w:rsid w:val="30CD1ECF"/>
    <w:rsid w:val="30DC44F3"/>
    <w:rsid w:val="30E93409"/>
    <w:rsid w:val="30EF0EF5"/>
    <w:rsid w:val="30F128A6"/>
    <w:rsid w:val="30FC62D2"/>
    <w:rsid w:val="3134136A"/>
    <w:rsid w:val="313F63BC"/>
    <w:rsid w:val="31462D01"/>
    <w:rsid w:val="314B7047"/>
    <w:rsid w:val="31646687"/>
    <w:rsid w:val="3186527A"/>
    <w:rsid w:val="319C74CD"/>
    <w:rsid w:val="31BE6BB0"/>
    <w:rsid w:val="31CC0F36"/>
    <w:rsid w:val="320E1128"/>
    <w:rsid w:val="323059D0"/>
    <w:rsid w:val="323205BB"/>
    <w:rsid w:val="32587771"/>
    <w:rsid w:val="32A3057E"/>
    <w:rsid w:val="32C75788"/>
    <w:rsid w:val="32F6035D"/>
    <w:rsid w:val="33143ACE"/>
    <w:rsid w:val="331A2E4C"/>
    <w:rsid w:val="335E5899"/>
    <w:rsid w:val="338776A9"/>
    <w:rsid w:val="33971D3F"/>
    <w:rsid w:val="33A647C0"/>
    <w:rsid w:val="33E65ECD"/>
    <w:rsid w:val="34086582"/>
    <w:rsid w:val="340B4A9F"/>
    <w:rsid w:val="34376C31"/>
    <w:rsid w:val="344434F6"/>
    <w:rsid w:val="34534DD2"/>
    <w:rsid w:val="34615828"/>
    <w:rsid w:val="347A6CDA"/>
    <w:rsid w:val="34802A0B"/>
    <w:rsid w:val="34A71589"/>
    <w:rsid w:val="34AC40BF"/>
    <w:rsid w:val="34BE1741"/>
    <w:rsid w:val="34EF0440"/>
    <w:rsid w:val="34F74ED3"/>
    <w:rsid w:val="34F777FE"/>
    <w:rsid w:val="350E606F"/>
    <w:rsid w:val="351A797A"/>
    <w:rsid w:val="351F61B6"/>
    <w:rsid w:val="352617E5"/>
    <w:rsid w:val="35483A7C"/>
    <w:rsid w:val="354C1C4C"/>
    <w:rsid w:val="354D7C53"/>
    <w:rsid w:val="35640539"/>
    <w:rsid w:val="356A14C6"/>
    <w:rsid w:val="358D569A"/>
    <w:rsid w:val="35CA4433"/>
    <w:rsid w:val="35D012EB"/>
    <w:rsid w:val="35D31CC0"/>
    <w:rsid w:val="35D93DE0"/>
    <w:rsid w:val="35E70196"/>
    <w:rsid w:val="360B7885"/>
    <w:rsid w:val="361719F9"/>
    <w:rsid w:val="3621534E"/>
    <w:rsid w:val="3627342B"/>
    <w:rsid w:val="362F424B"/>
    <w:rsid w:val="363A5360"/>
    <w:rsid w:val="363C0A89"/>
    <w:rsid w:val="36402AD5"/>
    <w:rsid w:val="364F00D0"/>
    <w:rsid w:val="3654184A"/>
    <w:rsid w:val="365E4851"/>
    <w:rsid w:val="367D1777"/>
    <w:rsid w:val="369040B0"/>
    <w:rsid w:val="36927FE6"/>
    <w:rsid w:val="36A75FFC"/>
    <w:rsid w:val="36AA67E5"/>
    <w:rsid w:val="36D8356A"/>
    <w:rsid w:val="36D8548F"/>
    <w:rsid w:val="370B7E09"/>
    <w:rsid w:val="3715537E"/>
    <w:rsid w:val="37307E3B"/>
    <w:rsid w:val="37340D65"/>
    <w:rsid w:val="373C75EC"/>
    <w:rsid w:val="375249C3"/>
    <w:rsid w:val="37701EFA"/>
    <w:rsid w:val="379B6AD7"/>
    <w:rsid w:val="37A548EB"/>
    <w:rsid w:val="37A857AC"/>
    <w:rsid w:val="37BB73E8"/>
    <w:rsid w:val="37CA5F34"/>
    <w:rsid w:val="37CB1850"/>
    <w:rsid w:val="3812032D"/>
    <w:rsid w:val="38135B82"/>
    <w:rsid w:val="3816529E"/>
    <w:rsid w:val="3818493A"/>
    <w:rsid w:val="381C3B8F"/>
    <w:rsid w:val="384C71EC"/>
    <w:rsid w:val="38623084"/>
    <w:rsid w:val="3883357D"/>
    <w:rsid w:val="388A72CA"/>
    <w:rsid w:val="389D17EE"/>
    <w:rsid w:val="38A061DE"/>
    <w:rsid w:val="38B14F10"/>
    <w:rsid w:val="38D978EA"/>
    <w:rsid w:val="38DC4346"/>
    <w:rsid w:val="38F21F9C"/>
    <w:rsid w:val="38F864AE"/>
    <w:rsid w:val="39037CD8"/>
    <w:rsid w:val="39135FF7"/>
    <w:rsid w:val="391B1594"/>
    <w:rsid w:val="392C1B16"/>
    <w:rsid w:val="394A1CC0"/>
    <w:rsid w:val="395A20EA"/>
    <w:rsid w:val="39730A58"/>
    <w:rsid w:val="39832C1C"/>
    <w:rsid w:val="398712D6"/>
    <w:rsid w:val="398F5CF6"/>
    <w:rsid w:val="39994163"/>
    <w:rsid w:val="399E110E"/>
    <w:rsid w:val="39A74C44"/>
    <w:rsid w:val="39AE3C5B"/>
    <w:rsid w:val="39BF1D2F"/>
    <w:rsid w:val="39D25C28"/>
    <w:rsid w:val="39E87141"/>
    <w:rsid w:val="39F3271A"/>
    <w:rsid w:val="3A0104A2"/>
    <w:rsid w:val="3A0C509A"/>
    <w:rsid w:val="3A10090B"/>
    <w:rsid w:val="3A106AEE"/>
    <w:rsid w:val="3A1367E2"/>
    <w:rsid w:val="3A2172E4"/>
    <w:rsid w:val="3A4234A1"/>
    <w:rsid w:val="3A6C0974"/>
    <w:rsid w:val="3A7B76F4"/>
    <w:rsid w:val="3A872181"/>
    <w:rsid w:val="3AA01FFE"/>
    <w:rsid w:val="3AB2408B"/>
    <w:rsid w:val="3AC37535"/>
    <w:rsid w:val="3AD3004C"/>
    <w:rsid w:val="3AE06179"/>
    <w:rsid w:val="3AE94A84"/>
    <w:rsid w:val="3AEC222F"/>
    <w:rsid w:val="3AF7218B"/>
    <w:rsid w:val="3AFF7AC7"/>
    <w:rsid w:val="3B054745"/>
    <w:rsid w:val="3B066C27"/>
    <w:rsid w:val="3B142F73"/>
    <w:rsid w:val="3B1A3989"/>
    <w:rsid w:val="3B2052E5"/>
    <w:rsid w:val="3B38152F"/>
    <w:rsid w:val="3B403995"/>
    <w:rsid w:val="3B6760AD"/>
    <w:rsid w:val="3B6F290B"/>
    <w:rsid w:val="3B6F5473"/>
    <w:rsid w:val="3B707A85"/>
    <w:rsid w:val="3B882AAB"/>
    <w:rsid w:val="3BC10822"/>
    <w:rsid w:val="3BD022E4"/>
    <w:rsid w:val="3BDB48E9"/>
    <w:rsid w:val="3BDE5B09"/>
    <w:rsid w:val="3BEA42EB"/>
    <w:rsid w:val="3BEA5926"/>
    <w:rsid w:val="3C0B1FE7"/>
    <w:rsid w:val="3C0F3C95"/>
    <w:rsid w:val="3C5850E4"/>
    <w:rsid w:val="3C606DD1"/>
    <w:rsid w:val="3C8B1D55"/>
    <w:rsid w:val="3CB35362"/>
    <w:rsid w:val="3CBC5414"/>
    <w:rsid w:val="3CBF055D"/>
    <w:rsid w:val="3CD400D1"/>
    <w:rsid w:val="3CF332B2"/>
    <w:rsid w:val="3D012FF0"/>
    <w:rsid w:val="3D080697"/>
    <w:rsid w:val="3D0F79F0"/>
    <w:rsid w:val="3D1412BF"/>
    <w:rsid w:val="3D171DBE"/>
    <w:rsid w:val="3D1A0CC1"/>
    <w:rsid w:val="3D524C71"/>
    <w:rsid w:val="3D566B14"/>
    <w:rsid w:val="3D7755B8"/>
    <w:rsid w:val="3D7E63D3"/>
    <w:rsid w:val="3D98307D"/>
    <w:rsid w:val="3D986515"/>
    <w:rsid w:val="3DBB36F6"/>
    <w:rsid w:val="3DC04A20"/>
    <w:rsid w:val="3DC96B0A"/>
    <w:rsid w:val="3DD01806"/>
    <w:rsid w:val="3DDA50C8"/>
    <w:rsid w:val="3DE51648"/>
    <w:rsid w:val="3DF07DE9"/>
    <w:rsid w:val="3DFA6947"/>
    <w:rsid w:val="3DFC6C0B"/>
    <w:rsid w:val="3E36420B"/>
    <w:rsid w:val="3E3B5F1E"/>
    <w:rsid w:val="3E3C56F0"/>
    <w:rsid w:val="3ED74C37"/>
    <w:rsid w:val="3EF455DD"/>
    <w:rsid w:val="3F104C26"/>
    <w:rsid w:val="3F213FCD"/>
    <w:rsid w:val="3F41510C"/>
    <w:rsid w:val="3F503049"/>
    <w:rsid w:val="3F5D14DF"/>
    <w:rsid w:val="3F5E73DB"/>
    <w:rsid w:val="3F682FF9"/>
    <w:rsid w:val="3F7918F5"/>
    <w:rsid w:val="3F7C7853"/>
    <w:rsid w:val="3F8D1E0C"/>
    <w:rsid w:val="3FA23968"/>
    <w:rsid w:val="3FAC30C2"/>
    <w:rsid w:val="3FB360A5"/>
    <w:rsid w:val="400D3933"/>
    <w:rsid w:val="401D0250"/>
    <w:rsid w:val="40266227"/>
    <w:rsid w:val="402B6C41"/>
    <w:rsid w:val="403C22A2"/>
    <w:rsid w:val="404F38E9"/>
    <w:rsid w:val="405D40B7"/>
    <w:rsid w:val="40605751"/>
    <w:rsid w:val="4061503E"/>
    <w:rsid w:val="40641FBF"/>
    <w:rsid w:val="40643DA4"/>
    <w:rsid w:val="40776F16"/>
    <w:rsid w:val="40871EE9"/>
    <w:rsid w:val="40A62836"/>
    <w:rsid w:val="40A650D2"/>
    <w:rsid w:val="40BD56CF"/>
    <w:rsid w:val="40E86291"/>
    <w:rsid w:val="410615B5"/>
    <w:rsid w:val="4117092B"/>
    <w:rsid w:val="414F0756"/>
    <w:rsid w:val="41676C1C"/>
    <w:rsid w:val="417D6144"/>
    <w:rsid w:val="417E1CD5"/>
    <w:rsid w:val="418A0ECA"/>
    <w:rsid w:val="41A07E33"/>
    <w:rsid w:val="41C663B7"/>
    <w:rsid w:val="41CC3423"/>
    <w:rsid w:val="41DB77E8"/>
    <w:rsid w:val="41E10404"/>
    <w:rsid w:val="41E54236"/>
    <w:rsid w:val="42004757"/>
    <w:rsid w:val="42021BA8"/>
    <w:rsid w:val="420B0568"/>
    <w:rsid w:val="420C7E0F"/>
    <w:rsid w:val="423A128D"/>
    <w:rsid w:val="425D6968"/>
    <w:rsid w:val="425E35DB"/>
    <w:rsid w:val="427D6F5C"/>
    <w:rsid w:val="42816873"/>
    <w:rsid w:val="428C17B7"/>
    <w:rsid w:val="42DA265C"/>
    <w:rsid w:val="42F06533"/>
    <w:rsid w:val="42FF6598"/>
    <w:rsid w:val="433C6638"/>
    <w:rsid w:val="434421E6"/>
    <w:rsid w:val="434C7E60"/>
    <w:rsid w:val="435D1F13"/>
    <w:rsid w:val="4379421C"/>
    <w:rsid w:val="43794748"/>
    <w:rsid w:val="437A12E7"/>
    <w:rsid w:val="43831451"/>
    <w:rsid w:val="438C73C5"/>
    <w:rsid w:val="43E51F25"/>
    <w:rsid w:val="43EF292C"/>
    <w:rsid w:val="43F919C8"/>
    <w:rsid w:val="44133F84"/>
    <w:rsid w:val="445115AC"/>
    <w:rsid w:val="44726C2A"/>
    <w:rsid w:val="447E1A08"/>
    <w:rsid w:val="448226F3"/>
    <w:rsid w:val="448956F0"/>
    <w:rsid w:val="448C43BF"/>
    <w:rsid w:val="449342F8"/>
    <w:rsid w:val="44A464A9"/>
    <w:rsid w:val="44AE3BD0"/>
    <w:rsid w:val="44C6031F"/>
    <w:rsid w:val="44F82E5A"/>
    <w:rsid w:val="45157686"/>
    <w:rsid w:val="45364D97"/>
    <w:rsid w:val="45381AE2"/>
    <w:rsid w:val="457263CD"/>
    <w:rsid w:val="45740354"/>
    <w:rsid w:val="4575780E"/>
    <w:rsid w:val="4577731A"/>
    <w:rsid w:val="45AD5368"/>
    <w:rsid w:val="45AD6989"/>
    <w:rsid w:val="45B42570"/>
    <w:rsid w:val="45B5389A"/>
    <w:rsid w:val="45C061D6"/>
    <w:rsid w:val="45D524CA"/>
    <w:rsid w:val="45D70522"/>
    <w:rsid w:val="45E63338"/>
    <w:rsid w:val="45FD78C7"/>
    <w:rsid w:val="45FE530F"/>
    <w:rsid w:val="4626606E"/>
    <w:rsid w:val="46277C93"/>
    <w:rsid w:val="4628541D"/>
    <w:rsid w:val="46B71C46"/>
    <w:rsid w:val="46CA39F9"/>
    <w:rsid w:val="46D104BC"/>
    <w:rsid w:val="46E26B11"/>
    <w:rsid w:val="46E61B61"/>
    <w:rsid w:val="470716F0"/>
    <w:rsid w:val="47097F61"/>
    <w:rsid w:val="470F0F68"/>
    <w:rsid w:val="47402699"/>
    <w:rsid w:val="475911DC"/>
    <w:rsid w:val="4767675E"/>
    <w:rsid w:val="476F1912"/>
    <w:rsid w:val="47746D69"/>
    <w:rsid w:val="478B1AAA"/>
    <w:rsid w:val="47BB6BA5"/>
    <w:rsid w:val="47EC1A5D"/>
    <w:rsid w:val="47F31080"/>
    <w:rsid w:val="48004F22"/>
    <w:rsid w:val="480A5E98"/>
    <w:rsid w:val="481F4F00"/>
    <w:rsid w:val="482F6406"/>
    <w:rsid w:val="485E02CA"/>
    <w:rsid w:val="48644BEE"/>
    <w:rsid w:val="48685A07"/>
    <w:rsid w:val="48727FD3"/>
    <w:rsid w:val="487A113F"/>
    <w:rsid w:val="48827573"/>
    <w:rsid w:val="48851A5F"/>
    <w:rsid w:val="48882E5C"/>
    <w:rsid w:val="48922A69"/>
    <w:rsid w:val="48B210C5"/>
    <w:rsid w:val="48BB4587"/>
    <w:rsid w:val="48BD148E"/>
    <w:rsid w:val="48C55399"/>
    <w:rsid w:val="48D27334"/>
    <w:rsid w:val="48D94CF7"/>
    <w:rsid w:val="491D261D"/>
    <w:rsid w:val="493232B9"/>
    <w:rsid w:val="49351A57"/>
    <w:rsid w:val="4936133D"/>
    <w:rsid w:val="49454845"/>
    <w:rsid w:val="495B27E3"/>
    <w:rsid w:val="49767FF3"/>
    <w:rsid w:val="498E57A1"/>
    <w:rsid w:val="499003F2"/>
    <w:rsid w:val="499261A9"/>
    <w:rsid w:val="49A84AD7"/>
    <w:rsid w:val="49C61B90"/>
    <w:rsid w:val="49F27976"/>
    <w:rsid w:val="4A151485"/>
    <w:rsid w:val="4A153197"/>
    <w:rsid w:val="4A182A00"/>
    <w:rsid w:val="4A2B2904"/>
    <w:rsid w:val="4A440E9E"/>
    <w:rsid w:val="4A4A6CD1"/>
    <w:rsid w:val="4A522065"/>
    <w:rsid w:val="4A657AAF"/>
    <w:rsid w:val="4A82073A"/>
    <w:rsid w:val="4A825006"/>
    <w:rsid w:val="4AA37D17"/>
    <w:rsid w:val="4AD1133C"/>
    <w:rsid w:val="4AD36C66"/>
    <w:rsid w:val="4AED0613"/>
    <w:rsid w:val="4AF60A6C"/>
    <w:rsid w:val="4B0B3AC9"/>
    <w:rsid w:val="4B21187A"/>
    <w:rsid w:val="4B272CF2"/>
    <w:rsid w:val="4B3B6045"/>
    <w:rsid w:val="4B3C76F6"/>
    <w:rsid w:val="4B4D69C8"/>
    <w:rsid w:val="4B630C74"/>
    <w:rsid w:val="4B9B041C"/>
    <w:rsid w:val="4BDD029D"/>
    <w:rsid w:val="4BF35D17"/>
    <w:rsid w:val="4C0940B0"/>
    <w:rsid w:val="4C11719B"/>
    <w:rsid w:val="4C291480"/>
    <w:rsid w:val="4C406AA1"/>
    <w:rsid w:val="4C611DAD"/>
    <w:rsid w:val="4C653C04"/>
    <w:rsid w:val="4C6A06F1"/>
    <w:rsid w:val="4C70538B"/>
    <w:rsid w:val="4C793EEF"/>
    <w:rsid w:val="4C815633"/>
    <w:rsid w:val="4C8F4286"/>
    <w:rsid w:val="4C9E1C5B"/>
    <w:rsid w:val="4CA42B81"/>
    <w:rsid w:val="4CB16E35"/>
    <w:rsid w:val="4CBB2CCE"/>
    <w:rsid w:val="4CFF27E8"/>
    <w:rsid w:val="4D167014"/>
    <w:rsid w:val="4D211BBF"/>
    <w:rsid w:val="4D572BB9"/>
    <w:rsid w:val="4D6B2129"/>
    <w:rsid w:val="4DA949BA"/>
    <w:rsid w:val="4DC41B49"/>
    <w:rsid w:val="4DC522B9"/>
    <w:rsid w:val="4DD454D1"/>
    <w:rsid w:val="4DD9154B"/>
    <w:rsid w:val="4DDD58E5"/>
    <w:rsid w:val="4DE20BC3"/>
    <w:rsid w:val="4E006EA3"/>
    <w:rsid w:val="4E0143C1"/>
    <w:rsid w:val="4E2A713E"/>
    <w:rsid w:val="4E342A73"/>
    <w:rsid w:val="4E3A54D8"/>
    <w:rsid w:val="4E42531F"/>
    <w:rsid w:val="4E5C3DB1"/>
    <w:rsid w:val="4E5F1193"/>
    <w:rsid w:val="4E664F60"/>
    <w:rsid w:val="4E6D6388"/>
    <w:rsid w:val="4E6E0585"/>
    <w:rsid w:val="4E8C4BD2"/>
    <w:rsid w:val="4EA01201"/>
    <w:rsid w:val="4EA327D7"/>
    <w:rsid w:val="4EC95451"/>
    <w:rsid w:val="4EE351DA"/>
    <w:rsid w:val="4EE85783"/>
    <w:rsid w:val="4EF7095A"/>
    <w:rsid w:val="4F0722BA"/>
    <w:rsid w:val="4F0F747D"/>
    <w:rsid w:val="4F120D1E"/>
    <w:rsid w:val="4F2C2537"/>
    <w:rsid w:val="4F2C7A9E"/>
    <w:rsid w:val="4F3F0D84"/>
    <w:rsid w:val="4F5D0AB3"/>
    <w:rsid w:val="4F70201B"/>
    <w:rsid w:val="4FAD19AB"/>
    <w:rsid w:val="4FB8704C"/>
    <w:rsid w:val="4FBC5F45"/>
    <w:rsid w:val="4FBE2C03"/>
    <w:rsid w:val="4FC95B02"/>
    <w:rsid w:val="4FCD0D2A"/>
    <w:rsid w:val="4FD231EC"/>
    <w:rsid w:val="4FEF01FB"/>
    <w:rsid w:val="4FFB75B0"/>
    <w:rsid w:val="50062C34"/>
    <w:rsid w:val="501931EB"/>
    <w:rsid w:val="501F5E35"/>
    <w:rsid w:val="50203D29"/>
    <w:rsid w:val="50403DC2"/>
    <w:rsid w:val="508563EE"/>
    <w:rsid w:val="50B14DE8"/>
    <w:rsid w:val="50B36711"/>
    <w:rsid w:val="50D22F32"/>
    <w:rsid w:val="50D45D95"/>
    <w:rsid w:val="50E505A6"/>
    <w:rsid w:val="50E95F75"/>
    <w:rsid w:val="50EE09A9"/>
    <w:rsid w:val="50F422EF"/>
    <w:rsid w:val="50FE043E"/>
    <w:rsid w:val="510C7055"/>
    <w:rsid w:val="510C779D"/>
    <w:rsid w:val="5112731B"/>
    <w:rsid w:val="51241FA1"/>
    <w:rsid w:val="51534663"/>
    <w:rsid w:val="51574361"/>
    <w:rsid w:val="516809B2"/>
    <w:rsid w:val="516904FA"/>
    <w:rsid w:val="517207B4"/>
    <w:rsid w:val="51736A67"/>
    <w:rsid w:val="51BD354A"/>
    <w:rsid w:val="51BD46A1"/>
    <w:rsid w:val="51DA6DE0"/>
    <w:rsid w:val="5205574E"/>
    <w:rsid w:val="52063F57"/>
    <w:rsid w:val="520843D2"/>
    <w:rsid w:val="52112C3F"/>
    <w:rsid w:val="52161557"/>
    <w:rsid w:val="52316BEF"/>
    <w:rsid w:val="52325304"/>
    <w:rsid w:val="52772760"/>
    <w:rsid w:val="528E5F59"/>
    <w:rsid w:val="52923AA8"/>
    <w:rsid w:val="529C1D3A"/>
    <w:rsid w:val="529C2BB6"/>
    <w:rsid w:val="52A54A49"/>
    <w:rsid w:val="52B44A82"/>
    <w:rsid w:val="52C3059D"/>
    <w:rsid w:val="52D94BEF"/>
    <w:rsid w:val="52F2656B"/>
    <w:rsid w:val="52F55DD8"/>
    <w:rsid w:val="53023764"/>
    <w:rsid w:val="5303371E"/>
    <w:rsid w:val="53081882"/>
    <w:rsid w:val="53446F7F"/>
    <w:rsid w:val="53451F77"/>
    <w:rsid w:val="5347631E"/>
    <w:rsid w:val="53510C30"/>
    <w:rsid w:val="53651C45"/>
    <w:rsid w:val="5374606B"/>
    <w:rsid w:val="5381416F"/>
    <w:rsid w:val="53922689"/>
    <w:rsid w:val="539B6FF6"/>
    <w:rsid w:val="53B2106A"/>
    <w:rsid w:val="53C1183E"/>
    <w:rsid w:val="53C307BF"/>
    <w:rsid w:val="53E5196D"/>
    <w:rsid w:val="53EB21F5"/>
    <w:rsid w:val="5400366A"/>
    <w:rsid w:val="543135EB"/>
    <w:rsid w:val="543933FA"/>
    <w:rsid w:val="54613FD7"/>
    <w:rsid w:val="548A578D"/>
    <w:rsid w:val="54B809E6"/>
    <w:rsid w:val="550117B4"/>
    <w:rsid w:val="550146B9"/>
    <w:rsid w:val="55182C45"/>
    <w:rsid w:val="55200FFC"/>
    <w:rsid w:val="55245D09"/>
    <w:rsid w:val="55350660"/>
    <w:rsid w:val="55616B04"/>
    <w:rsid w:val="55772F7D"/>
    <w:rsid w:val="55926F50"/>
    <w:rsid w:val="55961D0E"/>
    <w:rsid w:val="55965E2B"/>
    <w:rsid w:val="55C73384"/>
    <w:rsid w:val="55CC1F9C"/>
    <w:rsid w:val="55D31B7D"/>
    <w:rsid w:val="55DE72E8"/>
    <w:rsid w:val="55E501B3"/>
    <w:rsid w:val="55FC04A7"/>
    <w:rsid w:val="56231762"/>
    <w:rsid w:val="56381EF6"/>
    <w:rsid w:val="56444C51"/>
    <w:rsid w:val="565503C9"/>
    <w:rsid w:val="56A53918"/>
    <w:rsid w:val="56C740B3"/>
    <w:rsid w:val="56E21403"/>
    <w:rsid w:val="570251A2"/>
    <w:rsid w:val="570F3752"/>
    <w:rsid w:val="573861DD"/>
    <w:rsid w:val="575118E8"/>
    <w:rsid w:val="57523927"/>
    <w:rsid w:val="57650FD3"/>
    <w:rsid w:val="577022C7"/>
    <w:rsid w:val="577675CC"/>
    <w:rsid w:val="577F6247"/>
    <w:rsid w:val="57AC7B7D"/>
    <w:rsid w:val="57C81B2F"/>
    <w:rsid w:val="57DB472C"/>
    <w:rsid w:val="57F12BEF"/>
    <w:rsid w:val="587D06D2"/>
    <w:rsid w:val="58810EAC"/>
    <w:rsid w:val="588F1BBE"/>
    <w:rsid w:val="588F6809"/>
    <w:rsid w:val="58953A07"/>
    <w:rsid w:val="589C773B"/>
    <w:rsid w:val="58AC61BC"/>
    <w:rsid w:val="58B764A3"/>
    <w:rsid w:val="58DC65F8"/>
    <w:rsid w:val="58EF39CD"/>
    <w:rsid w:val="591257CE"/>
    <w:rsid w:val="591B1439"/>
    <w:rsid w:val="59251E07"/>
    <w:rsid w:val="593340F4"/>
    <w:rsid w:val="593341DD"/>
    <w:rsid w:val="5950274B"/>
    <w:rsid w:val="59587ECB"/>
    <w:rsid w:val="59751480"/>
    <w:rsid w:val="597B17CE"/>
    <w:rsid w:val="598E4D7B"/>
    <w:rsid w:val="59987BDD"/>
    <w:rsid w:val="59B231EB"/>
    <w:rsid w:val="59B501F6"/>
    <w:rsid w:val="59B63F00"/>
    <w:rsid w:val="59C94E31"/>
    <w:rsid w:val="5A070C9F"/>
    <w:rsid w:val="5A0D1AB8"/>
    <w:rsid w:val="5A0F0A22"/>
    <w:rsid w:val="5A290D26"/>
    <w:rsid w:val="5A3426E8"/>
    <w:rsid w:val="5A43094D"/>
    <w:rsid w:val="5A437869"/>
    <w:rsid w:val="5A52457D"/>
    <w:rsid w:val="5A585C40"/>
    <w:rsid w:val="5A766E79"/>
    <w:rsid w:val="5A876A3D"/>
    <w:rsid w:val="5A8F645E"/>
    <w:rsid w:val="5A947FA8"/>
    <w:rsid w:val="5AB87E5E"/>
    <w:rsid w:val="5ABD490E"/>
    <w:rsid w:val="5AC66405"/>
    <w:rsid w:val="5AD23DF5"/>
    <w:rsid w:val="5ADA403E"/>
    <w:rsid w:val="5AEB7A5E"/>
    <w:rsid w:val="5AED2291"/>
    <w:rsid w:val="5AFE0486"/>
    <w:rsid w:val="5B1344F7"/>
    <w:rsid w:val="5B226F4C"/>
    <w:rsid w:val="5B3218D4"/>
    <w:rsid w:val="5B357636"/>
    <w:rsid w:val="5B4F666F"/>
    <w:rsid w:val="5B587A48"/>
    <w:rsid w:val="5B6E105D"/>
    <w:rsid w:val="5B7862B1"/>
    <w:rsid w:val="5B7A10F7"/>
    <w:rsid w:val="5B881AE0"/>
    <w:rsid w:val="5B8E2B97"/>
    <w:rsid w:val="5B9A4D41"/>
    <w:rsid w:val="5BBD1D60"/>
    <w:rsid w:val="5BD021AA"/>
    <w:rsid w:val="5BDD5830"/>
    <w:rsid w:val="5BE24161"/>
    <w:rsid w:val="5BE70C32"/>
    <w:rsid w:val="5BF02F59"/>
    <w:rsid w:val="5BF37D02"/>
    <w:rsid w:val="5BF6657A"/>
    <w:rsid w:val="5C0461B5"/>
    <w:rsid w:val="5C151F37"/>
    <w:rsid w:val="5C1904FE"/>
    <w:rsid w:val="5C1D315F"/>
    <w:rsid w:val="5C29683A"/>
    <w:rsid w:val="5C3754AC"/>
    <w:rsid w:val="5C3B239C"/>
    <w:rsid w:val="5C3E446F"/>
    <w:rsid w:val="5C823DA4"/>
    <w:rsid w:val="5C977CA7"/>
    <w:rsid w:val="5CA01D73"/>
    <w:rsid w:val="5CAC5490"/>
    <w:rsid w:val="5CD17C2A"/>
    <w:rsid w:val="5CF52F29"/>
    <w:rsid w:val="5CF845CC"/>
    <w:rsid w:val="5D007EBF"/>
    <w:rsid w:val="5D135452"/>
    <w:rsid w:val="5D2C16C1"/>
    <w:rsid w:val="5D320E80"/>
    <w:rsid w:val="5D362E7F"/>
    <w:rsid w:val="5D39096A"/>
    <w:rsid w:val="5D3E6C2C"/>
    <w:rsid w:val="5D442AEF"/>
    <w:rsid w:val="5D487BDE"/>
    <w:rsid w:val="5D4B6C16"/>
    <w:rsid w:val="5D784857"/>
    <w:rsid w:val="5DA93F9F"/>
    <w:rsid w:val="5DD12685"/>
    <w:rsid w:val="5DDD0920"/>
    <w:rsid w:val="5DEC3CC9"/>
    <w:rsid w:val="5E066FF5"/>
    <w:rsid w:val="5E107CD4"/>
    <w:rsid w:val="5E15030B"/>
    <w:rsid w:val="5E191EEB"/>
    <w:rsid w:val="5E3636C9"/>
    <w:rsid w:val="5E4C6143"/>
    <w:rsid w:val="5E5E2A02"/>
    <w:rsid w:val="5E936069"/>
    <w:rsid w:val="5F083260"/>
    <w:rsid w:val="5F093FB7"/>
    <w:rsid w:val="5F0A0255"/>
    <w:rsid w:val="5F1F3CF6"/>
    <w:rsid w:val="5F2C6A42"/>
    <w:rsid w:val="5F366428"/>
    <w:rsid w:val="5F37676C"/>
    <w:rsid w:val="5F4167F1"/>
    <w:rsid w:val="5F4A0DFD"/>
    <w:rsid w:val="5F565D68"/>
    <w:rsid w:val="5F6C607A"/>
    <w:rsid w:val="5F7C6E46"/>
    <w:rsid w:val="5FA20DC9"/>
    <w:rsid w:val="5FA53C7D"/>
    <w:rsid w:val="5FB65171"/>
    <w:rsid w:val="5FB7149A"/>
    <w:rsid w:val="5FCC63D2"/>
    <w:rsid w:val="600E4108"/>
    <w:rsid w:val="602444C8"/>
    <w:rsid w:val="60414EAB"/>
    <w:rsid w:val="604424CC"/>
    <w:rsid w:val="60626BC9"/>
    <w:rsid w:val="606B0FE6"/>
    <w:rsid w:val="60725AA2"/>
    <w:rsid w:val="6089398F"/>
    <w:rsid w:val="608F4184"/>
    <w:rsid w:val="60AF4273"/>
    <w:rsid w:val="60CE7B5E"/>
    <w:rsid w:val="60D34330"/>
    <w:rsid w:val="60D86A6F"/>
    <w:rsid w:val="60DD4C74"/>
    <w:rsid w:val="60EA1779"/>
    <w:rsid w:val="60FA7859"/>
    <w:rsid w:val="611A4754"/>
    <w:rsid w:val="61404253"/>
    <w:rsid w:val="615B037E"/>
    <w:rsid w:val="619064C0"/>
    <w:rsid w:val="619314C1"/>
    <w:rsid w:val="61A15ED8"/>
    <w:rsid w:val="61C55E6C"/>
    <w:rsid w:val="61C715A9"/>
    <w:rsid w:val="61CF7957"/>
    <w:rsid w:val="61E67203"/>
    <w:rsid w:val="61EB0D3C"/>
    <w:rsid w:val="61EB5121"/>
    <w:rsid w:val="61F06956"/>
    <w:rsid w:val="62247174"/>
    <w:rsid w:val="625B0CA7"/>
    <w:rsid w:val="626B4941"/>
    <w:rsid w:val="627A1D0A"/>
    <w:rsid w:val="627A3B33"/>
    <w:rsid w:val="62881283"/>
    <w:rsid w:val="628B3F25"/>
    <w:rsid w:val="629B4164"/>
    <w:rsid w:val="62A0654F"/>
    <w:rsid w:val="62A83415"/>
    <w:rsid w:val="62D41756"/>
    <w:rsid w:val="62D75142"/>
    <w:rsid w:val="62EB00D8"/>
    <w:rsid w:val="62F16E70"/>
    <w:rsid w:val="631F4556"/>
    <w:rsid w:val="63271A84"/>
    <w:rsid w:val="63697C09"/>
    <w:rsid w:val="63716E76"/>
    <w:rsid w:val="637570E5"/>
    <w:rsid w:val="63AA3CCE"/>
    <w:rsid w:val="63B5649D"/>
    <w:rsid w:val="63D67FF5"/>
    <w:rsid w:val="63E72C11"/>
    <w:rsid w:val="63F1384A"/>
    <w:rsid w:val="640C72AD"/>
    <w:rsid w:val="640D2C56"/>
    <w:rsid w:val="641B49B5"/>
    <w:rsid w:val="641C629E"/>
    <w:rsid w:val="64283125"/>
    <w:rsid w:val="64307E63"/>
    <w:rsid w:val="643A5B47"/>
    <w:rsid w:val="645A1DBD"/>
    <w:rsid w:val="646D3026"/>
    <w:rsid w:val="64807797"/>
    <w:rsid w:val="648C30B6"/>
    <w:rsid w:val="64907893"/>
    <w:rsid w:val="64910661"/>
    <w:rsid w:val="64CD15EE"/>
    <w:rsid w:val="64CF1DA3"/>
    <w:rsid w:val="64D1361C"/>
    <w:rsid w:val="64DE0BBD"/>
    <w:rsid w:val="65101E77"/>
    <w:rsid w:val="65167C2A"/>
    <w:rsid w:val="652C007D"/>
    <w:rsid w:val="652F577F"/>
    <w:rsid w:val="65443991"/>
    <w:rsid w:val="65444E96"/>
    <w:rsid w:val="654A2BCD"/>
    <w:rsid w:val="655A1685"/>
    <w:rsid w:val="656F0587"/>
    <w:rsid w:val="65727F63"/>
    <w:rsid w:val="658F1276"/>
    <w:rsid w:val="659B6168"/>
    <w:rsid w:val="65BE39CB"/>
    <w:rsid w:val="65C74701"/>
    <w:rsid w:val="65CF6E8D"/>
    <w:rsid w:val="65E91ED1"/>
    <w:rsid w:val="65F26CF1"/>
    <w:rsid w:val="65F402A4"/>
    <w:rsid w:val="66216AD9"/>
    <w:rsid w:val="6636781A"/>
    <w:rsid w:val="66515C88"/>
    <w:rsid w:val="665A078F"/>
    <w:rsid w:val="6676253B"/>
    <w:rsid w:val="669604A7"/>
    <w:rsid w:val="669E7C63"/>
    <w:rsid w:val="66C76C71"/>
    <w:rsid w:val="66CF66FE"/>
    <w:rsid w:val="66CF6D35"/>
    <w:rsid w:val="66E24EEC"/>
    <w:rsid w:val="67126344"/>
    <w:rsid w:val="6715798F"/>
    <w:rsid w:val="674630D3"/>
    <w:rsid w:val="67646F99"/>
    <w:rsid w:val="679715AA"/>
    <w:rsid w:val="67CB3D8C"/>
    <w:rsid w:val="67E72114"/>
    <w:rsid w:val="67EE6878"/>
    <w:rsid w:val="67FC14BC"/>
    <w:rsid w:val="67FC7595"/>
    <w:rsid w:val="68092993"/>
    <w:rsid w:val="68093B71"/>
    <w:rsid w:val="68105072"/>
    <w:rsid w:val="681F120D"/>
    <w:rsid w:val="68442DC9"/>
    <w:rsid w:val="684575DA"/>
    <w:rsid w:val="684E499C"/>
    <w:rsid w:val="68522937"/>
    <w:rsid w:val="685C03EA"/>
    <w:rsid w:val="68700D20"/>
    <w:rsid w:val="6875256E"/>
    <w:rsid w:val="687C0E2A"/>
    <w:rsid w:val="688C49F5"/>
    <w:rsid w:val="68926C88"/>
    <w:rsid w:val="68A2510E"/>
    <w:rsid w:val="68C12961"/>
    <w:rsid w:val="68C305E7"/>
    <w:rsid w:val="68D63E75"/>
    <w:rsid w:val="68DB5239"/>
    <w:rsid w:val="68F503C2"/>
    <w:rsid w:val="68F65B44"/>
    <w:rsid w:val="69316C74"/>
    <w:rsid w:val="69397678"/>
    <w:rsid w:val="693A35B5"/>
    <w:rsid w:val="694632B1"/>
    <w:rsid w:val="69467285"/>
    <w:rsid w:val="69681038"/>
    <w:rsid w:val="69835B70"/>
    <w:rsid w:val="69C7285E"/>
    <w:rsid w:val="69CF0D63"/>
    <w:rsid w:val="69F10D61"/>
    <w:rsid w:val="69F1398F"/>
    <w:rsid w:val="69F71FB6"/>
    <w:rsid w:val="69F85C4B"/>
    <w:rsid w:val="69FC6C64"/>
    <w:rsid w:val="6A041EB6"/>
    <w:rsid w:val="6A261A00"/>
    <w:rsid w:val="6A905B6D"/>
    <w:rsid w:val="6ABE32C0"/>
    <w:rsid w:val="6AC9206A"/>
    <w:rsid w:val="6ACE16D9"/>
    <w:rsid w:val="6AD9570F"/>
    <w:rsid w:val="6AE51C08"/>
    <w:rsid w:val="6B010C46"/>
    <w:rsid w:val="6B2303AC"/>
    <w:rsid w:val="6B2C4382"/>
    <w:rsid w:val="6B3A366A"/>
    <w:rsid w:val="6B6A0462"/>
    <w:rsid w:val="6B71426E"/>
    <w:rsid w:val="6B7A0050"/>
    <w:rsid w:val="6B9F05AF"/>
    <w:rsid w:val="6BE044A8"/>
    <w:rsid w:val="6BE23C30"/>
    <w:rsid w:val="6BE7786F"/>
    <w:rsid w:val="6C134034"/>
    <w:rsid w:val="6C1D59CF"/>
    <w:rsid w:val="6C50079B"/>
    <w:rsid w:val="6C577C04"/>
    <w:rsid w:val="6C78337B"/>
    <w:rsid w:val="6C8146C1"/>
    <w:rsid w:val="6C8E74F7"/>
    <w:rsid w:val="6C8F30E6"/>
    <w:rsid w:val="6CB33C84"/>
    <w:rsid w:val="6D004DA8"/>
    <w:rsid w:val="6D220D92"/>
    <w:rsid w:val="6D4E366B"/>
    <w:rsid w:val="6D543DB3"/>
    <w:rsid w:val="6D621EB8"/>
    <w:rsid w:val="6D773FDC"/>
    <w:rsid w:val="6D9735BA"/>
    <w:rsid w:val="6D9B22AA"/>
    <w:rsid w:val="6DA5553E"/>
    <w:rsid w:val="6DC77C1F"/>
    <w:rsid w:val="6DE94943"/>
    <w:rsid w:val="6E232AB3"/>
    <w:rsid w:val="6E3048E9"/>
    <w:rsid w:val="6E3F132C"/>
    <w:rsid w:val="6E517746"/>
    <w:rsid w:val="6E556068"/>
    <w:rsid w:val="6E7A2F1A"/>
    <w:rsid w:val="6E7E2EFE"/>
    <w:rsid w:val="6E861F5A"/>
    <w:rsid w:val="6E8B41A2"/>
    <w:rsid w:val="6EAB0FB5"/>
    <w:rsid w:val="6EBF2C8C"/>
    <w:rsid w:val="6EC1227D"/>
    <w:rsid w:val="6EE67379"/>
    <w:rsid w:val="6EF502F5"/>
    <w:rsid w:val="6EFD1C95"/>
    <w:rsid w:val="6EFD70F6"/>
    <w:rsid w:val="6F0D031B"/>
    <w:rsid w:val="6F213E2E"/>
    <w:rsid w:val="6F475D18"/>
    <w:rsid w:val="6F8A297B"/>
    <w:rsid w:val="6FB32CE9"/>
    <w:rsid w:val="6FC939B6"/>
    <w:rsid w:val="6FD97012"/>
    <w:rsid w:val="6FDA2294"/>
    <w:rsid w:val="6FDD290C"/>
    <w:rsid w:val="70052E11"/>
    <w:rsid w:val="700C3057"/>
    <w:rsid w:val="70104342"/>
    <w:rsid w:val="7014721B"/>
    <w:rsid w:val="702B63B0"/>
    <w:rsid w:val="702C2966"/>
    <w:rsid w:val="702F346C"/>
    <w:rsid w:val="703807A8"/>
    <w:rsid w:val="7049607A"/>
    <w:rsid w:val="70545562"/>
    <w:rsid w:val="70911DA8"/>
    <w:rsid w:val="70943FBF"/>
    <w:rsid w:val="70BA0DA2"/>
    <w:rsid w:val="70BB3026"/>
    <w:rsid w:val="70C5699B"/>
    <w:rsid w:val="70C8609C"/>
    <w:rsid w:val="70D018D5"/>
    <w:rsid w:val="70D14120"/>
    <w:rsid w:val="70EE2DD8"/>
    <w:rsid w:val="70F54BDC"/>
    <w:rsid w:val="70FA0EAB"/>
    <w:rsid w:val="71106560"/>
    <w:rsid w:val="711718B8"/>
    <w:rsid w:val="71184729"/>
    <w:rsid w:val="71196042"/>
    <w:rsid w:val="71292FBC"/>
    <w:rsid w:val="71437115"/>
    <w:rsid w:val="71454961"/>
    <w:rsid w:val="714A4ED2"/>
    <w:rsid w:val="715536FE"/>
    <w:rsid w:val="71680ED0"/>
    <w:rsid w:val="718F0274"/>
    <w:rsid w:val="719C4586"/>
    <w:rsid w:val="71F12086"/>
    <w:rsid w:val="71F44E1B"/>
    <w:rsid w:val="71F60A2F"/>
    <w:rsid w:val="720C4851"/>
    <w:rsid w:val="72132FAC"/>
    <w:rsid w:val="72235C8E"/>
    <w:rsid w:val="722C2E91"/>
    <w:rsid w:val="725F1497"/>
    <w:rsid w:val="729826AA"/>
    <w:rsid w:val="72BB6F40"/>
    <w:rsid w:val="72C76C4F"/>
    <w:rsid w:val="72EE06A5"/>
    <w:rsid w:val="731D19D7"/>
    <w:rsid w:val="73370B56"/>
    <w:rsid w:val="7337391F"/>
    <w:rsid w:val="733B61F2"/>
    <w:rsid w:val="73473177"/>
    <w:rsid w:val="73484595"/>
    <w:rsid w:val="73631D4D"/>
    <w:rsid w:val="73685DD0"/>
    <w:rsid w:val="736B3BB5"/>
    <w:rsid w:val="738D0387"/>
    <w:rsid w:val="73A02FEB"/>
    <w:rsid w:val="73E50456"/>
    <w:rsid w:val="74010932"/>
    <w:rsid w:val="740A2B28"/>
    <w:rsid w:val="74376210"/>
    <w:rsid w:val="74401536"/>
    <w:rsid w:val="747108A9"/>
    <w:rsid w:val="74760969"/>
    <w:rsid w:val="74A77ACB"/>
    <w:rsid w:val="74BD5147"/>
    <w:rsid w:val="74C73C7A"/>
    <w:rsid w:val="74E2402B"/>
    <w:rsid w:val="74E95C3C"/>
    <w:rsid w:val="74FD494E"/>
    <w:rsid w:val="75071697"/>
    <w:rsid w:val="75076325"/>
    <w:rsid w:val="750E0072"/>
    <w:rsid w:val="75171ED4"/>
    <w:rsid w:val="752C0E9F"/>
    <w:rsid w:val="754A3345"/>
    <w:rsid w:val="75506B00"/>
    <w:rsid w:val="756F145C"/>
    <w:rsid w:val="75837EEC"/>
    <w:rsid w:val="75AE1DB9"/>
    <w:rsid w:val="75E1659D"/>
    <w:rsid w:val="75E77528"/>
    <w:rsid w:val="75E97311"/>
    <w:rsid w:val="75F037BC"/>
    <w:rsid w:val="75F753CA"/>
    <w:rsid w:val="760A306F"/>
    <w:rsid w:val="760D154C"/>
    <w:rsid w:val="76275029"/>
    <w:rsid w:val="76330AED"/>
    <w:rsid w:val="763E1378"/>
    <w:rsid w:val="76622B76"/>
    <w:rsid w:val="768400B1"/>
    <w:rsid w:val="76920401"/>
    <w:rsid w:val="7693101B"/>
    <w:rsid w:val="76A264E6"/>
    <w:rsid w:val="76B71E5D"/>
    <w:rsid w:val="76CB4928"/>
    <w:rsid w:val="76CE73F1"/>
    <w:rsid w:val="76F1136A"/>
    <w:rsid w:val="77034827"/>
    <w:rsid w:val="77127DE5"/>
    <w:rsid w:val="771F2395"/>
    <w:rsid w:val="77450479"/>
    <w:rsid w:val="774829C9"/>
    <w:rsid w:val="77492CFF"/>
    <w:rsid w:val="77730A94"/>
    <w:rsid w:val="7774080E"/>
    <w:rsid w:val="77742948"/>
    <w:rsid w:val="777C3234"/>
    <w:rsid w:val="778441C8"/>
    <w:rsid w:val="778766B4"/>
    <w:rsid w:val="77914171"/>
    <w:rsid w:val="77CA38C2"/>
    <w:rsid w:val="77F51A18"/>
    <w:rsid w:val="77F65C53"/>
    <w:rsid w:val="78062A2A"/>
    <w:rsid w:val="78203E5B"/>
    <w:rsid w:val="78310F04"/>
    <w:rsid w:val="784A75A3"/>
    <w:rsid w:val="78505A0B"/>
    <w:rsid w:val="78655FB8"/>
    <w:rsid w:val="786B0AE4"/>
    <w:rsid w:val="787968B8"/>
    <w:rsid w:val="78A54DD0"/>
    <w:rsid w:val="78B067B5"/>
    <w:rsid w:val="78C014FA"/>
    <w:rsid w:val="78D811CC"/>
    <w:rsid w:val="78EC5C27"/>
    <w:rsid w:val="78FC3990"/>
    <w:rsid w:val="79144C7D"/>
    <w:rsid w:val="79383345"/>
    <w:rsid w:val="793F53A2"/>
    <w:rsid w:val="7981530F"/>
    <w:rsid w:val="79A61692"/>
    <w:rsid w:val="79AD16E2"/>
    <w:rsid w:val="79C031FB"/>
    <w:rsid w:val="79CA3764"/>
    <w:rsid w:val="79DC4FB1"/>
    <w:rsid w:val="7A102B7D"/>
    <w:rsid w:val="7A137011"/>
    <w:rsid w:val="7A1D2FC0"/>
    <w:rsid w:val="7A1E0C36"/>
    <w:rsid w:val="7A300DF9"/>
    <w:rsid w:val="7A330A57"/>
    <w:rsid w:val="7A463B8C"/>
    <w:rsid w:val="7A737E20"/>
    <w:rsid w:val="7A8924E5"/>
    <w:rsid w:val="7AA1053C"/>
    <w:rsid w:val="7AA811C5"/>
    <w:rsid w:val="7AAF6125"/>
    <w:rsid w:val="7ABD4109"/>
    <w:rsid w:val="7AD02554"/>
    <w:rsid w:val="7AD51E08"/>
    <w:rsid w:val="7ADF21B0"/>
    <w:rsid w:val="7B13055C"/>
    <w:rsid w:val="7B1E6B7D"/>
    <w:rsid w:val="7B3A1BDD"/>
    <w:rsid w:val="7B485C8D"/>
    <w:rsid w:val="7B5530A5"/>
    <w:rsid w:val="7B5870F3"/>
    <w:rsid w:val="7B5B14FE"/>
    <w:rsid w:val="7B9C7658"/>
    <w:rsid w:val="7BAD5B6D"/>
    <w:rsid w:val="7BB11A35"/>
    <w:rsid w:val="7BB35533"/>
    <w:rsid w:val="7BBE6B35"/>
    <w:rsid w:val="7BBF5F94"/>
    <w:rsid w:val="7BC13337"/>
    <w:rsid w:val="7BCB66E2"/>
    <w:rsid w:val="7BDA1B1C"/>
    <w:rsid w:val="7BE01710"/>
    <w:rsid w:val="7BEF658C"/>
    <w:rsid w:val="7BFC57DD"/>
    <w:rsid w:val="7C07273B"/>
    <w:rsid w:val="7C1C2408"/>
    <w:rsid w:val="7C1F09B4"/>
    <w:rsid w:val="7C2E4B32"/>
    <w:rsid w:val="7C3E1468"/>
    <w:rsid w:val="7C470C63"/>
    <w:rsid w:val="7C723057"/>
    <w:rsid w:val="7C914545"/>
    <w:rsid w:val="7CB86B52"/>
    <w:rsid w:val="7CC20DEA"/>
    <w:rsid w:val="7CC436D1"/>
    <w:rsid w:val="7CCE4CA9"/>
    <w:rsid w:val="7CD6468F"/>
    <w:rsid w:val="7CE17A14"/>
    <w:rsid w:val="7CFC412C"/>
    <w:rsid w:val="7D0344F0"/>
    <w:rsid w:val="7D0636C1"/>
    <w:rsid w:val="7D1E11E0"/>
    <w:rsid w:val="7D227A85"/>
    <w:rsid w:val="7D234FB2"/>
    <w:rsid w:val="7D335B99"/>
    <w:rsid w:val="7D493E1D"/>
    <w:rsid w:val="7D6649DA"/>
    <w:rsid w:val="7D6E10F5"/>
    <w:rsid w:val="7D725A10"/>
    <w:rsid w:val="7D7F1081"/>
    <w:rsid w:val="7DB33891"/>
    <w:rsid w:val="7DC72596"/>
    <w:rsid w:val="7DCB589C"/>
    <w:rsid w:val="7DE94AEB"/>
    <w:rsid w:val="7DEF16E8"/>
    <w:rsid w:val="7DF94455"/>
    <w:rsid w:val="7E341102"/>
    <w:rsid w:val="7E9B53CC"/>
    <w:rsid w:val="7EA62FDE"/>
    <w:rsid w:val="7EAB2A81"/>
    <w:rsid w:val="7EAB3D5F"/>
    <w:rsid w:val="7EB105C0"/>
    <w:rsid w:val="7EBF3A74"/>
    <w:rsid w:val="7ED66BFB"/>
    <w:rsid w:val="7EE0537C"/>
    <w:rsid w:val="7EE90D08"/>
    <w:rsid w:val="7EEE360D"/>
    <w:rsid w:val="7EF95D16"/>
    <w:rsid w:val="7EFD57D3"/>
    <w:rsid w:val="7F187E12"/>
    <w:rsid w:val="7F197281"/>
    <w:rsid w:val="7F270ABD"/>
    <w:rsid w:val="7F350A14"/>
    <w:rsid w:val="7F5D4515"/>
    <w:rsid w:val="7F6D503D"/>
    <w:rsid w:val="7F93124C"/>
    <w:rsid w:val="7F943A6D"/>
    <w:rsid w:val="7F994B60"/>
    <w:rsid w:val="7FBB6B61"/>
    <w:rsid w:val="7FBF4F7F"/>
    <w:rsid w:val="7FC5411F"/>
    <w:rsid w:val="7FC957A4"/>
    <w:rsid w:val="7FD43287"/>
    <w:rsid w:val="7FD970F1"/>
    <w:rsid w:val="7FDD34C8"/>
    <w:rsid w:val="7FE95627"/>
    <w:rsid w:val="DBF5D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kern w:val="44"/>
      <w:sz w:val="44"/>
      <w:szCs w:val="20"/>
    </w:rPr>
  </w:style>
  <w:style w:type="paragraph" w:styleId="4">
    <w:name w:val="heading 2"/>
    <w:basedOn w:val="1"/>
    <w:next w:val="1"/>
    <w:link w:val="82"/>
    <w:qFormat/>
    <w:uiPriority w:val="9"/>
    <w:pPr>
      <w:keepNext/>
      <w:keepLines/>
      <w:spacing w:before="260" w:after="260" w:line="413" w:lineRule="auto"/>
      <w:outlineLvl w:val="1"/>
    </w:pPr>
    <w:rPr>
      <w:rFonts w:ascii="Arial" w:hAnsi="Arial" w:eastAsia="仿宋_GB2312"/>
      <w:b/>
      <w:bCs/>
      <w:sz w:val="28"/>
      <w:szCs w:val="32"/>
    </w:rPr>
  </w:style>
  <w:style w:type="paragraph" w:styleId="5">
    <w:name w:val="heading 3"/>
    <w:basedOn w:val="1"/>
    <w:next w:val="6"/>
    <w:link w:val="58"/>
    <w:qFormat/>
    <w:uiPriority w:val="0"/>
    <w:pPr>
      <w:keepNext/>
      <w:keepLines/>
      <w:spacing w:before="260" w:after="260" w:line="416" w:lineRule="auto"/>
      <w:outlineLvl w:val="2"/>
    </w:pPr>
    <w:rPr>
      <w:b/>
      <w:sz w:val="32"/>
      <w:szCs w:val="20"/>
    </w:rPr>
  </w:style>
  <w:style w:type="paragraph" w:styleId="7">
    <w:name w:val="heading 4"/>
    <w:basedOn w:val="1"/>
    <w:next w:val="1"/>
    <w:link w:val="60"/>
    <w:qFormat/>
    <w:uiPriority w:val="0"/>
    <w:pPr>
      <w:keepNext/>
      <w:keepLines/>
      <w:spacing w:before="280" w:after="290" w:line="372" w:lineRule="auto"/>
      <w:outlineLvl w:val="3"/>
    </w:pPr>
    <w:rPr>
      <w:rFonts w:ascii="Cambria" w:hAnsi="Cambria" w:eastAsia="Cambria"/>
      <w:b/>
      <w:sz w:val="28"/>
      <w:szCs w:val="28"/>
    </w:rPr>
  </w:style>
  <w:style w:type="paragraph" w:styleId="8">
    <w:name w:val="heading 5"/>
    <w:basedOn w:val="1"/>
    <w:next w:val="1"/>
    <w:link w:val="61"/>
    <w:qFormat/>
    <w:uiPriority w:val="0"/>
    <w:pPr>
      <w:keepNext/>
      <w:keepLines/>
      <w:spacing w:before="280" w:after="290" w:line="372" w:lineRule="auto"/>
      <w:outlineLvl w:val="4"/>
    </w:pPr>
    <w:rPr>
      <w:rFonts w:ascii="Tahoma" w:hAnsi="Tahoma"/>
      <w:b/>
      <w:sz w:val="28"/>
      <w:szCs w:val="20"/>
    </w:rPr>
  </w:style>
  <w:style w:type="paragraph" w:styleId="9">
    <w:name w:val="heading 6"/>
    <w:basedOn w:val="1"/>
    <w:next w:val="6"/>
    <w:link w:val="6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1"/>
    <w:link w:val="63"/>
    <w:qFormat/>
    <w:uiPriority w:val="0"/>
    <w:pPr>
      <w:keepNext/>
      <w:keepLines/>
      <w:spacing w:before="240" w:after="64" w:line="317" w:lineRule="auto"/>
      <w:outlineLvl w:val="6"/>
    </w:pPr>
    <w:rPr>
      <w:rFonts w:ascii="Tahoma" w:hAnsi="Tahoma"/>
      <w:b/>
      <w:sz w:val="24"/>
      <w:szCs w:val="20"/>
    </w:rPr>
  </w:style>
  <w:style w:type="paragraph" w:styleId="11">
    <w:name w:val="heading 8"/>
    <w:basedOn w:val="1"/>
    <w:next w:val="1"/>
    <w:link w:val="64"/>
    <w:qFormat/>
    <w:uiPriority w:val="0"/>
    <w:pPr>
      <w:keepNext/>
      <w:keepLines/>
      <w:spacing w:before="240" w:after="64" w:line="317" w:lineRule="auto"/>
      <w:outlineLvl w:val="7"/>
    </w:pPr>
    <w:rPr>
      <w:rFonts w:ascii="Arial" w:hAnsi="Arial" w:eastAsia="黑体"/>
    </w:rPr>
  </w:style>
  <w:style w:type="paragraph" w:styleId="12">
    <w:name w:val="heading 9"/>
    <w:basedOn w:val="1"/>
    <w:next w:val="1"/>
    <w:link w:val="65"/>
    <w:qFormat/>
    <w:uiPriority w:val="0"/>
    <w:pPr>
      <w:keepNext/>
      <w:keepLines/>
      <w:spacing w:before="240" w:after="64" w:line="317"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1"/>
    <w:qFormat/>
    <w:uiPriority w:val="0"/>
    <w:pPr>
      <w:spacing w:before="156" w:beforeLines="50" w:after="156" w:afterLines="50" w:line="400" w:lineRule="exact"/>
    </w:pPr>
    <w:rPr>
      <w:rFonts w:hint="eastAsia" w:ascii="宋体" w:hAnsi="Courier New"/>
      <w:szCs w:val="21"/>
    </w:rPr>
  </w:style>
  <w:style w:type="paragraph" w:styleId="6">
    <w:name w:val="Normal Indent"/>
    <w:basedOn w:val="1"/>
    <w:next w:val="1"/>
    <w:link w:val="59"/>
    <w:qFormat/>
    <w:uiPriority w:val="0"/>
    <w:pPr>
      <w:ind w:firstLine="420"/>
    </w:pPr>
    <w:rPr>
      <w:rFonts w:ascii="Tahoma" w:hAnsi="Tahoma" w:eastAsia="Tahoma"/>
      <w:b/>
    </w:rPr>
  </w:style>
  <w:style w:type="paragraph" w:styleId="13">
    <w:name w:val="toc 7"/>
    <w:basedOn w:val="1"/>
    <w:next w:val="1"/>
    <w:qFormat/>
    <w:uiPriority w:val="0"/>
    <w:pPr>
      <w:ind w:left="2520" w:leftChars="1200"/>
    </w:pPr>
  </w:style>
  <w:style w:type="paragraph" w:styleId="14">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6"/>
    <w:qFormat/>
    <w:uiPriority w:val="0"/>
    <w:pPr>
      <w:shd w:val="clear" w:color="auto" w:fill="000080"/>
    </w:pPr>
    <w:rPr>
      <w:rFonts w:hint="eastAsia" w:ascii="宋体" w:hAnsi="宋体"/>
      <w:sz w:val="18"/>
      <w:szCs w:val="18"/>
    </w:rPr>
  </w:style>
  <w:style w:type="paragraph" w:styleId="17">
    <w:name w:val="annotation text"/>
    <w:basedOn w:val="1"/>
    <w:link w:val="67"/>
    <w:qFormat/>
    <w:uiPriority w:val="0"/>
    <w:pPr>
      <w:jc w:val="left"/>
    </w:pPr>
    <w:rPr>
      <w:rFonts w:ascii="Tahoma" w:hAnsi="Tahoma"/>
    </w:rPr>
  </w:style>
  <w:style w:type="paragraph" w:styleId="18">
    <w:name w:val="Body Text 3"/>
    <w:basedOn w:val="1"/>
    <w:link w:val="68"/>
    <w:qFormat/>
    <w:uiPriority w:val="0"/>
    <w:pPr>
      <w:snapToGrid w:val="0"/>
      <w:spacing w:before="50" w:after="50"/>
    </w:pPr>
    <w:rPr>
      <w:rFonts w:ascii="Tahoma" w:hAnsi="Tahoma"/>
      <w:sz w:val="16"/>
      <w:szCs w:val="16"/>
    </w:rPr>
  </w:style>
  <w:style w:type="paragraph" w:styleId="19">
    <w:name w:val="Body Text"/>
    <w:basedOn w:val="1"/>
    <w:next w:val="1"/>
    <w:link w:val="55"/>
    <w:qFormat/>
    <w:uiPriority w:val="0"/>
    <w:pPr>
      <w:spacing w:after="120"/>
    </w:pPr>
    <w:rPr>
      <w:rFonts w:ascii="Tahoma" w:hAnsi="Tahoma"/>
      <w:sz w:val="28"/>
    </w:rPr>
  </w:style>
  <w:style w:type="paragraph" w:styleId="20">
    <w:name w:val="Body Text Indent"/>
    <w:basedOn w:val="1"/>
    <w:next w:val="21"/>
    <w:link w:val="69"/>
    <w:qFormat/>
    <w:uiPriority w:val="0"/>
    <w:pPr>
      <w:spacing w:line="200" w:lineRule="exact"/>
      <w:ind w:firstLine="301"/>
    </w:pPr>
    <w:rPr>
      <w:rFonts w:hint="eastAsia" w:ascii="宋体" w:hAnsi="Courier New"/>
      <w:spacing w:val="-4"/>
      <w:sz w:val="18"/>
    </w:rPr>
  </w:style>
  <w:style w:type="paragraph" w:styleId="21">
    <w:name w:val="footer"/>
    <w:basedOn w:val="1"/>
    <w:link w:val="70"/>
    <w:qFormat/>
    <w:uiPriority w:val="0"/>
    <w:pPr>
      <w:tabs>
        <w:tab w:val="center" w:pos="4153"/>
        <w:tab w:val="right" w:pos="8306"/>
      </w:tabs>
      <w:snapToGrid w:val="0"/>
      <w:jc w:val="left"/>
    </w:pPr>
    <w:rPr>
      <w:rFonts w:hint="eastAsia" w:ascii="黑体" w:hAnsi="宋体" w:eastAsia="黑体"/>
      <w:kern w:val="0"/>
      <w:sz w:val="18"/>
      <w:szCs w:val="18"/>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toc 8"/>
    <w:basedOn w:val="1"/>
    <w:next w:val="1"/>
    <w:qFormat/>
    <w:uiPriority w:val="0"/>
    <w:pPr>
      <w:ind w:left="2940" w:leftChars="1400"/>
    </w:pPr>
  </w:style>
  <w:style w:type="paragraph" w:styleId="27">
    <w:name w:val="Date"/>
    <w:basedOn w:val="1"/>
    <w:next w:val="1"/>
    <w:link w:val="72"/>
    <w:qFormat/>
    <w:uiPriority w:val="0"/>
    <w:pPr>
      <w:ind w:left="2500" w:leftChars="2500"/>
    </w:pPr>
    <w:rPr>
      <w:rFonts w:hint="eastAsia" w:ascii="黑体" w:hAnsi="宋体" w:eastAsia="黑体"/>
      <w:kern w:val="44"/>
      <w:position w:val="6"/>
      <w:szCs w:val="20"/>
    </w:rPr>
  </w:style>
  <w:style w:type="paragraph" w:styleId="28">
    <w:name w:val="Body Text Indent 2"/>
    <w:basedOn w:val="1"/>
    <w:link w:val="73"/>
    <w:qFormat/>
    <w:uiPriority w:val="0"/>
    <w:pPr>
      <w:snapToGrid w:val="0"/>
      <w:ind w:firstLine="542" w:firstLineChars="225"/>
    </w:pPr>
    <w:rPr>
      <w:rFonts w:ascii="Tahoma" w:hAnsi="Tahoma"/>
    </w:rPr>
  </w:style>
  <w:style w:type="paragraph" w:styleId="29">
    <w:name w:val="Balloon Text"/>
    <w:basedOn w:val="1"/>
    <w:link w:val="74"/>
    <w:qFormat/>
    <w:uiPriority w:val="0"/>
    <w:rPr>
      <w:rFonts w:ascii="Tahoma" w:hAnsi="Tahoma"/>
      <w:sz w:val="18"/>
      <w:szCs w:val="18"/>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1">
    <w:name w:val="toc 1"/>
    <w:basedOn w:val="1"/>
    <w:next w:val="1"/>
    <w:qFormat/>
    <w:uiPriority w:val="39"/>
  </w:style>
  <w:style w:type="paragraph" w:styleId="32">
    <w:name w:val="toc 4"/>
    <w:basedOn w:val="1"/>
    <w:next w:val="1"/>
    <w:qFormat/>
    <w:uiPriority w:val="0"/>
    <w:pPr>
      <w:ind w:left="1260" w:leftChars="600"/>
    </w:pPr>
  </w:style>
  <w:style w:type="paragraph" w:styleId="3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ind w:left="2100" w:leftChars="1000"/>
    </w:pPr>
  </w:style>
  <w:style w:type="paragraph" w:styleId="36">
    <w:name w:val="Body Text Indent 3"/>
    <w:basedOn w:val="1"/>
    <w:link w:val="76"/>
    <w:qFormat/>
    <w:uiPriority w:val="0"/>
    <w:pPr>
      <w:snapToGrid w:val="0"/>
      <w:ind w:firstLine="480" w:firstLineChars="200"/>
      <w:jc w:val="left"/>
    </w:pPr>
    <w:rPr>
      <w:rFonts w:ascii="Tahoma" w:hAnsi="Tahoma"/>
      <w:sz w:val="16"/>
      <w:szCs w:val="16"/>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77"/>
    <w:qFormat/>
    <w:uiPriority w:val="0"/>
    <w:pPr>
      <w:widowControl/>
      <w:snapToGrid w:val="0"/>
      <w:spacing w:before="50" w:after="156" w:afterLines="50" w:line="400" w:lineRule="exact"/>
      <w:jc w:val="left"/>
    </w:pPr>
    <w:rPr>
      <w:rFonts w:ascii="Tahoma" w:hAnsi="Tahoma"/>
      <w:spacing w:val="20"/>
    </w:rPr>
  </w:style>
  <w:style w:type="paragraph" w:styleId="40">
    <w:name w:val="HTML Preformatted"/>
    <w:basedOn w:val="1"/>
    <w:link w:val="78"/>
    <w:qFormat/>
    <w:uiPriority w:val="0"/>
    <w:rPr>
      <w:rFonts w:hint="eastAsia" w:ascii="宋体" w:hAnsi="宋体"/>
      <w:kern w:val="0"/>
      <w:sz w:val="24"/>
    </w:rPr>
  </w:style>
  <w:style w:type="paragraph" w:styleId="41">
    <w:name w:val="Normal (Web)"/>
    <w:basedOn w:val="1"/>
    <w:qFormat/>
    <w:uiPriority w:val="0"/>
    <w:pPr>
      <w:widowControl/>
      <w:spacing w:before="100" w:beforeAutospacing="1" w:after="100" w:afterAutospacing="1"/>
      <w:jc w:val="left"/>
    </w:pPr>
    <w:rPr>
      <w:kern w:val="0"/>
      <w:sz w:val="24"/>
    </w:rPr>
  </w:style>
  <w:style w:type="paragraph" w:styleId="42">
    <w:name w:val="Title"/>
    <w:basedOn w:val="43"/>
    <w:link w:val="79"/>
    <w:qFormat/>
    <w:uiPriority w:val="0"/>
    <w:pPr>
      <w:spacing w:before="240" w:after="60"/>
      <w:jc w:val="center"/>
      <w:outlineLvl w:val="0"/>
    </w:pPr>
    <w:rPr>
      <w:rFonts w:ascii="Cambria" w:hAnsi="Cambria" w:eastAsia="Cambria"/>
      <w:b/>
      <w:sz w:val="32"/>
      <w:szCs w:val="32"/>
    </w:rPr>
  </w:style>
  <w:style w:type="paragraph" w:customStyle="1" w:styleId="43">
    <w:name w:val="正文（绿盟科技）"/>
    <w:qFormat/>
    <w:uiPriority w:val="0"/>
    <w:pPr>
      <w:spacing w:line="300" w:lineRule="auto"/>
    </w:pPr>
    <w:rPr>
      <w:rFonts w:ascii="Arial" w:hAnsi="Arial" w:eastAsia="宋体" w:cs="Times New Roman"/>
      <w:sz w:val="21"/>
      <w:szCs w:val="21"/>
      <w:lang w:val="en-US" w:eastAsia="zh-CN" w:bidi="ar-SA"/>
    </w:rPr>
  </w:style>
  <w:style w:type="paragraph" w:styleId="44">
    <w:name w:val="annotation subject"/>
    <w:basedOn w:val="17"/>
    <w:next w:val="17"/>
    <w:link w:val="80"/>
    <w:qFormat/>
    <w:uiPriority w:val="0"/>
    <w:rPr>
      <w:b/>
    </w:rPr>
  </w:style>
  <w:style w:type="paragraph" w:styleId="45">
    <w:name w:val="Body Text First Indent"/>
    <w:basedOn w:val="19"/>
    <w:next w:val="35"/>
    <w:link w:val="81"/>
    <w:qFormat/>
    <w:uiPriority w:val="0"/>
    <w:pPr>
      <w:ind w:firstLine="420" w:firstLineChars="100"/>
    </w:pPr>
  </w:style>
  <w:style w:type="paragraph" w:styleId="46">
    <w:name w:val="Body Text First Indent 2"/>
    <w:basedOn w:val="20"/>
    <w:next w:val="1"/>
    <w:qFormat/>
    <w:uiPriority w:val="0"/>
    <w:pPr>
      <w:ind w:firstLine="420" w:firstLineChars="200"/>
    </w:pPr>
    <w:rPr>
      <w:rFonts w:ascii="Times New Roman" w:hAnsi="Times New Roman"/>
      <w:lang w:val="zh-CN"/>
    </w:rPr>
  </w:style>
  <w:style w:type="table" w:styleId="48">
    <w:name w:val="Table Grid"/>
    <w:basedOn w:val="4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qFormat/>
    <w:uiPriority w:val="0"/>
    <w:rPr>
      <w:rFonts w:hint="default" w:ascii="Times New Roman" w:hAnsi="Times New Roman" w:cs="Times New Roman"/>
      <w:sz w:val="24"/>
      <w:szCs w:val="20"/>
    </w:rPr>
  </w:style>
  <w:style w:type="character" w:styleId="52">
    <w:name w:val="FollowedHyperlink"/>
    <w:qFormat/>
    <w:uiPriority w:val="0"/>
    <w:rPr>
      <w:rFonts w:ascii="Tahoma" w:hAnsi="Tahoma"/>
      <w:color w:val="004102"/>
      <w:sz w:val="24"/>
      <w:szCs w:val="20"/>
      <w:u w:val="none"/>
    </w:rPr>
  </w:style>
  <w:style w:type="character" w:styleId="53">
    <w:name w:val="Hyperlink"/>
    <w:qFormat/>
    <w:uiPriority w:val="99"/>
    <w:rPr>
      <w:rFonts w:ascii="Tahoma" w:hAnsi="Tahoma"/>
      <w:color w:val="004102"/>
      <w:sz w:val="24"/>
      <w:szCs w:val="20"/>
      <w:u w:val="none"/>
    </w:rPr>
  </w:style>
  <w:style w:type="character" w:styleId="54">
    <w:name w:val="annotation reference"/>
    <w:qFormat/>
    <w:uiPriority w:val="0"/>
    <w:rPr>
      <w:sz w:val="21"/>
      <w:szCs w:val="21"/>
    </w:rPr>
  </w:style>
  <w:style w:type="character" w:customStyle="1" w:styleId="55">
    <w:name w:val="正文文本 字符"/>
    <w:link w:val="19"/>
    <w:qFormat/>
    <w:uiPriority w:val="0"/>
    <w:rPr>
      <w:rFonts w:ascii="Tahoma" w:hAnsi="Tahoma"/>
      <w:kern w:val="2"/>
      <w:sz w:val="28"/>
      <w:szCs w:val="24"/>
    </w:rPr>
  </w:style>
  <w:style w:type="character" w:customStyle="1" w:styleId="56">
    <w:name w:val="标题 1 字符1"/>
    <w:link w:val="3"/>
    <w:qFormat/>
    <w:uiPriority w:val="0"/>
    <w:rPr>
      <w:rFonts w:ascii="Calibri" w:hAnsi="Calibri"/>
      <w:b/>
      <w:kern w:val="44"/>
      <w:sz w:val="44"/>
    </w:rPr>
  </w:style>
  <w:style w:type="character" w:customStyle="1" w:styleId="57">
    <w:name w:val="标题 2 字符"/>
    <w:basedOn w:val="49"/>
    <w:qFormat/>
    <w:uiPriority w:val="0"/>
    <w:rPr>
      <w:rFonts w:hint="eastAsia" w:ascii="仿宋_GB2312" w:hAnsi="仿宋" w:eastAsia="仿宋_GB2312" w:cs="仿宋_GB2312"/>
      <w:b/>
      <w:kern w:val="2"/>
      <w:sz w:val="32"/>
      <w:szCs w:val="32"/>
      <w:lang w:val="zh-CN"/>
    </w:rPr>
  </w:style>
  <w:style w:type="character" w:customStyle="1" w:styleId="58">
    <w:name w:val="标题 3 字符"/>
    <w:basedOn w:val="49"/>
    <w:link w:val="5"/>
    <w:qFormat/>
    <w:uiPriority w:val="0"/>
    <w:rPr>
      <w:b/>
      <w:kern w:val="2"/>
      <w:sz w:val="32"/>
    </w:rPr>
  </w:style>
  <w:style w:type="character" w:customStyle="1" w:styleId="59">
    <w:name w:val="正文缩进 字符"/>
    <w:link w:val="6"/>
    <w:qFormat/>
    <w:uiPriority w:val="0"/>
    <w:rPr>
      <w:rFonts w:hint="default" w:ascii="Tahoma" w:hAnsi="Tahoma" w:eastAsia="Tahoma" w:cs="Tahoma"/>
      <w:b/>
      <w:kern w:val="2"/>
      <w:sz w:val="21"/>
      <w:szCs w:val="24"/>
    </w:rPr>
  </w:style>
  <w:style w:type="character" w:customStyle="1" w:styleId="60">
    <w:name w:val="标题 4 字符"/>
    <w:link w:val="7"/>
    <w:qFormat/>
    <w:uiPriority w:val="0"/>
    <w:rPr>
      <w:rFonts w:hint="default" w:ascii="Cambria" w:hAnsi="Cambria" w:eastAsia="Cambria" w:cs="Cambria"/>
      <w:b/>
      <w:kern w:val="2"/>
      <w:sz w:val="28"/>
      <w:szCs w:val="28"/>
    </w:rPr>
  </w:style>
  <w:style w:type="character" w:customStyle="1" w:styleId="61">
    <w:name w:val="标题 5 字符"/>
    <w:link w:val="8"/>
    <w:qFormat/>
    <w:uiPriority w:val="0"/>
    <w:rPr>
      <w:rFonts w:ascii="Tahoma" w:hAnsi="Tahoma"/>
      <w:b/>
      <w:kern w:val="2"/>
      <w:sz w:val="28"/>
      <w:szCs w:val="20"/>
    </w:rPr>
  </w:style>
  <w:style w:type="character" w:customStyle="1" w:styleId="62">
    <w:name w:val="标题 6 字符"/>
    <w:link w:val="9"/>
    <w:qFormat/>
    <w:uiPriority w:val="0"/>
    <w:rPr>
      <w:rFonts w:hint="default" w:ascii="Arial" w:hAnsi="Arial" w:eastAsia="黑体" w:cs="Arial"/>
      <w:b/>
      <w:kern w:val="2"/>
      <w:sz w:val="24"/>
      <w:szCs w:val="20"/>
    </w:rPr>
  </w:style>
  <w:style w:type="character" w:customStyle="1" w:styleId="63">
    <w:name w:val="标题 7 字符"/>
    <w:link w:val="10"/>
    <w:qFormat/>
    <w:uiPriority w:val="0"/>
    <w:rPr>
      <w:rFonts w:ascii="Tahoma" w:hAnsi="Tahoma"/>
      <w:b/>
      <w:kern w:val="2"/>
      <w:sz w:val="24"/>
      <w:szCs w:val="20"/>
    </w:rPr>
  </w:style>
  <w:style w:type="character" w:customStyle="1" w:styleId="64">
    <w:name w:val="标题 8 字符"/>
    <w:link w:val="11"/>
    <w:qFormat/>
    <w:uiPriority w:val="0"/>
    <w:rPr>
      <w:rFonts w:ascii="Arial" w:hAnsi="Arial" w:eastAsia="黑体" w:cs="Arial"/>
      <w:kern w:val="2"/>
      <w:sz w:val="21"/>
      <w:szCs w:val="24"/>
    </w:rPr>
  </w:style>
  <w:style w:type="character" w:customStyle="1" w:styleId="65">
    <w:name w:val="标题 9 字符"/>
    <w:link w:val="12"/>
    <w:qFormat/>
    <w:uiPriority w:val="0"/>
    <w:rPr>
      <w:rFonts w:hint="default" w:ascii="Arial" w:hAnsi="Arial" w:eastAsia="黑体" w:cs="Arial"/>
      <w:kern w:val="2"/>
      <w:sz w:val="21"/>
      <w:szCs w:val="20"/>
    </w:rPr>
  </w:style>
  <w:style w:type="character" w:customStyle="1" w:styleId="66">
    <w:name w:val="文档结构图 字符"/>
    <w:link w:val="16"/>
    <w:qFormat/>
    <w:uiPriority w:val="0"/>
    <w:rPr>
      <w:rFonts w:hint="eastAsia" w:ascii="宋体" w:hAnsi="宋体" w:eastAsia="宋体" w:cs="宋体"/>
      <w:kern w:val="2"/>
      <w:sz w:val="18"/>
      <w:szCs w:val="18"/>
    </w:rPr>
  </w:style>
  <w:style w:type="character" w:customStyle="1" w:styleId="67">
    <w:name w:val="批注文字 字符"/>
    <w:link w:val="17"/>
    <w:qFormat/>
    <w:uiPriority w:val="0"/>
    <w:rPr>
      <w:rFonts w:ascii="Tahoma" w:hAnsi="Tahoma"/>
      <w:kern w:val="2"/>
      <w:sz w:val="21"/>
      <w:szCs w:val="24"/>
    </w:rPr>
  </w:style>
  <w:style w:type="character" w:customStyle="1" w:styleId="68">
    <w:name w:val="正文文本 3 字符"/>
    <w:link w:val="18"/>
    <w:qFormat/>
    <w:uiPriority w:val="0"/>
    <w:rPr>
      <w:rFonts w:ascii="Tahoma" w:hAnsi="Tahoma"/>
      <w:kern w:val="2"/>
      <w:sz w:val="16"/>
      <w:szCs w:val="16"/>
    </w:rPr>
  </w:style>
  <w:style w:type="character" w:customStyle="1" w:styleId="69">
    <w:name w:val="正文文本缩进 字符"/>
    <w:basedOn w:val="49"/>
    <w:link w:val="20"/>
    <w:qFormat/>
    <w:uiPriority w:val="0"/>
    <w:rPr>
      <w:rFonts w:hint="default" w:ascii="Calibri" w:hAnsi="Calibri" w:cs="Calibri"/>
      <w:kern w:val="2"/>
      <w:sz w:val="21"/>
      <w:szCs w:val="24"/>
    </w:rPr>
  </w:style>
  <w:style w:type="character" w:customStyle="1" w:styleId="70">
    <w:name w:val="页脚 字符"/>
    <w:link w:val="21"/>
    <w:qFormat/>
    <w:uiPriority w:val="0"/>
    <w:rPr>
      <w:rFonts w:hint="eastAsia" w:ascii="黑体" w:hAnsi="宋体" w:eastAsia="黑体" w:cs="黑体"/>
      <w:snapToGrid/>
      <w:sz w:val="18"/>
      <w:szCs w:val="18"/>
    </w:rPr>
  </w:style>
  <w:style w:type="character" w:customStyle="1" w:styleId="71">
    <w:name w:val="纯文本 字符"/>
    <w:link w:val="2"/>
    <w:qFormat/>
    <w:uiPriority w:val="0"/>
    <w:rPr>
      <w:rFonts w:hint="eastAsia" w:ascii="宋体" w:hAnsi="Courier New" w:eastAsia="宋体" w:cs="Courier New"/>
      <w:kern w:val="2"/>
      <w:sz w:val="21"/>
      <w:szCs w:val="21"/>
    </w:rPr>
  </w:style>
  <w:style w:type="character" w:customStyle="1" w:styleId="72">
    <w:name w:val="日期 字符"/>
    <w:link w:val="27"/>
    <w:qFormat/>
    <w:uiPriority w:val="0"/>
    <w:rPr>
      <w:rFonts w:hint="eastAsia" w:ascii="黑体" w:hAnsi="宋体" w:eastAsia="黑体" w:cs="黑体"/>
      <w:kern w:val="44"/>
      <w:position w:val="6"/>
      <w:sz w:val="21"/>
      <w:szCs w:val="20"/>
    </w:rPr>
  </w:style>
  <w:style w:type="character" w:customStyle="1" w:styleId="73">
    <w:name w:val="正文文本缩进 2 字符"/>
    <w:link w:val="28"/>
    <w:qFormat/>
    <w:uiPriority w:val="0"/>
    <w:rPr>
      <w:rFonts w:ascii="Tahoma" w:hAnsi="Tahoma"/>
      <w:kern w:val="2"/>
      <w:sz w:val="21"/>
      <w:szCs w:val="24"/>
    </w:rPr>
  </w:style>
  <w:style w:type="character" w:customStyle="1" w:styleId="74">
    <w:name w:val="批注框文本 字符"/>
    <w:link w:val="29"/>
    <w:qFormat/>
    <w:uiPriority w:val="0"/>
    <w:rPr>
      <w:rFonts w:ascii="Tahoma" w:hAnsi="Tahoma"/>
      <w:kern w:val="2"/>
      <w:sz w:val="18"/>
      <w:szCs w:val="18"/>
    </w:rPr>
  </w:style>
  <w:style w:type="character" w:customStyle="1" w:styleId="75">
    <w:name w:val="页眉 字符"/>
    <w:link w:val="30"/>
    <w:qFormat/>
    <w:uiPriority w:val="0"/>
    <w:rPr>
      <w:rFonts w:ascii="Tahoma" w:hAnsi="Tahoma"/>
      <w:kern w:val="2"/>
      <w:sz w:val="18"/>
      <w:szCs w:val="18"/>
    </w:rPr>
  </w:style>
  <w:style w:type="character" w:customStyle="1" w:styleId="76">
    <w:name w:val="正文文本缩进 3 字符"/>
    <w:link w:val="36"/>
    <w:qFormat/>
    <w:uiPriority w:val="0"/>
    <w:rPr>
      <w:rFonts w:ascii="Tahoma" w:hAnsi="Tahoma"/>
      <w:kern w:val="2"/>
      <w:sz w:val="16"/>
      <w:szCs w:val="16"/>
    </w:rPr>
  </w:style>
  <w:style w:type="character" w:customStyle="1" w:styleId="77">
    <w:name w:val="正文文本 2 字符"/>
    <w:link w:val="39"/>
    <w:qFormat/>
    <w:uiPriority w:val="0"/>
    <w:rPr>
      <w:rFonts w:ascii="Tahoma" w:hAnsi="Tahoma"/>
      <w:spacing w:val="20"/>
      <w:kern w:val="2"/>
      <w:sz w:val="21"/>
      <w:szCs w:val="24"/>
    </w:rPr>
  </w:style>
  <w:style w:type="character" w:customStyle="1" w:styleId="78">
    <w:name w:val="HTML 预设格式 字符"/>
    <w:link w:val="40"/>
    <w:qFormat/>
    <w:uiPriority w:val="0"/>
    <w:rPr>
      <w:rFonts w:hint="eastAsia" w:ascii="宋体" w:hAnsi="宋体" w:eastAsia="宋体" w:cs="宋体"/>
      <w:sz w:val="24"/>
      <w:szCs w:val="24"/>
    </w:rPr>
  </w:style>
  <w:style w:type="character" w:customStyle="1" w:styleId="79">
    <w:name w:val="标题 字符"/>
    <w:link w:val="42"/>
    <w:qFormat/>
    <w:uiPriority w:val="0"/>
    <w:rPr>
      <w:rFonts w:hint="default" w:ascii="Cambria" w:hAnsi="Cambria" w:eastAsia="Cambria" w:cs="Times New Roman"/>
      <w:b/>
      <w:kern w:val="2"/>
      <w:sz w:val="32"/>
      <w:szCs w:val="32"/>
    </w:rPr>
  </w:style>
  <w:style w:type="character" w:customStyle="1" w:styleId="80">
    <w:name w:val="批注主题 字符"/>
    <w:link w:val="44"/>
    <w:qFormat/>
    <w:uiPriority w:val="0"/>
    <w:rPr>
      <w:rFonts w:ascii="Tahoma" w:hAnsi="Tahoma"/>
      <w:b/>
      <w:kern w:val="2"/>
      <w:sz w:val="21"/>
      <w:szCs w:val="24"/>
    </w:rPr>
  </w:style>
  <w:style w:type="character" w:customStyle="1" w:styleId="81">
    <w:name w:val="正文文本首行缩进 字符"/>
    <w:link w:val="45"/>
    <w:qFormat/>
    <w:uiPriority w:val="0"/>
    <w:rPr>
      <w:rFonts w:ascii="Tahoma" w:hAnsi="Tahoma"/>
      <w:kern w:val="2"/>
      <w:sz w:val="28"/>
      <w:szCs w:val="24"/>
    </w:rPr>
  </w:style>
  <w:style w:type="character" w:customStyle="1" w:styleId="82">
    <w:name w:val="标题 2 字符1"/>
    <w:link w:val="4"/>
    <w:qFormat/>
    <w:uiPriority w:val="9"/>
    <w:rPr>
      <w:rFonts w:ascii="Arial" w:hAnsi="Arial" w:eastAsia="仿宋_GB2312"/>
      <w:b/>
      <w:bCs/>
      <w:kern w:val="2"/>
      <w:sz w:val="28"/>
      <w:szCs w:val="32"/>
    </w:rPr>
  </w:style>
  <w:style w:type="character" w:customStyle="1" w:styleId="83">
    <w:name w:val="页脚 Char Char"/>
    <w:qFormat/>
    <w:uiPriority w:val="0"/>
    <w:rPr>
      <w:rFonts w:eastAsia="黑体"/>
      <w:snapToGrid w:val="0"/>
      <w:kern w:val="2"/>
      <w:sz w:val="18"/>
      <w:szCs w:val="18"/>
    </w:rPr>
  </w:style>
  <w:style w:type="character" w:customStyle="1" w:styleId="84">
    <w:name w:val="font181"/>
    <w:qFormat/>
    <w:uiPriority w:val="0"/>
    <w:rPr>
      <w:rFonts w:hint="default" w:ascii="Times New Roman" w:hAnsi="Times New Roman" w:cs="Times New Roman"/>
      <w:b/>
      <w:color w:val="000000"/>
      <w:sz w:val="22"/>
      <w:szCs w:val="22"/>
      <w:u w:val="none"/>
    </w:rPr>
  </w:style>
  <w:style w:type="character" w:customStyle="1" w:styleId="85">
    <w:name w:val="aa1"/>
    <w:qFormat/>
    <w:uiPriority w:val="0"/>
    <w:rPr>
      <w:rFonts w:hint="default" w:ascii="Tahoma" w:hAnsi="Tahoma" w:eastAsia="Tahoma" w:cs="Tahoma"/>
      <w:b/>
      <w:sz w:val="24"/>
      <w:szCs w:val="24"/>
    </w:rPr>
  </w:style>
  <w:style w:type="character" w:customStyle="1" w:styleId="86">
    <w:name w:val="z21"/>
    <w:qFormat/>
    <w:uiPriority w:val="0"/>
    <w:rPr>
      <w:rFonts w:ascii="Tahoma" w:hAnsi="Tahoma"/>
      <w:color w:val="000000"/>
      <w:sz w:val="18"/>
      <w:szCs w:val="18"/>
    </w:rPr>
  </w:style>
  <w:style w:type="character" w:customStyle="1" w:styleId="87">
    <w:name w:val="medium_text1"/>
    <w:qFormat/>
    <w:uiPriority w:val="0"/>
    <w:rPr>
      <w:rFonts w:hint="default" w:ascii="Times New Roman" w:hAnsi="Times New Roman" w:cs="Times New Roman"/>
      <w:sz w:val="24"/>
      <w:szCs w:val="24"/>
    </w:rPr>
  </w:style>
  <w:style w:type="character" w:customStyle="1" w:styleId="88">
    <w:name w:val="font01"/>
    <w:qFormat/>
    <w:uiPriority w:val="0"/>
    <w:rPr>
      <w:rFonts w:hint="eastAsia" w:ascii="宋体" w:hAnsi="宋体" w:eastAsia="宋体" w:cs="宋体"/>
      <w:color w:val="000000"/>
      <w:sz w:val="20"/>
      <w:szCs w:val="20"/>
      <w:u w:val="none"/>
    </w:rPr>
  </w:style>
  <w:style w:type="character" w:customStyle="1" w:styleId="89">
    <w:name w:val="e"/>
    <w:qFormat/>
    <w:uiPriority w:val="0"/>
    <w:rPr>
      <w:rFonts w:hint="default" w:ascii="Tahoma" w:hAnsi="Tahoma" w:eastAsia="Tahoma" w:cs="Tahoma"/>
      <w:b/>
      <w:sz w:val="24"/>
      <w:szCs w:val="24"/>
    </w:rPr>
  </w:style>
  <w:style w:type="character" w:customStyle="1" w:styleId="90">
    <w:name w:val="文档结构图 Char1"/>
    <w:qFormat/>
    <w:uiPriority w:val="0"/>
    <w:rPr>
      <w:rFonts w:hint="eastAsia" w:ascii="宋体" w:hAnsi="宋体" w:eastAsia="宋体" w:cs="宋体"/>
      <w:kern w:val="2"/>
      <w:sz w:val="18"/>
      <w:szCs w:val="18"/>
    </w:rPr>
  </w:style>
  <w:style w:type="character" w:customStyle="1" w:styleId="91">
    <w:name w:val="font61"/>
    <w:qFormat/>
    <w:uiPriority w:val="0"/>
    <w:rPr>
      <w:rFonts w:hint="eastAsia" w:ascii="宋体" w:hAnsi="宋体" w:eastAsia="宋体" w:cs="宋体"/>
      <w:color w:val="000000"/>
      <w:sz w:val="20"/>
      <w:szCs w:val="20"/>
      <w:u w:val="none"/>
    </w:rPr>
  </w:style>
  <w:style w:type="character" w:customStyle="1" w:styleId="92">
    <w:name w:val="纯文本 Char2"/>
    <w:qFormat/>
    <w:uiPriority w:val="0"/>
    <w:rPr>
      <w:rFonts w:hint="eastAsia" w:ascii="宋体" w:hAnsi="Courier New" w:eastAsia="宋体" w:cs="宋体"/>
      <w:kern w:val="2"/>
      <w:sz w:val="24"/>
      <w:szCs w:val="24"/>
    </w:rPr>
  </w:style>
  <w:style w:type="character" w:customStyle="1" w:styleId="93">
    <w:name w:val="H5 Char"/>
    <w:qFormat/>
    <w:uiPriority w:val="0"/>
    <w:rPr>
      <w:rFonts w:ascii="Tahoma" w:hAnsi="Tahoma"/>
      <w:sz w:val="28"/>
      <w:szCs w:val="20"/>
    </w:rPr>
  </w:style>
  <w:style w:type="character" w:customStyle="1" w:styleId="94">
    <w:name w:val="font71"/>
    <w:qFormat/>
    <w:uiPriority w:val="0"/>
    <w:rPr>
      <w:rFonts w:hint="eastAsia" w:ascii="宋体" w:hAnsi="宋体" w:eastAsia="宋体" w:cs="宋体"/>
      <w:b/>
      <w:color w:val="000000"/>
      <w:sz w:val="22"/>
      <w:szCs w:val="22"/>
      <w:u w:val="none"/>
    </w:rPr>
  </w:style>
  <w:style w:type="character" w:customStyle="1" w:styleId="95">
    <w:name w:val="a41"/>
    <w:qFormat/>
    <w:uiPriority w:val="0"/>
    <w:rPr>
      <w:rFonts w:ascii="Tahoma" w:hAnsi="Tahoma"/>
      <w:color w:val="666666"/>
      <w:sz w:val="26"/>
      <w:szCs w:val="26"/>
    </w:rPr>
  </w:style>
  <w:style w:type="character" w:customStyle="1" w:styleId="96">
    <w:name w:val="font31"/>
    <w:basedOn w:val="49"/>
    <w:qFormat/>
    <w:uiPriority w:val="0"/>
    <w:rPr>
      <w:rFonts w:hint="eastAsia" w:ascii="Microsoft JhengHei" w:hAnsi="Microsoft JhengHei" w:eastAsia="Microsoft JhengHei" w:cs="Microsoft JhengHei"/>
      <w:b/>
      <w:color w:val="000000"/>
      <w:sz w:val="11"/>
      <w:szCs w:val="11"/>
      <w:u w:val="none"/>
    </w:rPr>
  </w:style>
  <w:style w:type="character" w:customStyle="1" w:styleId="97">
    <w:name w:val="标题 2 Char"/>
    <w:qFormat/>
    <w:uiPriority w:val="0"/>
    <w:rPr>
      <w:rFonts w:hint="default" w:ascii="Arial" w:hAnsi="Arial" w:eastAsia="黑体" w:cs="Arial"/>
      <w:b/>
      <w:kern w:val="2"/>
      <w:sz w:val="32"/>
      <w:szCs w:val="32"/>
    </w:rPr>
  </w:style>
  <w:style w:type="character" w:customStyle="1" w:styleId="98">
    <w:name w:val="text1"/>
    <w:qFormat/>
    <w:uiPriority w:val="0"/>
    <w:rPr>
      <w:rFonts w:ascii="Tahoma" w:hAnsi="Tahoma"/>
      <w:color w:val="000000"/>
      <w:sz w:val="24"/>
      <w:szCs w:val="24"/>
    </w:rPr>
  </w:style>
  <w:style w:type="character" w:customStyle="1" w:styleId="99">
    <w:name w:val="纯文本 Char Char"/>
    <w:qFormat/>
    <w:uiPriority w:val="0"/>
    <w:rPr>
      <w:rFonts w:ascii="宋体" w:hAnsi="Courier New" w:eastAsia="宋体"/>
      <w:kern w:val="2"/>
      <w:sz w:val="24"/>
      <w:szCs w:val="24"/>
      <w:lang w:val="en-US" w:eastAsia="zh-CN" w:bidi="ar-SA"/>
    </w:rPr>
  </w:style>
  <w:style w:type="character" w:customStyle="1" w:styleId="100">
    <w:name w:val="正文文本缩进 Char2"/>
    <w:qFormat/>
    <w:uiPriority w:val="0"/>
    <w:rPr>
      <w:rFonts w:hint="eastAsia" w:ascii="宋体" w:hAnsi="Courier New" w:eastAsia="宋体" w:cs="宋体"/>
      <w:spacing w:val="-4"/>
      <w:kern w:val="2"/>
      <w:sz w:val="18"/>
      <w:szCs w:val="20"/>
    </w:rPr>
  </w:style>
  <w:style w:type="character" w:customStyle="1" w:styleId="101">
    <w:name w:val="普通文字 Char Char1"/>
    <w:qFormat/>
    <w:uiPriority w:val="0"/>
    <w:rPr>
      <w:rFonts w:ascii="宋体" w:hAnsi="Courier New" w:eastAsia="宋体"/>
      <w:kern w:val="2"/>
      <w:sz w:val="24"/>
      <w:szCs w:val="24"/>
      <w:lang w:val="en-US" w:eastAsia="zh-CN" w:bidi="ar-SA"/>
    </w:rPr>
  </w:style>
  <w:style w:type="character" w:customStyle="1" w:styleId="102">
    <w:name w:val="font11"/>
    <w:qFormat/>
    <w:uiPriority w:val="0"/>
    <w:rPr>
      <w:rFonts w:hint="eastAsia" w:ascii="宋体" w:hAnsi="宋体" w:eastAsia="宋体"/>
      <w:color w:val="000000"/>
      <w:sz w:val="18"/>
      <w:szCs w:val="18"/>
      <w:u w:val="none"/>
    </w:rPr>
  </w:style>
  <w:style w:type="character" w:customStyle="1" w:styleId="103">
    <w:name w:val="HTML 预设格式 Char2"/>
    <w:qFormat/>
    <w:uiPriority w:val="0"/>
    <w:rPr>
      <w:rFonts w:ascii="Courier New" w:hAnsi="Courier New" w:cs="Courier New"/>
      <w:kern w:val="2"/>
      <w:sz w:val="24"/>
      <w:szCs w:val="20"/>
    </w:rPr>
  </w:style>
  <w:style w:type="character" w:customStyle="1" w:styleId="104">
    <w:name w:val="批注文字 字符1"/>
    <w:qFormat/>
    <w:uiPriority w:val="0"/>
    <w:rPr>
      <w:rFonts w:ascii="Tahoma" w:hAnsi="Tahoma"/>
      <w:kern w:val="2"/>
      <w:sz w:val="21"/>
      <w:szCs w:val="24"/>
    </w:rPr>
  </w:style>
  <w:style w:type="character" w:customStyle="1" w:styleId="105">
    <w:name w:val="页码1"/>
    <w:qFormat/>
    <w:uiPriority w:val="0"/>
    <w:rPr>
      <w:rFonts w:hint="default" w:ascii="Times New Roman" w:hAnsi="Tahoma" w:cs="Times New Roman"/>
      <w:b/>
      <w:sz w:val="24"/>
      <w:szCs w:val="24"/>
    </w:rPr>
  </w:style>
  <w:style w:type="character" w:customStyle="1" w:styleId="106">
    <w:name w:val="font41"/>
    <w:basedOn w:val="49"/>
    <w:qFormat/>
    <w:uiPriority w:val="0"/>
    <w:rPr>
      <w:rFonts w:hint="eastAsia" w:ascii="宋体" w:hAnsi="宋体" w:eastAsia="宋体" w:cs="宋体"/>
      <w:color w:val="000000"/>
      <w:sz w:val="21"/>
      <w:szCs w:val="21"/>
      <w:u w:val="none"/>
    </w:rPr>
  </w:style>
  <w:style w:type="character" w:customStyle="1" w:styleId="107">
    <w:name w:val="news1"/>
    <w:qFormat/>
    <w:uiPriority w:val="0"/>
    <w:rPr>
      <w:rFonts w:hint="default" w:ascii="Tahoma" w:hAnsi="Tahoma" w:eastAsia="Tahoma" w:cs="Tahoma"/>
      <w:b/>
      <w:sz w:val="24"/>
      <w:szCs w:val="24"/>
    </w:rPr>
  </w:style>
  <w:style w:type="character" w:customStyle="1" w:styleId="108">
    <w:name w:val="标题 41"/>
    <w:qFormat/>
    <w:uiPriority w:val="0"/>
  </w:style>
  <w:style w:type="character" w:customStyle="1" w:styleId="109">
    <w:name w:val="标题 1 字符"/>
    <w:qFormat/>
    <w:uiPriority w:val="0"/>
    <w:rPr>
      <w:rFonts w:ascii="Tahoma" w:hAnsi="Tahoma"/>
      <w:b/>
      <w:kern w:val="44"/>
      <w:sz w:val="44"/>
      <w:szCs w:val="44"/>
    </w:rPr>
  </w:style>
  <w:style w:type="character" w:customStyle="1" w:styleId="110">
    <w:name w:val="标题 1 Char Char"/>
    <w:qFormat/>
    <w:uiPriority w:val="0"/>
    <w:rPr>
      <w:rFonts w:eastAsia="宋体"/>
      <w:b/>
      <w:spacing w:val="-2"/>
      <w:sz w:val="24"/>
      <w:lang w:val="en-US" w:eastAsia="zh-CN" w:bidi="ar-SA"/>
    </w:rPr>
  </w:style>
  <w:style w:type="character" w:customStyle="1" w:styleId="111">
    <w:name w:val="页脚 字符1"/>
    <w:qFormat/>
    <w:uiPriority w:val="0"/>
    <w:rPr>
      <w:rFonts w:ascii="Tahoma" w:hAnsi="Tahoma"/>
      <w:kern w:val="2"/>
      <w:sz w:val="18"/>
      <w:szCs w:val="18"/>
    </w:rPr>
  </w:style>
  <w:style w:type="character" w:customStyle="1" w:styleId="112">
    <w:name w:val="en"/>
    <w:qFormat/>
    <w:uiPriority w:val="0"/>
    <w:rPr>
      <w:rFonts w:hint="default" w:ascii="Tahoma" w:hAnsi="Tahoma" w:eastAsia="Tahoma" w:cs="Tahoma"/>
      <w:b/>
      <w:sz w:val="24"/>
      <w:szCs w:val="24"/>
    </w:rPr>
  </w:style>
  <w:style w:type="character" w:customStyle="1" w:styleId="113">
    <w:name w:val="msobooktitle"/>
    <w:qFormat/>
    <w:uiPriority w:val="0"/>
    <w:rPr>
      <w:rFonts w:ascii="Tahoma" w:hAnsi="Tahoma"/>
      <w:b/>
      <w:smallCaps/>
      <w:spacing w:val="5"/>
      <w:sz w:val="24"/>
      <w:szCs w:val="20"/>
    </w:rPr>
  </w:style>
  <w:style w:type="character" w:customStyle="1" w:styleId="114">
    <w:name w:val="fontheight2"/>
    <w:qFormat/>
    <w:uiPriority w:val="0"/>
    <w:rPr>
      <w:rFonts w:ascii="Tahoma" w:hAnsi="Tahoma"/>
      <w:sz w:val="20"/>
      <w:szCs w:val="20"/>
      <w:u w:val="none"/>
    </w:rPr>
  </w:style>
  <w:style w:type="character" w:customStyle="1" w:styleId="115">
    <w:name w:val="纯文本 字符1"/>
    <w:qFormat/>
    <w:uiPriority w:val="0"/>
    <w:rPr>
      <w:rFonts w:ascii="等线" w:hAnsi="Courier New" w:eastAsia="等线" w:cs="Courier New"/>
      <w:kern w:val="2"/>
      <w:sz w:val="21"/>
      <w:szCs w:val="24"/>
    </w:rPr>
  </w:style>
  <w:style w:type="character" w:customStyle="1" w:styleId="116">
    <w:name w:val="Table Text Char Char Char Char"/>
    <w:qFormat/>
    <w:uiPriority w:val="0"/>
    <w:rPr>
      <w:rFonts w:hint="default" w:ascii="Arial" w:hAnsi="Arial" w:eastAsia="宋体" w:cs="Arial"/>
      <w:kern w:val="2"/>
      <w:sz w:val="18"/>
      <w:szCs w:val="18"/>
      <w:lang w:val="en-US" w:eastAsia="zh-CN" w:bidi="ar"/>
    </w:rPr>
  </w:style>
  <w:style w:type="character" w:customStyle="1" w:styleId="117">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18">
    <w:name w:val="纯文本 Char1"/>
    <w:qFormat/>
    <w:uiPriority w:val="0"/>
    <w:rPr>
      <w:rFonts w:ascii="宋体" w:hAnsi="Courier New" w:eastAsia="宋体" w:cs="Courier New"/>
      <w:kern w:val="2"/>
      <w:sz w:val="21"/>
      <w:szCs w:val="21"/>
      <w:lang w:val="en-US" w:eastAsia="zh-CN" w:bidi="ar-SA"/>
    </w:rPr>
  </w:style>
  <w:style w:type="character" w:customStyle="1" w:styleId="119">
    <w:name w:val="Char Char1"/>
    <w:link w:val="120"/>
    <w:qFormat/>
    <w:uiPriority w:val="0"/>
    <w:rPr>
      <w:rFonts w:ascii="Verdana" w:hAnsi="Verdana"/>
      <w:kern w:val="0"/>
      <w:sz w:val="24"/>
      <w:szCs w:val="20"/>
      <w:lang w:eastAsia="en-US"/>
    </w:rPr>
  </w:style>
  <w:style w:type="paragraph" w:customStyle="1" w:styleId="120">
    <w:name w:val="Char"/>
    <w:basedOn w:val="1"/>
    <w:link w:val="119"/>
    <w:qFormat/>
    <w:uiPriority w:val="0"/>
    <w:pPr>
      <w:widowControl/>
      <w:spacing w:line="400" w:lineRule="exact"/>
      <w:jc w:val="center"/>
    </w:pPr>
    <w:rPr>
      <w:rFonts w:ascii="Verdana" w:hAnsi="Verdana"/>
      <w:kern w:val="0"/>
      <w:sz w:val="24"/>
      <w:szCs w:val="20"/>
      <w:lang w:eastAsia="en-US"/>
    </w:rPr>
  </w:style>
  <w:style w:type="character" w:customStyle="1" w:styleId="121">
    <w:name w:val="bsharetext"/>
    <w:basedOn w:val="49"/>
    <w:qFormat/>
    <w:uiPriority w:val="0"/>
  </w:style>
  <w:style w:type="character" w:customStyle="1" w:styleId="122">
    <w:name w:val="kleintab"/>
    <w:qFormat/>
    <w:uiPriority w:val="0"/>
    <w:rPr>
      <w:rFonts w:hint="default" w:ascii="Tahoma" w:hAnsi="Tahoma" w:eastAsia="Tahoma" w:cs="Tahoma"/>
      <w:b/>
      <w:sz w:val="24"/>
      <w:szCs w:val="24"/>
    </w:rPr>
  </w:style>
  <w:style w:type="character" w:customStyle="1" w:styleId="123">
    <w:name w:val="fontstyle01"/>
    <w:qFormat/>
    <w:uiPriority w:val="0"/>
    <w:rPr>
      <w:rFonts w:hint="eastAsia" w:ascii="宋体" w:hAnsi="宋体" w:eastAsia="宋体"/>
      <w:color w:val="000000"/>
      <w:sz w:val="24"/>
      <w:szCs w:val="24"/>
    </w:rPr>
  </w:style>
  <w:style w:type="character" w:customStyle="1" w:styleId="124">
    <w:name w:val="标题 2 Char Char"/>
    <w:qFormat/>
    <w:uiPriority w:val="0"/>
    <w:rPr>
      <w:rFonts w:ascii="Arial" w:hAnsi="Arial" w:eastAsia="黑体"/>
      <w:b/>
      <w:bCs/>
      <w:kern w:val="2"/>
      <w:sz w:val="32"/>
      <w:szCs w:val="32"/>
      <w:lang w:val="en-US" w:eastAsia="zh-CN" w:bidi="ar-SA"/>
    </w:rPr>
  </w:style>
  <w:style w:type="character" w:customStyle="1" w:styleId="125">
    <w:name w:val="样式 标题 1合同标题卷标题H1h1Level 1 Topic HeadingH11H12H111H13H1... Char Char"/>
    <w:qFormat/>
    <w:uiPriority w:val="0"/>
    <w:rPr>
      <w:rFonts w:hint="eastAsia" w:ascii="宋体" w:hAnsi="宋体" w:eastAsia="宋体" w:cs="宋体"/>
      <w:b/>
      <w:kern w:val="44"/>
      <w:sz w:val="24"/>
      <w:szCs w:val="44"/>
      <w:lang w:val="en-US" w:eastAsia="zh-CN" w:bidi="ar"/>
    </w:rPr>
  </w:style>
  <w:style w:type="character" w:customStyle="1" w:styleId="126">
    <w:name w:val="font141"/>
    <w:qFormat/>
    <w:uiPriority w:val="0"/>
    <w:rPr>
      <w:rFonts w:hint="default" w:ascii="Tahoma" w:hAnsi="Tahoma" w:eastAsia="Tahoma" w:cs="Tahoma"/>
      <w:sz w:val="24"/>
      <w:szCs w:val="24"/>
    </w:rPr>
  </w:style>
  <w:style w:type="character" w:customStyle="1" w:styleId="127">
    <w:name w:val="正文文本缩进 字符1"/>
    <w:qFormat/>
    <w:uiPriority w:val="0"/>
    <w:rPr>
      <w:rFonts w:ascii="Tahoma" w:hAnsi="Tahoma"/>
      <w:kern w:val="2"/>
      <w:sz w:val="21"/>
      <w:szCs w:val="24"/>
    </w:rPr>
  </w:style>
  <w:style w:type="character" w:customStyle="1" w:styleId="128">
    <w:name w:val="样式 正文（缩进） Char"/>
    <w:link w:val="129"/>
    <w:qFormat/>
    <w:uiPriority w:val="0"/>
    <w:rPr>
      <w:rFonts w:hAnsi="Calibri"/>
      <w:kern w:val="0"/>
      <w:szCs w:val="20"/>
    </w:rPr>
  </w:style>
  <w:style w:type="paragraph" w:customStyle="1" w:styleId="129">
    <w:name w:val="样式 正文（缩进）"/>
    <w:basedOn w:val="1"/>
    <w:link w:val="128"/>
    <w:qFormat/>
    <w:uiPriority w:val="0"/>
    <w:pPr>
      <w:spacing w:line="360" w:lineRule="auto"/>
      <w:ind w:firstLine="480" w:firstLineChars="200"/>
      <w:jc w:val="left"/>
    </w:pPr>
    <w:rPr>
      <w:kern w:val="0"/>
      <w:sz w:val="20"/>
      <w:szCs w:val="20"/>
    </w:rPr>
  </w:style>
  <w:style w:type="character" w:customStyle="1" w:styleId="130">
    <w:name w:val="正文文本 3 Char Char"/>
    <w:qFormat/>
    <w:uiPriority w:val="0"/>
    <w:rPr>
      <w:rFonts w:ascii="Tahoma" w:hAnsi="Tahoma"/>
      <w:kern w:val="2"/>
      <w:sz w:val="16"/>
      <w:szCs w:val="16"/>
    </w:rPr>
  </w:style>
  <w:style w:type="character" w:customStyle="1" w:styleId="131">
    <w:name w:val="样式 宋体"/>
    <w:qFormat/>
    <w:uiPriority w:val="0"/>
    <w:rPr>
      <w:rFonts w:ascii="宋体" w:hAnsi="宋体" w:eastAsia="宋体"/>
      <w:sz w:val="24"/>
      <w:szCs w:val="24"/>
    </w:rPr>
  </w:style>
  <w:style w:type="character" w:customStyle="1" w:styleId="132">
    <w:name w:val="正文文本缩进 2 Char Char"/>
    <w:qFormat/>
    <w:uiPriority w:val="0"/>
    <w:rPr>
      <w:rFonts w:ascii="Tahoma" w:hAnsi="Tahoma"/>
      <w:kern w:val="2"/>
      <w:sz w:val="21"/>
      <w:szCs w:val="20"/>
    </w:rPr>
  </w:style>
  <w:style w:type="character" w:customStyle="1" w:styleId="133">
    <w:name w:val="font21"/>
    <w:basedOn w:val="49"/>
    <w:qFormat/>
    <w:uiPriority w:val="0"/>
    <w:rPr>
      <w:rFonts w:hint="default" w:ascii="Times New Roman" w:hAnsi="Times New Roman" w:cs="Times New Roman"/>
      <w:b/>
      <w:color w:val="000000"/>
      <w:sz w:val="22"/>
      <w:szCs w:val="22"/>
      <w:u w:val="single"/>
    </w:rPr>
  </w:style>
  <w:style w:type="character" w:customStyle="1" w:styleId="134">
    <w:name w:val="c_title1"/>
    <w:qFormat/>
    <w:uiPriority w:val="0"/>
    <w:rPr>
      <w:rFonts w:hint="eastAsia" w:ascii="黑体" w:hAnsi="Tahoma" w:eastAsia="黑体" w:cs="黑体"/>
      <w:b/>
      <w:color w:val="03005C"/>
      <w:sz w:val="30"/>
      <w:szCs w:val="30"/>
      <w:u w:val="none"/>
    </w:rPr>
  </w:style>
  <w:style w:type="character" w:customStyle="1" w:styleId="135">
    <w:name w:val="批注主题 Char Char"/>
    <w:qFormat/>
    <w:uiPriority w:val="0"/>
    <w:rPr>
      <w:kern w:val="2"/>
      <w:sz w:val="21"/>
      <w:szCs w:val="24"/>
    </w:rPr>
  </w:style>
  <w:style w:type="character" w:customStyle="1" w:styleId="136">
    <w:name w:val="NormalCharacter"/>
    <w:semiHidden/>
    <w:qFormat/>
    <w:uiPriority w:val="0"/>
  </w:style>
  <w:style w:type="character" w:customStyle="1" w:styleId="137">
    <w:name w:val="font12"/>
    <w:qFormat/>
    <w:uiPriority w:val="0"/>
    <w:rPr>
      <w:rFonts w:hint="eastAsia" w:ascii="宋体" w:hAnsi="宋体" w:eastAsia="宋体" w:cs="宋体"/>
      <w:color w:val="FF0000"/>
      <w:sz w:val="20"/>
      <w:szCs w:val="20"/>
      <w:u w:val="none"/>
    </w:rPr>
  </w:style>
  <w:style w:type="character" w:customStyle="1" w:styleId="138">
    <w:name w:val="标题 Char Char"/>
    <w:qFormat/>
    <w:uiPriority w:val="0"/>
    <w:rPr>
      <w:rFonts w:ascii="Tahoma" w:hAnsi="Tahoma"/>
      <w:b/>
      <w:sz w:val="24"/>
      <w:szCs w:val="20"/>
      <w:lang w:val="en-US"/>
    </w:rPr>
  </w:style>
  <w:style w:type="character" w:customStyle="1" w:styleId="139">
    <w:name w:val="正文文本首行缩进 2 字符"/>
    <w:basedOn w:val="69"/>
    <w:qFormat/>
    <w:uiPriority w:val="0"/>
    <w:rPr>
      <w:rFonts w:hint="default" w:ascii="Calibri" w:hAnsi="Calibri" w:cs="Calibri"/>
      <w:kern w:val="2"/>
      <w:sz w:val="21"/>
      <w:szCs w:val="24"/>
    </w:rPr>
  </w:style>
  <w:style w:type="character" w:customStyle="1" w:styleId="140">
    <w:name w:val="Plain Text Char"/>
    <w:qFormat/>
    <w:uiPriority w:val="0"/>
    <w:rPr>
      <w:rFonts w:ascii="宋体" w:hAnsi="Courier New" w:eastAsia="宋体" w:cs="Times New Roman"/>
      <w:sz w:val="20"/>
      <w:szCs w:val="20"/>
    </w:rPr>
  </w:style>
  <w:style w:type="character" w:customStyle="1" w:styleId="141">
    <w:name w:val="font112"/>
    <w:qFormat/>
    <w:uiPriority w:val="0"/>
    <w:rPr>
      <w:rFonts w:hint="eastAsia" w:ascii="宋体" w:hAnsi="宋体" w:eastAsia="宋体" w:cs="宋体"/>
      <w:b/>
      <w:color w:val="000000"/>
      <w:sz w:val="22"/>
      <w:szCs w:val="22"/>
      <w:u w:val="none"/>
    </w:rPr>
  </w:style>
  <w:style w:type="character" w:customStyle="1" w:styleId="142">
    <w:name w:val="font51"/>
    <w:qFormat/>
    <w:uiPriority w:val="0"/>
    <w:rPr>
      <w:rFonts w:hint="default" w:ascii="Times New Roman" w:hAnsi="Times New Roman" w:cs="Times New Roman"/>
      <w:color w:val="000000"/>
      <w:sz w:val="21"/>
      <w:szCs w:val="21"/>
      <w:u w:val="none"/>
    </w:rPr>
  </w:style>
  <w:style w:type="character" w:customStyle="1" w:styleId="143">
    <w:name w:val="Char Char11"/>
    <w:qFormat/>
    <w:uiPriority w:val="0"/>
    <w:rPr>
      <w:rFonts w:ascii="宋体" w:hAnsi="Courier New" w:eastAsia="宋体" w:cs="Courier New"/>
      <w:kern w:val="2"/>
      <w:sz w:val="21"/>
      <w:szCs w:val="21"/>
      <w:lang w:val="en-US" w:eastAsia="zh-CN" w:bidi="ar-SA"/>
    </w:rPr>
  </w:style>
  <w:style w:type="character" w:customStyle="1" w:styleId="144">
    <w:name w:val="md1"/>
    <w:qFormat/>
    <w:uiPriority w:val="0"/>
    <w:rPr>
      <w:rFonts w:ascii="Tahoma" w:hAnsi="Tahoma"/>
      <w:sz w:val="21"/>
      <w:szCs w:val="21"/>
    </w:rPr>
  </w:style>
  <w:style w:type="character" w:customStyle="1" w:styleId="145">
    <w:name w:val="批注文字 Char Char"/>
    <w:qFormat/>
    <w:uiPriority w:val="0"/>
    <w:rPr>
      <w:rFonts w:ascii="Tahoma" w:hAnsi="Tahoma"/>
      <w:kern w:val="2"/>
      <w:sz w:val="21"/>
      <w:szCs w:val="20"/>
    </w:rPr>
  </w:style>
  <w:style w:type="character" w:customStyle="1" w:styleId="146">
    <w:name w:val="HTML 预设格式 Char1"/>
    <w:qFormat/>
    <w:uiPriority w:val="0"/>
    <w:rPr>
      <w:rFonts w:hint="default" w:ascii="Courier New" w:hAnsi="Courier New" w:cs="Courier New"/>
      <w:kern w:val="2"/>
      <w:sz w:val="24"/>
      <w:szCs w:val="20"/>
    </w:rPr>
  </w:style>
  <w:style w:type="character" w:customStyle="1" w:styleId="147">
    <w:name w:val="font111"/>
    <w:qFormat/>
    <w:uiPriority w:val="0"/>
    <w:rPr>
      <w:rFonts w:hint="eastAsia" w:ascii="宋体" w:hAnsi="宋体" w:eastAsia="宋体" w:cs="宋体"/>
      <w:color w:val="000000"/>
      <w:sz w:val="20"/>
      <w:szCs w:val="20"/>
      <w:u w:val="none"/>
    </w:rPr>
  </w:style>
  <w:style w:type="character" w:customStyle="1" w:styleId="148">
    <w:name w:val="正文文本缩进 Char"/>
    <w:qFormat/>
    <w:uiPriority w:val="0"/>
    <w:rPr>
      <w:rFonts w:hint="eastAsia" w:ascii="宋体" w:hAnsi="Courier New" w:eastAsia="宋体" w:cs="宋体"/>
      <w:spacing w:val="-4"/>
      <w:kern w:val="2"/>
      <w:sz w:val="18"/>
      <w:szCs w:val="20"/>
    </w:rPr>
  </w:style>
  <w:style w:type="character" w:customStyle="1" w:styleId="149">
    <w:name w:val="正文文本缩进 Char Char"/>
    <w:qFormat/>
    <w:uiPriority w:val="0"/>
    <w:rPr>
      <w:rFonts w:ascii="Tahoma" w:hAnsi="Tahoma"/>
      <w:kern w:val="2"/>
      <w:sz w:val="21"/>
      <w:szCs w:val="24"/>
    </w:rPr>
  </w:style>
  <w:style w:type="character" w:customStyle="1" w:styleId="150">
    <w:name w:val="r21"/>
    <w:qFormat/>
    <w:uiPriority w:val="0"/>
    <w:rPr>
      <w:rFonts w:hint="default" w:ascii="Tahoma" w:hAnsi="Tahoma" w:eastAsia="Tahoma" w:cs="Tahoma"/>
      <w:b/>
      <w:color w:val="666666"/>
      <w:sz w:val="18"/>
      <w:szCs w:val="18"/>
      <w:u w:val="none"/>
    </w:rPr>
  </w:style>
  <w:style w:type="character" w:customStyle="1" w:styleId="151">
    <w:name w:val="Char Char Char"/>
    <w:qFormat/>
    <w:uiPriority w:val="0"/>
    <w:rPr>
      <w:rFonts w:ascii="宋体" w:hAnsi="Courier New" w:eastAsia="宋体"/>
      <w:kern w:val="2"/>
      <w:sz w:val="24"/>
      <w:szCs w:val="24"/>
      <w:lang w:val="en-US" w:eastAsia="zh-CN" w:bidi="ar-SA"/>
    </w:rPr>
  </w:style>
  <w:style w:type="character" w:customStyle="1" w:styleId="152">
    <w:name w:val="tx_news9"/>
    <w:qFormat/>
    <w:uiPriority w:val="0"/>
    <w:rPr>
      <w:rFonts w:hint="default" w:ascii="Tahoma" w:hAnsi="Tahoma" w:eastAsia="Tahoma" w:cs="Tahoma"/>
      <w:b/>
      <w:sz w:val="24"/>
      <w:szCs w:val="24"/>
    </w:rPr>
  </w:style>
  <w:style w:type="character" w:customStyle="1" w:styleId="153">
    <w:name w:val="文档结构图 Char Char"/>
    <w:qFormat/>
    <w:uiPriority w:val="0"/>
    <w:rPr>
      <w:rFonts w:hint="eastAsia" w:ascii="Microsoft YaHei UI" w:hAnsi="Tahoma" w:eastAsia="Microsoft YaHei UI" w:cs="Microsoft YaHei UI"/>
      <w:kern w:val="2"/>
      <w:sz w:val="18"/>
      <w:szCs w:val="18"/>
    </w:rPr>
  </w:style>
  <w:style w:type="paragraph" w:customStyle="1" w:styleId="154">
    <w:name w:val="msonospacing"/>
    <w:basedOn w:val="1"/>
    <w:qFormat/>
    <w:uiPriority w:val="0"/>
    <w:rPr>
      <w:rFonts w:ascii="Times New Roman" w:hAnsi="Times New Roman"/>
      <w:szCs w:val="21"/>
    </w:rPr>
  </w:style>
  <w:style w:type="paragraph" w:customStyle="1" w:styleId="155">
    <w:name w:val="正文缩进2格"/>
    <w:basedOn w:val="1"/>
    <w:qFormat/>
    <w:uiPriority w:val="0"/>
    <w:pPr>
      <w:spacing w:line="600" w:lineRule="exact"/>
      <w:ind w:firstLine="639" w:firstLineChars="206"/>
    </w:pPr>
    <w:rPr>
      <w:rFonts w:hint="eastAsia" w:ascii="仿宋_GB2312" w:hAnsi="宋体" w:eastAsia="仿宋_GB2312"/>
      <w:sz w:val="31"/>
      <w:szCs w:val="28"/>
    </w:rPr>
  </w:style>
  <w:style w:type="paragraph" w:customStyle="1" w:styleId="156">
    <w:name w:val="表格用"/>
    <w:basedOn w:val="1"/>
    <w:qFormat/>
    <w:uiPriority w:val="0"/>
    <w:pPr>
      <w:widowControl/>
      <w:spacing w:line="360" w:lineRule="auto"/>
    </w:pPr>
    <w:rPr>
      <w:rFonts w:ascii="宋体" w:hAnsi="宋体"/>
      <w:kern w:val="0"/>
    </w:rPr>
  </w:style>
  <w:style w:type="paragraph" w:customStyle="1" w:styleId="157">
    <w:name w:val="Char Char Char1"/>
    <w:basedOn w:val="1"/>
    <w:qFormat/>
    <w:uiPriority w:val="0"/>
  </w:style>
  <w:style w:type="paragraph" w:customStyle="1" w:styleId="158">
    <w:name w:val="文档正文"/>
    <w:basedOn w:val="1"/>
    <w:qFormat/>
    <w:uiPriority w:val="0"/>
    <w:pPr>
      <w:adjustRightInd w:val="0"/>
      <w:snapToGrid w:val="0"/>
      <w:spacing w:line="480" w:lineRule="atLeast"/>
      <w:ind w:firstLine="567"/>
    </w:pPr>
    <w:rPr>
      <w:rFonts w:ascii="长城仿宋" w:eastAsia="长城仿宋"/>
      <w:kern w:val="0"/>
      <w:szCs w:val="20"/>
    </w:rPr>
  </w:style>
  <w:style w:type="paragraph" w:customStyle="1" w:styleId="159">
    <w:name w:val="msolistparagraph"/>
    <w:basedOn w:val="1"/>
    <w:qFormat/>
    <w:uiPriority w:val="0"/>
    <w:pPr>
      <w:spacing w:beforeLines="50"/>
      <w:ind w:firstLine="420" w:firstLineChars="200"/>
    </w:pPr>
    <w:rPr>
      <w:szCs w:val="22"/>
    </w:rPr>
  </w:style>
  <w:style w:type="paragraph" w:customStyle="1" w:styleId="160">
    <w:name w:val="Char1"/>
    <w:basedOn w:val="1"/>
    <w:qFormat/>
    <w:uiPriority w:val="0"/>
    <w:rPr>
      <w:rFonts w:ascii="Tahoma" w:hAnsi="Tahoma"/>
      <w:sz w:val="24"/>
      <w:szCs w:val="20"/>
    </w:rPr>
  </w:style>
  <w:style w:type="paragraph" w:customStyle="1" w:styleId="161">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1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63">
    <w:name w:val="纯文本1"/>
    <w:basedOn w:val="1"/>
    <w:qFormat/>
    <w:uiPriority w:val="0"/>
    <w:rPr>
      <w:rFonts w:ascii="宋体" w:hAnsi="Courier New"/>
      <w:szCs w:val="20"/>
    </w:rPr>
  </w:style>
  <w:style w:type="paragraph" w:customStyle="1" w:styleId="164">
    <w:name w:val="_Style 163"/>
    <w:basedOn w:val="3"/>
    <w:next w:val="1"/>
    <w:qFormat/>
    <w:uiPriority w:val="39"/>
    <w:pPr>
      <w:spacing w:line="578" w:lineRule="auto"/>
      <w:outlineLvl w:val="9"/>
    </w:pPr>
    <w:rPr>
      <w:rFonts w:ascii="Times New Roman" w:hAnsi="Times New Roman"/>
      <w:bCs/>
    </w:rPr>
  </w:style>
  <w:style w:type="paragraph" w:customStyle="1" w:styleId="165">
    <w:name w:val="_Style 3"/>
    <w:qFormat/>
    <w:uiPriority w:val="0"/>
    <w:pPr>
      <w:widowControl w:val="0"/>
      <w:jc w:val="both"/>
    </w:pPr>
    <w:rPr>
      <w:rFonts w:ascii="Calibri" w:hAnsi="Calibri" w:eastAsia="宋体" w:cs="Times New Roman"/>
      <w:kern w:val="2"/>
      <w:sz w:val="21"/>
      <w:szCs w:val="21"/>
      <w:lang w:val="en-US" w:eastAsia="zh-CN" w:bidi="ar-SA"/>
    </w:rPr>
  </w:style>
  <w:style w:type="paragraph" w:customStyle="1" w:styleId="166">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Char Char Char Char"/>
    <w:basedOn w:val="1"/>
    <w:qFormat/>
    <w:uiPriority w:val="0"/>
  </w:style>
  <w:style w:type="paragraph" w:customStyle="1" w:styleId="168">
    <w:name w:val="二级条标题"/>
    <w:basedOn w:val="169"/>
    <w:next w:val="170"/>
    <w:qFormat/>
    <w:uiPriority w:val="0"/>
    <w:pPr>
      <w:numPr>
        <w:ilvl w:val="3"/>
        <w:numId w:val="2"/>
      </w:numPr>
      <w:tabs>
        <w:tab w:val="left" w:pos="1080"/>
      </w:tabs>
      <w:ind w:left="2310" w:firstLine="0"/>
      <w:outlineLvl w:val="3"/>
    </w:pPr>
  </w:style>
  <w:style w:type="paragraph" w:customStyle="1" w:styleId="169">
    <w:name w:val="一级条标题"/>
    <w:basedOn w:val="1"/>
    <w:next w:val="170"/>
    <w:qFormat/>
    <w:uiPriority w:val="0"/>
    <w:pPr>
      <w:widowControl/>
      <w:numPr>
        <w:ilvl w:val="1"/>
        <w:numId w:val="3"/>
      </w:numPr>
      <w:spacing w:before="156" w:beforeLines="50"/>
      <w:outlineLvl w:val="2"/>
    </w:pPr>
    <w:rPr>
      <w:rFonts w:hint="eastAsia" w:ascii="黑体" w:hAnsi="Times New Roman" w:eastAsia="黑体"/>
      <w:kern w:val="0"/>
      <w:sz w:val="20"/>
      <w:szCs w:val="21"/>
    </w:rPr>
  </w:style>
  <w:style w:type="paragraph" w:customStyle="1" w:styleId="1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1">
    <w:name w:val="二级无"/>
    <w:basedOn w:val="168"/>
    <w:qFormat/>
    <w:uiPriority w:val="0"/>
    <w:pPr>
      <w:tabs>
        <w:tab w:val="left" w:pos="1260"/>
        <w:tab w:val="clear" w:pos="1680"/>
      </w:tabs>
      <w:spacing w:before="0" w:beforeLines="0"/>
    </w:pPr>
    <w:rPr>
      <w:rFonts w:ascii="宋体" w:eastAsia="宋体"/>
      <w:sz w:val="21"/>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_Style 0"/>
    <w:basedOn w:val="1"/>
    <w:qFormat/>
    <w:uiPriority w:val="0"/>
    <w:rPr>
      <w:rFonts w:ascii="Times New Roman" w:hAnsi="Times New Roman"/>
      <w:szCs w:val="21"/>
    </w:rPr>
  </w:style>
  <w:style w:type="paragraph" w:customStyle="1" w:styleId="174">
    <w:name w:val="Char Char Char Char Char Char Char Char Char Char Char Char1 Char"/>
    <w:basedOn w:val="16"/>
    <w:qFormat/>
    <w:uiPriority w:val="0"/>
    <w:rPr>
      <w:rFonts w:ascii="Tahoma" w:hAnsi="Tahoma"/>
      <w:sz w:val="24"/>
    </w:rPr>
  </w:style>
  <w:style w:type="paragraph" w:customStyle="1" w:styleId="17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6">
    <w:name w:val="正文11"/>
    <w:qFormat/>
    <w:uiPriority w:val="99"/>
    <w:pPr>
      <w:widowControl w:val="0"/>
      <w:jc w:val="both"/>
    </w:pPr>
    <w:rPr>
      <w:rFonts w:ascii="Calibri" w:hAnsi="Calibri" w:eastAsia="宋体" w:cs="Calibri"/>
      <w:kern w:val="2"/>
      <w:sz w:val="21"/>
      <w:szCs w:val="21"/>
      <w:lang w:val="en-US" w:eastAsia="zh-CN" w:bidi="ar-SA"/>
    </w:rPr>
  </w:style>
  <w:style w:type="paragraph" w:customStyle="1" w:styleId="177">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78">
    <w:name w:val="纯文本11"/>
    <w:basedOn w:val="176"/>
    <w:qFormat/>
    <w:uiPriority w:val="99"/>
    <w:pPr>
      <w:widowControl/>
      <w:jc w:val="left"/>
    </w:pPr>
    <w:rPr>
      <w:rFonts w:ascii="宋体" w:hAnsi="Courier New" w:cs="宋体"/>
    </w:rPr>
  </w:style>
  <w:style w:type="paragraph" w:customStyle="1" w:styleId="179">
    <w:name w:val="GP正文(无首行缩进)"/>
    <w:basedOn w:val="1"/>
    <w:qFormat/>
    <w:uiPriority w:val="0"/>
    <w:pPr>
      <w:spacing w:line="360" w:lineRule="auto"/>
      <w:ind w:firstLine="480" w:firstLineChars="200"/>
      <w:jc w:val="left"/>
    </w:pPr>
    <w:rPr>
      <w:rFonts w:ascii="Times New Roman" w:hAnsi="宋体"/>
      <w:sz w:val="24"/>
    </w:rPr>
  </w:style>
  <w:style w:type="paragraph" w:customStyle="1" w:styleId="180">
    <w:name w:val="标题 0（绿盟科技）"/>
    <w:basedOn w:val="42"/>
    <w:qFormat/>
    <w:uiPriority w:val="0"/>
    <w:pPr>
      <w:keepNext/>
      <w:keepLines/>
      <w:widowControl w:val="0"/>
    </w:pPr>
  </w:style>
  <w:style w:type="paragraph" w:customStyle="1" w:styleId="181">
    <w:name w:val="xl27"/>
    <w:basedOn w:val="1"/>
    <w:qFormat/>
    <w:uiPriority w:val="0"/>
    <w:pPr>
      <w:widowControl/>
      <w:spacing w:before="100" w:beforeAutospacing="1" w:after="100" w:afterAutospacing="1"/>
      <w:textAlignment w:val="top"/>
    </w:pPr>
    <w:rPr>
      <w:rFonts w:ascii="宋体" w:hAnsi="宋体"/>
      <w:kern w:val="0"/>
      <w:sz w:val="24"/>
    </w:rPr>
  </w:style>
  <w:style w:type="paragraph" w:customStyle="1" w:styleId="182">
    <w:name w:val="默认段落字体 Para Char Char Char Char Char Char Char"/>
    <w:basedOn w:val="16"/>
    <w:qFormat/>
    <w:uiPriority w:val="0"/>
    <w:pPr>
      <w:adjustRightInd w:val="0"/>
      <w:spacing w:line="436" w:lineRule="exact"/>
      <w:ind w:left="357"/>
      <w:jc w:val="left"/>
      <w:outlineLvl w:val="3"/>
    </w:pPr>
    <w:rPr>
      <w:rFonts w:ascii="Tahoma" w:hAnsi="Tahoma"/>
      <w:b/>
      <w:sz w:val="24"/>
    </w:rPr>
  </w:style>
  <w:style w:type="paragraph" w:customStyle="1" w:styleId="183">
    <w:name w:val="正文文本缩进1"/>
    <w:basedOn w:val="1"/>
    <w:qFormat/>
    <w:uiPriority w:val="0"/>
    <w:pPr>
      <w:spacing w:after="120"/>
      <w:ind w:left="420" w:leftChars="200"/>
    </w:pPr>
  </w:style>
  <w:style w:type="paragraph" w:customStyle="1" w:styleId="184">
    <w:name w:val="正文_1_0"/>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样式5"/>
    <w:basedOn w:val="1"/>
    <w:qFormat/>
    <w:uiPriority w:val="0"/>
    <w:pPr>
      <w:spacing w:before="120" w:line="360" w:lineRule="auto"/>
      <w:ind w:firstLine="425" w:firstLineChars="177"/>
    </w:pPr>
    <w:rPr>
      <w:rFonts w:ascii="华文细黑" w:hAnsi="华文细黑" w:eastAsia="华文细黑"/>
      <w:sz w:val="24"/>
    </w:rPr>
  </w:style>
  <w:style w:type="paragraph" w:customStyle="1" w:styleId="187">
    <w:name w:val="方案正文"/>
    <w:basedOn w:val="1"/>
    <w:qFormat/>
    <w:uiPriority w:val="0"/>
    <w:pPr>
      <w:spacing w:before="120" w:line="360" w:lineRule="auto"/>
      <w:ind w:firstLine="425" w:firstLineChars="177"/>
    </w:pPr>
    <w:rPr>
      <w:rFonts w:ascii="华文细黑" w:hAnsi="华文细黑" w:eastAsia="华文细黑"/>
      <w:sz w:val="24"/>
    </w:rPr>
  </w:style>
  <w:style w:type="paragraph" w:customStyle="1" w:styleId="1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89">
    <w:name w:val="_Style 1"/>
    <w:basedOn w:val="1"/>
    <w:qFormat/>
    <w:uiPriority w:val="0"/>
    <w:pPr>
      <w:ind w:firstLine="420" w:firstLineChars="200"/>
    </w:pPr>
    <w:rPr>
      <w:szCs w:val="22"/>
    </w:rPr>
  </w:style>
  <w:style w:type="paragraph" w:customStyle="1" w:styleId="190">
    <w:name w:val="Char Char Char Char Char Char Char Char Char Char Char Char1 Char1"/>
    <w:basedOn w:val="16"/>
    <w:qFormat/>
    <w:uiPriority w:val="0"/>
    <w:rPr>
      <w:rFonts w:ascii="Tahoma" w:hAnsi="Tahoma"/>
      <w:sz w:val="24"/>
    </w:rPr>
  </w:style>
  <w:style w:type="paragraph" w:customStyle="1" w:styleId="191">
    <w:name w:val="正文空2格  1."/>
    <w:basedOn w:val="1"/>
    <w:qFormat/>
    <w:uiPriority w:val="0"/>
    <w:pPr>
      <w:ind w:firstLine="480" w:firstLineChars="200"/>
    </w:pPr>
    <w:rPr>
      <w:rFonts w:cs="宋体"/>
      <w:sz w:val="28"/>
      <w:szCs w:val="20"/>
    </w:rPr>
  </w:style>
  <w:style w:type="paragraph" w:customStyle="1" w:styleId="192">
    <w:name w:val="正文－恩普"/>
    <w:basedOn w:val="6"/>
    <w:qFormat/>
    <w:uiPriority w:val="0"/>
    <w:pPr>
      <w:widowControl/>
      <w:spacing w:line="360" w:lineRule="auto"/>
      <w:ind w:firstLine="480" w:firstLineChars="200"/>
      <w:jc w:val="left"/>
    </w:pPr>
    <w:rPr>
      <w:kern w:val="0"/>
      <w:sz w:val="24"/>
    </w:rPr>
  </w:style>
  <w:style w:type="paragraph" w:customStyle="1" w:styleId="193">
    <w:name w:val="章标题"/>
    <w:basedOn w:val="1"/>
    <w:next w:val="170"/>
    <w:qFormat/>
    <w:uiPriority w:val="0"/>
    <w:pPr>
      <w:widowControl/>
      <w:numPr>
        <w:ilvl w:val="0"/>
        <w:numId w:val="4"/>
      </w:numPr>
      <w:spacing w:before="312" w:beforeLines="100"/>
      <w:outlineLvl w:val="1"/>
    </w:pPr>
    <w:rPr>
      <w:rFonts w:hint="eastAsia" w:ascii="黑体" w:hAnsi="Times New Roman" w:eastAsia="黑体"/>
      <w:kern w:val="0"/>
      <w:sz w:val="20"/>
      <w:szCs w:val="20"/>
    </w:rPr>
  </w:style>
  <w:style w:type="paragraph" w:styleId="194">
    <w:name w:val="List Paragraph"/>
    <w:basedOn w:val="1"/>
    <w:qFormat/>
    <w:uiPriority w:val="0"/>
    <w:pPr>
      <w:ind w:firstLine="420" w:firstLineChars="200"/>
    </w:pPr>
    <w:rPr>
      <w:szCs w:val="22"/>
    </w:rPr>
  </w:style>
  <w:style w:type="paragraph" w:customStyle="1" w:styleId="195">
    <w:name w:val="Char Char Char Char Char Char Char Char Char Char Char Char"/>
    <w:basedOn w:val="1"/>
    <w:qFormat/>
    <w:uiPriority w:val="0"/>
    <w:pPr>
      <w:widowControl/>
      <w:spacing w:after="160" w:line="240" w:lineRule="exact"/>
      <w:jc w:val="left"/>
    </w:pPr>
  </w:style>
  <w:style w:type="paragraph" w:customStyle="1" w:styleId="196">
    <w:name w:val="正文文本缩进2"/>
    <w:basedOn w:val="1"/>
    <w:qFormat/>
    <w:uiPriority w:val="0"/>
    <w:pPr>
      <w:spacing w:line="200" w:lineRule="exact"/>
      <w:ind w:firstLine="301"/>
    </w:pPr>
    <w:rPr>
      <w:rFonts w:hint="eastAsia" w:ascii="宋体" w:hAnsi="Courier New"/>
      <w:spacing w:val="-4"/>
      <w:sz w:val="18"/>
    </w:rPr>
  </w:style>
  <w:style w:type="paragraph" w:customStyle="1" w:styleId="197">
    <w:name w:val="列出段落8"/>
    <w:basedOn w:val="1"/>
    <w:qFormat/>
    <w:uiPriority w:val="34"/>
    <w:pPr>
      <w:ind w:firstLine="420"/>
    </w:pPr>
    <w:rPr>
      <w:szCs w:val="22"/>
    </w:rPr>
  </w:style>
  <w:style w:type="paragraph" w:customStyle="1" w:styleId="198">
    <w:name w:val="Char Char Char Char Char Char Char"/>
    <w:basedOn w:val="1"/>
    <w:qFormat/>
    <w:uiPriority w:val="0"/>
    <w:rPr>
      <w:rFonts w:ascii="Tahoma" w:hAnsi="Tahoma"/>
      <w:sz w:val="24"/>
      <w:szCs w:val="20"/>
    </w:rPr>
  </w:style>
  <w:style w:type="paragraph" w:customStyle="1" w:styleId="199">
    <w:name w:val="无间隔1"/>
    <w:qFormat/>
    <w:uiPriority w:val="0"/>
    <w:pPr>
      <w:spacing w:after="160" w:line="259" w:lineRule="auto"/>
    </w:pPr>
    <w:rPr>
      <w:rFonts w:ascii="Calibri" w:hAnsi="Calibri" w:eastAsia="宋体" w:cs="Times New Roman"/>
      <w:sz w:val="22"/>
      <w:szCs w:val="22"/>
      <w:lang w:val="en-US" w:eastAsia="zh-CN" w:bidi="ar-SA"/>
    </w:rPr>
  </w:style>
  <w:style w:type="paragraph" w:customStyle="1" w:styleId="200">
    <w:name w:val="正文表标题"/>
    <w:next w:val="170"/>
    <w:qFormat/>
    <w:uiPriority w:val="0"/>
    <w:pPr>
      <w:numPr>
        <w:ilvl w:val="0"/>
        <w:numId w:val="5"/>
      </w:numPr>
      <w:jc w:val="center"/>
    </w:pPr>
    <w:rPr>
      <w:rFonts w:ascii="黑体" w:hAnsi="Calibri" w:eastAsia="黑体" w:cs="Times New Roman"/>
      <w:sz w:val="21"/>
      <w:lang w:val="en-US" w:eastAsia="zh-CN" w:bidi="ar-SA"/>
    </w:rPr>
  </w:style>
  <w:style w:type="paragraph" w:customStyle="1" w:styleId="201">
    <w:name w:val="列出段落12"/>
    <w:basedOn w:val="1"/>
    <w:qFormat/>
    <w:uiPriority w:val="0"/>
    <w:pPr>
      <w:ind w:firstLine="420" w:firstLineChars="200"/>
    </w:pPr>
  </w:style>
  <w:style w:type="paragraph" w:customStyle="1" w:styleId="202">
    <w:name w:val="Char11"/>
    <w:basedOn w:val="1"/>
    <w:qFormat/>
    <w:uiPriority w:val="0"/>
  </w:style>
  <w:style w:type="paragraph" w:customStyle="1" w:styleId="203">
    <w:name w:val="表格文字"/>
    <w:basedOn w:val="1"/>
    <w:qFormat/>
    <w:uiPriority w:val="0"/>
    <w:pPr>
      <w:jc w:val="center"/>
    </w:pPr>
    <w:rPr>
      <w:rFonts w:ascii="Arial" w:hAnsi="Arial" w:eastAsia="仿宋_GB2312" w:cs="Arial"/>
      <w:spacing w:val="10"/>
      <w:sz w:val="24"/>
      <w:szCs w:val="28"/>
    </w:rPr>
  </w:style>
  <w:style w:type="paragraph" w:customStyle="1" w:styleId="204">
    <w:name w:val="列出段落1"/>
    <w:basedOn w:val="1"/>
    <w:qFormat/>
    <w:uiPriority w:val="34"/>
    <w:pPr>
      <w:ind w:firstLine="420" w:firstLineChars="200"/>
    </w:pPr>
    <w:rPr>
      <w:szCs w:val="22"/>
    </w:rPr>
  </w:style>
  <w:style w:type="paragraph" w:customStyle="1" w:styleId="20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6">
    <w:name w:val="四级无"/>
    <w:basedOn w:val="1"/>
    <w:qFormat/>
    <w:uiPriority w:val="0"/>
    <w:pPr>
      <w:widowControl/>
      <w:tabs>
        <w:tab w:val="left" w:pos="2100"/>
      </w:tabs>
      <w:ind w:left="2100" w:hanging="420"/>
      <w:jc w:val="left"/>
      <w:outlineLvl w:val="5"/>
    </w:pPr>
    <w:rPr>
      <w:rFonts w:hint="eastAsia" w:ascii="宋体"/>
      <w:kern w:val="0"/>
    </w:rPr>
  </w:style>
  <w:style w:type="paragraph" w:customStyle="1" w:styleId="207">
    <w:name w:val="正文首行缩进 21"/>
    <w:basedOn w:val="183"/>
    <w:qFormat/>
    <w:uiPriority w:val="0"/>
    <w:pPr>
      <w:ind w:firstLine="420" w:firstLineChars="200"/>
    </w:pPr>
  </w:style>
  <w:style w:type="paragraph" w:customStyle="1" w:styleId="208">
    <w:name w:val="表格"/>
    <w:basedOn w:val="1"/>
    <w:qFormat/>
    <w:uiPriority w:val="0"/>
    <w:pPr>
      <w:widowControl/>
      <w:jc w:val="center"/>
    </w:pPr>
    <w:rPr>
      <w:rFonts w:ascii="宋体" w:hAnsi="宋体"/>
      <w:bCs/>
      <w:color w:val="000000"/>
      <w:kern w:val="0"/>
      <w:szCs w:val="21"/>
    </w:rPr>
  </w:style>
  <w:style w:type="paragraph" w:customStyle="1" w:styleId="20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10">
    <w:name w:val="纯文本_0_0"/>
    <w:basedOn w:val="184"/>
    <w:unhideWhenUsed/>
    <w:qFormat/>
    <w:uiPriority w:val="0"/>
    <w:rPr>
      <w:rFonts w:hint="eastAsia" w:ascii="宋体" w:hAnsi="Courier New"/>
    </w:rPr>
  </w:style>
  <w:style w:type="paragraph" w:customStyle="1" w:styleId="211">
    <w:name w:val="自由格式 A"/>
    <w:qFormat/>
    <w:uiPriority w:val="0"/>
    <w:rPr>
      <w:rFonts w:ascii="Helvetica" w:hAnsi="Helvetica" w:eastAsia="ヒラギノ角ゴ Pro W3" w:cs="Times New Roman"/>
      <w:color w:val="000000"/>
      <w:sz w:val="24"/>
      <w:lang w:val="en-US" w:eastAsia="zh-CN" w:bidi="ar-SA"/>
    </w:rPr>
  </w:style>
  <w:style w:type="paragraph" w:customStyle="1" w:styleId="212">
    <w:name w:val="此正文"/>
    <w:basedOn w:val="1"/>
    <w:qFormat/>
    <w:uiPriority w:val="0"/>
    <w:pPr>
      <w:spacing w:line="360" w:lineRule="auto"/>
      <w:ind w:firstLine="200" w:firstLineChars="200"/>
    </w:pPr>
    <w:rPr>
      <w:sz w:val="24"/>
    </w:rPr>
  </w:style>
  <w:style w:type="paragraph" w:customStyle="1" w:styleId="213">
    <w:name w:val="普通(网站)1"/>
    <w:basedOn w:val="1"/>
    <w:qFormat/>
    <w:uiPriority w:val="0"/>
    <w:pPr>
      <w:widowControl/>
      <w:spacing w:before="100" w:beforeAutospacing="1" w:after="100" w:afterAutospacing="1"/>
      <w:jc w:val="left"/>
    </w:pPr>
    <w:rPr>
      <w:rFonts w:ascii="宋体" w:hAnsi="宋体"/>
      <w:kern w:val="0"/>
      <w:sz w:val="24"/>
    </w:rPr>
  </w:style>
  <w:style w:type="paragraph" w:styleId="21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215">
    <w:name w:val="样式1"/>
    <w:basedOn w:val="7"/>
    <w:qFormat/>
    <w:uiPriority w:val="0"/>
  </w:style>
  <w:style w:type="paragraph" w:customStyle="1" w:styleId="216">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7">
    <w:name w:val="p0"/>
    <w:basedOn w:val="1"/>
    <w:qFormat/>
    <w:uiPriority w:val="0"/>
    <w:pPr>
      <w:widowControl/>
    </w:pPr>
    <w:rPr>
      <w:rFonts w:ascii="Times New Roman" w:hAnsi="Times New Roman"/>
      <w:kern w:val="0"/>
      <w:szCs w:val="21"/>
    </w:rPr>
  </w:style>
  <w:style w:type="paragraph" w:customStyle="1" w:styleId="218">
    <w:name w:val="HtmlNormal"/>
    <w:basedOn w:val="1"/>
    <w:qFormat/>
    <w:uiPriority w:val="0"/>
    <w:pPr>
      <w:widowControl/>
      <w:spacing w:before="100" w:beforeAutospacing="1" w:after="100" w:afterAutospacing="1"/>
      <w:jc w:val="left"/>
    </w:pPr>
    <w:rPr>
      <w:rFonts w:ascii="宋体" w:hAnsi="宋体"/>
      <w:kern w:val="0"/>
      <w:sz w:val="24"/>
    </w:rPr>
  </w:style>
  <w:style w:type="paragraph" w:customStyle="1" w:styleId="219">
    <w:name w:val="--规划正文"/>
    <w:basedOn w:val="1"/>
    <w:qFormat/>
    <w:uiPriority w:val="0"/>
    <w:pPr>
      <w:spacing w:line="360" w:lineRule="auto"/>
      <w:ind w:firstLine="200" w:firstLineChars="200"/>
    </w:pPr>
    <w:rPr>
      <w:szCs w:val="20"/>
    </w:rPr>
  </w:style>
  <w:style w:type="paragraph" w:customStyle="1" w:styleId="220">
    <w:name w:val="Char Char Char Char Char Char"/>
    <w:basedOn w:val="1"/>
    <w:qFormat/>
    <w:uiPriority w:val="0"/>
    <w:pPr>
      <w:ind w:firstLine="200" w:firstLineChars="200"/>
    </w:pPr>
    <w:rPr>
      <w:rFonts w:ascii="Tahoma" w:hAnsi="Tahoma"/>
      <w:sz w:val="24"/>
      <w:szCs w:val="20"/>
    </w:rPr>
  </w:style>
  <w:style w:type="paragraph" w:customStyle="1" w:styleId="221">
    <w:name w:val="标题 1（绿盟科技）"/>
    <w:basedOn w:val="180"/>
    <w:next w:val="43"/>
    <w:qFormat/>
    <w:uiPriority w:val="0"/>
    <w:pPr>
      <w:numPr>
        <w:ilvl w:val="0"/>
        <w:numId w:val="6"/>
      </w:numPr>
      <w:spacing w:line="576" w:lineRule="auto"/>
      <w:jc w:val="left"/>
    </w:pPr>
    <w:rPr>
      <w:rFonts w:eastAsia="宋体"/>
      <w:sz w:val="36"/>
    </w:rPr>
  </w:style>
  <w:style w:type="paragraph" w:customStyle="1" w:styleId="222">
    <w:name w:val="正文 New"/>
    <w:basedOn w:val="1"/>
    <w:qFormat/>
    <w:uiPriority w:val="0"/>
    <w:rPr>
      <w:rFonts w:ascii="Times New Roman" w:hAnsi="Times New Roman"/>
    </w:rPr>
  </w:style>
  <w:style w:type="paragraph" w:customStyle="1" w:styleId="223">
    <w:name w:val="默认段落字体 Para Char Char Char Char Char Char Char Char Char1 Char Char Char Char"/>
    <w:basedOn w:val="1"/>
    <w:qFormat/>
    <w:uiPriority w:val="0"/>
    <w:rPr>
      <w:rFonts w:ascii="Tahoma" w:hAnsi="Tahoma"/>
      <w:sz w:val="24"/>
      <w:szCs w:val="20"/>
    </w:rPr>
  </w:style>
  <w:style w:type="paragraph" w:customStyle="1" w:styleId="224">
    <w:name w:val="列表段落1"/>
    <w:basedOn w:val="1"/>
    <w:qFormat/>
    <w:uiPriority w:val="34"/>
    <w:pPr>
      <w:ind w:firstLine="420" w:firstLineChars="200"/>
    </w:pPr>
  </w:style>
  <w:style w:type="paragraph" w:customStyle="1" w:styleId="225">
    <w:name w:val="样式3"/>
    <w:basedOn w:val="2"/>
    <w:qFormat/>
    <w:uiPriority w:val="99"/>
    <w:pPr>
      <w:spacing w:line="0" w:lineRule="atLeast"/>
      <w:outlineLvl w:val="0"/>
    </w:pPr>
    <w:rPr>
      <w:sz w:val="28"/>
    </w:rPr>
  </w:style>
  <w:style w:type="paragraph" w:customStyle="1" w:styleId="226">
    <w:name w:val="Char2"/>
    <w:basedOn w:val="1"/>
    <w:qFormat/>
    <w:uiPriority w:val="0"/>
    <w:pPr>
      <w:tabs>
        <w:tab w:val="left" w:pos="1200"/>
        <w:tab w:val="left" w:pos="1800"/>
      </w:tabs>
      <w:ind w:left="1200" w:hanging="1110"/>
    </w:pPr>
    <w:rPr>
      <w:sz w:val="24"/>
    </w:rPr>
  </w:style>
  <w:style w:type="paragraph" w:customStyle="1" w:styleId="227">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28">
    <w:name w:val="Table Paragraph"/>
    <w:basedOn w:val="1"/>
    <w:qFormat/>
    <w:uiPriority w:val="1"/>
    <w:pPr>
      <w:spacing w:before="94"/>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31587</Words>
  <Characters>32782</Characters>
  <Lines>264</Lines>
  <Paragraphs>74</Paragraphs>
  <TotalTime>2</TotalTime>
  <ScaleCrop>false</ScaleCrop>
  <LinksUpToDate>false</LinksUpToDate>
  <CharactersWithSpaces>35445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2021-05-11T11:03:00Z</dcterms:created>
  <dc:creator>黄旭明</dc:creator>
  <cp:lastModifiedBy>宁波中基国际招标有限公司</cp:lastModifiedBy>
  <cp:lastPrinted>2021-10-25T11:42:00Z</cp:lastPrinted>
  <dcterms:modified xsi:type="dcterms:W3CDTF">2022-09-27T04:15:05Z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5E18BC31301B079CA4F11F6332CDBDA9</vt:lpwstr>
  </property>
</Properties>
</file>